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DBB" w:rsidRDefault="00961DBB" w:rsidP="00961DBB">
      <w:bookmarkStart w:id="0" w:name="Here"/>
      <w:bookmarkStart w:id="1" w:name="_GoBack"/>
      <w:bookmarkEnd w:id="0"/>
      <w:bookmarkEnd w:id="1"/>
    </w:p>
    <w:tbl>
      <w:tblPr>
        <w:tblStyle w:val="TableAsPlaceholder"/>
        <w:tblpPr w:leftFromText="181" w:rightFromText="181" w:vertAnchor="page" w:horzAnchor="margin" w:tblpY="5779"/>
        <w:tblOverlap w:val="never"/>
        <w:tblW w:w="8277" w:type="dxa"/>
        <w:tblLayout w:type="fixed"/>
        <w:tblLook w:val="04A0" w:firstRow="1" w:lastRow="0" w:firstColumn="1" w:lastColumn="0" w:noHBand="0" w:noVBand="1"/>
      </w:tblPr>
      <w:tblGrid>
        <w:gridCol w:w="8277"/>
      </w:tblGrid>
      <w:tr w:rsidR="00961DBB" w:rsidTr="00C8728F">
        <w:trPr>
          <w:trHeight w:val="907"/>
        </w:trPr>
        <w:tc>
          <w:tcPr>
            <w:tcW w:w="8277" w:type="dxa"/>
          </w:tcPr>
          <w:p w:rsidR="00961DBB" w:rsidRDefault="00555770" w:rsidP="007270D9">
            <w:pPr>
              <w:pStyle w:val="Title"/>
            </w:pPr>
            <w:r>
              <w:t xml:space="preserve">National Broadband Network </w:t>
            </w:r>
          </w:p>
        </w:tc>
      </w:tr>
      <w:tr w:rsidR="00F20647" w:rsidTr="00C8728F">
        <w:trPr>
          <w:trHeight w:val="680"/>
        </w:trPr>
        <w:tc>
          <w:tcPr>
            <w:tcW w:w="8277" w:type="dxa"/>
          </w:tcPr>
          <w:p w:rsidR="00F20647" w:rsidRPr="006A7978" w:rsidRDefault="007270D9" w:rsidP="00C8728F">
            <w:pPr>
              <w:pStyle w:val="Title2"/>
            </w:pPr>
            <w:r w:rsidRPr="007270D9">
              <w:t>Impact on the Budget</w:t>
            </w:r>
          </w:p>
        </w:tc>
      </w:tr>
      <w:tr w:rsidR="00195228" w:rsidTr="00C8728F">
        <w:trPr>
          <w:trHeight w:val="765"/>
        </w:trPr>
        <w:tc>
          <w:tcPr>
            <w:tcW w:w="8277" w:type="dxa"/>
          </w:tcPr>
          <w:p w:rsidR="00195228" w:rsidRPr="009541CC" w:rsidRDefault="000315E5" w:rsidP="00F2046C">
            <w:pPr>
              <w:pStyle w:val="Title3"/>
              <w:framePr w:wrap="auto" w:vAnchor="margin" w:hAnchor="text" w:yAlign="inline"/>
            </w:pPr>
            <w:r>
              <w:t xml:space="preserve">Report no. </w:t>
            </w:r>
            <w:r w:rsidR="00414ED6">
              <w:t>04/2016</w:t>
            </w:r>
          </w:p>
        </w:tc>
      </w:tr>
    </w:tbl>
    <w:p w:rsidR="00961DBB" w:rsidRDefault="00961DBB" w:rsidP="00961DBB"/>
    <w:p w:rsidR="00961DBB" w:rsidRDefault="00961DBB">
      <w:pPr>
        <w:sectPr w:rsidR="00961DBB" w:rsidSect="009057D9">
          <w:headerReference w:type="even" r:id="rId9"/>
          <w:headerReference w:type="default" r:id="rId10"/>
          <w:headerReference w:type="first" r:id="rId11"/>
          <w:pgSz w:w="11906" w:h="16838" w:code="9"/>
          <w:pgMar w:top="1361" w:right="1797" w:bottom="1474" w:left="1797" w:header="284" w:footer="454" w:gutter="0"/>
          <w:cols w:space="708"/>
          <w:titlePg/>
          <w:docGrid w:linePitch="360"/>
        </w:sectPr>
      </w:pPr>
    </w:p>
    <w:p w:rsidR="00961DBB" w:rsidRDefault="00961DBB" w:rsidP="00961DBB"/>
    <w:tbl>
      <w:tblPr>
        <w:tblStyle w:val="TableAsPlaceholder"/>
        <w:tblpPr w:leftFromText="181" w:rightFromText="181" w:horzAnchor="margin" w:tblpY="4310"/>
        <w:tblOverlap w:val="never"/>
        <w:tblW w:w="0" w:type="auto"/>
        <w:tblCellMar>
          <w:bottom w:w="57" w:type="dxa"/>
          <w:right w:w="57" w:type="dxa"/>
        </w:tblCellMar>
        <w:tblLook w:val="04A0" w:firstRow="1" w:lastRow="0" w:firstColumn="1" w:lastColumn="0" w:noHBand="0" w:noVBand="1"/>
      </w:tblPr>
      <w:tblGrid>
        <w:gridCol w:w="8220"/>
      </w:tblGrid>
      <w:tr w:rsidR="00961DBB" w:rsidTr="0087390B">
        <w:trPr>
          <w:trHeight w:val="8165"/>
        </w:trPr>
        <w:tc>
          <w:tcPr>
            <w:tcW w:w="8220" w:type="dxa"/>
            <w:vAlign w:val="bottom"/>
          </w:tcPr>
          <w:p w:rsidR="00961DBB" w:rsidRPr="00C77B5C" w:rsidRDefault="00961DBB" w:rsidP="00BB5013">
            <w:pPr>
              <w:pStyle w:val="xDisclaimerText2"/>
              <w:framePr w:hSpace="0" w:wrap="auto" w:hAnchor="text" w:yAlign="inline"/>
              <w:suppressOverlap w:val="0"/>
            </w:pPr>
            <w:bookmarkStart w:id="2" w:name="_DisclaimerMarker"/>
            <w:bookmarkEnd w:id="2"/>
            <w:r w:rsidRPr="00C77B5C">
              <w:t xml:space="preserve">© </w:t>
            </w:r>
            <w:r w:rsidRPr="0087390B">
              <w:t>Commonwealth</w:t>
            </w:r>
            <w:r w:rsidRPr="00C77B5C">
              <w:t xml:space="preserve"> of Australia</w:t>
            </w:r>
            <w:r w:rsidR="00F20647">
              <w:t xml:space="preserve"> </w:t>
            </w:r>
            <w:r w:rsidR="00555770">
              <w:t>2016</w:t>
            </w:r>
          </w:p>
          <w:p w:rsidR="00961DBB" w:rsidRPr="00BB5013" w:rsidRDefault="00961DBB" w:rsidP="00BB5013">
            <w:pPr>
              <w:pStyle w:val="xDisclaimerText2"/>
              <w:framePr w:hSpace="0" w:wrap="auto" w:hAnchor="text" w:yAlign="inline"/>
              <w:suppressOverlap w:val="0"/>
            </w:pPr>
            <w:r w:rsidRPr="008E314A">
              <w:t>IS</w:t>
            </w:r>
            <w:r w:rsidR="00801FDF">
              <w:t>B</w:t>
            </w:r>
            <w:r w:rsidRPr="008E314A">
              <w:t xml:space="preserve">N </w:t>
            </w:r>
            <w:r w:rsidR="00801FDF">
              <w:t>978-0-9944547-8-2</w:t>
            </w:r>
            <w:r w:rsidR="00C90716" w:rsidRPr="00C90716">
              <w:t xml:space="preserve"> </w:t>
            </w:r>
            <w:r w:rsidRPr="008E314A">
              <w:t>(</w:t>
            </w:r>
            <w:r w:rsidRPr="00870C85">
              <w:t>Online</w:t>
            </w:r>
            <w:r w:rsidRPr="00C77B5C">
              <w:t>)</w:t>
            </w:r>
          </w:p>
          <w:p w:rsidR="00961DBB" w:rsidRDefault="00961DBB" w:rsidP="00BB5013">
            <w:pPr>
              <w:pStyle w:val="xDisclaimerText2"/>
              <w:framePr w:hSpace="0" w:wrap="auto" w:hAnchor="text" w:yAlign="inline"/>
              <w:suppressOverlap w:val="0"/>
            </w:pPr>
            <w:r w:rsidRPr="00C77B5C">
              <w:t>This work is licensed und</w:t>
            </w:r>
            <w:r w:rsidRPr="00870C85">
              <w:t>e</w:t>
            </w:r>
            <w:r w:rsidRPr="00C77B5C">
              <w:t xml:space="preserve">r </w:t>
            </w:r>
            <w:r w:rsidRPr="008E314A">
              <w:t xml:space="preserve">the Creative </w:t>
            </w:r>
            <w:r w:rsidRPr="0087390B">
              <w:t>Commons</w:t>
            </w:r>
            <w:r w:rsidRPr="008E314A">
              <w:t xml:space="preserve"> Attribution-</w:t>
            </w:r>
            <w:proofErr w:type="spellStart"/>
            <w:r w:rsidRPr="008E314A">
              <w:t>NonCommercial</w:t>
            </w:r>
            <w:proofErr w:type="spellEnd"/>
            <w:r w:rsidRPr="008E314A">
              <w:t>-</w:t>
            </w:r>
            <w:proofErr w:type="spellStart"/>
            <w:r w:rsidRPr="008E314A">
              <w:t>NoDerivs</w:t>
            </w:r>
            <w:proofErr w:type="spellEnd"/>
            <w:r w:rsidRPr="008E314A">
              <w:t xml:space="preserve"> 3.0 Australia License</w:t>
            </w:r>
            <w:r>
              <w:t>.</w:t>
            </w:r>
          </w:p>
          <w:p w:rsidR="00961DBB" w:rsidRPr="0084503F" w:rsidRDefault="003B3D44" w:rsidP="00BB5013">
            <w:pPr>
              <w:pStyle w:val="xDisclaimerText2"/>
              <w:framePr w:hSpace="0" w:wrap="auto" w:hAnchor="text" w:yAlign="inline"/>
              <w:spacing w:before="240"/>
              <w:suppressOverlap w:val="0"/>
            </w:pPr>
            <w:r>
              <w:rPr>
                <w:noProof/>
              </w:rPr>
              <w:drawing>
                <wp:inline distT="0" distB="0" distL="0" distR="0" wp14:anchorId="41351653" wp14:editId="2CA647FE">
                  <wp:extent cx="1079086" cy="37798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on creative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086" cy="377985"/>
                          </a:xfrm>
                          <a:prstGeom prst="rect">
                            <a:avLst/>
                          </a:prstGeom>
                        </pic:spPr>
                      </pic:pic>
                    </a:graphicData>
                  </a:graphic>
                </wp:inline>
              </w:drawing>
            </w:r>
          </w:p>
          <w:p w:rsidR="00961DBB" w:rsidRDefault="00961DBB" w:rsidP="00BB5013">
            <w:pPr>
              <w:pStyle w:val="xDisclaimerText2"/>
              <w:framePr w:hSpace="0" w:wrap="auto" w:hAnchor="text" w:yAlign="inline"/>
              <w:suppressOverlap w:val="0"/>
            </w:pPr>
            <w:r w:rsidRPr="00D0237F">
              <w:t xml:space="preserve">The details of this licence </w:t>
            </w:r>
            <w:r w:rsidRPr="00BB5013">
              <w:t>are</w:t>
            </w:r>
            <w:r w:rsidRPr="00D0237F">
              <w:t xml:space="preserve"> available on the Creative Commons website:</w:t>
            </w:r>
            <w:r w:rsidRPr="00D0237F">
              <w:rPr>
                <w:color w:val="FF0000"/>
              </w:rPr>
              <w:t xml:space="preserve"> </w:t>
            </w:r>
            <w:hyperlink r:id="rId13" w:history="1">
              <w:r w:rsidR="00BB5013" w:rsidRPr="00BB5013">
                <w:t>http://creativecommons.org/licenses/by-nc-nd/3.0/au/</w:t>
              </w:r>
            </w:hyperlink>
            <w:r w:rsidR="00BB5013">
              <w:t xml:space="preserve"> </w:t>
            </w:r>
          </w:p>
          <w:p w:rsidR="00961DBB" w:rsidRPr="00BB5013" w:rsidRDefault="00961DBB" w:rsidP="00BB5013">
            <w:pPr>
              <w:pStyle w:val="xDisclaimerHeading"/>
              <w:framePr w:hSpace="0" w:wrap="auto" w:hAnchor="text" w:yAlign="inline"/>
              <w:suppressOverlap w:val="0"/>
            </w:pPr>
            <w:r>
              <w:t xml:space="preserve">Use </w:t>
            </w:r>
            <w:r w:rsidRPr="00D0237F">
              <w:t>of</w:t>
            </w:r>
            <w:r>
              <w:t xml:space="preserve"> </w:t>
            </w:r>
            <w:r w:rsidRPr="00D0237F">
              <w:t>the</w:t>
            </w:r>
            <w:r>
              <w:t xml:space="preserve"> Coat of Arms</w:t>
            </w:r>
          </w:p>
          <w:p w:rsidR="00961DBB" w:rsidRDefault="00961DBB" w:rsidP="00BB5013">
            <w:pPr>
              <w:pStyle w:val="xDisclaimerText2"/>
              <w:framePr w:hSpace="0" w:wrap="auto" w:hAnchor="text" w:yAlign="inline"/>
              <w:suppressOverlap w:val="0"/>
            </w:pPr>
            <w:r>
              <w:t xml:space="preserve">The terms under which the Coat of Arms </w:t>
            </w:r>
            <w:r w:rsidRPr="00BB5013">
              <w:t>can</w:t>
            </w:r>
            <w:r>
              <w:t xml:space="preserve"> be used are detailed on the following website: </w:t>
            </w:r>
            <w:hyperlink r:id="rId14" w:history="1">
              <w:r w:rsidR="00BB5013" w:rsidRPr="00BB5013">
                <w:t>www.itsanhonour.gov.au/coat-arms</w:t>
              </w:r>
            </w:hyperlink>
            <w:r w:rsidR="00BB5013">
              <w:t xml:space="preserve"> </w:t>
            </w:r>
          </w:p>
          <w:p w:rsidR="00961DBB" w:rsidRDefault="00961DBB" w:rsidP="00BB5013">
            <w:pPr>
              <w:pStyle w:val="xDisclaimerText"/>
            </w:pPr>
            <w:r w:rsidRPr="00D429BD">
              <w:rPr>
                <w:rStyle w:val="xDisclaimerHeadingwithxDisclaimerTextChar"/>
              </w:rPr>
              <w:t>Produced by:</w:t>
            </w:r>
            <w:r>
              <w:t xml:space="preserve"> </w:t>
            </w:r>
            <w:r w:rsidRPr="00BB5013">
              <w:t>Parliamentary</w:t>
            </w:r>
            <w:r>
              <w:t xml:space="preserve"> Budget Office</w:t>
            </w:r>
          </w:p>
          <w:p w:rsidR="00961DBB" w:rsidRPr="00BB5013" w:rsidRDefault="00961DBB" w:rsidP="00BB5013">
            <w:pPr>
              <w:pStyle w:val="xDisclaimerText"/>
            </w:pPr>
            <w:r w:rsidRPr="00D429BD">
              <w:rPr>
                <w:rStyle w:val="xDisclaimerHeadingwithxDisclaimerTextChar"/>
              </w:rPr>
              <w:t>Designed by:</w:t>
            </w:r>
            <w:r>
              <w:t xml:space="preserve"> </w:t>
            </w:r>
            <w:r w:rsidR="00A50297">
              <w:t>Studio Tweed</w:t>
            </w:r>
          </w:p>
          <w:p w:rsidR="00961DBB" w:rsidRDefault="00C90716" w:rsidP="0087390B">
            <w:pPr>
              <w:pStyle w:val="xDisclaimerHeading"/>
              <w:framePr w:hSpace="0" w:wrap="auto" w:hAnchor="text" w:yAlign="inline"/>
              <w:suppressOverlap w:val="0"/>
            </w:pPr>
            <w:r w:rsidRPr="00C90716">
              <w:t>First Assistant Parliamentary Budget Officer</w:t>
            </w:r>
          </w:p>
          <w:p w:rsidR="00961DBB" w:rsidRPr="008E314A" w:rsidRDefault="00C90716" w:rsidP="0087390B">
            <w:pPr>
              <w:pStyle w:val="xDisclaimerText"/>
            </w:pPr>
            <w:r w:rsidRPr="00C90716">
              <w:t xml:space="preserve">Fiscal Policy </w:t>
            </w:r>
            <w:r>
              <w:t xml:space="preserve">Analysis </w:t>
            </w:r>
            <w:r w:rsidRPr="00C90716">
              <w:t>Division</w:t>
            </w:r>
          </w:p>
          <w:p w:rsidR="00961DBB" w:rsidRDefault="00961DBB" w:rsidP="0087390B">
            <w:pPr>
              <w:pStyle w:val="xDisclaimerText2"/>
              <w:framePr w:hSpace="0" w:wrap="auto" w:hAnchor="text" w:yAlign="inline"/>
              <w:suppressOverlap w:val="0"/>
            </w:pPr>
            <w:r w:rsidRPr="008E314A">
              <w:t>Parliamentary Budget</w:t>
            </w:r>
            <w:r>
              <w:t xml:space="preserve"> Office</w:t>
            </w:r>
          </w:p>
          <w:p w:rsidR="00961DBB" w:rsidRPr="008E314A" w:rsidRDefault="00961DBB" w:rsidP="0087390B">
            <w:pPr>
              <w:pStyle w:val="xDisclaimerText"/>
            </w:pPr>
            <w:r w:rsidRPr="008E314A">
              <w:t>Parliament House</w:t>
            </w:r>
          </w:p>
          <w:p w:rsidR="00961DBB" w:rsidRPr="008E314A" w:rsidRDefault="00961DBB" w:rsidP="0087390B">
            <w:pPr>
              <w:pStyle w:val="xDisclaimerText"/>
            </w:pPr>
            <w:r w:rsidRPr="008E314A">
              <w:t>PO Box 6010</w:t>
            </w:r>
          </w:p>
          <w:p w:rsidR="00961DBB" w:rsidRDefault="00961DBB" w:rsidP="0087390B">
            <w:pPr>
              <w:pStyle w:val="xDisclaimerText2"/>
              <w:framePr w:hSpace="0" w:wrap="auto" w:hAnchor="text" w:yAlign="inline"/>
              <w:suppressOverlap w:val="0"/>
            </w:pPr>
            <w:r w:rsidRPr="008E314A">
              <w:t>CANBERRA ACT</w:t>
            </w:r>
            <w:r>
              <w:t xml:space="preserve"> 2600</w:t>
            </w:r>
          </w:p>
          <w:p w:rsidR="00961DBB" w:rsidRPr="008E314A" w:rsidRDefault="00961DBB" w:rsidP="0087390B">
            <w:pPr>
              <w:pStyle w:val="xDisclaimerText"/>
            </w:pPr>
            <w:r>
              <w:t xml:space="preserve">Phone: (02) </w:t>
            </w:r>
            <w:r w:rsidRPr="008E314A">
              <w:t>6277 9500</w:t>
            </w:r>
          </w:p>
          <w:p w:rsidR="00961DBB" w:rsidRDefault="00961DBB" w:rsidP="0087390B">
            <w:pPr>
              <w:pStyle w:val="xDisclaimerText"/>
            </w:pPr>
            <w:r w:rsidRPr="008E314A">
              <w:t>Email: pbo@pbo.gov</w:t>
            </w:r>
            <w:r>
              <w:t>.au</w:t>
            </w:r>
          </w:p>
        </w:tc>
      </w:tr>
    </w:tbl>
    <w:p w:rsidR="00961DBB" w:rsidRDefault="00961DBB" w:rsidP="00961DBB"/>
    <w:p w:rsidR="00961DBB" w:rsidRDefault="00961DBB">
      <w:pPr>
        <w:sectPr w:rsidR="00961DBB" w:rsidSect="0081177F">
          <w:headerReference w:type="even" r:id="rId15"/>
          <w:headerReference w:type="default" r:id="rId16"/>
          <w:footerReference w:type="default" r:id="rId17"/>
          <w:pgSz w:w="11906" w:h="16838" w:code="9"/>
          <w:pgMar w:top="1361" w:right="1797" w:bottom="1474" w:left="1797" w:header="284" w:footer="454" w:gutter="0"/>
          <w:pgNumType w:fmt="lowerRoman"/>
          <w:cols w:space="708"/>
          <w:docGrid w:linePitch="360"/>
        </w:sectPr>
      </w:pPr>
    </w:p>
    <w:p w:rsidR="00961DBB" w:rsidRPr="00733970" w:rsidRDefault="00903E3F" w:rsidP="00733970">
      <w:pPr>
        <w:pStyle w:val="TOCHeading"/>
      </w:pPr>
      <w:r w:rsidRPr="00903E3F">
        <w:lastRenderedPageBreak/>
        <w:t>Contents</w:t>
      </w:r>
      <w:bookmarkStart w:id="3" w:name="_TOCMarker"/>
      <w:bookmarkEnd w:id="3"/>
    </w:p>
    <w:p w:rsidR="00585707" w:rsidRDefault="00D66EC0">
      <w:pPr>
        <w:pStyle w:val="TOC1"/>
        <w:rPr>
          <w:rFonts w:eastAsiaTheme="minorEastAsia"/>
          <w:b w:val="0"/>
          <w:color w:val="auto"/>
          <w:lang w:eastAsia="en-AU"/>
        </w:rPr>
      </w:pPr>
      <w:r>
        <w:rPr>
          <w:b w:val="0"/>
        </w:rPr>
        <w:fldChar w:fldCharType="begin"/>
      </w:r>
      <w:r>
        <w:rPr>
          <w:b w:val="0"/>
        </w:rPr>
        <w:instrText xml:space="preserve"> TOC \o "2-2" \h \z \t "Heading 1,1,Heading 1 No Numbering,1,Section Heading,5" </w:instrText>
      </w:r>
      <w:r>
        <w:rPr>
          <w:b w:val="0"/>
        </w:rPr>
        <w:fldChar w:fldCharType="separate"/>
      </w:r>
      <w:hyperlink w:anchor="_Toc468692627" w:history="1">
        <w:r w:rsidR="00585707" w:rsidRPr="00843E99">
          <w:rPr>
            <w:rStyle w:val="Hyperlink"/>
          </w:rPr>
          <w:t>Foreword</w:t>
        </w:r>
        <w:r w:rsidR="00585707">
          <w:rPr>
            <w:webHidden/>
          </w:rPr>
          <w:tab/>
        </w:r>
        <w:r w:rsidR="00585707">
          <w:rPr>
            <w:webHidden/>
          </w:rPr>
          <w:fldChar w:fldCharType="begin"/>
        </w:r>
        <w:r w:rsidR="00585707">
          <w:rPr>
            <w:webHidden/>
          </w:rPr>
          <w:instrText xml:space="preserve"> PAGEREF _Toc468692627 \h </w:instrText>
        </w:r>
        <w:r w:rsidR="00585707">
          <w:rPr>
            <w:webHidden/>
          </w:rPr>
        </w:r>
        <w:r w:rsidR="00585707">
          <w:rPr>
            <w:webHidden/>
          </w:rPr>
          <w:fldChar w:fldCharType="separate"/>
        </w:r>
        <w:r w:rsidR="000315E5">
          <w:rPr>
            <w:webHidden/>
          </w:rPr>
          <w:t>v</w:t>
        </w:r>
        <w:r w:rsidR="00585707">
          <w:rPr>
            <w:webHidden/>
          </w:rPr>
          <w:fldChar w:fldCharType="end"/>
        </w:r>
      </w:hyperlink>
    </w:p>
    <w:p w:rsidR="00585707" w:rsidRDefault="00C11274">
      <w:pPr>
        <w:pStyle w:val="TOC1"/>
        <w:rPr>
          <w:rFonts w:eastAsiaTheme="minorEastAsia"/>
          <w:b w:val="0"/>
          <w:color w:val="auto"/>
          <w:lang w:eastAsia="en-AU"/>
        </w:rPr>
      </w:pPr>
      <w:hyperlink w:anchor="_Toc468692628" w:history="1">
        <w:r w:rsidR="00585707" w:rsidRPr="00843E99">
          <w:rPr>
            <w:rStyle w:val="Hyperlink"/>
          </w:rPr>
          <w:t>Overview</w:t>
        </w:r>
        <w:r w:rsidR="00585707">
          <w:rPr>
            <w:webHidden/>
          </w:rPr>
          <w:tab/>
        </w:r>
        <w:r w:rsidR="00585707">
          <w:rPr>
            <w:webHidden/>
          </w:rPr>
          <w:fldChar w:fldCharType="begin"/>
        </w:r>
        <w:r w:rsidR="00585707">
          <w:rPr>
            <w:webHidden/>
          </w:rPr>
          <w:instrText xml:space="preserve"> PAGEREF _Toc468692628 \h </w:instrText>
        </w:r>
        <w:r w:rsidR="00585707">
          <w:rPr>
            <w:webHidden/>
          </w:rPr>
        </w:r>
        <w:r w:rsidR="00585707">
          <w:rPr>
            <w:webHidden/>
          </w:rPr>
          <w:fldChar w:fldCharType="separate"/>
        </w:r>
        <w:r w:rsidR="000315E5">
          <w:rPr>
            <w:webHidden/>
          </w:rPr>
          <w:t>vi</w:t>
        </w:r>
        <w:r w:rsidR="00585707">
          <w:rPr>
            <w:webHidden/>
          </w:rPr>
          <w:fldChar w:fldCharType="end"/>
        </w:r>
      </w:hyperlink>
    </w:p>
    <w:p w:rsidR="00585707" w:rsidRDefault="00C11274">
      <w:pPr>
        <w:pStyle w:val="TOC1"/>
        <w:rPr>
          <w:rFonts w:eastAsiaTheme="minorEastAsia"/>
          <w:b w:val="0"/>
          <w:color w:val="auto"/>
          <w:lang w:eastAsia="en-AU"/>
        </w:rPr>
      </w:pPr>
      <w:hyperlink w:anchor="_Toc468692629" w:history="1">
        <w:r w:rsidR="00585707" w:rsidRPr="00843E99">
          <w:rPr>
            <w:rStyle w:val="Hyperlink"/>
          </w:rPr>
          <w:t>1</w:t>
        </w:r>
        <w:r w:rsidR="00585707">
          <w:rPr>
            <w:rFonts w:eastAsiaTheme="minorEastAsia"/>
            <w:b w:val="0"/>
            <w:color w:val="auto"/>
            <w:lang w:eastAsia="en-AU"/>
          </w:rPr>
          <w:tab/>
        </w:r>
        <w:r w:rsidR="00585707" w:rsidRPr="00843E99">
          <w:rPr>
            <w:rStyle w:val="Hyperlink"/>
          </w:rPr>
          <w:t>Background</w:t>
        </w:r>
        <w:r w:rsidR="00585707">
          <w:rPr>
            <w:webHidden/>
          </w:rPr>
          <w:tab/>
        </w:r>
        <w:r w:rsidR="00585707">
          <w:rPr>
            <w:webHidden/>
          </w:rPr>
          <w:fldChar w:fldCharType="begin"/>
        </w:r>
        <w:r w:rsidR="00585707">
          <w:rPr>
            <w:webHidden/>
          </w:rPr>
          <w:instrText xml:space="preserve"> PAGEREF _Toc468692629 \h </w:instrText>
        </w:r>
        <w:r w:rsidR="00585707">
          <w:rPr>
            <w:webHidden/>
          </w:rPr>
        </w:r>
        <w:r w:rsidR="00585707">
          <w:rPr>
            <w:webHidden/>
          </w:rPr>
          <w:fldChar w:fldCharType="separate"/>
        </w:r>
        <w:r w:rsidR="000315E5">
          <w:rPr>
            <w:webHidden/>
          </w:rPr>
          <w:t>1</w:t>
        </w:r>
        <w:r w:rsidR="00585707">
          <w:rPr>
            <w:webHidden/>
          </w:rPr>
          <w:fldChar w:fldCharType="end"/>
        </w:r>
      </w:hyperlink>
    </w:p>
    <w:p w:rsidR="00585707" w:rsidRDefault="00C11274">
      <w:pPr>
        <w:pStyle w:val="TOC2"/>
        <w:rPr>
          <w:rFonts w:eastAsiaTheme="minorEastAsia"/>
          <w:szCs w:val="22"/>
          <w:lang w:eastAsia="en-AU"/>
        </w:rPr>
      </w:pPr>
      <w:hyperlink w:anchor="_Toc468692630" w:history="1">
        <w:r w:rsidR="00585707" w:rsidRPr="00843E99">
          <w:rPr>
            <w:rStyle w:val="Hyperlink"/>
          </w:rPr>
          <w:t>1.1</w:t>
        </w:r>
        <w:r w:rsidR="00585707">
          <w:rPr>
            <w:rFonts w:eastAsiaTheme="minorEastAsia"/>
            <w:szCs w:val="22"/>
            <w:lang w:eastAsia="en-AU"/>
          </w:rPr>
          <w:tab/>
        </w:r>
        <w:r w:rsidR="00585707" w:rsidRPr="00843E99">
          <w:rPr>
            <w:rStyle w:val="Hyperlink"/>
          </w:rPr>
          <w:t>Establishment of NBN Co Limited</w:t>
        </w:r>
        <w:r w:rsidR="00585707">
          <w:rPr>
            <w:webHidden/>
          </w:rPr>
          <w:tab/>
        </w:r>
        <w:r w:rsidR="00585707">
          <w:rPr>
            <w:webHidden/>
          </w:rPr>
          <w:fldChar w:fldCharType="begin"/>
        </w:r>
        <w:r w:rsidR="00585707">
          <w:rPr>
            <w:webHidden/>
          </w:rPr>
          <w:instrText xml:space="preserve"> PAGEREF _Toc468692630 \h </w:instrText>
        </w:r>
        <w:r w:rsidR="00585707">
          <w:rPr>
            <w:webHidden/>
          </w:rPr>
        </w:r>
        <w:r w:rsidR="00585707">
          <w:rPr>
            <w:webHidden/>
          </w:rPr>
          <w:fldChar w:fldCharType="separate"/>
        </w:r>
        <w:r w:rsidR="000315E5">
          <w:rPr>
            <w:webHidden/>
          </w:rPr>
          <w:t>1</w:t>
        </w:r>
        <w:r w:rsidR="00585707">
          <w:rPr>
            <w:webHidden/>
          </w:rPr>
          <w:fldChar w:fldCharType="end"/>
        </w:r>
      </w:hyperlink>
    </w:p>
    <w:p w:rsidR="00585707" w:rsidRDefault="00C11274">
      <w:pPr>
        <w:pStyle w:val="TOC2"/>
        <w:rPr>
          <w:rFonts w:eastAsiaTheme="minorEastAsia"/>
          <w:szCs w:val="22"/>
          <w:lang w:eastAsia="en-AU"/>
        </w:rPr>
      </w:pPr>
      <w:hyperlink w:anchor="_Toc468692631" w:history="1">
        <w:r w:rsidR="00585707" w:rsidRPr="00843E99">
          <w:rPr>
            <w:rStyle w:val="Hyperlink"/>
          </w:rPr>
          <w:t>1.2</w:t>
        </w:r>
        <w:r w:rsidR="00585707">
          <w:rPr>
            <w:rFonts w:eastAsiaTheme="minorEastAsia"/>
            <w:szCs w:val="22"/>
            <w:lang w:eastAsia="en-AU"/>
          </w:rPr>
          <w:tab/>
        </w:r>
        <w:r w:rsidR="00585707" w:rsidRPr="00843E99">
          <w:rPr>
            <w:rStyle w:val="Hyperlink"/>
          </w:rPr>
          <w:t>Legislation</w:t>
        </w:r>
        <w:r w:rsidR="00585707">
          <w:rPr>
            <w:webHidden/>
          </w:rPr>
          <w:tab/>
        </w:r>
        <w:r w:rsidR="00585707">
          <w:rPr>
            <w:webHidden/>
          </w:rPr>
          <w:fldChar w:fldCharType="begin"/>
        </w:r>
        <w:r w:rsidR="00585707">
          <w:rPr>
            <w:webHidden/>
          </w:rPr>
          <w:instrText xml:space="preserve"> PAGEREF _Toc468692631 \h </w:instrText>
        </w:r>
        <w:r w:rsidR="00585707">
          <w:rPr>
            <w:webHidden/>
          </w:rPr>
        </w:r>
        <w:r w:rsidR="00585707">
          <w:rPr>
            <w:webHidden/>
          </w:rPr>
          <w:fldChar w:fldCharType="separate"/>
        </w:r>
        <w:r w:rsidR="000315E5">
          <w:rPr>
            <w:webHidden/>
          </w:rPr>
          <w:t>1</w:t>
        </w:r>
        <w:r w:rsidR="00585707">
          <w:rPr>
            <w:webHidden/>
          </w:rPr>
          <w:fldChar w:fldCharType="end"/>
        </w:r>
      </w:hyperlink>
    </w:p>
    <w:p w:rsidR="00585707" w:rsidRDefault="00C11274">
      <w:pPr>
        <w:pStyle w:val="TOC2"/>
        <w:rPr>
          <w:rFonts w:eastAsiaTheme="minorEastAsia"/>
          <w:szCs w:val="22"/>
          <w:lang w:eastAsia="en-AU"/>
        </w:rPr>
      </w:pPr>
      <w:hyperlink w:anchor="_Toc468692632" w:history="1">
        <w:r w:rsidR="00585707" w:rsidRPr="00843E99">
          <w:rPr>
            <w:rStyle w:val="Hyperlink"/>
          </w:rPr>
          <w:t>1.3</w:t>
        </w:r>
        <w:r w:rsidR="00585707">
          <w:rPr>
            <w:rFonts w:eastAsiaTheme="minorEastAsia"/>
            <w:szCs w:val="22"/>
            <w:lang w:eastAsia="en-AU"/>
          </w:rPr>
          <w:tab/>
        </w:r>
        <w:r w:rsidR="00585707" w:rsidRPr="00843E99">
          <w:rPr>
            <w:rStyle w:val="Hyperlink"/>
          </w:rPr>
          <w:t>Funding and rollout</w:t>
        </w:r>
        <w:r w:rsidR="00585707">
          <w:rPr>
            <w:webHidden/>
          </w:rPr>
          <w:tab/>
        </w:r>
        <w:r w:rsidR="00585707">
          <w:rPr>
            <w:webHidden/>
          </w:rPr>
          <w:fldChar w:fldCharType="begin"/>
        </w:r>
        <w:r w:rsidR="00585707">
          <w:rPr>
            <w:webHidden/>
          </w:rPr>
          <w:instrText xml:space="preserve"> PAGEREF _Toc468692632 \h </w:instrText>
        </w:r>
        <w:r w:rsidR="00585707">
          <w:rPr>
            <w:webHidden/>
          </w:rPr>
        </w:r>
        <w:r w:rsidR="00585707">
          <w:rPr>
            <w:webHidden/>
          </w:rPr>
          <w:fldChar w:fldCharType="separate"/>
        </w:r>
        <w:r w:rsidR="000315E5">
          <w:rPr>
            <w:webHidden/>
          </w:rPr>
          <w:t>2</w:t>
        </w:r>
        <w:r w:rsidR="00585707">
          <w:rPr>
            <w:webHidden/>
          </w:rPr>
          <w:fldChar w:fldCharType="end"/>
        </w:r>
      </w:hyperlink>
    </w:p>
    <w:p w:rsidR="00585707" w:rsidRDefault="00C11274">
      <w:pPr>
        <w:pStyle w:val="TOC1"/>
        <w:rPr>
          <w:rFonts w:eastAsiaTheme="minorEastAsia"/>
          <w:b w:val="0"/>
          <w:color w:val="auto"/>
          <w:lang w:eastAsia="en-AU"/>
        </w:rPr>
      </w:pPr>
      <w:hyperlink w:anchor="_Toc468692633" w:history="1">
        <w:r w:rsidR="00585707" w:rsidRPr="00843E99">
          <w:rPr>
            <w:rStyle w:val="Hyperlink"/>
          </w:rPr>
          <w:t>2</w:t>
        </w:r>
        <w:r w:rsidR="00585707">
          <w:rPr>
            <w:rFonts w:eastAsiaTheme="minorEastAsia"/>
            <w:b w:val="0"/>
            <w:color w:val="auto"/>
            <w:lang w:eastAsia="en-AU"/>
          </w:rPr>
          <w:tab/>
        </w:r>
        <w:r w:rsidR="00585707" w:rsidRPr="00843E99">
          <w:rPr>
            <w:rStyle w:val="Hyperlink"/>
          </w:rPr>
          <w:t>Budget impact of the NBN</w:t>
        </w:r>
        <w:r w:rsidR="00585707">
          <w:rPr>
            <w:webHidden/>
          </w:rPr>
          <w:tab/>
        </w:r>
        <w:r w:rsidR="00585707">
          <w:rPr>
            <w:webHidden/>
          </w:rPr>
          <w:fldChar w:fldCharType="begin"/>
        </w:r>
        <w:r w:rsidR="00585707">
          <w:rPr>
            <w:webHidden/>
          </w:rPr>
          <w:instrText xml:space="preserve"> PAGEREF _Toc468692633 \h </w:instrText>
        </w:r>
        <w:r w:rsidR="00585707">
          <w:rPr>
            <w:webHidden/>
          </w:rPr>
        </w:r>
        <w:r w:rsidR="00585707">
          <w:rPr>
            <w:webHidden/>
          </w:rPr>
          <w:fldChar w:fldCharType="separate"/>
        </w:r>
        <w:r w:rsidR="000315E5">
          <w:rPr>
            <w:webHidden/>
          </w:rPr>
          <w:t>5</w:t>
        </w:r>
        <w:r w:rsidR="00585707">
          <w:rPr>
            <w:webHidden/>
          </w:rPr>
          <w:fldChar w:fldCharType="end"/>
        </w:r>
      </w:hyperlink>
    </w:p>
    <w:p w:rsidR="00585707" w:rsidRDefault="00C11274">
      <w:pPr>
        <w:pStyle w:val="TOC2"/>
        <w:rPr>
          <w:rFonts w:eastAsiaTheme="minorEastAsia"/>
          <w:szCs w:val="22"/>
          <w:lang w:eastAsia="en-AU"/>
        </w:rPr>
      </w:pPr>
      <w:hyperlink w:anchor="_Toc468692634" w:history="1">
        <w:r w:rsidR="00585707" w:rsidRPr="00843E99">
          <w:rPr>
            <w:rStyle w:val="Hyperlink"/>
          </w:rPr>
          <w:t>2.1</w:t>
        </w:r>
        <w:r w:rsidR="00585707">
          <w:rPr>
            <w:rFonts w:eastAsiaTheme="minorEastAsia"/>
            <w:szCs w:val="22"/>
            <w:lang w:eastAsia="en-AU"/>
          </w:rPr>
          <w:tab/>
        </w:r>
        <w:r w:rsidR="00585707" w:rsidRPr="00843E99">
          <w:rPr>
            <w:rStyle w:val="Hyperlink"/>
          </w:rPr>
          <w:t>Impact on underlying cash balance</w:t>
        </w:r>
        <w:r w:rsidR="00585707">
          <w:rPr>
            <w:webHidden/>
          </w:rPr>
          <w:tab/>
        </w:r>
        <w:r w:rsidR="00585707">
          <w:rPr>
            <w:webHidden/>
          </w:rPr>
          <w:fldChar w:fldCharType="begin"/>
        </w:r>
        <w:r w:rsidR="00585707">
          <w:rPr>
            <w:webHidden/>
          </w:rPr>
          <w:instrText xml:space="preserve"> PAGEREF _Toc468692634 \h </w:instrText>
        </w:r>
        <w:r w:rsidR="00585707">
          <w:rPr>
            <w:webHidden/>
          </w:rPr>
        </w:r>
        <w:r w:rsidR="00585707">
          <w:rPr>
            <w:webHidden/>
          </w:rPr>
          <w:fldChar w:fldCharType="separate"/>
        </w:r>
        <w:r w:rsidR="000315E5">
          <w:rPr>
            <w:webHidden/>
          </w:rPr>
          <w:t>5</w:t>
        </w:r>
        <w:r w:rsidR="00585707">
          <w:rPr>
            <w:webHidden/>
          </w:rPr>
          <w:fldChar w:fldCharType="end"/>
        </w:r>
      </w:hyperlink>
    </w:p>
    <w:p w:rsidR="00585707" w:rsidRDefault="00C11274">
      <w:pPr>
        <w:pStyle w:val="TOC2"/>
        <w:rPr>
          <w:rFonts w:eastAsiaTheme="minorEastAsia"/>
          <w:szCs w:val="22"/>
          <w:lang w:eastAsia="en-AU"/>
        </w:rPr>
      </w:pPr>
      <w:hyperlink w:anchor="_Toc468692635" w:history="1">
        <w:r w:rsidR="00585707" w:rsidRPr="00843E99">
          <w:rPr>
            <w:rStyle w:val="Hyperlink"/>
          </w:rPr>
          <w:t>2.2</w:t>
        </w:r>
        <w:r w:rsidR="00585707">
          <w:rPr>
            <w:rFonts w:eastAsiaTheme="minorEastAsia"/>
            <w:szCs w:val="22"/>
            <w:lang w:eastAsia="en-AU"/>
          </w:rPr>
          <w:tab/>
        </w:r>
        <w:r w:rsidR="00585707" w:rsidRPr="00843E99">
          <w:rPr>
            <w:rStyle w:val="Hyperlink"/>
          </w:rPr>
          <w:t>Impact on net worth</w:t>
        </w:r>
        <w:r w:rsidR="00585707">
          <w:rPr>
            <w:webHidden/>
          </w:rPr>
          <w:tab/>
        </w:r>
        <w:r w:rsidR="00585707">
          <w:rPr>
            <w:webHidden/>
          </w:rPr>
          <w:fldChar w:fldCharType="begin"/>
        </w:r>
        <w:r w:rsidR="00585707">
          <w:rPr>
            <w:webHidden/>
          </w:rPr>
          <w:instrText xml:space="preserve"> PAGEREF _Toc468692635 \h </w:instrText>
        </w:r>
        <w:r w:rsidR="00585707">
          <w:rPr>
            <w:webHidden/>
          </w:rPr>
        </w:r>
        <w:r w:rsidR="00585707">
          <w:rPr>
            <w:webHidden/>
          </w:rPr>
          <w:fldChar w:fldCharType="separate"/>
        </w:r>
        <w:r w:rsidR="000315E5">
          <w:rPr>
            <w:webHidden/>
          </w:rPr>
          <w:t>6</w:t>
        </w:r>
        <w:r w:rsidR="00585707">
          <w:rPr>
            <w:webHidden/>
          </w:rPr>
          <w:fldChar w:fldCharType="end"/>
        </w:r>
      </w:hyperlink>
    </w:p>
    <w:p w:rsidR="00585707" w:rsidRPr="00585707" w:rsidRDefault="00C11274">
      <w:pPr>
        <w:pStyle w:val="TOC1"/>
        <w:rPr>
          <w:rFonts w:eastAsiaTheme="minorEastAsia"/>
          <w:b w:val="0"/>
          <w:color w:val="auto"/>
          <w:lang w:eastAsia="en-AU"/>
        </w:rPr>
      </w:pPr>
      <w:hyperlink w:anchor="_Toc468692636" w:history="1">
        <w:r w:rsidR="00585707" w:rsidRPr="00585707">
          <w:rPr>
            <w:rStyle w:val="Hyperlink"/>
          </w:rPr>
          <w:t>3</w:t>
        </w:r>
        <w:r w:rsidR="00585707" w:rsidRPr="00585707">
          <w:rPr>
            <w:rFonts w:eastAsiaTheme="minorEastAsia"/>
            <w:b w:val="0"/>
            <w:color w:val="auto"/>
            <w:lang w:eastAsia="en-AU"/>
          </w:rPr>
          <w:tab/>
        </w:r>
        <w:r w:rsidR="00585707" w:rsidRPr="00585707">
          <w:rPr>
            <w:rStyle w:val="Hyperlink"/>
          </w:rPr>
          <w:t>Budget risks</w:t>
        </w:r>
        <w:r w:rsidR="00585707" w:rsidRPr="00585707">
          <w:rPr>
            <w:webHidden/>
          </w:rPr>
          <w:tab/>
        </w:r>
        <w:r w:rsidR="00585707" w:rsidRPr="00585707">
          <w:rPr>
            <w:webHidden/>
          </w:rPr>
          <w:fldChar w:fldCharType="begin"/>
        </w:r>
        <w:r w:rsidR="00585707" w:rsidRPr="00585707">
          <w:rPr>
            <w:webHidden/>
          </w:rPr>
          <w:instrText xml:space="preserve"> PAGEREF _Toc468692636 \h </w:instrText>
        </w:r>
        <w:r w:rsidR="00585707" w:rsidRPr="00585707">
          <w:rPr>
            <w:webHidden/>
          </w:rPr>
        </w:r>
        <w:r w:rsidR="00585707" w:rsidRPr="00585707">
          <w:rPr>
            <w:webHidden/>
          </w:rPr>
          <w:fldChar w:fldCharType="separate"/>
        </w:r>
        <w:r w:rsidR="000315E5">
          <w:rPr>
            <w:webHidden/>
          </w:rPr>
          <w:t>9</w:t>
        </w:r>
        <w:r w:rsidR="00585707" w:rsidRPr="00585707">
          <w:rPr>
            <w:webHidden/>
          </w:rPr>
          <w:fldChar w:fldCharType="end"/>
        </w:r>
      </w:hyperlink>
    </w:p>
    <w:p w:rsidR="00585707" w:rsidRDefault="00C11274">
      <w:pPr>
        <w:pStyle w:val="TOC2"/>
        <w:rPr>
          <w:rFonts w:eastAsiaTheme="minorEastAsia"/>
          <w:szCs w:val="22"/>
          <w:lang w:eastAsia="en-AU"/>
        </w:rPr>
      </w:pPr>
      <w:hyperlink w:anchor="_Toc468692637" w:history="1">
        <w:r w:rsidR="00585707" w:rsidRPr="00585707">
          <w:rPr>
            <w:rStyle w:val="Hyperlink"/>
          </w:rPr>
          <w:t>3.1</w:t>
        </w:r>
        <w:r w:rsidR="00585707" w:rsidRPr="00585707">
          <w:rPr>
            <w:rFonts w:eastAsiaTheme="minorEastAsia"/>
            <w:szCs w:val="22"/>
            <w:lang w:eastAsia="en-AU"/>
          </w:rPr>
          <w:tab/>
        </w:r>
        <w:r w:rsidR="00585707" w:rsidRPr="00585707">
          <w:rPr>
            <w:rStyle w:val="Hyperlink"/>
          </w:rPr>
          <w:t>Long term value of NBN Co</w:t>
        </w:r>
        <w:r w:rsidR="00585707" w:rsidRPr="00585707">
          <w:rPr>
            <w:webHidden/>
          </w:rPr>
          <w:tab/>
        </w:r>
        <w:r w:rsidR="00585707" w:rsidRPr="00585707">
          <w:rPr>
            <w:webHidden/>
          </w:rPr>
          <w:fldChar w:fldCharType="begin"/>
        </w:r>
        <w:r w:rsidR="00585707" w:rsidRPr="00585707">
          <w:rPr>
            <w:webHidden/>
          </w:rPr>
          <w:instrText xml:space="preserve"> PAGEREF _Toc468692637 \h </w:instrText>
        </w:r>
        <w:r w:rsidR="00585707" w:rsidRPr="00585707">
          <w:rPr>
            <w:webHidden/>
          </w:rPr>
        </w:r>
        <w:r w:rsidR="00585707" w:rsidRPr="00585707">
          <w:rPr>
            <w:webHidden/>
          </w:rPr>
          <w:fldChar w:fldCharType="separate"/>
        </w:r>
        <w:r w:rsidR="000315E5">
          <w:rPr>
            <w:webHidden/>
          </w:rPr>
          <w:t>9</w:t>
        </w:r>
        <w:r w:rsidR="00585707" w:rsidRPr="00585707">
          <w:rPr>
            <w:webHidden/>
          </w:rPr>
          <w:fldChar w:fldCharType="end"/>
        </w:r>
      </w:hyperlink>
    </w:p>
    <w:p w:rsidR="00585707" w:rsidRDefault="00C11274">
      <w:pPr>
        <w:pStyle w:val="TOC2"/>
        <w:rPr>
          <w:rFonts w:eastAsiaTheme="minorEastAsia"/>
          <w:szCs w:val="22"/>
          <w:lang w:eastAsia="en-AU"/>
        </w:rPr>
      </w:pPr>
      <w:hyperlink w:anchor="_Toc468692638" w:history="1">
        <w:r w:rsidR="00585707" w:rsidRPr="00843E99">
          <w:rPr>
            <w:rStyle w:val="Hyperlink"/>
          </w:rPr>
          <w:t>3.2</w:t>
        </w:r>
        <w:r w:rsidR="00585707">
          <w:rPr>
            <w:rFonts w:eastAsiaTheme="minorEastAsia"/>
            <w:szCs w:val="22"/>
            <w:lang w:eastAsia="en-AU"/>
          </w:rPr>
          <w:tab/>
        </w:r>
        <w:r w:rsidR="00585707" w:rsidRPr="00843E99">
          <w:rPr>
            <w:rStyle w:val="Hyperlink"/>
          </w:rPr>
          <w:t>Contingent liabilities</w:t>
        </w:r>
        <w:r w:rsidR="00585707">
          <w:rPr>
            <w:webHidden/>
          </w:rPr>
          <w:tab/>
        </w:r>
        <w:r w:rsidR="00585707">
          <w:rPr>
            <w:webHidden/>
          </w:rPr>
          <w:fldChar w:fldCharType="begin"/>
        </w:r>
        <w:r w:rsidR="00585707">
          <w:rPr>
            <w:webHidden/>
          </w:rPr>
          <w:instrText xml:space="preserve"> PAGEREF _Toc468692638 \h </w:instrText>
        </w:r>
        <w:r w:rsidR="00585707">
          <w:rPr>
            <w:webHidden/>
          </w:rPr>
        </w:r>
        <w:r w:rsidR="00585707">
          <w:rPr>
            <w:webHidden/>
          </w:rPr>
          <w:fldChar w:fldCharType="separate"/>
        </w:r>
        <w:r w:rsidR="000315E5">
          <w:rPr>
            <w:webHidden/>
          </w:rPr>
          <w:t>9</w:t>
        </w:r>
        <w:r w:rsidR="00585707">
          <w:rPr>
            <w:webHidden/>
          </w:rPr>
          <w:fldChar w:fldCharType="end"/>
        </w:r>
      </w:hyperlink>
    </w:p>
    <w:p w:rsidR="00DF743D" w:rsidRDefault="00DF743D" w:rsidP="00903E3F">
      <w:pPr>
        <w:rPr>
          <w:b/>
          <w:noProof/>
          <w:color w:val="2B3B5F" w:themeColor="text2"/>
        </w:rPr>
      </w:pPr>
    </w:p>
    <w:p w:rsidR="00DF743D" w:rsidRDefault="00DF743D" w:rsidP="00903E3F">
      <w:pPr>
        <w:rPr>
          <w:b/>
          <w:noProof/>
          <w:color w:val="2B3B5F" w:themeColor="text2"/>
        </w:rPr>
        <w:sectPr w:rsidR="00DF743D" w:rsidSect="00DF743D">
          <w:headerReference w:type="even" r:id="rId18"/>
          <w:headerReference w:type="default" r:id="rId19"/>
          <w:footerReference w:type="even" r:id="rId20"/>
          <w:footerReference w:type="default" r:id="rId21"/>
          <w:pgSz w:w="11906" w:h="16838" w:code="9"/>
          <w:pgMar w:top="1361" w:right="1797" w:bottom="1474" w:left="1797" w:header="283" w:footer="454" w:gutter="0"/>
          <w:pgNumType w:fmt="lowerRoman"/>
          <w:cols w:space="708"/>
          <w:docGrid w:linePitch="360"/>
        </w:sectPr>
      </w:pPr>
    </w:p>
    <w:p w:rsidR="004F1297" w:rsidRDefault="00D66EC0" w:rsidP="00DF743D">
      <w:pPr>
        <w:pStyle w:val="Heading1NoNumbering"/>
      </w:pPr>
      <w:r>
        <w:rPr>
          <w:b/>
          <w:noProof/>
        </w:rPr>
        <w:lastRenderedPageBreak/>
        <w:fldChar w:fldCharType="end"/>
      </w:r>
      <w:bookmarkStart w:id="4" w:name="_Toc463938650"/>
      <w:bookmarkStart w:id="5" w:name="_Toc464813465"/>
      <w:bookmarkStart w:id="6" w:name="_Toc465071556"/>
      <w:bookmarkStart w:id="7" w:name="_Toc465081994"/>
      <w:bookmarkStart w:id="8" w:name="_Toc465082199"/>
      <w:bookmarkStart w:id="9" w:name="_Toc468692627"/>
      <w:r w:rsidR="00E915E6">
        <w:t>Foreword</w:t>
      </w:r>
      <w:bookmarkStart w:id="10" w:name="_ForewordMarker"/>
      <w:bookmarkEnd w:id="4"/>
      <w:bookmarkEnd w:id="5"/>
      <w:bookmarkEnd w:id="6"/>
      <w:bookmarkEnd w:id="7"/>
      <w:bookmarkEnd w:id="8"/>
      <w:bookmarkEnd w:id="9"/>
      <w:bookmarkEnd w:id="10"/>
    </w:p>
    <w:p w:rsidR="00AF09CA" w:rsidRDefault="00AF09CA" w:rsidP="00AF09CA">
      <w:pPr>
        <w:pStyle w:val="BodyText"/>
      </w:pPr>
      <w:r w:rsidRPr="00AF09CA">
        <w:t xml:space="preserve">The </w:t>
      </w:r>
      <w:r>
        <w:t xml:space="preserve">National Broadband Network </w:t>
      </w:r>
      <w:r w:rsidR="00470286">
        <w:t>(</w:t>
      </w:r>
      <w:r w:rsidRPr="00AF09CA">
        <w:t>NBN</w:t>
      </w:r>
      <w:r w:rsidR="00470286">
        <w:t>)</w:t>
      </w:r>
      <w:r w:rsidRPr="00AF09CA">
        <w:t xml:space="preserve"> is a major infrastructure investment</w:t>
      </w:r>
      <w:r w:rsidR="00470286">
        <w:t xml:space="preserve"> for the </w:t>
      </w:r>
      <w:r w:rsidR="001B0F4D">
        <w:t>Australian Government</w:t>
      </w:r>
      <w:r>
        <w:t>.</w:t>
      </w:r>
    </w:p>
    <w:p w:rsidR="00254AD2" w:rsidRDefault="00254AD2" w:rsidP="00AF09CA">
      <w:pPr>
        <w:pStyle w:val="BodyText"/>
      </w:pPr>
      <w:r>
        <w:t xml:space="preserve">This paper discusses the budget impact of the Commonwealth’s </w:t>
      </w:r>
      <w:r w:rsidR="004E3B49">
        <w:t>equity and debt financing of</w:t>
      </w:r>
      <w:r>
        <w:t xml:space="preserve"> the NBN and the </w:t>
      </w:r>
      <w:r w:rsidR="00060AC5">
        <w:t xml:space="preserve">associated fiscal </w:t>
      </w:r>
      <w:r>
        <w:t>risks</w:t>
      </w:r>
      <w:r w:rsidR="00060AC5">
        <w:t>.</w:t>
      </w:r>
    </w:p>
    <w:p w:rsidR="00AF09CA" w:rsidRDefault="00AF09CA" w:rsidP="00AF09CA">
      <w:pPr>
        <w:pStyle w:val="BodyText"/>
      </w:pPr>
      <w:r w:rsidRPr="00227D7D">
        <w:t>I would like to thank the PBO staff involved in the preparation of this report</w:t>
      </w:r>
      <w:r w:rsidR="005F5C37">
        <w:t xml:space="preserve">, namely </w:t>
      </w:r>
      <w:r>
        <w:t>Tim Pyne, Paul </w:t>
      </w:r>
      <w:r w:rsidRPr="00227D7D">
        <w:t xml:space="preserve">Gardiner, </w:t>
      </w:r>
      <w:r>
        <w:t>Lok Potticary and Liz Wakerly</w:t>
      </w:r>
      <w:r w:rsidRPr="00227D7D">
        <w:t>.  The report was prepared for publication by Louise</w:t>
      </w:r>
      <w:r>
        <w:t> </w:t>
      </w:r>
      <w:r w:rsidRPr="00227D7D">
        <w:t>Milligan.</w:t>
      </w:r>
    </w:p>
    <w:p w:rsidR="00AF09CA" w:rsidRDefault="00AF09CA" w:rsidP="00AF09CA">
      <w:pPr>
        <w:spacing w:before="960"/>
      </w:pPr>
      <w:r>
        <w:t>Phil Bowen PSM FCPA</w:t>
      </w:r>
    </w:p>
    <w:p w:rsidR="00AF09CA" w:rsidRDefault="00AF09CA" w:rsidP="00AF09CA">
      <w:pPr>
        <w:spacing w:after="114"/>
      </w:pPr>
      <w:r>
        <w:t>Parliamentary Budget Officer</w:t>
      </w:r>
    </w:p>
    <w:sdt>
      <w:sdtPr>
        <w:alias w:val="Date"/>
        <w:tag w:val="Date"/>
        <w:id w:val="-226846581"/>
        <w:placeholder>
          <w:docPart w:val="E16720C8610347139D96758891AF37EE"/>
        </w:placeholder>
        <w:date w:fullDate="2016-12-14T00:00:00Z">
          <w:dateFormat w:val="d MMMM yyyy"/>
          <w:lid w:val="en-AU"/>
          <w:storeMappedDataAs w:val="dateTime"/>
          <w:calendar w:val="gregorian"/>
        </w:date>
      </w:sdtPr>
      <w:sdtEndPr/>
      <w:sdtContent>
        <w:p w:rsidR="00EA6EB3" w:rsidRDefault="004C7E0E" w:rsidP="00351F62">
          <w:r>
            <w:t>14 December 2016</w:t>
          </w:r>
        </w:p>
      </w:sdtContent>
    </w:sdt>
    <w:p w:rsidR="00B75BF9" w:rsidRDefault="00B75BF9" w:rsidP="00351F62"/>
    <w:p w:rsidR="00EA6EB3" w:rsidRDefault="00EA6EB3">
      <w:pPr>
        <w:sectPr w:rsidR="00EA6EB3" w:rsidSect="00DF743D">
          <w:headerReference w:type="even" r:id="rId22"/>
          <w:headerReference w:type="default" r:id="rId23"/>
          <w:footerReference w:type="even" r:id="rId24"/>
          <w:footerReference w:type="default" r:id="rId25"/>
          <w:type w:val="oddPage"/>
          <w:pgSz w:w="11906" w:h="16838" w:code="9"/>
          <w:pgMar w:top="1361" w:right="1797" w:bottom="1474" w:left="1797" w:header="283" w:footer="454" w:gutter="0"/>
          <w:pgNumType w:fmt="lowerRoman"/>
          <w:cols w:space="708"/>
          <w:docGrid w:linePitch="360"/>
        </w:sectPr>
      </w:pPr>
    </w:p>
    <w:p w:rsidR="00903E3F" w:rsidRPr="00C51D0B" w:rsidRDefault="000A348F" w:rsidP="00EA6EB3">
      <w:pPr>
        <w:pStyle w:val="Heading1NoNumbering"/>
      </w:pPr>
      <w:bookmarkStart w:id="11" w:name="_Toc463938651"/>
      <w:bookmarkStart w:id="12" w:name="_Toc464813466"/>
      <w:bookmarkStart w:id="13" w:name="_Toc465071557"/>
      <w:bookmarkStart w:id="14" w:name="_Toc465081995"/>
      <w:bookmarkStart w:id="15" w:name="_Toc465082200"/>
      <w:bookmarkStart w:id="16" w:name="_Toc468692628"/>
      <w:r w:rsidRPr="00C51D0B">
        <w:lastRenderedPageBreak/>
        <w:t>Overview</w:t>
      </w:r>
      <w:bookmarkStart w:id="17" w:name="_OverviewMarker"/>
      <w:bookmarkEnd w:id="11"/>
      <w:bookmarkEnd w:id="12"/>
      <w:bookmarkEnd w:id="13"/>
      <w:bookmarkEnd w:id="14"/>
      <w:bookmarkEnd w:id="15"/>
      <w:bookmarkEnd w:id="16"/>
      <w:bookmarkEnd w:id="17"/>
    </w:p>
    <w:p w:rsidR="00D57730" w:rsidRDefault="006563F7" w:rsidP="009B0386">
      <w:pPr>
        <w:pStyle w:val="OverviewBodyText"/>
      </w:pPr>
      <w:r>
        <w:t>T</w:t>
      </w:r>
      <w:r w:rsidR="00CD4356">
        <w:t>he Australian Government ha</w:t>
      </w:r>
      <w:r>
        <w:t xml:space="preserve">s committed to provide </w:t>
      </w:r>
      <w:r w:rsidR="00CD4356">
        <w:t>$</w:t>
      </w:r>
      <w:r>
        <w:t>29.5</w:t>
      </w:r>
      <w:r w:rsidR="00CD4356">
        <w:t xml:space="preserve"> billion in equity funding to NBN</w:t>
      </w:r>
      <w:r w:rsidR="00DF743D">
        <w:t> </w:t>
      </w:r>
      <w:r w:rsidR="00CD4356">
        <w:t>Co Limited (NBN Co)</w:t>
      </w:r>
      <w:r>
        <w:t xml:space="preserve"> for the rollout of </w:t>
      </w:r>
      <w:r w:rsidR="00CD4356">
        <w:t>the National Broadband Network (NBN</w:t>
      </w:r>
      <w:r>
        <w:t>) by 2020</w:t>
      </w:r>
      <w:r w:rsidR="003C590C">
        <w:t xml:space="preserve">.  </w:t>
      </w:r>
      <w:r w:rsidR="00C070D6">
        <w:t>T</w:t>
      </w:r>
      <w:r w:rsidR="003C590C">
        <w:t xml:space="preserve">he Government </w:t>
      </w:r>
      <w:r w:rsidR="00C070D6">
        <w:t xml:space="preserve">also </w:t>
      </w:r>
      <w:r w:rsidR="00D169E0">
        <w:t xml:space="preserve">recently </w:t>
      </w:r>
      <w:r w:rsidR="003C590C">
        <w:t>agreed to provide NBN Co with a</w:t>
      </w:r>
      <w:r w:rsidR="00C070D6">
        <w:t xml:space="preserve"> loan of </w:t>
      </w:r>
      <w:r w:rsidR="00B762B7">
        <w:t>$19.</w:t>
      </w:r>
      <w:r w:rsidR="004440F2">
        <w:t xml:space="preserve">5 </w:t>
      </w:r>
      <w:r w:rsidR="00B762B7">
        <w:t>billion</w:t>
      </w:r>
      <w:r w:rsidR="003C590C">
        <w:t xml:space="preserve"> to </w:t>
      </w:r>
      <w:r w:rsidR="00C070D6">
        <w:t xml:space="preserve">complete the </w:t>
      </w:r>
      <w:r w:rsidR="000A0DE7">
        <w:t xml:space="preserve">NBN </w:t>
      </w:r>
      <w:r w:rsidR="00C070D6">
        <w:t xml:space="preserve">rollout at an </w:t>
      </w:r>
      <w:r w:rsidR="00756635">
        <w:t xml:space="preserve">estimated </w:t>
      </w:r>
      <w:r w:rsidR="00C070D6">
        <w:t xml:space="preserve">total </w:t>
      </w:r>
      <w:r w:rsidR="00756635">
        <w:t>cost of $</w:t>
      </w:r>
      <w:r w:rsidR="001F2B30">
        <w:t>4</w:t>
      </w:r>
      <w:r w:rsidR="004440F2">
        <w:t>9</w:t>
      </w:r>
      <w:r w:rsidR="00756635">
        <w:t xml:space="preserve"> billion</w:t>
      </w:r>
      <w:r w:rsidR="00D169E0">
        <w:t>.</w:t>
      </w:r>
    </w:p>
    <w:p w:rsidR="000550E3" w:rsidRDefault="00D57730" w:rsidP="009B0386">
      <w:pPr>
        <w:pStyle w:val="OverviewBodyText"/>
      </w:pPr>
      <w:r>
        <w:t xml:space="preserve">As at 30 June 2016, the Government had contributed $20.3 billion in equity funding </w:t>
      </w:r>
      <w:r w:rsidR="00CF43E3">
        <w:t xml:space="preserve">to </w:t>
      </w:r>
      <w:r>
        <w:t>NBN</w:t>
      </w:r>
      <w:r w:rsidR="00585707">
        <w:t> </w:t>
      </w:r>
      <w:r>
        <w:t>Co</w:t>
      </w:r>
      <w:r w:rsidR="00CF43E3">
        <w:t xml:space="preserve">.  </w:t>
      </w:r>
      <w:r w:rsidR="000E7908">
        <w:t>T</w:t>
      </w:r>
      <w:r w:rsidR="00CF43E3">
        <w:t xml:space="preserve">he Commonwealth’s equity in NBN Co </w:t>
      </w:r>
      <w:r w:rsidR="000E7908">
        <w:t xml:space="preserve">at that time </w:t>
      </w:r>
      <w:r w:rsidR="00CF43E3">
        <w:t>stood at $13.1</w:t>
      </w:r>
      <w:r w:rsidR="00A40FB6">
        <w:t> </w:t>
      </w:r>
      <w:r w:rsidR="00CF43E3">
        <w:t>billion</w:t>
      </w:r>
      <w:r w:rsidR="000550E3">
        <w:t>, representing a $7.2 billion deterioration in the Commonweal</w:t>
      </w:r>
      <w:r w:rsidR="00DF743D">
        <w:t>th’s equity holding in NBN Co.</w:t>
      </w:r>
    </w:p>
    <w:p w:rsidR="00255F46" w:rsidRDefault="000550E3" w:rsidP="009B0386">
      <w:pPr>
        <w:pStyle w:val="OverviewBodyText"/>
      </w:pPr>
      <w:r>
        <w:t>The deterioration in the Commonwealth’s equity is</w:t>
      </w:r>
      <w:r w:rsidR="00CF43E3">
        <w:t xml:space="preserve"> principally due to </w:t>
      </w:r>
      <w:r>
        <w:t xml:space="preserve">NBN Co </w:t>
      </w:r>
      <w:r w:rsidR="00CF43E3">
        <w:t>accumulat</w:t>
      </w:r>
      <w:r w:rsidR="00434023">
        <w:t>ing</w:t>
      </w:r>
      <w:r w:rsidR="00CF43E3">
        <w:t xml:space="preserve"> losses </w:t>
      </w:r>
      <w:r>
        <w:t xml:space="preserve">totalling </w:t>
      </w:r>
      <w:r w:rsidR="00CF43E3">
        <w:t>$8.3 billion</w:t>
      </w:r>
      <w:r w:rsidR="00555368">
        <w:t xml:space="preserve"> </w:t>
      </w:r>
      <w:r>
        <w:t xml:space="preserve">as at 30 June 2016 </w:t>
      </w:r>
      <w:r w:rsidR="00555368">
        <w:t>(</w:t>
      </w:r>
      <w:r w:rsidR="00555368" w:rsidRPr="00F47363">
        <w:t xml:space="preserve">see </w:t>
      </w:r>
      <w:r w:rsidR="00F47363">
        <w:rPr>
          <w:highlight w:val="yellow"/>
        </w:rPr>
        <w:fldChar w:fldCharType="begin"/>
      </w:r>
      <w:r w:rsidR="00F47363">
        <w:rPr>
          <w:highlight w:val="yellow"/>
        </w:rPr>
        <w:instrText xml:space="preserve"> REF _Ref468708622 \h </w:instrText>
      </w:r>
      <w:r w:rsidR="00F47363">
        <w:rPr>
          <w:highlight w:val="yellow"/>
        </w:rPr>
      </w:r>
      <w:r w:rsidR="00F47363">
        <w:rPr>
          <w:highlight w:val="yellow"/>
        </w:rPr>
        <w:fldChar w:fldCharType="separate"/>
      </w:r>
      <w:r w:rsidR="006E530F" w:rsidRPr="00F47363">
        <w:t xml:space="preserve">Figure </w:t>
      </w:r>
      <w:r w:rsidR="006E530F">
        <w:rPr>
          <w:noProof/>
        </w:rPr>
        <w:t>2</w:t>
      </w:r>
      <w:r w:rsidR="006E530F" w:rsidRPr="00F47363">
        <w:t>–</w:t>
      </w:r>
      <w:r w:rsidR="006E530F">
        <w:rPr>
          <w:noProof/>
        </w:rPr>
        <w:t>2</w:t>
      </w:r>
      <w:r w:rsidR="00F47363">
        <w:rPr>
          <w:highlight w:val="yellow"/>
        </w:rPr>
        <w:fldChar w:fldCharType="end"/>
      </w:r>
      <w:r w:rsidR="00555368" w:rsidRPr="001D0997">
        <w:t>, page </w:t>
      </w:r>
      <w:r w:rsidR="001D0997" w:rsidRPr="001D0997">
        <w:t>7</w:t>
      </w:r>
      <w:r w:rsidR="00555368">
        <w:t>)</w:t>
      </w:r>
      <w:r w:rsidR="00CF43E3">
        <w:t>.</w:t>
      </w:r>
      <w:r w:rsidR="003F6508">
        <w:t xml:space="preserve">  </w:t>
      </w:r>
      <w:r w:rsidR="00921F4B">
        <w:t>These</w:t>
      </w:r>
      <w:r w:rsidR="0080468D">
        <w:t xml:space="preserve"> losses reflect the early years of </w:t>
      </w:r>
      <w:r w:rsidR="00D10145">
        <w:t xml:space="preserve">the rollout of the </w:t>
      </w:r>
      <w:r w:rsidR="0080468D">
        <w:t>NBN</w:t>
      </w:r>
      <w:r w:rsidR="00D10145">
        <w:t>.</w:t>
      </w:r>
      <w:r w:rsidR="00921F4B">
        <w:t xml:space="preserve"> </w:t>
      </w:r>
      <w:r w:rsidR="00C77941">
        <w:t xml:space="preserve"> </w:t>
      </w:r>
      <w:r w:rsidR="003F6508">
        <w:t>Th</w:t>
      </w:r>
      <w:r w:rsidR="00D10145">
        <w:t>e</w:t>
      </w:r>
      <w:r>
        <w:t xml:space="preserve"> deterioration </w:t>
      </w:r>
      <w:r w:rsidR="003F6508">
        <w:t xml:space="preserve">in the Commonwealth’s equity in NBN Co is reflected in the Commonwealth’s </w:t>
      </w:r>
      <w:r>
        <w:t xml:space="preserve">aggregate </w:t>
      </w:r>
      <w:r w:rsidR="003F6508">
        <w:t>net worth</w:t>
      </w:r>
      <w:r w:rsidR="002B2E63">
        <w:t xml:space="preserve"> in its balance sheet</w:t>
      </w:r>
      <w:r w:rsidR="000F60DF">
        <w:t xml:space="preserve"> </w:t>
      </w:r>
      <w:r w:rsidR="00D10145">
        <w:t xml:space="preserve">and the Department of Communications and the Arts’ </w:t>
      </w:r>
      <w:r w:rsidR="00434023">
        <w:t xml:space="preserve">annual </w:t>
      </w:r>
      <w:r w:rsidR="00D10145">
        <w:t xml:space="preserve">financial statements.  It </w:t>
      </w:r>
      <w:r>
        <w:t xml:space="preserve">is </w:t>
      </w:r>
      <w:r w:rsidR="000F60DF">
        <w:t>not separately identified in the budget papers</w:t>
      </w:r>
      <w:r w:rsidR="003F6508">
        <w:t>.</w:t>
      </w:r>
    </w:p>
    <w:p w:rsidR="000F60DF" w:rsidRDefault="003F6508" w:rsidP="009B0386">
      <w:pPr>
        <w:pStyle w:val="OverviewBodyText"/>
      </w:pPr>
      <w:r>
        <w:t>The annual cost to the budget</w:t>
      </w:r>
      <w:r w:rsidR="004440F2">
        <w:t xml:space="preserve"> </w:t>
      </w:r>
      <w:r>
        <w:t xml:space="preserve">of the Government’s </w:t>
      </w:r>
      <w:r w:rsidR="004440F2">
        <w:t>investment in the</w:t>
      </w:r>
      <w:r>
        <w:t xml:space="preserve"> NBN </w:t>
      </w:r>
      <w:r w:rsidR="003C590C">
        <w:t xml:space="preserve">is estimated </w:t>
      </w:r>
      <w:r w:rsidR="000E7908">
        <w:t xml:space="preserve">at around </w:t>
      </w:r>
      <w:r>
        <w:t>$</w:t>
      </w:r>
      <w:r w:rsidR="000E7908">
        <w:t>58</w:t>
      </w:r>
      <w:r w:rsidR="00A40FB6">
        <w:t xml:space="preserve">0 </w:t>
      </w:r>
      <w:r>
        <w:t xml:space="preserve">million in </w:t>
      </w:r>
      <w:r w:rsidR="000E7908">
        <w:t>2016</w:t>
      </w:r>
      <w:r w:rsidR="009F688D">
        <w:t>–</w:t>
      </w:r>
      <w:r w:rsidR="000E7908">
        <w:t>17</w:t>
      </w:r>
      <w:r>
        <w:t xml:space="preserve">.  </w:t>
      </w:r>
      <w:r w:rsidR="001F2B30">
        <w:t>Following the final drawdown of the</w:t>
      </w:r>
      <w:r>
        <w:t xml:space="preserve"> $29.5 billion</w:t>
      </w:r>
      <w:r w:rsidR="00EF403C">
        <w:t xml:space="preserve"> </w:t>
      </w:r>
      <w:r w:rsidR="001F2B30">
        <w:t xml:space="preserve">in equity </w:t>
      </w:r>
      <w:r w:rsidR="00EF403C">
        <w:t xml:space="preserve">and </w:t>
      </w:r>
      <w:r w:rsidR="001F2B30">
        <w:t xml:space="preserve">assuming </w:t>
      </w:r>
      <w:r w:rsidR="00EF403C">
        <w:t>t</w:t>
      </w:r>
      <w:r w:rsidR="009F688D">
        <w:t>he loan is drawn down from 2017–</w:t>
      </w:r>
      <w:r w:rsidR="00EF403C">
        <w:t>18 and paid back in full in 2020</w:t>
      </w:r>
      <w:r w:rsidR="009F688D">
        <w:t>–</w:t>
      </w:r>
      <w:r w:rsidR="00EF403C">
        <w:t>21</w:t>
      </w:r>
      <w:r>
        <w:t>, the annual cost is estimated to rise to over $</w:t>
      </w:r>
      <w:r w:rsidR="00C13C4D">
        <w:t>730</w:t>
      </w:r>
      <w:r w:rsidR="00EF403C">
        <w:t> </w:t>
      </w:r>
      <w:r>
        <w:t>million in 2019-20 and to $2.</w:t>
      </w:r>
      <w:r w:rsidR="00B9370C">
        <w:t xml:space="preserve">1 </w:t>
      </w:r>
      <w:r>
        <w:t xml:space="preserve">billion by </w:t>
      </w:r>
      <w:r w:rsidR="009F688D">
        <w:br/>
      </w:r>
      <w:r w:rsidR="00585707">
        <w:t>2026</w:t>
      </w:r>
      <w:r w:rsidR="009F688D">
        <w:t>–</w:t>
      </w:r>
      <w:r>
        <w:t>27</w:t>
      </w:r>
      <w:r w:rsidR="00555368">
        <w:t xml:space="preserve"> (</w:t>
      </w:r>
      <w:r w:rsidR="00555368" w:rsidRPr="00F47363">
        <w:t xml:space="preserve">see </w:t>
      </w:r>
      <w:r w:rsidR="00F47363">
        <w:rPr>
          <w:highlight w:val="yellow"/>
        </w:rPr>
        <w:fldChar w:fldCharType="begin"/>
      </w:r>
      <w:r w:rsidR="00F47363">
        <w:rPr>
          <w:highlight w:val="yellow"/>
        </w:rPr>
        <w:instrText xml:space="preserve"> REF _Ref468708656 \h </w:instrText>
      </w:r>
      <w:r w:rsidR="00F47363">
        <w:rPr>
          <w:highlight w:val="yellow"/>
        </w:rPr>
      </w:r>
      <w:r w:rsidR="00F47363">
        <w:rPr>
          <w:highlight w:val="yellow"/>
        </w:rPr>
        <w:fldChar w:fldCharType="separate"/>
      </w:r>
      <w:r w:rsidR="006E530F" w:rsidRPr="002555AE">
        <w:t xml:space="preserve">Figure </w:t>
      </w:r>
      <w:r w:rsidR="006E530F">
        <w:rPr>
          <w:noProof/>
        </w:rPr>
        <w:t>2</w:t>
      </w:r>
      <w:r w:rsidR="006E530F" w:rsidRPr="002555AE">
        <w:t>–</w:t>
      </w:r>
      <w:r w:rsidR="006E530F">
        <w:rPr>
          <w:noProof/>
        </w:rPr>
        <w:t>1</w:t>
      </w:r>
      <w:r w:rsidR="00F47363">
        <w:rPr>
          <w:highlight w:val="yellow"/>
        </w:rPr>
        <w:fldChar w:fldCharType="end"/>
      </w:r>
      <w:r w:rsidR="00555368" w:rsidRPr="001D0997">
        <w:t>, page </w:t>
      </w:r>
      <w:r w:rsidR="00201391">
        <w:t>5</w:t>
      </w:r>
      <w:r w:rsidR="00555368">
        <w:t>)</w:t>
      </w:r>
      <w:r>
        <w:t>.</w:t>
      </w:r>
      <w:r w:rsidR="00D57730">
        <w:t xml:space="preserve"> </w:t>
      </w:r>
      <w:r w:rsidR="000F60DF">
        <w:t xml:space="preserve"> These costs, </w:t>
      </w:r>
      <w:r w:rsidR="003C590C">
        <w:t>while significantly impacting the budget bottom line, are</w:t>
      </w:r>
      <w:r w:rsidR="000F60DF">
        <w:t xml:space="preserve"> not separately identified in the budget papers</w:t>
      </w:r>
      <w:r w:rsidR="003C590C">
        <w:t>.</w:t>
      </w:r>
    </w:p>
    <w:p w:rsidR="00CF6062" w:rsidRDefault="00CF6062" w:rsidP="00EF403C">
      <w:pPr>
        <w:pStyle w:val="OverviewBodyText"/>
      </w:pPr>
      <w:r w:rsidRPr="00CF6062">
        <w:t xml:space="preserve">The key driver of the </w:t>
      </w:r>
      <w:r w:rsidR="00FC0FC2">
        <w:t xml:space="preserve">annual </w:t>
      </w:r>
      <w:r w:rsidRPr="00CF6062">
        <w:t xml:space="preserve">cost to the Commonwealth of the NBN is the </w:t>
      </w:r>
      <w:r w:rsidR="000E7908">
        <w:t xml:space="preserve">public debt interest </w:t>
      </w:r>
      <w:r w:rsidR="00FC0FC2">
        <w:t xml:space="preserve">payments </w:t>
      </w:r>
      <w:r w:rsidR="000E7908">
        <w:t xml:space="preserve">associated with the government’s </w:t>
      </w:r>
      <w:r w:rsidRPr="00CF6062">
        <w:t>equity injection in NBN Co</w:t>
      </w:r>
      <w:r w:rsidR="000E7908">
        <w:t>.  T</w:t>
      </w:r>
      <w:r w:rsidRPr="00CF6062">
        <w:t xml:space="preserve">he provision of additional funding through a loan </w:t>
      </w:r>
      <w:r w:rsidR="000E7908">
        <w:t>at an interest rate above the government’s cost of borrowing provides a partial offset to this annual cost.</w:t>
      </w:r>
    </w:p>
    <w:p w:rsidR="00EF403C" w:rsidRDefault="00EF403C" w:rsidP="00EF403C">
      <w:pPr>
        <w:pStyle w:val="OverviewBodyText"/>
      </w:pPr>
      <w:r w:rsidRPr="00EF403C">
        <w:t xml:space="preserve">The final cost of the Commonwealth’s </w:t>
      </w:r>
      <w:r w:rsidR="00FC0FC2">
        <w:t>financing of</w:t>
      </w:r>
      <w:r w:rsidRPr="00EF403C">
        <w:t xml:space="preserve"> NBN Co </w:t>
      </w:r>
      <w:r w:rsidR="00FC0FC2">
        <w:t>will not</w:t>
      </w:r>
      <w:r w:rsidRPr="00EF403C">
        <w:t xml:space="preserve"> be known until NBN </w:t>
      </w:r>
      <w:r w:rsidR="00FC0FC2">
        <w:t xml:space="preserve">Co </w:t>
      </w:r>
      <w:r w:rsidRPr="00EF403C">
        <w:t xml:space="preserve">is privatised and </w:t>
      </w:r>
      <w:r w:rsidR="00FC0FC2">
        <w:t xml:space="preserve">the market places a value on the NBN.  Until then the Commonwealth will continue to bear an annual cost associated with its financing of NBN Co.  </w:t>
      </w:r>
      <w:r w:rsidRPr="00EF403C">
        <w:t xml:space="preserve">If </w:t>
      </w:r>
      <w:r w:rsidR="00FC0FC2">
        <w:t xml:space="preserve">the sale price of NBN Co </w:t>
      </w:r>
      <w:r w:rsidRPr="00EF403C">
        <w:t xml:space="preserve">is less than the </w:t>
      </w:r>
      <w:r w:rsidR="00FC0FC2">
        <w:t xml:space="preserve">Commonwealth’s </w:t>
      </w:r>
      <w:r w:rsidRPr="00EF403C">
        <w:t>cumulative cost of financing NBN Co</w:t>
      </w:r>
      <w:r w:rsidR="00FC0FC2">
        <w:t xml:space="preserve">, then </w:t>
      </w:r>
      <w:r w:rsidRPr="00EF403C">
        <w:t xml:space="preserve">the NBN </w:t>
      </w:r>
      <w:r w:rsidR="0059649C">
        <w:t>would</w:t>
      </w:r>
      <w:r w:rsidRPr="00EF403C">
        <w:t xml:space="preserve"> have an enduring cost to the budget</w:t>
      </w:r>
      <w:r>
        <w:t>.</w:t>
      </w:r>
    </w:p>
    <w:p w:rsidR="00CD4356" w:rsidRDefault="00A3788A" w:rsidP="009B0386">
      <w:pPr>
        <w:pStyle w:val="OverviewBodyText"/>
      </w:pPr>
      <w:r>
        <w:t>There is also a risk, albeit rated by the Government as small (</w:t>
      </w:r>
      <w:r w:rsidR="00320FFC">
        <w:t>less than five per cent probability), that the Government could be called upon to meet contingent liabilities it has entered into in relation to the NBN rollout</w:t>
      </w:r>
      <w:r w:rsidR="000A477F">
        <w:t xml:space="preserve">.  These contingent liabilities totalled </w:t>
      </w:r>
      <w:r w:rsidR="00CC7EF0">
        <w:t>$15.5</w:t>
      </w:r>
      <w:r w:rsidR="00585707">
        <w:t> </w:t>
      </w:r>
      <w:r w:rsidR="00CC7EF0">
        <w:t>billion as at 30 June 2016.</w:t>
      </w:r>
    </w:p>
    <w:p w:rsidR="00DF743D" w:rsidRDefault="00DF743D" w:rsidP="009B0386">
      <w:pPr>
        <w:pStyle w:val="OverviewBodyText"/>
      </w:pPr>
    </w:p>
    <w:p w:rsidR="00DF743D" w:rsidRDefault="00DF743D" w:rsidP="009B0386">
      <w:pPr>
        <w:pStyle w:val="OverviewBodyText"/>
        <w:sectPr w:rsidR="00DF743D" w:rsidSect="00DF743D">
          <w:headerReference w:type="even" r:id="rId26"/>
          <w:headerReference w:type="default" r:id="rId27"/>
          <w:footerReference w:type="even" r:id="rId28"/>
          <w:footerReference w:type="default" r:id="rId29"/>
          <w:pgSz w:w="11906" w:h="16838" w:code="9"/>
          <w:pgMar w:top="1361" w:right="1797" w:bottom="1474" w:left="1797" w:header="283" w:footer="454" w:gutter="0"/>
          <w:pgNumType w:fmt="lowerRoman"/>
          <w:cols w:space="708"/>
          <w:docGrid w:linePitch="360"/>
        </w:sectPr>
      </w:pPr>
    </w:p>
    <w:p w:rsidR="00903E3F" w:rsidRPr="00D37CC3" w:rsidRDefault="00555770" w:rsidP="00D37CC3">
      <w:pPr>
        <w:pStyle w:val="Heading1"/>
      </w:pPr>
      <w:bookmarkStart w:id="18" w:name="_Toc468692629"/>
      <w:bookmarkStart w:id="19" w:name="_Toc463938652"/>
      <w:bookmarkStart w:id="20" w:name="_Toc464813467"/>
      <w:bookmarkStart w:id="21" w:name="_Toc465071558"/>
      <w:bookmarkStart w:id="22" w:name="_Toc465081996"/>
      <w:bookmarkStart w:id="23" w:name="_Toc465082201"/>
      <w:r w:rsidRPr="00D37CC3">
        <w:lastRenderedPageBreak/>
        <w:t>Background</w:t>
      </w:r>
      <w:bookmarkEnd w:id="18"/>
      <w:bookmarkEnd w:id="19"/>
      <w:bookmarkEnd w:id="20"/>
      <w:bookmarkEnd w:id="21"/>
      <w:bookmarkEnd w:id="22"/>
      <w:bookmarkEnd w:id="23"/>
    </w:p>
    <w:p w:rsidR="00C30165" w:rsidRPr="00D37CC3" w:rsidRDefault="00C30165" w:rsidP="00D37CC3">
      <w:pPr>
        <w:pStyle w:val="Heading2"/>
      </w:pPr>
      <w:bookmarkStart w:id="24" w:name="_Toc464813468"/>
      <w:bookmarkStart w:id="25" w:name="_Toc465071559"/>
      <w:bookmarkStart w:id="26" w:name="_Toc465081997"/>
      <w:bookmarkStart w:id="27" w:name="_Toc465082202"/>
      <w:bookmarkStart w:id="28" w:name="_Toc468692630"/>
      <w:r w:rsidRPr="00D37CC3">
        <w:t>Establishment of NBN Co Limited</w:t>
      </w:r>
      <w:bookmarkEnd w:id="24"/>
      <w:bookmarkEnd w:id="25"/>
      <w:bookmarkEnd w:id="26"/>
      <w:bookmarkEnd w:id="27"/>
      <w:bookmarkEnd w:id="28"/>
    </w:p>
    <w:p w:rsidR="00B734A2" w:rsidRDefault="00B734A2" w:rsidP="009B79E2">
      <w:pPr>
        <w:pStyle w:val="BodyText"/>
      </w:pPr>
      <w:r>
        <w:t>On 9 April 2009, the Rudd Government announced the establishment of NBN Co Limited</w:t>
      </w:r>
      <w:r w:rsidR="00CF3BA1">
        <w:t xml:space="preserve"> (NBN Co</w:t>
      </w:r>
      <w:r w:rsidR="00CF571A">
        <w:t>)</w:t>
      </w:r>
      <w:r>
        <w:t xml:space="preserve">, a wholly owned Commonwealth </w:t>
      </w:r>
      <w:r w:rsidR="00CF571A">
        <w:t>c</w:t>
      </w:r>
      <w:r>
        <w:t>ompany, to design, build and operate Australia’s new wholesale-only, open access broadband network.</w:t>
      </w:r>
      <w:r w:rsidR="00A97264" w:rsidRPr="00F47363">
        <w:rPr>
          <w:rStyle w:val="FootnoteReference"/>
        </w:rPr>
        <w:footnoteReference w:id="1"/>
      </w:r>
    </w:p>
    <w:p w:rsidR="00B734A2" w:rsidRDefault="00B734A2" w:rsidP="009B79E2">
      <w:pPr>
        <w:pStyle w:val="BodyText"/>
      </w:pPr>
      <w:r>
        <w:t xml:space="preserve">NBN Co was to be jointly </w:t>
      </w:r>
      <w:r w:rsidR="00562152">
        <w:t xml:space="preserve">funded by the Government </w:t>
      </w:r>
      <w:r>
        <w:t>and the private sector, with investment of up to $43</w:t>
      </w:r>
      <w:r w:rsidR="00453717">
        <w:t xml:space="preserve"> </w:t>
      </w:r>
      <w:r>
        <w:t>b</w:t>
      </w:r>
      <w:r w:rsidR="00453717">
        <w:t>illio</w:t>
      </w:r>
      <w:r>
        <w:t xml:space="preserve">n over eight years to build the National Broadband Network (NBN).  </w:t>
      </w:r>
      <w:r w:rsidR="00B1675D">
        <w:t xml:space="preserve">Full government ownership would be maintained until after the </w:t>
      </w:r>
      <w:r w:rsidR="006039FC">
        <w:t>rollout</w:t>
      </w:r>
      <w:r w:rsidR="00B1675D">
        <w:t xml:space="preserve"> </w:t>
      </w:r>
      <w:r w:rsidR="001F1B99">
        <w:t>was</w:t>
      </w:r>
      <w:r w:rsidR="00B1675D">
        <w:t xml:space="preserve"> complete</w:t>
      </w:r>
      <w:r w:rsidR="00F3155C">
        <w:t>, allowing the Government to preserve policy flexibility a</w:t>
      </w:r>
      <w:r w:rsidR="00AC454E">
        <w:t>nd avoid diluting any returns.</w:t>
      </w:r>
    </w:p>
    <w:p w:rsidR="004E535C" w:rsidRDefault="004E535C" w:rsidP="009B79E2">
      <w:pPr>
        <w:pStyle w:val="BodyText"/>
      </w:pPr>
      <w:r>
        <w:t xml:space="preserve">In </w:t>
      </w:r>
      <w:r w:rsidR="00523F99">
        <w:t xml:space="preserve">a Statement of Expectations </w:t>
      </w:r>
      <w:r w:rsidR="00B42500">
        <w:t>provided to the Board of NBN Co</w:t>
      </w:r>
      <w:r w:rsidR="00523F99">
        <w:t xml:space="preserve"> in </w:t>
      </w:r>
      <w:r>
        <w:t xml:space="preserve">December 2010, the Government </w:t>
      </w:r>
      <w:r w:rsidR="007C5ED0">
        <w:t xml:space="preserve">said </w:t>
      </w:r>
      <w:r w:rsidR="00523F99">
        <w:t xml:space="preserve">that its central </w:t>
      </w:r>
      <w:r w:rsidR="00CF3BA1">
        <w:t>NBN policy objectives</w:t>
      </w:r>
      <w:r w:rsidR="00274642">
        <w:t xml:space="preserve"> </w:t>
      </w:r>
      <w:r w:rsidR="00523F99">
        <w:t>were</w:t>
      </w:r>
      <w:r w:rsidR="00274642">
        <w:t xml:space="preserve"> to</w:t>
      </w:r>
      <w:r w:rsidR="00CF3BA1">
        <w:t xml:space="preserve"> </w:t>
      </w:r>
      <w:r w:rsidR="006E1D42">
        <w:t>‘</w:t>
      </w:r>
      <w:r>
        <w:t>deliver significant improvement in broadband service and quality to all Australians, address the lack of high</w:t>
      </w:r>
      <w:r w:rsidR="00AC454E">
        <w:noBreakHyphen/>
      </w:r>
      <w:r>
        <w:t>speed broadband in Australia, particularly outside of metropolitan areas, and reshape the telecommunications sector</w:t>
      </w:r>
      <w:r w:rsidR="00AC454E">
        <w:t>’</w:t>
      </w:r>
      <w:r>
        <w:t>.</w:t>
      </w:r>
      <w:r w:rsidRPr="00F47363">
        <w:rPr>
          <w:rStyle w:val="FootnoteReference"/>
        </w:rPr>
        <w:footnoteReference w:id="2"/>
      </w:r>
    </w:p>
    <w:p w:rsidR="00B734A2" w:rsidRDefault="00B42500" w:rsidP="00695AB8">
      <w:pPr>
        <w:pStyle w:val="ListBullet"/>
        <w:numPr>
          <w:ilvl w:val="0"/>
          <w:numId w:val="0"/>
        </w:numPr>
        <w:ind w:left="454" w:hanging="454"/>
      </w:pPr>
      <w:r>
        <w:t xml:space="preserve">The Government further specified that </w:t>
      </w:r>
      <w:r w:rsidR="00B734A2">
        <w:t>NBN Co</w:t>
      </w:r>
      <w:r w:rsidR="006A6125">
        <w:t xml:space="preserve"> would:</w:t>
      </w:r>
    </w:p>
    <w:p w:rsidR="00B734A2" w:rsidRDefault="00B734A2" w:rsidP="009B79E2">
      <w:pPr>
        <w:pStyle w:val="ListBullet"/>
      </w:pPr>
      <w:r>
        <w:t>design</w:t>
      </w:r>
      <w:r w:rsidR="006A6125">
        <w:t>, build and operate</w:t>
      </w:r>
      <w:r>
        <w:t xml:space="preserve"> an open-access, wholesale-only, national network, covering all premises</w:t>
      </w:r>
    </w:p>
    <w:p w:rsidR="00C255DE" w:rsidRDefault="006A6125" w:rsidP="00C255DE">
      <w:pPr>
        <w:pStyle w:val="ListBullet"/>
      </w:pPr>
      <w:r>
        <w:t>connect 93 per cent of premises with fibre-to-the-premises (FTTP) technology providing broadband speeds of up to 100 megabits per second</w:t>
      </w:r>
      <w:r w:rsidR="00C255DE" w:rsidRPr="00F47363">
        <w:rPr>
          <w:rStyle w:val="FootnoteReference"/>
        </w:rPr>
        <w:footnoteReference w:id="3"/>
      </w:r>
    </w:p>
    <w:p w:rsidR="00C255DE" w:rsidRDefault="00C255DE" w:rsidP="009B79E2">
      <w:pPr>
        <w:pStyle w:val="ListBullet"/>
      </w:pPr>
      <w:r>
        <w:t>serve</w:t>
      </w:r>
      <w:r w:rsidR="006A6125">
        <w:t xml:space="preserve"> </w:t>
      </w:r>
      <w:r>
        <w:t xml:space="preserve">all remaining premises by </w:t>
      </w:r>
      <w:r w:rsidR="00B734A2">
        <w:t xml:space="preserve"> </w:t>
      </w:r>
      <w:r>
        <w:t>a combination of next-generation fixed wireless and satellite technologies providing peak speeds of at least 12 megabits per second</w:t>
      </w:r>
      <w:r w:rsidR="00E73909">
        <w:t>, and</w:t>
      </w:r>
      <w:r w:rsidR="00B734A2">
        <w:t xml:space="preserve"> </w:t>
      </w:r>
    </w:p>
    <w:p w:rsidR="00C255DE" w:rsidRDefault="00C255DE" w:rsidP="009B79E2">
      <w:pPr>
        <w:pStyle w:val="ListBullet"/>
      </w:pPr>
      <w:r>
        <w:t>operate as a commercial entity and, at an appropriate time, raise debt on its own behalf.</w:t>
      </w:r>
    </w:p>
    <w:p w:rsidR="00EB028B" w:rsidRPr="00D37CC3" w:rsidRDefault="00EB028B" w:rsidP="00D37CC3">
      <w:pPr>
        <w:pStyle w:val="Heading2"/>
      </w:pPr>
      <w:bookmarkStart w:id="29" w:name="_Toc465081998"/>
      <w:bookmarkStart w:id="30" w:name="_Toc465082203"/>
      <w:bookmarkStart w:id="31" w:name="_Toc468692631"/>
      <w:r w:rsidRPr="00D37CC3">
        <w:t>Legislation</w:t>
      </w:r>
      <w:bookmarkEnd w:id="29"/>
      <w:bookmarkEnd w:id="30"/>
      <w:bookmarkEnd w:id="31"/>
    </w:p>
    <w:p w:rsidR="00EB028B" w:rsidRDefault="00D53D43" w:rsidP="00EB028B">
      <w:pPr>
        <w:pStyle w:val="BodyText"/>
      </w:pPr>
      <w:r>
        <w:t>T</w:t>
      </w:r>
      <w:r w:rsidR="00EB028B">
        <w:t>he legislation to provide the regulatory framework for the ownership, governance and operation of the NBN came into force</w:t>
      </w:r>
      <w:r>
        <w:t xml:space="preserve"> in April 2011</w:t>
      </w:r>
      <w:r w:rsidR="00EB028B">
        <w:t xml:space="preserve">: the </w:t>
      </w:r>
      <w:r w:rsidR="00EB028B" w:rsidRPr="00667729">
        <w:rPr>
          <w:i/>
        </w:rPr>
        <w:t>National Broadband Network Companies Act 2011</w:t>
      </w:r>
      <w:r w:rsidR="00EB028B">
        <w:t xml:space="preserve"> (</w:t>
      </w:r>
      <w:r w:rsidR="00695AB8">
        <w:t xml:space="preserve">the </w:t>
      </w:r>
      <w:r w:rsidR="00EB028B">
        <w:t xml:space="preserve">NBN Companies Act) and </w:t>
      </w:r>
      <w:r w:rsidR="00EB028B" w:rsidRPr="00F95E9C">
        <w:t xml:space="preserve">the </w:t>
      </w:r>
      <w:r w:rsidR="00EB028B" w:rsidRPr="00667729">
        <w:rPr>
          <w:i/>
        </w:rPr>
        <w:t>Telecommunications Legislation Amendment (Nati</w:t>
      </w:r>
      <w:r w:rsidR="00EB028B">
        <w:rPr>
          <w:i/>
        </w:rPr>
        <w:t>onal Broadband Network Measures</w:t>
      </w:r>
      <w:r w:rsidR="00EB028B" w:rsidRPr="00667729">
        <w:rPr>
          <w:i/>
        </w:rPr>
        <w:t xml:space="preserve"> - Access Arrangements) Act 2011</w:t>
      </w:r>
      <w:r w:rsidR="00EB028B">
        <w:t>.</w:t>
      </w:r>
    </w:p>
    <w:p w:rsidR="00CD02A8" w:rsidRDefault="00542C2B" w:rsidP="00EB028B">
      <w:pPr>
        <w:pStyle w:val="BodyText"/>
      </w:pPr>
      <w:r>
        <w:lastRenderedPageBreak/>
        <w:t>NBN Co</w:t>
      </w:r>
      <w:r w:rsidR="00CD02A8">
        <w:t xml:space="preserve"> is a Government Business Enterprise (GBE)</w:t>
      </w:r>
      <w:r w:rsidR="00B36879">
        <w:t>—</w:t>
      </w:r>
      <w:r w:rsidR="00CD02A8">
        <w:t>a wholly owned Commonwealth company</w:t>
      </w:r>
      <w:r w:rsidR="00B36879">
        <w:t>—</w:t>
      </w:r>
      <w:r w:rsidR="00CD02A8">
        <w:t xml:space="preserve">represented by Shareholder Ministers, the Minister for Communications and the Minister </w:t>
      </w:r>
      <w:r w:rsidR="000046ED">
        <w:t xml:space="preserve">for </w:t>
      </w:r>
      <w:r w:rsidR="00CD02A8">
        <w:t>Finance.</w:t>
      </w:r>
    </w:p>
    <w:p w:rsidR="00EB028B" w:rsidRDefault="00EB028B" w:rsidP="00EB028B">
      <w:pPr>
        <w:pStyle w:val="BodyText"/>
      </w:pPr>
      <w:r>
        <w:t>Under the NBN Companies Act, the Commonwealth must retain ownership of NBN Co until at least</w:t>
      </w:r>
      <w:r w:rsidR="00CD02A8">
        <w:t xml:space="preserve"> all of the following are satisfied</w:t>
      </w:r>
      <w:r>
        <w:t>:</w:t>
      </w:r>
    </w:p>
    <w:p w:rsidR="00EB028B" w:rsidRDefault="00EB028B" w:rsidP="00EB028B">
      <w:pPr>
        <w:pStyle w:val="ListBullet"/>
      </w:pPr>
      <w:r>
        <w:t>the Minister for Communications has declared that the NBN network is built and fully operational</w:t>
      </w:r>
    </w:p>
    <w:p w:rsidR="00EB028B" w:rsidRDefault="00EB028B" w:rsidP="00EB028B">
      <w:pPr>
        <w:pStyle w:val="ListBullet"/>
      </w:pPr>
      <w:r>
        <w:t>the Productivity Minister has tabled a Productivity Commission inquiry report in both Houses of Parliament</w:t>
      </w:r>
    </w:p>
    <w:p w:rsidR="00EB028B" w:rsidRDefault="00EB028B" w:rsidP="00EB028B">
      <w:pPr>
        <w:pStyle w:val="ListBullet"/>
      </w:pPr>
      <w:r>
        <w:t xml:space="preserve">the Parliamentary Joint Committee on the ownership of NBN </w:t>
      </w:r>
      <w:r w:rsidR="00274642">
        <w:t xml:space="preserve">Co </w:t>
      </w:r>
      <w:r>
        <w:t>has examined the report</w:t>
      </w:r>
      <w:r w:rsidR="00CD02A8">
        <w:t>, and</w:t>
      </w:r>
    </w:p>
    <w:p w:rsidR="00D452D2" w:rsidRDefault="00EB028B" w:rsidP="00EB028B">
      <w:pPr>
        <w:pStyle w:val="ListBullet"/>
      </w:pPr>
      <w:r>
        <w:t>the Minister for Finance has declared that conditions are suitable for an NBN Co sale scheme.</w:t>
      </w:r>
    </w:p>
    <w:p w:rsidR="0028305B" w:rsidRPr="00D37CC3" w:rsidRDefault="00A76ABD" w:rsidP="00D37CC3">
      <w:pPr>
        <w:pStyle w:val="Heading2"/>
      </w:pPr>
      <w:bookmarkStart w:id="32" w:name="_Toc468692632"/>
      <w:r w:rsidRPr="00D37CC3">
        <w:t>Funding and rollout</w:t>
      </w:r>
      <w:bookmarkEnd w:id="32"/>
    </w:p>
    <w:p w:rsidR="00697412" w:rsidRDefault="004E535C" w:rsidP="009B79E2">
      <w:pPr>
        <w:pStyle w:val="BodyText"/>
      </w:pPr>
      <w:r>
        <w:t xml:space="preserve">The first </w:t>
      </w:r>
      <w:r w:rsidR="00A76ABD">
        <w:t xml:space="preserve">NBN Co </w:t>
      </w:r>
      <w:r>
        <w:t xml:space="preserve">Corporate Plan </w:t>
      </w:r>
      <w:r w:rsidR="004E2051">
        <w:t>(for 20</w:t>
      </w:r>
      <w:r w:rsidR="00C35677">
        <w:t>10</w:t>
      </w:r>
      <w:r w:rsidR="00543EBD">
        <w:t>–</w:t>
      </w:r>
      <w:r w:rsidR="00C35677">
        <w:t>11 to 2012</w:t>
      </w:r>
      <w:r w:rsidR="00543EBD">
        <w:t>–</w:t>
      </w:r>
      <w:r w:rsidR="004E2051">
        <w:t xml:space="preserve">13) </w:t>
      </w:r>
      <w:r>
        <w:t xml:space="preserve">showed that </w:t>
      </w:r>
      <w:r w:rsidR="00C6093C">
        <w:t>NBN Co planned to complete the network by December 2020</w:t>
      </w:r>
      <w:r>
        <w:t xml:space="preserve"> with peak funding of $40.9 billion</w:t>
      </w:r>
      <w:r w:rsidR="0034094E">
        <w:t>, comprising</w:t>
      </w:r>
      <w:r w:rsidR="00A24314">
        <w:t xml:space="preserve"> $27.5 billion </w:t>
      </w:r>
      <w:r w:rsidR="00AF4F0B">
        <w:t>of</w:t>
      </w:r>
      <w:r w:rsidR="00A24314">
        <w:t xml:space="preserve"> Government equity and $13.4 billion of debt funding</w:t>
      </w:r>
      <w:r w:rsidR="00A76ABD">
        <w:t xml:space="preserve"> from the private sector</w:t>
      </w:r>
      <w:r w:rsidR="00A24314">
        <w:t>.</w:t>
      </w:r>
      <w:r w:rsidR="00A24314" w:rsidRPr="00F47363">
        <w:rPr>
          <w:rStyle w:val="FootnoteReference"/>
        </w:rPr>
        <w:footnoteReference w:id="4"/>
      </w:r>
      <w:r w:rsidR="00A24314">
        <w:t xml:space="preserve">  </w:t>
      </w:r>
      <w:r w:rsidR="0000264B">
        <w:t>The projected internal rate of return (IRR) was 7.0</w:t>
      </w:r>
      <w:r w:rsidR="001C5BC5">
        <w:t xml:space="preserve"> </w:t>
      </w:r>
      <w:r w:rsidR="0000264B">
        <w:t>per cent (above the five-year Government bond rate of 5.</w:t>
      </w:r>
      <w:r w:rsidR="001C5BC5">
        <w:t>4</w:t>
      </w:r>
      <w:r w:rsidR="0000264B">
        <w:t xml:space="preserve"> per cent </w:t>
      </w:r>
      <w:r w:rsidR="007E49C3">
        <w:t xml:space="preserve">as </w:t>
      </w:r>
      <w:r w:rsidR="0000264B">
        <w:t>at November 2010).</w:t>
      </w:r>
      <w:r w:rsidR="0000264B" w:rsidRPr="00F47363">
        <w:rPr>
          <w:rStyle w:val="FootnoteReference"/>
        </w:rPr>
        <w:footnoteReference w:id="5"/>
      </w:r>
    </w:p>
    <w:p w:rsidR="00A76ABD" w:rsidRDefault="00A76ABD" w:rsidP="009B79E2">
      <w:pPr>
        <w:pStyle w:val="BodyText"/>
      </w:pPr>
      <w:r>
        <w:t>Reflecting the funding requirements outlined in the 2011</w:t>
      </w:r>
      <w:r w:rsidR="00543EBD">
        <w:t>–</w:t>
      </w:r>
      <w:r w:rsidR="00A82933">
        <w:t>20</w:t>
      </w:r>
      <w:r>
        <w:t xml:space="preserve">13 Corporate Plan, the Commonwealth and NBN Co entered into an Equity Funding Agreement (EFA) in June 2011.  This EFA provided assurances to the </w:t>
      </w:r>
      <w:r w:rsidR="0034094E">
        <w:t xml:space="preserve">Company </w:t>
      </w:r>
      <w:r>
        <w:t>that the Commonwealth would provide equity funding, capped at $27.5 billion, until 30 June 2021 (unless terminated earlier).  Under the EFA, the Commonwealth committed to meet the termination and other costs of NBN Co in the event that the project is terminated or significantly reduced in scope.</w:t>
      </w:r>
    </w:p>
    <w:p w:rsidR="00453717" w:rsidRDefault="00453717" w:rsidP="009B79E2">
      <w:pPr>
        <w:pStyle w:val="BodyText"/>
      </w:pPr>
      <w:r>
        <w:t xml:space="preserve">In June 2011, NBN Co entered into Definitive Agreements </w:t>
      </w:r>
      <w:r w:rsidR="00CE678A">
        <w:t xml:space="preserve">(DAs) </w:t>
      </w:r>
      <w:r w:rsidR="00A76ABD">
        <w:t>with both Telstra and Optus:</w:t>
      </w:r>
    </w:p>
    <w:p w:rsidR="00453717" w:rsidRDefault="00453717" w:rsidP="009B79E2">
      <w:pPr>
        <w:pStyle w:val="ListBullet"/>
      </w:pPr>
      <w:r>
        <w:t>providing NBN Co access to certain Telstra facilities</w:t>
      </w:r>
    </w:p>
    <w:p w:rsidR="00453717" w:rsidRDefault="00453717" w:rsidP="009B79E2">
      <w:pPr>
        <w:pStyle w:val="ListBullet"/>
      </w:pPr>
      <w:r>
        <w:t>requiring Telstra to progressively disconnect premises from Telstra’s copper and Hybrid Fibre Coaxial (HFC) networks</w:t>
      </w:r>
      <w:r w:rsidR="002702B9">
        <w:t>,</w:t>
      </w:r>
      <w:r w:rsidR="00AF4F0B" w:rsidRPr="00F47363">
        <w:rPr>
          <w:rStyle w:val="FootnoteReference"/>
        </w:rPr>
        <w:footnoteReference w:id="6"/>
      </w:r>
      <w:r w:rsidR="00724D55">
        <w:t xml:space="preserve"> and</w:t>
      </w:r>
    </w:p>
    <w:p w:rsidR="00453717" w:rsidRDefault="00453717" w:rsidP="009B79E2">
      <w:pPr>
        <w:pStyle w:val="ListBullet"/>
      </w:pPr>
      <w:r>
        <w:t>requiring Optus to progressively migrate HFC customers</w:t>
      </w:r>
      <w:r w:rsidR="00A76ABD">
        <w:t xml:space="preserve"> to the NBN as it is rolled out.</w:t>
      </w:r>
    </w:p>
    <w:p w:rsidR="00A76ABD" w:rsidRDefault="00A76ABD" w:rsidP="00A76ABD">
      <w:pPr>
        <w:pStyle w:val="BodyText"/>
      </w:pPr>
      <w:r>
        <w:t xml:space="preserve">In August 2012, </w:t>
      </w:r>
      <w:r w:rsidR="00A82933">
        <w:t xml:space="preserve">NBN Co released </w:t>
      </w:r>
      <w:r w:rsidR="00C03A1E">
        <w:t xml:space="preserve">its </w:t>
      </w:r>
      <w:r>
        <w:t>2012</w:t>
      </w:r>
      <w:r w:rsidR="00543EBD">
        <w:t>–</w:t>
      </w:r>
      <w:r>
        <w:t>2015 Corporate Plan.</w:t>
      </w:r>
      <w:r w:rsidR="00A82933" w:rsidRPr="00F47363">
        <w:rPr>
          <w:rStyle w:val="FootnoteReference"/>
        </w:rPr>
        <w:footnoteReference w:id="7"/>
      </w:r>
      <w:r>
        <w:t xml:space="preserve">  At this stage, NBN Co planned to achieve completion </w:t>
      </w:r>
      <w:r w:rsidR="00A82933">
        <w:t xml:space="preserve">of the NBN rollout </w:t>
      </w:r>
      <w:r>
        <w:t>by 2020</w:t>
      </w:r>
      <w:r w:rsidR="00543EBD">
        <w:t>–</w:t>
      </w:r>
      <w:r>
        <w:t>21 f</w:t>
      </w:r>
      <w:r w:rsidR="00A82933">
        <w:t>or capital expenditure of $37.4 </w:t>
      </w:r>
      <w:r>
        <w:t xml:space="preserve">billion and peak funding of $44.1 billion.  The Commonwealth increased its total equity </w:t>
      </w:r>
      <w:r w:rsidR="0034094E">
        <w:lastRenderedPageBreak/>
        <w:t>contribution</w:t>
      </w:r>
      <w:r>
        <w:t xml:space="preserve"> from $27.5 billion to $30.4 billion</w:t>
      </w:r>
      <w:r w:rsidR="003B511D">
        <w:t>,</w:t>
      </w:r>
      <w:r w:rsidR="00C03A1E">
        <w:t xml:space="preserve"> with the remaining funding requirement of</w:t>
      </w:r>
      <w:r>
        <w:t xml:space="preserve"> $13.</w:t>
      </w:r>
      <w:r w:rsidR="00555368">
        <w:t xml:space="preserve">7 billion </w:t>
      </w:r>
      <w:r w:rsidR="00C03A1E">
        <w:t>to be met</w:t>
      </w:r>
      <w:r>
        <w:t xml:space="preserve"> </w:t>
      </w:r>
      <w:r w:rsidR="00C03A1E">
        <w:t xml:space="preserve">from private sector </w:t>
      </w:r>
      <w:r>
        <w:t>debt.</w:t>
      </w:r>
      <w:r w:rsidR="00C40E43">
        <w:t xml:space="preserve">  </w:t>
      </w:r>
      <w:r w:rsidR="001C5BC5">
        <w:t xml:space="preserve">The IRR was </w:t>
      </w:r>
      <w:r w:rsidR="009664E7">
        <w:t>forecast</w:t>
      </w:r>
      <w:r w:rsidR="001C5BC5">
        <w:t xml:space="preserve"> to increase to 7.1</w:t>
      </w:r>
      <w:r w:rsidR="00555368">
        <w:t> </w:t>
      </w:r>
      <w:r w:rsidR="001C5BC5">
        <w:t>per</w:t>
      </w:r>
      <w:r w:rsidR="00543EBD">
        <w:t> </w:t>
      </w:r>
      <w:r w:rsidR="001C5BC5">
        <w:t>cent, reflecting higher levels of connections and revenues beyond 2020</w:t>
      </w:r>
      <w:r w:rsidR="00543EBD">
        <w:t>–</w:t>
      </w:r>
      <w:r w:rsidR="001C5BC5">
        <w:t>21.</w:t>
      </w:r>
    </w:p>
    <w:p w:rsidR="00A47968" w:rsidRDefault="00A76ABD" w:rsidP="00A76ABD">
      <w:pPr>
        <w:pStyle w:val="BodyText"/>
      </w:pPr>
      <w:r>
        <w:t xml:space="preserve">Following the election in September 2013, the Minister for Finance and the Minister for Communications announced the initiation of a Strategic Review (the Review) of the NBN. </w:t>
      </w:r>
      <w:r w:rsidR="00F312BE">
        <w:t xml:space="preserve"> </w:t>
      </w:r>
      <w:r>
        <w:t xml:space="preserve">The final report was submitted </w:t>
      </w:r>
      <w:r w:rsidR="00E05BE3">
        <w:t xml:space="preserve">to the Government </w:t>
      </w:r>
      <w:r>
        <w:t>on 12 December 2013.</w:t>
      </w:r>
      <w:r w:rsidR="00FC27E6" w:rsidRPr="00F47363">
        <w:rPr>
          <w:rStyle w:val="FootnoteReference"/>
        </w:rPr>
        <w:footnoteReference w:id="8"/>
      </w:r>
    </w:p>
    <w:p w:rsidR="00A47968" w:rsidRDefault="00A76ABD" w:rsidP="00A76ABD">
      <w:pPr>
        <w:pStyle w:val="BodyText"/>
      </w:pPr>
      <w:r>
        <w:t>Given delays in deployment and consumer take-up</w:t>
      </w:r>
      <w:r w:rsidR="00274642">
        <w:t xml:space="preserve"> of the NBN</w:t>
      </w:r>
      <w:r>
        <w:t xml:space="preserve">, and lower </w:t>
      </w:r>
      <w:r w:rsidR="00E05BE3">
        <w:t xml:space="preserve">than planned </w:t>
      </w:r>
      <w:r>
        <w:t xml:space="preserve">average revenue per user, the Review estimated the peak funding requirement (equity plus debt) for the FTTP </w:t>
      </w:r>
      <w:r w:rsidR="001B407F">
        <w:t>rollout would increase to $72.6 </w:t>
      </w:r>
      <w:r>
        <w:t>b</w:t>
      </w:r>
      <w:r w:rsidR="002E50EB">
        <w:t>illion ($28.5 </w:t>
      </w:r>
      <w:r>
        <w:t xml:space="preserve">billion higher than </w:t>
      </w:r>
      <w:r w:rsidR="002E50EB">
        <w:t xml:space="preserve">outlined in </w:t>
      </w:r>
      <w:r>
        <w:t>the 2012</w:t>
      </w:r>
      <w:r w:rsidR="00543EBD">
        <w:t>–</w:t>
      </w:r>
      <w:r>
        <w:t xml:space="preserve">15 </w:t>
      </w:r>
      <w:r w:rsidR="00DC6526">
        <w:t>NBN</w:t>
      </w:r>
      <w:r w:rsidR="009664E7">
        <w:t> </w:t>
      </w:r>
      <w:r w:rsidR="00DC6526">
        <w:t xml:space="preserve">Co </w:t>
      </w:r>
      <w:r>
        <w:t>Corporate Plan), with completion not occurring before June 2024.</w:t>
      </w:r>
    </w:p>
    <w:p w:rsidR="00A76ABD" w:rsidRDefault="007819F6" w:rsidP="00A76ABD">
      <w:pPr>
        <w:pStyle w:val="BodyText"/>
      </w:pPr>
      <w:r>
        <w:t xml:space="preserve">The Review noted that </w:t>
      </w:r>
      <w:r w:rsidR="009664E7">
        <w:t xml:space="preserve">attaining </w:t>
      </w:r>
      <w:r>
        <w:t xml:space="preserve">an IRR of 7.1 per cent </w:t>
      </w:r>
      <w:r w:rsidR="009664E7">
        <w:t>under</w:t>
      </w:r>
      <w:r w:rsidR="00257C98">
        <w:t xml:space="preserve"> the FTTP rollout </w:t>
      </w:r>
      <w:r>
        <w:t>would require eith</w:t>
      </w:r>
      <w:r w:rsidR="00257C98">
        <w:t>er price increases of 50</w:t>
      </w:r>
      <w:r w:rsidR="00C51446">
        <w:t xml:space="preserve"> to </w:t>
      </w:r>
      <w:r w:rsidR="00257C98">
        <w:t>80 per </w:t>
      </w:r>
      <w:r>
        <w:t>cent or</w:t>
      </w:r>
      <w:r w:rsidR="00D341B2">
        <w:t xml:space="preserve"> a Commonwealth subsidy of $1.9</w:t>
      </w:r>
      <w:r w:rsidR="00C51446">
        <w:t xml:space="preserve"> to $</w:t>
      </w:r>
      <w:r w:rsidR="00D341B2">
        <w:t>2.5</w:t>
      </w:r>
      <w:r w:rsidR="00543EBD">
        <w:t> billion per year to 2039–</w:t>
      </w:r>
      <w:r>
        <w:t>40 (if paid from 2014</w:t>
      </w:r>
      <w:r w:rsidR="00543EBD">
        <w:t>–</w:t>
      </w:r>
      <w:r>
        <w:t>15).</w:t>
      </w:r>
      <w:r w:rsidRPr="00F47363">
        <w:rPr>
          <w:rStyle w:val="FootnoteReference"/>
        </w:rPr>
        <w:footnoteReference w:id="9"/>
      </w:r>
    </w:p>
    <w:p w:rsidR="00A76ABD" w:rsidRDefault="00724D55" w:rsidP="00A76ABD">
      <w:pPr>
        <w:pStyle w:val="BodyText"/>
      </w:pPr>
      <w:r>
        <w:t xml:space="preserve">Following publication of the </w:t>
      </w:r>
      <w:r w:rsidR="00A76ABD">
        <w:t xml:space="preserve">Review, the Government issued </w:t>
      </w:r>
      <w:r w:rsidR="003B5C0C">
        <w:t xml:space="preserve">NBN </w:t>
      </w:r>
      <w:r w:rsidR="00F6695D">
        <w:t xml:space="preserve">Co </w:t>
      </w:r>
      <w:r w:rsidR="003B5C0C">
        <w:t xml:space="preserve">with </w:t>
      </w:r>
      <w:r w:rsidR="00A76ABD">
        <w:t>a revised Statement of Expectations on 8 April 2014 which provided, among other things</w:t>
      </w:r>
      <w:r w:rsidR="00F17EF4">
        <w:t>,</w:t>
      </w:r>
      <w:r w:rsidR="00A76ABD">
        <w:t xml:space="preserve"> that:</w:t>
      </w:r>
    </w:p>
    <w:p w:rsidR="00A76ABD" w:rsidRDefault="00A76ABD" w:rsidP="00A76ABD">
      <w:pPr>
        <w:pStyle w:val="ListBullet"/>
      </w:pPr>
      <w:r>
        <w:t xml:space="preserve">to minimise cost and increase speed of deployment, the rollout </w:t>
      </w:r>
      <w:r w:rsidR="00274642">
        <w:t xml:space="preserve">of the NBN </w:t>
      </w:r>
      <w:r>
        <w:t xml:space="preserve">should allow for an optimised Multi-Technology Mix (MTM) model.  </w:t>
      </w:r>
      <w:r w:rsidRPr="00D452D2">
        <w:t xml:space="preserve">The MTM deployment includes FTTP, Fibre to the Node (FTTN), </w:t>
      </w:r>
      <w:r w:rsidR="00E610D7">
        <w:t>HFC, fixed w</w:t>
      </w:r>
      <w:r>
        <w:t>irele</w:t>
      </w:r>
      <w:r w:rsidR="00E610D7">
        <w:t>ss and s</w:t>
      </w:r>
      <w:r>
        <w:t>atellite networks</w:t>
      </w:r>
      <w:r w:rsidR="00215567" w:rsidRPr="00F47363">
        <w:rPr>
          <w:rStyle w:val="FootnoteReference"/>
        </w:rPr>
        <w:footnoteReference w:id="10"/>
      </w:r>
    </w:p>
    <w:p w:rsidR="00A76ABD" w:rsidRDefault="00C03C64" w:rsidP="00A76ABD">
      <w:pPr>
        <w:pStyle w:val="ListBullet"/>
      </w:pPr>
      <w:r>
        <w:t>NBN Co</w:t>
      </w:r>
      <w:r w:rsidR="00A76ABD">
        <w:t xml:space="preserve"> has flexibility and discretion in operational, technology and network design decisions, within the constraints of a public equity capital limit of $29.5 billion.</w:t>
      </w:r>
    </w:p>
    <w:p w:rsidR="004B5A25" w:rsidRDefault="004B5A25" w:rsidP="004B5A25">
      <w:pPr>
        <w:pStyle w:val="BodyText"/>
      </w:pPr>
      <w:r>
        <w:t xml:space="preserve">In light of </w:t>
      </w:r>
      <w:r w:rsidR="00DD2695">
        <w:t>the</w:t>
      </w:r>
      <w:r>
        <w:t xml:space="preserve"> Review and the</w:t>
      </w:r>
      <w:r w:rsidR="00DD2695">
        <w:t xml:space="preserve"> change</w:t>
      </w:r>
      <w:r>
        <w:t xml:space="preserve"> to an MTM model, NBN Co’s equity requirements were again revised</w:t>
      </w:r>
      <w:r w:rsidR="003463FF">
        <w:t xml:space="preserve">.  The </w:t>
      </w:r>
      <w:r w:rsidR="00DD2695">
        <w:t>EFA</w:t>
      </w:r>
      <w:r w:rsidR="003463FF">
        <w:t xml:space="preserve"> between the Commonwealth and NBN Co was amended</w:t>
      </w:r>
      <w:r w:rsidR="00DD2695">
        <w:t xml:space="preserve"> in March </w:t>
      </w:r>
      <w:r w:rsidR="00274642">
        <w:t>2014 with a commitment from</w:t>
      </w:r>
      <w:r w:rsidR="003463FF">
        <w:t xml:space="preserve"> the Commonwealth to provide equity to a funding cap of $29.5</w:t>
      </w:r>
      <w:r w:rsidR="00543EBD">
        <w:t> </w:t>
      </w:r>
      <w:r w:rsidR="003463FF">
        <w:t>billion.</w:t>
      </w:r>
      <w:r w:rsidR="003463FF" w:rsidRPr="00F47363">
        <w:rPr>
          <w:rStyle w:val="FootnoteReference"/>
        </w:rPr>
        <w:footnoteReference w:id="11"/>
      </w:r>
      <w:r w:rsidR="003463FF">
        <w:t xml:space="preserve">  P</w:t>
      </w:r>
      <w:r>
        <w:t>eak funding was estimated to be $41</w:t>
      </w:r>
      <w:r w:rsidR="003463FF">
        <w:t>.0</w:t>
      </w:r>
      <w:r>
        <w:t xml:space="preserve"> billion for the MTM model</w:t>
      </w:r>
      <w:r w:rsidR="003463FF">
        <w:t>, rather than $72.6</w:t>
      </w:r>
      <w:r w:rsidR="00543EBD">
        <w:t> </w:t>
      </w:r>
      <w:r>
        <w:t>billion by continuing under the FTTP framework.</w:t>
      </w:r>
      <w:r w:rsidR="00461291">
        <w:t xml:space="preserve">  Comple</w:t>
      </w:r>
      <w:r w:rsidR="00274642">
        <w:t xml:space="preserve">tion of the rollout was </w:t>
      </w:r>
      <w:r w:rsidR="00461291">
        <w:t>schedule</w:t>
      </w:r>
      <w:r w:rsidR="00274642">
        <w:t>d</w:t>
      </w:r>
      <w:r w:rsidR="00461291">
        <w:t xml:space="preserve"> for 2020.  </w:t>
      </w:r>
      <w:r w:rsidR="003672DA">
        <w:t xml:space="preserve">The IRR was </w:t>
      </w:r>
      <w:r w:rsidR="00392502">
        <w:t>forecast at</w:t>
      </w:r>
      <w:r w:rsidR="002270A3">
        <w:t xml:space="preserve"> </w:t>
      </w:r>
      <w:r w:rsidR="00392502">
        <w:t>3.1</w:t>
      </w:r>
      <w:r w:rsidR="00C51446">
        <w:t xml:space="preserve"> to </w:t>
      </w:r>
      <w:r w:rsidR="003672DA">
        <w:t>5.3 per cent</w:t>
      </w:r>
      <w:r w:rsidR="002270A3">
        <w:t xml:space="preserve">, </w:t>
      </w:r>
      <w:r w:rsidR="00310FE3">
        <w:t xml:space="preserve">only attaining </w:t>
      </w:r>
      <w:r w:rsidR="002270A3">
        <w:t xml:space="preserve">7.1 per cent </w:t>
      </w:r>
      <w:r w:rsidR="00F50B5B">
        <w:t>if</w:t>
      </w:r>
      <w:r w:rsidR="00310FE3">
        <w:t xml:space="preserve"> combined </w:t>
      </w:r>
      <w:r w:rsidR="002270A3">
        <w:t>with an annua</w:t>
      </w:r>
      <w:r w:rsidR="00392502">
        <w:t>l Commonwealth subsidy of $0.7</w:t>
      </w:r>
      <w:r w:rsidR="00C51446">
        <w:t xml:space="preserve"> to $</w:t>
      </w:r>
      <w:r w:rsidR="002270A3">
        <w:t>1.3 billion</w:t>
      </w:r>
      <w:r w:rsidR="003672DA">
        <w:t>.</w:t>
      </w:r>
      <w:r w:rsidR="003672DA" w:rsidRPr="00F47363">
        <w:rPr>
          <w:rStyle w:val="FootnoteReference"/>
        </w:rPr>
        <w:footnoteReference w:id="12"/>
      </w:r>
    </w:p>
    <w:p w:rsidR="0016150A" w:rsidRDefault="0016150A" w:rsidP="0016150A">
      <w:pPr>
        <w:pStyle w:val="BodyText"/>
      </w:pPr>
      <w:r>
        <w:t>Following the move to an MTM model, Revised Definitive Agreements (RDAs)</w:t>
      </w:r>
      <w:r w:rsidR="00A43E25">
        <w:t xml:space="preserve"> were signed between NBN Co and </w:t>
      </w:r>
      <w:r>
        <w:t xml:space="preserve">Telstra and Optus on </w:t>
      </w:r>
      <w:r w:rsidR="0002350A">
        <w:t xml:space="preserve">14 December 2014. </w:t>
      </w:r>
      <w:r w:rsidR="00A43E25">
        <w:t xml:space="preserve"> </w:t>
      </w:r>
      <w:r w:rsidR="0002350A">
        <w:t>These enabled NBN Co</w:t>
      </w:r>
      <w:r>
        <w:t xml:space="preserve"> to progressively take</w:t>
      </w:r>
      <w:r w:rsidR="0069339D">
        <w:t xml:space="preserve"> ownership of elements of Optus</w:t>
      </w:r>
      <w:r w:rsidR="00E05BE3">
        <w:t>’</w:t>
      </w:r>
      <w:r>
        <w:t xml:space="preserve"> and Telstra’s HFC networks</w:t>
      </w:r>
      <w:r w:rsidR="00461291">
        <w:t xml:space="preserve"> and Telstra’s copper network. </w:t>
      </w:r>
    </w:p>
    <w:p w:rsidR="0016150A" w:rsidRDefault="0016150A" w:rsidP="0016150A">
      <w:pPr>
        <w:pStyle w:val="BodyText"/>
      </w:pPr>
      <w:r w:rsidRPr="00F840D8">
        <w:lastRenderedPageBreak/>
        <w:t>The 2016</w:t>
      </w:r>
      <w:r>
        <w:t xml:space="preserve"> </w:t>
      </w:r>
      <w:r w:rsidR="00C03C64">
        <w:t>NBN Co</w:t>
      </w:r>
      <w:r w:rsidR="00B377BC">
        <w:t xml:space="preserve"> </w:t>
      </w:r>
      <w:r w:rsidRPr="00F840D8">
        <w:t>Corporate Plan</w:t>
      </w:r>
      <w:r>
        <w:t xml:space="preserve"> indicated an increased </w:t>
      </w:r>
      <w:r w:rsidR="00461291">
        <w:t>peak funding requirement of $49 </w:t>
      </w:r>
      <w:r>
        <w:t xml:space="preserve">billion (within a range of $46 billion to $56 billion).  This increase in peak funding was attributed to continued uncertainty and potential changes in the market and technology. </w:t>
      </w:r>
      <w:r w:rsidR="0009362A">
        <w:t xml:space="preserve"> Using the same long range assumptions as applied in the Strategic Review, the </w:t>
      </w:r>
      <w:r w:rsidR="007D1606">
        <w:t>long</w:t>
      </w:r>
      <w:r w:rsidR="00E83DBB">
        <w:noBreakHyphen/>
      </w:r>
      <w:r w:rsidR="007D1606">
        <w:t xml:space="preserve">term financial outlook </w:t>
      </w:r>
      <w:r w:rsidR="000203E9">
        <w:t>forecast</w:t>
      </w:r>
      <w:r w:rsidR="007D1606">
        <w:t xml:space="preserve"> an IRR of 2.7 to 3.5 per cent.</w:t>
      </w:r>
      <w:r w:rsidR="007D1606" w:rsidRPr="00F47363">
        <w:rPr>
          <w:rStyle w:val="FootnoteReference"/>
        </w:rPr>
        <w:footnoteReference w:id="13"/>
      </w:r>
    </w:p>
    <w:p w:rsidR="002867AB" w:rsidRPr="00585707" w:rsidRDefault="0016150A" w:rsidP="00585707">
      <w:pPr>
        <w:pStyle w:val="BodyText"/>
      </w:pPr>
      <w:r w:rsidRPr="00585707">
        <w:t xml:space="preserve">The </w:t>
      </w:r>
      <w:r w:rsidR="00C51446" w:rsidRPr="00585707">
        <w:t xml:space="preserve">2017 </w:t>
      </w:r>
      <w:r w:rsidR="00C03C64" w:rsidRPr="00585707">
        <w:t>NBN Co</w:t>
      </w:r>
      <w:r w:rsidR="00B377BC" w:rsidRPr="00585707">
        <w:t xml:space="preserve"> </w:t>
      </w:r>
      <w:r w:rsidRPr="00585707">
        <w:t xml:space="preserve">Corporate Plan </w:t>
      </w:r>
      <w:r w:rsidR="00B8465E" w:rsidRPr="00585707">
        <w:t>support</w:t>
      </w:r>
      <w:r w:rsidR="0028394B" w:rsidRPr="00585707">
        <w:t>s</w:t>
      </w:r>
      <w:r w:rsidRPr="00585707">
        <w:t xml:space="preserve"> a base case peak funding requirement of $</w:t>
      </w:r>
      <w:r w:rsidR="0078611B" w:rsidRPr="00585707">
        <w:t>49</w:t>
      </w:r>
      <w:r w:rsidR="00555368" w:rsidRPr="00585707">
        <w:t> </w:t>
      </w:r>
      <w:r w:rsidRPr="00585707">
        <w:t>billion (within a redu</w:t>
      </w:r>
      <w:r w:rsidR="009579CA" w:rsidRPr="00585707">
        <w:t>ced range of $46 billion to $54 </w:t>
      </w:r>
      <w:r w:rsidRPr="00585707">
        <w:t>billion)</w:t>
      </w:r>
      <w:r w:rsidR="000203E9" w:rsidRPr="00585707">
        <w:t xml:space="preserve"> with an expected IRR of 3.2 to 3.7 per cent</w:t>
      </w:r>
      <w:r w:rsidRPr="00585707">
        <w:t>.</w:t>
      </w:r>
      <w:r w:rsidR="000203E9" w:rsidRPr="00F47363">
        <w:rPr>
          <w:rStyle w:val="FootnoteReference"/>
        </w:rPr>
        <w:footnoteReference w:id="14"/>
      </w:r>
      <w:r w:rsidRPr="00585707">
        <w:t xml:space="preserve">  The equity funding capital limit under the EFA with the Commonwealth remains at</w:t>
      </w:r>
      <w:r w:rsidR="001510FA" w:rsidRPr="00585707">
        <w:t xml:space="preserve"> $29.5 </w:t>
      </w:r>
      <w:r w:rsidRPr="00585707">
        <w:t>billion</w:t>
      </w:r>
      <w:r w:rsidR="00573CCA" w:rsidRPr="00585707">
        <w:t xml:space="preserve"> which is expected to be contributed in full by 2016</w:t>
      </w:r>
      <w:r w:rsidR="00E83DBB">
        <w:t>–</w:t>
      </w:r>
      <w:r w:rsidR="00573CCA" w:rsidRPr="00585707">
        <w:t>17</w:t>
      </w:r>
      <w:r w:rsidR="001510FA" w:rsidRPr="00585707">
        <w:t>.</w:t>
      </w:r>
    </w:p>
    <w:p w:rsidR="00DF5A63" w:rsidRDefault="00DF5A63" w:rsidP="004E017B">
      <w:pPr>
        <w:pStyle w:val="BodyText"/>
      </w:pPr>
      <w:r>
        <w:t xml:space="preserve">On 18 November 2016, the </w:t>
      </w:r>
      <w:r w:rsidRPr="00DF5A63">
        <w:t>Minister for Finance and the Minister for Communications announced</w:t>
      </w:r>
      <w:r>
        <w:t xml:space="preserve"> that the Government will provide </w:t>
      </w:r>
      <w:r w:rsidRPr="00DF5A63">
        <w:t xml:space="preserve">the remaining </w:t>
      </w:r>
      <w:r w:rsidR="0078611B">
        <w:t>$19.5 billion</w:t>
      </w:r>
      <w:r w:rsidRPr="00DF5A63">
        <w:t xml:space="preserve"> required to complete th</w:t>
      </w:r>
      <w:r>
        <w:t>e</w:t>
      </w:r>
      <w:r w:rsidRPr="00DF5A63">
        <w:t xml:space="preserve"> rollout </w:t>
      </w:r>
      <w:r>
        <w:t xml:space="preserve">of the NBN </w:t>
      </w:r>
      <w:r w:rsidRPr="00DF5A63">
        <w:t>through a Government loan to NBN Co</w:t>
      </w:r>
      <w:r w:rsidR="0078611B">
        <w:t>, with the expectation that the loan will be re-financed by NBN Co</w:t>
      </w:r>
      <w:r w:rsidRPr="00DF5A63">
        <w:t xml:space="preserve"> on </w:t>
      </w:r>
      <w:r w:rsidR="0078611B">
        <w:t>external markets in 2020</w:t>
      </w:r>
      <w:r w:rsidR="00E83DBB">
        <w:t>–</w:t>
      </w:r>
      <w:r w:rsidR="0078611B">
        <w:t>21</w:t>
      </w:r>
      <w:r w:rsidR="00A40FB6">
        <w:t>.</w:t>
      </w:r>
      <w:r w:rsidRPr="00F47363">
        <w:rPr>
          <w:rStyle w:val="FootnoteReference"/>
        </w:rPr>
        <w:footnoteReference w:id="15"/>
      </w:r>
    </w:p>
    <w:p w:rsidR="003630C0" w:rsidRDefault="003630C0" w:rsidP="004E017B">
      <w:pPr>
        <w:pStyle w:val="BodyText"/>
      </w:pPr>
      <w:r>
        <w:t xml:space="preserve">Based on advice from the Department of Communications and the Arts </w:t>
      </w:r>
      <w:r w:rsidR="001F4441">
        <w:t xml:space="preserve">at the time of the announcement, </w:t>
      </w:r>
      <w:r>
        <w:t>the Government loan to NBN Co is expected to be provided on the following terms:</w:t>
      </w:r>
    </w:p>
    <w:p w:rsidR="003630C0" w:rsidRDefault="00444804" w:rsidP="0087058F">
      <w:pPr>
        <w:pStyle w:val="ListBullet"/>
      </w:pPr>
      <w:r>
        <w:t>m</w:t>
      </w:r>
      <w:r w:rsidR="00D45978">
        <w:t>onthly</w:t>
      </w:r>
      <w:r w:rsidR="003630C0">
        <w:t xml:space="preserve"> drawdowns </w:t>
      </w:r>
      <w:r w:rsidR="00D45978">
        <w:t>totalling</w:t>
      </w:r>
      <w:r w:rsidR="003630C0">
        <w:t xml:space="preserve"> $10.0 billion in 2017</w:t>
      </w:r>
      <w:r w:rsidR="00E83DBB">
        <w:t>–</w:t>
      </w:r>
      <w:r w:rsidR="003630C0">
        <w:t>18, $6.6 billion in 2018</w:t>
      </w:r>
      <w:r w:rsidR="00E83DBB">
        <w:t>–</w:t>
      </w:r>
      <w:r w:rsidR="003630C0">
        <w:t>19, $2.5</w:t>
      </w:r>
      <w:r w:rsidR="00F312BE">
        <w:t> </w:t>
      </w:r>
      <w:r w:rsidR="003630C0">
        <w:t>billion in 2019</w:t>
      </w:r>
      <w:r w:rsidR="00E83DBB">
        <w:t>–</w:t>
      </w:r>
      <w:r w:rsidR="003630C0">
        <w:t>20 and $0.4 billion</w:t>
      </w:r>
      <w:r w:rsidR="00F312BE">
        <w:t xml:space="preserve"> in 2020</w:t>
      </w:r>
      <w:r w:rsidR="00E83DBB">
        <w:t>–</w:t>
      </w:r>
      <w:r w:rsidR="00F312BE">
        <w:t>21</w:t>
      </w:r>
    </w:p>
    <w:p w:rsidR="002C3916" w:rsidRDefault="00444804" w:rsidP="007E725A">
      <w:pPr>
        <w:pStyle w:val="ListBullet"/>
      </w:pPr>
      <w:r>
        <w:t>m</w:t>
      </w:r>
      <w:r w:rsidR="002C3916">
        <w:t>onthly interest payments at the four year swap rate c</w:t>
      </w:r>
      <w:r w:rsidR="00E83DBB">
        <w:t>urrent at the time of the first </w:t>
      </w:r>
      <w:r w:rsidR="002C3916">
        <w:t>loan drawdown (2.61 per cent</w:t>
      </w:r>
      <w:r w:rsidR="005D5F77">
        <w:t xml:space="preserve"> at time of announcement</w:t>
      </w:r>
      <w:r w:rsidR="002C3916">
        <w:t>) plus a margin to reflect NBN Co’s credit rating, establishment and hedging costs (approx</w:t>
      </w:r>
      <w:r w:rsidR="008D4C0F">
        <w:t>imately an additional 1.10 </w:t>
      </w:r>
      <w:r w:rsidR="002C3916">
        <w:t>per</w:t>
      </w:r>
      <w:r w:rsidR="005D5F77">
        <w:t> </w:t>
      </w:r>
      <w:r w:rsidR="002C3916">
        <w:t>cent</w:t>
      </w:r>
      <w:r w:rsidR="00EB4B9D">
        <w:t>)</w:t>
      </w:r>
      <w:r w:rsidR="00E83DBB">
        <w:t>—</w:t>
      </w:r>
      <w:r w:rsidR="007228D9">
        <w:t>a total interest rate of 3.71 per cent</w:t>
      </w:r>
      <w:r>
        <w:t>, and</w:t>
      </w:r>
    </w:p>
    <w:p w:rsidR="001D0D2D" w:rsidRDefault="00444804" w:rsidP="0087058F">
      <w:pPr>
        <w:pStyle w:val="ListBullet"/>
      </w:pPr>
      <w:r>
        <w:t>r</w:t>
      </w:r>
      <w:r w:rsidR="001D0D2D">
        <w:t>epayment of principal in full in 2020</w:t>
      </w:r>
      <w:r w:rsidR="00E83DBB">
        <w:t>–</w:t>
      </w:r>
      <w:r w:rsidR="001D0D2D">
        <w:t>21</w:t>
      </w:r>
      <w:r w:rsidR="00440C0F">
        <w:t>.</w:t>
      </w:r>
    </w:p>
    <w:p w:rsidR="00DF5A63" w:rsidRDefault="00DF5A63" w:rsidP="004E017B">
      <w:pPr>
        <w:pStyle w:val="BodyText"/>
      </w:pPr>
    </w:p>
    <w:p w:rsidR="006321E1" w:rsidRDefault="006321E1" w:rsidP="006321E1">
      <w:pPr>
        <w:pStyle w:val="Heading1"/>
        <w:sectPr w:rsidR="006321E1" w:rsidSect="00DF743D">
          <w:headerReference w:type="even" r:id="rId30"/>
          <w:headerReference w:type="default" r:id="rId31"/>
          <w:footerReference w:type="even" r:id="rId32"/>
          <w:footerReference w:type="default" r:id="rId33"/>
          <w:type w:val="oddPage"/>
          <w:pgSz w:w="11906" w:h="16838" w:code="9"/>
          <w:pgMar w:top="1361" w:right="1797" w:bottom="1474" w:left="1797" w:header="283" w:footer="454" w:gutter="0"/>
          <w:pgNumType w:start="1"/>
          <w:cols w:space="708"/>
          <w:docGrid w:linePitch="360"/>
        </w:sectPr>
      </w:pPr>
      <w:bookmarkStart w:id="33" w:name="_Toc463938653"/>
      <w:bookmarkStart w:id="34" w:name="_Toc464813471"/>
      <w:bookmarkStart w:id="35" w:name="_Toc465071562"/>
      <w:bookmarkStart w:id="36" w:name="_Toc465082002"/>
      <w:bookmarkStart w:id="37" w:name="_Toc465082207"/>
    </w:p>
    <w:p w:rsidR="00B734A2" w:rsidRPr="00D37CC3" w:rsidRDefault="00B734A2" w:rsidP="00D37CC3">
      <w:pPr>
        <w:pStyle w:val="Heading1"/>
      </w:pPr>
      <w:bookmarkStart w:id="38" w:name="_Toc468692633"/>
      <w:r w:rsidRPr="00D37CC3">
        <w:lastRenderedPageBreak/>
        <w:t>Budget impact of the NBN</w:t>
      </w:r>
      <w:bookmarkEnd w:id="33"/>
      <w:bookmarkEnd w:id="34"/>
      <w:bookmarkEnd w:id="35"/>
      <w:bookmarkEnd w:id="36"/>
      <w:bookmarkEnd w:id="37"/>
      <w:bookmarkEnd w:id="38"/>
    </w:p>
    <w:p w:rsidR="00756D20" w:rsidRDefault="00756D20" w:rsidP="003C1C1B">
      <w:pPr>
        <w:pStyle w:val="BodyText"/>
      </w:pPr>
      <w:r>
        <w:t xml:space="preserve">The equity and debt finance provided by the Government to NBN Co impacts on the </w:t>
      </w:r>
      <w:r w:rsidR="002867AB">
        <w:t xml:space="preserve">Commonwealth’s operating balances </w:t>
      </w:r>
      <w:r w:rsidR="009D588D">
        <w:t xml:space="preserve">and net </w:t>
      </w:r>
      <w:r w:rsidR="00B40275">
        <w:t>worth.</w:t>
      </w:r>
      <w:r w:rsidR="00E83DBB">
        <w:t xml:space="preserve"> </w:t>
      </w:r>
      <w:r>
        <w:t xml:space="preserve"> </w:t>
      </w:r>
      <w:r w:rsidR="007228D9">
        <w:t>Since the impacts on the fiscal and underlying cash balances are similar, t</w:t>
      </w:r>
      <w:r w:rsidR="002867AB">
        <w:t>h</w:t>
      </w:r>
      <w:r w:rsidR="007228D9">
        <w:t xml:space="preserve">e following discussion </w:t>
      </w:r>
      <w:r w:rsidR="002867AB">
        <w:t xml:space="preserve">focuses on </w:t>
      </w:r>
      <w:r w:rsidR="007228D9">
        <w:t>the impacts of the NBN on the underlying cash balance and net worth.</w:t>
      </w:r>
      <w:r w:rsidR="00664727">
        <w:t xml:space="preserve">  The PBO has not made any assessment of the broader economic impacts of the NBN.</w:t>
      </w:r>
    </w:p>
    <w:p w:rsidR="00B734A2" w:rsidRPr="00E83DBB" w:rsidRDefault="009D588D" w:rsidP="00E83DBB">
      <w:pPr>
        <w:pStyle w:val="Heading2"/>
      </w:pPr>
      <w:bookmarkStart w:id="39" w:name="_Toc468692634"/>
      <w:bookmarkStart w:id="40" w:name="_Toc463938657"/>
      <w:bookmarkStart w:id="41" w:name="_Toc464813473"/>
      <w:bookmarkStart w:id="42" w:name="_Toc465071564"/>
      <w:bookmarkStart w:id="43" w:name="_Toc465082004"/>
      <w:bookmarkStart w:id="44" w:name="_Toc465082209"/>
      <w:r w:rsidRPr="00E83DBB">
        <w:t>Impact on u</w:t>
      </w:r>
      <w:r w:rsidR="009E773E" w:rsidRPr="00E83DBB">
        <w:t>nderlying cash balance</w:t>
      </w:r>
      <w:bookmarkEnd w:id="39"/>
      <w:bookmarkEnd w:id="40"/>
      <w:bookmarkEnd w:id="41"/>
      <w:bookmarkEnd w:id="42"/>
      <w:bookmarkEnd w:id="43"/>
      <w:bookmarkEnd w:id="44"/>
    </w:p>
    <w:p w:rsidR="00733B0D" w:rsidRDefault="00B734A2" w:rsidP="00555368">
      <w:pPr>
        <w:pStyle w:val="BodyText"/>
      </w:pPr>
      <w:r>
        <w:t xml:space="preserve">The </w:t>
      </w:r>
      <w:r w:rsidR="00A401A6">
        <w:t xml:space="preserve">Commonwealth’s equity contributions </w:t>
      </w:r>
      <w:r w:rsidR="008724A7">
        <w:t xml:space="preserve">and </w:t>
      </w:r>
      <w:r w:rsidR="006F6E0C">
        <w:t xml:space="preserve">its </w:t>
      </w:r>
      <w:r w:rsidR="008724A7">
        <w:t xml:space="preserve">loan to </w:t>
      </w:r>
      <w:r w:rsidR="00A401A6">
        <w:t xml:space="preserve">NBN </w:t>
      </w:r>
      <w:r w:rsidR="00550526">
        <w:t xml:space="preserve">Co </w:t>
      </w:r>
      <w:r w:rsidR="00A401A6">
        <w:t xml:space="preserve">are funded through </w:t>
      </w:r>
      <w:r>
        <w:t>the issue of Commonwealth Government Securities (CGS) as part of the Government’s overall debt issuance program.</w:t>
      </w:r>
    </w:p>
    <w:p w:rsidR="009E773E" w:rsidRDefault="007228D9" w:rsidP="00555368">
      <w:pPr>
        <w:pStyle w:val="BodyText"/>
      </w:pPr>
      <w:r>
        <w:t>The associated a</w:t>
      </w:r>
      <w:r w:rsidR="002B1ED7">
        <w:t xml:space="preserve">nnual </w:t>
      </w:r>
      <w:r w:rsidR="00430D45">
        <w:t>public debt interest (</w:t>
      </w:r>
      <w:r w:rsidR="002B1ED7">
        <w:t>PDI</w:t>
      </w:r>
      <w:r w:rsidR="00430D45">
        <w:t>)</w:t>
      </w:r>
      <w:r w:rsidR="002B1ED7">
        <w:t xml:space="preserve"> costs </w:t>
      </w:r>
      <w:r>
        <w:t xml:space="preserve">and the interest </w:t>
      </w:r>
      <w:r w:rsidR="00733B0D">
        <w:t xml:space="preserve">receipts from the government loan to the NBN, although not separately identified in the budget papers, </w:t>
      </w:r>
      <w:r w:rsidR="002B1ED7">
        <w:t xml:space="preserve">are included in </w:t>
      </w:r>
      <w:r w:rsidR="00A566E3">
        <w:t xml:space="preserve">the </w:t>
      </w:r>
      <w:r w:rsidR="00733B0D">
        <w:t>aggregate underlying cash balance.</w:t>
      </w:r>
    </w:p>
    <w:p w:rsidR="00A13A23" w:rsidRDefault="000824F8" w:rsidP="003E79D8">
      <w:pPr>
        <w:pStyle w:val="BodyText"/>
      </w:pPr>
      <w:r>
        <w:t xml:space="preserve">The </w:t>
      </w:r>
      <w:r w:rsidR="00733B0D">
        <w:t xml:space="preserve">PBO estimates that in underlying cash terms the annual cost of the </w:t>
      </w:r>
      <w:r w:rsidR="005D5F77">
        <w:t xml:space="preserve">Government’s </w:t>
      </w:r>
      <w:r w:rsidR="00733B0D">
        <w:t>financing of the NBN Co in 201</w:t>
      </w:r>
      <w:r w:rsidR="000E7908">
        <w:t>5</w:t>
      </w:r>
      <w:r w:rsidR="00A76093">
        <w:t>–</w:t>
      </w:r>
      <w:r w:rsidR="00733B0D">
        <w:t>1</w:t>
      </w:r>
      <w:r w:rsidR="000E7908">
        <w:t>6</w:t>
      </w:r>
      <w:r w:rsidR="00733B0D">
        <w:t xml:space="preserve"> w</w:t>
      </w:r>
      <w:r w:rsidR="000E7908">
        <w:t>as</w:t>
      </w:r>
      <w:r w:rsidR="00713226">
        <w:t xml:space="preserve"> </w:t>
      </w:r>
      <w:r w:rsidR="00A40FB6">
        <w:t xml:space="preserve">around </w:t>
      </w:r>
      <w:r w:rsidR="008951BA">
        <w:t>$</w:t>
      </w:r>
      <w:r w:rsidR="000E7908">
        <w:t>58</w:t>
      </w:r>
      <w:r w:rsidR="00A40FB6">
        <w:t>0</w:t>
      </w:r>
      <w:r>
        <w:t> </w:t>
      </w:r>
      <w:r w:rsidR="008951BA">
        <w:t>m</w:t>
      </w:r>
      <w:r w:rsidR="00982D6C">
        <w:t>illion</w:t>
      </w:r>
      <w:r w:rsidR="00733B0D">
        <w:t>.</w:t>
      </w:r>
      <w:r w:rsidR="00982D6C">
        <w:t xml:space="preserve"> </w:t>
      </w:r>
      <w:r w:rsidR="0080749B">
        <w:t xml:space="preserve"> </w:t>
      </w:r>
      <w:r>
        <w:t xml:space="preserve">This </w:t>
      </w:r>
      <w:r w:rsidR="00EE3266">
        <w:t xml:space="preserve">annual </w:t>
      </w:r>
      <w:r>
        <w:t xml:space="preserve">cost is </w:t>
      </w:r>
      <w:r w:rsidR="00733B0D">
        <w:t>estimated</w:t>
      </w:r>
      <w:r>
        <w:t xml:space="preserve"> to</w:t>
      </w:r>
      <w:r w:rsidR="004A1022">
        <w:t xml:space="preserve"> increase to </w:t>
      </w:r>
      <w:r>
        <w:t xml:space="preserve">around </w:t>
      </w:r>
      <w:r w:rsidR="004A1022">
        <w:t>$</w:t>
      </w:r>
      <w:r w:rsidR="00C13C4D">
        <w:t>730</w:t>
      </w:r>
      <w:r w:rsidR="00A40FB6">
        <w:t> </w:t>
      </w:r>
      <w:r w:rsidR="008951BA">
        <w:t>m</w:t>
      </w:r>
      <w:r w:rsidR="004A1022">
        <w:t xml:space="preserve">illion </w:t>
      </w:r>
      <w:r w:rsidR="00982D6C">
        <w:t>by 2019</w:t>
      </w:r>
      <w:r w:rsidR="00A76093">
        <w:t>–</w:t>
      </w:r>
      <w:r w:rsidR="00982D6C">
        <w:t>20</w:t>
      </w:r>
      <w:r w:rsidR="0058476A">
        <w:t xml:space="preserve"> and</w:t>
      </w:r>
      <w:r w:rsidR="006B52CE">
        <w:t xml:space="preserve"> to</w:t>
      </w:r>
      <w:r w:rsidR="0058476A">
        <w:t xml:space="preserve"> $2.</w:t>
      </w:r>
      <w:r w:rsidR="00A40FB6">
        <w:t xml:space="preserve">1 </w:t>
      </w:r>
      <w:r w:rsidR="0058476A">
        <w:t>billion</w:t>
      </w:r>
      <w:r w:rsidR="006B52CE">
        <w:t xml:space="preserve"> </w:t>
      </w:r>
      <w:r w:rsidR="0058476A">
        <w:t>in 2026</w:t>
      </w:r>
      <w:r w:rsidR="00A76093">
        <w:t>–</w:t>
      </w:r>
      <w:r w:rsidR="0058476A">
        <w:t>27</w:t>
      </w:r>
      <w:r w:rsidR="00733B0D">
        <w:t xml:space="preserve"> (</w:t>
      </w:r>
      <w:r w:rsidR="00F47363">
        <w:fldChar w:fldCharType="begin"/>
      </w:r>
      <w:r w:rsidR="00F47363">
        <w:instrText xml:space="preserve"> REF _Ref468708656 \h </w:instrText>
      </w:r>
      <w:r w:rsidR="00F47363">
        <w:fldChar w:fldCharType="separate"/>
      </w:r>
      <w:r w:rsidR="006E530F" w:rsidRPr="002555AE">
        <w:t xml:space="preserve">Figure </w:t>
      </w:r>
      <w:r w:rsidR="006E530F">
        <w:rPr>
          <w:noProof/>
        </w:rPr>
        <w:t>2</w:t>
      </w:r>
      <w:r w:rsidR="006E530F" w:rsidRPr="002555AE">
        <w:t>–</w:t>
      </w:r>
      <w:r w:rsidR="006E530F">
        <w:rPr>
          <w:noProof/>
        </w:rPr>
        <w:t>1</w:t>
      </w:r>
      <w:r w:rsidR="00F47363">
        <w:fldChar w:fldCharType="end"/>
      </w:r>
      <w:r w:rsidR="00733B0D">
        <w:t>)</w:t>
      </w:r>
      <w:r w:rsidR="00982D6C">
        <w:t>.</w:t>
      </w:r>
      <w:r w:rsidR="0080749B" w:rsidRPr="0080749B">
        <w:rPr>
          <w:rStyle w:val="FootnoteReference"/>
        </w:rPr>
        <w:t xml:space="preserve"> </w:t>
      </w:r>
    </w:p>
    <w:p w:rsidR="002555AE" w:rsidRDefault="00EE3266" w:rsidP="002555AE">
      <w:pPr>
        <w:pStyle w:val="BodyText"/>
      </w:pPr>
      <w:r>
        <w:t>The negative impact on the underlying cash balance is entirely due to the PDI payable on the government borrowings required to support the government’s accumulated equity contributions to NBN Co.  This cost is partially offset by the interest receipts from NBN</w:t>
      </w:r>
      <w:r w:rsidR="000C30E8">
        <w:t> </w:t>
      </w:r>
      <w:r>
        <w:t xml:space="preserve">Co </w:t>
      </w:r>
      <w:r w:rsidR="005D5F77">
        <w:t>over the period 2017</w:t>
      </w:r>
      <w:r w:rsidR="00A76093">
        <w:t>–</w:t>
      </w:r>
      <w:r w:rsidR="005D5F77">
        <w:t>18 to 2020</w:t>
      </w:r>
      <w:r w:rsidR="00A76093">
        <w:t>–</w:t>
      </w:r>
      <w:r w:rsidR="005D5F77">
        <w:t xml:space="preserve">21 </w:t>
      </w:r>
      <w:r>
        <w:t>which exceed the costs of the government’s borrowings to support the loan to NBN Co.</w:t>
      </w:r>
    </w:p>
    <w:p w:rsidR="002555AE" w:rsidRPr="002555AE" w:rsidRDefault="002555AE" w:rsidP="002555AE">
      <w:pPr>
        <w:pStyle w:val="Caption"/>
      </w:pPr>
      <w:bookmarkStart w:id="45" w:name="_Ref468708656"/>
      <w:r w:rsidRPr="002555AE">
        <w:t xml:space="preserve">Figure </w:t>
      </w:r>
      <w:r w:rsidR="00C11274">
        <w:fldChar w:fldCharType="begin"/>
      </w:r>
      <w:r w:rsidR="00C11274">
        <w:instrText xml:space="preserve"> STYLEREF 1 \s </w:instrText>
      </w:r>
      <w:r w:rsidR="00C11274">
        <w:fldChar w:fldCharType="separate"/>
      </w:r>
      <w:r w:rsidR="006E530F">
        <w:rPr>
          <w:noProof/>
        </w:rPr>
        <w:t>2</w:t>
      </w:r>
      <w:r w:rsidR="00C11274">
        <w:rPr>
          <w:noProof/>
        </w:rPr>
        <w:fldChar w:fldCharType="end"/>
      </w:r>
      <w:r w:rsidRPr="002555AE">
        <w:t>–</w:t>
      </w:r>
      <w:r w:rsidR="00C11274">
        <w:fldChar w:fldCharType="begin"/>
      </w:r>
      <w:r w:rsidR="00C11274">
        <w:instrText xml:space="preserve"> SEQ Figure \* ARABIC \s 1 </w:instrText>
      </w:r>
      <w:r w:rsidR="00C11274">
        <w:fldChar w:fldCharType="separate"/>
      </w:r>
      <w:r w:rsidR="006E530F">
        <w:rPr>
          <w:noProof/>
        </w:rPr>
        <w:t>1</w:t>
      </w:r>
      <w:r w:rsidR="00C11274">
        <w:rPr>
          <w:noProof/>
        </w:rPr>
        <w:fldChar w:fldCharType="end"/>
      </w:r>
      <w:bookmarkEnd w:id="45"/>
      <w:r w:rsidRPr="002555AE">
        <w:t xml:space="preserve">: </w:t>
      </w:r>
      <w:r>
        <w:t>Annual cost of the NB</w:t>
      </w:r>
      <w:r w:rsidR="002A456B">
        <w:t>N</w:t>
      </w:r>
      <w:r>
        <w:t xml:space="preserve"> on an underlying cash balance basis ($ million)</w:t>
      </w:r>
    </w:p>
    <w:p w:rsidR="00F47363" w:rsidRDefault="00444804" w:rsidP="00BD6E13">
      <w:pPr>
        <w:pStyle w:val="BodyText"/>
        <w:spacing w:after="114"/>
      </w:pPr>
      <w:r>
        <w:rPr>
          <w:noProof/>
          <w:lang w:eastAsia="en-AU"/>
        </w:rPr>
        <w:drawing>
          <wp:inline distT="0" distB="0" distL="0" distR="0" wp14:anchorId="18CAFDB3" wp14:editId="3E736E88">
            <wp:extent cx="4731026" cy="3028327"/>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44119" cy="3036708"/>
                    </a:xfrm>
                    <a:prstGeom prst="rect">
                      <a:avLst/>
                    </a:prstGeom>
                    <a:noFill/>
                  </pic:spPr>
                </pic:pic>
              </a:graphicData>
            </a:graphic>
          </wp:inline>
        </w:drawing>
      </w:r>
    </w:p>
    <w:p w:rsidR="007A53F8" w:rsidRDefault="00F26FBF" w:rsidP="00F26FBF">
      <w:pPr>
        <w:pStyle w:val="Source"/>
        <w:ind w:left="720" w:hanging="720"/>
      </w:pPr>
      <w:r>
        <w:t>Source:</w:t>
      </w:r>
      <w:r>
        <w:tab/>
      </w:r>
      <w:r w:rsidR="007A53F8">
        <w:t>PBO calculations.</w:t>
      </w:r>
    </w:p>
    <w:p w:rsidR="009376A9" w:rsidRDefault="009376A9" w:rsidP="009540FD">
      <w:pPr>
        <w:pStyle w:val="BodyText"/>
      </w:pPr>
      <w:bookmarkStart w:id="46" w:name="_Toc464813475"/>
      <w:bookmarkStart w:id="47" w:name="_Toc465071566"/>
      <w:bookmarkStart w:id="48" w:name="_Toc465082006"/>
      <w:bookmarkStart w:id="49" w:name="_Toc465082211"/>
      <w:bookmarkStart w:id="50" w:name="_Toc468692635"/>
      <w:r w:rsidRPr="009376A9">
        <w:lastRenderedPageBreak/>
        <w:t xml:space="preserve">In estimating the PDI </w:t>
      </w:r>
      <w:r w:rsidR="008D4C0F">
        <w:t>cost, the PBO has assumed that:</w:t>
      </w:r>
    </w:p>
    <w:p w:rsidR="009376A9" w:rsidRDefault="009376A9" w:rsidP="009540FD">
      <w:pPr>
        <w:pStyle w:val="ListBullet"/>
      </w:pPr>
      <w:r w:rsidRPr="009376A9">
        <w:t>annual net issuance for the equity contribution is fina</w:t>
      </w:r>
      <w:r w:rsidR="008D4C0F">
        <w:t>nced exclusively by 10-year CGS</w:t>
      </w:r>
    </w:p>
    <w:p w:rsidR="009376A9" w:rsidRDefault="009376A9" w:rsidP="009540FD">
      <w:pPr>
        <w:pStyle w:val="ListBullet"/>
      </w:pPr>
      <w:r w:rsidRPr="009376A9">
        <w:t>the Commonwealth’s $29.5 billion cap on equity i</w:t>
      </w:r>
      <w:r w:rsidR="008D4C0F">
        <w:t>njections is reached in 2016–17</w:t>
      </w:r>
    </w:p>
    <w:p w:rsidR="009376A9" w:rsidRDefault="009376A9" w:rsidP="009540FD">
      <w:pPr>
        <w:pStyle w:val="ListBullet"/>
      </w:pPr>
      <w:r w:rsidRPr="009376A9">
        <w:t>10-year bond yields on CGS will remain relatively flat at 2.5 per cent to 2019–20 and then increase to 5.5 per cent by 2026–27, consistent with the approach used in the budget</w:t>
      </w:r>
      <w:r>
        <w:t>,</w:t>
      </w:r>
      <w:r w:rsidR="008D4C0F">
        <w:t xml:space="preserve"> and</w:t>
      </w:r>
    </w:p>
    <w:p w:rsidR="009376A9" w:rsidRDefault="009376A9" w:rsidP="009540FD">
      <w:pPr>
        <w:pStyle w:val="ListBullet"/>
      </w:pPr>
      <w:proofErr w:type="gramStart"/>
      <w:r w:rsidRPr="009376A9">
        <w:t>annual</w:t>
      </w:r>
      <w:proofErr w:type="gramEnd"/>
      <w:r w:rsidRPr="009376A9">
        <w:t xml:space="preserve"> net issuance for the debt contribution over the period 2017</w:t>
      </w:r>
      <w:r w:rsidR="008D4C0F">
        <w:t>–</w:t>
      </w:r>
      <w:r w:rsidRPr="009376A9">
        <w:t>18 to 2020</w:t>
      </w:r>
      <w:r w:rsidR="008D4C0F">
        <w:t>–</w:t>
      </w:r>
      <w:r w:rsidRPr="009376A9">
        <w:t>21 is financed annually at yields on CGS of around 2.5 per cent.</w:t>
      </w:r>
    </w:p>
    <w:p w:rsidR="00805D16" w:rsidRDefault="00805D16" w:rsidP="00805D16">
      <w:pPr>
        <w:pStyle w:val="BodyText"/>
      </w:pPr>
      <w:r>
        <w:t xml:space="preserve">There is currently no publicly available information on when NBN Co </w:t>
      </w:r>
      <w:r w:rsidR="00876EAC">
        <w:t>is projected</w:t>
      </w:r>
      <w:r>
        <w:t xml:space="preserve"> to start paying dividends to the Commonwealth.  If NBN Co pays dividends in the future</w:t>
      </w:r>
      <w:r w:rsidR="00876EAC">
        <w:t>, the dividend receipts would have a positive impact on the underlying cash balance.</w:t>
      </w:r>
    </w:p>
    <w:p w:rsidR="00561C59" w:rsidRPr="0029077A" w:rsidRDefault="008329BB">
      <w:pPr>
        <w:pStyle w:val="Heading2"/>
      </w:pPr>
      <w:r w:rsidRPr="0029077A">
        <w:t xml:space="preserve">Impact </w:t>
      </w:r>
      <w:bookmarkEnd w:id="46"/>
      <w:bookmarkEnd w:id="47"/>
      <w:bookmarkEnd w:id="48"/>
      <w:bookmarkEnd w:id="49"/>
      <w:r w:rsidRPr="0029077A">
        <w:t>on net worth</w:t>
      </w:r>
      <w:bookmarkEnd w:id="50"/>
    </w:p>
    <w:p w:rsidR="00C40E43" w:rsidRDefault="002C2FFD" w:rsidP="00A76093">
      <w:pPr>
        <w:pStyle w:val="BodyText"/>
      </w:pPr>
      <w:r>
        <w:t xml:space="preserve">The Commonwealth’s net worth includes its equity in NBN Co.  </w:t>
      </w:r>
      <w:r w:rsidR="00982C95">
        <w:t xml:space="preserve">The Commonwealth’s equity in NBN Co </w:t>
      </w:r>
      <w:r>
        <w:t>reflects</w:t>
      </w:r>
      <w:r w:rsidR="00982C95">
        <w:t xml:space="preserve"> the fair value of NBN Co </w:t>
      </w:r>
      <w:r>
        <w:t>which</w:t>
      </w:r>
      <w:r w:rsidR="00982C95">
        <w:t xml:space="preserve"> comprises the Commonwealth’s accumulated equity contributions, less NBN Co accumulated </w:t>
      </w:r>
      <w:r w:rsidR="00E06570">
        <w:t>losses</w:t>
      </w:r>
      <w:r w:rsidR="00E06570" w:rsidRPr="005D5F77">
        <w:t xml:space="preserve">, plus any </w:t>
      </w:r>
      <w:r w:rsidRPr="00831159">
        <w:t xml:space="preserve">NBN Co </w:t>
      </w:r>
      <w:r w:rsidR="00E06570" w:rsidRPr="00831159">
        <w:t>asset revaluations.</w:t>
      </w:r>
    </w:p>
    <w:p w:rsidR="00F50B5B" w:rsidRPr="00C40E43" w:rsidRDefault="00F50B5B" w:rsidP="00A76093">
      <w:pPr>
        <w:pStyle w:val="BodyText"/>
      </w:pPr>
      <w:r>
        <w:t>The fair value of the Commonwealth’s investment in NBN Co is included in the balance sheet in the budget</w:t>
      </w:r>
      <w:r w:rsidR="00D607ED">
        <w:t xml:space="preserve"> papers</w:t>
      </w:r>
      <w:r>
        <w:t xml:space="preserve">.  Changes in the fair value of NBN Co are included in the </w:t>
      </w:r>
      <w:r w:rsidR="00D607ED">
        <w:t>‘</w:t>
      </w:r>
      <w:r>
        <w:t>other economic flows</w:t>
      </w:r>
      <w:r w:rsidR="00D607ED">
        <w:t>’</w:t>
      </w:r>
      <w:r>
        <w:t xml:space="preserve"> component of the operating statement</w:t>
      </w:r>
      <w:r w:rsidR="00D607ED">
        <w:t xml:space="preserve"> in the budget papers</w:t>
      </w:r>
      <w:r>
        <w:t xml:space="preserve">, </w:t>
      </w:r>
      <w:r w:rsidR="00D607ED">
        <w:t xml:space="preserve">although they </w:t>
      </w:r>
      <w:r>
        <w:t>are not separately identified</w:t>
      </w:r>
      <w:r w:rsidR="008D4C0F">
        <w:t>.</w:t>
      </w:r>
      <w:r w:rsidR="00460E9A">
        <w:rPr>
          <w:rStyle w:val="FootnoteReference"/>
        </w:rPr>
        <w:footnoteReference w:id="16"/>
      </w:r>
      <w:r>
        <w:t xml:space="preserve">  Changes in the fair value of </w:t>
      </w:r>
      <w:r w:rsidR="00D607ED">
        <w:t>NBN Co</w:t>
      </w:r>
      <w:r>
        <w:t xml:space="preserve"> are not reflected in the fiscal or underlying cash balances.</w:t>
      </w:r>
    </w:p>
    <w:p w:rsidR="009376A9" w:rsidRDefault="00E06570" w:rsidP="00A76093">
      <w:pPr>
        <w:pStyle w:val="BodyText"/>
      </w:pPr>
      <w:r>
        <w:t>As at 30 June 2016, the fair value of NBN Co totalled $13.1 billion, comprising accumulated Commonwealth equity contributions of $20.3 billion, less accumulated NBN Co losses of $8.3</w:t>
      </w:r>
      <w:r w:rsidR="0096042B">
        <w:t> </w:t>
      </w:r>
      <w:r>
        <w:t>billion, plus asset revaluations of $1.0 billion (</w:t>
      </w:r>
      <w:r w:rsidR="00F47363">
        <w:fldChar w:fldCharType="begin"/>
      </w:r>
      <w:r w:rsidR="00F47363">
        <w:instrText xml:space="preserve"> REF _Ref468708703 \h </w:instrText>
      </w:r>
      <w:r w:rsidR="00F47363">
        <w:fldChar w:fldCharType="separate"/>
      </w:r>
      <w:r w:rsidR="006E530F" w:rsidRPr="00F47363">
        <w:t xml:space="preserve">Table </w:t>
      </w:r>
      <w:r w:rsidR="006E530F">
        <w:rPr>
          <w:noProof/>
        </w:rPr>
        <w:t>2</w:t>
      </w:r>
      <w:r w:rsidR="006E530F" w:rsidRPr="00F47363">
        <w:t>–</w:t>
      </w:r>
      <w:r w:rsidR="006E530F">
        <w:rPr>
          <w:noProof/>
        </w:rPr>
        <w:t>1</w:t>
      </w:r>
      <w:r w:rsidR="00F47363">
        <w:fldChar w:fldCharType="end"/>
      </w:r>
      <w:r w:rsidR="00010ABD">
        <w:t xml:space="preserve"> </w:t>
      </w:r>
      <w:r w:rsidR="008F35DE" w:rsidRPr="00F47363">
        <w:t xml:space="preserve">and </w:t>
      </w:r>
      <w:r w:rsidR="00F47363">
        <w:rPr>
          <w:highlight w:val="yellow"/>
        </w:rPr>
        <w:fldChar w:fldCharType="begin"/>
      </w:r>
      <w:r w:rsidR="00F47363">
        <w:rPr>
          <w:highlight w:val="yellow"/>
        </w:rPr>
        <w:instrText xml:space="preserve"> REF _Ref468708622 \h </w:instrText>
      </w:r>
      <w:r w:rsidR="00F47363">
        <w:rPr>
          <w:highlight w:val="yellow"/>
        </w:rPr>
      </w:r>
      <w:r w:rsidR="00F47363">
        <w:rPr>
          <w:highlight w:val="yellow"/>
        </w:rPr>
        <w:fldChar w:fldCharType="separate"/>
      </w:r>
      <w:r w:rsidR="006E530F" w:rsidRPr="00F47363">
        <w:t xml:space="preserve">Figure </w:t>
      </w:r>
      <w:r w:rsidR="006E530F">
        <w:rPr>
          <w:noProof/>
        </w:rPr>
        <w:t>2</w:t>
      </w:r>
      <w:r w:rsidR="006E530F" w:rsidRPr="00F47363">
        <w:t>–</w:t>
      </w:r>
      <w:r w:rsidR="006E530F">
        <w:rPr>
          <w:noProof/>
        </w:rPr>
        <w:t>2</w:t>
      </w:r>
      <w:r w:rsidR="00F47363">
        <w:rPr>
          <w:highlight w:val="yellow"/>
        </w:rPr>
        <w:fldChar w:fldCharType="end"/>
      </w:r>
      <w:r w:rsidR="0058476A">
        <w:t>).</w:t>
      </w:r>
      <w:r w:rsidR="00D30F91">
        <w:t xml:space="preserve">  The losses reflect the early years of </w:t>
      </w:r>
      <w:r w:rsidR="00777715">
        <w:t>the rollout of the NBN.</w:t>
      </w:r>
    </w:p>
    <w:p w:rsidR="00F47363" w:rsidRDefault="00F47363" w:rsidP="003A0ABE">
      <w:pPr>
        <w:pStyle w:val="Caption"/>
        <w:keepLines/>
      </w:pPr>
      <w:bookmarkStart w:id="51" w:name="_Ref468708703"/>
      <w:r w:rsidRPr="00F47363">
        <w:lastRenderedPageBreak/>
        <w:t xml:space="preserve">Table </w:t>
      </w:r>
      <w:r w:rsidR="00C11274">
        <w:fldChar w:fldCharType="begin"/>
      </w:r>
      <w:r w:rsidR="00C11274">
        <w:instrText xml:space="preserve"> STYLEREF 1 \s </w:instrText>
      </w:r>
      <w:r w:rsidR="00C11274">
        <w:fldChar w:fldCharType="separate"/>
      </w:r>
      <w:r w:rsidR="006E530F">
        <w:rPr>
          <w:noProof/>
        </w:rPr>
        <w:t>2</w:t>
      </w:r>
      <w:r w:rsidR="00C11274">
        <w:rPr>
          <w:noProof/>
        </w:rPr>
        <w:fldChar w:fldCharType="end"/>
      </w:r>
      <w:r w:rsidRPr="00F47363">
        <w:t>–</w:t>
      </w:r>
      <w:r w:rsidR="00C11274">
        <w:fldChar w:fldCharType="begin"/>
      </w:r>
      <w:r w:rsidR="00C11274">
        <w:instrText xml:space="preserve"> SEQ Table \* ARABIC \s 1 </w:instrText>
      </w:r>
      <w:r w:rsidR="00C11274">
        <w:fldChar w:fldCharType="separate"/>
      </w:r>
      <w:r w:rsidR="006E530F">
        <w:rPr>
          <w:noProof/>
        </w:rPr>
        <w:t>1</w:t>
      </w:r>
      <w:r w:rsidR="00C11274">
        <w:rPr>
          <w:noProof/>
        </w:rPr>
        <w:fldChar w:fldCharType="end"/>
      </w:r>
      <w:bookmarkEnd w:id="51"/>
      <w:r w:rsidRPr="00F47363">
        <w:t xml:space="preserve">: </w:t>
      </w:r>
      <w:r w:rsidRPr="00831159">
        <w:t>Fair value of NBN Co ($ million)</w:t>
      </w:r>
      <w:r w:rsidRPr="00F47363">
        <w:rPr>
          <w:rStyle w:val="FootnoteReference"/>
        </w:rPr>
        <w:footnoteReference w:id="17"/>
      </w:r>
    </w:p>
    <w:tbl>
      <w:tblPr>
        <w:tblStyle w:val="TableGrid"/>
        <w:tblW w:w="5000" w:type="pct"/>
        <w:tblLook w:val="04A0" w:firstRow="1" w:lastRow="0" w:firstColumn="1" w:lastColumn="0" w:noHBand="0" w:noVBand="1"/>
      </w:tblPr>
      <w:tblGrid>
        <w:gridCol w:w="1296"/>
        <w:gridCol w:w="874"/>
        <w:gridCol w:w="876"/>
        <w:gridCol w:w="876"/>
        <w:gridCol w:w="878"/>
        <w:gridCol w:w="878"/>
        <w:gridCol w:w="878"/>
        <w:gridCol w:w="878"/>
        <w:gridCol w:w="878"/>
      </w:tblGrid>
      <w:tr w:rsidR="00AB49B9" w:rsidTr="00156482">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780" w:type="pct"/>
          </w:tcPr>
          <w:p w:rsidR="00AB49B9" w:rsidRDefault="00AB49B9" w:rsidP="003A0ABE">
            <w:pPr>
              <w:pStyle w:val="TableHeading"/>
            </w:pPr>
          </w:p>
        </w:tc>
        <w:tc>
          <w:tcPr>
            <w:tcW w:w="526" w:type="pct"/>
          </w:tcPr>
          <w:p w:rsidR="00AB49B9" w:rsidRDefault="00AB49B9" w:rsidP="003A0ABE">
            <w:pPr>
              <w:pStyle w:val="TableHeadingRight"/>
              <w:ind w:left="57" w:right="57"/>
              <w:cnfStyle w:val="100000000000" w:firstRow="1" w:lastRow="0" w:firstColumn="0" w:lastColumn="0" w:oddVBand="0" w:evenVBand="0" w:oddHBand="0" w:evenHBand="0" w:firstRowFirstColumn="0" w:firstRowLastColumn="0" w:lastRowFirstColumn="0" w:lastRowLastColumn="0"/>
            </w:pPr>
            <w:r>
              <w:t>2008</w:t>
            </w:r>
            <w:r w:rsidR="00B90720">
              <w:t>–</w:t>
            </w:r>
            <w:r>
              <w:t>09</w:t>
            </w:r>
          </w:p>
        </w:tc>
        <w:tc>
          <w:tcPr>
            <w:tcW w:w="527" w:type="pct"/>
          </w:tcPr>
          <w:p w:rsidR="00AB49B9" w:rsidRDefault="00AB49B9" w:rsidP="003A0ABE">
            <w:pPr>
              <w:pStyle w:val="TableHeadingRight"/>
              <w:ind w:left="57" w:right="57"/>
              <w:cnfStyle w:val="100000000000" w:firstRow="1" w:lastRow="0" w:firstColumn="0" w:lastColumn="0" w:oddVBand="0" w:evenVBand="0" w:oddHBand="0" w:evenHBand="0" w:firstRowFirstColumn="0" w:firstRowLastColumn="0" w:lastRowFirstColumn="0" w:lastRowLastColumn="0"/>
            </w:pPr>
            <w:r>
              <w:t>2009</w:t>
            </w:r>
            <w:r w:rsidR="00B90720">
              <w:t>–</w:t>
            </w:r>
            <w:r>
              <w:t>10</w:t>
            </w:r>
          </w:p>
        </w:tc>
        <w:tc>
          <w:tcPr>
            <w:tcW w:w="527" w:type="pct"/>
          </w:tcPr>
          <w:p w:rsidR="00AB49B9" w:rsidRDefault="00AB49B9" w:rsidP="003A0ABE">
            <w:pPr>
              <w:pStyle w:val="TableHeadingRight"/>
              <w:ind w:left="57" w:right="57"/>
              <w:cnfStyle w:val="100000000000" w:firstRow="1" w:lastRow="0" w:firstColumn="0" w:lastColumn="0" w:oddVBand="0" w:evenVBand="0" w:oddHBand="0" w:evenHBand="0" w:firstRowFirstColumn="0" w:firstRowLastColumn="0" w:lastRowFirstColumn="0" w:lastRowLastColumn="0"/>
            </w:pPr>
            <w:r>
              <w:t>2010</w:t>
            </w:r>
            <w:r w:rsidR="00B90720">
              <w:t>–</w:t>
            </w:r>
            <w:r>
              <w:t>11</w:t>
            </w:r>
          </w:p>
        </w:tc>
        <w:tc>
          <w:tcPr>
            <w:tcW w:w="528" w:type="pct"/>
          </w:tcPr>
          <w:p w:rsidR="00AB49B9" w:rsidRDefault="00AB49B9" w:rsidP="003A0ABE">
            <w:pPr>
              <w:pStyle w:val="TableHeadingRight"/>
              <w:ind w:left="57" w:right="57"/>
              <w:cnfStyle w:val="100000000000" w:firstRow="1" w:lastRow="0" w:firstColumn="0" w:lastColumn="0" w:oddVBand="0" w:evenVBand="0" w:oddHBand="0" w:evenHBand="0" w:firstRowFirstColumn="0" w:firstRowLastColumn="0" w:lastRowFirstColumn="0" w:lastRowLastColumn="0"/>
            </w:pPr>
            <w:r>
              <w:t>2011</w:t>
            </w:r>
            <w:r w:rsidR="00B90720">
              <w:t>–</w:t>
            </w:r>
            <w:r>
              <w:t>12</w:t>
            </w:r>
          </w:p>
        </w:tc>
        <w:tc>
          <w:tcPr>
            <w:tcW w:w="528" w:type="pct"/>
          </w:tcPr>
          <w:p w:rsidR="00AB49B9" w:rsidRDefault="00AB49B9" w:rsidP="003A0ABE">
            <w:pPr>
              <w:pStyle w:val="TableHeadingRight"/>
              <w:ind w:left="57" w:right="57"/>
              <w:cnfStyle w:val="100000000000" w:firstRow="1" w:lastRow="0" w:firstColumn="0" w:lastColumn="0" w:oddVBand="0" w:evenVBand="0" w:oddHBand="0" w:evenHBand="0" w:firstRowFirstColumn="0" w:firstRowLastColumn="0" w:lastRowFirstColumn="0" w:lastRowLastColumn="0"/>
            </w:pPr>
            <w:r>
              <w:t>2012</w:t>
            </w:r>
            <w:r w:rsidR="00B90720">
              <w:t>–</w:t>
            </w:r>
            <w:r>
              <w:t>13</w:t>
            </w:r>
          </w:p>
        </w:tc>
        <w:tc>
          <w:tcPr>
            <w:tcW w:w="528" w:type="pct"/>
          </w:tcPr>
          <w:p w:rsidR="00AB49B9" w:rsidRDefault="00AB49B9" w:rsidP="003A0ABE">
            <w:pPr>
              <w:pStyle w:val="TableHeadingRight"/>
              <w:ind w:left="57" w:right="57"/>
              <w:cnfStyle w:val="100000000000" w:firstRow="1" w:lastRow="0" w:firstColumn="0" w:lastColumn="0" w:oddVBand="0" w:evenVBand="0" w:oddHBand="0" w:evenHBand="0" w:firstRowFirstColumn="0" w:firstRowLastColumn="0" w:lastRowFirstColumn="0" w:lastRowLastColumn="0"/>
            </w:pPr>
            <w:r>
              <w:t>2013</w:t>
            </w:r>
            <w:r w:rsidR="00B90720">
              <w:t>–</w:t>
            </w:r>
            <w:r>
              <w:t>14</w:t>
            </w:r>
          </w:p>
        </w:tc>
        <w:tc>
          <w:tcPr>
            <w:tcW w:w="528" w:type="pct"/>
          </w:tcPr>
          <w:p w:rsidR="00AB49B9" w:rsidRDefault="00AB49B9" w:rsidP="003A0ABE">
            <w:pPr>
              <w:pStyle w:val="TableHeadingRight"/>
              <w:ind w:left="57" w:right="57"/>
              <w:cnfStyle w:val="100000000000" w:firstRow="1" w:lastRow="0" w:firstColumn="0" w:lastColumn="0" w:oddVBand="0" w:evenVBand="0" w:oddHBand="0" w:evenHBand="0" w:firstRowFirstColumn="0" w:firstRowLastColumn="0" w:lastRowFirstColumn="0" w:lastRowLastColumn="0"/>
            </w:pPr>
            <w:r>
              <w:t>2014</w:t>
            </w:r>
            <w:r w:rsidR="00B90720">
              <w:t>–</w:t>
            </w:r>
            <w:r>
              <w:t>15</w:t>
            </w:r>
          </w:p>
        </w:tc>
        <w:tc>
          <w:tcPr>
            <w:tcW w:w="528" w:type="pct"/>
          </w:tcPr>
          <w:p w:rsidR="00AB49B9" w:rsidRDefault="00AB49B9" w:rsidP="003A0ABE">
            <w:pPr>
              <w:pStyle w:val="TableHeadingRight"/>
              <w:ind w:left="57" w:right="57"/>
              <w:cnfStyle w:val="100000000000" w:firstRow="1" w:lastRow="0" w:firstColumn="0" w:lastColumn="0" w:oddVBand="0" w:evenVBand="0" w:oddHBand="0" w:evenHBand="0" w:firstRowFirstColumn="0" w:firstRowLastColumn="0" w:lastRowFirstColumn="0" w:lastRowLastColumn="0"/>
            </w:pPr>
            <w:r>
              <w:t>2015</w:t>
            </w:r>
            <w:r w:rsidR="00B90720">
              <w:t>–</w:t>
            </w:r>
            <w:r>
              <w:t>16</w:t>
            </w:r>
          </w:p>
        </w:tc>
      </w:tr>
      <w:tr w:rsidR="00156482" w:rsidTr="0087058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80" w:type="pct"/>
            <w:shd w:val="clear" w:color="auto" w:fill="auto"/>
          </w:tcPr>
          <w:p w:rsidR="00156482" w:rsidRDefault="00156482" w:rsidP="003A0ABE">
            <w:pPr>
              <w:pStyle w:val="TableText"/>
              <w:keepNext/>
              <w:keepLines/>
            </w:pPr>
            <w:r>
              <w:t>Accumulated equity injections</w:t>
            </w:r>
          </w:p>
        </w:tc>
        <w:tc>
          <w:tcPr>
            <w:tcW w:w="526" w:type="pct"/>
            <w:shd w:val="clear" w:color="auto" w:fill="auto"/>
          </w:tcPr>
          <w:p w:rsidR="00156482" w:rsidRDefault="00156482" w:rsidP="003A0ABE">
            <w:pPr>
              <w:pStyle w:val="TableTextCentred"/>
              <w:keepNext/>
              <w:keepLines/>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Pr>
                <w:rFonts w:ascii="Calibri" w:hAnsi="Calibri"/>
                <w:color w:val="000000"/>
                <w:szCs w:val="20"/>
              </w:rPr>
              <w:t>10</w:t>
            </w:r>
          </w:p>
        </w:tc>
        <w:tc>
          <w:tcPr>
            <w:tcW w:w="527" w:type="pct"/>
            <w:shd w:val="clear" w:color="auto" w:fill="auto"/>
          </w:tcPr>
          <w:p w:rsidR="00156482" w:rsidRDefault="00156482" w:rsidP="003A0ABE">
            <w:pPr>
              <w:pStyle w:val="TableTextCentred"/>
              <w:keepNext/>
              <w:keepLines/>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Pr>
                <w:rFonts w:ascii="Calibri" w:hAnsi="Calibri"/>
                <w:color w:val="000000"/>
                <w:szCs w:val="20"/>
              </w:rPr>
              <w:t>312</w:t>
            </w:r>
          </w:p>
        </w:tc>
        <w:tc>
          <w:tcPr>
            <w:tcW w:w="527" w:type="pct"/>
            <w:shd w:val="clear" w:color="auto" w:fill="auto"/>
          </w:tcPr>
          <w:p w:rsidR="00156482" w:rsidRDefault="00156482" w:rsidP="003A0ABE">
            <w:pPr>
              <w:pStyle w:val="TableTextCentred"/>
              <w:keepNext/>
              <w:keepLines/>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Pr>
                <w:rFonts w:ascii="Calibri" w:hAnsi="Calibri"/>
                <w:color w:val="000000"/>
                <w:szCs w:val="20"/>
              </w:rPr>
              <w:t>1,362</w:t>
            </w:r>
          </w:p>
        </w:tc>
        <w:tc>
          <w:tcPr>
            <w:tcW w:w="528" w:type="pct"/>
            <w:shd w:val="clear" w:color="auto" w:fill="auto"/>
          </w:tcPr>
          <w:p w:rsidR="00156482" w:rsidRDefault="00156482" w:rsidP="003A0ABE">
            <w:pPr>
              <w:pStyle w:val="TableTextCentred"/>
              <w:keepNext/>
              <w:keepLines/>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Pr>
                <w:rFonts w:ascii="Calibri" w:hAnsi="Calibri"/>
                <w:color w:val="000000"/>
                <w:szCs w:val="20"/>
              </w:rPr>
              <w:t>2,832</w:t>
            </w:r>
          </w:p>
        </w:tc>
        <w:tc>
          <w:tcPr>
            <w:tcW w:w="528" w:type="pct"/>
            <w:shd w:val="clear" w:color="auto" w:fill="auto"/>
          </w:tcPr>
          <w:p w:rsidR="00156482" w:rsidRDefault="00156482" w:rsidP="003A0ABE">
            <w:pPr>
              <w:pStyle w:val="TableTextCentred"/>
              <w:keepNext/>
              <w:keepLines/>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Pr>
                <w:rFonts w:ascii="Calibri" w:hAnsi="Calibri"/>
                <w:color w:val="000000"/>
                <w:szCs w:val="20"/>
              </w:rPr>
              <w:t>5,228</w:t>
            </w:r>
          </w:p>
        </w:tc>
        <w:tc>
          <w:tcPr>
            <w:tcW w:w="528" w:type="pct"/>
            <w:shd w:val="clear" w:color="auto" w:fill="auto"/>
          </w:tcPr>
          <w:p w:rsidR="00156482" w:rsidRDefault="00156482" w:rsidP="003A0ABE">
            <w:pPr>
              <w:pStyle w:val="TableTextCentred"/>
              <w:keepNext/>
              <w:keepLines/>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Pr>
                <w:rFonts w:ascii="Calibri" w:hAnsi="Calibri"/>
                <w:color w:val="000000"/>
                <w:szCs w:val="20"/>
              </w:rPr>
              <w:t>8,418</w:t>
            </w:r>
          </w:p>
        </w:tc>
        <w:tc>
          <w:tcPr>
            <w:tcW w:w="528" w:type="pct"/>
            <w:shd w:val="clear" w:color="auto" w:fill="auto"/>
          </w:tcPr>
          <w:p w:rsidR="00156482" w:rsidRDefault="00156482" w:rsidP="003A0ABE">
            <w:pPr>
              <w:pStyle w:val="TableTextCentred"/>
              <w:keepNext/>
              <w:keepLines/>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Pr>
                <w:rFonts w:ascii="Calibri" w:hAnsi="Calibri"/>
                <w:color w:val="000000"/>
                <w:szCs w:val="20"/>
              </w:rPr>
              <w:t>13,185</w:t>
            </w:r>
          </w:p>
        </w:tc>
        <w:tc>
          <w:tcPr>
            <w:tcW w:w="528" w:type="pct"/>
            <w:shd w:val="clear" w:color="auto" w:fill="auto"/>
          </w:tcPr>
          <w:p w:rsidR="00156482" w:rsidRDefault="00156482" w:rsidP="003A0ABE">
            <w:pPr>
              <w:pStyle w:val="TableTextCentred"/>
              <w:keepNext/>
              <w:keepLines/>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Pr>
                <w:rFonts w:ascii="Calibri" w:hAnsi="Calibri"/>
                <w:color w:val="000000"/>
                <w:szCs w:val="20"/>
              </w:rPr>
              <w:t>20,275</w:t>
            </w:r>
          </w:p>
        </w:tc>
      </w:tr>
      <w:tr w:rsidR="00AE3D41" w:rsidTr="0087058F">
        <w:trPr>
          <w:cantSplit/>
        </w:trPr>
        <w:tc>
          <w:tcPr>
            <w:cnfStyle w:val="001000000000" w:firstRow="0" w:lastRow="0" w:firstColumn="1" w:lastColumn="0" w:oddVBand="0" w:evenVBand="0" w:oddHBand="0" w:evenHBand="0" w:firstRowFirstColumn="0" w:firstRowLastColumn="0" w:lastRowFirstColumn="0" w:lastRowLastColumn="0"/>
            <w:tcW w:w="780" w:type="pct"/>
            <w:shd w:val="clear" w:color="auto" w:fill="D7DDE9" w:themeFill="accent3"/>
          </w:tcPr>
          <w:p w:rsidR="00AE3D41" w:rsidRDefault="00AE3D41" w:rsidP="003A0ABE">
            <w:pPr>
              <w:pStyle w:val="TableText"/>
              <w:keepNext/>
              <w:keepLines/>
            </w:pPr>
            <w:r>
              <w:t>Accumulated total losses</w:t>
            </w:r>
            <w:r w:rsidRPr="00F47363">
              <w:rPr>
                <w:rStyle w:val="FootnoteReference"/>
              </w:rPr>
              <w:footnoteReference w:id="18"/>
            </w:r>
          </w:p>
        </w:tc>
        <w:tc>
          <w:tcPr>
            <w:tcW w:w="526" w:type="pct"/>
            <w:shd w:val="clear" w:color="auto" w:fill="D7DDE9" w:themeFill="accent3"/>
          </w:tcPr>
          <w:p w:rsidR="00AE3D41" w:rsidRDefault="00AE3D41" w:rsidP="003A0ABE">
            <w:pPr>
              <w:keepNext/>
              <w:keepLines/>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Pr>
                <w:rFonts w:ascii="Calibri" w:hAnsi="Calibri"/>
                <w:color w:val="000000"/>
                <w:szCs w:val="20"/>
              </w:rPr>
              <w:t>-</w:t>
            </w:r>
          </w:p>
        </w:tc>
        <w:tc>
          <w:tcPr>
            <w:tcW w:w="527" w:type="pct"/>
            <w:shd w:val="clear" w:color="auto" w:fill="D7DDE9" w:themeFill="accent3"/>
          </w:tcPr>
          <w:p w:rsidR="00AE3D41" w:rsidRDefault="00AE3D41" w:rsidP="003A0ABE">
            <w:pPr>
              <w:keepNext/>
              <w:keepLines/>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Pr>
                <w:rFonts w:ascii="Calibri" w:hAnsi="Calibri"/>
                <w:color w:val="000000"/>
                <w:szCs w:val="20"/>
              </w:rPr>
              <w:t>-80</w:t>
            </w:r>
          </w:p>
        </w:tc>
        <w:tc>
          <w:tcPr>
            <w:tcW w:w="527" w:type="pct"/>
            <w:shd w:val="clear" w:color="auto" w:fill="D7DDE9" w:themeFill="accent3"/>
          </w:tcPr>
          <w:p w:rsidR="00AE3D41" w:rsidRDefault="00AE3D41" w:rsidP="003A0ABE">
            <w:pPr>
              <w:keepNext/>
              <w:keepLines/>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Pr>
                <w:rFonts w:ascii="Calibri" w:hAnsi="Calibri"/>
                <w:color w:val="000000"/>
                <w:szCs w:val="20"/>
              </w:rPr>
              <w:t>-403</w:t>
            </w:r>
          </w:p>
        </w:tc>
        <w:tc>
          <w:tcPr>
            <w:tcW w:w="528" w:type="pct"/>
            <w:shd w:val="clear" w:color="auto" w:fill="D7DDE9" w:themeFill="accent3"/>
          </w:tcPr>
          <w:p w:rsidR="00AE3D41" w:rsidRDefault="00AE3D41" w:rsidP="003A0ABE">
            <w:pPr>
              <w:keepNext/>
              <w:keepLines/>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Pr>
                <w:rFonts w:ascii="Calibri" w:hAnsi="Calibri"/>
                <w:color w:val="000000"/>
                <w:szCs w:val="20"/>
              </w:rPr>
              <w:t>-908</w:t>
            </w:r>
          </w:p>
        </w:tc>
        <w:tc>
          <w:tcPr>
            <w:tcW w:w="528" w:type="pct"/>
            <w:shd w:val="clear" w:color="auto" w:fill="D7DDE9" w:themeFill="accent3"/>
          </w:tcPr>
          <w:p w:rsidR="00AE3D41" w:rsidRDefault="00AE3D41" w:rsidP="003A0ABE">
            <w:pPr>
              <w:keepNext/>
              <w:keepLines/>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Pr>
                <w:rFonts w:ascii="Calibri" w:hAnsi="Calibri"/>
                <w:color w:val="000000"/>
                <w:szCs w:val="20"/>
              </w:rPr>
              <w:t>-1,811</w:t>
            </w:r>
          </w:p>
        </w:tc>
        <w:tc>
          <w:tcPr>
            <w:tcW w:w="528" w:type="pct"/>
            <w:shd w:val="clear" w:color="auto" w:fill="D7DDE9" w:themeFill="accent3"/>
          </w:tcPr>
          <w:p w:rsidR="00AE3D41" w:rsidRDefault="00AE3D41" w:rsidP="003A0ABE">
            <w:pPr>
              <w:keepNext/>
              <w:keepLines/>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Pr>
                <w:rFonts w:ascii="Calibri" w:hAnsi="Calibri"/>
                <w:color w:val="000000"/>
                <w:szCs w:val="20"/>
              </w:rPr>
              <w:t>-3,494</w:t>
            </w:r>
          </w:p>
        </w:tc>
        <w:tc>
          <w:tcPr>
            <w:tcW w:w="528" w:type="pct"/>
            <w:shd w:val="clear" w:color="auto" w:fill="D7DDE9" w:themeFill="accent3"/>
          </w:tcPr>
          <w:p w:rsidR="00AE3D41" w:rsidRDefault="00AE3D41" w:rsidP="003A0ABE">
            <w:pPr>
              <w:keepNext/>
              <w:keepLines/>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Pr>
                <w:rFonts w:ascii="Calibri" w:hAnsi="Calibri"/>
                <w:color w:val="000000"/>
                <w:szCs w:val="20"/>
              </w:rPr>
              <w:t>-5,477</w:t>
            </w:r>
          </w:p>
        </w:tc>
        <w:tc>
          <w:tcPr>
            <w:tcW w:w="528" w:type="pct"/>
            <w:shd w:val="clear" w:color="auto" w:fill="D7DDE9" w:themeFill="accent3"/>
          </w:tcPr>
          <w:p w:rsidR="00AE3D41" w:rsidRDefault="00AE3D41" w:rsidP="003A0ABE">
            <w:pPr>
              <w:keepNext/>
              <w:keepLines/>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Pr>
                <w:rFonts w:ascii="Calibri" w:hAnsi="Calibri"/>
                <w:color w:val="000000"/>
                <w:szCs w:val="20"/>
              </w:rPr>
              <w:t>-8,252</w:t>
            </w:r>
          </w:p>
        </w:tc>
      </w:tr>
      <w:tr w:rsidR="00720AB1" w:rsidRPr="001B2FCA" w:rsidTr="0087058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80" w:type="pct"/>
            <w:shd w:val="clear" w:color="auto" w:fill="auto"/>
          </w:tcPr>
          <w:p w:rsidR="00720AB1" w:rsidRPr="001B2FCA" w:rsidRDefault="00720AB1" w:rsidP="003A0ABE">
            <w:pPr>
              <w:pStyle w:val="TableText"/>
              <w:keepNext/>
              <w:keepLines/>
            </w:pPr>
            <w:r>
              <w:t>Accumulated valuation adjustment</w:t>
            </w:r>
            <w:r w:rsidRPr="00F47363">
              <w:rPr>
                <w:rStyle w:val="FootnoteReference"/>
              </w:rPr>
              <w:footnoteReference w:id="19"/>
            </w:r>
          </w:p>
        </w:tc>
        <w:tc>
          <w:tcPr>
            <w:tcW w:w="526" w:type="pct"/>
            <w:shd w:val="clear" w:color="auto" w:fill="auto"/>
          </w:tcPr>
          <w:p w:rsidR="00720AB1" w:rsidRPr="001B2FCA" w:rsidRDefault="00D13FE9" w:rsidP="003A0ABE">
            <w:pPr>
              <w:pStyle w:val="TableTextCentred"/>
              <w:keepNext/>
              <w:keepLines/>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bCs/>
                <w:color w:val="000000"/>
                <w:szCs w:val="20"/>
              </w:rPr>
            </w:pPr>
            <w:r>
              <w:rPr>
                <w:rFonts w:ascii="Calibri" w:hAnsi="Calibri"/>
                <w:bCs/>
                <w:color w:val="000000"/>
                <w:szCs w:val="20"/>
              </w:rPr>
              <w:t>-</w:t>
            </w:r>
          </w:p>
        </w:tc>
        <w:tc>
          <w:tcPr>
            <w:tcW w:w="527" w:type="pct"/>
            <w:shd w:val="clear" w:color="auto" w:fill="auto"/>
          </w:tcPr>
          <w:p w:rsidR="00720AB1" w:rsidRPr="001B2FCA" w:rsidRDefault="00D13FE9" w:rsidP="003A0ABE">
            <w:pPr>
              <w:pStyle w:val="TableTextCentred"/>
              <w:keepNext/>
              <w:keepLines/>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bCs/>
                <w:color w:val="000000"/>
                <w:szCs w:val="20"/>
              </w:rPr>
            </w:pPr>
            <w:r>
              <w:rPr>
                <w:rFonts w:ascii="Calibri" w:hAnsi="Calibri"/>
                <w:bCs/>
                <w:color w:val="000000"/>
                <w:szCs w:val="20"/>
              </w:rPr>
              <w:t>-</w:t>
            </w:r>
          </w:p>
        </w:tc>
        <w:tc>
          <w:tcPr>
            <w:tcW w:w="527" w:type="pct"/>
            <w:shd w:val="clear" w:color="auto" w:fill="auto"/>
          </w:tcPr>
          <w:p w:rsidR="00720AB1" w:rsidRPr="001B2FCA" w:rsidRDefault="00D13FE9" w:rsidP="003A0ABE">
            <w:pPr>
              <w:pStyle w:val="TableTextCentred"/>
              <w:keepNext/>
              <w:keepLines/>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bCs/>
                <w:color w:val="000000"/>
                <w:szCs w:val="20"/>
              </w:rPr>
            </w:pPr>
            <w:r>
              <w:rPr>
                <w:rFonts w:ascii="Calibri" w:hAnsi="Calibri"/>
                <w:bCs/>
                <w:color w:val="000000"/>
                <w:szCs w:val="20"/>
              </w:rPr>
              <w:t>-</w:t>
            </w:r>
          </w:p>
        </w:tc>
        <w:tc>
          <w:tcPr>
            <w:tcW w:w="528" w:type="pct"/>
            <w:shd w:val="clear" w:color="auto" w:fill="auto"/>
          </w:tcPr>
          <w:p w:rsidR="00720AB1" w:rsidRPr="001B2FCA" w:rsidRDefault="00D13FE9" w:rsidP="003A0ABE">
            <w:pPr>
              <w:pStyle w:val="TableTextCentred"/>
              <w:keepNext/>
              <w:keepLines/>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bCs/>
                <w:color w:val="000000"/>
                <w:szCs w:val="20"/>
              </w:rPr>
            </w:pPr>
            <w:r>
              <w:rPr>
                <w:rFonts w:ascii="Calibri" w:hAnsi="Calibri"/>
                <w:bCs/>
                <w:color w:val="000000"/>
                <w:szCs w:val="20"/>
              </w:rPr>
              <w:t>-</w:t>
            </w:r>
          </w:p>
        </w:tc>
        <w:tc>
          <w:tcPr>
            <w:tcW w:w="528" w:type="pct"/>
            <w:shd w:val="clear" w:color="auto" w:fill="auto"/>
          </w:tcPr>
          <w:p w:rsidR="00720AB1" w:rsidRPr="001B2FCA" w:rsidRDefault="00D13FE9" w:rsidP="003A0ABE">
            <w:pPr>
              <w:pStyle w:val="TableTextCentred"/>
              <w:keepNext/>
              <w:keepLines/>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bCs/>
                <w:color w:val="000000"/>
                <w:szCs w:val="20"/>
              </w:rPr>
            </w:pPr>
            <w:r>
              <w:rPr>
                <w:rFonts w:ascii="Calibri" w:hAnsi="Calibri"/>
                <w:bCs/>
                <w:color w:val="000000"/>
                <w:szCs w:val="20"/>
              </w:rPr>
              <w:t>-</w:t>
            </w:r>
          </w:p>
        </w:tc>
        <w:tc>
          <w:tcPr>
            <w:tcW w:w="528" w:type="pct"/>
            <w:shd w:val="clear" w:color="auto" w:fill="auto"/>
          </w:tcPr>
          <w:p w:rsidR="00720AB1" w:rsidRPr="001B2FCA" w:rsidRDefault="00D13FE9" w:rsidP="003A0ABE">
            <w:pPr>
              <w:pStyle w:val="TableTextCentred"/>
              <w:keepNext/>
              <w:keepLines/>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bCs/>
                <w:color w:val="000000"/>
                <w:szCs w:val="20"/>
              </w:rPr>
            </w:pPr>
            <w:r>
              <w:rPr>
                <w:rFonts w:ascii="Calibri" w:hAnsi="Calibri"/>
                <w:bCs/>
                <w:color w:val="000000"/>
                <w:szCs w:val="20"/>
              </w:rPr>
              <w:t>-</w:t>
            </w:r>
          </w:p>
        </w:tc>
        <w:tc>
          <w:tcPr>
            <w:tcW w:w="528" w:type="pct"/>
            <w:shd w:val="clear" w:color="auto" w:fill="auto"/>
          </w:tcPr>
          <w:p w:rsidR="00720AB1" w:rsidRPr="001B2FCA" w:rsidRDefault="00720AB1" w:rsidP="003A0ABE">
            <w:pPr>
              <w:pStyle w:val="TableTextCentred"/>
              <w:keepNext/>
              <w:keepLines/>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bCs/>
                <w:color w:val="000000"/>
                <w:szCs w:val="20"/>
              </w:rPr>
            </w:pPr>
            <w:r>
              <w:rPr>
                <w:rFonts w:ascii="Calibri" w:hAnsi="Calibri"/>
                <w:bCs/>
                <w:color w:val="000000"/>
                <w:szCs w:val="20"/>
              </w:rPr>
              <w:t>793</w:t>
            </w:r>
          </w:p>
        </w:tc>
        <w:tc>
          <w:tcPr>
            <w:tcW w:w="528" w:type="pct"/>
            <w:shd w:val="clear" w:color="auto" w:fill="auto"/>
          </w:tcPr>
          <w:p w:rsidR="00720AB1" w:rsidRPr="001B2FCA" w:rsidRDefault="00720AB1" w:rsidP="003A0ABE">
            <w:pPr>
              <w:pStyle w:val="TableTextCentred"/>
              <w:keepNext/>
              <w:keepLines/>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bCs/>
                <w:color w:val="000000"/>
                <w:szCs w:val="20"/>
              </w:rPr>
            </w:pPr>
            <w:r>
              <w:rPr>
                <w:rFonts w:ascii="Calibri" w:hAnsi="Calibri"/>
                <w:bCs/>
                <w:color w:val="000000"/>
                <w:szCs w:val="20"/>
              </w:rPr>
              <w:t>1,046</w:t>
            </w:r>
          </w:p>
        </w:tc>
      </w:tr>
      <w:tr w:rsidR="00AE3D41" w:rsidRPr="0095360C" w:rsidTr="0087058F">
        <w:trPr>
          <w:cantSplit/>
        </w:trPr>
        <w:tc>
          <w:tcPr>
            <w:cnfStyle w:val="001000000000" w:firstRow="0" w:lastRow="0" w:firstColumn="1" w:lastColumn="0" w:oddVBand="0" w:evenVBand="0" w:oddHBand="0" w:evenHBand="0" w:firstRowFirstColumn="0" w:firstRowLastColumn="0" w:lastRowFirstColumn="0" w:lastRowLastColumn="0"/>
            <w:tcW w:w="780" w:type="pct"/>
            <w:shd w:val="clear" w:color="auto" w:fill="D7DDE9" w:themeFill="accent3"/>
          </w:tcPr>
          <w:p w:rsidR="00AE3D41" w:rsidRPr="0095360C" w:rsidRDefault="00AE3D41" w:rsidP="003A0ABE">
            <w:pPr>
              <w:pStyle w:val="TableText"/>
              <w:keepNext/>
              <w:keepLines/>
              <w:rPr>
                <w:b/>
              </w:rPr>
            </w:pPr>
            <w:r w:rsidRPr="0095360C">
              <w:rPr>
                <w:b/>
              </w:rPr>
              <w:t>Fair value</w:t>
            </w:r>
          </w:p>
        </w:tc>
        <w:tc>
          <w:tcPr>
            <w:tcW w:w="526" w:type="pct"/>
            <w:shd w:val="clear" w:color="auto" w:fill="D7DDE9" w:themeFill="accent3"/>
          </w:tcPr>
          <w:p w:rsidR="00AE3D41" w:rsidRPr="00AE3D41" w:rsidRDefault="00AE3D41" w:rsidP="003A0ABE">
            <w:pPr>
              <w:keepNext/>
              <w:keepLines/>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AE3D41">
              <w:rPr>
                <w:rFonts w:ascii="Calibri" w:hAnsi="Calibri"/>
                <w:b/>
                <w:color w:val="000000"/>
                <w:szCs w:val="20"/>
              </w:rPr>
              <w:t>10</w:t>
            </w:r>
          </w:p>
        </w:tc>
        <w:tc>
          <w:tcPr>
            <w:tcW w:w="527" w:type="pct"/>
            <w:shd w:val="clear" w:color="auto" w:fill="D7DDE9" w:themeFill="accent3"/>
          </w:tcPr>
          <w:p w:rsidR="00AE3D41" w:rsidRPr="00AE3D41" w:rsidRDefault="00AE3D41" w:rsidP="003A0ABE">
            <w:pPr>
              <w:keepNext/>
              <w:keepLines/>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AE3D41">
              <w:rPr>
                <w:rFonts w:ascii="Calibri" w:hAnsi="Calibri"/>
                <w:b/>
                <w:color w:val="000000"/>
                <w:szCs w:val="20"/>
              </w:rPr>
              <w:t>232</w:t>
            </w:r>
          </w:p>
        </w:tc>
        <w:tc>
          <w:tcPr>
            <w:tcW w:w="527" w:type="pct"/>
            <w:shd w:val="clear" w:color="auto" w:fill="D7DDE9" w:themeFill="accent3"/>
          </w:tcPr>
          <w:p w:rsidR="00AE3D41" w:rsidRPr="00AE3D41" w:rsidRDefault="00AE3D41" w:rsidP="003A0ABE">
            <w:pPr>
              <w:keepNext/>
              <w:keepLines/>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AE3D41">
              <w:rPr>
                <w:rFonts w:ascii="Calibri" w:hAnsi="Calibri"/>
                <w:b/>
                <w:color w:val="000000"/>
                <w:szCs w:val="20"/>
              </w:rPr>
              <w:t>959</w:t>
            </w:r>
          </w:p>
        </w:tc>
        <w:tc>
          <w:tcPr>
            <w:tcW w:w="528" w:type="pct"/>
            <w:shd w:val="clear" w:color="auto" w:fill="D7DDE9" w:themeFill="accent3"/>
          </w:tcPr>
          <w:p w:rsidR="00AE3D41" w:rsidRPr="00AE3D41" w:rsidRDefault="00AE3D41" w:rsidP="003A0ABE">
            <w:pPr>
              <w:keepNext/>
              <w:keepLines/>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AE3D41">
              <w:rPr>
                <w:rFonts w:ascii="Calibri" w:hAnsi="Calibri"/>
                <w:b/>
                <w:color w:val="000000"/>
                <w:szCs w:val="20"/>
              </w:rPr>
              <w:t>1,924</w:t>
            </w:r>
          </w:p>
        </w:tc>
        <w:tc>
          <w:tcPr>
            <w:tcW w:w="528" w:type="pct"/>
            <w:shd w:val="clear" w:color="auto" w:fill="D7DDE9" w:themeFill="accent3"/>
          </w:tcPr>
          <w:p w:rsidR="00AE3D41" w:rsidRPr="00AE3D41" w:rsidRDefault="00AE3D41" w:rsidP="003A0ABE">
            <w:pPr>
              <w:keepNext/>
              <w:keepLines/>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AE3D41">
              <w:rPr>
                <w:rFonts w:ascii="Calibri" w:hAnsi="Calibri"/>
                <w:b/>
                <w:color w:val="000000"/>
                <w:szCs w:val="20"/>
              </w:rPr>
              <w:t>3,418</w:t>
            </w:r>
          </w:p>
        </w:tc>
        <w:tc>
          <w:tcPr>
            <w:tcW w:w="528" w:type="pct"/>
            <w:shd w:val="clear" w:color="auto" w:fill="D7DDE9" w:themeFill="accent3"/>
          </w:tcPr>
          <w:p w:rsidR="00AE3D41" w:rsidRPr="00AE3D41" w:rsidRDefault="00AE3D41" w:rsidP="003A0ABE">
            <w:pPr>
              <w:keepNext/>
              <w:keepLines/>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AE3D41">
              <w:rPr>
                <w:rFonts w:ascii="Calibri" w:hAnsi="Calibri"/>
                <w:b/>
                <w:color w:val="000000"/>
                <w:szCs w:val="20"/>
              </w:rPr>
              <w:t>4,924</w:t>
            </w:r>
          </w:p>
        </w:tc>
        <w:tc>
          <w:tcPr>
            <w:tcW w:w="528" w:type="pct"/>
            <w:shd w:val="clear" w:color="auto" w:fill="D7DDE9" w:themeFill="accent3"/>
          </w:tcPr>
          <w:p w:rsidR="00AE3D41" w:rsidRPr="00AE3D41" w:rsidRDefault="00AE3D41" w:rsidP="003A0ABE">
            <w:pPr>
              <w:keepNext/>
              <w:keepLines/>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AE3D41">
              <w:rPr>
                <w:rFonts w:ascii="Calibri" w:hAnsi="Calibri"/>
                <w:b/>
                <w:color w:val="000000"/>
                <w:szCs w:val="20"/>
              </w:rPr>
              <w:t>8,501</w:t>
            </w:r>
          </w:p>
        </w:tc>
        <w:tc>
          <w:tcPr>
            <w:tcW w:w="528" w:type="pct"/>
            <w:shd w:val="clear" w:color="auto" w:fill="D7DDE9" w:themeFill="accent3"/>
          </w:tcPr>
          <w:p w:rsidR="00AE3D41" w:rsidRPr="00AE3D41" w:rsidRDefault="00AE3D41" w:rsidP="003A0ABE">
            <w:pPr>
              <w:keepNext/>
              <w:keepLines/>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AE3D41">
              <w:rPr>
                <w:rFonts w:ascii="Calibri" w:hAnsi="Calibri"/>
                <w:b/>
                <w:color w:val="000000"/>
                <w:szCs w:val="20"/>
              </w:rPr>
              <w:t>13,069</w:t>
            </w:r>
          </w:p>
        </w:tc>
      </w:tr>
    </w:tbl>
    <w:p w:rsidR="00AB49B9" w:rsidRDefault="00F26FBF" w:rsidP="00F26FBF">
      <w:pPr>
        <w:pStyle w:val="Source"/>
        <w:ind w:left="720" w:hanging="720"/>
      </w:pPr>
      <w:r>
        <w:t>Source:</w:t>
      </w:r>
      <w:r>
        <w:tab/>
      </w:r>
      <w:r w:rsidR="00CD7055">
        <w:t>NBN Co Annual Report</w:t>
      </w:r>
      <w:r w:rsidR="00290C92">
        <w:t>,</w:t>
      </w:r>
      <w:r w:rsidR="00CD7055">
        <w:t xml:space="preserve"> various years;</w:t>
      </w:r>
      <w:r w:rsidR="00290C92">
        <w:t xml:space="preserve"> NBN Co Corporate Plan</w:t>
      </w:r>
      <w:r w:rsidR="00CB756C">
        <w:t>,</w:t>
      </w:r>
      <w:r w:rsidR="00CD7055">
        <w:t xml:space="preserve"> various years</w:t>
      </w:r>
      <w:r w:rsidR="00794DA8">
        <w:t>; Department of Communication and the Arts Annual Report 2015</w:t>
      </w:r>
      <w:r w:rsidR="00107497">
        <w:t>–</w:t>
      </w:r>
      <w:r w:rsidR="00794DA8">
        <w:t>16.</w:t>
      </w:r>
    </w:p>
    <w:p w:rsidR="00F47363" w:rsidRDefault="00F47363" w:rsidP="00F47363">
      <w:pPr>
        <w:pStyle w:val="Caption"/>
      </w:pPr>
      <w:bookmarkStart w:id="52" w:name="_Ref468708622"/>
      <w:r w:rsidRPr="00F47363">
        <w:t xml:space="preserve">Figure </w:t>
      </w:r>
      <w:r w:rsidR="00C11274">
        <w:fldChar w:fldCharType="begin"/>
      </w:r>
      <w:r w:rsidR="00C11274">
        <w:instrText xml:space="preserve"> STYLEREF 1 \s </w:instrText>
      </w:r>
      <w:r w:rsidR="00C11274">
        <w:fldChar w:fldCharType="separate"/>
      </w:r>
      <w:r w:rsidR="006E530F">
        <w:rPr>
          <w:noProof/>
        </w:rPr>
        <w:t>2</w:t>
      </w:r>
      <w:r w:rsidR="00C11274">
        <w:rPr>
          <w:noProof/>
        </w:rPr>
        <w:fldChar w:fldCharType="end"/>
      </w:r>
      <w:r w:rsidRPr="00F47363">
        <w:t>–</w:t>
      </w:r>
      <w:r w:rsidR="00C11274">
        <w:fldChar w:fldCharType="begin"/>
      </w:r>
      <w:r w:rsidR="00C11274">
        <w:instrText xml:space="preserve"> SEQ Figure \* ARABIC \s 1 </w:instrText>
      </w:r>
      <w:r w:rsidR="00C11274">
        <w:fldChar w:fldCharType="separate"/>
      </w:r>
      <w:r w:rsidR="006E530F">
        <w:rPr>
          <w:noProof/>
        </w:rPr>
        <w:t>2</w:t>
      </w:r>
      <w:r w:rsidR="00C11274">
        <w:rPr>
          <w:noProof/>
        </w:rPr>
        <w:fldChar w:fldCharType="end"/>
      </w:r>
      <w:bookmarkEnd w:id="52"/>
      <w:r w:rsidRPr="00F47363">
        <w:t xml:space="preserve">: </w:t>
      </w:r>
      <w:r>
        <w:t>Fair value of NBN Co ($ million)</w:t>
      </w:r>
    </w:p>
    <w:p w:rsidR="00F47363" w:rsidRPr="00F47363" w:rsidRDefault="00425D7B" w:rsidP="00BD6E13">
      <w:pPr>
        <w:pStyle w:val="BodyText"/>
        <w:spacing w:after="114"/>
      </w:pPr>
      <w:r>
        <w:rPr>
          <w:noProof/>
          <w:lang w:eastAsia="en-AU"/>
        </w:rPr>
        <w:drawing>
          <wp:inline distT="0" distB="0" distL="0" distR="0" wp14:anchorId="623385DA" wp14:editId="6DA2F068">
            <wp:extent cx="5401310" cy="3237230"/>
            <wp:effectExtent l="0" t="0" r="889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01310" cy="3237230"/>
                    </a:xfrm>
                    <a:prstGeom prst="rect">
                      <a:avLst/>
                    </a:prstGeom>
                    <a:noFill/>
                  </pic:spPr>
                </pic:pic>
              </a:graphicData>
            </a:graphic>
          </wp:inline>
        </w:drawing>
      </w:r>
    </w:p>
    <w:p w:rsidR="00120B5C" w:rsidRDefault="00F26FBF" w:rsidP="00F26FBF">
      <w:pPr>
        <w:pStyle w:val="Source"/>
        <w:spacing w:before="180"/>
        <w:ind w:left="720" w:hanging="720"/>
      </w:pPr>
      <w:r>
        <w:t>Source:</w:t>
      </w:r>
      <w:r>
        <w:tab/>
      </w:r>
      <w:r w:rsidR="00720AB1">
        <w:t>NBN Co</w:t>
      </w:r>
      <w:r w:rsidR="00120B5C">
        <w:t xml:space="preserve"> Annual Report, various years; Department of Communications and the Arts Annual Report, </w:t>
      </w:r>
      <w:r w:rsidR="00794DA8">
        <w:t>2015</w:t>
      </w:r>
      <w:r w:rsidR="00107497">
        <w:t>–</w:t>
      </w:r>
      <w:r w:rsidR="00794DA8">
        <w:t>16</w:t>
      </w:r>
      <w:r w:rsidR="00120B5C">
        <w:t>.</w:t>
      </w:r>
    </w:p>
    <w:p w:rsidR="00557695" w:rsidRDefault="00F17565" w:rsidP="00557695">
      <w:pPr>
        <w:pStyle w:val="BodyText17ptAbove"/>
      </w:pPr>
      <w:bookmarkStart w:id="53" w:name="_Toc464813476"/>
      <w:bookmarkStart w:id="54" w:name="_Toc465071567"/>
      <w:bookmarkStart w:id="55" w:name="_Toc465082007"/>
      <w:bookmarkStart w:id="56" w:name="_Toc465082212"/>
      <w:r>
        <w:lastRenderedPageBreak/>
        <w:t>The Government’s investment in NBN Co has resulted in a</w:t>
      </w:r>
      <w:r w:rsidR="00CE2EE5">
        <w:t xml:space="preserve"> deterioration of </w:t>
      </w:r>
      <w:r w:rsidR="00CE2EE5" w:rsidRPr="00580681">
        <w:t xml:space="preserve">around </w:t>
      </w:r>
      <w:r w:rsidRPr="00585707">
        <w:t>$8.</w:t>
      </w:r>
      <w:r w:rsidR="00A40FB6" w:rsidRPr="00585707">
        <w:t>8</w:t>
      </w:r>
      <w:r w:rsidR="00A57C35">
        <w:t> </w:t>
      </w:r>
      <w:r w:rsidRPr="00585707">
        <w:t>billion</w:t>
      </w:r>
      <w:r>
        <w:t xml:space="preserve"> in the Commonwealth’s net worth </w:t>
      </w:r>
      <w:r w:rsidR="00CE2EE5">
        <w:t>as at 30 June 2016</w:t>
      </w:r>
      <w:r>
        <w:t>.</w:t>
      </w:r>
      <w:r w:rsidR="00CE2EE5">
        <w:t xml:space="preserve">  This deterioration in the Commonwealth’s balance sheet </w:t>
      </w:r>
      <w:r w:rsidR="002013C4">
        <w:t>reflects the net impact of the accumulated losses and asset revaluations on NBN Co’s fair value, the accumulated cost to the Commonwealth of the PDI payments on the borrowings to support the Commonwealth’s equity</w:t>
      </w:r>
      <w:r w:rsidR="00A57C35">
        <w:t xml:space="preserve"> and debt</w:t>
      </w:r>
      <w:r w:rsidR="002013C4">
        <w:t xml:space="preserve"> contributions to NBN Co</w:t>
      </w:r>
      <w:r w:rsidR="001C3A87">
        <w:t>,</w:t>
      </w:r>
      <w:r w:rsidR="00A57C35">
        <w:t xml:space="preserve"> and any interest receipts from NBN Co</w:t>
      </w:r>
      <w:r w:rsidR="002013C4">
        <w:t xml:space="preserve"> (</w:t>
      </w:r>
      <w:r w:rsidR="00F47363">
        <w:fldChar w:fldCharType="begin"/>
      </w:r>
      <w:r w:rsidR="00F47363">
        <w:instrText xml:space="preserve"> REF _Ref468708742 \h </w:instrText>
      </w:r>
      <w:r w:rsidR="00F47363">
        <w:fldChar w:fldCharType="separate"/>
      </w:r>
      <w:r w:rsidR="006E530F" w:rsidRPr="00F47363">
        <w:t xml:space="preserve">Table </w:t>
      </w:r>
      <w:r w:rsidR="006E530F">
        <w:rPr>
          <w:noProof/>
        </w:rPr>
        <w:t>2</w:t>
      </w:r>
      <w:r w:rsidR="006E530F" w:rsidRPr="00F47363">
        <w:t>–</w:t>
      </w:r>
      <w:r w:rsidR="006E530F">
        <w:rPr>
          <w:noProof/>
        </w:rPr>
        <w:t>2</w:t>
      </w:r>
      <w:r w:rsidR="00F47363">
        <w:fldChar w:fldCharType="end"/>
      </w:r>
      <w:r w:rsidR="00525358">
        <w:t>).</w:t>
      </w:r>
    </w:p>
    <w:p w:rsidR="00F47363" w:rsidRDefault="00F47363" w:rsidP="00F47363">
      <w:pPr>
        <w:pStyle w:val="Caption"/>
      </w:pPr>
      <w:bookmarkStart w:id="57" w:name="_Ref468708742"/>
      <w:r w:rsidRPr="00F47363">
        <w:t xml:space="preserve">Table </w:t>
      </w:r>
      <w:r w:rsidR="00C11274">
        <w:fldChar w:fldCharType="begin"/>
      </w:r>
      <w:r w:rsidR="00C11274">
        <w:instrText xml:space="preserve"> STYLEREF 1 \s </w:instrText>
      </w:r>
      <w:r w:rsidR="00C11274">
        <w:fldChar w:fldCharType="separate"/>
      </w:r>
      <w:r w:rsidR="006E530F">
        <w:rPr>
          <w:noProof/>
        </w:rPr>
        <w:t>2</w:t>
      </w:r>
      <w:r w:rsidR="00C11274">
        <w:rPr>
          <w:noProof/>
        </w:rPr>
        <w:fldChar w:fldCharType="end"/>
      </w:r>
      <w:r w:rsidRPr="00F47363">
        <w:t>–</w:t>
      </w:r>
      <w:r w:rsidR="00C11274">
        <w:fldChar w:fldCharType="begin"/>
      </w:r>
      <w:r w:rsidR="00C11274">
        <w:instrText xml:space="preserve"> SEQ Table \* ARABIC \s 1 </w:instrText>
      </w:r>
      <w:r w:rsidR="00C11274">
        <w:fldChar w:fldCharType="separate"/>
      </w:r>
      <w:r w:rsidR="006E530F">
        <w:rPr>
          <w:noProof/>
        </w:rPr>
        <w:t>2</w:t>
      </w:r>
      <w:r w:rsidR="00C11274">
        <w:rPr>
          <w:noProof/>
        </w:rPr>
        <w:fldChar w:fldCharType="end"/>
      </w:r>
      <w:bookmarkEnd w:id="57"/>
      <w:r w:rsidRPr="00F47363">
        <w:t xml:space="preserve">: </w:t>
      </w:r>
      <w:r>
        <w:t>Impact of NBN Co on Commonwealth net worth ($ million)</w:t>
      </w:r>
    </w:p>
    <w:tbl>
      <w:tblPr>
        <w:tblStyle w:val="TableGrid"/>
        <w:tblW w:w="0" w:type="auto"/>
        <w:tblLook w:val="04A0" w:firstRow="1" w:lastRow="0" w:firstColumn="1" w:lastColumn="0" w:noHBand="0" w:noVBand="1"/>
      </w:tblPr>
      <w:tblGrid>
        <w:gridCol w:w="1296"/>
        <w:gridCol w:w="877"/>
        <w:gridCol w:w="877"/>
        <w:gridCol w:w="877"/>
        <w:gridCol w:w="877"/>
        <w:gridCol w:w="877"/>
        <w:gridCol w:w="877"/>
        <w:gridCol w:w="877"/>
        <w:gridCol w:w="877"/>
      </w:tblGrid>
      <w:tr w:rsidR="0095360C" w:rsidTr="009536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96" w:type="dxa"/>
          </w:tcPr>
          <w:p w:rsidR="0095360C" w:rsidRDefault="0095360C" w:rsidP="003B22D1">
            <w:pPr>
              <w:pStyle w:val="TableHeading"/>
            </w:pPr>
          </w:p>
        </w:tc>
        <w:tc>
          <w:tcPr>
            <w:tcW w:w="877" w:type="dxa"/>
          </w:tcPr>
          <w:p w:rsidR="0095360C" w:rsidRDefault="0095360C" w:rsidP="0015060D">
            <w:pPr>
              <w:pStyle w:val="TableHeadingRight"/>
              <w:ind w:left="57" w:right="57"/>
              <w:cnfStyle w:val="100000000000" w:firstRow="1" w:lastRow="0" w:firstColumn="0" w:lastColumn="0" w:oddVBand="0" w:evenVBand="0" w:oddHBand="0" w:evenHBand="0" w:firstRowFirstColumn="0" w:firstRowLastColumn="0" w:lastRowFirstColumn="0" w:lastRowLastColumn="0"/>
            </w:pPr>
            <w:r>
              <w:t>2008</w:t>
            </w:r>
            <w:r w:rsidR="0015060D">
              <w:t>–</w:t>
            </w:r>
            <w:r>
              <w:t>09</w:t>
            </w:r>
          </w:p>
        </w:tc>
        <w:tc>
          <w:tcPr>
            <w:tcW w:w="877" w:type="dxa"/>
          </w:tcPr>
          <w:p w:rsidR="0095360C" w:rsidRDefault="0095360C" w:rsidP="0015060D">
            <w:pPr>
              <w:pStyle w:val="TableHeadingRight"/>
              <w:ind w:left="57" w:right="57"/>
              <w:cnfStyle w:val="100000000000" w:firstRow="1" w:lastRow="0" w:firstColumn="0" w:lastColumn="0" w:oddVBand="0" w:evenVBand="0" w:oddHBand="0" w:evenHBand="0" w:firstRowFirstColumn="0" w:firstRowLastColumn="0" w:lastRowFirstColumn="0" w:lastRowLastColumn="0"/>
            </w:pPr>
            <w:r>
              <w:t>2009</w:t>
            </w:r>
            <w:r w:rsidR="0015060D">
              <w:t>–</w:t>
            </w:r>
            <w:r>
              <w:t>10</w:t>
            </w:r>
          </w:p>
        </w:tc>
        <w:tc>
          <w:tcPr>
            <w:tcW w:w="877" w:type="dxa"/>
          </w:tcPr>
          <w:p w:rsidR="0095360C" w:rsidRDefault="0095360C" w:rsidP="0015060D">
            <w:pPr>
              <w:pStyle w:val="TableHeadingRight"/>
              <w:ind w:left="57" w:right="57"/>
              <w:cnfStyle w:val="100000000000" w:firstRow="1" w:lastRow="0" w:firstColumn="0" w:lastColumn="0" w:oddVBand="0" w:evenVBand="0" w:oddHBand="0" w:evenHBand="0" w:firstRowFirstColumn="0" w:firstRowLastColumn="0" w:lastRowFirstColumn="0" w:lastRowLastColumn="0"/>
            </w:pPr>
            <w:r>
              <w:t>2010</w:t>
            </w:r>
            <w:r w:rsidR="0015060D">
              <w:t>–</w:t>
            </w:r>
            <w:r>
              <w:t>11</w:t>
            </w:r>
          </w:p>
        </w:tc>
        <w:tc>
          <w:tcPr>
            <w:tcW w:w="877" w:type="dxa"/>
          </w:tcPr>
          <w:p w:rsidR="0095360C" w:rsidRDefault="0095360C" w:rsidP="0015060D">
            <w:pPr>
              <w:pStyle w:val="TableHeadingRight"/>
              <w:ind w:left="57" w:right="57"/>
              <w:cnfStyle w:val="100000000000" w:firstRow="1" w:lastRow="0" w:firstColumn="0" w:lastColumn="0" w:oddVBand="0" w:evenVBand="0" w:oddHBand="0" w:evenHBand="0" w:firstRowFirstColumn="0" w:firstRowLastColumn="0" w:lastRowFirstColumn="0" w:lastRowLastColumn="0"/>
            </w:pPr>
            <w:r>
              <w:t>2011</w:t>
            </w:r>
            <w:r w:rsidR="0015060D">
              <w:t>–</w:t>
            </w:r>
            <w:r>
              <w:t>12</w:t>
            </w:r>
          </w:p>
        </w:tc>
        <w:tc>
          <w:tcPr>
            <w:tcW w:w="877" w:type="dxa"/>
          </w:tcPr>
          <w:p w:rsidR="0095360C" w:rsidRDefault="0095360C" w:rsidP="0015060D">
            <w:pPr>
              <w:pStyle w:val="TableHeadingRight"/>
              <w:ind w:left="57" w:right="57"/>
              <w:cnfStyle w:val="100000000000" w:firstRow="1" w:lastRow="0" w:firstColumn="0" w:lastColumn="0" w:oddVBand="0" w:evenVBand="0" w:oddHBand="0" w:evenHBand="0" w:firstRowFirstColumn="0" w:firstRowLastColumn="0" w:lastRowFirstColumn="0" w:lastRowLastColumn="0"/>
            </w:pPr>
            <w:r>
              <w:t>2012</w:t>
            </w:r>
            <w:r w:rsidR="0015060D">
              <w:t>–</w:t>
            </w:r>
            <w:r>
              <w:t>13</w:t>
            </w:r>
          </w:p>
        </w:tc>
        <w:tc>
          <w:tcPr>
            <w:tcW w:w="877" w:type="dxa"/>
          </w:tcPr>
          <w:p w:rsidR="0095360C" w:rsidRDefault="0095360C" w:rsidP="0015060D">
            <w:pPr>
              <w:pStyle w:val="TableHeadingRight"/>
              <w:ind w:left="57" w:right="57"/>
              <w:cnfStyle w:val="100000000000" w:firstRow="1" w:lastRow="0" w:firstColumn="0" w:lastColumn="0" w:oddVBand="0" w:evenVBand="0" w:oddHBand="0" w:evenHBand="0" w:firstRowFirstColumn="0" w:firstRowLastColumn="0" w:lastRowFirstColumn="0" w:lastRowLastColumn="0"/>
            </w:pPr>
            <w:r>
              <w:t>2013</w:t>
            </w:r>
            <w:r w:rsidR="0015060D">
              <w:t>–</w:t>
            </w:r>
            <w:r>
              <w:t>14</w:t>
            </w:r>
          </w:p>
        </w:tc>
        <w:tc>
          <w:tcPr>
            <w:tcW w:w="877" w:type="dxa"/>
          </w:tcPr>
          <w:p w:rsidR="0095360C" w:rsidRDefault="0095360C" w:rsidP="0015060D">
            <w:pPr>
              <w:pStyle w:val="TableHeadingRight"/>
              <w:ind w:left="57" w:right="57"/>
              <w:cnfStyle w:val="100000000000" w:firstRow="1" w:lastRow="0" w:firstColumn="0" w:lastColumn="0" w:oddVBand="0" w:evenVBand="0" w:oddHBand="0" w:evenHBand="0" w:firstRowFirstColumn="0" w:firstRowLastColumn="0" w:lastRowFirstColumn="0" w:lastRowLastColumn="0"/>
            </w:pPr>
            <w:r>
              <w:t>2014</w:t>
            </w:r>
            <w:r w:rsidR="0015060D">
              <w:t>–</w:t>
            </w:r>
            <w:r>
              <w:t>15</w:t>
            </w:r>
          </w:p>
        </w:tc>
        <w:tc>
          <w:tcPr>
            <w:tcW w:w="877" w:type="dxa"/>
          </w:tcPr>
          <w:p w:rsidR="0095360C" w:rsidRDefault="0095360C" w:rsidP="0015060D">
            <w:pPr>
              <w:pStyle w:val="TableHeadingRight"/>
              <w:ind w:left="57" w:right="57"/>
              <w:cnfStyle w:val="100000000000" w:firstRow="1" w:lastRow="0" w:firstColumn="0" w:lastColumn="0" w:oddVBand="0" w:evenVBand="0" w:oddHBand="0" w:evenHBand="0" w:firstRowFirstColumn="0" w:firstRowLastColumn="0" w:lastRowFirstColumn="0" w:lastRowLastColumn="0"/>
            </w:pPr>
            <w:r>
              <w:t>2015</w:t>
            </w:r>
            <w:r w:rsidR="0015060D">
              <w:t>–</w:t>
            </w:r>
            <w:r>
              <w:t>16</w:t>
            </w:r>
          </w:p>
        </w:tc>
      </w:tr>
      <w:tr w:rsidR="00F4548A" w:rsidTr="00853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 w:type="dxa"/>
          </w:tcPr>
          <w:p w:rsidR="00F4548A" w:rsidRDefault="00F4548A" w:rsidP="00555368">
            <w:pPr>
              <w:pStyle w:val="TableText"/>
              <w:keepNext/>
              <w:keepLines/>
            </w:pPr>
            <w:r>
              <w:t>Accumulated total losses</w:t>
            </w:r>
          </w:p>
        </w:tc>
        <w:tc>
          <w:tcPr>
            <w:tcW w:w="877" w:type="dxa"/>
          </w:tcPr>
          <w:p w:rsidR="00F4548A" w:rsidRDefault="00F4548A" w:rsidP="0015060D">
            <w:pPr>
              <w:keepNext/>
              <w:keepLines/>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Pr>
                <w:rFonts w:ascii="Calibri" w:hAnsi="Calibri"/>
                <w:color w:val="000000"/>
                <w:szCs w:val="20"/>
              </w:rPr>
              <w:t>-</w:t>
            </w:r>
          </w:p>
        </w:tc>
        <w:tc>
          <w:tcPr>
            <w:tcW w:w="877" w:type="dxa"/>
          </w:tcPr>
          <w:p w:rsidR="00F4548A" w:rsidRDefault="00F4548A" w:rsidP="0015060D">
            <w:pPr>
              <w:keepNext/>
              <w:keepLines/>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Pr>
                <w:rFonts w:ascii="Calibri" w:hAnsi="Calibri"/>
                <w:color w:val="000000"/>
                <w:szCs w:val="20"/>
              </w:rPr>
              <w:t>-80</w:t>
            </w:r>
          </w:p>
        </w:tc>
        <w:tc>
          <w:tcPr>
            <w:tcW w:w="877" w:type="dxa"/>
          </w:tcPr>
          <w:p w:rsidR="00F4548A" w:rsidRDefault="00F4548A" w:rsidP="0015060D">
            <w:pPr>
              <w:keepNext/>
              <w:keepLines/>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Pr>
                <w:rFonts w:ascii="Calibri" w:hAnsi="Calibri"/>
                <w:color w:val="000000"/>
                <w:szCs w:val="20"/>
              </w:rPr>
              <w:t>-403</w:t>
            </w:r>
          </w:p>
        </w:tc>
        <w:tc>
          <w:tcPr>
            <w:tcW w:w="877" w:type="dxa"/>
          </w:tcPr>
          <w:p w:rsidR="00F4548A" w:rsidRDefault="00F4548A" w:rsidP="0015060D">
            <w:pPr>
              <w:keepNext/>
              <w:keepLines/>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Pr>
                <w:rFonts w:ascii="Calibri" w:hAnsi="Calibri"/>
                <w:color w:val="000000"/>
                <w:szCs w:val="20"/>
              </w:rPr>
              <w:t>-908</w:t>
            </w:r>
          </w:p>
        </w:tc>
        <w:tc>
          <w:tcPr>
            <w:tcW w:w="877" w:type="dxa"/>
          </w:tcPr>
          <w:p w:rsidR="00F4548A" w:rsidRDefault="00F4548A" w:rsidP="0015060D">
            <w:pPr>
              <w:keepNext/>
              <w:keepLines/>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Pr>
                <w:rFonts w:ascii="Calibri" w:hAnsi="Calibri"/>
                <w:color w:val="000000"/>
                <w:szCs w:val="20"/>
              </w:rPr>
              <w:t>-1,811</w:t>
            </w:r>
          </w:p>
        </w:tc>
        <w:tc>
          <w:tcPr>
            <w:tcW w:w="877" w:type="dxa"/>
          </w:tcPr>
          <w:p w:rsidR="00F4548A" w:rsidRDefault="00F4548A" w:rsidP="0015060D">
            <w:pPr>
              <w:keepNext/>
              <w:keepLines/>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Pr>
                <w:rFonts w:ascii="Calibri" w:hAnsi="Calibri"/>
                <w:color w:val="000000"/>
                <w:szCs w:val="20"/>
              </w:rPr>
              <w:t>-3,494</w:t>
            </w:r>
          </w:p>
        </w:tc>
        <w:tc>
          <w:tcPr>
            <w:tcW w:w="877" w:type="dxa"/>
          </w:tcPr>
          <w:p w:rsidR="00F4548A" w:rsidRDefault="00F4548A" w:rsidP="0015060D">
            <w:pPr>
              <w:keepNext/>
              <w:keepLines/>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Pr>
                <w:rFonts w:ascii="Calibri" w:hAnsi="Calibri"/>
                <w:color w:val="000000"/>
                <w:szCs w:val="20"/>
              </w:rPr>
              <w:t>-5,477</w:t>
            </w:r>
          </w:p>
        </w:tc>
        <w:tc>
          <w:tcPr>
            <w:tcW w:w="877" w:type="dxa"/>
          </w:tcPr>
          <w:p w:rsidR="00F4548A" w:rsidRDefault="00F4548A" w:rsidP="0015060D">
            <w:pPr>
              <w:keepNext/>
              <w:keepLines/>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Pr>
                <w:rFonts w:ascii="Calibri" w:hAnsi="Calibri"/>
                <w:color w:val="000000"/>
                <w:szCs w:val="20"/>
              </w:rPr>
              <w:t>-8,252</w:t>
            </w:r>
          </w:p>
        </w:tc>
      </w:tr>
      <w:tr w:rsidR="0095360C" w:rsidRPr="001B2FCA" w:rsidTr="00853B4C">
        <w:tc>
          <w:tcPr>
            <w:cnfStyle w:val="001000000000" w:firstRow="0" w:lastRow="0" w:firstColumn="1" w:lastColumn="0" w:oddVBand="0" w:evenVBand="0" w:oddHBand="0" w:evenHBand="0" w:firstRowFirstColumn="0" w:firstRowLastColumn="0" w:lastRowFirstColumn="0" w:lastRowLastColumn="0"/>
            <w:tcW w:w="1296" w:type="dxa"/>
          </w:tcPr>
          <w:p w:rsidR="0095360C" w:rsidRPr="001B2FCA" w:rsidRDefault="0095360C" w:rsidP="00555368">
            <w:pPr>
              <w:pStyle w:val="TableText"/>
              <w:keepNext/>
              <w:keepLines/>
            </w:pPr>
            <w:r>
              <w:t>Accumulated valuation adjustment</w:t>
            </w:r>
          </w:p>
        </w:tc>
        <w:tc>
          <w:tcPr>
            <w:tcW w:w="877" w:type="dxa"/>
          </w:tcPr>
          <w:p w:rsidR="0095360C" w:rsidRPr="001B2FCA" w:rsidRDefault="00794DA8" w:rsidP="0015060D">
            <w:pPr>
              <w:pStyle w:val="TableTextCentred"/>
              <w:keepNext/>
              <w:keepLines/>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Cs/>
                <w:color w:val="000000"/>
                <w:szCs w:val="20"/>
              </w:rPr>
            </w:pPr>
            <w:r>
              <w:rPr>
                <w:rFonts w:ascii="Calibri" w:hAnsi="Calibri"/>
                <w:bCs/>
                <w:color w:val="000000"/>
                <w:szCs w:val="20"/>
              </w:rPr>
              <w:t>-</w:t>
            </w:r>
          </w:p>
        </w:tc>
        <w:tc>
          <w:tcPr>
            <w:tcW w:w="877" w:type="dxa"/>
          </w:tcPr>
          <w:p w:rsidR="0095360C" w:rsidRPr="001B2FCA" w:rsidRDefault="00794DA8" w:rsidP="0015060D">
            <w:pPr>
              <w:pStyle w:val="TableTextCentred"/>
              <w:keepNext/>
              <w:keepLines/>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Cs/>
                <w:color w:val="000000"/>
                <w:szCs w:val="20"/>
              </w:rPr>
            </w:pPr>
            <w:r>
              <w:rPr>
                <w:rFonts w:ascii="Calibri" w:hAnsi="Calibri"/>
                <w:bCs/>
                <w:color w:val="000000"/>
                <w:szCs w:val="20"/>
              </w:rPr>
              <w:t>-</w:t>
            </w:r>
          </w:p>
        </w:tc>
        <w:tc>
          <w:tcPr>
            <w:tcW w:w="877" w:type="dxa"/>
          </w:tcPr>
          <w:p w:rsidR="0095360C" w:rsidRPr="001B2FCA" w:rsidRDefault="00794DA8" w:rsidP="0015060D">
            <w:pPr>
              <w:pStyle w:val="TableTextCentred"/>
              <w:keepNext/>
              <w:keepLines/>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Cs/>
                <w:color w:val="000000"/>
                <w:szCs w:val="20"/>
              </w:rPr>
            </w:pPr>
            <w:r>
              <w:rPr>
                <w:rFonts w:ascii="Calibri" w:hAnsi="Calibri"/>
                <w:bCs/>
                <w:color w:val="000000"/>
                <w:szCs w:val="20"/>
              </w:rPr>
              <w:t>-</w:t>
            </w:r>
          </w:p>
        </w:tc>
        <w:tc>
          <w:tcPr>
            <w:tcW w:w="877" w:type="dxa"/>
          </w:tcPr>
          <w:p w:rsidR="0095360C" w:rsidRPr="001B2FCA" w:rsidRDefault="00794DA8" w:rsidP="0015060D">
            <w:pPr>
              <w:pStyle w:val="TableTextCentred"/>
              <w:keepNext/>
              <w:keepLines/>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Cs/>
                <w:color w:val="000000"/>
                <w:szCs w:val="20"/>
              </w:rPr>
            </w:pPr>
            <w:r>
              <w:rPr>
                <w:rFonts w:ascii="Calibri" w:hAnsi="Calibri"/>
                <w:bCs/>
                <w:color w:val="000000"/>
                <w:szCs w:val="20"/>
              </w:rPr>
              <w:t>-</w:t>
            </w:r>
          </w:p>
        </w:tc>
        <w:tc>
          <w:tcPr>
            <w:tcW w:w="877" w:type="dxa"/>
          </w:tcPr>
          <w:p w:rsidR="0095360C" w:rsidRPr="001B2FCA" w:rsidRDefault="00794DA8" w:rsidP="0015060D">
            <w:pPr>
              <w:pStyle w:val="TableTextCentred"/>
              <w:keepNext/>
              <w:keepLines/>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Cs/>
                <w:color w:val="000000"/>
                <w:szCs w:val="20"/>
              </w:rPr>
            </w:pPr>
            <w:r>
              <w:rPr>
                <w:rFonts w:ascii="Calibri" w:hAnsi="Calibri"/>
                <w:bCs/>
                <w:color w:val="000000"/>
                <w:szCs w:val="20"/>
              </w:rPr>
              <w:t>-</w:t>
            </w:r>
          </w:p>
        </w:tc>
        <w:tc>
          <w:tcPr>
            <w:tcW w:w="877" w:type="dxa"/>
          </w:tcPr>
          <w:p w:rsidR="0095360C" w:rsidRPr="001B2FCA" w:rsidRDefault="00794DA8" w:rsidP="0015060D">
            <w:pPr>
              <w:pStyle w:val="TableTextCentred"/>
              <w:keepNext/>
              <w:keepLines/>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Cs/>
                <w:color w:val="000000"/>
                <w:szCs w:val="20"/>
              </w:rPr>
            </w:pPr>
            <w:r>
              <w:rPr>
                <w:rFonts w:ascii="Calibri" w:hAnsi="Calibri"/>
                <w:bCs/>
                <w:color w:val="000000"/>
                <w:szCs w:val="20"/>
              </w:rPr>
              <w:t>-</w:t>
            </w:r>
          </w:p>
        </w:tc>
        <w:tc>
          <w:tcPr>
            <w:tcW w:w="877" w:type="dxa"/>
          </w:tcPr>
          <w:p w:rsidR="0095360C" w:rsidRPr="001B2FCA" w:rsidRDefault="0095360C" w:rsidP="0015060D">
            <w:pPr>
              <w:pStyle w:val="TableTextCentred"/>
              <w:keepNext/>
              <w:keepLines/>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Cs/>
                <w:color w:val="000000"/>
                <w:szCs w:val="20"/>
              </w:rPr>
            </w:pPr>
            <w:r>
              <w:rPr>
                <w:rFonts w:ascii="Calibri" w:hAnsi="Calibri"/>
                <w:bCs/>
                <w:color w:val="000000"/>
                <w:szCs w:val="20"/>
              </w:rPr>
              <w:t>793</w:t>
            </w:r>
          </w:p>
        </w:tc>
        <w:tc>
          <w:tcPr>
            <w:tcW w:w="877" w:type="dxa"/>
          </w:tcPr>
          <w:p w:rsidR="0095360C" w:rsidRPr="001B2FCA" w:rsidRDefault="0095360C" w:rsidP="0015060D">
            <w:pPr>
              <w:pStyle w:val="TableTextCentred"/>
              <w:keepNext/>
              <w:keepLines/>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Cs/>
                <w:color w:val="000000"/>
                <w:szCs w:val="20"/>
              </w:rPr>
            </w:pPr>
            <w:r>
              <w:rPr>
                <w:rFonts w:ascii="Calibri" w:hAnsi="Calibri"/>
                <w:bCs/>
                <w:color w:val="000000"/>
                <w:szCs w:val="20"/>
              </w:rPr>
              <w:t>1,046</w:t>
            </w:r>
          </w:p>
        </w:tc>
      </w:tr>
      <w:tr w:rsidR="0095360C" w:rsidRPr="00A40FB6" w:rsidTr="00853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 w:type="dxa"/>
          </w:tcPr>
          <w:p w:rsidR="0095360C" w:rsidRPr="00585707" w:rsidRDefault="00E10115" w:rsidP="00555368">
            <w:pPr>
              <w:pStyle w:val="TableText"/>
              <w:keepNext/>
              <w:keepLines/>
            </w:pPr>
            <w:r w:rsidRPr="00585707">
              <w:t xml:space="preserve">Accumulated </w:t>
            </w:r>
            <w:r w:rsidR="0095360C" w:rsidRPr="00585707">
              <w:t>PDI</w:t>
            </w:r>
          </w:p>
        </w:tc>
        <w:tc>
          <w:tcPr>
            <w:tcW w:w="877" w:type="dxa"/>
          </w:tcPr>
          <w:p w:rsidR="0095360C" w:rsidRPr="00585707" w:rsidRDefault="00794DA8" w:rsidP="0015060D">
            <w:pPr>
              <w:pStyle w:val="TableTextCentred"/>
              <w:keepNext/>
              <w:keepLines/>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bCs/>
                <w:color w:val="000000"/>
                <w:szCs w:val="20"/>
              </w:rPr>
            </w:pPr>
            <w:r w:rsidRPr="00585707">
              <w:rPr>
                <w:rFonts w:ascii="Calibri" w:hAnsi="Calibri"/>
                <w:bCs/>
                <w:color w:val="000000"/>
                <w:szCs w:val="20"/>
              </w:rPr>
              <w:t>-</w:t>
            </w:r>
          </w:p>
        </w:tc>
        <w:tc>
          <w:tcPr>
            <w:tcW w:w="877" w:type="dxa"/>
          </w:tcPr>
          <w:p w:rsidR="0095360C" w:rsidRPr="00585707" w:rsidRDefault="00794DA8" w:rsidP="0015060D">
            <w:pPr>
              <w:pStyle w:val="TableTextCentred"/>
              <w:keepNext/>
              <w:keepLines/>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bCs/>
                <w:color w:val="000000"/>
                <w:szCs w:val="20"/>
              </w:rPr>
            </w:pPr>
            <w:r w:rsidRPr="00585707">
              <w:rPr>
                <w:rFonts w:ascii="Calibri" w:hAnsi="Calibri"/>
                <w:bCs/>
                <w:color w:val="000000"/>
                <w:szCs w:val="20"/>
              </w:rPr>
              <w:t>-</w:t>
            </w:r>
            <w:r w:rsidR="0095360C" w:rsidRPr="00585707">
              <w:rPr>
                <w:rFonts w:ascii="Calibri" w:hAnsi="Calibri"/>
                <w:bCs/>
                <w:color w:val="000000"/>
                <w:szCs w:val="20"/>
              </w:rPr>
              <w:t>9</w:t>
            </w:r>
          </w:p>
        </w:tc>
        <w:tc>
          <w:tcPr>
            <w:tcW w:w="877" w:type="dxa"/>
          </w:tcPr>
          <w:p w:rsidR="0095360C" w:rsidRPr="00585707" w:rsidRDefault="00794DA8" w:rsidP="0015060D">
            <w:pPr>
              <w:pStyle w:val="TableTextCentred"/>
              <w:keepNext/>
              <w:keepLines/>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bCs/>
                <w:color w:val="000000"/>
                <w:szCs w:val="20"/>
              </w:rPr>
            </w:pPr>
            <w:r w:rsidRPr="00585707">
              <w:rPr>
                <w:rFonts w:ascii="Calibri" w:hAnsi="Calibri"/>
                <w:bCs/>
                <w:color w:val="000000"/>
                <w:szCs w:val="20"/>
              </w:rPr>
              <w:t>-</w:t>
            </w:r>
            <w:r w:rsidR="00A40FB6" w:rsidRPr="00585707">
              <w:rPr>
                <w:rFonts w:ascii="Calibri" w:hAnsi="Calibri"/>
                <w:bCs/>
                <w:color w:val="000000"/>
                <w:szCs w:val="20"/>
              </w:rPr>
              <w:t>53</w:t>
            </w:r>
          </w:p>
        </w:tc>
        <w:tc>
          <w:tcPr>
            <w:tcW w:w="877" w:type="dxa"/>
          </w:tcPr>
          <w:p w:rsidR="0095360C" w:rsidRPr="00585707" w:rsidRDefault="00794DA8" w:rsidP="0015060D">
            <w:pPr>
              <w:pStyle w:val="TableTextCentred"/>
              <w:keepNext/>
              <w:keepLines/>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bCs/>
                <w:color w:val="000000"/>
                <w:szCs w:val="20"/>
              </w:rPr>
            </w:pPr>
            <w:r w:rsidRPr="00585707">
              <w:rPr>
                <w:rFonts w:ascii="Calibri" w:hAnsi="Calibri"/>
                <w:bCs/>
                <w:color w:val="000000"/>
                <w:szCs w:val="20"/>
              </w:rPr>
              <w:t>-</w:t>
            </w:r>
            <w:r w:rsidR="00A40FB6" w:rsidRPr="00585707">
              <w:rPr>
                <w:rFonts w:ascii="Calibri" w:hAnsi="Calibri"/>
                <w:bCs/>
                <w:color w:val="000000"/>
                <w:szCs w:val="20"/>
              </w:rPr>
              <w:t>147</w:t>
            </w:r>
          </w:p>
        </w:tc>
        <w:tc>
          <w:tcPr>
            <w:tcW w:w="877" w:type="dxa"/>
          </w:tcPr>
          <w:p w:rsidR="0095360C" w:rsidRPr="00585707" w:rsidRDefault="00794DA8" w:rsidP="0015060D">
            <w:pPr>
              <w:pStyle w:val="TableTextCentred"/>
              <w:keepNext/>
              <w:keepLines/>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bCs/>
                <w:color w:val="000000"/>
                <w:szCs w:val="20"/>
              </w:rPr>
            </w:pPr>
            <w:r w:rsidRPr="00585707">
              <w:rPr>
                <w:rFonts w:ascii="Calibri" w:hAnsi="Calibri"/>
                <w:bCs/>
                <w:color w:val="000000"/>
                <w:szCs w:val="20"/>
              </w:rPr>
              <w:t>-</w:t>
            </w:r>
            <w:r w:rsidR="00A40FB6" w:rsidRPr="00585707">
              <w:rPr>
                <w:rFonts w:ascii="Calibri" w:hAnsi="Calibri"/>
                <w:bCs/>
                <w:color w:val="000000"/>
                <w:szCs w:val="20"/>
              </w:rPr>
              <w:t>310</w:t>
            </w:r>
          </w:p>
        </w:tc>
        <w:tc>
          <w:tcPr>
            <w:tcW w:w="877" w:type="dxa"/>
          </w:tcPr>
          <w:p w:rsidR="0095360C" w:rsidRPr="00585707" w:rsidRDefault="00794DA8" w:rsidP="0015060D">
            <w:pPr>
              <w:pStyle w:val="TableTextCentred"/>
              <w:keepNext/>
              <w:keepLines/>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bCs/>
                <w:color w:val="000000"/>
                <w:szCs w:val="20"/>
              </w:rPr>
            </w:pPr>
            <w:r w:rsidRPr="00585707">
              <w:rPr>
                <w:rFonts w:ascii="Calibri" w:hAnsi="Calibri"/>
                <w:bCs/>
                <w:color w:val="000000"/>
                <w:szCs w:val="20"/>
              </w:rPr>
              <w:t>-</w:t>
            </w:r>
            <w:r w:rsidR="00A40FB6" w:rsidRPr="00585707">
              <w:rPr>
                <w:rFonts w:ascii="Calibri" w:hAnsi="Calibri"/>
                <w:bCs/>
                <w:color w:val="000000"/>
                <w:szCs w:val="20"/>
              </w:rPr>
              <w:t>580</w:t>
            </w:r>
          </w:p>
        </w:tc>
        <w:tc>
          <w:tcPr>
            <w:tcW w:w="877" w:type="dxa"/>
          </w:tcPr>
          <w:p w:rsidR="0095360C" w:rsidRPr="00585707" w:rsidRDefault="00794DA8" w:rsidP="0015060D">
            <w:pPr>
              <w:pStyle w:val="TableTextCentred"/>
              <w:keepNext/>
              <w:keepLines/>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bCs/>
                <w:color w:val="000000"/>
                <w:szCs w:val="20"/>
              </w:rPr>
            </w:pPr>
            <w:r w:rsidRPr="00585707">
              <w:rPr>
                <w:rFonts w:ascii="Calibri" w:hAnsi="Calibri"/>
                <w:bCs/>
                <w:color w:val="000000"/>
                <w:szCs w:val="20"/>
              </w:rPr>
              <w:t>-</w:t>
            </w:r>
            <w:r w:rsidR="00A40FB6" w:rsidRPr="00585707">
              <w:rPr>
                <w:rFonts w:ascii="Calibri" w:hAnsi="Calibri"/>
                <w:bCs/>
                <w:color w:val="000000"/>
                <w:szCs w:val="20"/>
              </w:rPr>
              <w:t>985</w:t>
            </w:r>
          </w:p>
        </w:tc>
        <w:tc>
          <w:tcPr>
            <w:tcW w:w="877" w:type="dxa"/>
          </w:tcPr>
          <w:p w:rsidR="0095360C" w:rsidRPr="00585707" w:rsidRDefault="00794DA8" w:rsidP="0015060D">
            <w:pPr>
              <w:pStyle w:val="TableTextCentred"/>
              <w:keepNext/>
              <w:keepLines/>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bCs/>
                <w:color w:val="000000"/>
                <w:szCs w:val="20"/>
              </w:rPr>
            </w:pPr>
            <w:r w:rsidRPr="00585707">
              <w:rPr>
                <w:rFonts w:ascii="Calibri" w:hAnsi="Calibri"/>
                <w:bCs/>
                <w:color w:val="000000"/>
                <w:szCs w:val="20"/>
              </w:rPr>
              <w:t>-</w:t>
            </w:r>
            <w:r w:rsidR="00DB365E" w:rsidRPr="00585707">
              <w:rPr>
                <w:rFonts w:ascii="Calibri" w:hAnsi="Calibri"/>
                <w:bCs/>
                <w:color w:val="000000"/>
                <w:szCs w:val="20"/>
              </w:rPr>
              <w:t>1,</w:t>
            </w:r>
            <w:r w:rsidR="00A40FB6" w:rsidRPr="00585707">
              <w:rPr>
                <w:rFonts w:ascii="Calibri" w:hAnsi="Calibri"/>
                <w:bCs/>
                <w:color w:val="000000"/>
                <w:szCs w:val="20"/>
              </w:rPr>
              <w:t>561</w:t>
            </w:r>
          </w:p>
        </w:tc>
      </w:tr>
      <w:tr w:rsidR="00A57C35" w:rsidRPr="00F4548A" w:rsidTr="00853B4C">
        <w:tc>
          <w:tcPr>
            <w:cnfStyle w:val="001000000000" w:firstRow="0" w:lastRow="0" w:firstColumn="1" w:lastColumn="0" w:oddVBand="0" w:evenVBand="0" w:oddHBand="0" w:evenHBand="0" w:firstRowFirstColumn="0" w:firstRowLastColumn="0" w:lastRowFirstColumn="0" w:lastRowLastColumn="0"/>
            <w:tcW w:w="1296" w:type="dxa"/>
          </w:tcPr>
          <w:p w:rsidR="00A57C35" w:rsidRPr="00585707" w:rsidRDefault="00A57C35" w:rsidP="00555368">
            <w:pPr>
              <w:pStyle w:val="TableText"/>
              <w:keepNext/>
              <w:keepLines/>
            </w:pPr>
            <w:r>
              <w:t>Accumulated interest receipts</w:t>
            </w:r>
            <w:r w:rsidRPr="00F47363">
              <w:rPr>
                <w:rStyle w:val="FootnoteReference"/>
              </w:rPr>
              <w:footnoteReference w:id="20"/>
            </w:r>
          </w:p>
        </w:tc>
        <w:tc>
          <w:tcPr>
            <w:tcW w:w="877" w:type="dxa"/>
          </w:tcPr>
          <w:p w:rsidR="00A57C35" w:rsidRPr="00585707" w:rsidRDefault="00A57C35" w:rsidP="0015060D">
            <w:pPr>
              <w:pStyle w:val="TableText"/>
              <w:keepNext/>
              <w:keepLines/>
              <w:ind w:left="57" w:right="57"/>
              <w:jc w:val="right"/>
              <w:cnfStyle w:val="000000000000" w:firstRow="0" w:lastRow="0" w:firstColumn="0" w:lastColumn="0" w:oddVBand="0" w:evenVBand="0" w:oddHBand="0" w:evenHBand="0" w:firstRowFirstColumn="0" w:firstRowLastColumn="0" w:lastRowFirstColumn="0" w:lastRowLastColumn="0"/>
            </w:pPr>
            <w:r>
              <w:t>-</w:t>
            </w:r>
          </w:p>
        </w:tc>
        <w:tc>
          <w:tcPr>
            <w:tcW w:w="877" w:type="dxa"/>
          </w:tcPr>
          <w:p w:rsidR="00A57C35" w:rsidRPr="00585707" w:rsidRDefault="00A57C35" w:rsidP="0015060D">
            <w:pPr>
              <w:pStyle w:val="TableText"/>
              <w:keepNext/>
              <w:keepLines/>
              <w:ind w:left="57" w:right="57"/>
              <w:jc w:val="right"/>
              <w:cnfStyle w:val="000000000000" w:firstRow="0" w:lastRow="0" w:firstColumn="0" w:lastColumn="0" w:oddVBand="0" w:evenVBand="0" w:oddHBand="0" w:evenHBand="0" w:firstRowFirstColumn="0" w:firstRowLastColumn="0" w:lastRowFirstColumn="0" w:lastRowLastColumn="0"/>
            </w:pPr>
            <w:r>
              <w:t>-</w:t>
            </w:r>
          </w:p>
        </w:tc>
        <w:tc>
          <w:tcPr>
            <w:tcW w:w="877" w:type="dxa"/>
          </w:tcPr>
          <w:p w:rsidR="00A57C35" w:rsidRPr="00585707" w:rsidRDefault="00A57C35" w:rsidP="0015060D">
            <w:pPr>
              <w:pStyle w:val="TableText"/>
              <w:keepNext/>
              <w:keepLines/>
              <w:ind w:left="57" w:right="57"/>
              <w:jc w:val="right"/>
              <w:cnfStyle w:val="000000000000" w:firstRow="0" w:lastRow="0" w:firstColumn="0" w:lastColumn="0" w:oddVBand="0" w:evenVBand="0" w:oddHBand="0" w:evenHBand="0" w:firstRowFirstColumn="0" w:firstRowLastColumn="0" w:lastRowFirstColumn="0" w:lastRowLastColumn="0"/>
            </w:pPr>
            <w:r>
              <w:t>-</w:t>
            </w:r>
          </w:p>
        </w:tc>
        <w:tc>
          <w:tcPr>
            <w:tcW w:w="877" w:type="dxa"/>
          </w:tcPr>
          <w:p w:rsidR="00A57C35" w:rsidRPr="00585707" w:rsidRDefault="00A57C35" w:rsidP="0015060D">
            <w:pPr>
              <w:pStyle w:val="TableText"/>
              <w:keepNext/>
              <w:keepLines/>
              <w:ind w:left="57" w:right="57"/>
              <w:jc w:val="right"/>
              <w:cnfStyle w:val="000000000000" w:firstRow="0" w:lastRow="0" w:firstColumn="0" w:lastColumn="0" w:oddVBand="0" w:evenVBand="0" w:oddHBand="0" w:evenHBand="0" w:firstRowFirstColumn="0" w:firstRowLastColumn="0" w:lastRowFirstColumn="0" w:lastRowLastColumn="0"/>
            </w:pPr>
            <w:r>
              <w:t>-</w:t>
            </w:r>
          </w:p>
        </w:tc>
        <w:tc>
          <w:tcPr>
            <w:tcW w:w="877" w:type="dxa"/>
          </w:tcPr>
          <w:p w:rsidR="00A57C35" w:rsidRPr="00585707" w:rsidRDefault="00A57C35" w:rsidP="0015060D">
            <w:pPr>
              <w:pStyle w:val="TableText"/>
              <w:keepNext/>
              <w:keepLines/>
              <w:ind w:left="57" w:right="57"/>
              <w:jc w:val="right"/>
              <w:cnfStyle w:val="000000000000" w:firstRow="0" w:lastRow="0" w:firstColumn="0" w:lastColumn="0" w:oddVBand="0" w:evenVBand="0" w:oddHBand="0" w:evenHBand="0" w:firstRowFirstColumn="0" w:firstRowLastColumn="0" w:lastRowFirstColumn="0" w:lastRowLastColumn="0"/>
            </w:pPr>
            <w:r>
              <w:t>-</w:t>
            </w:r>
          </w:p>
        </w:tc>
        <w:tc>
          <w:tcPr>
            <w:tcW w:w="877" w:type="dxa"/>
          </w:tcPr>
          <w:p w:rsidR="00A57C35" w:rsidRPr="00585707" w:rsidRDefault="00A57C35" w:rsidP="0015060D">
            <w:pPr>
              <w:pStyle w:val="TableText"/>
              <w:keepNext/>
              <w:keepLines/>
              <w:ind w:left="57" w:right="57"/>
              <w:jc w:val="right"/>
              <w:cnfStyle w:val="000000000000" w:firstRow="0" w:lastRow="0" w:firstColumn="0" w:lastColumn="0" w:oddVBand="0" w:evenVBand="0" w:oddHBand="0" w:evenHBand="0" w:firstRowFirstColumn="0" w:firstRowLastColumn="0" w:lastRowFirstColumn="0" w:lastRowLastColumn="0"/>
            </w:pPr>
            <w:r>
              <w:t>-</w:t>
            </w:r>
          </w:p>
        </w:tc>
        <w:tc>
          <w:tcPr>
            <w:tcW w:w="877" w:type="dxa"/>
          </w:tcPr>
          <w:p w:rsidR="00A57C35" w:rsidRPr="00585707" w:rsidRDefault="00A57C35" w:rsidP="0015060D">
            <w:pPr>
              <w:pStyle w:val="TableText"/>
              <w:keepNext/>
              <w:keepLines/>
              <w:ind w:left="57" w:right="57"/>
              <w:jc w:val="right"/>
              <w:cnfStyle w:val="000000000000" w:firstRow="0" w:lastRow="0" w:firstColumn="0" w:lastColumn="0" w:oddVBand="0" w:evenVBand="0" w:oddHBand="0" w:evenHBand="0" w:firstRowFirstColumn="0" w:firstRowLastColumn="0" w:lastRowFirstColumn="0" w:lastRowLastColumn="0"/>
            </w:pPr>
            <w:r>
              <w:t>-</w:t>
            </w:r>
          </w:p>
        </w:tc>
        <w:tc>
          <w:tcPr>
            <w:tcW w:w="877" w:type="dxa"/>
          </w:tcPr>
          <w:p w:rsidR="00A57C35" w:rsidRPr="00585707" w:rsidRDefault="00A57C35" w:rsidP="0015060D">
            <w:pPr>
              <w:pStyle w:val="TableText"/>
              <w:keepNext/>
              <w:keepLines/>
              <w:ind w:left="57" w:right="57"/>
              <w:jc w:val="right"/>
              <w:cnfStyle w:val="000000000000" w:firstRow="0" w:lastRow="0" w:firstColumn="0" w:lastColumn="0" w:oddVBand="0" w:evenVBand="0" w:oddHBand="0" w:evenHBand="0" w:firstRowFirstColumn="0" w:firstRowLastColumn="0" w:lastRowFirstColumn="0" w:lastRowLastColumn="0"/>
            </w:pPr>
            <w:r>
              <w:t>-</w:t>
            </w:r>
          </w:p>
        </w:tc>
      </w:tr>
      <w:tr w:rsidR="00F4548A" w:rsidRPr="00F4548A" w:rsidTr="00853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 w:type="dxa"/>
          </w:tcPr>
          <w:p w:rsidR="00F4548A" w:rsidRPr="00585707" w:rsidRDefault="00F4548A" w:rsidP="00F96CD5">
            <w:pPr>
              <w:pStyle w:val="TableText"/>
              <w:keepNext/>
              <w:keepLines/>
            </w:pPr>
            <w:r w:rsidRPr="00585707">
              <w:t>Impact on net worth</w:t>
            </w:r>
          </w:p>
        </w:tc>
        <w:tc>
          <w:tcPr>
            <w:tcW w:w="877" w:type="dxa"/>
          </w:tcPr>
          <w:p w:rsidR="00F4548A" w:rsidRPr="00585707" w:rsidRDefault="00F4548A" w:rsidP="0015060D">
            <w:pPr>
              <w:pStyle w:val="TableText"/>
              <w:keepNext/>
              <w:keepLines/>
              <w:ind w:left="57" w:right="57"/>
              <w:jc w:val="right"/>
              <w:cnfStyle w:val="000000100000" w:firstRow="0" w:lastRow="0" w:firstColumn="0" w:lastColumn="0" w:oddVBand="0" w:evenVBand="0" w:oddHBand="1" w:evenHBand="0" w:firstRowFirstColumn="0" w:firstRowLastColumn="0" w:lastRowFirstColumn="0" w:lastRowLastColumn="0"/>
            </w:pPr>
            <w:r w:rsidRPr="00585707">
              <w:t>-</w:t>
            </w:r>
          </w:p>
        </w:tc>
        <w:tc>
          <w:tcPr>
            <w:tcW w:w="877" w:type="dxa"/>
          </w:tcPr>
          <w:p w:rsidR="00F4548A" w:rsidRPr="00585707" w:rsidRDefault="00F4548A" w:rsidP="0015060D">
            <w:pPr>
              <w:pStyle w:val="TableText"/>
              <w:keepNext/>
              <w:keepLines/>
              <w:ind w:left="57" w:right="57"/>
              <w:jc w:val="right"/>
              <w:cnfStyle w:val="000000100000" w:firstRow="0" w:lastRow="0" w:firstColumn="0" w:lastColumn="0" w:oddVBand="0" w:evenVBand="0" w:oddHBand="1" w:evenHBand="0" w:firstRowFirstColumn="0" w:firstRowLastColumn="0" w:lastRowFirstColumn="0" w:lastRowLastColumn="0"/>
            </w:pPr>
            <w:r w:rsidRPr="00585707">
              <w:t>-88</w:t>
            </w:r>
          </w:p>
        </w:tc>
        <w:tc>
          <w:tcPr>
            <w:tcW w:w="877" w:type="dxa"/>
          </w:tcPr>
          <w:p w:rsidR="00F4548A" w:rsidRPr="00585707" w:rsidRDefault="00F4548A" w:rsidP="0015060D">
            <w:pPr>
              <w:pStyle w:val="TableText"/>
              <w:keepNext/>
              <w:keepLines/>
              <w:ind w:left="57" w:right="57"/>
              <w:jc w:val="right"/>
              <w:cnfStyle w:val="000000100000" w:firstRow="0" w:lastRow="0" w:firstColumn="0" w:lastColumn="0" w:oddVBand="0" w:evenVBand="0" w:oddHBand="1" w:evenHBand="0" w:firstRowFirstColumn="0" w:firstRowLastColumn="0" w:lastRowFirstColumn="0" w:lastRowLastColumn="0"/>
            </w:pPr>
            <w:r w:rsidRPr="00585707">
              <w:t>-</w:t>
            </w:r>
            <w:r w:rsidR="00A40FB6" w:rsidRPr="00585707">
              <w:t>456</w:t>
            </w:r>
          </w:p>
        </w:tc>
        <w:tc>
          <w:tcPr>
            <w:tcW w:w="877" w:type="dxa"/>
          </w:tcPr>
          <w:p w:rsidR="00F4548A" w:rsidRPr="00585707" w:rsidRDefault="00F4548A" w:rsidP="0015060D">
            <w:pPr>
              <w:pStyle w:val="TableText"/>
              <w:keepNext/>
              <w:keepLines/>
              <w:ind w:left="57" w:right="57"/>
              <w:jc w:val="right"/>
              <w:cnfStyle w:val="000000100000" w:firstRow="0" w:lastRow="0" w:firstColumn="0" w:lastColumn="0" w:oddVBand="0" w:evenVBand="0" w:oddHBand="1" w:evenHBand="0" w:firstRowFirstColumn="0" w:firstRowLastColumn="0" w:lastRowFirstColumn="0" w:lastRowLastColumn="0"/>
            </w:pPr>
            <w:r w:rsidRPr="00585707">
              <w:t>-1,</w:t>
            </w:r>
            <w:r w:rsidR="00A40FB6" w:rsidRPr="00585707">
              <w:t>055</w:t>
            </w:r>
          </w:p>
        </w:tc>
        <w:tc>
          <w:tcPr>
            <w:tcW w:w="877" w:type="dxa"/>
          </w:tcPr>
          <w:p w:rsidR="00F4548A" w:rsidRPr="00585707" w:rsidRDefault="00F4548A" w:rsidP="0015060D">
            <w:pPr>
              <w:pStyle w:val="TableText"/>
              <w:keepNext/>
              <w:keepLines/>
              <w:ind w:left="57" w:right="57"/>
              <w:jc w:val="right"/>
              <w:cnfStyle w:val="000000100000" w:firstRow="0" w:lastRow="0" w:firstColumn="0" w:lastColumn="0" w:oddVBand="0" w:evenVBand="0" w:oddHBand="1" w:evenHBand="0" w:firstRowFirstColumn="0" w:firstRowLastColumn="0" w:lastRowFirstColumn="0" w:lastRowLastColumn="0"/>
            </w:pPr>
            <w:r w:rsidRPr="00585707">
              <w:t>-2,</w:t>
            </w:r>
            <w:r w:rsidR="00A40FB6" w:rsidRPr="00585707">
              <w:t>120</w:t>
            </w:r>
          </w:p>
        </w:tc>
        <w:tc>
          <w:tcPr>
            <w:tcW w:w="877" w:type="dxa"/>
          </w:tcPr>
          <w:p w:rsidR="00F4548A" w:rsidRPr="00585707" w:rsidRDefault="00F4548A" w:rsidP="0015060D">
            <w:pPr>
              <w:pStyle w:val="TableText"/>
              <w:keepNext/>
              <w:keepLines/>
              <w:ind w:left="57" w:right="57"/>
              <w:jc w:val="right"/>
              <w:cnfStyle w:val="000000100000" w:firstRow="0" w:lastRow="0" w:firstColumn="0" w:lastColumn="0" w:oddVBand="0" w:evenVBand="0" w:oddHBand="1" w:evenHBand="0" w:firstRowFirstColumn="0" w:firstRowLastColumn="0" w:lastRowFirstColumn="0" w:lastRowLastColumn="0"/>
            </w:pPr>
            <w:r w:rsidRPr="00585707">
              <w:t>-4,</w:t>
            </w:r>
            <w:r w:rsidR="00A40FB6" w:rsidRPr="00585707">
              <w:t>074</w:t>
            </w:r>
          </w:p>
        </w:tc>
        <w:tc>
          <w:tcPr>
            <w:tcW w:w="877" w:type="dxa"/>
          </w:tcPr>
          <w:p w:rsidR="00F4548A" w:rsidRPr="00585707" w:rsidRDefault="00F4548A" w:rsidP="0015060D">
            <w:pPr>
              <w:pStyle w:val="TableText"/>
              <w:keepNext/>
              <w:keepLines/>
              <w:ind w:left="57" w:right="57"/>
              <w:jc w:val="right"/>
              <w:cnfStyle w:val="000000100000" w:firstRow="0" w:lastRow="0" w:firstColumn="0" w:lastColumn="0" w:oddVBand="0" w:evenVBand="0" w:oddHBand="1" w:evenHBand="0" w:firstRowFirstColumn="0" w:firstRowLastColumn="0" w:lastRowFirstColumn="0" w:lastRowLastColumn="0"/>
            </w:pPr>
            <w:r w:rsidRPr="00585707">
              <w:t>-5,</w:t>
            </w:r>
            <w:r w:rsidR="00A40FB6" w:rsidRPr="00585707">
              <w:t>670</w:t>
            </w:r>
          </w:p>
        </w:tc>
        <w:tc>
          <w:tcPr>
            <w:tcW w:w="877" w:type="dxa"/>
          </w:tcPr>
          <w:p w:rsidR="00F4548A" w:rsidRPr="00F4548A" w:rsidRDefault="00F4548A" w:rsidP="0015060D">
            <w:pPr>
              <w:pStyle w:val="TableText"/>
              <w:keepNext/>
              <w:keepLines/>
              <w:ind w:left="57" w:right="57"/>
              <w:jc w:val="right"/>
              <w:cnfStyle w:val="000000100000" w:firstRow="0" w:lastRow="0" w:firstColumn="0" w:lastColumn="0" w:oddVBand="0" w:evenVBand="0" w:oddHBand="1" w:evenHBand="0" w:firstRowFirstColumn="0" w:firstRowLastColumn="0" w:lastRowFirstColumn="0" w:lastRowLastColumn="0"/>
            </w:pPr>
            <w:r w:rsidRPr="00585707">
              <w:t>-8,</w:t>
            </w:r>
            <w:r w:rsidR="00A40FB6" w:rsidRPr="00580681">
              <w:t>767</w:t>
            </w:r>
          </w:p>
        </w:tc>
      </w:tr>
    </w:tbl>
    <w:p w:rsidR="00805D16" w:rsidRDefault="00794DA8" w:rsidP="00F26FBF">
      <w:pPr>
        <w:pStyle w:val="Source"/>
        <w:keepNext/>
        <w:keepLines/>
        <w:ind w:left="720" w:hanging="720"/>
      </w:pPr>
      <w:r>
        <w:t>Source:</w:t>
      </w:r>
      <w:r w:rsidR="00F26FBF">
        <w:tab/>
      </w:r>
      <w:r>
        <w:t xml:space="preserve">NBN Co Annual Report, various years; NBN Co Corporate Plan, various years; Department of Communication and the Arts Annual Report </w:t>
      </w:r>
      <w:r w:rsidR="00C541EE">
        <w:t>2015</w:t>
      </w:r>
      <w:r w:rsidR="00107497">
        <w:t>–</w:t>
      </w:r>
      <w:r w:rsidR="00C541EE">
        <w:t>16; PBO calculations</w:t>
      </w:r>
      <w:r w:rsidR="0015060D">
        <w:t>.</w:t>
      </w:r>
    </w:p>
    <w:p w:rsidR="00263AFD" w:rsidRDefault="00263AFD" w:rsidP="0015060D">
      <w:pPr>
        <w:pStyle w:val="BodyText"/>
      </w:pPr>
    </w:p>
    <w:p w:rsidR="00585707" w:rsidRDefault="00585707" w:rsidP="0015060D">
      <w:pPr>
        <w:pStyle w:val="BodyText"/>
        <w:rPr>
          <w:highlight w:val="yellow"/>
        </w:rPr>
        <w:sectPr w:rsidR="00585707" w:rsidSect="00DF743D">
          <w:pgSz w:w="11906" w:h="16838" w:code="9"/>
          <w:pgMar w:top="1361" w:right="1797" w:bottom="1474" w:left="1797" w:header="284" w:footer="454" w:gutter="0"/>
          <w:cols w:space="708"/>
          <w:docGrid w:linePitch="360"/>
        </w:sectPr>
      </w:pPr>
      <w:bookmarkStart w:id="58" w:name="_Toc464813477"/>
      <w:bookmarkStart w:id="59" w:name="_Toc465071568"/>
      <w:bookmarkStart w:id="60" w:name="_Toc465082008"/>
      <w:bookmarkStart w:id="61" w:name="_Toc465082213"/>
      <w:bookmarkEnd w:id="53"/>
      <w:bookmarkEnd w:id="54"/>
      <w:bookmarkEnd w:id="55"/>
      <w:bookmarkEnd w:id="56"/>
    </w:p>
    <w:p w:rsidR="00EF7C3A" w:rsidRPr="00A57C35" w:rsidRDefault="00EF7C3A" w:rsidP="00D03ADC">
      <w:pPr>
        <w:pStyle w:val="Heading1"/>
      </w:pPr>
      <w:bookmarkStart w:id="62" w:name="_Toc468692636"/>
      <w:r w:rsidRPr="00A57C35">
        <w:lastRenderedPageBreak/>
        <w:t>Budget risks</w:t>
      </w:r>
      <w:bookmarkEnd w:id="58"/>
      <w:bookmarkEnd w:id="59"/>
      <w:bookmarkEnd w:id="60"/>
      <w:bookmarkEnd w:id="61"/>
      <w:bookmarkEnd w:id="62"/>
    </w:p>
    <w:p w:rsidR="002947F9" w:rsidRDefault="00D64D97" w:rsidP="00C72DA5">
      <w:pPr>
        <w:pStyle w:val="BodyText"/>
      </w:pPr>
      <w:r>
        <w:t>This section identifies the</w:t>
      </w:r>
      <w:r w:rsidR="00216226">
        <w:t xml:space="preserve"> </w:t>
      </w:r>
      <w:r w:rsidR="002947F9">
        <w:t xml:space="preserve">budget </w:t>
      </w:r>
      <w:r w:rsidR="00216226">
        <w:t xml:space="preserve">risks </w:t>
      </w:r>
      <w:r w:rsidR="002947F9">
        <w:t>for the Co</w:t>
      </w:r>
      <w:r w:rsidR="006E1D42">
        <w:t>mmonwealth relating to the NBN.</w:t>
      </w:r>
    </w:p>
    <w:p w:rsidR="00EF7C3A" w:rsidRPr="00A57C35" w:rsidRDefault="004F6288" w:rsidP="00D03ADC">
      <w:pPr>
        <w:pStyle w:val="Heading2"/>
      </w:pPr>
      <w:bookmarkStart w:id="63" w:name="_Toc468692637"/>
      <w:r w:rsidRPr="00A57C35">
        <w:t>Long term value of NBN Co</w:t>
      </w:r>
      <w:bookmarkEnd w:id="63"/>
    </w:p>
    <w:p w:rsidR="00CF6062" w:rsidRDefault="0086009F" w:rsidP="00585707">
      <w:pPr>
        <w:pStyle w:val="BodyText"/>
      </w:pPr>
      <w:r>
        <w:t xml:space="preserve">The key </w:t>
      </w:r>
      <w:r w:rsidR="008507FE" w:rsidRPr="00585707">
        <w:t>driver of the cost to the Commonwealth of the NBN is the equity injection in NBN</w:t>
      </w:r>
      <w:r w:rsidR="00F26FBF">
        <w:t> </w:t>
      </w:r>
      <w:r w:rsidR="008507FE" w:rsidRPr="00585707">
        <w:t>Co</w:t>
      </w:r>
      <w:r w:rsidR="00CF6062">
        <w:t>, although the provision of additional funding through a loan means that the Commonwealth’s total exposure to the NBN will reach $49 billion</w:t>
      </w:r>
      <w:r w:rsidR="006E1D42">
        <w:t>.</w:t>
      </w:r>
    </w:p>
    <w:p w:rsidR="004F6288" w:rsidRPr="00585707" w:rsidRDefault="008507FE" w:rsidP="00585707">
      <w:pPr>
        <w:pStyle w:val="BodyText"/>
      </w:pPr>
      <w:r>
        <w:t xml:space="preserve">The final cost of the Commonwealth’s investment in NBN Co </w:t>
      </w:r>
      <w:r w:rsidR="003C590C">
        <w:t>will not</w:t>
      </w:r>
      <w:r>
        <w:t xml:space="preserve"> be known until NBN</w:t>
      </w:r>
      <w:r w:rsidR="006E1D42">
        <w:t> </w:t>
      </w:r>
      <w:r w:rsidR="00A57C35">
        <w:t>Co</w:t>
      </w:r>
      <w:r>
        <w:t xml:space="preserve"> is privatised and </w:t>
      </w:r>
      <w:r w:rsidR="00120987">
        <w:t>will</w:t>
      </w:r>
      <w:r>
        <w:t xml:space="preserve"> </w:t>
      </w:r>
      <w:r w:rsidR="00120987">
        <w:t xml:space="preserve">be </w:t>
      </w:r>
      <w:r>
        <w:t xml:space="preserve">dependent on </w:t>
      </w:r>
      <w:r w:rsidR="00A57C35">
        <w:t xml:space="preserve">the Commonwealth’s cumulative financing </w:t>
      </w:r>
      <w:r w:rsidR="00FE1BF2">
        <w:t>costs</w:t>
      </w:r>
      <w:r w:rsidR="00A57C35">
        <w:t xml:space="preserve"> and </w:t>
      </w:r>
      <w:r>
        <w:t xml:space="preserve">the </w:t>
      </w:r>
      <w:r w:rsidR="00120987">
        <w:t>sale price</w:t>
      </w:r>
      <w:r>
        <w:t xml:space="preserve"> of NBN Co.  If the sale price is less than the cumulative cost of </w:t>
      </w:r>
      <w:r w:rsidR="00120987">
        <w:t>financing</w:t>
      </w:r>
      <w:r>
        <w:t xml:space="preserve"> the Commonwealth’s </w:t>
      </w:r>
      <w:r w:rsidR="00120987">
        <w:t>investment in NBN Co</w:t>
      </w:r>
      <w:r>
        <w:t xml:space="preserve"> up to the point of the sale, then </w:t>
      </w:r>
      <w:r w:rsidR="00120987">
        <w:t xml:space="preserve">the NBN will </w:t>
      </w:r>
      <w:r w:rsidR="00A73F42">
        <w:t xml:space="preserve">continue to </w:t>
      </w:r>
      <w:r w:rsidR="00120987">
        <w:t xml:space="preserve">have an </w:t>
      </w:r>
      <w:r w:rsidR="0086009F">
        <w:t xml:space="preserve">enduring </w:t>
      </w:r>
      <w:r w:rsidR="00120987">
        <w:t xml:space="preserve">cost to </w:t>
      </w:r>
      <w:r w:rsidR="00A73F42">
        <w:t xml:space="preserve">the </w:t>
      </w:r>
      <w:r w:rsidR="00120987">
        <w:t>budget.</w:t>
      </w:r>
    </w:p>
    <w:p w:rsidR="0086009F" w:rsidRDefault="0086009F" w:rsidP="0086009F">
      <w:pPr>
        <w:pStyle w:val="BodyText"/>
      </w:pPr>
      <w:r w:rsidRPr="00F7538B">
        <w:t>As outlined earlier</w:t>
      </w:r>
      <w:r>
        <w:t xml:space="preserve"> in the paper</w:t>
      </w:r>
      <w:r w:rsidRPr="00F7538B">
        <w:t>, the Government expects that the loan to NBN Co will be refinanced on external markets in 2020</w:t>
      </w:r>
      <w:r w:rsidR="006E1D42">
        <w:t>–</w:t>
      </w:r>
      <w:r w:rsidRPr="00F7538B">
        <w:t>21.</w:t>
      </w:r>
      <w:r w:rsidRPr="00A73F42">
        <w:t xml:space="preserve">  There is a risk that NBN Co will be unable to refinance this debt in the market at an acceptable </w:t>
      </w:r>
      <w:r>
        <w:t>rate</w:t>
      </w:r>
      <w:r w:rsidR="00107497">
        <w:t>.</w:t>
      </w:r>
      <w:r w:rsidR="00163373">
        <w:rPr>
          <w:rStyle w:val="FootnoteReference"/>
        </w:rPr>
        <w:footnoteReference w:id="21"/>
      </w:r>
      <w:r w:rsidRPr="00A73F42">
        <w:t xml:space="preserve">  If the Government decides to extend </w:t>
      </w:r>
      <w:r w:rsidR="00F96CD5">
        <w:t>its</w:t>
      </w:r>
      <w:r w:rsidRPr="00A73F42">
        <w:t xml:space="preserve"> loan, and assuming that the interest rate NBN Co is </w:t>
      </w:r>
      <w:r>
        <w:t xml:space="preserve">charged </w:t>
      </w:r>
      <w:r w:rsidR="00F96CD5">
        <w:t xml:space="preserve">is </w:t>
      </w:r>
      <w:r w:rsidRPr="00A73F42">
        <w:t xml:space="preserve">above the </w:t>
      </w:r>
      <w:r w:rsidRPr="008507FE">
        <w:t xml:space="preserve">Government’s borrowing costs, the </w:t>
      </w:r>
      <w:r w:rsidR="00F96CD5">
        <w:t xml:space="preserve">net interest receipts from the </w:t>
      </w:r>
      <w:r w:rsidRPr="008507FE">
        <w:t>loan would continue to have a small positive impact on the underlying cash balance for the duration of the extended loan.</w:t>
      </w:r>
    </w:p>
    <w:p w:rsidR="007472E1" w:rsidRPr="008507FE" w:rsidRDefault="007472E1" w:rsidP="0086009F">
      <w:pPr>
        <w:pStyle w:val="BodyText"/>
      </w:pPr>
      <w:r>
        <w:t>The PBO has made no assessment of the impacts of potential changes in the market and technology on</w:t>
      </w:r>
      <w:r w:rsidR="000E4A29">
        <w:t xml:space="preserve"> the long term value of NBN Co.</w:t>
      </w:r>
    </w:p>
    <w:p w:rsidR="00582860" w:rsidRPr="00D03ADC" w:rsidRDefault="00AF5C70" w:rsidP="00D03ADC">
      <w:pPr>
        <w:pStyle w:val="Heading2"/>
      </w:pPr>
      <w:bookmarkStart w:id="64" w:name="_Toc468692638"/>
      <w:r w:rsidRPr="00D03ADC">
        <w:t>Contingent</w:t>
      </w:r>
      <w:r w:rsidR="00582860" w:rsidRPr="00D03ADC">
        <w:t xml:space="preserve"> liabilities</w:t>
      </w:r>
      <w:bookmarkEnd w:id="64"/>
    </w:p>
    <w:p w:rsidR="00AF5C70" w:rsidRDefault="003F7C7D" w:rsidP="00582860">
      <w:pPr>
        <w:pStyle w:val="BodyText"/>
      </w:pPr>
      <w:r>
        <w:t>T</w:t>
      </w:r>
      <w:r w:rsidR="00582860">
        <w:t xml:space="preserve">he Government has </w:t>
      </w:r>
      <w:r w:rsidR="00AF5C70">
        <w:t xml:space="preserve">entered into agreements that may result in </w:t>
      </w:r>
      <w:r w:rsidR="006E1D42">
        <w:t>costs for the Commonwealth.</w:t>
      </w:r>
    </w:p>
    <w:p w:rsidR="00582860" w:rsidRPr="009011AC" w:rsidRDefault="00C03C64" w:rsidP="00F24B37">
      <w:pPr>
        <w:pStyle w:val="BodyText"/>
      </w:pPr>
      <w:r>
        <w:rPr>
          <w:rFonts w:eastAsiaTheme="majorEastAsia" w:cstheme="majorBidi"/>
          <w:b/>
          <w:bCs/>
          <w:i/>
          <w:iCs/>
          <w:color w:val="2B3B5F" w:themeColor="text2"/>
          <w:sz w:val="24"/>
        </w:rPr>
        <w:t>NBN Co</w:t>
      </w:r>
      <w:r w:rsidR="00A51118" w:rsidRPr="009011AC">
        <w:rPr>
          <w:rFonts w:eastAsiaTheme="majorEastAsia" w:cstheme="majorBidi"/>
          <w:b/>
          <w:bCs/>
          <w:i/>
          <w:iCs/>
          <w:color w:val="2B3B5F" w:themeColor="text2"/>
          <w:sz w:val="24"/>
        </w:rPr>
        <w:t xml:space="preserve"> </w:t>
      </w:r>
      <w:r w:rsidR="007959A0">
        <w:rPr>
          <w:rFonts w:eastAsiaTheme="majorEastAsia" w:cstheme="majorBidi"/>
          <w:b/>
          <w:bCs/>
          <w:i/>
          <w:iCs/>
          <w:color w:val="2B3B5F" w:themeColor="text2"/>
          <w:sz w:val="24"/>
        </w:rPr>
        <w:t>T</w:t>
      </w:r>
      <w:r w:rsidR="00A51118" w:rsidRPr="009011AC">
        <w:rPr>
          <w:rFonts w:eastAsiaTheme="majorEastAsia" w:cstheme="majorBidi"/>
          <w:b/>
          <w:bCs/>
          <w:i/>
          <w:iCs/>
          <w:color w:val="2B3B5F" w:themeColor="text2"/>
          <w:sz w:val="24"/>
        </w:rPr>
        <w:t xml:space="preserve">ermination </w:t>
      </w:r>
      <w:r w:rsidR="007959A0">
        <w:rPr>
          <w:rFonts w:eastAsiaTheme="majorEastAsia" w:cstheme="majorBidi"/>
          <w:b/>
          <w:bCs/>
          <w:i/>
          <w:iCs/>
          <w:color w:val="2B3B5F" w:themeColor="text2"/>
          <w:sz w:val="24"/>
        </w:rPr>
        <w:t>Li</w:t>
      </w:r>
      <w:r w:rsidR="00A51118" w:rsidRPr="009011AC">
        <w:rPr>
          <w:rFonts w:eastAsiaTheme="majorEastAsia" w:cstheme="majorBidi"/>
          <w:b/>
          <w:bCs/>
          <w:i/>
          <w:iCs/>
          <w:color w:val="2B3B5F" w:themeColor="text2"/>
          <w:sz w:val="24"/>
        </w:rPr>
        <w:t>abilit</w:t>
      </w:r>
      <w:r w:rsidR="00F24B37">
        <w:rPr>
          <w:rFonts w:eastAsiaTheme="majorEastAsia" w:cstheme="majorBidi"/>
          <w:b/>
          <w:bCs/>
          <w:i/>
          <w:iCs/>
          <w:color w:val="2B3B5F" w:themeColor="text2"/>
          <w:sz w:val="24"/>
        </w:rPr>
        <w:t>y:</w:t>
      </w:r>
      <w:r w:rsidR="00A51118" w:rsidRPr="009011AC">
        <w:t xml:space="preserve"> in the event of a termination of the NBN rollout, </w:t>
      </w:r>
      <w:r w:rsidR="001D5E88">
        <w:t xml:space="preserve">the Government </w:t>
      </w:r>
      <w:r w:rsidR="009F7642">
        <w:t>ha</w:t>
      </w:r>
      <w:r w:rsidR="001D5E88">
        <w:t xml:space="preserve">s committed </w:t>
      </w:r>
      <w:r w:rsidR="00A51118" w:rsidRPr="009011AC">
        <w:t>to provid</w:t>
      </w:r>
      <w:r w:rsidR="001616C0">
        <w:t xml:space="preserve">e </w:t>
      </w:r>
      <w:r w:rsidR="00A51118" w:rsidRPr="009011AC">
        <w:t xml:space="preserve">sufficient funds to </w:t>
      </w:r>
      <w:r w:rsidR="006D3D1A">
        <w:t>NBN Co</w:t>
      </w:r>
      <w:r w:rsidR="00A51118" w:rsidRPr="009011AC">
        <w:t xml:space="preserve"> to meet its direct costs</w:t>
      </w:r>
      <w:r w:rsidR="00F24B37">
        <w:t xml:space="preserve"> arising from the termination.</w:t>
      </w:r>
    </w:p>
    <w:p w:rsidR="00A51118" w:rsidRPr="009011AC" w:rsidRDefault="00582860" w:rsidP="003C3595">
      <w:pPr>
        <w:pStyle w:val="BodyText"/>
        <w:keepNext/>
        <w:keepLines/>
      </w:pPr>
      <w:r w:rsidRPr="009011AC">
        <w:rPr>
          <w:rFonts w:eastAsiaTheme="majorEastAsia" w:cstheme="majorBidi"/>
          <w:b/>
          <w:bCs/>
          <w:i/>
          <w:iCs/>
          <w:color w:val="2B3B5F" w:themeColor="text2"/>
          <w:sz w:val="24"/>
        </w:rPr>
        <w:lastRenderedPageBreak/>
        <w:t>Telstra</w:t>
      </w:r>
      <w:r w:rsidR="00A51118" w:rsidRPr="009011AC">
        <w:rPr>
          <w:rFonts w:eastAsiaTheme="majorEastAsia" w:cstheme="majorBidi"/>
          <w:b/>
          <w:bCs/>
          <w:i/>
          <w:iCs/>
          <w:color w:val="2B3B5F" w:themeColor="text2"/>
          <w:sz w:val="24"/>
        </w:rPr>
        <w:t xml:space="preserve"> </w:t>
      </w:r>
      <w:r w:rsidR="00A71B87">
        <w:rPr>
          <w:rFonts w:eastAsiaTheme="majorEastAsia" w:cstheme="majorBidi"/>
          <w:b/>
          <w:bCs/>
          <w:i/>
          <w:iCs/>
          <w:color w:val="2B3B5F" w:themeColor="text2"/>
          <w:sz w:val="24"/>
        </w:rPr>
        <w:t>F</w:t>
      </w:r>
      <w:r w:rsidR="00A51118" w:rsidRPr="009011AC">
        <w:rPr>
          <w:rFonts w:eastAsiaTheme="majorEastAsia" w:cstheme="majorBidi"/>
          <w:b/>
          <w:bCs/>
          <w:i/>
          <w:iCs/>
          <w:color w:val="2B3B5F" w:themeColor="text2"/>
          <w:sz w:val="24"/>
        </w:rPr>
        <w:t xml:space="preserve">inancial </w:t>
      </w:r>
      <w:r w:rsidR="00A71B87">
        <w:rPr>
          <w:rFonts w:eastAsiaTheme="majorEastAsia" w:cstheme="majorBidi"/>
          <w:b/>
          <w:bCs/>
          <w:i/>
          <w:iCs/>
          <w:color w:val="2B3B5F" w:themeColor="text2"/>
          <w:sz w:val="24"/>
        </w:rPr>
        <w:t>G</w:t>
      </w:r>
      <w:r w:rsidR="00A51118" w:rsidRPr="009011AC">
        <w:rPr>
          <w:rFonts w:eastAsiaTheme="majorEastAsia" w:cstheme="majorBidi"/>
          <w:b/>
          <w:bCs/>
          <w:i/>
          <w:iCs/>
          <w:color w:val="2B3B5F" w:themeColor="text2"/>
          <w:sz w:val="24"/>
        </w:rPr>
        <w:t>uarante</w:t>
      </w:r>
      <w:r w:rsidR="00F24B37">
        <w:rPr>
          <w:rFonts w:eastAsiaTheme="majorEastAsia" w:cstheme="majorBidi"/>
          <w:b/>
          <w:bCs/>
          <w:i/>
          <w:iCs/>
          <w:color w:val="2B3B5F" w:themeColor="text2"/>
          <w:sz w:val="24"/>
        </w:rPr>
        <w:t>e:</w:t>
      </w:r>
      <w:r w:rsidR="00A51118" w:rsidRPr="009011AC">
        <w:t xml:space="preserve"> the Government has provided a guarantee to Telstra in respect of </w:t>
      </w:r>
      <w:r w:rsidR="006D3D1A">
        <w:t>NBN Co</w:t>
      </w:r>
      <w:r w:rsidR="00A51118" w:rsidRPr="009011AC">
        <w:t xml:space="preserve">’s financial obligations to Telstra.  The liabilities arise progressively during the rollout of the network as infrastructure is accessed and subscribers to Telstra’s existing network are disconnected.  The </w:t>
      </w:r>
      <w:r w:rsidR="006E1D42">
        <w:t>g</w:t>
      </w:r>
      <w:r w:rsidR="006E1D42" w:rsidRPr="009011AC">
        <w:t xml:space="preserve">uarantee </w:t>
      </w:r>
      <w:r w:rsidR="00A51118" w:rsidRPr="009011AC">
        <w:t xml:space="preserve">will terminate when </w:t>
      </w:r>
      <w:r w:rsidR="00C03C64">
        <w:t>NBN Co</w:t>
      </w:r>
      <w:r w:rsidR="00A51118" w:rsidRPr="009011AC">
        <w:t xml:space="preserve"> achieves specified credit ratings for a period of two continuous years and </w:t>
      </w:r>
      <w:r w:rsidR="00CB2353">
        <w:t xml:space="preserve">is </w:t>
      </w:r>
      <w:r w:rsidR="00A51118" w:rsidRPr="009011AC">
        <w:t>either</w:t>
      </w:r>
    </w:p>
    <w:p w:rsidR="00A51118" w:rsidRPr="00A51118" w:rsidRDefault="00A51118" w:rsidP="003C3595">
      <w:pPr>
        <w:pStyle w:val="ListBullet"/>
        <w:keepNext/>
      </w:pPr>
      <w:r>
        <w:t>fully capitalised</w:t>
      </w:r>
      <w:r w:rsidR="006D3D1A">
        <w:t>,</w:t>
      </w:r>
      <w:r>
        <w:t xml:space="preserve"> </w:t>
      </w:r>
      <w:r w:rsidRPr="00A51118">
        <w:t>or</w:t>
      </w:r>
    </w:p>
    <w:p w:rsidR="00A51118" w:rsidRPr="00A51118" w:rsidRDefault="00A51118" w:rsidP="00CB2353">
      <w:pPr>
        <w:pStyle w:val="ListBullet"/>
      </w:pPr>
      <w:r w:rsidRPr="00A51118">
        <w:t>the Minister for Communications declares</w:t>
      </w:r>
      <w:r>
        <w:t xml:space="preserve"> that </w:t>
      </w:r>
      <w:r w:rsidRPr="00A51118">
        <w:t xml:space="preserve">the </w:t>
      </w:r>
      <w:r w:rsidR="00CB2353">
        <w:t>NBN</w:t>
      </w:r>
      <w:r w:rsidRPr="00CB2353">
        <w:t xml:space="preserve"> </w:t>
      </w:r>
      <w:r w:rsidRPr="00A51118">
        <w:t>should be treated as built and fully operational.</w:t>
      </w:r>
    </w:p>
    <w:p w:rsidR="00A51118" w:rsidRDefault="00A51118" w:rsidP="006E1D42">
      <w:pPr>
        <w:pStyle w:val="BodyText"/>
      </w:pPr>
      <w:r w:rsidRPr="00CB2353">
        <w:rPr>
          <w:rFonts w:eastAsiaTheme="majorEastAsia" w:cstheme="majorBidi"/>
          <w:b/>
          <w:bCs/>
          <w:i/>
          <w:iCs/>
          <w:color w:val="2B3B5F" w:themeColor="text2"/>
          <w:sz w:val="24"/>
        </w:rPr>
        <w:t xml:space="preserve">Optus </w:t>
      </w:r>
      <w:r w:rsidR="00A71B87">
        <w:rPr>
          <w:rFonts w:eastAsiaTheme="majorEastAsia" w:cstheme="majorBidi"/>
          <w:b/>
          <w:bCs/>
          <w:i/>
          <w:iCs/>
          <w:color w:val="2B3B5F" w:themeColor="text2"/>
          <w:sz w:val="24"/>
        </w:rPr>
        <w:t>F</w:t>
      </w:r>
      <w:r w:rsidRPr="00CB2353">
        <w:rPr>
          <w:rFonts w:eastAsiaTheme="majorEastAsia" w:cstheme="majorBidi"/>
          <w:b/>
          <w:bCs/>
          <w:i/>
          <w:iCs/>
          <w:color w:val="2B3B5F" w:themeColor="text2"/>
          <w:sz w:val="24"/>
        </w:rPr>
        <w:t xml:space="preserve">inancial </w:t>
      </w:r>
      <w:r w:rsidR="00A71B87">
        <w:rPr>
          <w:rFonts w:eastAsiaTheme="majorEastAsia" w:cstheme="majorBidi"/>
          <w:b/>
          <w:bCs/>
          <w:i/>
          <w:iCs/>
          <w:color w:val="2B3B5F" w:themeColor="text2"/>
          <w:sz w:val="24"/>
        </w:rPr>
        <w:t>G</w:t>
      </w:r>
      <w:r w:rsidRPr="00CB2353">
        <w:rPr>
          <w:rFonts w:eastAsiaTheme="majorEastAsia" w:cstheme="majorBidi"/>
          <w:b/>
          <w:bCs/>
          <w:i/>
          <w:iCs/>
          <w:color w:val="2B3B5F" w:themeColor="text2"/>
          <w:sz w:val="24"/>
        </w:rPr>
        <w:t>uarante</w:t>
      </w:r>
      <w:r w:rsidR="006E1D42">
        <w:rPr>
          <w:rFonts w:eastAsiaTheme="majorEastAsia" w:cstheme="majorBidi"/>
          <w:b/>
          <w:bCs/>
          <w:i/>
          <w:iCs/>
          <w:color w:val="2B3B5F" w:themeColor="text2"/>
          <w:sz w:val="24"/>
        </w:rPr>
        <w:t>e:</w:t>
      </w:r>
      <w:r w:rsidRPr="00CB2353">
        <w:t xml:space="preserve"> The Government has provided a guarantee to Optus of </w:t>
      </w:r>
      <w:r w:rsidR="00F26FBF">
        <w:t>NBN </w:t>
      </w:r>
      <w:r w:rsidR="006D3D1A">
        <w:t>Co</w:t>
      </w:r>
      <w:r w:rsidRPr="00CB2353">
        <w:t xml:space="preserve">’s financial obligations to Optus.  The </w:t>
      </w:r>
      <w:r w:rsidR="006E1D42">
        <w:t>g</w:t>
      </w:r>
      <w:r w:rsidRPr="00CB2353">
        <w:t>uarantee will terminate in 2021.  At June</w:t>
      </w:r>
      <w:r w:rsidR="00555368">
        <w:t> </w:t>
      </w:r>
      <w:r w:rsidRPr="00CB2353">
        <w:t>2016, the guarantee was assumed to not exceed $50 million.</w:t>
      </w:r>
    </w:p>
    <w:p w:rsidR="006D3D1A" w:rsidRDefault="00F47363" w:rsidP="006D3D1A">
      <w:pPr>
        <w:pStyle w:val="BodyText"/>
      </w:pPr>
      <w:r>
        <w:fldChar w:fldCharType="begin"/>
      </w:r>
      <w:r>
        <w:instrText xml:space="preserve"> REF _Ref468708765 \h </w:instrText>
      </w:r>
      <w:r>
        <w:fldChar w:fldCharType="separate"/>
      </w:r>
      <w:r w:rsidR="006E530F" w:rsidRPr="00F47363">
        <w:t xml:space="preserve">Table </w:t>
      </w:r>
      <w:r w:rsidR="006E530F">
        <w:rPr>
          <w:noProof/>
        </w:rPr>
        <w:t>3</w:t>
      </w:r>
      <w:r w:rsidR="006E530F" w:rsidRPr="00F47363">
        <w:t>–</w:t>
      </w:r>
      <w:r w:rsidR="006E530F">
        <w:rPr>
          <w:noProof/>
        </w:rPr>
        <w:t>1</w:t>
      </w:r>
      <w:r>
        <w:fldChar w:fldCharType="end"/>
      </w:r>
      <w:r w:rsidR="00010ABD">
        <w:t xml:space="preserve"> </w:t>
      </w:r>
      <w:r w:rsidR="006D3D1A">
        <w:t xml:space="preserve">and </w:t>
      </w:r>
      <w:r>
        <w:fldChar w:fldCharType="begin"/>
      </w:r>
      <w:r>
        <w:instrText xml:space="preserve"> REF _Ref468708779 \h </w:instrText>
      </w:r>
      <w:r>
        <w:fldChar w:fldCharType="separate"/>
      </w:r>
      <w:r w:rsidR="006E530F" w:rsidRPr="00F47363">
        <w:t xml:space="preserve">Figure </w:t>
      </w:r>
      <w:r w:rsidR="006E530F">
        <w:rPr>
          <w:noProof/>
        </w:rPr>
        <w:t>3</w:t>
      </w:r>
      <w:r w:rsidR="006E530F" w:rsidRPr="00F47363">
        <w:t>–</w:t>
      </w:r>
      <w:r w:rsidR="006E530F">
        <w:rPr>
          <w:noProof/>
        </w:rPr>
        <w:t>1</w:t>
      </w:r>
      <w:r>
        <w:fldChar w:fldCharType="end"/>
      </w:r>
      <w:r w:rsidR="00010ABD">
        <w:t xml:space="preserve"> </w:t>
      </w:r>
      <w:r w:rsidR="006D3D1A">
        <w:t xml:space="preserve">show the </w:t>
      </w:r>
      <w:r w:rsidR="001D5E88">
        <w:t xml:space="preserve">cumulative </w:t>
      </w:r>
      <w:r w:rsidR="006D3D1A">
        <w:t>value of these contingent liabilities as at 30</w:t>
      </w:r>
      <w:r w:rsidR="001616C0">
        <w:t> </w:t>
      </w:r>
      <w:r w:rsidR="006D3D1A">
        <w:t>June of each year.</w:t>
      </w:r>
    </w:p>
    <w:p w:rsidR="00F47363" w:rsidRDefault="00F47363" w:rsidP="00F47363">
      <w:pPr>
        <w:pStyle w:val="Caption"/>
      </w:pPr>
      <w:bookmarkStart w:id="65" w:name="_Ref468708765"/>
      <w:r w:rsidRPr="00F47363">
        <w:t xml:space="preserve">Table </w:t>
      </w:r>
      <w:r w:rsidR="00C11274">
        <w:fldChar w:fldCharType="begin"/>
      </w:r>
      <w:r w:rsidR="00C11274">
        <w:instrText xml:space="preserve"> STYLEREF 1 \s </w:instrText>
      </w:r>
      <w:r w:rsidR="00C11274">
        <w:fldChar w:fldCharType="separate"/>
      </w:r>
      <w:r w:rsidR="006E530F">
        <w:rPr>
          <w:noProof/>
        </w:rPr>
        <w:t>3</w:t>
      </w:r>
      <w:r w:rsidR="00C11274">
        <w:rPr>
          <w:noProof/>
        </w:rPr>
        <w:fldChar w:fldCharType="end"/>
      </w:r>
      <w:r w:rsidRPr="00F47363">
        <w:t>–</w:t>
      </w:r>
      <w:r w:rsidR="00C11274">
        <w:fldChar w:fldCharType="begin"/>
      </w:r>
      <w:r w:rsidR="00C11274">
        <w:instrText xml:space="preserve"> SEQ Table \* ARABIC \s 1 </w:instrText>
      </w:r>
      <w:r w:rsidR="00C11274">
        <w:fldChar w:fldCharType="separate"/>
      </w:r>
      <w:r w:rsidR="006E530F">
        <w:rPr>
          <w:noProof/>
        </w:rPr>
        <w:t>1</w:t>
      </w:r>
      <w:r w:rsidR="00C11274">
        <w:rPr>
          <w:noProof/>
        </w:rPr>
        <w:fldChar w:fldCharType="end"/>
      </w:r>
      <w:bookmarkEnd w:id="65"/>
      <w:r w:rsidRPr="00F47363">
        <w:t xml:space="preserve">: </w:t>
      </w:r>
      <w:r>
        <w:t>Value of contingent liabilities ($ million)</w:t>
      </w:r>
    </w:p>
    <w:tbl>
      <w:tblPr>
        <w:tblStyle w:val="TableGrid"/>
        <w:tblW w:w="4775" w:type="pct"/>
        <w:tblLook w:val="04A0" w:firstRow="1" w:lastRow="0" w:firstColumn="1" w:lastColumn="0" w:noHBand="0" w:noVBand="1"/>
      </w:tblPr>
      <w:tblGrid>
        <w:gridCol w:w="3120"/>
        <w:gridCol w:w="1203"/>
        <w:gridCol w:w="1205"/>
        <w:gridCol w:w="1205"/>
        <w:gridCol w:w="1205"/>
      </w:tblGrid>
      <w:tr w:rsidR="00E00A4A" w:rsidTr="00E00A4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65" w:type="pct"/>
          </w:tcPr>
          <w:p w:rsidR="00E00A4A" w:rsidRDefault="00E00A4A" w:rsidP="00E00A4A">
            <w:pPr>
              <w:pStyle w:val="TableHeading"/>
            </w:pPr>
            <w:r>
              <w:t>As at 30 June:</w:t>
            </w:r>
          </w:p>
        </w:tc>
        <w:tc>
          <w:tcPr>
            <w:tcW w:w="758" w:type="pct"/>
          </w:tcPr>
          <w:p w:rsidR="00E00A4A" w:rsidRDefault="00E00A4A" w:rsidP="00E00A4A">
            <w:pPr>
              <w:pStyle w:val="TableHeadingCentred"/>
              <w:jc w:val="right"/>
              <w:cnfStyle w:val="100000000000" w:firstRow="1" w:lastRow="0" w:firstColumn="0" w:lastColumn="0" w:oddVBand="0" w:evenVBand="0" w:oddHBand="0" w:evenHBand="0" w:firstRowFirstColumn="0" w:firstRowLastColumn="0" w:lastRowFirstColumn="0" w:lastRowLastColumn="0"/>
            </w:pPr>
            <w:r>
              <w:t>2013</w:t>
            </w:r>
          </w:p>
        </w:tc>
        <w:tc>
          <w:tcPr>
            <w:tcW w:w="759" w:type="pct"/>
          </w:tcPr>
          <w:p w:rsidR="00E00A4A" w:rsidRDefault="00E00A4A" w:rsidP="00E00A4A">
            <w:pPr>
              <w:pStyle w:val="TableHeadingCentred"/>
              <w:jc w:val="right"/>
              <w:cnfStyle w:val="100000000000" w:firstRow="1" w:lastRow="0" w:firstColumn="0" w:lastColumn="0" w:oddVBand="0" w:evenVBand="0" w:oddHBand="0" w:evenHBand="0" w:firstRowFirstColumn="0" w:firstRowLastColumn="0" w:lastRowFirstColumn="0" w:lastRowLastColumn="0"/>
            </w:pPr>
            <w:r>
              <w:t>2014</w:t>
            </w:r>
          </w:p>
        </w:tc>
        <w:tc>
          <w:tcPr>
            <w:tcW w:w="759" w:type="pct"/>
          </w:tcPr>
          <w:p w:rsidR="00E00A4A" w:rsidRDefault="00E00A4A" w:rsidP="00E00A4A">
            <w:pPr>
              <w:pStyle w:val="TableHeadingCentred"/>
              <w:jc w:val="right"/>
              <w:cnfStyle w:val="100000000000" w:firstRow="1" w:lastRow="0" w:firstColumn="0" w:lastColumn="0" w:oddVBand="0" w:evenVBand="0" w:oddHBand="0" w:evenHBand="0" w:firstRowFirstColumn="0" w:firstRowLastColumn="0" w:lastRowFirstColumn="0" w:lastRowLastColumn="0"/>
            </w:pPr>
            <w:r>
              <w:t>2015</w:t>
            </w:r>
          </w:p>
        </w:tc>
        <w:tc>
          <w:tcPr>
            <w:tcW w:w="759" w:type="pct"/>
          </w:tcPr>
          <w:p w:rsidR="00E00A4A" w:rsidRDefault="00E00A4A" w:rsidP="00E00A4A">
            <w:pPr>
              <w:pStyle w:val="TableHeadingCentred"/>
              <w:jc w:val="right"/>
              <w:cnfStyle w:val="100000000000" w:firstRow="1" w:lastRow="0" w:firstColumn="0" w:lastColumn="0" w:oddVBand="0" w:evenVBand="0" w:oddHBand="0" w:evenHBand="0" w:firstRowFirstColumn="0" w:firstRowLastColumn="0" w:lastRowFirstColumn="0" w:lastRowLastColumn="0"/>
            </w:pPr>
            <w:r>
              <w:t>2016</w:t>
            </w:r>
          </w:p>
        </w:tc>
      </w:tr>
      <w:tr w:rsidR="00E00A4A" w:rsidTr="00870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pct"/>
            <w:shd w:val="clear" w:color="auto" w:fill="auto"/>
          </w:tcPr>
          <w:p w:rsidR="00E00A4A" w:rsidRDefault="00C03C64" w:rsidP="00E00A4A">
            <w:pPr>
              <w:pStyle w:val="TableText"/>
              <w:keepNext/>
            </w:pPr>
            <w:r>
              <w:t>NBN Co</w:t>
            </w:r>
            <w:r w:rsidR="00E00A4A">
              <w:t xml:space="preserve"> termination liabilities</w:t>
            </w:r>
          </w:p>
        </w:tc>
        <w:tc>
          <w:tcPr>
            <w:tcW w:w="758" w:type="pct"/>
            <w:shd w:val="clear" w:color="auto" w:fill="auto"/>
          </w:tcPr>
          <w:p w:rsidR="00E00A4A" w:rsidRDefault="00E00A4A" w:rsidP="00E00A4A">
            <w:pPr>
              <w:pStyle w:val="TableTextCentred"/>
              <w:keepNext/>
              <w:jc w:val="right"/>
              <w:cnfStyle w:val="000000100000" w:firstRow="0" w:lastRow="0" w:firstColumn="0" w:lastColumn="0" w:oddVBand="0" w:evenVBand="0" w:oddHBand="1" w:evenHBand="0" w:firstRowFirstColumn="0" w:firstRowLastColumn="0" w:lastRowFirstColumn="0" w:lastRowLastColumn="0"/>
            </w:pPr>
            <w:r>
              <w:t>4,300</w:t>
            </w:r>
          </w:p>
        </w:tc>
        <w:tc>
          <w:tcPr>
            <w:tcW w:w="759" w:type="pct"/>
            <w:shd w:val="clear" w:color="auto" w:fill="auto"/>
          </w:tcPr>
          <w:p w:rsidR="00E00A4A" w:rsidRDefault="00E00A4A" w:rsidP="00E00A4A">
            <w:pPr>
              <w:pStyle w:val="TableTextCentred"/>
              <w:keepNext/>
              <w:jc w:val="right"/>
              <w:cnfStyle w:val="000000100000" w:firstRow="0" w:lastRow="0" w:firstColumn="0" w:lastColumn="0" w:oddVBand="0" w:evenVBand="0" w:oddHBand="1" w:evenHBand="0" w:firstRowFirstColumn="0" w:firstRowLastColumn="0" w:lastRowFirstColumn="0" w:lastRowLastColumn="0"/>
            </w:pPr>
            <w:r>
              <w:t>6,700</w:t>
            </w:r>
          </w:p>
        </w:tc>
        <w:tc>
          <w:tcPr>
            <w:tcW w:w="759" w:type="pct"/>
            <w:shd w:val="clear" w:color="auto" w:fill="auto"/>
          </w:tcPr>
          <w:p w:rsidR="00E00A4A" w:rsidRDefault="00E00A4A" w:rsidP="00E00A4A">
            <w:pPr>
              <w:pStyle w:val="TableTextCentred"/>
              <w:keepNext/>
              <w:jc w:val="right"/>
              <w:cnfStyle w:val="000000100000" w:firstRow="0" w:lastRow="0" w:firstColumn="0" w:lastColumn="0" w:oddVBand="0" w:evenVBand="0" w:oddHBand="1" w:evenHBand="0" w:firstRowFirstColumn="0" w:firstRowLastColumn="0" w:lastRowFirstColumn="0" w:lastRowLastColumn="0"/>
            </w:pPr>
            <w:r>
              <w:t>8,500</w:t>
            </w:r>
          </w:p>
        </w:tc>
        <w:tc>
          <w:tcPr>
            <w:tcW w:w="759" w:type="pct"/>
            <w:shd w:val="clear" w:color="auto" w:fill="auto"/>
          </w:tcPr>
          <w:p w:rsidR="00E00A4A" w:rsidRDefault="00E00A4A" w:rsidP="00E00A4A">
            <w:pPr>
              <w:pStyle w:val="TableTextCentred"/>
              <w:keepNext/>
              <w:jc w:val="right"/>
              <w:cnfStyle w:val="000000100000" w:firstRow="0" w:lastRow="0" w:firstColumn="0" w:lastColumn="0" w:oddVBand="0" w:evenVBand="0" w:oddHBand="1" w:evenHBand="0" w:firstRowFirstColumn="0" w:firstRowLastColumn="0" w:lastRowFirstColumn="0" w:lastRowLastColumn="0"/>
            </w:pPr>
            <w:r>
              <w:t>10,800</w:t>
            </w:r>
          </w:p>
        </w:tc>
      </w:tr>
      <w:tr w:rsidR="00E00A4A" w:rsidTr="0087058F">
        <w:tc>
          <w:tcPr>
            <w:cnfStyle w:val="001000000000" w:firstRow="0" w:lastRow="0" w:firstColumn="1" w:lastColumn="0" w:oddVBand="0" w:evenVBand="0" w:oddHBand="0" w:evenHBand="0" w:firstRowFirstColumn="0" w:firstRowLastColumn="0" w:lastRowFirstColumn="0" w:lastRowLastColumn="0"/>
            <w:tcW w:w="1965" w:type="pct"/>
            <w:shd w:val="clear" w:color="auto" w:fill="D7DDE9" w:themeFill="accent3"/>
          </w:tcPr>
          <w:p w:rsidR="00E00A4A" w:rsidRDefault="00E00A4A" w:rsidP="00E00A4A">
            <w:pPr>
              <w:pStyle w:val="TableText"/>
              <w:keepNext/>
            </w:pPr>
            <w:r>
              <w:t>Telstra Financial Guarantee</w:t>
            </w:r>
          </w:p>
        </w:tc>
        <w:tc>
          <w:tcPr>
            <w:tcW w:w="758" w:type="pct"/>
            <w:shd w:val="clear" w:color="auto" w:fill="D7DDE9" w:themeFill="accent3"/>
          </w:tcPr>
          <w:p w:rsidR="00E00A4A" w:rsidRDefault="00E00A4A" w:rsidP="00E00A4A">
            <w:pPr>
              <w:pStyle w:val="TableTextCentred"/>
              <w:keepNext/>
              <w:jc w:val="right"/>
              <w:cnfStyle w:val="000000000000" w:firstRow="0" w:lastRow="0" w:firstColumn="0" w:lastColumn="0" w:oddVBand="0" w:evenVBand="0" w:oddHBand="0" w:evenHBand="0" w:firstRowFirstColumn="0" w:firstRowLastColumn="0" w:lastRowFirstColumn="0" w:lastRowLastColumn="0"/>
            </w:pPr>
            <w:r>
              <w:t>1,300</w:t>
            </w:r>
          </w:p>
        </w:tc>
        <w:tc>
          <w:tcPr>
            <w:tcW w:w="759" w:type="pct"/>
            <w:shd w:val="clear" w:color="auto" w:fill="D7DDE9" w:themeFill="accent3"/>
          </w:tcPr>
          <w:p w:rsidR="00E00A4A" w:rsidRDefault="00E00A4A" w:rsidP="00E00A4A">
            <w:pPr>
              <w:pStyle w:val="TableTextCentred"/>
              <w:keepNext/>
              <w:jc w:val="right"/>
              <w:cnfStyle w:val="000000000000" w:firstRow="0" w:lastRow="0" w:firstColumn="0" w:lastColumn="0" w:oddVBand="0" w:evenVBand="0" w:oddHBand="0" w:evenHBand="0" w:firstRowFirstColumn="0" w:firstRowLastColumn="0" w:lastRowFirstColumn="0" w:lastRowLastColumn="0"/>
            </w:pPr>
            <w:r>
              <w:t>3,400</w:t>
            </w:r>
          </w:p>
        </w:tc>
        <w:tc>
          <w:tcPr>
            <w:tcW w:w="759" w:type="pct"/>
            <w:shd w:val="clear" w:color="auto" w:fill="D7DDE9" w:themeFill="accent3"/>
          </w:tcPr>
          <w:p w:rsidR="00E00A4A" w:rsidRDefault="00E00A4A" w:rsidP="00E00A4A">
            <w:pPr>
              <w:pStyle w:val="TableTextCentred"/>
              <w:keepNext/>
              <w:jc w:val="right"/>
              <w:cnfStyle w:val="000000000000" w:firstRow="0" w:lastRow="0" w:firstColumn="0" w:lastColumn="0" w:oddVBand="0" w:evenVBand="0" w:oddHBand="0" w:evenHBand="0" w:firstRowFirstColumn="0" w:firstRowLastColumn="0" w:lastRowFirstColumn="0" w:lastRowLastColumn="0"/>
            </w:pPr>
            <w:r>
              <w:t>3,900</w:t>
            </w:r>
          </w:p>
        </w:tc>
        <w:tc>
          <w:tcPr>
            <w:tcW w:w="759" w:type="pct"/>
            <w:shd w:val="clear" w:color="auto" w:fill="D7DDE9" w:themeFill="accent3"/>
          </w:tcPr>
          <w:p w:rsidR="00E00A4A" w:rsidRDefault="00E00A4A" w:rsidP="00E00A4A">
            <w:pPr>
              <w:pStyle w:val="TableTextCentred"/>
              <w:keepNext/>
              <w:jc w:val="right"/>
              <w:cnfStyle w:val="000000000000" w:firstRow="0" w:lastRow="0" w:firstColumn="0" w:lastColumn="0" w:oddVBand="0" w:evenVBand="0" w:oddHBand="0" w:evenHBand="0" w:firstRowFirstColumn="0" w:firstRowLastColumn="0" w:lastRowFirstColumn="0" w:lastRowLastColumn="0"/>
            </w:pPr>
            <w:r>
              <w:t>4,600</w:t>
            </w:r>
          </w:p>
        </w:tc>
      </w:tr>
      <w:tr w:rsidR="00E00A4A" w:rsidTr="00870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pct"/>
            <w:shd w:val="clear" w:color="auto" w:fill="auto"/>
          </w:tcPr>
          <w:p w:rsidR="00E00A4A" w:rsidRDefault="00E00A4A" w:rsidP="00E00A4A">
            <w:pPr>
              <w:pStyle w:val="TableText"/>
              <w:keepNext/>
            </w:pPr>
            <w:r>
              <w:t>Optus Financial Guarantee</w:t>
            </w:r>
          </w:p>
        </w:tc>
        <w:tc>
          <w:tcPr>
            <w:tcW w:w="758" w:type="pct"/>
            <w:shd w:val="clear" w:color="auto" w:fill="auto"/>
          </w:tcPr>
          <w:p w:rsidR="00E00A4A" w:rsidRDefault="00E00A4A" w:rsidP="00E00A4A">
            <w:pPr>
              <w:pStyle w:val="TableTextCentred"/>
              <w:keepNext/>
              <w:jc w:val="right"/>
              <w:cnfStyle w:val="000000100000" w:firstRow="0" w:lastRow="0" w:firstColumn="0" w:lastColumn="0" w:oddVBand="0" w:evenVBand="0" w:oddHBand="1" w:evenHBand="0" w:firstRowFirstColumn="0" w:firstRowLastColumn="0" w:lastRowFirstColumn="0" w:lastRowLastColumn="0"/>
            </w:pPr>
            <w:r>
              <w:t>..</w:t>
            </w:r>
          </w:p>
        </w:tc>
        <w:tc>
          <w:tcPr>
            <w:tcW w:w="759" w:type="pct"/>
            <w:shd w:val="clear" w:color="auto" w:fill="auto"/>
          </w:tcPr>
          <w:p w:rsidR="00E00A4A" w:rsidRDefault="00E00A4A" w:rsidP="00E00A4A">
            <w:pPr>
              <w:pStyle w:val="TableTextCentred"/>
              <w:keepNext/>
              <w:jc w:val="right"/>
              <w:cnfStyle w:val="000000100000" w:firstRow="0" w:lastRow="0" w:firstColumn="0" w:lastColumn="0" w:oddVBand="0" w:evenVBand="0" w:oddHBand="1" w:evenHBand="0" w:firstRowFirstColumn="0" w:firstRowLastColumn="0" w:lastRowFirstColumn="0" w:lastRowLastColumn="0"/>
            </w:pPr>
            <w:r>
              <w:t>5</w:t>
            </w:r>
          </w:p>
        </w:tc>
        <w:tc>
          <w:tcPr>
            <w:tcW w:w="759" w:type="pct"/>
            <w:shd w:val="clear" w:color="auto" w:fill="auto"/>
          </w:tcPr>
          <w:p w:rsidR="00E00A4A" w:rsidRDefault="00E00A4A" w:rsidP="00E00A4A">
            <w:pPr>
              <w:pStyle w:val="TableTextCentred"/>
              <w:keepNext/>
              <w:jc w:val="right"/>
              <w:cnfStyle w:val="000000100000" w:firstRow="0" w:lastRow="0" w:firstColumn="0" w:lastColumn="0" w:oddVBand="0" w:evenVBand="0" w:oddHBand="1" w:evenHBand="0" w:firstRowFirstColumn="0" w:firstRowLastColumn="0" w:lastRowFirstColumn="0" w:lastRowLastColumn="0"/>
            </w:pPr>
            <w:r>
              <w:t>17</w:t>
            </w:r>
          </w:p>
        </w:tc>
        <w:tc>
          <w:tcPr>
            <w:tcW w:w="759" w:type="pct"/>
            <w:shd w:val="clear" w:color="auto" w:fill="auto"/>
          </w:tcPr>
          <w:p w:rsidR="00E00A4A" w:rsidRDefault="00E00A4A" w:rsidP="00E00A4A">
            <w:pPr>
              <w:pStyle w:val="TableTextCentred"/>
              <w:keepNext/>
              <w:jc w:val="right"/>
              <w:cnfStyle w:val="000000100000" w:firstRow="0" w:lastRow="0" w:firstColumn="0" w:lastColumn="0" w:oddVBand="0" w:evenVBand="0" w:oddHBand="1" w:evenHBand="0" w:firstRowFirstColumn="0" w:firstRowLastColumn="0" w:lastRowFirstColumn="0" w:lastRowLastColumn="0"/>
            </w:pPr>
            <w:r>
              <w:t>50</w:t>
            </w:r>
          </w:p>
        </w:tc>
      </w:tr>
      <w:tr w:rsidR="00E00A4A" w:rsidRPr="00BD54B1" w:rsidTr="0087058F">
        <w:tc>
          <w:tcPr>
            <w:cnfStyle w:val="001000000000" w:firstRow="0" w:lastRow="0" w:firstColumn="1" w:lastColumn="0" w:oddVBand="0" w:evenVBand="0" w:oddHBand="0" w:evenHBand="0" w:firstRowFirstColumn="0" w:firstRowLastColumn="0" w:lastRowFirstColumn="0" w:lastRowLastColumn="0"/>
            <w:tcW w:w="1965" w:type="pct"/>
            <w:shd w:val="clear" w:color="auto" w:fill="D7DDE9" w:themeFill="accent3"/>
          </w:tcPr>
          <w:p w:rsidR="00E00A4A" w:rsidRPr="00BD54B1" w:rsidRDefault="00E00A4A" w:rsidP="00E00A4A">
            <w:pPr>
              <w:pStyle w:val="TableText"/>
              <w:keepNext/>
              <w:rPr>
                <w:b/>
              </w:rPr>
            </w:pPr>
            <w:r w:rsidRPr="00BD54B1">
              <w:rPr>
                <w:b/>
              </w:rPr>
              <w:t>Total</w:t>
            </w:r>
          </w:p>
        </w:tc>
        <w:tc>
          <w:tcPr>
            <w:tcW w:w="758" w:type="pct"/>
            <w:shd w:val="clear" w:color="auto" w:fill="D7DDE9" w:themeFill="accent3"/>
            <w:vAlign w:val="bottom"/>
          </w:tcPr>
          <w:p w:rsidR="00E00A4A" w:rsidRPr="00BD54B1" w:rsidRDefault="00E00A4A" w:rsidP="00E00A4A">
            <w:pPr>
              <w:keepNext/>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BD54B1">
              <w:rPr>
                <w:rFonts w:ascii="Calibri" w:hAnsi="Calibri"/>
                <w:b/>
                <w:color w:val="000000"/>
                <w:szCs w:val="20"/>
              </w:rPr>
              <w:t>5,600</w:t>
            </w:r>
          </w:p>
        </w:tc>
        <w:tc>
          <w:tcPr>
            <w:tcW w:w="759" w:type="pct"/>
            <w:shd w:val="clear" w:color="auto" w:fill="D7DDE9" w:themeFill="accent3"/>
            <w:vAlign w:val="bottom"/>
          </w:tcPr>
          <w:p w:rsidR="00E00A4A" w:rsidRPr="00BD54B1" w:rsidRDefault="00E00A4A" w:rsidP="00E00A4A">
            <w:pPr>
              <w:keepNext/>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BD54B1">
              <w:rPr>
                <w:rFonts w:ascii="Calibri" w:hAnsi="Calibri"/>
                <w:b/>
                <w:color w:val="000000"/>
                <w:szCs w:val="20"/>
              </w:rPr>
              <w:t>10,105</w:t>
            </w:r>
          </w:p>
        </w:tc>
        <w:tc>
          <w:tcPr>
            <w:tcW w:w="759" w:type="pct"/>
            <w:shd w:val="clear" w:color="auto" w:fill="D7DDE9" w:themeFill="accent3"/>
            <w:vAlign w:val="bottom"/>
          </w:tcPr>
          <w:p w:rsidR="00E00A4A" w:rsidRPr="00BD54B1" w:rsidRDefault="00E00A4A" w:rsidP="00E00A4A">
            <w:pPr>
              <w:keepNext/>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BD54B1">
              <w:rPr>
                <w:rFonts w:ascii="Calibri" w:hAnsi="Calibri"/>
                <w:b/>
                <w:color w:val="000000"/>
                <w:szCs w:val="20"/>
              </w:rPr>
              <w:t>12,417</w:t>
            </w:r>
          </w:p>
        </w:tc>
        <w:tc>
          <w:tcPr>
            <w:tcW w:w="759" w:type="pct"/>
            <w:shd w:val="clear" w:color="auto" w:fill="D7DDE9" w:themeFill="accent3"/>
            <w:vAlign w:val="bottom"/>
          </w:tcPr>
          <w:p w:rsidR="00E00A4A" w:rsidRPr="00BD54B1" w:rsidRDefault="00E00A4A" w:rsidP="00E00A4A">
            <w:pPr>
              <w:keepNext/>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BD54B1">
              <w:rPr>
                <w:rFonts w:ascii="Calibri" w:hAnsi="Calibri"/>
                <w:b/>
                <w:color w:val="000000"/>
                <w:szCs w:val="20"/>
              </w:rPr>
              <w:t>15,450</w:t>
            </w:r>
          </w:p>
        </w:tc>
      </w:tr>
    </w:tbl>
    <w:p w:rsidR="00343A02" w:rsidRPr="00343A02" w:rsidRDefault="00343A02" w:rsidP="00BD315C">
      <w:pPr>
        <w:pStyle w:val="TableFootnotes"/>
        <w:keepNext/>
        <w:numPr>
          <w:ilvl w:val="0"/>
          <w:numId w:val="0"/>
        </w:numPr>
        <w:ind w:left="227" w:hanging="227"/>
      </w:pPr>
      <w:r w:rsidRPr="00343A02">
        <w:t>..</w:t>
      </w:r>
      <w:r w:rsidRPr="00343A02">
        <w:tab/>
        <w:t>Not zero, but rounded to zero.</w:t>
      </w:r>
    </w:p>
    <w:p w:rsidR="00BD54B1" w:rsidRPr="00343A02" w:rsidRDefault="00582860" w:rsidP="003C3595">
      <w:pPr>
        <w:pStyle w:val="Source"/>
        <w:ind w:left="720" w:hanging="720"/>
      </w:pPr>
      <w:r w:rsidRPr="00343A02">
        <w:t>Source:</w:t>
      </w:r>
      <w:r w:rsidRPr="00343A02">
        <w:tab/>
      </w:r>
      <w:r w:rsidR="00451C93" w:rsidRPr="00343A02">
        <w:t xml:space="preserve">Australian Government, </w:t>
      </w:r>
      <w:r w:rsidR="00BD54B1" w:rsidRPr="00343A02">
        <w:t>Budget Paper No 1</w:t>
      </w:r>
      <w:r w:rsidR="00451C93" w:rsidRPr="00343A02">
        <w:t>:</w:t>
      </w:r>
      <w:r w:rsidR="00BD54B1" w:rsidRPr="00343A02">
        <w:t xml:space="preserve"> Statement of Risks, </w:t>
      </w:r>
      <w:r w:rsidRPr="00343A02">
        <w:t>various years</w:t>
      </w:r>
      <w:r w:rsidR="00451C93" w:rsidRPr="00343A02">
        <w:t>; Department of Communications Annual Report, various years.</w:t>
      </w:r>
    </w:p>
    <w:p w:rsidR="00F47363" w:rsidRPr="00F47363" w:rsidRDefault="00F47363" w:rsidP="003C3595">
      <w:pPr>
        <w:pStyle w:val="Caption"/>
        <w:keepLines/>
      </w:pPr>
      <w:bookmarkStart w:id="66" w:name="ReturnHere"/>
      <w:bookmarkStart w:id="67" w:name="_Ref468708779"/>
      <w:bookmarkEnd w:id="66"/>
      <w:r w:rsidRPr="00F47363">
        <w:lastRenderedPageBreak/>
        <w:t xml:space="preserve">Figure </w:t>
      </w:r>
      <w:r w:rsidR="00C11274">
        <w:fldChar w:fldCharType="begin"/>
      </w:r>
      <w:r w:rsidR="00C11274">
        <w:instrText xml:space="preserve"> STYLEREF 1 \s </w:instrText>
      </w:r>
      <w:r w:rsidR="00C11274">
        <w:fldChar w:fldCharType="separate"/>
      </w:r>
      <w:r w:rsidR="006E530F">
        <w:rPr>
          <w:noProof/>
        </w:rPr>
        <w:t>3</w:t>
      </w:r>
      <w:r w:rsidR="00C11274">
        <w:rPr>
          <w:noProof/>
        </w:rPr>
        <w:fldChar w:fldCharType="end"/>
      </w:r>
      <w:r w:rsidRPr="00F47363">
        <w:t>–</w:t>
      </w:r>
      <w:r w:rsidR="00C11274">
        <w:fldChar w:fldCharType="begin"/>
      </w:r>
      <w:r w:rsidR="00C11274">
        <w:instrText xml:space="preserve"> SEQ Figure \* ARABIC \s 1 </w:instrText>
      </w:r>
      <w:r w:rsidR="00C11274">
        <w:fldChar w:fldCharType="separate"/>
      </w:r>
      <w:r w:rsidR="006E530F">
        <w:rPr>
          <w:noProof/>
        </w:rPr>
        <w:t>1</w:t>
      </w:r>
      <w:r w:rsidR="00C11274">
        <w:rPr>
          <w:noProof/>
        </w:rPr>
        <w:fldChar w:fldCharType="end"/>
      </w:r>
      <w:bookmarkEnd w:id="67"/>
      <w:r w:rsidRPr="00F47363">
        <w:t>: Value of contingent liabilities ($ million</w:t>
      </w:r>
      <w:proofErr w:type="gramStart"/>
      <w:r w:rsidRPr="00F47363">
        <w:t>)</w:t>
      </w:r>
      <w:r w:rsidR="00BD315C" w:rsidRPr="00BD315C">
        <w:rPr>
          <w:vertAlign w:val="superscript"/>
        </w:rPr>
        <w:t>a</w:t>
      </w:r>
      <w:proofErr w:type="gramEnd"/>
    </w:p>
    <w:p w:rsidR="00F47363" w:rsidRPr="00F47363" w:rsidRDefault="00B727CC" w:rsidP="003C3595">
      <w:pPr>
        <w:pStyle w:val="BodyText"/>
        <w:keepNext/>
        <w:keepLines/>
        <w:rPr>
          <w:highlight w:val="yellow"/>
        </w:rPr>
      </w:pPr>
      <w:r>
        <w:rPr>
          <w:noProof/>
          <w:lang w:eastAsia="en-AU"/>
        </w:rPr>
        <w:drawing>
          <wp:inline distT="0" distB="0" distL="0" distR="0" wp14:anchorId="4F8750C4" wp14:editId="15324E24">
            <wp:extent cx="4755515" cy="316992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755515" cy="3169920"/>
                    </a:xfrm>
                    <a:prstGeom prst="rect">
                      <a:avLst/>
                    </a:prstGeom>
                    <a:noFill/>
                  </pic:spPr>
                </pic:pic>
              </a:graphicData>
            </a:graphic>
          </wp:inline>
        </w:drawing>
      </w:r>
    </w:p>
    <w:p w:rsidR="00343A02" w:rsidRPr="00BD315C" w:rsidRDefault="00343A02" w:rsidP="003C3595">
      <w:pPr>
        <w:pStyle w:val="TableFootnotes"/>
        <w:keepNext/>
        <w:numPr>
          <w:ilvl w:val="0"/>
          <w:numId w:val="13"/>
        </w:numPr>
        <w:ind w:left="227" w:hanging="227"/>
      </w:pPr>
      <w:bookmarkStart w:id="68" w:name="_Toc464813479"/>
      <w:r w:rsidRPr="00BD315C">
        <w:t>The Optus Financial Guarantee is assumed to not exceed $50 million as at 30 June 2016.</w:t>
      </w:r>
    </w:p>
    <w:p w:rsidR="00EC24C3" w:rsidRPr="00BD315C" w:rsidRDefault="00EC24C3" w:rsidP="006E1D42">
      <w:pPr>
        <w:pStyle w:val="Source"/>
        <w:ind w:left="720" w:hanging="720"/>
      </w:pPr>
      <w:r w:rsidRPr="00BD315C">
        <w:t>Source:</w:t>
      </w:r>
      <w:r w:rsidR="006E1D42" w:rsidRPr="00BD315C">
        <w:tab/>
      </w:r>
      <w:r w:rsidR="00451C93" w:rsidRPr="00BD315C">
        <w:t xml:space="preserve">Australian Government, </w:t>
      </w:r>
      <w:r w:rsidR="00750540" w:rsidRPr="00BD315C">
        <w:t>Budget Paper No 1</w:t>
      </w:r>
      <w:r w:rsidR="00451C93" w:rsidRPr="00BD315C">
        <w:t>:</w:t>
      </w:r>
      <w:r w:rsidR="00750540" w:rsidRPr="00BD315C">
        <w:t xml:space="preserve"> </w:t>
      </w:r>
      <w:r w:rsidRPr="00BD315C">
        <w:t>Statement of Risks,</w:t>
      </w:r>
      <w:r w:rsidR="001D6C9A" w:rsidRPr="00BD315C">
        <w:t xml:space="preserve"> </w:t>
      </w:r>
      <w:r w:rsidRPr="00BD315C">
        <w:t xml:space="preserve">various years; Department of Communications </w:t>
      </w:r>
      <w:r w:rsidR="00B727CC">
        <w:t xml:space="preserve">and the Arts </w:t>
      </w:r>
      <w:r w:rsidRPr="00BD315C">
        <w:t>Annual Report, various years</w:t>
      </w:r>
      <w:r w:rsidR="00451C93" w:rsidRPr="00BD315C">
        <w:t>.</w:t>
      </w:r>
    </w:p>
    <w:p w:rsidR="00E00251" w:rsidRDefault="00E00251" w:rsidP="00555368">
      <w:pPr>
        <w:pStyle w:val="BodyText17ptAbove"/>
      </w:pPr>
      <w:r>
        <w:t>Total contingent liabilities reached $15</w:t>
      </w:r>
      <w:r w:rsidR="006D3D1A">
        <w:t>.5 b</w:t>
      </w:r>
      <w:r>
        <w:t xml:space="preserve">illion </w:t>
      </w:r>
      <w:r w:rsidR="006D3D1A">
        <w:t>as at 30</w:t>
      </w:r>
      <w:r>
        <w:t xml:space="preserve"> June 2016.  However, the probability of these contingent liabilities</w:t>
      </w:r>
      <w:r w:rsidR="00486AC4">
        <w:t xml:space="preserve"> </w:t>
      </w:r>
      <w:r w:rsidR="001D5E88">
        <w:t>materialising</w:t>
      </w:r>
      <w:r>
        <w:t xml:space="preserve"> is considered by the Government to be very low (less than five per cent).</w:t>
      </w:r>
      <w:r w:rsidR="008E1F7B" w:rsidRPr="00F47363">
        <w:rPr>
          <w:rStyle w:val="FootnoteReference"/>
        </w:rPr>
        <w:footnoteReference w:id="22"/>
      </w:r>
      <w:r>
        <w:t xml:space="preserve">  The costs of these commitments are included in Budget Paper No</w:t>
      </w:r>
      <w:r w:rsidR="00755773">
        <w:t> </w:t>
      </w:r>
      <w:r>
        <w:t>1: Budget Strategy and Outlook (Statement 8: Statement of Risks).</w:t>
      </w:r>
      <w:bookmarkEnd w:id="68"/>
    </w:p>
    <w:p w:rsidR="002C3AED" w:rsidRDefault="002C3AED" w:rsidP="002C3AED">
      <w:pPr>
        <w:pStyle w:val="BodyText"/>
      </w:pPr>
    </w:p>
    <w:p w:rsidR="002C3AED" w:rsidRDefault="002C3AED" w:rsidP="002C3AED">
      <w:pPr>
        <w:pStyle w:val="BodyText"/>
        <w:sectPr w:rsidR="002C3AED" w:rsidSect="00DF743D">
          <w:pgSz w:w="11906" w:h="16838" w:code="9"/>
          <w:pgMar w:top="1361" w:right="1797" w:bottom="1474" w:left="1797" w:header="284" w:footer="454" w:gutter="0"/>
          <w:cols w:space="708"/>
          <w:docGrid w:linePitch="360"/>
        </w:sectPr>
      </w:pPr>
    </w:p>
    <w:p w:rsidR="002C3AED" w:rsidRPr="002C3AED" w:rsidRDefault="002C3AED" w:rsidP="002C3AED">
      <w:pPr>
        <w:pStyle w:val="BodyText"/>
      </w:pPr>
      <w:r w:rsidRPr="003A2FBB">
        <w:rPr>
          <w:noProof/>
          <w:color w:val="FFFFFF" w:themeColor="background1"/>
          <w:sz w:val="72"/>
          <w:szCs w:val="72"/>
          <w:lang w:eastAsia="en-AU"/>
        </w:rPr>
        <w:lastRenderedPageBreak/>
        <mc:AlternateContent>
          <mc:Choice Requires="wpc">
            <w:drawing>
              <wp:anchor distT="0" distB="0" distL="114300" distR="114300" simplePos="0" relativeHeight="251659264" behindDoc="1" locked="0" layoutInCell="1" allowOverlap="1" wp14:anchorId="0D56ADE8" wp14:editId="515A5EC5">
                <wp:simplePos x="0" y="0"/>
                <wp:positionH relativeFrom="page">
                  <wp:posOffset>0</wp:posOffset>
                </wp:positionH>
                <wp:positionV relativeFrom="page">
                  <wp:posOffset>0</wp:posOffset>
                </wp:positionV>
                <wp:extent cx="7632000" cy="10692000"/>
                <wp:effectExtent l="0" t="0" r="7620" b="0"/>
                <wp:wrapTight wrapText="bothSides">
                  <wp:wrapPolygon edited="0">
                    <wp:start x="0" y="0"/>
                    <wp:lineTo x="0" y="21553"/>
                    <wp:lineTo x="21568" y="21553"/>
                    <wp:lineTo x="21568" y="0"/>
                    <wp:lineTo x="0" y="0"/>
                  </wp:wrapPolygon>
                </wp:wrapTight>
                <wp:docPr id="26" name="Canvas 26"/>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pic:pic xmlns:pic="http://schemas.openxmlformats.org/drawingml/2006/picture">
                        <pic:nvPicPr>
                          <pic:cNvPr id="24" name="Picture 24"/>
                          <pic:cNvPicPr preferRelativeResize="0">
                            <a:picLocks/>
                          </pic:cNvPicPr>
                        </pic:nvPicPr>
                        <pic:blipFill>
                          <a:blip r:embed="rId37" cstate="print">
                            <a:extLst>
                              <a:ext uri="{28A0092B-C50C-407E-A947-70E740481C1C}">
                                <a14:useLocalDpi xmlns:a14="http://schemas.microsoft.com/office/drawing/2010/main" val="0"/>
                              </a:ext>
                            </a:extLst>
                          </a:blip>
                          <a:stretch>
                            <a:fillRect/>
                          </a:stretch>
                        </pic:blipFill>
                        <pic:spPr>
                          <a:xfrm>
                            <a:off x="0" y="0"/>
                            <a:ext cx="7563600" cy="10687050"/>
                          </a:xfrm>
                          <a:prstGeom prst="rect">
                            <a:avLst/>
                          </a:prstGeom>
                        </pic:spPr>
                      </pic:pic>
                      <wps:wsp>
                        <wps:cNvPr id="25" name="Text Box 2"/>
                        <wps:cNvSpPr txBox="1">
                          <a:spLocks noChangeArrowheads="1"/>
                        </wps:cNvSpPr>
                        <wps:spPr bwMode="auto">
                          <a:xfrm>
                            <a:off x="2520315" y="8763000"/>
                            <a:ext cx="2520000" cy="608400"/>
                          </a:xfrm>
                          <a:prstGeom prst="rect">
                            <a:avLst/>
                          </a:prstGeom>
                          <a:noFill/>
                          <a:ln w="9525">
                            <a:noFill/>
                            <a:miter lim="800000"/>
                            <a:headEnd/>
                            <a:tailEnd/>
                          </a:ln>
                        </wps:spPr>
                        <wps:txbx>
                          <w:txbxContent>
                            <w:p w:rsidR="008D4C0F" w:rsidRPr="0061135C" w:rsidRDefault="00C11274" w:rsidP="009376A9">
                              <w:pPr>
                                <w:pStyle w:val="xBackPageWebAddress"/>
                                <w:jc w:val="center"/>
                              </w:pPr>
                              <w:hyperlink r:id="rId38" w:history="1">
                                <w:r w:rsidR="008D4C0F" w:rsidRPr="0061135C">
                                  <w:t>www.pbo.gov.au</w:t>
                                </w:r>
                              </w:hyperlink>
                            </w:p>
                          </w:txbxContent>
                        </wps:txbx>
                        <wps:bodyPr rot="0" vert="horz" wrap="square" lIns="91440" tIns="45720" rIns="91440" bIns="45720" anchor="b" anchorCtr="0">
                          <a:noAutofit/>
                        </wps:bodyPr>
                      </wps:wsp>
                    </wpc:wpc>
                  </a:graphicData>
                </a:graphic>
                <wp14:sizeRelH relativeFrom="page">
                  <wp14:pctWidth>0</wp14:pctWidth>
                </wp14:sizeRelH>
                <wp14:sizeRelV relativeFrom="page">
                  <wp14:pctHeight>0</wp14:pctHeight>
                </wp14:sizeRelV>
              </wp:anchor>
            </w:drawing>
          </mc:Choice>
          <mc:Fallback>
            <w:pict>
              <v:group id="Canvas 26" o:spid="_x0000_s1026" editas="canvas" style="position:absolute;margin-left:0;margin-top:0;width:600.95pt;height:841.9pt;z-index:-251657216;mso-position-horizontal-relative:page;mso-position-vertical-relative:page" coordsize="76314,106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314;height:106914;visibility:visible;mso-wrap-style:square" filled="t" fillcolor="white [3212]">
                  <v:fill o:detectmouseclick="t"/>
                  <v:path o:connecttype="none"/>
                </v:shape>
                <v:shape id="Picture 24" o:spid="_x0000_s1028" type="#_x0000_t75" style="position:absolute;width:75636;height:10687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DK7jFAAAA2wAAAA8AAABkcnMvZG93bnJldi54bWxEj0FrwkAUhO9C/8PyCl6k2VRESnQNbaBg&#10;oVBMS8DbI/tMgtm3aXabxH/vFgSPw8x8w2zTybRioN41lhU8RzEI4tLqhisFP9/vTy8gnEfW2Fom&#10;BRdykO4eZltMtB35QEPuKxEg7BJUUHvfJVK6siaDLrIdcfBOtjfog+wrqXscA9y0chnHa2mw4bBQ&#10;Y0dZTeU5/zMK8rHAc15dvmT2tjgeToX8/P0YlJo/Tq8bEJ4mfw/f2nutYLmC/y/hB8jd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wyu4xQAAANsAAAAPAAAAAAAAAAAAAAAA&#10;AJ8CAABkcnMvZG93bnJldi54bWxQSwUGAAAAAAQABAD3AAAAkQMAAAAA&#10;">
                  <v:imagedata r:id="rId39" o:title=""/>
                  <v:path arrowok="t"/>
                  <o:lock v:ext="edit" aspectratio="f"/>
                </v:shape>
                <v:shapetype id="_x0000_t202" coordsize="21600,21600" o:spt="202" path="m,l,21600r21600,l21600,xe">
                  <v:stroke joinstyle="miter"/>
                  <v:path gradientshapeok="t" o:connecttype="rect"/>
                </v:shapetype>
                <v:shape id="Text Box 2" o:spid="_x0000_s1029" type="#_x0000_t202" style="position:absolute;left:25203;top:87630;width:25200;height:608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amlsUA&#10;AADbAAAADwAAAGRycy9kb3ducmV2LnhtbESP0WrCQBRE3wv9h+UW+mY2SpSSukqxFfoi1rQfcJO9&#10;JrHZuyG7Mcnfu0Khj8PMnGHW29E04kqdqy0rmEcxCOLC6ppLBT/f+9kLCOeRNTaWScFEDrabx4c1&#10;ptoOfKJr5ksRIOxSVFB536ZSuqIigy6yLXHwzrYz6IPsSqk7HALcNHIRxytpsOawUGFLu4qK36w3&#10;Cj6+8ilP5pd98h5PuT4Oh13RH5R6fhrfXkF4Gv1/+K/9qRUslnD/En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BqaWxQAAANsAAAAPAAAAAAAAAAAAAAAAAJgCAABkcnMv&#10;ZG93bnJldi54bWxQSwUGAAAAAAQABAD1AAAAigMAAAAA&#10;" filled="f" stroked="f">
                  <v:textbox>
                    <w:txbxContent>
                      <w:p w:rsidR="008D4C0F" w:rsidRPr="0061135C" w:rsidRDefault="008D4C0F" w:rsidP="009376A9">
                        <w:pPr>
                          <w:pStyle w:val="xBackPageWebAddress"/>
                          <w:jc w:val="center"/>
                        </w:pPr>
                        <w:hyperlink r:id="rId40" w:history="1">
                          <w:r w:rsidRPr="0061135C">
                            <w:t>www.pbo.gov.au</w:t>
                          </w:r>
                        </w:hyperlink>
                      </w:p>
                    </w:txbxContent>
                  </v:textbox>
                </v:shape>
                <w10:wrap type="tight" anchorx="page" anchory="page"/>
              </v:group>
            </w:pict>
          </mc:Fallback>
        </mc:AlternateContent>
      </w:r>
    </w:p>
    <w:sectPr w:rsidR="002C3AED" w:rsidRPr="002C3AED" w:rsidSect="002C3AED">
      <w:footerReference w:type="even" r:id="rId41"/>
      <w:footerReference w:type="default" r:id="rId42"/>
      <w:type w:val="evenPage"/>
      <w:pgSz w:w="11907" w:h="16839" w:code="9"/>
      <w:pgMar w:top="1361" w:right="1797" w:bottom="1474" w:left="1797" w:header="283"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C0F" w:rsidRDefault="008D4C0F" w:rsidP="00A20802">
      <w:pPr>
        <w:spacing w:line="240" w:lineRule="auto"/>
      </w:pPr>
      <w:r>
        <w:separator/>
      </w:r>
    </w:p>
    <w:p w:rsidR="008D4C0F" w:rsidRDefault="008D4C0F"/>
  </w:endnote>
  <w:endnote w:type="continuationSeparator" w:id="0">
    <w:p w:rsidR="008D4C0F" w:rsidRDefault="008D4C0F" w:rsidP="00A20802">
      <w:pPr>
        <w:spacing w:line="240" w:lineRule="auto"/>
      </w:pPr>
      <w:r>
        <w:continuationSeparator/>
      </w:r>
    </w:p>
    <w:p w:rsidR="008D4C0F" w:rsidRDefault="008D4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C0F" w:rsidRDefault="008D4C0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8D4C0F" w:rsidRPr="00EB388E" w:rsidTr="002C3AED">
      <w:trPr>
        <w:trHeight w:val="340"/>
      </w:trPr>
      <w:tc>
        <w:tcPr>
          <w:tcW w:w="567" w:type="dxa"/>
          <w:tcBorders>
            <w:right w:val="single" w:sz="4" w:space="0" w:color="788184" w:themeColor="background2"/>
          </w:tcBorders>
          <w:vAlign w:val="center"/>
        </w:tcPr>
        <w:p w:rsidR="008D4C0F" w:rsidRPr="00CB70DF" w:rsidRDefault="008D4C0F" w:rsidP="002C3AED">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C11274">
            <w:rPr>
              <w:noProof/>
            </w:rPr>
            <w:t>12</w:t>
          </w:r>
          <w:r w:rsidRPr="00EB388E">
            <w:fldChar w:fldCharType="end"/>
          </w:r>
        </w:p>
      </w:tc>
      <w:tc>
        <w:tcPr>
          <w:tcW w:w="8164" w:type="dxa"/>
          <w:tcBorders>
            <w:left w:val="single" w:sz="4" w:space="0" w:color="788184" w:themeColor="background2"/>
          </w:tcBorders>
          <w:vAlign w:val="center"/>
        </w:tcPr>
        <w:p w:rsidR="008D4C0F" w:rsidRPr="00CB70DF" w:rsidRDefault="00C11274" w:rsidP="002C3AED">
          <w:pPr>
            <w:pStyle w:val="FooterLeft"/>
            <w:framePr w:wrap="auto" w:vAnchor="margin" w:hAnchor="text" w:yAlign="inline"/>
          </w:pPr>
          <w:r>
            <w:fldChar w:fldCharType="begin"/>
          </w:r>
          <w:r>
            <w:instrText xml:space="preserve"> STYLEREF  Title  \* MERGEFORMAT </w:instrText>
          </w:r>
          <w:r>
            <w:fldChar w:fldCharType="separate"/>
          </w:r>
          <w:r>
            <w:rPr>
              <w:noProof/>
            </w:rPr>
            <w:t>National Broadband Network</w:t>
          </w:r>
          <w:r>
            <w:rPr>
              <w:noProof/>
            </w:rPr>
            <w:fldChar w:fldCharType="end"/>
          </w:r>
        </w:p>
      </w:tc>
    </w:tr>
    <w:tr w:rsidR="008D4C0F" w:rsidRPr="00EB388E" w:rsidTr="002C3AED">
      <w:trPr>
        <w:trHeight w:hRule="exact" w:val="403"/>
      </w:trPr>
      <w:tc>
        <w:tcPr>
          <w:tcW w:w="567" w:type="dxa"/>
          <w:tcMar>
            <w:bottom w:w="284" w:type="dxa"/>
          </w:tcMar>
        </w:tcPr>
        <w:p w:rsidR="008D4C0F" w:rsidRPr="00EB388E" w:rsidRDefault="008D4C0F" w:rsidP="002C3AED">
          <w:pPr>
            <w:pStyle w:val="FooterRightPageNumber"/>
          </w:pPr>
        </w:p>
      </w:tc>
      <w:tc>
        <w:tcPr>
          <w:tcW w:w="8164" w:type="dxa"/>
          <w:tcMar>
            <w:bottom w:w="284" w:type="dxa"/>
          </w:tcMar>
        </w:tcPr>
        <w:p w:rsidR="008D4C0F" w:rsidRPr="00090E70" w:rsidRDefault="008D4C0F" w:rsidP="002C3AED"/>
      </w:tc>
    </w:tr>
  </w:tbl>
  <w:p w:rsidR="008D4C0F" w:rsidRDefault="008D4C0F">
    <w:pPr>
      <w:pStyle w:val="Footer"/>
    </w:pPr>
  </w:p>
  <w:p w:rsidR="008D4C0F" w:rsidRPr="004816D7" w:rsidRDefault="008D4C0F" w:rsidP="009376A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8D4C0F" w:rsidRPr="00EB388E" w:rsidTr="002C3AED">
      <w:trPr>
        <w:trHeight w:val="340"/>
      </w:trPr>
      <w:tc>
        <w:tcPr>
          <w:tcW w:w="8164" w:type="dxa"/>
          <w:tcBorders>
            <w:right w:val="single" w:sz="4" w:space="0" w:color="788184" w:themeColor="background2"/>
          </w:tcBorders>
          <w:vAlign w:val="center"/>
        </w:tcPr>
        <w:p w:rsidR="008D4C0F" w:rsidRPr="00CB70DF" w:rsidRDefault="00C11274" w:rsidP="002C3AED">
          <w:pPr>
            <w:pStyle w:val="FooterRight"/>
            <w:framePr w:wrap="auto" w:vAnchor="margin" w:hAnchor="text" w:xAlign="left" w:yAlign="inline"/>
          </w:pPr>
          <w:r>
            <w:fldChar w:fldCharType="begin"/>
          </w:r>
          <w:r>
            <w:instrText xml:space="preserve"> STYLEREF  "Heading 1"  \* MERGEFORMAT </w:instrText>
          </w:r>
          <w:r>
            <w:fldChar w:fldCharType="separate"/>
          </w:r>
          <w:r w:rsidR="008D4C0F">
            <w:rPr>
              <w:noProof/>
            </w:rPr>
            <w:t>Budget risks</w:t>
          </w:r>
          <w:r>
            <w:rPr>
              <w:noProof/>
            </w:rPr>
            <w:fldChar w:fldCharType="end"/>
          </w:r>
        </w:p>
      </w:tc>
      <w:tc>
        <w:tcPr>
          <w:tcW w:w="567" w:type="dxa"/>
          <w:tcBorders>
            <w:left w:val="single" w:sz="4" w:space="0" w:color="788184" w:themeColor="background2"/>
          </w:tcBorders>
          <w:vAlign w:val="center"/>
        </w:tcPr>
        <w:p w:rsidR="008D4C0F" w:rsidRPr="00CB70DF" w:rsidRDefault="008D4C0F" w:rsidP="002C3AED">
          <w:pPr>
            <w:pStyle w:val="FooterRightPageNumber"/>
          </w:pPr>
          <w:r w:rsidRPr="00EB388E">
            <w:fldChar w:fldCharType="begin"/>
          </w:r>
          <w:r w:rsidRPr="00EB388E">
            <w:instrText xml:space="preserve"> PAGE   \* MERGEFORMAT </w:instrText>
          </w:r>
          <w:r w:rsidRPr="00EB388E">
            <w:fldChar w:fldCharType="separate"/>
          </w:r>
          <w:r>
            <w:t>11</w:t>
          </w:r>
          <w:r w:rsidRPr="00EB388E">
            <w:fldChar w:fldCharType="end"/>
          </w:r>
        </w:p>
      </w:tc>
    </w:tr>
    <w:tr w:rsidR="008D4C0F" w:rsidRPr="00EB388E" w:rsidTr="002C3AED">
      <w:trPr>
        <w:trHeight w:hRule="exact" w:val="403"/>
      </w:trPr>
      <w:tc>
        <w:tcPr>
          <w:tcW w:w="8164" w:type="dxa"/>
        </w:tcPr>
        <w:p w:rsidR="008D4C0F" w:rsidRPr="00090E70" w:rsidRDefault="008D4C0F" w:rsidP="002C3AED"/>
      </w:tc>
      <w:tc>
        <w:tcPr>
          <w:tcW w:w="567" w:type="dxa"/>
          <w:tcMar>
            <w:bottom w:w="284" w:type="dxa"/>
          </w:tcMar>
        </w:tcPr>
        <w:p w:rsidR="008D4C0F" w:rsidRPr="00090E70" w:rsidRDefault="008D4C0F" w:rsidP="002C3AED"/>
      </w:tc>
    </w:tr>
  </w:tbl>
  <w:p w:rsidR="008D4C0F" w:rsidRDefault="008D4C0F">
    <w:pPr>
      <w:pStyle w:val="Footer"/>
    </w:pPr>
  </w:p>
  <w:p w:rsidR="008D4C0F" w:rsidRPr="004816D7" w:rsidRDefault="008D4C0F" w:rsidP="009376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8D4C0F" w:rsidRPr="00EB388E" w:rsidTr="00DF743D">
      <w:trPr>
        <w:trHeight w:val="340"/>
      </w:trPr>
      <w:tc>
        <w:tcPr>
          <w:tcW w:w="567" w:type="dxa"/>
          <w:tcBorders>
            <w:right w:val="single" w:sz="4" w:space="0" w:color="788184" w:themeColor="background2"/>
          </w:tcBorders>
          <w:vAlign w:val="center"/>
        </w:tcPr>
        <w:p w:rsidR="008D4C0F" w:rsidRPr="00CB70DF" w:rsidRDefault="008D4C0F" w:rsidP="00DF743D">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Pr>
              <w:noProof/>
            </w:rPr>
            <w:t>i</w:t>
          </w:r>
          <w:r w:rsidRPr="00EB388E">
            <w:fldChar w:fldCharType="end"/>
          </w:r>
        </w:p>
      </w:tc>
      <w:tc>
        <w:tcPr>
          <w:tcW w:w="8164" w:type="dxa"/>
          <w:tcBorders>
            <w:left w:val="single" w:sz="4" w:space="0" w:color="788184" w:themeColor="background2"/>
          </w:tcBorders>
          <w:vAlign w:val="center"/>
        </w:tcPr>
        <w:p w:rsidR="008D4C0F" w:rsidRPr="00CB70DF" w:rsidRDefault="00C11274" w:rsidP="00DF743D">
          <w:pPr>
            <w:pStyle w:val="FooterLeft"/>
            <w:framePr w:wrap="auto" w:vAnchor="margin" w:hAnchor="text" w:yAlign="inline"/>
          </w:pPr>
          <w:r>
            <w:fldChar w:fldCharType="begin"/>
          </w:r>
          <w:r>
            <w:instrText xml:space="preserve"> STYLEREF  Title  \* MERGEFORMAT </w:instrText>
          </w:r>
          <w:r>
            <w:fldChar w:fldCharType="separate"/>
          </w:r>
          <w:r w:rsidR="008D4C0F">
            <w:rPr>
              <w:noProof/>
            </w:rPr>
            <w:t>National Broadband Network</w:t>
          </w:r>
          <w:r>
            <w:rPr>
              <w:noProof/>
            </w:rPr>
            <w:fldChar w:fldCharType="end"/>
          </w:r>
        </w:p>
      </w:tc>
    </w:tr>
    <w:tr w:rsidR="008D4C0F" w:rsidRPr="00EB388E" w:rsidTr="00DF743D">
      <w:trPr>
        <w:trHeight w:hRule="exact" w:val="403"/>
      </w:trPr>
      <w:tc>
        <w:tcPr>
          <w:tcW w:w="567" w:type="dxa"/>
          <w:tcMar>
            <w:bottom w:w="284" w:type="dxa"/>
          </w:tcMar>
        </w:tcPr>
        <w:p w:rsidR="008D4C0F" w:rsidRPr="00EB388E" w:rsidRDefault="008D4C0F" w:rsidP="00DF743D">
          <w:pPr>
            <w:pStyle w:val="FooterRightPageNumber"/>
          </w:pPr>
        </w:p>
      </w:tc>
      <w:tc>
        <w:tcPr>
          <w:tcW w:w="8164" w:type="dxa"/>
          <w:tcMar>
            <w:bottom w:w="284" w:type="dxa"/>
          </w:tcMar>
        </w:tcPr>
        <w:p w:rsidR="008D4C0F" w:rsidRPr="00090E70" w:rsidRDefault="008D4C0F" w:rsidP="00DF743D"/>
      </w:tc>
    </w:tr>
  </w:tbl>
  <w:p w:rsidR="008D4C0F" w:rsidRDefault="008D4C0F">
    <w:pPr>
      <w:pStyle w:val="Footer"/>
    </w:pPr>
  </w:p>
  <w:p w:rsidR="008D4C0F" w:rsidRPr="004816D7" w:rsidRDefault="008D4C0F" w:rsidP="009F68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8D4C0F" w:rsidRPr="00EB388E" w:rsidTr="00DF743D">
      <w:trPr>
        <w:trHeight w:val="340"/>
      </w:trPr>
      <w:tc>
        <w:tcPr>
          <w:tcW w:w="8164" w:type="dxa"/>
          <w:tcBorders>
            <w:right w:val="single" w:sz="4" w:space="0" w:color="788184" w:themeColor="background2"/>
          </w:tcBorders>
          <w:vAlign w:val="center"/>
        </w:tcPr>
        <w:p w:rsidR="008D4C0F" w:rsidRPr="00CB70DF" w:rsidRDefault="008D4C0F" w:rsidP="00DF743D">
          <w:pPr>
            <w:pStyle w:val="FooterRight"/>
            <w:framePr w:wrap="auto" w:vAnchor="margin" w:hAnchor="text" w:xAlign="left" w:yAlign="inline"/>
          </w:pPr>
        </w:p>
      </w:tc>
      <w:tc>
        <w:tcPr>
          <w:tcW w:w="567" w:type="dxa"/>
          <w:tcBorders>
            <w:left w:val="single" w:sz="4" w:space="0" w:color="788184" w:themeColor="background2"/>
          </w:tcBorders>
          <w:vAlign w:val="center"/>
        </w:tcPr>
        <w:p w:rsidR="008D4C0F" w:rsidRPr="00CB70DF" w:rsidRDefault="008D4C0F" w:rsidP="00DF743D">
          <w:pPr>
            <w:pStyle w:val="FooterRightPageNumber"/>
          </w:pPr>
          <w:r w:rsidRPr="00EB388E">
            <w:fldChar w:fldCharType="begin"/>
          </w:r>
          <w:r w:rsidRPr="00EB388E">
            <w:instrText xml:space="preserve"> PAGE   \* MERGEFORMAT </w:instrText>
          </w:r>
          <w:r w:rsidRPr="00EB388E">
            <w:fldChar w:fldCharType="separate"/>
          </w:r>
          <w:r w:rsidR="00C11274">
            <w:t>iii</w:t>
          </w:r>
          <w:r w:rsidRPr="00EB388E">
            <w:fldChar w:fldCharType="end"/>
          </w:r>
        </w:p>
      </w:tc>
    </w:tr>
    <w:tr w:rsidR="008D4C0F" w:rsidRPr="00EB388E" w:rsidTr="00DF743D">
      <w:trPr>
        <w:trHeight w:hRule="exact" w:val="403"/>
      </w:trPr>
      <w:tc>
        <w:tcPr>
          <w:tcW w:w="8164" w:type="dxa"/>
        </w:tcPr>
        <w:p w:rsidR="008D4C0F" w:rsidRPr="00090E70" w:rsidRDefault="008D4C0F" w:rsidP="00DF743D"/>
      </w:tc>
      <w:tc>
        <w:tcPr>
          <w:tcW w:w="567" w:type="dxa"/>
          <w:tcMar>
            <w:bottom w:w="284" w:type="dxa"/>
          </w:tcMar>
        </w:tcPr>
        <w:p w:rsidR="008D4C0F" w:rsidRPr="00090E70" w:rsidRDefault="008D4C0F" w:rsidP="00DF743D"/>
      </w:tc>
    </w:tr>
  </w:tbl>
  <w:p w:rsidR="008D4C0F" w:rsidRDefault="008D4C0F">
    <w:pPr>
      <w:pStyle w:val="Footer"/>
    </w:pPr>
  </w:p>
  <w:p w:rsidR="008D4C0F" w:rsidRPr="004816D7" w:rsidRDefault="008D4C0F" w:rsidP="009F688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8D4C0F" w:rsidRPr="00EB388E" w:rsidTr="00DF743D">
      <w:trPr>
        <w:trHeight w:val="340"/>
      </w:trPr>
      <w:tc>
        <w:tcPr>
          <w:tcW w:w="567" w:type="dxa"/>
          <w:tcBorders>
            <w:right w:val="single" w:sz="4" w:space="0" w:color="788184" w:themeColor="background2"/>
          </w:tcBorders>
          <w:vAlign w:val="center"/>
        </w:tcPr>
        <w:p w:rsidR="008D4C0F" w:rsidRPr="00CB70DF" w:rsidRDefault="008D4C0F" w:rsidP="00DF743D">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C11274">
            <w:rPr>
              <w:noProof/>
            </w:rPr>
            <w:t>iv</w:t>
          </w:r>
          <w:r w:rsidRPr="00EB388E">
            <w:fldChar w:fldCharType="end"/>
          </w:r>
        </w:p>
      </w:tc>
      <w:tc>
        <w:tcPr>
          <w:tcW w:w="8164" w:type="dxa"/>
          <w:tcBorders>
            <w:left w:val="single" w:sz="4" w:space="0" w:color="788184" w:themeColor="background2"/>
          </w:tcBorders>
          <w:vAlign w:val="center"/>
        </w:tcPr>
        <w:p w:rsidR="008D4C0F" w:rsidRPr="00CB70DF" w:rsidRDefault="00C11274" w:rsidP="00DF743D">
          <w:pPr>
            <w:pStyle w:val="FooterLeft"/>
            <w:framePr w:wrap="auto" w:vAnchor="margin" w:hAnchor="text" w:yAlign="inline"/>
          </w:pPr>
          <w:r>
            <w:fldChar w:fldCharType="begin"/>
          </w:r>
          <w:r>
            <w:instrText xml:space="preserve"> STYLEREF  Title  \* MERGEFORMAT </w:instrText>
          </w:r>
          <w:r>
            <w:fldChar w:fldCharType="separate"/>
          </w:r>
          <w:r>
            <w:rPr>
              <w:noProof/>
            </w:rPr>
            <w:t>National Broadband Network</w:t>
          </w:r>
          <w:r>
            <w:rPr>
              <w:noProof/>
            </w:rPr>
            <w:fldChar w:fldCharType="end"/>
          </w:r>
        </w:p>
      </w:tc>
    </w:tr>
    <w:tr w:rsidR="008D4C0F" w:rsidRPr="00EB388E" w:rsidTr="00DF743D">
      <w:trPr>
        <w:trHeight w:hRule="exact" w:val="403"/>
      </w:trPr>
      <w:tc>
        <w:tcPr>
          <w:tcW w:w="567" w:type="dxa"/>
          <w:tcMar>
            <w:bottom w:w="284" w:type="dxa"/>
          </w:tcMar>
        </w:tcPr>
        <w:p w:rsidR="008D4C0F" w:rsidRPr="00EB388E" w:rsidRDefault="008D4C0F" w:rsidP="00DF743D">
          <w:pPr>
            <w:pStyle w:val="FooterRightPageNumber"/>
          </w:pPr>
        </w:p>
      </w:tc>
      <w:tc>
        <w:tcPr>
          <w:tcW w:w="8164" w:type="dxa"/>
          <w:tcMar>
            <w:bottom w:w="284" w:type="dxa"/>
          </w:tcMar>
        </w:tcPr>
        <w:p w:rsidR="008D4C0F" w:rsidRPr="00090E70" w:rsidRDefault="008D4C0F" w:rsidP="00DF743D"/>
      </w:tc>
    </w:tr>
  </w:tbl>
  <w:p w:rsidR="008D4C0F" w:rsidRDefault="008D4C0F">
    <w:pPr>
      <w:pStyle w:val="Footer"/>
    </w:pPr>
  </w:p>
  <w:p w:rsidR="008D4C0F" w:rsidRPr="004816D7" w:rsidRDefault="008D4C0F" w:rsidP="009F688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8D4C0F" w:rsidRPr="00EB388E" w:rsidTr="00DF743D">
      <w:trPr>
        <w:trHeight w:val="340"/>
      </w:trPr>
      <w:tc>
        <w:tcPr>
          <w:tcW w:w="8164" w:type="dxa"/>
          <w:tcBorders>
            <w:right w:val="single" w:sz="4" w:space="0" w:color="788184" w:themeColor="background2"/>
          </w:tcBorders>
          <w:vAlign w:val="center"/>
        </w:tcPr>
        <w:p w:rsidR="008D4C0F" w:rsidRPr="00CB70DF" w:rsidRDefault="008D4C0F" w:rsidP="00DF743D">
          <w:pPr>
            <w:pStyle w:val="FooterRight"/>
            <w:framePr w:wrap="auto" w:vAnchor="margin" w:hAnchor="text" w:xAlign="left" w:yAlign="inline"/>
          </w:pPr>
        </w:p>
      </w:tc>
      <w:tc>
        <w:tcPr>
          <w:tcW w:w="567" w:type="dxa"/>
          <w:tcBorders>
            <w:left w:val="single" w:sz="4" w:space="0" w:color="788184" w:themeColor="background2"/>
          </w:tcBorders>
          <w:vAlign w:val="center"/>
        </w:tcPr>
        <w:p w:rsidR="008D4C0F" w:rsidRPr="00CB70DF" w:rsidRDefault="008D4C0F" w:rsidP="00DF743D">
          <w:pPr>
            <w:pStyle w:val="FooterRightPageNumber"/>
          </w:pPr>
          <w:r w:rsidRPr="00EB388E">
            <w:fldChar w:fldCharType="begin"/>
          </w:r>
          <w:r w:rsidRPr="00EB388E">
            <w:instrText xml:space="preserve"> PAGE   \* MERGEFORMAT </w:instrText>
          </w:r>
          <w:r w:rsidRPr="00EB388E">
            <w:fldChar w:fldCharType="separate"/>
          </w:r>
          <w:r w:rsidR="00C11274">
            <w:t>v</w:t>
          </w:r>
          <w:r w:rsidRPr="00EB388E">
            <w:fldChar w:fldCharType="end"/>
          </w:r>
        </w:p>
      </w:tc>
    </w:tr>
    <w:tr w:rsidR="008D4C0F" w:rsidRPr="00EB388E" w:rsidTr="00DF743D">
      <w:trPr>
        <w:trHeight w:hRule="exact" w:val="403"/>
      </w:trPr>
      <w:tc>
        <w:tcPr>
          <w:tcW w:w="8164" w:type="dxa"/>
        </w:tcPr>
        <w:p w:rsidR="008D4C0F" w:rsidRPr="00090E70" w:rsidRDefault="008D4C0F" w:rsidP="00DF743D"/>
      </w:tc>
      <w:tc>
        <w:tcPr>
          <w:tcW w:w="567" w:type="dxa"/>
          <w:tcMar>
            <w:bottom w:w="284" w:type="dxa"/>
          </w:tcMar>
        </w:tcPr>
        <w:p w:rsidR="008D4C0F" w:rsidRPr="00090E70" w:rsidRDefault="008D4C0F" w:rsidP="00DF743D"/>
      </w:tc>
    </w:tr>
  </w:tbl>
  <w:p w:rsidR="008D4C0F" w:rsidRDefault="008D4C0F">
    <w:pPr>
      <w:pStyle w:val="Footer"/>
    </w:pPr>
  </w:p>
  <w:p w:rsidR="008D4C0F" w:rsidRPr="004816D7" w:rsidRDefault="008D4C0F" w:rsidP="009F688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8D4C0F" w:rsidRPr="00EB388E" w:rsidTr="00DF743D">
      <w:trPr>
        <w:trHeight w:val="340"/>
      </w:trPr>
      <w:tc>
        <w:tcPr>
          <w:tcW w:w="567" w:type="dxa"/>
          <w:tcBorders>
            <w:right w:val="single" w:sz="4" w:space="0" w:color="788184" w:themeColor="background2"/>
          </w:tcBorders>
          <w:vAlign w:val="center"/>
        </w:tcPr>
        <w:p w:rsidR="008D4C0F" w:rsidRPr="00CB70DF" w:rsidRDefault="008D4C0F" w:rsidP="00DF743D">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C11274">
            <w:rPr>
              <w:noProof/>
            </w:rPr>
            <w:t>vi</w:t>
          </w:r>
          <w:r w:rsidRPr="00EB388E">
            <w:fldChar w:fldCharType="end"/>
          </w:r>
        </w:p>
      </w:tc>
      <w:tc>
        <w:tcPr>
          <w:tcW w:w="8164" w:type="dxa"/>
          <w:tcBorders>
            <w:left w:val="single" w:sz="4" w:space="0" w:color="788184" w:themeColor="background2"/>
          </w:tcBorders>
          <w:vAlign w:val="center"/>
        </w:tcPr>
        <w:p w:rsidR="008D4C0F" w:rsidRPr="00CB70DF" w:rsidRDefault="008D4C0F" w:rsidP="00DF743D">
          <w:pPr>
            <w:pStyle w:val="FooterLeft"/>
            <w:framePr w:wrap="auto" w:vAnchor="margin" w:hAnchor="text" w:yAlign="inline"/>
          </w:pPr>
        </w:p>
      </w:tc>
    </w:tr>
    <w:tr w:rsidR="008D4C0F" w:rsidRPr="00EB388E" w:rsidTr="00DF743D">
      <w:trPr>
        <w:trHeight w:hRule="exact" w:val="403"/>
      </w:trPr>
      <w:tc>
        <w:tcPr>
          <w:tcW w:w="567" w:type="dxa"/>
          <w:tcMar>
            <w:bottom w:w="284" w:type="dxa"/>
          </w:tcMar>
        </w:tcPr>
        <w:p w:rsidR="008D4C0F" w:rsidRPr="00EB388E" w:rsidRDefault="008D4C0F" w:rsidP="00DF743D">
          <w:pPr>
            <w:pStyle w:val="FooterRightPageNumber"/>
          </w:pPr>
        </w:p>
      </w:tc>
      <w:tc>
        <w:tcPr>
          <w:tcW w:w="8164" w:type="dxa"/>
          <w:tcMar>
            <w:bottom w:w="284" w:type="dxa"/>
          </w:tcMar>
        </w:tcPr>
        <w:p w:rsidR="008D4C0F" w:rsidRPr="00090E70" w:rsidRDefault="008D4C0F" w:rsidP="00DF743D"/>
      </w:tc>
    </w:tr>
  </w:tbl>
  <w:p w:rsidR="008D4C0F" w:rsidRDefault="008D4C0F">
    <w:pPr>
      <w:pStyle w:val="Footer"/>
    </w:pPr>
  </w:p>
  <w:p w:rsidR="008D4C0F" w:rsidRPr="004816D7" w:rsidRDefault="008D4C0F" w:rsidP="009F688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8D4C0F" w:rsidRPr="00EB388E" w:rsidTr="00DF743D">
      <w:trPr>
        <w:trHeight w:val="340"/>
      </w:trPr>
      <w:tc>
        <w:tcPr>
          <w:tcW w:w="8164" w:type="dxa"/>
          <w:tcBorders>
            <w:right w:val="single" w:sz="4" w:space="0" w:color="788184" w:themeColor="background2"/>
          </w:tcBorders>
          <w:vAlign w:val="center"/>
        </w:tcPr>
        <w:p w:rsidR="008D4C0F" w:rsidRPr="00CB70DF" w:rsidRDefault="00C11274" w:rsidP="00DF743D">
          <w:pPr>
            <w:pStyle w:val="FooterRight"/>
            <w:framePr w:wrap="auto" w:vAnchor="margin" w:hAnchor="text" w:xAlign="left" w:yAlign="inline"/>
          </w:pPr>
          <w:r>
            <w:fldChar w:fldCharType="begin"/>
          </w:r>
          <w:r>
            <w:instrText xml:space="preserve"> STYLEREF  "Heading 1 No Numbering"  \* MERGEFORMAT </w:instrText>
          </w:r>
          <w:r>
            <w:fldChar w:fldCharType="separate"/>
          </w:r>
          <w:r w:rsidR="008D4C0F">
            <w:rPr>
              <w:noProof/>
            </w:rPr>
            <w:t>Foreword</w:t>
          </w:r>
          <w:r>
            <w:rPr>
              <w:noProof/>
            </w:rPr>
            <w:fldChar w:fldCharType="end"/>
          </w:r>
        </w:p>
      </w:tc>
      <w:tc>
        <w:tcPr>
          <w:tcW w:w="567" w:type="dxa"/>
          <w:tcBorders>
            <w:left w:val="single" w:sz="4" w:space="0" w:color="788184" w:themeColor="background2"/>
          </w:tcBorders>
          <w:vAlign w:val="center"/>
        </w:tcPr>
        <w:p w:rsidR="008D4C0F" w:rsidRPr="00CB70DF" w:rsidRDefault="008D4C0F" w:rsidP="00DF743D">
          <w:pPr>
            <w:pStyle w:val="FooterRightPageNumber"/>
          </w:pPr>
          <w:r w:rsidRPr="00EB388E">
            <w:fldChar w:fldCharType="begin"/>
          </w:r>
          <w:r w:rsidRPr="00EB388E">
            <w:instrText xml:space="preserve"> PAGE   \* MERGEFORMAT </w:instrText>
          </w:r>
          <w:r w:rsidRPr="00EB388E">
            <w:fldChar w:fldCharType="separate"/>
          </w:r>
          <w:r>
            <w:t>i</w:t>
          </w:r>
          <w:r w:rsidRPr="00EB388E">
            <w:fldChar w:fldCharType="end"/>
          </w:r>
        </w:p>
      </w:tc>
    </w:tr>
    <w:tr w:rsidR="008D4C0F" w:rsidRPr="00EB388E" w:rsidTr="00DF743D">
      <w:trPr>
        <w:trHeight w:hRule="exact" w:val="403"/>
      </w:trPr>
      <w:tc>
        <w:tcPr>
          <w:tcW w:w="8164" w:type="dxa"/>
        </w:tcPr>
        <w:p w:rsidR="008D4C0F" w:rsidRPr="00090E70" w:rsidRDefault="008D4C0F" w:rsidP="00DF743D"/>
      </w:tc>
      <w:tc>
        <w:tcPr>
          <w:tcW w:w="567" w:type="dxa"/>
          <w:tcMar>
            <w:bottom w:w="284" w:type="dxa"/>
          </w:tcMar>
        </w:tcPr>
        <w:p w:rsidR="008D4C0F" w:rsidRPr="00090E70" w:rsidRDefault="008D4C0F" w:rsidP="00DF743D"/>
      </w:tc>
    </w:tr>
  </w:tbl>
  <w:p w:rsidR="008D4C0F" w:rsidRDefault="008D4C0F">
    <w:pPr>
      <w:pStyle w:val="Footer"/>
    </w:pPr>
  </w:p>
  <w:p w:rsidR="008D4C0F" w:rsidRPr="004816D7" w:rsidRDefault="008D4C0F" w:rsidP="009F688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8D4C0F" w:rsidRPr="00EB388E" w:rsidTr="00DF743D">
      <w:trPr>
        <w:trHeight w:val="340"/>
      </w:trPr>
      <w:tc>
        <w:tcPr>
          <w:tcW w:w="567" w:type="dxa"/>
          <w:tcBorders>
            <w:right w:val="single" w:sz="4" w:space="0" w:color="788184" w:themeColor="background2"/>
          </w:tcBorders>
          <w:vAlign w:val="center"/>
        </w:tcPr>
        <w:p w:rsidR="008D4C0F" w:rsidRPr="00CB70DF" w:rsidRDefault="008D4C0F" w:rsidP="00DF743D">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C11274">
            <w:rPr>
              <w:noProof/>
            </w:rPr>
            <w:t>10</w:t>
          </w:r>
          <w:r w:rsidRPr="00EB388E">
            <w:fldChar w:fldCharType="end"/>
          </w:r>
        </w:p>
      </w:tc>
      <w:tc>
        <w:tcPr>
          <w:tcW w:w="8164" w:type="dxa"/>
          <w:tcBorders>
            <w:left w:val="single" w:sz="4" w:space="0" w:color="788184" w:themeColor="background2"/>
          </w:tcBorders>
          <w:vAlign w:val="center"/>
        </w:tcPr>
        <w:p w:rsidR="008D4C0F" w:rsidRPr="00CB70DF" w:rsidRDefault="00C11274" w:rsidP="00DF743D">
          <w:pPr>
            <w:pStyle w:val="FooterLeft"/>
            <w:framePr w:wrap="auto" w:vAnchor="margin" w:hAnchor="text" w:yAlign="inline"/>
          </w:pPr>
          <w:r>
            <w:fldChar w:fldCharType="begin"/>
          </w:r>
          <w:r>
            <w:instrText xml:space="preserve"> STYLEREF  Title  \* MERGEFORMAT </w:instrText>
          </w:r>
          <w:r>
            <w:fldChar w:fldCharType="separate"/>
          </w:r>
          <w:r>
            <w:rPr>
              <w:noProof/>
            </w:rPr>
            <w:t>National Broadband Network</w:t>
          </w:r>
          <w:r>
            <w:rPr>
              <w:noProof/>
            </w:rPr>
            <w:fldChar w:fldCharType="end"/>
          </w:r>
        </w:p>
      </w:tc>
    </w:tr>
    <w:tr w:rsidR="008D4C0F" w:rsidRPr="00EB388E" w:rsidTr="00DF743D">
      <w:trPr>
        <w:trHeight w:hRule="exact" w:val="403"/>
      </w:trPr>
      <w:tc>
        <w:tcPr>
          <w:tcW w:w="567" w:type="dxa"/>
          <w:tcMar>
            <w:bottom w:w="284" w:type="dxa"/>
          </w:tcMar>
        </w:tcPr>
        <w:p w:rsidR="008D4C0F" w:rsidRPr="00EB388E" w:rsidRDefault="008D4C0F" w:rsidP="00DF743D">
          <w:pPr>
            <w:pStyle w:val="FooterRightPageNumber"/>
          </w:pPr>
        </w:p>
      </w:tc>
      <w:tc>
        <w:tcPr>
          <w:tcW w:w="8164" w:type="dxa"/>
          <w:tcMar>
            <w:bottom w:w="284" w:type="dxa"/>
          </w:tcMar>
        </w:tcPr>
        <w:p w:rsidR="008D4C0F" w:rsidRPr="00090E70" w:rsidRDefault="008D4C0F" w:rsidP="00DF743D"/>
      </w:tc>
    </w:tr>
  </w:tbl>
  <w:p w:rsidR="008D4C0F" w:rsidRDefault="008D4C0F">
    <w:pPr>
      <w:pStyle w:val="Footer"/>
    </w:pPr>
  </w:p>
  <w:p w:rsidR="008D4C0F" w:rsidRPr="004816D7" w:rsidRDefault="008D4C0F" w:rsidP="009F688D">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8D4C0F" w:rsidRPr="00EB388E" w:rsidTr="00DF743D">
      <w:trPr>
        <w:trHeight w:val="340"/>
      </w:trPr>
      <w:tc>
        <w:tcPr>
          <w:tcW w:w="8164" w:type="dxa"/>
          <w:tcBorders>
            <w:right w:val="single" w:sz="4" w:space="0" w:color="788184" w:themeColor="background2"/>
          </w:tcBorders>
          <w:vAlign w:val="center"/>
        </w:tcPr>
        <w:p w:rsidR="008D4C0F" w:rsidRPr="00CB70DF" w:rsidRDefault="00C11274" w:rsidP="00DF743D">
          <w:pPr>
            <w:pStyle w:val="FooterRight"/>
            <w:framePr w:wrap="auto" w:vAnchor="margin" w:hAnchor="text" w:xAlign="left" w:yAlign="inline"/>
          </w:pPr>
          <w:r>
            <w:fldChar w:fldCharType="begin"/>
          </w:r>
          <w:r>
            <w:instrText xml:space="preserve"> STYLEREF  "Heading 1"  \* MERGEFORMAT </w:instrText>
          </w:r>
          <w:r>
            <w:fldChar w:fldCharType="separate"/>
          </w:r>
          <w:r>
            <w:rPr>
              <w:noProof/>
            </w:rPr>
            <w:t>Budget risks</w:t>
          </w:r>
          <w:r>
            <w:rPr>
              <w:noProof/>
            </w:rPr>
            <w:fldChar w:fldCharType="end"/>
          </w:r>
        </w:p>
      </w:tc>
      <w:tc>
        <w:tcPr>
          <w:tcW w:w="567" w:type="dxa"/>
          <w:tcBorders>
            <w:left w:val="single" w:sz="4" w:space="0" w:color="788184" w:themeColor="background2"/>
          </w:tcBorders>
          <w:vAlign w:val="center"/>
        </w:tcPr>
        <w:p w:rsidR="008D4C0F" w:rsidRPr="00CB70DF" w:rsidRDefault="008D4C0F" w:rsidP="00DF743D">
          <w:pPr>
            <w:pStyle w:val="FooterRightPageNumber"/>
          </w:pPr>
          <w:r w:rsidRPr="00EB388E">
            <w:fldChar w:fldCharType="begin"/>
          </w:r>
          <w:r w:rsidRPr="00EB388E">
            <w:instrText xml:space="preserve"> PAGE   \* MERGEFORMAT </w:instrText>
          </w:r>
          <w:r w:rsidRPr="00EB388E">
            <w:fldChar w:fldCharType="separate"/>
          </w:r>
          <w:r w:rsidR="00C11274">
            <w:t>11</w:t>
          </w:r>
          <w:r w:rsidRPr="00EB388E">
            <w:fldChar w:fldCharType="end"/>
          </w:r>
        </w:p>
      </w:tc>
    </w:tr>
    <w:tr w:rsidR="008D4C0F" w:rsidRPr="00EB388E" w:rsidTr="00DF743D">
      <w:trPr>
        <w:trHeight w:hRule="exact" w:val="403"/>
      </w:trPr>
      <w:tc>
        <w:tcPr>
          <w:tcW w:w="8164" w:type="dxa"/>
        </w:tcPr>
        <w:p w:rsidR="008D4C0F" w:rsidRPr="00090E70" w:rsidRDefault="008D4C0F" w:rsidP="00DF743D"/>
      </w:tc>
      <w:tc>
        <w:tcPr>
          <w:tcW w:w="567" w:type="dxa"/>
          <w:tcMar>
            <w:bottom w:w="284" w:type="dxa"/>
          </w:tcMar>
        </w:tcPr>
        <w:p w:rsidR="008D4C0F" w:rsidRPr="00090E70" w:rsidRDefault="008D4C0F" w:rsidP="00DF743D"/>
      </w:tc>
    </w:tr>
  </w:tbl>
  <w:p w:rsidR="008D4C0F" w:rsidRDefault="008D4C0F">
    <w:pPr>
      <w:pStyle w:val="Footer"/>
    </w:pPr>
  </w:p>
  <w:p w:rsidR="008D4C0F" w:rsidRPr="004816D7" w:rsidRDefault="008D4C0F" w:rsidP="009F68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C0F" w:rsidRPr="000557A7" w:rsidRDefault="008D4C0F" w:rsidP="008D5A11">
      <w:pPr>
        <w:pBdr>
          <w:top w:val="single" w:sz="4" w:space="1" w:color="auto"/>
        </w:pBdr>
        <w:spacing w:before="240" w:line="60" w:lineRule="exact"/>
        <w:rPr>
          <w:sz w:val="16"/>
          <w:szCs w:val="16"/>
        </w:rPr>
      </w:pPr>
    </w:p>
  </w:footnote>
  <w:footnote w:type="continuationSeparator" w:id="0">
    <w:p w:rsidR="008D4C0F" w:rsidRDefault="008D4C0F" w:rsidP="00A20802">
      <w:pPr>
        <w:spacing w:line="240" w:lineRule="auto"/>
      </w:pPr>
      <w:r>
        <w:continuationSeparator/>
      </w:r>
    </w:p>
    <w:p w:rsidR="008D4C0F" w:rsidRDefault="008D4C0F"/>
  </w:footnote>
  <w:footnote w:id="1">
    <w:p w:rsidR="008D4C0F" w:rsidRPr="00A97264" w:rsidRDefault="008D4C0F">
      <w:pPr>
        <w:pStyle w:val="FootnoteText"/>
      </w:pPr>
      <w:r w:rsidRPr="00A97264">
        <w:footnoteRef/>
      </w:r>
      <w:r>
        <w:tab/>
        <w:t>The announcement followed the Government’s decision to terminate the NBN Request for Proposals process on the basis of advice that none of the national proposals offered value for money.</w:t>
      </w:r>
    </w:p>
  </w:footnote>
  <w:footnote w:id="2">
    <w:p w:rsidR="008D4C0F" w:rsidRPr="00084F61" w:rsidRDefault="008D4C0F" w:rsidP="004E535C">
      <w:pPr>
        <w:pStyle w:val="FootnoteText"/>
      </w:pPr>
      <w:r w:rsidRPr="00084F61">
        <w:footnoteRef/>
      </w:r>
      <w:r>
        <w:tab/>
        <w:t xml:space="preserve">Conroy, S (Minister for Broadband, Communications and the Digital Economy) and Wong, P (Minister for Finance and Deregulation) 2010, </w:t>
      </w:r>
      <w:r w:rsidRPr="009540FD">
        <w:rPr>
          <w:i/>
        </w:rPr>
        <w:t>Statement of Expectations</w:t>
      </w:r>
      <w:r>
        <w:t>, Commonwealth of Australia, 17 December 2010.</w:t>
      </w:r>
    </w:p>
  </w:footnote>
  <w:footnote w:id="3">
    <w:p w:rsidR="008D4C0F" w:rsidRPr="000D59FF" w:rsidRDefault="008D4C0F" w:rsidP="00C255DE">
      <w:pPr>
        <w:pStyle w:val="FootnoteText"/>
      </w:pPr>
      <w:r w:rsidRPr="000D59FF">
        <w:footnoteRef/>
      </w:r>
      <w:r>
        <w:tab/>
        <w:t>An NBN fibre to the premises (FTTP) connection is used in circumstances where an optic fibre line runs from the nearest available fibre node to the premises.  FTTP also requires an NBN network device to be installed in the premises.</w:t>
      </w:r>
    </w:p>
  </w:footnote>
  <w:footnote w:id="4">
    <w:p w:rsidR="008D4C0F" w:rsidRPr="008B3E2E" w:rsidRDefault="008D4C0F" w:rsidP="00A24314">
      <w:pPr>
        <w:pStyle w:val="FootnoteText"/>
      </w:pPr>
      <w:r w:rsidRPr="008B3E2E">
        <w:footnoteRef/>
      </w:r>
      <w:r>
        <w:tab/>
        <w:t xml:space="preserve">NBN Co Limited 2010, </w:t>
      </w:r>
      <w:r w:rsidRPr="009540FD">
        <w:rPr>
          <w:i/>
        </w:rPr>
        <w:t>Corporate Plan 2011</w:t>
      </w:r>
      <w:r>
        <w:rPr>
          <w:i/>
        </w:rPr>
        <w:t>–</w:t>
      </w:r>
      <w:r w:rsidRPr="009540FD">
        <w:rPr>
          <w:i/>
        </w:rPr>
        <w:t>2013</w:t>
      </w:r>
      <w:r>
        <w:t>, NBN Co Ltd, Sydney.  Average debt issuance per annum would be $1.9 billion over the six-year period from 2014–15 to 2020–21.</w:t>
      </w:r>
    </w:p>
  </w:footnote>
  <w:footnote w:id="5">
    <w:p w:rsidR="008D4C0F" w:rsidRPr="0000264B" w:rsidRDefault="008D4C0F">
      <w:pPr>
        <w:pStyle w:val="FootnoteText"/>
      </w:pPr>
      <w:r w:rsidRPr="00555368">
        <w:footnoteRef/>
      </w:r>
      <w:r>
        <w:tab/>
        <w:t>Ibid, p. 134.</w:t>
      </w:r>
    </w:p>
  </w:footnote>
  <w:footnote w:id="6">
    <w:p w:rsidR="008D4C0F" w:rsidRPr="00AF4F0B" w:rsidRDefault="008D4C0F">
      <w:pPr>
        <w:pStyle w:val="FootnoteText"/>
      </w:pPr>
      <w:r w:rsidRPr="00AF4F0B">
        <w:footnoteRef/>
      </w:r>
      <w:r>
        <w:tab/>
        <w:t>Hybrid Fibre Coaxial (HFC) is used in circumstances where an existing pay TV or cable network can be used to reach premises.  In this case, an HFC line runs from the nearest available fibre node to the premises.</w:t>
      </w:r>
    </w:p>
  </w:footnote>
  <w:footnote w:id="7">
    <w:p w:rsidR="008D4C0F" w:rsidRPr="00A82933" w:rsidRDefault="008D4C0F">
      <w:pPr>
        <w:pStyle w:val="FootnoteText"/>
      </w:pPr>
      <w:r w:rsidRPr="00A82933">
        <w:footnoteRef/>
      </w:r>
      <w:r>
        <w:tab/>
        <w:t xml:space="preserve">NBN Co Limited 2012, </w:t>
      </w:r>
      <w:r w:rsidRPr="009540FD">
        <w:rPr>
          <w:i/>
        </w:rPr>
        <w:t>Corporate Plan 2012–15</w:t>
      </w:r>
      <w:r>
        <w:t>, NBN Co Ltd, Sydney.</w:t>
      </w:r>
    </w:p>
  </w:footnote>
  <w:footnote w:id="8">
    <w:p w:rsidR="008D4C0F" w:rsidRPr="00A82933" w:rsidRDefault="008D4C0F" w:rsidP="00FC27E6">
      <w:pPr>
        <w:pStyle w:val="FootnoteText"/>
      </w:pPr>
      <w:r w:rsidRPr="00A82933">
        <w:footnoteRef/>
      </w:r>
      <w:r>
        <w:tab/>
        <w:t xml:space="preserve">NBN Co Limited 2013, </w:t>
      </w:r>
      <w:r w:rsidRPr="009540FD">
        <w:rPr>
          <w:i/>
        </w:rPr>
        <w:t>Strategic Review</w:t>
      </w:r>
      <w:r>
        <w:t>, NBN Co Ltd, Sydney.</w:t>
      </w:r>
    </w:p>
  </w:footnote>
  <w:footnote w:id="9">
    <w:p w:rsidR="008D4C0F" w:rsidRPr="007819F6" w:rsidRDefault="008D4C0F">
      <w:pPr>
        <w:pStyle w:val="FootnoteText"/>
      </w:pPr>
      <w:r w:rsidRPr="00555368">
        <w:footnoteRef/>
      </w:r>
      <w:r>
        <w:tab/>
        <w:t>Ibid, p. 68.</w:t>
      </w:r>
    </w:p>
  </w:footnote>
  <w:footnote w:id="10">
    <w:p w:rsidR="008D4C0F" w:rsidRPr="00215567" w:rsidRDefault="008D4C0F" w:rsidP="0002350A">
      <w:pPr>
        <w:pStyle w:val="FootnoteText"/>
      </w:pPr>
      <w:r w:rsidRPr="00215567">
        <w:footnoteRef/>
      </w:r>
      <w:r>
        <w:tab/>
        <w:t xml:space="preserve">Cormann, M (Minister for Finance) and Turnbull, M (Minister for Communications) 2014, </w:t>
      </w:r>
      <w:r w:rsidRPr="009540FD">
        <w:rPr>
          <w:i/>
        </w:rPr>
        <w:t>Statement of Expectations</w:t>
      </w:r>
      <w:r>
        <w:t>, Commonwealth of Australia, 8 April 2014.  Fibre to the node (FTTN) connections are used in circumstances where the existing copper network can be used to make the final part of the NBN connection from a nearby FTTN (street) cabinet or micro-node to the premises.  A fixed wireless connection involves data travelling from a transmission tower up to 14 kilometres from a premise to a rooftop antenna that has been fitted with an NBN installer.  A satellite connection is used for connecting some remote and rural locations: a satellite dish is installed on the premises and receives the NBN network signal from a satellite.</w:t>
      </w:r>
    </w:p>
  </w:footnote>
  <w:footnote w:id="11">
    <w:p w:rsidR="008D4C0F" w:rsidRPr="003F78FE" w:rsidRDefault="008D4C0F" w:rsidP="003463FF">
      <w:pPr>
        <w:pStyle w:val="FootnoteText"/>
      </w:pPr>
      <w:r w:rsidRPr="003F78FE">
        <w:footnoteRef/>
      </w:r>
      <w:r>
        <w:tab/>
        <w:t xml:space="preserve">NBN Co Limited 2014, </w:t>
      </w:r>
      <w:r w:rsidRPr="009540FD">
        <w:rPr>
          <w:i/>
        </w:rPr>
        <w:t>Corporate Plan 2014–17</w:t>
      </w:r>
      <w:r>
        <w:t>, NBN Co Ltd, Sydney, p. 50.</w:t>
      </w:r>
    </w:p>
  </w:footnote>
  <w:footnote w:id="12">
    <w:p w:rsidR="008D4C0F" w:rsidRPr="003672DA" w:rsidRDefault="008D4C0F">
      <w:pPr>
        <w:pStyle w:val="FootnoteText"/>
      </w:pPr>
      <w:r w:rsidRPr="00555368">
        <w:footnoteRef/>
      </w:r>
      <w:r>
        <w:tab/>
        <w:t xml:space="preserve">NBN Co Limited 2013, </w:t>
      </w:r>
      <w:r w:rsidRPr="009540FD">
        <w:rPr>
          <w:i/>
        </w:rPr>
        <w:t>Strategic Review</w:t>
      </w:r>
      <w:r>
        <w:t>, NBN Co Ltd, Sydney, p. 17 and p. 107.</w:t>
      </w:r>
    </w:p>
  </w:footnote>
  <w:footnote w:id="13">
    <w:p w:rsidR="008D4C0F" w:rsidRPr="007D1606" w:rsidRDefault="008D4C0F">
      <w:pPr>
        <w:pStyle w:val="FootnoteText"/>
      </w:pPr>
      <w:r w:rsidRPr="00555368">
        <w:footnoteRef/>
      </w:r>
      <w:r>
        <w:tab/>
        <w:t xml:space="preserve">NBN Co Limited 2015, </w:t>
      </w:r>
      <w:r w:rsidRPr="009540FD">
        <w:rPr>
          <w:i/>
        </w:rPr>
        <w:t>Corporate Plan 2016</w:t>
      </w:r>
      <w:r>
        <w:t>, NBN Co Ltd, Sydney, p. 70.</w:t>
      </w:r>
    </w:p>
  </w:footnote>
  <w:footnote w:id="14">
    <w:p w:rsidR="008D4C0F" w:rsidRPr="000203E9" w:rsidRDefault="008D4C0F" w:rsidP="007E725A">
      <w:pPr>
        <w:pStyle w:val="FootnoteText"/>
      </w:pPr>
      <w:r w:rsidRPr="00555368">
        <w:footnoteRef/>
      </w:r>
      <w:r>
        <w:tab/>
        <w:t xml:space="preserve">NBN Co Limited 2016, </w:t>
      </w:r>
      <w:r w:rsidRPr="009540FD">
        <w:rPr>
          <w:i/>
        </w:rPr>
        <w:t>Corporate Plan 2017</w:t>
      </w:r>
      <w:r>
        <w:t>, NBN Co Ltd, Sydney, p. 54.</w:t>
      </w:r>
    </w:p>
  </w:footnote>
  <w:footnote w:id="15">
    <w:p w:rsidR="008D4C0F" w:rsidRPr="008D351F" w:rsidRDefault="008D4C0F" w:rsidP="002910CB">
      <w:pPr>
        <w:pStyle w:val="FootnoteText"/>
      </w:pPr>
      <w:r w:rsidRPr="00D101FE">
        <w:footnoteRef/>
      </w:r>
      <w:r>
        <w:tab/>
        <w:t>Cormann, M (</w:t>
      </w:r>
      <w:r w:rsidRPr="00DF5A63">
        <w:t>Minister for Finance</w:t>
      </w:r>
      <w:r>
        <w:t>)</w:t>
      </w:r>
      <w:r w:rsidRPr="00DF5A63">
        <w:t xml:space="preserve"> </w:t>
      </w:r>
      <w:r>
        <w:t>and Fifield, M (</w:t>
      </w:r>
      <w:r w:rsidRPr="00DF5A63">
        <w:t>Minister for Communications</w:t>
      </w:r>
      <w:r>
        <w:t>) 2016,</w:t>
      </w:r>
      <w:r w:rsidRPr="00DF5A63">
        <w:t xml:space="preserve"> </w:t>
      </w:r>
      <w:r>
        <w:t>‘</w:t>
      </w:r>
      <w:r w:rsidRPr="009540FD">
        <w:t>Government loan secures NBN rollout</w:t>
      </w:r>
      <w:r>
        <w:t xml:space="preserve">’, </w:t>
      </w:r>
      <w:r>
        <w:rPr>
          <w:i/>
        </w:rPr>
        <w:t>Joint Media Release,</w:t>
      </w:r>
      <w:r>
        <w:t xml:space="preserve"> Commonwealth of Australia, 18 November 2016</w:t>
      </w:r>
    </w:p>
  </w:footnote>
  <w:footnote w:id="16">
    <w:p w:rsidR="008D4C0F" w:rsidRPr="00460E9A" w:rsidRDefault="008D4C0F">
      <w:pPr>
        <w:pStyle w:val="FootnoteText"/>
      </w:pPr>
      <w:r w:rsidRPr="00460E9A">
        <w:footnoteRef/>
      </w:r>
      <w:r>
        <w:tab/>
        <w:t xml:space="preserve">The fair value of </w:t>
      </w:r>
      <w:r w:rsidRPr="00460E9A">
        <w:t xml:space="preserve">the Commonwealth’s investment in NBN Co is </w:t>
      </w:r>
      <w:r>
        <w:t>reported in the</w:t>
      </w:r>
      <w:r w:rsidRPr="00460E9A">
        <w:t xml:space="preserve"> Department of Communications and the Arts</w:t>
      </w:r>
      <w:r>
        <w:t>’</w:t>
      </w:r>
      <w:r w:rsidRPr="00460E9A">
        <w:t xml:space="preserve"> </w:t>
      </w:r>
      <w:r>
        <w:t>a</w:t>
      </w:r>
      <w:r w:rsidRPr="00460E9A">
        <w:t xml:space="preserve">nnual </w:t>
      </w:r>
      <w:r>
        <w:t>r</w:t>
      </w:r>
      <w:r w:rsidRPr="00460E9A">
        <w:t>eport</w:t>
      </w:r>
      <w:r w:rsidR="00D34076">
        <w:t>s.</w:t>
      </w:r>
    </w:p>
  </w:footnote>
  <w:footnote w:id="17">
    <w:p w:rsidR="008D4C0F" w:rsidRPr="00831159" w:rsidRDefault="008D4C0F" w:rsidP="00F47363">
      <w:pPr>
        <w:pStyle w:val="FootnoteText"/>
      </w:pPr>
      <w:r w:rsidRPr="00A57C35">
        <w:footnoteRef/>
      </w:r>
      <w:r>
        <w:tab/>
        <w:t>The remaining</w:t>
      </w:r>
      <w:r w:rsidRPr="00831159">
        <w:t xml:space="preserve"> equity funding </w:t>
      </w:r>
      <w:r>
        <w:t xml:space="preserve">contribution of $9,225 million is expected to be drawn down in 2016–17, resulting in the equity </w:t>
      </w:r>
      <w:r w:rsidRPr="00831159">
        <w:t xml:space="preserve">capital limit </w:t>
      </w:r>
      <w:r>
        <w:t>of</w:t>
      </w:r>
      <w:r w:rsidRPr="00831159">
        <w:t xml:space="preserve"> $29.5 billion </w:t>
      </w:r>
      <w:r>
        <w:t>being reached in that year.</w:t>
      </w:r>
    </w:p>
  </w:footnote>
  <w:footnote w:id="18">
    <w:p w:rsidR="008D4C0F" w:rsidRPr="008A522B" w:rsidRDefault="008D4C0F" w:rsidP="00A93642">
      <w:pPr>
        <w:pStyle w:val="FootnoteText"/>
      </w:pPr>
      <w:r w:rsidRPr="008A522B">
        <w:footnoteRef/>
      </w:r>
      <w:r>
        <w:tab/>
        <w:t>Note that accumulated total losses equal revenue minus expenses plus ‘income tax (expense)/benefit’.</w:t>
      </w:r>
    </w:p>
  </w:footnote>
  <w:footnote w:id="19">
    <w:p w:rsidR="008D4C0F" w:rsidRPr="00720AB1" w:rsidRDefault="008D4C0F">
      <w:pPr>
        <w:pStyle w:val="FootnoteText"/>
      </w:pPr>
      <w:r w:rsidRPr="00720AB1">
        <w:footnoteRef/>
      </w:r>
      <w:r>
        <w:tab/>
        <w:t xml:space="preserve">Department of Communications and the Arts 2016, </w:t>
      </w:r>
      <w:r w:rsidRPr="009540FD">
        <w:rPr>
          <w:i/>
        </w:rPr>
        <w:t>Annual Report 2015–16</w:t>
      </w:r>
      <w:r>
        <w:t>, Communications, Canberra, p. 112.  These adjustments were applied by the Department of Communications and the Arts to reflect NBN Co property, plant and equipment at fair value.  The discounting of leave and superannuation liabilities was adjusted by applying the Government bond rate.</w:t>
      </w:r>
    </w:p>
  </w:footnote>
  <w:footnote w:id="20">
    <w:p w:rsidR="008D4C0F" w:rsidRPr="00A57C35" w:rsidRDefault="008D4C0F">
      <w:pPr>
        <w:pStyle w:val="FootnoteText"/>
      </w:pPr>
      <w:r w:rsidRPr="00A57C35">
        <w:footnoteRef/>
      </w:r>
      <w:r>
        <w:tab/>
        <w:t xml:space="preserve">Interest receipts are not expected to be received by the Commonwealth until the loan starts being drawn down by NBN Co in 2017–18. </w:t>
      </w:r>
    </w:p>
  </w:footnote>
  <w:footnote w:id="21">
    <w:p w:rsidR="008D4C0F" w:rsidRPr="00163373" w:rsidRDefault="008D4C0F">
      <w:pPr>
        <w:pStyle w:val="FootnoteText"/>
      </w:pPr>
      <w:r w:rsidRPr="00EB4B9D">
        <w:footnoteRef/>
      </w:r>
      <w:r>
        <w:tab/>
        <w:t>The Government has stated that NBN Co ‘</w:t>
      </w:r>
      <w:r w:rsidRPr="00163373">
        <w:t xml:space="preserve">has recently obtained strong indicative credit ratings from credit agencies, which shows that </w:t>
      </w:r>
      <w:r>
        <w:t>[NBN Co’s]</w:t>
      </w:r>
      <w:r w:rsidRPr="00163373">
        <w:t xml:space="preserve"> business case is strong</w:t>
      </w:r>
      <w:r>
        <w:t>’.  Cormann, M (</w:t>
      </w:r>
      <w:r w:rsidRPr="00DF5A63">
        <w:t>Minister for Finance</w:t>
      </w:r>
      <w:r>
        <w:t>)</w:t>
      </w:r>
      <w:r w:rsidRPr="00DF5A63">
        <w:t xml:space="preserve"> </w:t>
      </w:r>
      <w:r>
        <w:t>and Fifield, M (</w:t>
      </w:r>
      <w:r w:rsidRPr="00DF5A63">
        <w:t>Minister for Communications</w:t>
      </w:r>
      <w:r>
        <w:t>) 2016,</w:t>
      </w:r>
      <w:r w:rsidRPr="00DF5A63">
        <w:t xml:space="preserve"> </w:t>
      </w:r>
      <w:r>
        <w:t>‘</w:t>
      </w:r>
      <w:r w:rsidRPr="009540FD">
        <w:t>Government loan secures NBN rollout</w:t>
      </w:r>
      <w:r>
        <w:t xml:space="preserve">’, </w:t>
      </w:r>
      <w:r>
        <w:rPr>
          <w:i/>
        </w:rPr>
        <w:t>Joint Media Release,</w:t>
      </w:r>
      <w:r>
        <w:t xml:space="preserve"> Commonwealth of Australia, 18 November 2016</w:t>
      </w:r>
    </w:p>
  </w:footnote>
  <w:footnote w:id="22">
    <w:p w:rsidR="008D4C0F" w:rsidRPr="008E1F7B" w:rsidRDefault="008D4C0F">
      <w:pPr>
        <w:pStyle w:val="FootnoteText"/>
      </w:pPr>
      <w:r w:rsidRPr="00555368">
        <w:footnoteRef/>
      </w:r>
      <w:r>
        <w:tab/>
        <w:t xml:space="preserve">Commonwealth of Australia 2015, </w:t>
      </w:r>
      <w:r w:rsidRPr="009540FD">
        <w:rPr>
          <w:i/>
        </w:rPr>
        <w:t>Consolidated Financial Statements for the year ended 30 June 2015</w:t>
      </w:r>
      <w:r>
        <w:t>, Department of Finance, Canberra, p. 130.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C0F" w:rsidRDefault="008D4C0F">
    <w:pPr>
      <w:pStyle w:val="Header"/>
    </w:pPr>
    <w:r>
      <w:rPr>
        <w:noProof/>
        <w:lang w:eastAsia="en-AU"/>
      </w:rPr>
      <mc:AlternateContent>
        <mc:Choice Requires="wps">
          <w:drawing>
            <wp:anchor distT="0" distB="0" distL="114300" distR="114300" simplePos="0" relativeHeight="251663360" behindDoc="1" locked="1" layoutInCell="1" allowOverlap="1" wp14:anchorId="7A1AE0DE" wp14:editId="7431981C">
              <wp:simplePos x="0" y="0"/>
              <wp:positionH relativeFrom="page">
                <wp:align>center</wp:align>
              </wp:positionH>
              <wp:positionV relativeFrom="page">
                <wp:align>center</wp:align>
              </wp:positionV>
              <wp:extent cx="7560000" cy="1796400"/>
              <wp:effectExtent l="0" t="0" r="0" b="0"/>
              <wp:wrapNone/>
              <wp:docPr id="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C0F" w:rsidRPr="0001226A" w:rsidRDefault="008D4C0F"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30" type="#_x0000_t202" style="position:absolute;margin-left:0;margin-top:0;width:595.3pt;height:141.45pt;z-index:-2516531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IOtgIAALw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" filled="f" stroked="f">
              <v:textbox>
                <w:txbxContent>
                  <w:p w:rsidR="008D4C0F" w:rsidRPr="0001226A" w:rsidRDefault="008D4C0F" w:rsidP="00F45442">
                    <w:pPr>
                      <w:pStyle w:val="xStatus"/>
                      <w:rPr>
                        <w:szCs w:val="120"/>
                      </w:rPr>
                    </w:pPr>
                  </w:p>
                </w:txbxContent>
              </v:textbox>
              <w10:wrap anchorx="page" anchory="page"/>
              <w10:anchorlock/>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C0F" w:rsidRDefault="008D4C0F" w:rsidP="00DF743D">
    <w:pPr>
      <w:pStyle w:val="Header"/>
    </w:pPr>
  </w:p>
  <w:p w:rsidR="008D4C0F" w:rsidRPr="00DF743D" w:rsidRDefault="008D4C0F" w:rsidP="00DF743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C0F" w:rsidRDefault="008D4C0F" w:rsidP="00DF743D">
    <w:pPr>
      <w:pStyle w:val="Header"/>
    </w:pPr>
    <w:r>
      <w:rPr>
        <w:noProof/>
        <w:lang w:eastAsia="en-AU"/>
      </w:rPr>
      <mc:AlternateContent>
        <mc:Choice Requires="wps">
          <w:drawing>
            <wp:anchor distT="0" distB="0" distL="114300" distR="114300" simplePos="0" relativeHeight="251691008" behindDoc="1" locked="1" layoutInCell="1" allowOverlap="1" wp14:anchorId="50428A8C" wp14:editId="23CA0BFB">
              <wp:simplePos x="0" y="0"/>
              <wp:positionH relativeFrom="page">
                <wp:align>center</wp:align>
              </wp:positionH>
              <wp:positionV relativeFrom="page">
                <wp:align>center</wp:align>
              </wp:positionV>
              <wp:extent cx="7560000" cy="1796400"/>
              <wp:effectExtent l="0" t="0" r="0" b="0"/>
              <wp:wrapNone/>
              <wp:docPr id="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C0F" w:rsidRPr="0001226A" w:rsidRDefault="008D4C0F" w:rsidP="00DF743D">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0;margin-top:0;width:595.3pt;height:141.45pt;z-index:-25162547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JkOn7u6AgAA&#10;xAUAAA4AAAAAAAAAAAAAAAAALgIAAGRycy9lMm9Eb2MueG1sUEsBAi0AFAAGAAgAAAAhADTFRM7b&#10;AAAABgEAAA8AAAAAAAAAAAAAAAAAFAUAAGRycy9kb3ducmV2LnhtbFBLBQYAAAAABAAEAPMAAAAc&#10;BgAAAAA=&#10;" filled="f" stroked="f">
              <v:textbox>
                <w:txbxContent>
                  <w:p w:rsidR="008D4C0F" w:rsidRPr="0001226A" w:rsidRDefault="008D4C0F" w:rsidP="00DF743D">
                    <w:pPr>
                      <w:pStyle w:val="xStatus"/>
                      <w:rPr>
                        <w:szCs w:val="120"/>
                      </w:rPr>
                    </w:pPr>
                  </w:p>
                </w:txbxContent>
              </v:textbox>
              <w10:wrap anchorx="page" anchory="page"/>
              <w10:anchorlock/>
            </v:shape>
          </w:pict>
        </mc:Fallback>
      </mc:AlternateContent>
    </w:r>
  </w:p>
  <w:p w:rsidR="008D4C0F" w:rsidRPr="00DF743D" w:rsidRDefault="008D4C0F" w:rsidP="00DF743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C0F" w:rsidRDefault="008D4C0F" w:rsidP="00DF743D">
    <w:pPr>
      <w:pStyle w:val="Header"/>
    </w:pPr>
  </w:p>
  <w:p w:rsidR="008D4C0F" w:rsidRPr="00DF743D" w:rsidRDefault="008D4C0F" w:rsidP="00DF743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C0F" w:rsidRDefault="008D4C0F" w:rsidP="00DF743D">
    <w:pPr>
      <w:pStyle w:val="Header"/>
    </w:pPr>
  </w:p>
  <w:p w:rsidR="008D4C0F" w:rsidRPr="00DF743D" w:rsidRDefault="008D4C0F" w:rsidP="00DF74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C0F" w:rsidRDefault="008D4C0F">
    <w:pPr>
      <w:pStyle w:val="Header"/>
    </w:pPr>
    <w:r>
      <w:rPr>
        <w:noProof/>
        <w:lang w:eastAsia="en-AU"/>
      </w:rPr>
      <mc:AlternateContent>
        <mc:Choice Requires="wps">
          <w:drawing>
            <wp:anchor distT="0" distB="0" distL="114300" distR="114300" simplePos="0" relativeHeight="251665408" behindDoc="1" locked="1" layoutInCell="1" allowOverlap="1" wp14:anchorId="2DA566EE" wp14:editId="3D6A7C92">
              <wp:simplePos x="0" y="0"/>
              <wp:positionH relativeFrom="page">
                <wp:align>center</wp:align>
              </wp:positionH>
              <wp:positionV relativeFrom="page">
                <wp:align>center</wp:align>
              </wp:positionV>
              <wp:extent cx="7560000" cy="1796400"/>
              <wp:effectExtent l="0" t="0" r="0" b="0"/>
              <wp:wrapNone/>
              <wp:docPr id="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C0F" w:rsidRPr="0001226A" w:rsidRDefault="008D4C0F"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0;margin-top:0;width:595.3pt;height:141.45pt;z-index:-25165107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IeAB0W6AgAA&#10;wwUAAA4AAAAAAAAAAAAAAAAALgIAAGRycy9lMm9Eb2MueG1sUEsBAi0AFAAGAAgAAAAhADTFRM7b&#10;AAAABgEAAA8AAAAAAAAAAAAAAAAAFAUAAGRycy9kb3ducmV2LnhtbFBLBQYAAAAABAAEAPMAAAAc&#10;BgAAAAA=&#10;" filled="f" stroked="f">
              <v:textbox>
                <w:txbxContent>
                  <w:p w:rsidR="008D4C0F" w:rsidRPr="0001226A" w:rsidRDefault="008D4C0F" w:rsidP="00F45442">
                    <w:pPr>
                      <w:pStyle w:val="xStatus"/>
                      <w:rPr>
                        <w:szCs w:val="120"/>
                      </w:rPr>
                    </w:pP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C0F" w:rsidRDefault="008D4C0F">
    <w:pPr>
      <w:pStyle w:val="Header"/>
    </w:pPr>
    <w:r>
      <w:rPr>
        <w:noProof/>
        <w:lang w:eastAsia="en-AU"/>
      </w:rPr>
      <w:drawing>
        <wp:anchor distT="0" distB="0" distL="114300" distR="114300" simplePos="0" relativeHeight="251674624" behindDoc="1" locked="0" layoutInCell="1" allowOverlap="1" wp14:anchorId="3939CB26" wp14:editId="79335009">
          <wp:simplePos x="0" y="0"/>
          <wp:positionH relativeFrom="page">
            <wp:posOffset>0</wp:posOffset>
          </wp:positionH>
          <wp:positionV relativeFrom="page">
            <wp:posOffset>0</wp:posOffset>
          </wp:positionV>
          <wp:extent cx="7563600" cy="10695600"/>
          <wp:effectExtent l="0" t="0" r="0" b="0"/>
          <wp:wrapNone/>
          <wp:docPr id="10" name="Picture 10"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1312" behindDoc="1" locked="1" layoutInCell="1" allowOverlap="1" wp14:anchorId="4092644D" wp14:editId="4B1EC18D">
              <wp:simplePos x="0" y="0"/>
              <wp:positionH relativeFrom="page">
                <wp:align>center</wp:align>
              </wp:positionH>
              <wp:positionV relativeFrom="page">
                <wp:align>center</wp:align>
              </wp:positionV>
              <wp:extent cx="7560000" cy="1796400"/>
              <wp:effectExtent l="0" t="0" r="0" b="0"/>
              <wp:wrapNone/>
              <wp:docPr id="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C0F" w:rsidRPr="0001226A" w:rsidRDefault="008D4C0F"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0;margin-top:0;width:595.3pt;height:141.45pt;z-index:-2516551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Gtyw5K6AgAA&#10;wwUAAA4AAAAAAAAAAAAAAAAALgIAAGRycy9lMm9Eb2MueG1sUEsBAi0AFAAGAAgAAAAhADTFRM7b&#10;AAAABgEAAA8AAAAAAAAAAAAAAAAAFAUAAGRycy9kb3ducmV2LnhtbFBLBQYAAAAABAAEAPMAAAAc&#10;BgAAAAA=&#10;" filled="f" stroked="f">
              <v:textbox>
                <w:txbxContent>
                  <w:p w:rsidR="008D4C0F" w:rsidRPr="0001226A" w:rsidRDefault="008D4C0F" w:rsidP="00F45442">
                    <w:pPr>
                      <w:pStyle w:val="xStatus"/>
                      <w:rPr>
                        <w:szCs w:val="120"/>
                      </w:rPr>
                    </w:pPr>
                  </w:p>
                </w:txbxContent>
              </v:textbox>
              <w10:wrap anchorx="page" anchory="pag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C0F" w:rsidRDefault="008D4C0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C0F" w:rsidRDefault="008D4C0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C0F" w:rsidRDefault="008D4C0F" w:rsidP="00DF743D">
    <w:pPr>
      <w:pStyle w:val="Header"/>
    </w:pPr>
    <w:r>
      <w:rPr>
        <w:noProof/>
        <w:lang w:eastAsia="en-AU"/>
      </w:rPr>
      <mc:AlternateContent>
        <mc:Choice Requires="wps">
          <w:drawing>
            <wp:anchor distT="0" distB="0" distL="114300" distR="114300" simplePos="0" relativeHeight="251684864" behindDoc="1" locked="1" layoutInCell="1" allowOverlap="1" wp14:anchorId="6B6884B3" wp14:editId="23B7C3EF">
              <wp:simplePos x="0" y="0"/>
              <wp:positionH relativeFrom="page">
                <wp:align>center</wp:align>
              </wp:positionH>
              <wp:positionV relativeFrom="page">
                <wp:align>center</wp:align>
              </wp:positionV>
              <wp:extent cx="7560000" cy="1796400"/>
              <wp:effectExtent l="0" t="0" r="0" b="0"/>
              <wp:wrapNone/>
              <wp:docPr id="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C0F" w:rsidRPr="0001226A" w:rsidRDefault="008D4C0F" w:rsidP="00DF743D">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0;margin-top:0;width:595.3pt;height:141.45pt;z-index:-2516316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MqjOo+6AgAA&#10;wwUAAA4AAAAAAAAAAAAAAAAALgIAAGRycy9lMm9Eb2MueG1sUEsBAi0AFAAGAAgAAAAhADTFRM7b&#10;AAAABgEAAA8AAAAAAAAAAAAAAAAAFAUAAGRycy9kb3ducmV2LnhtbFBLBQYAAAAABAAEAPMAAAAc&#10;BgAAAAA=&#10;" filled="f" stroked="f">
              <v:textbox>
                <w:txbxContent>
                  <w:p w:rsidR="008D4C0F" w:rsidRPr="0001226A" w:rsidRDefault="008D4C0F" w:rsidP="00DF743D">
                    <w:pPr>
                      <w:pStyle w:val="xStatus"/>
                      <w:rPr>
                        <w:szCs w:val="120"/>
                      </w:rPr>
                    </w:pPr>
                  </w:p>
                </w:txbxContent>
              </v:textbox>
              <w10:wrap anchorx="page" anchory="page"/>
              <w10:anchorlock/>
            </v:shape>
          </w:pict>
        </mc:Fallback>
      </mc:AlternateContent>
    </w:r>
  </w:p>
  <w:p w:rsidR="008D4C0F" w:rsidRPr="00DF743D" w:rsidRDefault="008D4C0F" w:rsidP="00DF743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C0F" w:rsidRDefault="008D4C0F" w:rsidP="00DF743D">
    <w:pPr>
      <w:pStyle w:val="Header"/>
    </w:pPr>
  </w:p>
  <w:p w:rsidR="008D4C0F" w:rsidRPr="00DF743D" w:rsidRDefault="008D4C0F" w:rsidP="00DF743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C0F" w:rsidRDefault="008D4C0F" w:rsidP="00DF743D">
    <w:pPr>
      <w:pStyle w:val="Header"/>
    </w:pPr>
    <w:r>
      <w:rPr>
        <w:noProof/>
        <w:lang w:eastAsia="en-AU"/>
      </w:rPr>
      <mc:AlternateContent>
        <mc:Choice Requires="wps">
          <w:drawing>
            <wp:anchor distT="0" distB="0" distL="114300" distR="114300" simplePos="0" relativeHeight="251688960" behindDoc="1" locked="1" layoutInCell="1" allowOverlap="1" wp14:anchorId="09E712F9" wp14:editId="00CF974E">
              <wp:simplePos x="0" y="0"/>
              <wp:positionH relativeFrom="page">
                <wp:align>center</wp:align>
              </wp:positionH>
              <wp:positionV relativeFrom="page">
                <wp:align>center</wp:align>
              </wp:positionV>
              <wp:extent cx="7560000" cy="1796400"/>
              <wp:effectExtent l="0" t="0" r="0" b="0"/>
              <wp:wrapNone/>
              <wp:docPr id="1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C0F" w:rsidRPr="0001226A" w:rsidRDefault="008D4C0F" w:rsidP="00DF743D">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0;margin-top:0;width:595.3pt;height:141.45pt;z-index:-2516275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O+2mOy6AgAA&#10;xAUAAA4AAAAAAAAAAAAAAAAALgIAAGRycy9lMm9Eb2MueG1sUEsBAi0AFAAGAAgAAAAhADTFRM7b&#10;AAAABgEAAA8AAAAAAAAAAAAAAAAAFAUAAGRycy9kb3ducmV2LnhtbFBLBQYAAAAABAAEAPMAAAAc&#10;BgAAAAA=&#10;" filled="f" stroked="f">
              <v:textbox>
                <w:txbxContent>
                  <w:p w:rsidR="008D4C0F" w:rsidRPr="0001226A" w:rsidRDefault="008D4C0F" w:rsidP="00DF743D">
                    <w:pPr>
                      <w:pStyle w:val="xStatus"/>
                      <w:rPr>
                        <w:szCs w:val="120"/>
                      </w:rPr>
                    </w:pPr>
                  </w:p>
                </w:txbxContent>
              </v:textbox>
              <w10:wrap anchorx="page" anchory="page"/>
              <w10:anchorlock/>
            </v:shape>
          </w:pict>
        </mc:Fallback>
      </mc:AlternateContent>
    </w:r>
  </w:p>
  <w:p w:rsidR="008D4C0F" w:rsidRPr="00DF743D" w:rsidRDefault="008D4C0F" w:rsidP="00DF743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C0F" w:rsidRDefault="008D4C0F" w:rsidP="00DF743D">
    <w:pPr>
      <w:pStyle w:val="Header"/>
    </w:pPr>
  </w:p>
  <w:p w:rsidR="008D4C0F" w:rsidRPr="00DF743D" w:rsidRDefault="008D4C0F" w:rsidP="00DF74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37FE"/>
    <w:multiLevelType w:val="multilevel"/>
    <w:tmpl w:val="D1A2BED4"/>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
    <w:nsid w:val="0D745448"/>
    <w:multiLevelType w:val="multilevel"/>
    <w:tmpl w:val="CABC0242"/>
    <w:lvl w:ilvl="0">
      <w:start w:val="1"/>
      <w:numFmt w:val="decimal"/>
      <w:pStyle w:val="Heading1"/>
      <w:lvlText w:val="%1"/>
      <w:lvlJc w:val="left"/>
      <w:pPr>
        <w:ind w:left="765" w:hanging="765"/>
      </w:pPr>
      <w:rPr>
        <w:rFonts w:hint="default"/>
      </w:rPr>
    </w:lvl>
    <w:lvl w:ilvl="1">
      <w:start w:val="1"/>
      <w:numFmt w:val="decimal"/>
      <w:pStyle w:val="Heading2"/>
      <w:lvlText w:val="%1.%2"/>
      <w:lvlJc w:val="left"/>
      <w:pPr>
        <w:ind w:left="907" w:hanging="765"/>
      </w:pPr>
      <w:rPr>
        <w:rFonts w:hint="default"/>
      </w:rPr>
    </w:lvl>
    <w:lvl w:ilvl="2">
      <w:start w:val="1"/>
      <w:numFmt w:val="decimal"/>
      <w:pStyle w:val="Heading3"/>
      <w:lvlText w:val="%1.%2.%3"/>
      <w:lvlJc w:val="left"/>
      <w:pPr>
        <w:ind w:left="1474" w:hanging="765"/>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2">
    <w:nsid w:val="0FB2573F"/>
    <w:multiLevelType w:val="multilevel"/>
    <w:tmpl w:val="5E2E8A7A"/>
    <w:name w:val="TableFootnotes"/>
    <w:lvl w:ilvl="0">
      <w:start w:val="1"/>
      <w:numFmt w:val="lowerLetter"/>
      <w:pStyle w:val="TableFootnotes"/>
      <w:lvlText w:val="%1"/>
      <w:lvlJc w:val="left"/>
      <w:pPr>
        <w:ind w:left="360" w:hanging="360"/>
      </w:pPr>
      <w:rPr>
        <w:b w:val="0"/>
        <w:bCs w:val="0"/>
        <w:i w:val="0"/>
        <w:iCs w:val="0"/>
        <w:caps w:val="0"/>
        <w:smallCaps w:val="0"/>
        <w:strike w:val="0"/>
        <w:dstrike w:val="0"/>
        <w:outline w:val="0"/>
        <w:shadow w:val="0"/>
        <w:emboss w:val="0"/>
        <w:imprint w:val="0"/>
        <w:noProof w:val="0"/>
        <w:vanish w:val="0"/>
        <w:spacing w:val="0"/>
        <w:position w:val="0"/>
        <w:u w:val="none"/>
        <w:effect w:val="none"/>
        <w:vertAlign w:val="superscript"/>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3">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4">
    <w:nsid w:val="1E4916D8"/>
    <w:multiLevelType w:val="multilevel"/>
    <w:tmpl w:val="3702D7B2"/>
    <w:lvl w:ilvl="0">
      <w:start w:val="2"/>
      <w:numFmt w:val="decimal"/>
      <w:lvlText w:val="%1"/>
      <w:lvlJc w:val="left"/>
      <w:pPr>
        <w:ind w:left="360" w:hanging="360"/>
      </w:pPr>
      <w:rPr>
        <w:rFonts w:eastAsiaTheme="minorHAnsi" w:hint="default"/>
        <w:u w:val="single"/>
      </w:rPr>
    </w:lvl>
    <w:lvl w:ilvl="1">
      <w:start w:val="4"/>
      <w:numFmt w:val="decimal"/>
      <w:lvlText w:val="%1.%2"/>
      <w:lvlJc w:val="left"/>
      <w:pPr>
        <w:ind w:left="1174" w:hanging="720"/>
      </w:pPr>
      <w:rPr>
        <w:rFonts w:eastAsiaTheme="minorHAnsi" w:hint="default"/>
        <w:u w:val="single"/>
      </w:rPr>
    </w:lvl>
    <w:lvl w:ilvl="2">
      <w:start w:val="1"/>
      <w:numFmt w:val="decimal"/>
      <w:lvlText w:val="%1.%2.%3"/>
      <w:lvlJc w:val="left"/>
      <w:pPr>
        <w:ind w:left="1988" w:hanging="1080"/>
      </w:pPr>
      <w:rPr>
        <w:rFonts w:eastAsiaTheme="minorHAnsi" w:hint="default"/>
        <w:u w:val="single"/>
      </w:rPr>
    </w:lvl>
    <w:lvl w:ilvl="3">
      <w:start w:val="1"/>
      <w:numFmt w:val="decimal"/>
      <w:lvlText w:val="%1.%2.%3.%4"/>
      <w:lvlJc w:val="left"/>
      <w:pPr>
        <w:ind w:left="2802" w:hanging="1440"/>
      </w:pPr>
      <w:rPr>
        <w:rFonts w:eastAsiaTheme="minorHAnsi" w:hint="default"/>
        <w:u w:val="single"/>
      </w:rPr>
    </w:lvl>
    <w:lvl w:ilvl="4">
      <w:start w:val="1"/>
      <w:numFmt w:val="decimal"/>
      <w:lvlText w:val="%1.%2.%3.%4.%5"/>
      <w:lvlJc w:val="left"/>
      <w:pPr>
        <w:ind w:left="3256" w:hanging="1440"/>
      </w:pPr>
      <w:rPr>
        <w:rFonts w:eastAsiaTheme="minorHAnsi" w:hint="default"/>
        <w:u w:val="single"/>
      </w:rPr>
    </w:lvl>
    <w:lvl w:ilvl="5">
      <w:start w:val="1"/>
      <w:numFmt w:val="decimal"/>
      <w:lvlText w:val="%1.%2.%3.%4.%5.%6"/>
      <w:lvlJc w:val="left"/>
      <w:pPr>
        <w:ind w:left="4070" w:hanging="1800"/>
      </w:pPr>
      <w:rPr>
        <w:rFonts w:eastAsiaTheme="minorHAnsi" w:hint="default"/>
        <w:u w:val="single"/>
      </w:rPr>
    </w:lvl>
    <w:lvl w:ilvl="6">
      <w:start w:val="1"/>
      <w:numFmt w:val="decimal"/>
      <w:lvlText w:val="%1.%2.%3.%4.%5.%6.%7"/>
      <w:lvlJc w:val="left"/>
      <w:pPr>
        <w:ind w:left="4884" w:hanging="2160"/>
      </w:pPr>
      <w:rPr>
        <w:rFonts w:eastAsiaTheme="minorHAnsi" w:hint="default"/>
        <w:u w:val="single"/>
      </w:rPr>
    </w:lvl>
    <w:lvl w:ilvl="7">
      <w:start w:val="1"/>
      <w:numFmt w:val="decimal"/>
      <w:lvlText w:val="%1.%2.%3.%4.%5.%6.%7.%8"/>
      <w:lvlJc w:val="left"/>
      <w:pPr>
        <w:ind w:left="5698" w:hanging="2520"/>
      </w:pPr>
      <w:rPr>
        <w:rFonts w:eastAsiaTheme="minorHAnsi" w:hint="default"/>
        <w:u w:val="single"/>
      </w:rPr>
    </w:lvl>
    <w:lvl w:ilvl="8">
      <w:start w:val="1"/>
      <w:numFmt w:val="decimal"/>
      <w:lvlText w:val="%1.%2.%3.%4.%5.%6.%7.%8.%9"/>
      <w:lvlJc w:val="left"/>
      <w:pPr>
        <w:ind w:left="6512" w:hanging="2880"/>
      </w:pPr>
      <w:rPr>
        <w:rFonts w:eastAsiaTheme="minorHAnsi" w:hint="default"/>
        <w:u w:val="single"/>
      </w:rPr>
    </w:lvl>
  </w:abstractNum>
  <w:abstractNum w:abstractNumId="5">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nsid w:val="4BB23B5C"/>
    <w:multiLevelType w:val="hybridMultilevel"/>
    <w:tmpl w:val="DFBA6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D0540A9"/>
    <w:multiLevelType w:val="multilevel"/>
    <w:tmpl w:val="0588A4BC"/>
    <w:name w:val="AppendicesNumbering"/>
    <w:lvl w:ilvl="0">
      <w:start w:val="1"/>
      <w:numFmt w:val="upperLetter"/>
      <w:pStyle w:val="Heading8"/>
      <w:suff w:val="nothing"/>
      <w:lvlText w:val="Appendix %1"/>
      <w:lvlJc w:val="left"/>
      <w:pPr>
        <w:ind w:left="0" w:firstLine="0"/>
      </w:pPr>
      <w:rPr>
        <w:rFonts w:hint="default"/>
        <w:b w:val="0"/>
        <w:i w:val="0"/>
        <w:sz w:val="40"/>
      </w:rPr>
    </w:lvl>
    <w:lvl w:ilvl="1">
      <w:start w:val="1"/>
      <w:numFmt w:val="decimal"/>
      <w:pStyle w:val="Heading9"/>
      <w:lvlText w:val="%1%2."/>
      <w:lvlJc w:val="left"/>
      <w:pPr>
        <w:tabs>
          <w:tab w:val="num" w:pos="765"/>
        </w:tabs>
        <w:ind w:left="765" w:hanging="765"/>
      </w:pPr>
      <w:rPr>
        <w:rFonts w:hint="default"/>
        <w:sz w:val="26"/>
      </w:rPr>
    </w:lvl>
    <w:lvl w:ilvl="2">
      <w:start w:val="1"/>
      <w:numFmt w:val="decimal"/>
      <w:pStyle w:val="AppendixHeading2"/>
      <w:lvlText w:val="%1%2.%3"/>
      <w:lvlJc w:val="left"/>
      <w:pPr>
        <w:tabs>
          <w:tab w:val="num" w:pos="765"/>
        </w:tabs>
        <w:ind w:left="765" w:hanging="765"/>
      </w:pPr>
      <w:rPr>
        <w:rFonts w:hint="default"/>
      </w:rPr>
    </w:lvl>
    <w:lvl w:ilvl="3">
      <w:start w:val="1"/>
      <w:numFmt w:val="decimal"/>
      <w:pStyle w:val="AppendixHeading3"/>
      <w:lvlText w:val="%1%2.%3.%4"/>
      <w:lvlJc w:val="left"/>
      <w:pPr>
        <w:tabs>
          <w:tab w:val="num" w:pos="765"/>
        </w:tabs>
        <w:ind w:left="765" w:hanging="765"/>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9">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1">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8"/>
  </w:num>
  <w:num w:numId="2">
    <w:abstractNumId w:val="0"/>
  </w:num>
  <w:num w:numId="3">
    <w:abstractNumId w:val="11"/>
  </w:num>
  <w:num w:numId="4">
    <w:abstractNumId w:val="6"/>
  </w:num>
  <w:num w:numId="5">
    <w:abstractNumId w:val="5"/>
  </w:num>
  <w:num w:numId="6">
    <w:abstractNumId w:val="10"/>
  </w:num>
  <w:num w:numId="7">
    <w:abstractNumId w:val="2"/>
  </w:num>
  <w:num w:numId="8">
    <w:abstractNumId w:val="3"/>
  </w:num>
  <w:num w:numId="9">
    <w:abstractNumId w:val="9"/>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4"/>
  </w:num>
  <w:num w:numId="16">
    <w:abstractNumId w:val="7"/>
  </w:num>
  <w:num w:numId="17">
    <w:abstractNumId w:val="1"/>
  </w:num>
  <w:num w:numId="18">
    <w:abstractNumId w:val="1"/>
    <w:lvlOverride w:ilvl="0">
      <w:startOverride w:val="3"/>
    </w:lvlOverride>
    <w:lvlOverride w:ilvl="1">
      <w:startOverride w:val="1"/>
    </w:lvlOverride>
  </w:num>
  <w:num w:numId="19">
    <w:abstractNumId w:val="1"/>
    <w:lvlOverride w:ilvl="0">
      <w:startOverride w:val="3"/>
    </w:lvlOverride>
    <w:lvlOverride w:ilvl="1">
      <w:startOverride w:val="1"/>
    </w:lvlOverride>
  </w:num>
  <w:num w:numId="2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attachedTemplate r:id="rId1"/>
  <w:defaultTabStop w:val="720"/>
  <w:evenAndOddHeaders/>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False"/>
    <w:docVar w:name="AppendixName" w:val="Appendix"/>
    <w:docVar w:name="Disclaimer" w:val="True"/>
    <w:docVar w:name="Foreword" w:val="True"/>
    <w:docVar w:name="Heading1Numbered" w:val="True"/>
    <w:docVar w:name="Heading2Numbered" w:val="True"/>
    <w:docVar w:name="Heading3Numbered" w:val="True"/>
    <w:docVar w:name="IsWordingOverview" w:val="True"/>
    <w:docVar w:name="NumberedBodyText" w:val="False"/>
    <w:docVar w:name="optHeading1OddPage" w:val="False"/>
    <w:docVar w:name="Overview" w:val="True"/>
    <w:docVar w:name="PageSetup" w:val="Double"/>
    <w:docVar w:name="RibbonLabel" w:val="Appendix"/>
    <w:docVar w:name="TOC" w:val="True"/>
    <w:docVar w:name="TOCNew" w:val="False"/>
    <w:docVar w:name="Version" w:val="Version 1"/>
  </w:docVars>
  <w:rsids>
    <w:rsidRoot w:val="00555770"/>
    <w:rsid w:val="0000264B"/>
    <w:rsid w:val="000027A6"/>
    <w:rsid w:val="00002DFF"/>
    <w:rsid w:val="0000322C"/>
    <w:rsid w:val="00003CDD"/>
    <w:rsid w:val="000046ED"/>
    <w:rsid w:val="00005E64"/>
    <w:rsid w:val="00010ABD"/>
    <w:rsid w:val="000168A7"/>
    <w:rsid w:val="0002003D"/>
    <w:rsid w:val="000203E9"/>
    <w:rsid w:val="00020E61"/>
    <w:rsid w:val="00021E5E"/>
    <w:rsid w:val="00022C65"/>
    <w:rsid w:val="0002350A"/>
    <w:rsid w:val="00026096"/>
    <w:rsid w:val="000278D0"/>
    <w:rsid w:val="00027E62"/>
    <w:rsid w:val="00027F5C"/>
    <w:rsid w:val="00030327"/>
    <w:rsid w:val="000307C8"/>
    <w:rsid w:val="00030F73"/>
    <w:rsid w:val="000315E5"/>
    <w:rsid w:val="00035ADE"/>
    <w:rsid w:val="00036278"/>
    <w:rsid w:val="00040C86"/>
    <w:rsid w:val="0004224B"/>
    <w:rsid w:val="00042C98"/>
    <w:rsid w:val="00043324"/>
    <w:rsid w:val="00046226"/>
    <w:rsid w:val="0005330D"/>
    <w:rsid w:val="00054744"/>
    <w:rsid w:val="000550E3"/>
    <w:rsid w:val="000557A7"/>
    <w:rsid w:val="00055805"/>
    <w:rsid w:val="00056CB3"/>
    <w:rsid w:val="00060092"/>
    <w:rsid w:val="00060AC5"/>
    <w:rsid w:val="0006338B"/>
    <w:rsid w:val="00065CB3"/>
    <w:rsid w:val="00067A28"/>
    <w:rsid w:val="00070623"/>
    <w:rsid w:val="00070C0A"/>
    <w:rsid w:val="0007260F"/>
    <w:rsid w:val="000747AC"/>
    <w:rsid w:val="000805D5"/>
    <w:rsid w:val="0008103B"/>
    <w:rsid w:val="000824F8"/>
    <w:rsid w:val="000837A1"/>
    <w:rsid w:val="00083AC5"/>
    <w:rsid w:val="00084F61"/>
    <w:rsid w:val="00085F97"/>
    <w:rsid w:val="0009039F"/>
    <w:rsid w:val="000911DA"/>
    <w:rsid w:val="00092A33"/>
    <w:rsid w:val="0009362A"/>
    <w:rsid w:val="00096322"/>
    <w:rsid w:val="000972B4"/>
    <w:rsid w:val="000972F5"/>
    <w:rsid w:val="000A08D8"/>
    <w:rsid w:val="000A0B2D"/>
    <w:rsid w:val="000A0DE7"/>
    <w:rsid w:val="000A2B85"/>
    <w:rsid w:val="000A2FEC"/>
    <w:rsid w:val="000A348F"/>
    <w:rsid w:val="000A3E45"/>
    <w:rsid w:val="000A477F"/>
    <w:rsid w:val="000A7F2F"/>
    <w:rsid w:val="000B0E72"/>
    <w:rsid w:val="000B21EA"/>
    <w:rsid w:val="000B353A"/>
    <w:rsid w:val="000B39A0"/>
    <w:rsid w:val="000B6942"/>
    <w:rsid w:val="000B6B6E"/>
    <w:rsid w:val="000C09FA"/>
    <w:rsid w:val="000C1640"/>
    <w:rsid w:val="000C22DF"/>
    <w:rsid w:val="000C30E8"/>
    <w:rsid w:val="000C37A9"/>
    <w:rsid w:val="000C590D"/>
    <w:rsid w:val="000C6166"/>
    <w:rsid w:val="000C6728"/>
    <w:rsid w:val="000C702E"/>
    <w:rsid w:val="000D0EDB"/>
    <w:rsid w:val="000D15E9"/>
    <w:rsid w:val="000D3182"/>
    <w:rsid w:val="000D4597"/>
    <w:rsid w:val="000D45C4"/>
    <w:rsid w:val="000D591F"/>
    <w:rsid w:val="000D59FF"/>
    <w:rsid w:val="000D5AAA"/>
    <w:rsid w:val="000D64CC"/>
    <w:rsid w:val="000E18F3"/>
    <w:rsid w:val="000E266E"/>
    <w:rsid w:val="000E3DA9"/>
    <w:rsid w:val="000E4A29"/>
    <w:rsid w:val="000E6EDD"/>
    <w:rsid w:val="000E7908"/>
    <w:rsid w:val="000F1515"/>
    <w:rsid w:val="000F16B5"/>
    <w:rsid w:val="000F32DF"/>
    <w:rsid w:val="000F5124"/>
    <w:rsid w:val="000F60DF"/>
    <w:rsid w:val="000F616E"/>
    <w:rsid w:val="000F760A"/>
    <w:rsid w:val="000F77F1"/>
    <w:rsid w:val="00101C92"/>
    <w:rsid w:val="0010203D"/>
    <w:rsid w:val="00107497"/>
    <w:rsid w:val="00110D43"/>
    <w:rsid w:val="00111C1D"/>
    <w:rsid w:val="00112526"/>
    <w:rsid w:val="001130DA"/>
    <w:rsid w:val="00113F8A"/>
    <w:rsid w:val="001159EA"/>
    <w:rsid w:val="001200A6"/>
    <w:rsid w:val="00120987"/>
    <w:rsid w:val="00120B5C"/>
    <w:rsid w:val="00121B17"/>
    <w:rsid w:val="00125410"/>
    <w:rsid w:val="00126669"/>
    <w:rsid w:val="00130858"/>
    <w:rsid w:val="00130A34"/>
    <w:rsid w:val="001319F2"/>
    <w:rsid w:val="001326E0"/>
    <w:rsid w:val="00136C26"/>
    <w:rsid w:val="00137674"/>
    <w:rsid w:val="0014059F"/>
    <w:rsid w:val="00140BA1"/>
    <w:rsid w:val="00141551"/>
    <w:rsid w:val="001417CE"/>
    <w:rsid w:val="0014479F"/>
    <w:rsid w:val="0015060D"/>
    <w:rsid w:val="0015087F"/>
    <w:rsid w:val="001510FA"/>
    <w:rsid w:val="00154DC5"/>
    <w:rsid w:val="00156482"/>
    <w:rsid w:val="00157D25"/>
    <w:rsid w:val="00160C8D"/>
    <w:rsid w:val="0016150A"/>
    <w:rsid w:val="0016164F"/>
    <w:rsid w:val="001616C0"/>
    <w:rsid w:val="001629C0"/>
    <w:rsid w:val="00162F19"/>
    <w:rsid w:val="00163373"/>
    <w:rsid w:val="00165122"/>
    <w:rsid w:val="00165854"/>
    <w:rsid w:val="00166B37"/>
    <w:rsid w:val="00171E67"/>
    <w:rsid w:val="0017267E"/>
    <w:rsid w:val="00173DFD"/>
    <w:rsid w:val="001779EC"/>
    <w:rsid w:val="00180FF9"/>
    <w:rsid w:val="00184F6C"/>
    <w:rsid w:val="00193DAE"/>
    <w:rsid w:val="00193E8D"/>
    <w:rsid w:val="001942A3"/>
    <w:rsid w:val="001944E8"/>
    <w:rsid w:val="00194AC1"/>
    <w:rsid w:val="00195228"/>
    <w:rsid w:val="00195696"/>
    <w:rsid w:val="00196532"/>
    <w:rsid w:val="001A1EFC"/>
    <w:rsid w:val="001A48EF"/>
    <w:rsid w:val="001A49CC"/>
    <w:rsid w:val="001A5553"/>
    <w:rsid w:val="001A716E"/>
    <w:rsid w:val="001B0678"/>
    <w:rsid w:val="001B0F4D"/>
    <w:rsid w:val="001B1E75"/>
    <w:rsid w:val="001B2C65"/>
    <w:rsid w:val="001B2FCA"/>
    <w:rsid w:val="001B407F"/>
    <w:rsid w:val="001B6C9E"/>
    <w:rsid w:val="001B7058"/>
    <w:rsid w:val="001C2527"/>
    <w:rsid w:val="001C2F1C"/>
    <w:rsid w:val="001C3A4F"/>
    <w:rsid w:val="001C3A87"/>
    <w:rsid w:val="001C4121"/>
    <w:rsid w:val="001C48DE"/>
    <w:rsid w:val="001C5BC5"/>
    <w:rsid w:val="001C6B07"/>
    <w:rsid w:val="001D0245"/>
    <w:rsid w:val="001D0997"/>
    <w:rsid w:val="001D0D2D"/>
    <w:rsid w:val="001D1667"/>
    <w:rsid w:val="001D52E3"/>
    <w:rsid w:val="001D576F"/>
    <w:rsid w:val="001D5E88"/>
    <w:rsid w:val="001D6C9A"/>
    <w:rsid w:val="001D7C29"/>
    <w:rsid w:val="001E0475"/>
    <w:rsid w:val="001F0697"/>
    <w:rsid w:val="001F1B99"/>
    <w:rsid w:val="001F2B30"/>
    <w:rsid w:val="001F2BEE"/>
    <w:rsid w:val="001F2D56"/>
    <w:rsid w:val="001F3453"/>
    <w:rsid w:val="001F4441"/>
    <w:rsid w:val="001F495C"/>
    <w:rsid w:val="001F5C90"/>
    <w:rsid w:val="001F767C"/>
    <w:rsid w:val="0020071C"/>
    <w:rsid w:val="00201391"/>
    <w:rsid w:val="002013C4"/>
    <w:rsid w:val="00204620"/>
    <w:rsid w:val="002058F0"/>
    <w:rsid w:val="002064F0"/>
    <w:rsid w:val="00210191"/>
    <w:rsid w:val="00210FCF"/>
    <w:rsid w:val="00213B8F"/>
    <w:rsid w:val="0021482D"/>
    <w:rsid w:val="00215567"/>
    <w:rsid w:val="00216226"/>
    <w:rsid w:val="00220786"/>
    <w:rsid w:val="00222EFF"/>
    <w:rsid w:val="002240D5"/>
    <w:rsid w:val="002261A7"/>
    <w:rsid w:val="00226AEC"/>
    <w:rsid w:val="002270A3"/>
    <w:rsid w:val="00241074"/>
    <w:rsid w:val="00241FF5"/>
    <w:rsid w:val="00244D5D"/>
    <w:rsid w:val="0024563A"/>
    <w:rsid w:val="0024716E"/>
    <w:rsid w:val="002534AE"/>
    <w:rsid w:val="002545F3"/>
    <w:rsid w:val="00254AD2"/>
    <w:rsid w:val="002555AE"/>
    <w:rsid w:val="00255C70"/>
    <w:rsid w:val="00255F46"/>
    <w:rsid w:val="00256423"/>
    <w:rsid w:val="00257C98"/>
    <w:rsid w:val="00260F7B"/>
    <w:rsid w:val="0026344F"/>
    <w:rsid w:val="00263AFD"/>
    <w:rsid w:val="002666E2"/>
    <w:rsid w:val="00266A17"/>
    <w:rsid w:val="002702B9"/>
    <w:rsid w:val="00270372"/>
    <w:rsid w:val="00274642"/>
    <w:rsid w:val="00275534"/>
    <w:rsid w:val="00275EA1"/>
    <w:rsid w:val="00277075"/>
    <w:rsid w:val="002775D2"/>
    <w:rsid w:val="00281ADD"/>
    <w:rsid w:val="002827E8"/>
    <w:rsid w:val="0028305B"/>
    <w:rsid w:val="0028394B"/>
    <w:rsid w:val="00285F1B"/>
    <w:rsid w:val="002867AB"/>
    <w:rsid w:val="0029077A"/>
    <w:rsid w:val="00290C92"/>
    <w:rsid w:val="002910CB"/>
    <w:rsid w:val="00292A2C"/>
    <w:rsid w:val="00293E0D"/>
    <w:rsid w:val="00293E80"/>
    <w:rsid w:val="002947F9"/>
    <w:rsid w:val="00295A78"/>
    <w:rsid w:val="002973B0"/>
    <w:rsid w:val="00297C14"/>
    <w:rsid w:val="00297D74"/>
    <w:rsid w:val="002A220F"/>
    <w:rsid w:val="002A24F1"/>
    <w:rsid w:val="002A385B"/>
    <w:rsid w:val="002A456B"/>
    <w:rsid w:val="002A550B"/>
    <w:rsid w:val="002A5778"/>
    <w:rsid w:val="002B1A15"/>
    <w:rsid w:val="002B1E84"/>
    <w:rsid w:val="002B1ED7"/>
    <w:rsid w:val="002B2085"/>
    <w:rsid w:val="002B2E63"/>
    <w:rsid w:val="002B3EC4"/>
    <w:rsid w:val="002B3F31"/>
    <w:rsid w:val="002B7719"/>
    <w:rsid w:val="002C2776"/>
    <w:rsid w:val="002C2FFD"/>
    <w:rsid w:val="002C37D5"/>
    <w:rsid w:val="002C3916"/>
    <w:rsid w:val="002C3AED"/>
    <w:rsid w:val="002C4221"/>
    <w:rsid w:val="002C5761"/>
    <w:rsid w:val="002C586A"/>
    <w:rsid w:val="002D34DB"/>
    <w:rsid w:val="002D3723"/>
    <w:rsid w:val="002D4B11"/>
    <w:rsid w:val="002D7250"/>
    <w:rsid w:val="002E4800"/>
    <w:rsid w:val="002E50EB"/>
    <w:rsid w:val="002E5633"/>
    <w:rsid w:val="002E5DEE"/>
    <w:rsid w:val="002F1963"/>
    <w:rsid w:val="002F278D"/>
    <w:rsid w:val="002F2DB2"/>
    <w:rsid w:val="002F3F7B"/>
    <w:rsid w:val="002F5575"/>
    <w:rsid w:val="002F5B6E"/>
    <w:rsid w:val="002F61B5"/>
    <w:rsid w:val="0030124A"/>
    <w:rsid w:val="0030209B"/>
    <w:rsid w:val="0030776C"/>
    <w:rsid w:val="00310FE3"/>
    <w:rsid w:val="003127E4"/>
    <w:rsid w:val="00313215"/>
    <w:rsid w:val="003140B9"/>
    <w:rsid w:val="00316BD0"/>
    <w:rsid w:val="003171DE"/>
    <w:rsid w:val="003174C3"/>
    <w:rsid w:val="00320FFC"/>
    <w:rsid w:val="0032557A"/>
    <w:rsid w:val="0032575F"/>
    <w:rsid w:val="00326E39"/>
    <w:rsid w:val="00340021"/>
    <w:rsid w:val="00340778"/>
    <w:rsid w:val="0034094E"/>
    <w:rsid w:val="00343A02"/>
    <w:rsid w:val="00344496"/>
    <w:rsid w:val="00344D2C"/>
    <w:rsid w:val="003457E3"/>
    <w:rsid w:val="003458CE"/>
    <w:rsid w:val="00345A57"/>
    <w:rsid w:val="003463FF"/>
    <w:rsid w:val="00346D90"/>
    <w:rsid w:val="00350C09"/>
    <w:rsid w:val="00351F62"/>
    <w:rsid w:val="0035249F"/>
    <w:rsid w:val="003535B9"/>
    <w:rsid w:val="00353A4E"/>
    <w:rsid w:val="003545FE"/>
    <w:rsid w:val="00355ADA"/>
    <w:rsid w:val="003601F4"/>
    <w:rsid w:val="0036242B"/>
    <w:rsid w:val="003630C0"/>
    <w:rsid w:val="00366843"/>
    <w:rsid w:val="00366A02"/>
    <w:rsid w:val="003671E2"/>
    <w:rsid w:val="003672DA"/>
    <w:rsid w:val="003726BE"/>
    <w:rsid w:val="00372AE6"/>
    <w:rsid w:val="00376716"/>
    <w:rsid w:val="00381D2A"/>
    <w:rsid w:val="003837E1"/>
    <w:rsid w:val="00383843"/>
    <w:rsid w:val="0038584D"/>
    <w:rsid w:val="00391FCA"/>
    <w:rsid w:val="00392502"/>
    <w:rsid w:val="0039257F"/>
    <w:rsid w:val="003931DE"/>
    <w:rsid w:val="00393408"/>
    <w:rsid w:val="00396B65"/>
    <w:rsid w:val="00397C88"/>
    <w:rsid w:val="00397D1A"/>
    <w:rsid w:val="003A0ABE"/>
    <w:rsid w:val="003A163C"/>
    <w:rsid w:val="003A2B4E"/>
    <w:rsid w:val="003A2FBB"/>
    <w:rsid w:val="003A3799"/>
    <w:rsid w:val="003A3D5B"/>
    <w:rsid w:val="003A3E84"/>
    <w:rsid w:val="003A3EA0"/>
    <w:rsid w:val="003A4913"/>
    <w:rsid w:val="003A54A9"/>
    <w:rsid w:val="003A7083"/>
    <w:rsid w:val="003B1CEE"/>
    <w:rsid w:val="003B22D1"/>
    <w:rsid w:val="003B38B3"/>
    <w:rsid w:val="003B3A97"/>
    <w:rsid w:val="003B3D44"/>
    <w:rsid w:val="003B4A39"/>
    <w:rsid w:val="003B511D"/>
    <w:rsid w:val="003B5C0C"/>
    <w:rsid w:val="003B6988"/>
    <w:rsid w:val="003C1C1B"/>
    <w:rsid w:val="003C256E"/>
    <w:rsid w:val="003C3595"/>
    <w:rsid w:val="003C590C"/>
    <w:rsid w:val="003C7CC2"/>
    <w:rsid w:val="003D50B6"/>
    <w:rsid w:val="003E05DF"/>
    <w:rsid w:val="003E0CF9"/>
    <w:rsid w:val="003E1DFD"/>
    <w:rsid w:val="003E2B89"/>
    <w:rsid w:val="003E5FF8"/>
    <w:rsid w:val="003E6085"/>
    <w:rsid w:val="003E6CA3"/>
    <w:rsid w:val="003E79D8"/>
    <w:rsid w:val="003F24D2"/>
    <w:rsid w:val="003F2B32"/>
    <w:rsid w:val="003F4C96"/>
    <w:rsid w:val="003F6508"/>
    <w:rsid w:val="003F72C5"/>
    <w:rsid w:val="003F78FE"/>
    <w:rsid w:val="003F7C7D"/>
    <w:rsid w:val="003F7FC7"/>
    <w:rsid w:val="00401F32"/>
    <w:rsid w:val="00406002"/>
    <w:rsid w:val="00406AD3"/>
    <w:rsid w:val="0040708A"/>
    <w:rsid w:val="00410007"/>
    <w:rsid w:val="00412E42"/>
    <w:rsid w:val="00414ED6"/>
    <w:rsid w:val="004241BF"/>
    <w:rsid w:val="00425D7B"/>
    <w:rsid w:val="00426356"/>
    <w:rsid w:val="00426929"/>
    <w:rsid w:val="00426C58"/>
    <w:rsid w:val="004271E1"/>
    <w:rsid w:val="004279C1"/>
    <w:rsid w:val="00430D45"/>
    <w:rsid w:val="00434023"/>
    <w:rsid w:val="00435F69"/>
    <w:rsid w:val="00440293"/>
    <w:rsid w:val="00440C0F"/>
    <w:rsid w:val="004429DE"/>
    <w:rsid w:val="00442C16"/>
    <w:rsid w:val="004440F2"/>
    <w:rsid w:val="00444804"/>
    <w:rsid w:val="00445F70"/>
    <w:rsid w:val="00446439"/>
    <w:rsid w:val="00450BDA"/>
    <w:rsid w:val="00451C93"/>
    <w:rsid w:val="00453717"/>
    <w:rsid w:val="00453A3E"/>
    <w:rsid w:val="0045452F"/>
    <w:rsid w:val="0045766B"/>
    <w:rsid w:val="00460E9A"/>
    <w:rsid w:val="00461291"/>
    <w:rsid w:val="0046220D"/>
    <w:rsid w:val="00467F94"/>
    <w:rsid w:val="00470286"/>
    <w:rsid w:val="004725CB"/>
    <w:rsid w:val="004725D5"/>
    <w:rsid w:val="00474BB7"/>
    <w:rsid w:val="004816D7"/>
    <w:rsid w:val="00482263"/>
    <w:rsid w:val="0048342E"/>
    <w:rsid w:val="00486AC4"/>
    <w:rsid w:val="00487478"/>
    <w:rsid w:val="0048782D"/>
    <w:rsid w:val="00494DC1"/>
    <w:rsid w:val="004951B4"/>
    <w:rsid w:val="00496A98"/>
    <w:rsid w:val="004975FA"/>
    <w:rsid w:val="004A02D2"/>
    <w:rsid w:val="004A0F57"/>
    <w:rsid w:val="004A1022"/>
    <w:rsid w:val="004A3F56"/>
    <w:rsid w:val="004A436C"/>
    <w:rsid w:val="004A5E21"/>
    <w:rsid w:val="004A666A"/>
    <w:rsid w:val="004B143F"/>
    <w:rsid w:val="004B49A0"/>
    <w:rsid w:val="004B5A25"/>
    <w:rsid w:val="004C07B6"/>
    <w:rsid w:val="004C25B9"/>
    <w:rsid w:val="004C303B"/>
    <w:rsid w:val="004C6306"/>
    <w:rsid w:val="004C676C"/>
    <w:rsid w:val="004C6F5E"/>
    <w:rsid w:val="004C7E0E"/>
    <w:rsid w:val="004C7E94"/>
    <w:rsid w:val="004D13D4"/>
    <w:rsid w:val="004D68F4"/>
    <w:rsid w:val="004D7CF8"/>
    <w:rsid w:val="004D7EDA"/>
    <w:rsid w:val="004E017B"/>
    <w:rsid w:val="004E0E49"/>
    <w:rsid w:val="004E197A"/>
    <w:rsid w:val="004E2051"/>
    <w:rsid w:val="004E3251"/>
    <w:rsid w:val="004E3B49"/>
    <w:rsid w:val="004E535C"/>
    <w:rsid w:val="004E5D52"/>
    <w:rsid w:val="004E70EA"/>
    <w:rsid w:val="004F07D7"/>
    <w:rsid w:val="004F1297"/>
    <w:rsid w:val="004F16DB"/>
    <w:rsid w:val="004F2EA7"/>
    <w:rsid w:val="004F38BF"/>
    <w:rsid w:val="004F4831"/>
    <w:rsid w:val="004F4D7E"/>
    <w:rsid w:val="004F5B16"/>
    <w:rsid w:val="004F5D9D"/>
    <w:rsid w:val="004F6064"/>
    <w:rsid w:val="004F6288"/>
    <w:rsid w:val="004F68E5"/>
    <w:rsid w:val="004F741B"/>
    <w:rsid w:val="005016A9"/>
    <w:rsid w:val="00501D60"/>
    <w:rsid w:val="005029A1"/>
    <w:rsid w:val="00502FBD"/>
    <w:rsid w:val="00503253"/>
    <w:rsid w:val="00503BB0"/>
    <w:rsid w:val="00503E03"/>
    <w:rsid w:val="00505FF2"/>
    <w:rsid w:val="00512226"/>
    <w:rsid w:val="005132E1"/>
    <w:rsid w:val="005147C6"/>
    <w:rsid w:val="005159B1"/>
    <w:rsid w:val="00516B41"/>
    <w:rsid w:val="00517052"/>
    <w:rsid w:val="005206BC"/>
    <w:rsid w:val="00522502"/>
    <w:rsid w:val="00523F99"/>
    <w:rsid w:val="00525358"/>
    <w:rsid w:val="005255A1"/>
    <w:rsid w:val="0052641C"/>
    <w:rsid w:val="00526551"/>
    <w:rsid w:val="0053282C"/>
    <w:rsid w:val="00532F21"/>
    <w:rsid w:val="0053795D"/>
    <w:rsid w:val="00537968"/>
    <w:rsid w:val="005419B0"/>
    <w:rsid w:val="00542C2B"/>
    <w:rsid w:val="00543EBD"/>
    <w:rsid w:val="00544522"/>
    <w:rsid w:val="00546370"/>
    <w:rsid w:val="005468AB"/>
    <w:rsid w:val="005501A0"/>
    <w:rsid w:val="00550526"/>
    <w:rsid w:val="00550831"/>
    <w:rsid w:val="0055111C"/>
    <w:rsid w:val="00551D98"/>
    <w:rsid w:val="00554273"/>
    <w:rsid w:val="00555368"/>
    <w:rsid w:val="00555770"/>
    <w:rsid w:val="0055756B"/>
    <w:rsid w:val="00557695"/>
    <w:rsid w:val="00560142"/>
    <w:rsid w:val="00561C59"/>
    <w:rsid w:val="00562152"/>
    <w:rsid w:val="005637FC"/>
    <w:rsid w:val="005642B6"/>
    <w:rsid w:val="00566B7B"/>
    <w:rsid w:val="005709F0"/>
    <w:rsid w:val="00571D5E"/>
    <w:rsid w:val="00573CCA"/>
    <w:rsid w:val="005766A2"/>
    <w:rsid w:val="005767A4"/>
    <w:rsid w:val="00580681"/>
    <w:rsid w:val="005823D0"/>
    <w:rsid w:val="005826CC"/>
    <w:rsid w:val="00582860"/>
    <w:rsid w:val="00583B4A"/>
    <w:rsid w:val="00584555"/>
    <w:rsid w:val="0058476A"/>
    <w:rsid w:val="00585500"/>
    <w:rsid w:val="00585707"/>
    <w:rsid w:val="00585E19"/>
    <w:rsid w:val="00590EEA"/>
    <w:rsid w:val="0059649C"/>
    <w:rsid w:val="00596CF7"/>
    <w:rsid w:val="00596DA6"/>
    <w:rsid w:val="005A00E6"/>
    <w:rsid w:val="005A0C8F"/>
    <w:rsid w:val="005A2748"/>
    <w:rsid w:val="005A443F"/>
    <w:rsid w:val="005A5284"/>
    <w:rsid w:val="005A5604"/>
    <w:rsid w:val="005A7D0B"/>
    <w:rsid w:val="005B12B0"/>
    <w:rsid w:val="005B141A"/>
    <w:rsid w:val="005B25E3"/>
    <w:rsid w:val="005B2D53"/>
    <w:rsid w:val="005B3760"/>
    <w:rsid w:val="005B39E3"/>
    <w:rsid w:val="005B3F17"/>
    <w:rsid w:val="005B40C1"/>
    <w:rsid w:val="005B58D4"/>
    <w:rsid w:val="005C07B3"/>
    <w:rsid w:val="005C284E"/>
    <w:rsid w:val="005C47D4"/>
    <w:rsid w:val="005D15CE"/>
    <w:rsid w:val="005D440E"/>
    <w:rsid w:val="005D51D0"/>
    <w:rsid w:val="005D5F77"/>
    <w:rsid w:val="005D65DD"/>
    <w:rsid w:val="005D6F83"/>
    <w:rsid w:val="005D7877"/>
    <w:rsid w:val="005D7CCF"/>
    <w:rsid w:val="005E58C4"/>
    <w:rsid w:val="005E5D8F"/>
    <w:rsid w:val="005F43D7"/>
    <w:rsid w:val="005F5A5C"/>
    <w:rsid w:val="005F5C37"/>
    <w:rsid w:val="005F5CD9"/>
    <w:rsid w:val="005F7B7D"/>
    <w:rsid w:val="006039FC"/>
    <w:rsid w:val="0061103A"/>
    <w:rsid w:val="0061135C"/>
    <w:rsid w:val="006136DD"/>
    <w:rsid w:val="006149F0"/>
    <w:rsid w:val="00621C97"/>
    <w:rsid w:val="006220A5"/>
    <w:rsid w:val="00624AC8"/>
    <w:rsid w:val="006253DF"/>
    <w:rsid w:val="006321E1"/>
    <w:rsid w:val="0063285F"/>
    <w:rsid w:val="00633C60"/>
    <w:rsid w:val="00635721"/>
    <w:rsid w:val="00636A38"/>
    <w:rsid w:val="0064126D"/>
    <w:rsid w:val="00641680"/>
    <w:rsid w:val="006416BD"/>
    <w:rsid w:val="006424C9"/>
    <w:rsid w:val="0064308A"/>
    <w:rsid w:val="006451B8"/>
    <w:rsid w:val="00645722"/>
    <w:rsid w:val="00647891"/>
    <w:rsid w:val="00652432"/>
    <w:rsid w:val="006563F7"/>
    <w:rsid w:val="00657840"/>
    <w:rsid w:val="0066003C"/>
    <w:rsid w:val="0066041E"/>
    <w:rsid w:val="00663971"/>
    <w:rsid w:val="00664727"/>
    <w:rsid w:val="00666B11"/>
    <w:rsid w:val="0067078A"/>
    <w:rsid w:val="00671743"/>
    <w:rsid w:val="00672094"/>
    <w:rsid w:val="00672A15"/>
    <w:rsid w:val="00673CCC"/>
    <w:rsid w:val="00675C98"/>
    <w:rsid w:val="00682226"/>
    <w:rsid w:val="0069026B"/>
    <w:rsid w:val="006913AA"/>
    <w:rsid w:val="0069339D"/>
    <w:rsid w:val="006956EA"/>
    <w:rsid w:val="00695AB8"/>
    <w:rsid w:val="00697412"/>
    <w:rsid w:val="006A490C"/>
    <w:rsid w:val="006A6125"/>
    <w:rsid w:val="006B137E"/>
    <w:rsid w:val="006B2796"/>
    <w:rsid w:val="006B2E6B"/>
    <w:rsid w:val="006B4F7D"/>
    <w:rsid w:val="006B52CE"/>
    <w:rsid w:val="006B5B53"/>
    <w:rsid w:val="006C114C"/>
    <w:rsid w:val="006C1D53"/>
    <w:rsid w:val="006C3864"/>
    <w:rsid w:val="006C40FC"/>
    <w:rsid w:val="006C447D"/>
    <w:rsid w:val="006C44E6"/>
    <w:rsid w:val="006C5383"/>
    <w:rsid w:val="006C57E2"/>
    <w:rsid w:val="006C5E72"/>
    <w:rsid w:val="006D2AEC"/>
    <w:rsid w:val="006D3D1A"/>
    <w:rsid w:val="006D414F"/>
    <w:rsid w:val="006D458D"/>
    <w:rsid w:val="006D4C8E"/>
    <w:rsid w:val="006D59EA"/>
    <w:rsid w:val="006E0C74"/>
    <w:rsid w:val="006E19D1"/>
    <w:rsid w:val="006E19D3"/>
    <w:rsid w:val="006E1CBB"/>
    <w:rsid w:val="006E1D42"/>
    <w:rsid w:val="006E2AAE"/>
    <w:rsid w:val="006E420E"/>
    <w:rsid w:val="006E530F"/>
    <w:rsid w:val="006E5557"/>
    <w:rsid w:val="006E5E41"/>
    <w:rsid w:val="006E604A"/>
    <w:rsid w:val="006F100B"/>
    <w:rsid w:val="006F1E5F"/>
    <w:rsid w:val="006F239A"/>
    <w:rsid w:val="006F2C9D"/>
    <w:rsid w:val="006F5931"/>
    <w:rsid w:val="006F6E0C"/>
    <w:rsid w:val="006F753D"/>
    <w:rsid w:val="00701586"/>
    <w:rsid w:val="007017C2"/>
    <w:rsid w:val="00705DCD"/>
    <w:rsid w:val="0070637D"/>
    <w:rsid w:val="007071DD"/>
    <w:rsid w:val="0070771F"/>
    <w:rsid w:val="00707E0A"/>
    <w:rsid w:val="00712A14"/>
    <w:rsid w:val="00713226"/>
    <w:rsid w:val="00714D83"/>
    <w:rsid w:val="00716C04"/>
    <w:rsid w:val="00717180"/>
    <w:rsid w:val="007179D2"/>
    <w:rsid w:val="00720750"/>
    <w:rsid w:val="00720A02"/>
    <w:rsid w:val="00720AB1"/>
    <w:rsid w:val="007228D9"/>
    <w:rsid w:val="00722E22"/>
    <w:rsid w:val="00724D55"/>
    <w:rsid w:val="0072549C"/>
    <w:rsid w:val="00725A80"/>
    <w:rsid w:val="007270D9"/>
    <w:rsid w:val="0073110B"/>
    <w:rsid w:val="00733970"/>
    <w:rsid w:val="00733B0D"/>
    <w:rsid w:val="007417D6"/>
    <w:rsid w:val="00742D40"/>
    <w:rsid w:val="00743DBE"/>
    <w:rsid w:val="00745660"/>
    <w:rsid w:val="007460D2"/>
    <w:rsid w:val="007472E1"/>
    <w:rsid w:val="00750540"/>
    <w:rsid w:val="007509F2"/>
    <w:rsid w:val="00754C58"/>
    <w:rsid w:val="00755773"/>
    <w:rsid w:val="007557D1"/>
    <w:rsid w:val="00756635"/>
    <w:rsid w:val="00756D20"/>
    <w:rsid w:val="00756F7C"/>
    <w:rsid w:val="00760EC0"/>
    <w:rsid w:val="00767425"/>
    <w:rsid w:val="00771F02"/>
    <w:rsid w:val="00774D81"/>
    <w:rsid w:val="00776E78"/>
    <w:rsid w:val="00777715"/>
    <w:rsid w:val="0078138A"/>
    <w:rsid w:val="0078158C"/>
    <w:rsid w:val="007819F6"/>
    <w:rsid w:val="00783014"/>
    <w:rsid w:val="007834DC"/>
    <w:rsid w:val="007842E8"/>
    <w:rsid w:val="0078611B"/>
    <w:rsid w:val="007861D1"/>
    <w:rsid w:val="007920C4"/>
    <w:rsid w:val="007938B3"/>
    <w:rsid w:val="00794DA8"/>
    <w:rsid w:val="007955C7"/>
    <w:rsid w:val="007959A0"/>
    <w:rsid w:val="007959D8"/>
    <w:rsid w:val="0079630F"/>
    <w:rsid w:val="007A04C2"/>
    <w:rsid w:val="007A175B"/>
    <w:rsid w:val="007A53F8"/>
    <w:rsid w:val="007A58E5"/>
    <w:rsid w:val="007B06F6"/>
    <w:rsid w:val="007B146A"/>
    <w:rsid w:val="007B1CA4"/>
    <w:rsid w:val="007B4354"/>
    <w:rsid w:val="007C0A33"/>
    <w:rsid w:val="007C0E7C"/>
    <w:rsid w:val="007C0EAA"/>
    <w:rsid w:val="007C1B36"/>
    <w:rsid w:val="007C44B2"/>
    <w:rsid w:val="007C5E07"/>
    <w:rsid w:val="007C5ED0"/>
    <w:rsid w:val="007C6496"/>
    <w:rsid w:val="007C745E"/>
    <w:rsid w:val="007D1606"/>
    <w:rsid w:val="007D3592"/>
    <w:rsid w:val="007D6A78"/>
    <w:rsid w:val="007E3F8C"/>
    <w:rsid w:val="007E46E3"/>
    <w:rsid w:val="007E49C3"/>
    <w:rsid w:val="007E725A"/>
    <w:rsid w:val="007E78BB"/>
    <w:rsid w:val="007F2058"/>
    <w:rsid w:val="007F55A8"/>
    <w:rsid w:val="007F7685"/>
    <w:rsid w:val="0080011D"/>
    <w:rsid w:val="00800EA5"/>
    <w:rsid w:val="00801C01"/>
    <w:rsid w:val="00801FDF"/>
    <w:rsid w:val="0080468D"/>
    <w:rsid w:val="0080524A"/>
    <w:rsid w:val="00805D16"/>
    <w:rsid w:val="0080749B"/>
    <w:rsid w:val="0081177F"/>
    <w:rsid w:val="00811ED4"/>
    <w:rsid w:val="008130BB"/>
    <w:rsid w:val="00816455"/>
    <w:rsid w:val="0081651E"/>
    <w:rsid w:val="008175DA"/>
    <w:rsid w:val="0082221B"/>
    <w:rsid w:val="008237FA"/>
    <w:rsid w:val="00825D37"/>
    <w:rsid w:val="00831159"/>
    <w:rsid w:val="008329BB"/>
    <w:rsid w:val="00833464"/>
    <w:rsid w:val="008369B0"/>
    <w:rsid w:val="00837149"/>
    <w:rsid w:val="00841AF8"/>
    <w:rsid w:val="008507FE"/>
    <w:rsid w:val="008511B3"/>
    <w:rsid w:val="008529C4"/>
    <w:rsid w:val="00853B4C"/>
    <w:rsid w:val="00853C02"/>
    <w:rsid w:val="0085732C"/>
    <w:rsid w:val="0086009F"/>
    <w:rsid w:val="00860B45"/>
    <w:rsid w:val="00863860"/>
    <w:rsid w:val="008638B5"/>
    <w:rsid w:val="0087058F"/>
    <w:rsid w:val="008714E9"/>
    <w:rsid w:val="008724A7"/>
    <w:rsid w:val="008734DB"/>
    <w:rsid w:val="0087390B"/>
    <w:rsid w:val="008745A1"/>
    <w:rsid w:val="008768E9"/>
    <w:rsid w:val="00876EAC"/>
    <w:rsid w:val="0087751B"/>
    <w:rsid w:val="00880849"/>
    <w:rsid w:val="00882888"/>
    <w:rsid w:val="00884A2A"/>
    <w:rsid w:val="00890995"/>
    <w:rsid w:val="008914FB"/>
    <w:rsid w:val="00893DD5"/>
    <w:rsid w:val="008943A9"/>
    <w:rsid w:val="008951BA"/>
    <w:rsid w:val="00895B6D"/>
    <w:rsid w:val="00897E99"/>
    <w:rsid w:val="008A0ADC"/>
    <w:rsid w:val="008A0BC2"/>
    <w:rsid w:val="008A4559"/>
    <w:rsid w:val="008A4829"/>
    <w:rsid w:val="008A522B"/>
    <w:rsid w:val="008A57ED"/>
    <w:rsid w:val="008B2384"/>
    <w:rsid w:val="008B38D6"/>
    <w:rsid w:val="008B3E2E"/>
    <w:rsid w:val="008B4802"/>
    <w:rsid w:val="008B5E0F"/>
    <w:rsid w:val="008B69E3"/>
    <w:rsid w:val="008C1FD1"/>
    <w:rsid w:val="008C24A8"/>
    <w:rsid w:val="008C35EF"/>
    <w:rsid w:val="008C5996"/>
    <w:rsid w:val="008C7B2F"/>
    <w:rsid w:val="008D04D9"/>
    <w:rsid w:val="008D351F"/>
    <w:rsid w:val="008D400A"/>
    <w:rsid w:val="008D4C0F"/>
    <w:rsid w:val="008D5A11"/>
    <w:rsid w:val="008D5E23"/>
    <w:rsid w:val="008E1F7B"/>
    <w:rsid w:val="008E6D59"/>
    <w:rsid w:val="008F140F"/>
    <w:rsid w:val="008F35DE"/>
    <w:rsid w:val="008F5D66"/>
    <w:rsid w:val="008F79BB"/>
    <w:rsid w:val="009011AC"/>
    <w:rsid w:val="009028AA"/>
    <w:rsid w:val="00903E3F"/>
    <w:rsid w:val="009049C3"/>
    <w:rsid w:val="009057D9"/>
    <w:rsid w:val="0090761E"/>
    <w:rsid w:val="0090774A"/>
    <w:rsid w:val="00910979"/>
    <w:rsid w:val="00910D07"/>
    <w:rsid w:val="00914B2F"/>
    <w:rsid w:val="009150E6"/>
    <w:rsid w:val="00917F89"/>
    <w:rsid w:val="00921F4B"/>
    <w:rsid w:val="00922976"/>
    <w:rsid w:val="009229DF"/>
    <w:rsid w:val="009255EE"/>
    <w:rsid w:val="00925603"/>
    <w:rsid w:val="00925F76"/>
    <w:rsid w:val="00927723"/>
    <w:rsid w:val="00932E89"/>
    <w:rsid w:val="0093359D"/>
    <w:rsid w:val="009338E9"/>
    <w:rsid w:val="00933F2B"/>
    <w:rsid w:val="009346A3"/>
    <w:rsid w:val="0093511E"/>
    <w:rsid w:val="00935CF0"/>
    <w:rsid w:val="00936C8C"/>
    <w:rsid w:val="00936D88"/>
    <w:rsid w:val="009376A9"/>
    <w:rsid w:val="00940FBC"/>
    <w:rsid w:val="00942137"/>
    <w:rsid w:val="00942EEB"/>
    <w:rsid w:val="00943867"/>
    <w:rsid w:val="0094468E"/>
    <w:rsid w:val="00945261"/>
    <w:rsid w:val="00946336"/>
    <w:rsid w:val="009505E8"/>
    <w:rsid w:val="009506A5"/>
    <w:rsid w:val="0095360C"/>
    <w:rsid w:val="009540FD"/>
    <w:rsid w:val="009541CC"/>
    <w:rsid w:val="00956564"/>
    <w:rsid w:val="00956D5A"/>
    <w:rsid w:val="009579CA"/>
    <w:rsid w:val="0096042B"/>
    <w:rsid w:val="00961B2C"/>
    <w:rsid w:val="00961DBB"/>
    <w:rsid w:val="0096618E"/>
    <w:rsid w:val="009664E7"/>
    <w:rsid w:val="00971DAB"/>
    <w:rsid w:val="009745F9"/>
    <w:rsid w:val="00981433"/>
    <w:rsid w:val="00981C73"/>
    <w:rsid w:val="00982C95"/>
    <w:rsid w:val="00982D6C"/>
    <w:rsid w:val="00985C07"/>
    <w:rsid w:val="009904AE"/>
    <w:rsid w:val="00995B4F"/>
    <w:rsid w:val="00997582"/>
    <w:rsid w:val="009A2C21"/>
    <w:rsid w:val="009A3E58"/>
    <w:rsid w:val="009A3F43"/>
    <w:rsid w:val="009A5F02"/>
    <w:rsid w:val="009A6CAA"/>
    <w:rsid w:val="009A77BB"/>
    <w:rsid w:val="009A7AB1"/>
    <w:rsid w:val="009B0386"/>
    <w:rsid w:val="009B0B68"/>
    <w:rsid w:val="009B48FA"/>
    <w:rsid w:val="009B79E2"/>
    <w:rsid w:val="009B7B1D"/>
    <w:rsid w:val="009B7E07"/>
    <w:rsid w:val="009C0C00"/>
    <w:rsid w:val="009C124F"/>
    <w:rsid w:val="009C45CC"/>
    <w:rsid w:val="009C6DAA"/>
    <w:rsid w:val="009D0C39"/>
    <w:rsid w:val="009D0E74"/>
    <w:rsid w:val="009D1262"/>
    <w:rsid w:val="009D1A40"/>
    <w:rsid w:val="009D1A96"/>
    <w:rsid w:val="009D370B"/>
    <w:rsid w:val="009D46D1"/>
    <w:rsid w:val="009D588D"/>
    <w:rsid w:val="009D66C4"/>
    <w:rsid w:val="009D79DB"/>
    <w:rsid w:val="009E1057"/>
    <w:rsid w:val="009E2087"/>
    <w:rsid w:val="009E252B"/>
    <w:rsid w:val="009E3265"/>
    <w:rsid w:val="009E3353"/>
    <w:rsid w:val="009E33AA"/>
    <w:rsid w:val="009E446D"/>
    <w:rsid w:val="009E6693"/>
    <w:rsid w:val="009E773E"/>
    <w:rsid w:val="009E7C09"/>
    <w:rsid w:val="009F146D"/>
    <w:rsid w:val="009F4F1E"/>
    <w:rsid w:val="009F688D"/>
    <w:rsid w:val="009F69E4"/>
    <w:rsid w:val="009F69FE"/>
    <w:rsid w:val="009F7642"/>
    <w:rsid w:val="00A00BCD"/>
    <w:rsid w:val="00A015E4"/>
    <w:rsid w:val="00A03557"/>
    <w:rsid w:val="00A06AE2"/>
    <w:rsid w:val="00A075BC"/>
    <w:rsid w:val="00A11222"/>
    <w:rsid w:val="00A12185"/>
    <w:rsid w:val="00A12C39"/>
    <w:rsid w:val="00A12C87"/>
    <w:rsid w:val="00A12D54"/>
    <w:rsid w:val="00A134FB"/>
    <w:rsid w:val="00A137D8"/>
    <w:rsid w:val="00A13A23"/>
    <w:rsid w:val="00A141C4"/>
    <w:rsid w:val="00A152D1"/>
    <w:rsid w:val="00A15324"/>
    <w:rsid w:val="00A1707A"/>
    <w:rsid w:val="00A20802"/>
    <w:rsid w:val="00A22A67"/>
    <w:rsid w:val="00A23689"/>
    <w:rsid w:val="00A24314"/>
    <w:rsid w:val="00A24FEA"/>
    <w:rsid w:val="00A25B4F"/>
    <w:rsid w:val="00A276E7"/>
    <w:rsid w:val="00A3159C"/>
    <w:rsid w:val="00A324B9"/>
    <w:rsid w:val="00A32BC2"/>
    <w:rsid w:val="00A35B30"/>
    <w:rsid w:val="00A3788A"/>
    <w:rsid w:val="00A401A6"/>
    <w:rsid w:val="00A40A9F"/>
    <w:rsid w:val="00A40B3F"/>
    <w:rsid w:val="00A40FB6"/>
    <w:rsid w:val="00A42D49"/>
    <w:rsid w:val="00A43A93"/>
    <w:rsid w:val="00A43E25"/>
    <w:rsid w:val="00A442BF"/>
    <w:rsid w:val="00A44C0C"/>
    <w:rsid w:val="00A45BCE"/>
    <w:rsid w:val="00A47968"/>
    <w:rsid w:val="00A50297"/>
    <w:rsid w:val="00A51118"/>
    <w:rsid w:val="00A53716"/>
    <w:rsid w:val="00A54F27"/>
    <w:rsid w:val="00A5629E"/>
    <w:rsid w:val="00A566E3"/>
    <w:rsid w:val="00A57C35"/>
    <w:rsid w:val="00A603AD"/>
    <w:rsid w:val="00A604FB"/>
    <w:rsid w:val="00A61ACB"/>
    <w:rsid w:val="00A64832"/>
    <w:rsid w:val="00A716D6"/>
    <w:rsid w:val="00A71B87"/>
    <w:rsid w:val="00A732DB"/>
    <w:rsid w:val="00A73F42"/>
    <w:rsid w:val="00A74360"/>
    <w:rsid w:val="00A76093"/>
    <w:rsid w:val="00A76ABD"/>
    <w:rsid w:val="00A80A04"/>
    <w:rsid w:val="00A8269B"/>
    <w:rsid w:val="00A82933"/>
    <w:rsid w:val="00A8387F"/>
    <w:rsid w:val="00A84743"/>
    <w:rsid w:val="00A84EB7"/>
    <w:rsid w:val="00A86F04"/>
    <w:rsid w:val="00A90785"/>
    <w:rsid w:val="00A93642"/>
    <w:rsid w:val="00A93B69"/>
    <w:rsid w:val="00A946C4"/>
    <w:rsid w:val="00A95632"/>
    <w:rsid w:val="00A97264"/>
    <w:rsid w:val="00AA0DB7"/>
    <w:rsid w:val="00AA5768"/>
    <w:rsid w:val="00AA6B74"/>
    <w:rsid w:val="00AB064D"/>
    <w:rsid w:val="00AB49B9"/>
    <w:rsid w:val="00AB7444"/>
    <w:rsid w:val="00AC01F8"/>
    <w:rsid w:val="00AC059A"/>
    <w:rsid w:val="00AC3456"/>
    <w:rsid w:val="00AC3AC9"/>
    <w:rsid w:val="00AC454E"/>
    <w:rsid w:val="00AC5B3D"/>
    <w:rsid w:val="00AD0308"/>
    <w:rsid w:val="00AD377A"/>
    <w:rsid w:val="00AD5717"/>
    <w:rsid w:val="00AD5CA2"/>
    <w:rsid w:val="00AD67BB"/>
    <w:rsid w:val="00AE0003"/>
    <w:rsid w:val="00AE1CC1"/>
    <w:rsid w:val="00AE2B32"/>
    <w:rsid w:val="00AE3A93"/>
    <w:rsid w:val="00AE3D41"/>
    <w:rsid w:val="00AE3EA4"/>
    <w:rsid w:val="00AE4F2D"/>
    <w:rsid w:val="00AE7BC0"/>
    <w:rsid w:val="00AF09CA"/>
    <w:rsid w:val="00AF1B02"/>
    <w:rsid w:val="00AF41E4"/>
    <w:rsid w:val="00AF4F0B"/>
    <w:rsid w:val="00AF5C70"/>
    <w:rsid w:val="00B06A75"/>
    <w:rsid w:val="00B06BC3"/>
    <w:rsid w:val="00B11FDA"/>
    <w:rsid w:val="00B15A0F"/>
    <w:rsid w:val="00B1675D"/>
    <w:rsid w:val="00B16EAF"/>
    <w:rsid w:val="00B20236"/>
    <w:rsid w:val="00B204C4"/>
    <w:rsid w:val="00B20937"/>
    <w:rsid w:val="00B215C7"/>
    <w:rsid w:val="00B220A0"/>
    <w:rsid w:val="00B22B64"/>
    <w:rsid w:val="00B22FEA"/>
    <w:rsid w:val="00B24321"/>
    <w:rsid w:val="00B27938"/>
    <w:rsid w:val="00B30056"/>
    <w:rsid w:val="00B30FEB"/>
    <w:rsid w:val="00B35B72"/>
    <w:rsid w:val="00B36879"/>
    <w:rsid w:val="00B377BC"/>
    <w:rsid w:val="00B40275"/>
    <w:rsid w:val="00B40AA3"/>
    <w:rsid w:val="00B42500"/>
    <w:rsid w:val="00B42B78"/>
    <w:rsid w:val="00B44478"/>
    <w:rsid w:val="00B4621F"/>
    <w:rsid w:val="00B50079"/>
    <w:rsid w:val="00B53799"/>
    <w:rsid w:val="00B5592B"/>
    <w:rsid w:val="00B57E48"/>
    <w:rsid w:val="00B6002C"/>
    <w:rsid w:val="00B60205"/>
    <w:rsid w:val="00B60E63"/>
    <w:rsid w:val="00B620EE"/>
    <w:rsid w:val="00B67FCB"/>
    <w:rsid w:val="00B71E85"/>
    <w:rsid w:val="00B727CC"/>
    <w:rsid w:val="00B72D9D"/>
    <w:rsid w:val="00B734A2"/>
    <w:rsid w:val="00B75BF9"/>
    <w:rsid w:val="00B762B7"/>
    <w:rsid w:val="00B8040B"/>
    <w:rsid w:val="00B81D6C"/>
    <w:rsid w:val="00B8250F"/>
    <w:rsid w:val="00B8465E"/>
    <w:rsid w:val="00B85366"/>
    <w:rsid w:val="00B87583"/>
    <w:rsid w:val="00B87F60"/>
    <w:rsid w:val="00B90720"/>
    <w:rsid w:val="00B91334"/>
    <w:rsid w:val="00B91D1A"/>
    <w:rsid w:val="00B9370C"/>
    <w:rsid w:val="00B93D3D"/>
    <w:rsid w:val="00B9783D"/>
    <w:rsid w:val="00BA471F"/>
    <w:rsid w:val="00BA6DA3"/>
    <w:rsid w:val="00BA6ED9"/>
    <w:rsid w:val="00BB30EF"/>
    <w:rsid w:val="00BB347E"/>
    <w:rsid w:val="00BB5013"/>
    <w:rsid w:val="00BB528E"/>
    <w:rsid w:val="00BC2600"/>
    <w:rsid w:val="00BC36F0"/>
    <w:rsid w:val="00BC4FA7"/>
    <w:rsid w:val="00BC5CCC"/>
    <w:rsid w:val="00BC5E30"/>
    <w:rsid w:val="00BD02C5"/>
    <w:rsid w:val="00BD068D"/>
    <w:rsid w:val="00BD315C"/>
    <w:rsid w:val="00BD4529"/>
    <w:rsid w:val="00BD54B1"/>
    <w:rsid w:val="00BD61D5"/>
    <w:rsid w:val="00BD6E13"/>
    <w:rsid w:val="00BE0D9A"/>
    <w:rsid w:val="00BE1A50"/>
    <w:rsid w:val="00BE2F0D"/>
    <w:rsid w:val="00BE5FC2"/>
    <w:rsid w:val="00BE6BD3"/>
    <w:rsid w:val="00BF0BD5"/>
    <w:rsid w:val="00BF199C"/>
    <w:rsid w:val="00BF3D03"/>
    <w:rsid w:val="00BF4928"/>
    <w:rsid w:val="00BF4AAA"/>
    <w:rsid w:val="00BF50D4"/>
    <w:rsid w:val="00BF55F8"/>
    <w:rsid w:val="00C032A3"/>
    <w:rsid w:val="00C03A1E"/>
    <w:rsid w:val="00C03C64"/>
    <w:rsid w:val="00C051FD"/>
    <w:rsid w:val="00C070D6"/>
    <w:rsid w:val="00C11274"/>
    <w:rsid w:val="00C1397A"/>
    <w:rsid w:val="00C13A5B"/>
    <w:rsid w:val="00C13C4D"/>
    <w:rsid w:val="00C20C7D"/>
    <w:rsid w:val="00C20DEF"/>
    <w:rsid w:val="00C22000"/>
    <w:rsid w:val="00C22F35"/>
    <w:rsid w:val="00C23E42"/>
    <w:rsid w:val="00C24B25"/>
    <w:rsid w:val="00C255DE"/>
    <w:rsid w:val="00C25B9C"/>
    <w:rsid w:val="00C30165"/>
    <w:rsid w:val="00C30203"/>
    <w:rsid w:val="00C319C7"/>
    <w:rsid w:val="00C32C2F"/>
    <w:rsid w:val="00C34201"/>
    <w:rsid w:val="00C35677"/>
    <w:rsid w:val="00C3738A"/>
    <w:rsid w:val="00C400B6"/>
    <w:rsid w:val="00C40E43"/>
    <w:rsid w:val="00C4315A"/>
    <w:rsid w:val="00C43BE3"/>
    <w:rsid w:val="00C43F5E"/>
    <w:rsid w:val="00C44074"/>
    <w:rsid w:val="00C4651F"/>
    <w:rsid w:val="00C50E8F"/>
    <w:rsid w:val="00C51446"/>
    <w:rsid w:val="00C51D0B"/>
    <w:rsid w:val="00C52A50"/>
    <w:rsid w:val="00C541EE"/>
    <w:rsid w:val="00C54903"/>
    <w:rsid w:val="00C55482"/>
    <w:rsid w:val="00C55632"/>
    <w:rsid w:val="00C6093C"/>
    <w:rsid w:val="00C61C06"/>
    <w:rsid w:val="00C642D4"/>
    <w:rsid w:val="00C704D8"/>
    <w:rsid w:val="00C7170B"/>
    <w:rsid w:val="00C72DA5"/>
    <w:rsid w:val="00C730F4"/>
    <w:rsid w:val="00C76059"/>
    <w:rsid w:val="00C77941"/>
    <w:rsid w:val="00C80200"/>
    <w:rsid w:val="00C80F68"/>
    <w:rsid w:val="00C8270B"/>
    <w:rsid w:val="00C8316E"/>
    <w:rsid w:val="00C841A9"/>
    <w:rsid w:val="00C847C5"/>
    <w:rsid w:val="00C8728F"/>
    <w:rsid w:val="00C90716"/>
    <w:rsid w:val="00C95826"/>
    <w:rsid w:val="00C97FBC"/>
    <w:rsid w:val="00CA0662"/>
    <w:rsid w:val="00CA0B7E"/>
    <w:rsid w:val="00CA1ABA"/>
    <w:rsid w:val="00CA5598"/>
    <w:rsid w:val="00CA5EF8"/>
    <w:rsid w:val="00CB2353"/>
    <w:rsid w:val="00CB28A3"/>
    <w:rsid w:val="00CB3273"/>
    <w:rsid w:val="00CB6580"/>
    <w:rsid w:val="00CB756C"/>
    <w:rsid w:val="00CC00A0"/>
    <w:rsid w:val="00CC029E"/>
    <w:rsid w:val="00CC087A"/>
    <w:rsid w:val="00CC1E07"/>
    <w:rsid w:val="00CC5455"/>
    <w:rsid w:val="00CC6C06"/>
    <w:rsid w:val="00CC75CE"/>
    <w:rsid w:val="00CC7EF0"/>
    <w:rsid w:val="00CD02A8"/>
    <w:rsid w:val="00CD27A1"/>
    <w:rsid w:val="00CD4356"/>
    <w:rsid w:val="00CD5509"/>
    <w:rsid w:val="00CD7055"/>
    <w:rsid w:val="00CE1349"/>
    <w:rsid w:val="00CE1743"/>
    <w:rsid w:val="00CE1EB0"/>
    <w:rsid w:val="00CE2EE5"/>
    <w:rsid w:val="00CE393B"/>
    <w:rsid w:val="00CE3DF2"/>
    <w:rsid w:val="00CE44FF"/>
    <w:rsid w:val="00CE678A"/>
    <w:rsid w:val="00CF09D1"/>
    <w:rsid w:val="00CF0C0F"/>
    <w:rsid w:val="00CF1690"/>
    <w:rsid w:val="00CF1B09"/>
    <w:rsid w:val="00CF1F2A"/>
    <w:rsid w:val="00CF3582"/>
    <w:rsid w:val="00CF3BA1"/>
    <w:rsid w:val="00CF43E3"/>
    <w:rsid w:val="00CF571A"/>
    <w:rsid w:val="00CF5CE3"/>
    <w:rsid w:val="00CF6062"/>
    <w:rsid w:val="00CF7412"/>
    <w:rsid w:val="00D021A8"/>
    <w:rsid w:val="00D02679"/>
    <w:rsid w:val="00D030F8"/>
    <w:rsid w:val="00D03ADC"/>
    <w:rsid w:val="00D05E98"/>
    <w:rsid w:val="00D077B7"/>
    <w:rsid w:val="00D07D46"/>
    <w:rsid w:val="00D10145"/>
    <w:rsid w:val="00D101FE"/>
    <w:rsid w:val="00D1076F"/>
    <w:rsid w:val="00D10F3A"/>
    <w:rsid w:val="00D13FE9"/>
    <w:rsid w:val="00D143F0"/>
    <w:rsid w:val="00D14AC3"/>
    <w:rsid w:val="00D14CD5"/>
    <w:rsid w:val="00D169E0"/>
    <w:rsid w:val="00D20297"/>
    <w:rsid w:val="00D21E6B"/>
    <w:rsid w:val="00D23634"/>
    <w:rsid w:val="00D23A1D"/>
    <w:rsid w:val="00D30F91"/>
    <w:rsid w:val="00D31254"/>
    <w:rsid w:val="00D320BD"/>
    <w:rsid w:val="00D34076"/>
    <w:rsid w:val="00D341B2"/>
    <w:rsid w:val="00D34551"/>
    <w:rsid w:val="00D37CC3"/>
    <w:rsid w:val="00D452D2"/>
    <w:rsid w:val="00D457D6"/>
    <w:rsid w:val="00D45978"/>
    <w:rsid w:val="00D53D43"/>
    <w:rsid w:val="00D56E6A"/>
    <w:rsid w:val="00D573D3"/>
    <w:rsid w:val="00D57730"/>
    <w:rsid w:val="00D607ED"/>
    <w:rsid w:val="00D64CE2"/>
    <w:rsid w:val="00D64D97"/>
    <w:rsid w:val="00D65408"/>
    <w:rsid w:val="00D66EC0"/>
    <w:rsid w:val="00D6773F"/>
    <w:rsid w:val="00D7125B"/>
    <w:rsid w:val="00D7751B"/>
    <w:rsid w:val="00D80F52"/>
    <w:rsid w:val="00D815DC"/>
    <w:rsid w:val="00D822B5"/>
    <w:rsid w:val="00D83D3C"/>
    <w:rsid w:val="00D857F7"/>
    <w:rsid w:val="00D867AE"/>
    <w:rsid w:val="00D87BBB"/>
    <w:rsid w:val="00D87C87"/>
    <w:rsid w:val="00D87F5B"/>
    <w:rsid w:val="00D90AFD"/>
    <w:rsid w:val="00D91AD9"/>
    <w:rsid w:val="00D921C4"/>
    <w:rsid w:val="00D9296A"/>
    <w:rsid w:val="00D93C23"/>
    <w:rsid w:val="00D95638"/>
    <w:rsid w:val="00D9584C"/>
    <w:rsid w:val="00DA14D9"/>
    <w:rsid w:val="00DA62C7"/>
    <w:rsid w:val="00DB13AD"/>
    <w:rsid w:val="00DB23F9"/>
    <w:rsid w:val="00DB365E"/>
    <w:rsid w:val="00DB40AB"/>
    <w:rsid w:val="00DB4ABB"/>
    <w:rsid w:val="00DB58BE"/>
    <w:rsid w:val="00DB6176"/>
    <w:rsid w:val="00DB6AA0"/>
    <w:rsid w:val="00DB7C3A"/>
    <w:rsid w:val="00DC0889"/>
    <w:rsid w:val="00DC5E59"/>
    <w:rsid w:val="00DC6526"/>
    <w:rsid w:val="00DD2695"/>
    <w:rsid w:val="00DD32AB"/>
    <w:rsid w:val="00DD4C35"/>
    <w:rsid w:val="00DD5BF6"/>
    <w:rsid w:val="00DD6A03"/>
    <w:rsid w:val="00DE00D4"/>
    <w:rsid w:val="00DE1865"/>
    <w:rsid w:val="00DE243F"/>
    <w:rsid w:val="00DE6CEF"/>
    <w:rsid w:val="00DF11C2"/>
    <w:rsid w:val="00DF16AA"/>
    <w:rsid w:val="00DF2D0E"/>
    <w:rsid w:val="00DF4593"/>
    <w:rsid w:val="00DF5A63"/>
    <w:rsid w:val="00DF743D"/>
    <w:rsid w:val="00E00251"/>
    <w:rsid w:val="00E00A4A"/>
    <w:rsid w:val="00E05BE3"/>
    <w:rsid w:val="00E06407"/>
    <w:rsid w:val="00E06570"/>
    <w:rsid w:val="00E07117"/>
    <w:rsid w:val="00E10115"/>
    <w:rsid w:val="00E10D05"/>
    <w:rsid w:val="00E2223E"/>
    <w:rsid w:val="00E223D2"/>
    <w:rsid w:val="00E22777"/>
    <w:rsid w:val="00E22D98"/>
    <w:rsid w:val="00E24623"/>
    <w:rsid w:val="00E252E3"/>
    <w:rsid w:val="00E26636"/>
    <w:rsid w:val="00E27491"/>
    <w:rsid w:val="00E30EF4"/>
    <w:rsid w:val="00E3127B"/>
    <w:rsid w:val="00E32211"/>
    <w:rsid w:val="00E40505"/>
    <w:rsid w:val="00E41C7C"/>
    <w:rsid w:val="00E41C81"/>
    <w:rsid w:val="00E42A41"/>
    <w:rsid w:val="00E45766"/>
    <w:rsid w:val="00E52FA9"/>
    <w:rsid w:val="00E567E5"/>
    <w:rsid w:val="00E57BFF"/>
    <w:rsid w:val="00E610D7"/>
    <w:rsid w:val="00E663CB"/>
    <w:rsid w:val="00E6708B"/>
    <w:rsid w:val="00E73909"/>
    <w:rsid w:val="00E73A8C"/>
    <w:rsid w:val="00E74169"/>
    <w:rsid w:val="00E75050"/>
    <w:rsid w:val="00E76B96"/>
    <w:rsid w:val="00E76F42"/>
    <w:rsid w:val="00E83DBB"/>
    <w:rsid w:val="00E915E6"/>
    <w:rsid w:val="00E9492F"/>
    <w:rsid w:val="00E967B8"/>
    <w:rsid w:val="00E96ACD"/>
    <w:rsid w:val="00EA3E11"/>
    <w:rsid w:val="00EA6EB3"/>
    <w:rsid w:val="00EB028B"/>
    <w:rsid w:val="00EB4A8E"/>
    <w:rsid w:val="00EB4B9D"/>
    <w:rsid w:val="00EB5EF3"/>
    <w:rsid w:val="00EB695D"/>
    <w:rsid w:val="00EC24C3"/>
    <w:rsid w:val="00EC2521"/>
    <w:rsid w:val="00EC35C2"/>
    <w:rsid w:val="00ED2730"/>
    <w:rsid w:val="00ED39CE"/>
    <w:rsid w:val="00ED4134"/>
    <w:rsid w:val="00ED493B"/>
    <w:rsid w:val="00ED5D2C"/>
    <w:rsid w:val="00EE05F1"/>
    <w:rsid w:val="00EE3266"/>
    <w:rsid w:val="00EE471A"/>
    <w:rsid w:val="00EE49D3"/>
    <w:rsid w:val="00EE5492"/>
    <w:rsid w:val="00EE572B"/>
    <w:rsid w:val="00EF2C05"/>
    <w:rsid w:val="00EF3690"/>
    <w:rsid w:val="00EF3DA1"/>
    <w:rsid w:val="00EF403C"/>
    <w:rsid w:val="00EF4DE5"/>
    <w:rsid w:val="00EF7C3A"/>
    <w:rsid w:val="00F039B7"/>
    <w:rsid w:val="00F0496F"/>
    <w:rsid w:val="00F04F91"/>
    <w:rsid w:val="00F058AD"/>
    <w:rsid w:val="00F05A27"/>
    <w:rsid w:val="00F07BD5"/>
    <w:rsid w:val="00F122D6"/>
    <w:rsid w:val="00F14117"/>
    <w:rsid w:val="00F15BF4"/>
    <w:rsid w:val="00F16F47"/>
    <w:rsid w:val="00F17565"/>
    <w:rsid w:val="00F17940"/>
    <w:rsid w:val="00F17E57"/>
    <w:rsid w:val="00F17EF4"/>
    <w:rsid w:val="00F2046C"/>
    <w:rsid w:val="00F20647"/>
    <w:rsid w:val="00F20709"/>
    <w:rsid w:val="00F20BE4"/>
    <w:rsid w:val="00F22135"/>
    <w:rsid w:val="00F2331B"/>
    <w:rsid w:val="00F2333A"/>
    <w:rsid w:val="00F24844"/>
    <w:rsid w:val="00F24B37"/>
    <w:rsid w:val="00F26FBF"/>
    <w:rsid w:val="00F312BE"/>
    <w:rsid w:val="00F31392"/>
    <w:rsid w:val="00F3155C"/>
    <w:rsid w:val="00F348B5"/>
    <w:rsid w:val="00F3652B"/>
    <w:rsid w:val="00F377B9"/>
    <w:rsid w:val="00F42741"/>
    <w:rsid w:val="00F42F89"/>
    <w:rsid w:val="00F43728"/>
    <w:rsid w:val="00F44FF5"/>
    <w:rsid w:val="00F45442"/>
    <w:rsid w:val="00F4548A"/>
    <w:rsid w:val="00F47363"/>
    <w:rsid w:val="00F50B5B"/>
    <w:rsid w:val="00F5145E"/>
    <w:rsid w:val="00F5173A"/>
    <w:rsid w:val="00F558EA"/>
    <w:rsid w:val="00F613CB"/>
    <w:rsid w:val="00F61F79"/>
    <w:rsid w:val="00F6331D"/>
    <w:rsid w:val="00F656A4"/>
    <w:rsid w:val="00F664C4"/>
    <w:rsid w:val="00F6665E"/>
    <w:rsid w:val="00F6695D"/>
    <w:rsid w:val="00F67D12"/>
    <w:rsid w:val="00F7075F"/>
    <w:rsid w:val="00F71D76"/>
    <w:rsid w:val="00F76BB4"/>
    <w:rsid w:val="00F76CFC"/>
    <w:rsid w:val="00F76EE5"/>
    <w:rsid w:val="00F770E1"/>
    <w:rsid w:val="00F8349F"/>
    <w:rsid w:val="00F83FB7"/>
    <w:rsid w:val="00F840D8"/>
    <w:rsid w:val="00F84989"/>
    <w:rsid w:val="00F85935"/>
    <w:rsid w:val="00F85D29"/>
    <w:rsid w:val="00F93B66"/>
    <w:rsid w:val="00F93CD2"/>
    <w:rsid w:val="00F951D1"/>
    <w:rsid w:val="00F969D3"/>
    <w:rsid w:val="00F96CD5"/>
    <w:rsid w:val="00F9771D"/>
    <w:rsid w:val="00FA1132"/>
    <w:rsid w:val="00FA190E"/>
    <w:rsid w:val="00FA5129"/>
    <w:rsid w:val="00FA54D8"/>
    <w:rsid w:val="00FA60F7"/>
    <w:rsid w:val="00FB0739"/>
    <w:rsid w:val="00FC0FC2"/>
    <w:rsid w:val="00FC121F"/>
    <w:rsid w:val="00FC27E6"/>
    <w:rsid w:val="00FC4B33"/>
    <w:rsid w:val="00FC4FB7"/>
    <w:rsid w:val="00FD0DEE"/>
    <w:rsid w:val="00FD357B"/>
    <w:rsid w:val="00FD38FC"/>
    <w:rsid w:val="00FD6119"/>
    <w:rsid w:val="00FD688E"/>
    <w:rsid w:val="00FD7C0C"/>
    <w:rsid w:val="00FE045C"/>
    <w:rsid w:val="00FE0C52"/>
    <w:rsid w:val="00FE1692"/>
    <w:rsid w:val="00FE18C7"/>
    <w:rsid w:val="00FE1BC6"/>
    <w:rsid w:val="00FE1BF2"/>
    <w:rsid w:val="00FE5BA8"/>
    <w:rsid w:val="00FE6E41"/>
    <w:rsid w:val="00FF0566"/>
    <w:rsid w:val="00FF0E42"/>
    <w:rsid w:val="00FF38C9"/>
    <w:rsid w:val="00FF3A83"/>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6253DF"/>
  </w:style>
  <w:style w:type="paragraph" w:styleId="Heading1">
    <w:name w:val="heading 1"/>
    <w:basedOn w:val="Normal"/>
    <w:next w:val="BodyText"/>
    <w:link w:val="Heading1Char"/>
    <w:qFormat/>
    <w:rsid w:val="00733970"/>
    <w:pPr>
      <w:keepNext/>
      <w:keepLines/>
      <w:numPr>
        <w:numId w:val="10"/>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10"/>
      </w:numPr>
      <w:tabs>
        <w:tab w:val="left" w:pos="1418"/>
        <w:tab w:val="left" w:pos="1701"/>
        <w:tab w:val="left" w:pos="1985"/>
      </w:tabs>
      <w:spacing w:before="470" w:after="227"/>
      <w:ind w:left="765"/>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B620EE"/>
    <w:pPr>
      <w:keepNext/>
      <w:keepLines/>
      <w:numPr>
        <w:ilvl w:val="2"/>
        <w:numId w:val="10"/>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2910CB"/>
    <w:pPr>
      <w:tabs>
        <w:tab w:val="left" w:pos="425"/>
      </w:tabs>
      <w:spacing w:before="50" w:line="260" w:lineRule="exact"/>
      <w:ind w:left="454" w:hanging="454"/>
    </w:pPr>
    <w:rPr>
      <w:kern w:val="16"/>
      <w:sz w:val="18"/>
    </w:rPr>
  </w:style>
  <w:style w:type="character" w:customStyle="1" w:styleId="FootnoteTextChar">
    <w:name w:val="Footnote Text Char"/>
    <w:basedOn w:val="DefaultParagraphFont"/>
    <w:link w:val="FootnoteText"/>
    <w:rsid w:val="002910CB"/>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2"/>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3"/>
      </w:numPr>
      <w:spacing w:before="113" w:after="113"/>
    </w:pPr>
    <w:rPr>
      <w:spacing w:val="-1"/>
    </w:rPr>
  </w:style>
  <w:style w:type="paragraph" w:styleId="ListNumber2">
    <w:name w:val="List Number 2"/>
    <w:basedOn w:val="Normal"/>
    <w:qFormat/>
    <w:rsid w:val="00961DBB"/>
    <w:pPr>
      <w:numPr>
        <w:ilvl w:val="1"/>
        <w:numId w:val="3"/>
      </w:numPr>
      <w:spacing w:before="113" w:after="113"/>
    </w:pPr>
    <w:rPr>
      <w:spacing w:val="-1"/>
    </w:rPr>
  </w:style>
  <w:style w:type="paragraph" w:styleId="ListNumber3">
    <w:name w:val="List Number 3"/>
    <w:basedOn w:val="Normal"/>
    <w:qFormat/>
    <w:rsid w:val="00961DBB"/>
    <w:pPr>
      <w:numPr>
        <w:ilvl w:val="2"/>
        <w:numId w:val="3"/>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4"/>
      </w:numPr>
    </w:pPr>
  </w:style>
  <w:style w:type="paragraph" w:customStyle="1" w:styleId="PullOutBoxBullet2">
    <w:name w:val="Pull Out Box Bullet 2"/>
    <w:basedOn w:val="PullOutBoxBodyText"/>
    <w:qFormat/>
    <w:rsid w:val="00961DBB"/>
    <w:pPr>
      <w:numPr>
        <w:ilvl w:val="1"/>
        <w:numId w:val="4"/>
      </w:numPr>
    </w:pPr>
  </w:style>
  <w:style w:type="paragraph" w:customStyle="1" w:styleId="PullOutBoxBullet3">
    <w:name w:val="Pull Out Box Bullet 3"/>
    <w:basedOn w:val="PullOutBoxBodyText"/>
    <w:qFormat/>
    <w:rsid w:val="00961DBB"/>
    <w:pPr>
      <w:numPr>
        <w:ilvl w:val="2"/>
        <w:numId w:val="4"/>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5"/>
      </w:numPr>
    </w:pPr>
  </w:style>
  <w:style w:type="paragraph" w:customStyle="1" w:styleId="PullOutBoxNumber2">
    <w:name w:val="Pull Out Box Number 2"/>
    <w:basedOn w:val="PullOutBoxBodyText"/>
    <w:qFormat/>
    <w:rsid w:val="00961DBB"/>
    <w:pPr>
      <w:numPr>
        <w:ilvl w:val="1"/>
        <w:numId w:val="5"/>
      </w:numPr>
    </w:pPr>
  </w:style>
  <w:style w:type="paragraph" w:customStyle="1" w:styleId="PullOutBoxNumber3">
    <w:name w:val="Pull Out Box Number 3"/>
    <w:basedOn w:val="PullOutBoxBodyText"/>
    <w:qFormat/>
    <w:rsid w:val="00961DBB"/>
    <w:pPr>
      <w:numPr>
        <w:ilvl w:val="2"/>
        <w:numId w:val="5"/>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6"/>
      </w:numPr>
    </w:pPr>
  </w:style>
  <w:style w:type="paragraph" w:customStyle="1" w:styleId="QuoteBullet2">
    <w:name w:val="Quote Bullet 2"/>
    <w:basedOn w:val="Quote"/>
    <w:qFormat/>
    <w:rsid w:val="00961DBB"/>
    <w:pPr>
      <w:numPr>
        <w:ilvl w:val="1"/>
        <w:numId w:val="6"/>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BD315C"/>
    <w:pPr>
      <w:keepLines/>
      <w:numPr>
        <w:numId w:val="7"/>
      </w:numPr>
      <w:spacing w:before="114" w:after="50"/>
      <w:ind w:left="227" w:hanging="227"/>
    </w:pPr>
    <w:rPr>
      <w:color w:val="788184" w:themeColor="background2"/>
      <w:sz w:val="20"/>
    </w:rPr>
  </w:style>
  <w:style w:type="table" w:styleId="TableGrid">
    <w:name w:val="Table Grid"/>
    <w:basedOn w:val="TableNormal"/>
    <w:uiPriority w:val="59"/>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BD315C"/>
    <w:pPr>
      <w:spacing w:before="114"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9"/>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left" w:pos="454"/>
        <w:tab w:val="right" w:leader="underscore" w:pos="8165"/>
      </w:tabs>
      <w:spacing w:after="227"/>
      <w:ind w:left="454" w:right="851" w:hanging="454"/>
    </w:pPr>
    <w:rPr>
      <w:b/>
      <w:noProof/>
      <w:color w:val="2B3B5F" w:themeColor="text2"/>
    </w:rPr>
  </w:style>
  <w:style w:type="paragraph" w:styleId="TOC2">
    <w:name w:val="toc 2"/>
    <w:basedOn w:val="Normal"/>
    <w:next w:val="Normal"/>
    <w:uiPriority w:val="39"/>
    <w:rsid w:val="001B2C65"/>
    <w:pPr>
      <w:tabs>
        <w:tab w:val="left" w:pos="1021"/>
        <w:tab w:val="right" w:leader="underscore" w:pos="8165"/>
      </w:tabs>
      <w:spacing w:after="227"/>
      <w:ind w:left="1021" w:right="851" w:hanging="567"/>
    </w:pPr>
    <w:rPr>
      <w:noProof/>
      <w:szCs w:val="28"/>
    </w:rPr>
  </w:style>
  <w:style w:type="paragraph" w:styleId="TOC3">
    <w:name w:val="toc 3"/>
    <w:basedOn w:val="Normal"/>
    <w:next w:val="Normal"/>
    <w:rsid w:val="001B2C65"/>
    <w:pPr>
      <w:tabs>
        <w:tab w:val="left" w:pos="1758"/>
        <w:tab w:val="right" w:leader="underscore" w:pos="8165"/>
      </w:tabs>
      <w:spacing w:after="227"/>
      <w:ind w:left="1758" w:right="851" w:hanging="737"/>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uiPriority w:val="3"/>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uiPriority w:val="99"/>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styleId="ListParagraph">
    <w:name w:val="List Paragraph"/>
    <w:basedOn w:val="Normal"/>
    <w:uiPriority w:val="34"/>
    <w:qFormat/>
    <w:rsid w:val="00B734A2"/>
    <w:pPr>
      <w:spacing w:after="200" w:line="276" w:lineRule="auto"/>
      <w:ind w:left="720"/>
      <w:contextualSpacing/>
    </w:pPr>
  </w:style>
  <w:style w:type="paragraph" w:styleId="TOC9">
    <w:name w:val="toc 9"/>
    <w:basedOn w:val="Normal"/>
    <w:next w:val="Normal"/>
    <w:autoRedefine/>
    <w:semiHidden/>
    <w:unhideWhenUsed/>
    <w:rsid w:val="00B215C7"/>
    <w:pPr>
      <w:spacing w:after="100"/>
      <w:ind w:left="1760"/>
    </w:pPr>
  </w:style>
  <w:style w:type="character" w:styleId="FollowedHyperlink">
    <w:name w:val="FollowedHyperlink"/>
    <w:basedOn w:val="DefaultParagraphFont"/>
    <w:semiHidden/>
    <w:unhideWhenUsed/>
    <w:rsid w:val="00767425"/>
    <w:rPr>
      <w:color w:val="00000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6253DF"/>
  </w:style>
  <w:style w:type="paragraph" w:styleId="Heading1">
    <w:name w:val="heading 1"/>
    <w:basedOn w:val="Normal"/>
    <w:next w:val="BodyText"/>
    <w:link w:val="Heading1Char"/>
    <w:qFormat/>
    <w:rsid w:val="00733970"/>
    <w:pPr>
      <w:keepNext/>
      <w:keepLines/>
      <w:numPr>
        <w:numId w:val="10"/>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10"/>
      </w:numPr>
      <w:tabs>
        <w:tab w:val="left" w:pos="1418"/>
        <w:tab w:val="left" w:pos="1701"/>
        <w:tab w:val="left" w:pos="1985"/>
      </w:tabs>
      <w:spacing w:before="470" w:after="227"/>
      <w:ind w:left="765"/>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B620EE"/>
    <w:pPr>
      <w:keepNext/>
      <w:keepLines/>
      <w:numPr>
        <w:ilvl w:val="2"/>
        <w:numId w:val="10"/>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2910CB"/>
    <w:pPr>
      <w:tabs>
        <w:tab w:val="left" w:pos="425"/>
      </w:tabs>
      <w:spacing w:before="50" w:line="260" w:lineRule="exact"/>
      <w:ind w:left="454" w:hanging="454"/>
    </w:pPr>
    <w:rPr>
      <w:kern w:val="16"/>
      <w:sz w:val="18"/>
    </w:rPr>
  </w:style>
  <w:style w:type="character" w:customStyle="1" w:styleId="FootnoteTextChar">
    <w:name w:val="Footnote Text Char"/>
    <w:basedOn w:val="DefaultParagraphFont"/>
    <w:link w:val="FootnoteText"/>
    <w:rsid w:val="002910CB"/>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2"/>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3"/>
      </w:numPr>
      <w:spacing w:before="113" w:after="113"/>
    </w:pPr>
    <w:rPr>
      <w:spacing w:val="-1"/>
    </w:rPr>
  </w:style>
  <w:style w:type="paragraph" w:styleId="ListNumber2">
    <w:name w:val="List Number 2"/>
    <w:basedOn w:val="Normal"/>
    <w:qFormat/>
    <w:rsid w:val="00961DBB"/>
    <w:pPr>
      <w:numPr>
        <w:ilvl w:val="1"/>
        <w:numId w:val="3"/>
      </w:numPr>
      <w:spacing w:before="113" w:after="113"/>
    </w:pPr>
    <w:rPr>
      <w:spacing w:val="-1"/>
    </w:rPr>
  </w:style>
  <w:style w:type="paragraph" w:styleId="ListNumber3">
    <w:name w:val="List Number 3"/>
    <w:basedOn w:val="Normal"/>
    <w:qFormat/>
    <w:rsid w:val="00961DBB"/>
    <w:pPr>
      <w:numPr>
        <w:ilvl w:val="2"/>
        <w:numId w:val="3"/>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4"/>
      </w:numPr>
    </w:pPr>
  </w:style>
  <w:style w:type="paragraph" w:customStyle="1" w:styleId="PullOutBoxBullet2">
    <w:name w:val="Pull Out Box Bullet 2"/>
    <w:basedOn w:val="PullOutBoxBodyText"/>
    <w:qFormat/>
    <w:rsid w:val="00961DBB"/>
    <w:pPr>
      <w:numPr>
        <w:ilvl w:val="1"/>
        <w:numId w:val="4"/>
      </w:numPr>
    </w:pPr>
  </w:style>
  <w:style w:type="paragraph" w:customStyle="1" w:styleId="PullOutBoxBullet3">
    <w:name w:val="Pull Out Box Bullet 3"/>
    <w:basedOn w:val="PullOutBoxBodyText"/>
    <w:qFormat/>
    <w:rsid w:val="00961DBB"/>
    <w:pPr>
      <w:numPr>
        <w:ilvl w:val="2"/>
        <w:numId w:val="4"/>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5"/>
      </w:numPr>
    </w:pPr>
  </w:style>
  <w:style w:type="paragraph" w:customStyle="1" w:styleId="PullOutBoxNumber2">
    <w:name w:val="Pull Out Box Number 2"/>
    <w:basedOn w:val="PullOutBoxBodyText"/>
    <w:qFormat/>
    <w:rsid w:val="00961DBB"/>
    <w:pPr>
      <w:numPr>
        <w:ilvl w:val="1"/>
        <w:numId w:val="5"/>
      </w:numPr>
    </w:pPr>
  </w:style>
  <w:style w:type="paragraph" w:customStyle="1" w:styleId="PullOutBoxNumber3">
    <w:name w:val="Pull Out Box Number 3"/>
    <w:basedOn w:val="PullOutBoxBodyText"/>
    <w:qFormat/>
    <w:rsid w:val="00961DBB"/>
    <w:pPr>
      <w:numPr>
        <w:ilvl w:val="2"/>
        <w:numId w:val="5"/>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6"/>
      </w:numPr>
    </w:pPr>
  </w:style>
  <w:style w:type="paragraph" w:customStyle="1" w:styleId="QuoteBullet2">
    <w:name w:val="Quote Bullet 2"/>
    <w:basedOn w:val="Quote"/>
    <w:qFormat/>
    <w:rsid w:val="00961DBB"/>
    <w:pPr>
      <w:numPr>
        <w:ilvl w:val="1"/>
        <w:numId w:val="6"/>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BD315C"/>
    <w:pPr>
      <w:keepLines/>
      <w:numPr>
        <w:numId w:val="7"/>
      </w:numPr>
      <w:spacing w:before="114" w:after="50"/>
      <w:ind w:left="227" w:hanging="227"/>
    </w:pPr>
    <w:rPr>
      <w:color w:val="788184" w:themeColor="background2"/>
      <w:sz w:val="20"/>
    </w:rPr>
  </w:style>
  <w:style w:type="table" w:styleId="TableGrid">
    <w:name w:val="Table Grid"/>
    <w:basedOn w:val="TableNormal"/>
    <w:uiPriority w:val="59"/>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BD315C"/>
    <w:pPr>
      <w:spacing w:before="114"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9"/>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left" w:pos="454"/>
        <w:tab w:val="right" w:leader="underscore" w:pos="8165"/>
      </w:tabs>
      <w:spacing w:after="227"/>
      <w:ind w:left="454" w:right="851" w:hanging="454"/>
    </w:pPr>
    <w:rPr>
      <w:b/>
      <w:noProof/>
      <w:color w:val="2B3B5F" w:themeColor="text2"/>
    </w:rPr>
  </w:style>
  <w:style w:type="paragraph" w:styleId="TOC2">
    <w:name w:val="toc 2"/>
    <w:basedOn w:val="Normal"/>
    <w:next w:val="Normal"/>
    <w:uiPriority w:val="39"/>
    <w:rsid w:val="001B2C65"/>
    <w:pPr>
      <w:tabs>
        <w:tab w:val="left" w:pos="1021"/>
        <w:tab w:val="right" w:leader="underscore" w:pos="8165"/>
      </w:tabs>
      <w:spacing w:after="227"/>
      <w:ind w:left="1021" w:right="851" w:hanging="567"/>
    </w:pPr>
    <w:rPr>
      <w:noProof/>
      <w:szCs w:val="28"/>
    </w:rPr>
  </w:style>
  <w:style w:type="paragraph" w:styleId="TOC3">
    <w:name w:val="toc 3"/>
    <w:basedOn w:val="Normal"/>
    <w:next w:val="Normal"/>
    <w:rsid w:val="001B2C65"/>
    <w:pPr>
      <w:tabs>
        <w:tab w:val="left" w:pos="1758"/>
        <w:tab w:val="right" w:leader="underscore" w:pos="8165"/>
      </w:tabs>
      <w:spacing w:after="227"/>
      <w:ind w:left="1758" w:right="851" w:hanging="737"/>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uiPriority w:val="3"/>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uiPriority w:val="99"/>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styleId="ListParagraph">
    <w:name w:val="List Paragraph"/>
    <w:basedOn w:val="Normal"/>
    <w:uiPriority w:val="34"/>
    <w:qFormat/>
    <w:rsid w:val="00B734A2"/>
    <w:pPr>
      <w:spacing w:after="200" w:line="276" w:lineRule="auto"/>
      <w:ind w:left="720"/>
      <w:contextualSpacing/>
    </w:pPr>
  </w:style>
  <w:style w:type="paragraph" w:styleId="TOC9">
    <w:name w:val="toc 9"/>
    <w:basedOn w:val="Normal"/>
    <w:next w:val="Normal"/>
    <w:autoRedefine/>
    <w:semiHidden/>
    <w:unhideWhenUsed/>
    <w:rsid w:val="00B215C7"/>
    <w:pPr>
      <w:spacing w:after="100"/>
      <w:ind w:left="1760"/>
    </w:pPr>
  </w:style>
  <w:style w:type="character" w:styleId="FollowedHyperlink">
    <w:name w:val="FollowedHyperlink"/>
    <w:basedOn w:val="DefaultParagraphFont"/>
    <w:semiHidden/>
    <w:unhideWhenUsed/>
    <w:rsid w:val="00767425"/>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321663473">
      <w:bodyDiv w:val="1"/>
      <w:marLeft w:val="0"/>
      <w:marRight w:val="0"/>
      <w:marTop w:val="0"/>
      <w:marBottom w:val="0"/>
      <w:divBdr>
        <w:top w:val="none" w:sz="0" w:space="0" w:color="auto"/>
        <w:left w:val="none" w:sz="0" w:space="0" w:color="auto"/>
        <w:bottom w:val="none" w:sz="0" w:space="0" w:color="auto"/>
        <w:right w:val="none" w:sz="0" w:space="0" w:color="auto"/>
      </w:divBdr>
    </w:div>
    <w:div w:id="115194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nc-nd/3.0/au/" TargetMode="Externa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image" Target="media/image3.png"/><Relationship Id="rId42"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yperlink" Target="http://www.pbo.gov.au/"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2.xml"/><Relationship Id="rId29" Type="http://schemas.openxmlformats.org/officeDocument/2006/relationships/footer" Target="footer7.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image" Target="media/image6.png"/><Relationship Id="rId40" Type="http://schemas.openxmlformats.org/officeDocument/2006/relationships/hyperlink" Target="http://www.pbo.gov.au/"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6.xml"/><Relationship Id="rId36"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tsanhonour.gov.au/coat-arms" TargetMode="Externa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image" Target="media/image4.png"/><Relationship Id="rId43"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PBO%20Research%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16720C8610347139D96758891AF37EE"/>
        <w:category>
          <w:name w:val="General"/>
          <w:gallery w:val="placeholder"/>
        </w:category>
        <w:types>
          <w:type w:val="bbPlcHdr"/>
        </w:types>
        <w:behaviors>
          <w:behavior w:val="content"/>
        </w:behaviors>
        <w:guid w:val="{77AD74DE-55CD-4A07-8C51-E7EBA52776E7}"/>
      </w:docPartPr>
      <w:docPartBody>
        <w:p w:rsidR="006C3FEF" w:rsidRDefault="006C3FEF">
          <w:pPr>
            <w:pStyle w:val="E16720C8610347139D96758891AF37EE"/>
          </w:pPr>
          <w:r w:rsidRPr="004F703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FEF"/>
    <w:rsid w:val="000570FE"/>
    <w:rsid w:val="00087F88"/>
    <w:rsid w:val="000D43B8"/>
    <w:rsid w:val="001877A6"/>
    <w:rsid w:val="00192620"/>
    <w:rsid w:val="001A5E10"/>
    <w:rsid w:val="002003A2"/>
    <w:rsid w:val="00333889"/>
    <w:rsid w:val="00462C72"/>
    <w:rsid w:val="004B62CA"/>
    <w:rsid w:val="005008A8"/>
    <w:rsid w:val="00517CC3"/>
    <w:rsid w:val="00592BE5"/>
    <w:rsid w:val="005A0844"/>
    <w:rsid w:val="005B11FE"/>
    <w:rsid w:val="00610994"/>
    <w:rsid w:val="00665D2F"/>
    <w:rsid w:val="006C3FEF"/>
    <w:rsid w:val="006E6305"/>
    <w:rsid w:val="00772DFE"/>
    <w:rsid w:val="008F3968"/>
    <w:rsid w:val="009360F0"/>
    <w:rsid w:val="0094077C"/>
    <w:rsid w:val="009730F2"/>
    <w:rsid w:val="009A7D27"/>
    <w:rsid w:val="009B183A"/>
    <w:rsid w:val="009C1463"/>
    <w:rsid w:val="00A36D24"/>
    <w:rsid w:val="00A436F3"/>
    <w:rsid w:val="00A525F8"/>
    <w:rsid w:val="00B86240"/>
    <w:rsid w:val="00B9751D"/>
    <w:rsid w:val="00BC09F4"/>
    <w:rsid w:val="00CB3691"/>
    <w:rsid w:val="00D96CCB"/>
    <w:rsid w:val="00DC0D6F"/>
    <w:rsid w:val="00E371ED"/>
    <w:rsid w:val="00F011E7"/>
    <w:rsid w:val="00FA5C49"/>
    <w:rsid w:val="00FE4E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86240"/>
    <w:rPr>
      <w:color w:val="808080"/>
    </w:rPr>
  </w:style>
  <w:style w:type="paragraph" w:customStyle="1" w:styleId="E16720C8610347139D96758891AF37EE">
    <w:name w:val="E16720C8610347139D96758891AF37EE"/>
  </w:style>
  <w:style w:type="paragraph" w:customStyle="1" w:styleId="CCB5A3D8121841CD91542BCAFB1C0A55">
    <w:name w:val="CCB5A3D8121841CD91542BCAFB1C0A55"/>
    <w:rsid w:val="00B8624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86240"/>
    <w:rPr>
      <w:color w:val="808080"/>
    </w:rPr>
  </w:style>
  <w:style w:type="paragraph" w:customStyle="1" w:styleId="E16720C8610347139D96758891AF37EE">
    <w:name w:val="E16720C8610347139D96758891AF37EE"/>
  </w:style>
  <w:style w:type="paragraph" w:customStyle="1" w:styleId="CCB5A3D8121841CD91542BCAFB1C0A55">
    <w:name w:val="CCB5A3D8121841CD91542BCAFB1C0A55"/>
    <w:rsid w:val="00B86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A197B-37A5-422A-BDF7-DD0C92BC1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PBO Research Report.dotm</Template>
  <TotalTime>0</TotalTime>
  <Pages>18</Pages>
  <Words>3448</Words>
  <Characters>19656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National Broadband Network - Impact on the Budget</vt:lpstr>
    </vt:vector>
  </TitlesOfParts>
  <Company>Parliament of Australia</Company>
  <LinksUpToDate>false</LinksUpToDate>
  <CharactersWithSpaces>23058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Broadband Network - Impact on the Budget</dc:title>
  <dc:creator>Parliamentary Budget Office</dc:creator>
  <cp:lastModifiedBy>Milligan, Louise (PBO)</cp:lastModifiedBy>
  <cp:revision>3</cp:revision>
  <cp:lastPrinted>2016-12-12T05:50:00Z</cp:lastPrinted>
  <dcterms:created xsi:type="dcterms:W3CDTF">2016-12-13T05:18:00Z</dcterms:created>
  <dcterms:modified xsi:type="dcterms:W3CDTF">2016-12-13T05:20:00Z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Figures</vt:lpwstr>
  </property>
  <property fmtid="{D5CDD505-2E9C-101B-9397-08002B2CF9AE}" pid="10" name="xHeadingsNumbered">
    <vt:lpwstr>True</vt:lpwstr>
  </property>
  <property fmtid="{D5CDD505-2E9C-101B-9397-08002B2CF9AE}" pid="11" name="xAppendixName">
    <vt:lpwstr>Appendix</vt:lpwstr>
  </property>
  <property fmtid="{D5CDD505-2E9C-101B-9397-08002B2CF9AE}" pid="12" name="_MarkAsFinal">
    <vt:bool>true</vt:bool>
  </property>
</Properties>
</file>