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BB" w:rsidRDefault="00961DBB" w:rsidP="00961DBB">
      <w:bookmarkStart w:id="0" w:name="_GoBack"/>
      <w:bookmarkEnd w:id="0"/>
    </w:p>
    <w:tbl>
      <w:tblPr>
        <w:tblStyle w:val="TableAsPlaceholder"/>
        <w:tblpPr w:leftFromText="181" w:rightFromText="181" w:vertAnchor="page" w:horzAnchor="margin" w:tblpY="5779"/>
        <w:tblOverlap w:val="never"/>
        <w:tblW w:w="8277" w:type="dxa"/>
        <w:tblLayout w:type="fixed"/>
        <w:tblLook w:val="04A0" w:firstRow="1" w:lastRow="0" w:firstColumn="1" w:lastColumn="0" w:noHBand="0" w:noVBand="1"/>
      </w:tblPr>
      <w:tblGrid>
        <w:gridCol w:w="8277"/>
      </w:tblGrid>
      <w:tr w:rsidR="00961DBB" w:rsidTr="00C8728F">
        <w:trPr>
          <w:trHeight w:val="907"/>
        </w:trPr>
        <w:tc>
          <w:tcPr>
            <w:tcW w:w="8277" w:type="dxa"/>
          </w:tcPr>
          <w:p w:rsidR="00C509CE" w:rsidRPr="00C509CE" w:rsidRDefault="00C509CE" w:rsidP="00D10101">
            <w:pPr>
              <w:pStyle w:val="Title"/>
            </w:pPr>
            <w:r>
              <w:t>Future Fund dr</w:t>
            </w:r>
            <w:r w:rsidR="00D10101">
              <w:t>awdown scenarios</w:t>
            </w:r>
          </w:p>
        </w:tc>
      </w:tr>
      <w:tr w:rsidR="00F20647" w:rsidTr="00C8728F">
        <w:trPr>
          <w:trHeight w:val="680"/>
        </w:trPr>
        <w:tc>
          <w:tcPr>
            <w:tcW w:w="8277" w:type="dxa"/>
          </w:tcPr>
          <w:p w:rsidR="00F20647" w:rsidRPr="006A7978" w:rsidRDefault="00D10101" w:rsidP="00C8728F">
            <w:pPr>
              <w:pStyle w:val="Title2"/>
            </w:pPr>
            <w:r>
              <w:t>Budget implications</w:t>
            </w:r>
          </w:p>
        </w:tc>
      </w:tr>
      <w:tr w:rsidR="00195228" w:rsidTr="00C8728F">
        <w:trPr>
          <w:trHeight w:val="765"/>
        </w:trPr>
        <w:tc>
          <w:tcPr>
            <w:tcW w:w="8277" w:type="dxa"/>
          </w:tcPr>
          <w:p w:rsidR="00195228" w:rsidRPr="009541CC" w:rsidRDefault="00D10101" w:rsidP="003746FE">
            <w:pPr>
              <w:pStyle w:val="Title3"/>
              <w:framePr w:wrap="auto" w:vAnchor="margin" w:hAnchor="text" w:yAlign="inline"/>
            </w:pPr>
            <w:r>
              <w:t>Re</w:t>
            </w:r>
            <w:r w:rsidR="00D5061C">
              <w:t xml:space="preserve">port </w:t>
            </w:r>
            <w:r w:rsidR="003746FE">
              <w:t>n</w:t>
            </w:r>
            <w:r w:rsidR="00D5061C">
              <w:t xml:space="preserve">o. </w:t>
            </w:r>
            <w:r w:rsidR="00E31439">
              <w:t>0</w:t>
            </w:r>
            <w:r w:rsidR="00D5061C">
              <w:t>1</w:t>
            </w:r>
            <w:r w:rsidR="00E31439">
              <w:t>/</w:t>
            </w:r>
            <w:r w:rsidR="00E31439" w:rsidRPr="006D46F4">
              <w:t>201</w:t>
            </w:r>
            <w:r w:rsidR="00D5061C">
              <w:t>7</w:t>
            </w:r>
          </w:p>
        </w:tc>
      </w:tr>
    </w:tbl>
    <w:p w:rsidR="00961DBB" w:rsidRDefault="00961DBB" w:rsidP="00961DBB"/>
    <w:p w:rsidR="00961DBB" w:rsidRDefault="00961DBB">
      <w:pPr>
        <w:sectPr w:rsidR="00961DBB" w:rsidSect="009057D9">
          <w:headerReference w:type="even" r:id="rId9"/>
          <w:headerReference w:type="default" r:id="rId10"/>
          <w:headerReference w:type="first" r:id="rId11"/>
          <w:pgSz w:w="11906" w:h="16838" w:code="9"/>
          <w:pgMar w:top="1361" w:right="1797" w:bottom="1474" w:left="1797" w:header="284" w:footer="454" w:gutter="0"/>
          <w:cols w:space="708"/>
          <w:titlePg/>
          <w:docGrid w:linePitch="360"/>
        </w:sectPr>
      </w:pPr>
    </w:p>
    <w:p w:rsidR="00961DBB" w:rsidRDefault="00961DBB" w:rsidP="00961DBB"/>
    <w:tbl>
      <w:tblPr>
        <w:tblStyle w:val="TableAsPlaceholder"/>
        <w:tblpPr w:leftFromText="181" w:rightFromText="181" w:horzAnchor="margin" w:tblpY="4310"/>
        <w:tblOverlap w:val="never"/>
        <w:tblW w:w="0" w:type="auto"/>
        <w:tblCellMar>
          <w:bottom w:w="57" w:type="dxa"/>
          <w:right w:w="57" w:type="dxa"/>
        </w:tblCellMar>
        <w:tblLook w:val="04A0" w:firstRow="1" w:lastRow="0" w:firstColumn="1" w:lastColumn="0" w:noHBand="0" w:noVBand="1"/>
      </w:tblPr>
      <w:tblGrid>
        <w:gridCol w:w="8220"/>
      </w:tblGrid>
      <w:tr w:rsidR="00961DBB" w:rsidTr="0087390B">
        <w:trPr>
          <w:trHeight w:val="8165"/>
        </w:trPr>
        <w:tc>
          <w:tcPr>
            <w:tcW w:w="8220" w:type="dxa"/>
            <w:vAlign w:val="bottom"/>
          </w:tcPr>
          <w:p w:rsidR="00961DBB" w:rsidRPr="00C77B5C" w:rsidRDefault="00961DBB" w:rsidP="00BB5013">
            <w:pPr>
              <w:pStyle w:val="xDisclaimerText2"/>
              <w:framePr w:hSpace="0" w:wrap="auto" w:hAnchor="text" w:yAlign="inline"/>
              <w:suppressOverlap w:val="0"/>
            </w:pPr>
            <w:bookmarkStart w:id="1" w:name="_DisclaimerMarker"/>
            <w:bookmarkEnd w:id="1"/>
            <w:r w:rsidRPr="00C77B5C">
              <w:t xml:space="preserve">© </w:t>
            </w:r>
            <w:r w:rsidRPr="0087390B">
              <w:t>Commonwealth</w:t>
            </w:r>
            <w:r w:rsidRPr="00C77B5C">
              <w:t xml:space="preserve"> of Australia</w:t>
            </w:r>
            <w:r w:rsidR="00F20647">
              <w:t xml:space="preserve"> </w:t>
            </w:r>
            <w:r w:rsidR="00E31439">
              <w:t>201</w:t>
            </w:r>
            <w:r w:rsidR="00D5061C">
              <w:t>7</w:t>
            </w:r>
          </w:p>
          <w:p w:rsidR="00961DBB" w:rsidRPr="00BB5013" w:rsidRDefault="00961DBB" w:rsidP="00E31439">
            <w:pPr>
              <w:pStyle w:val="xDisclaimerText"/>
            </w:pPr>
            <w:r w:rsidRPr="00C77B5C">
              <w:t>IS</w:t>
            </w:r>
            <w:r w:rsidR="00E31439">
              <w:t>B</w:t>
            </w:r>
            <w:r w:rsidRPr="00C77B5C">
              <w:t xml:space="preserve">N </w:t>
            </w:r>
            <w:r w:rsidR="00E31439" w:rsidRPr="00E31439">
              <w:t>978-0-9944547-9-9</w:t>
            </w:r>
            <w:r w:rsidR="00E31439">
              <w:t xml:space="preserve"> </w:t>
            </w:r>
            <w:r w:rsidRPr="008E314A">
              <w:t>(</w:t>
            </w:r>
            <w:r w:rsidRPr="00870C85">
              <w:t>Online</w:t>
            </w:r>
            <w:r w:rsidRPr="00C77B5C">
              <w:t>)</w:t>
            </w:r>
          </w:p>
          <w:p w:rsidR="00961DBB" w:rsidRDefault="00961DBB" w:rsidP="00BB5013">
            <w:pPr>
              <w:pStyle w:val="xDisclaimerText2"/>
              <w:framePr w:hSpace="0" w:wrap="auto" w:hAnchor="text" w:yAlign="inline"/>
              <w:suppressOverlap w:val="0"/>
            </w:pPr>
            <w:r w:rsidRPr="00C77B5C">
              <w:t>This work is licensed und</w:t>
            </w:r>
            <w:r w:rsidRPr="00870C85">
              <w:t>e</w:t>
            </w:r>
            <w:r w:rsidRPr="00C77B5C">
              <w:t xml:space="preserve">r </w:t>
            </w:r>
            <w:r w:rsidRPr="008E314A">
              <w:t xml:space="preserve">the Creative </w:t>
            </w:r>
            <w:r w:rsidRPr="0087390B">
              <w:t>Commons</w:t>
            </w:r>
            <w:r w:rsidRPr="008E314A">
              <w:t xml:space="preserve"> Attribution-</w:t>
            </w:r>
            <w:proofErr w:type="spellStart"/>
            <w:r w:rsidRPr="008E314A">
              <w:t>NonCommercial</w:t>
            </w:r>
            <w:proofErr w:type="spellEnd"/>
            <w:r w:rsidRPr="008E314A">
              <w:t>-</w:t>
            </w:r>
            <w:proofErr w:type="spellStart"/>
            <w:r w:rsidRPr="008E314A">
              <w:t>NoDerivs</w:t>
            </w:r>
            <w:proofErr w:type="spellEnd"/>
            <w:r w:rsidRPr="008E314A">
              <w:t xml:space="preserve"> 3.0 Australia License</w:t>
            </w:r>
            <w:r>
              <w:t>.</w:t>
            </w:r>
          </w:p>
          <w:p w:rsidR="00961DBB" w:rsidRPr="0084503F" w:rsidRDefault="003B3D44" w:rsidP="00BB5013">
            <w:pPr>
              <w:pStyle w:val="xDisclaimerText2"/>
              <w:framePr w:hSpace="0" w:wrap="auto" w:hAnchor="text" w:yAlign="inline"/>
              <w:spacing w:before="240"/>
              <w:suppressOverlap w:val="0"/>
            </w:pPr>
            <w:r>
              <w:rPr>
                <w:noProof/>
              </w:rPr>
              <w:drawing>
                <wp:inline distT="0" distB="0" distL="0" distR="0" wp14:anchorId="0C71D525" wp14:editId="060AA2EB">
                  <wp:extent cx="1079086" cy="377985"/>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on creativ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086" cy="377985"/>
                          </a:xfrm>
                          <a:prstGeom prst="rect">
                            <a:avLst/>
                          </a:prstGeom>
                        </pic:spPr>
                      </pic:pic>
                    </a:graphicData>
                  </a:graphic>
                </wp:inline>
              </w:drawing>
            </w:r>
          </w:p>
          <w:p w:rsidR="00961DBB" w:rsidRDefault="00961DBB" w:rsidP="00BB5013">
            <w:pPr>
              <w:pStyle w:val="xDisclaimerText2"/>
              <w:framePr w:hSpace="0" w:wrap="auto" w:hAnchor="text" w:yAlign="inline"/>
              <w:suppressOverlap w:val="0"/>
            </w:pPr>
            <w:r w:rsidRPr="00D0237F">
              <w:t xml:space="preserve">The details of this licence </w:t>
            </w:r>
            <w:r w:rsidRPr="00BB5013">
              <w:t>are</w:t>
            </w:r>
            <w:r w:rsidRPr="00D0237F">
              <w:t xml:space="preserve"> available on the Creative Commons website:</w:t>
            </w:r>
            <w:r w:rsidRPr="00D0237F">
              <w:rPr>
                <w:color w:val="FF0000"/>
              </w:rPr>
              <w:t xml:space="preserve"> </w:t>
            </w:r>
            <w:hyperlink r:id="rId13" w:history="1">
              <w:r w:rsidR="00BB5013" w:rsidRPr="00BB5013">
                <w:t>http://creativecommons.org/licenses/by-nc-nd/3.0/au/</w:t>
              </w:r>
            </w:hyperlink>
            <w:r w:rsidR="00BB5013">
              <w:t xml:space="preserve"> </w:t>
            </w:r>
          </w:p>
          <w:p w:rsidR="00961DBB" w:rsidRPr="00BB5013" w:rsidRDefault="00961DBB" w:rsidP="00BB5013">
            <w:pPr>
              <w:pStyle w:val="xDisclaimerHeading"/>
              <w:framePr w:hSpace="0" w:wrap="auto" w:hAnchor="text" w:yAlign="inline"/>
              <w:suppressOverlap w:val="0"/>
            </w:pPr>
            <w:r>
              <w:t xml:space="preserve">Use </w:t>
            </w:r>
            <w:r w:rsidRPr="00D0237F">
              <w:t>of</w:t>
            </w:r>
            <w:r>
              <w:t xml:space="preserve"> </w:t>
            </w:r>
            <w:r w:rsidRPr="00D0237F">
              <w:t>the</w:t>
            </w:r>
            <w:r>
              <w:t xml:space="preserve"> Coat of Arms</w:t>
            </w:r>
          </w:p>
          <w:p w:rsidR="00961DBB" w:rsidRDefault="00961DBB" w:rsidP="00BB5013">
            <w:pPr>
              <w:pStyle w:val="xDisclaimerText2"/>
              <w:framePr w:hSpace="0" w:wrap="auto" w:hAnchor="text" w:yAlign="inline"/>
              <w:suppressOverlap w:val="0"/>
            </w:pPr>
            <w:r>
              <w:t xml:space="preserve">The terms under which the Coat of Arms </w:t>
            </w:r>
            <w:r w:rsidRPr="00BB5013">
              <w:t>can</w:t>
            </w:r>
            <w:r>
              <w:t xml:space="preserve"> be used are detailed on the following website: </w:t>
            </w:r>
            <w:hyperlink r:id="rId14" w:history="1">
              <w:r w:rsidR="00584CFE" w:rsidRPr="00BB5013">
                <w:t>www.itsanhonour.gov.au/coat-arms</w:t>
              </w:r>
            </w:hyperlink>
          </w:p>
          <w:p w:rsidR="00961DBB" w:rsidRDefault="00961DBB" w:rsidP="00BB5013">
            <w:pPr>
              <w:pStyle w:val="xDisclaimerText"/>
            </w:pPr>
            <w:r w:rsidRPr="00D429BD">
              <w:rPr>
                <w:rStyle w:val="xDisclaimerHeadingwithxDisclaimerTextChar"/>
              </w:rPr>
              <w:t>Produced by:</w:t>
            </w:r>
            <w:r>
              <w:t xml:space="preserve"> </w:t>
            </w:r>
            <w:r w:rsidRPr="00BB5013">
              <w:t>Parliamentary</w:t>
            </w:r>
            <w:r>
              <w:t xml:space="preserve"> Budget Office</w:t>
            </w:r>
          </w:p>
          <w:p w:rsidR="00961DBB" w:rsidRDefault="00E31439" w:rsidP="0087390B">
            <w:pPr>
              <w:pStyle w:val="xDisclaimerText"/>
            </w:pPr>
            <w:r>
              <w:rPr>
                <w:rStyle w:val="xDisclaimerHeadingwithxDisclaimerTextChar"/>
              </w:rPr>
              <w:t>D</w:t>
            </w:r>
            <w:r w:rsidR="00961DBB" w:rsidRPr="00D429BD">
              <w:rPr>
                <w:rStyle w:val="xDisclaimerHeadingwithxDisclaimerTextChar"/>
              </w:rPr>
              <w:t>esigned by:</w:t>
            </w:r>
            <w:r w:rsidR="00961DBB" w:rsidRPr="00D429BD">
              <w:t xml:space="preserve"> </w:t>
            </w:r>
            <w:r>
              <w:t>Studio Tweed</w:t>
            </w:r>
          </w:p>
          <w:p w:rsidR="00961DBB" w:rsidRDefault="00E31439" w:rsidP="0087390B">
            <w:pPr>
              <w:pStyle w:val="xDisclaimerHeading"/>
              <w:framePr w:hSpace="0" w:wrap="auto" w:hAnchor="text" w:yAlign="inline"/>
              <w:suppressOverlap w:val="0"/>
            </w:pPr>
            <w:r>
              <w:t>First Assistant Parliamentary Budget Officer</w:t>
            </w:r>
          </w:p>
          <w:p w:rsidR="00961DBB" w:rsidRPr="008E314A" w:rsidRDefault="00E31439" w:rsidP="0087390B">
            <w:pPr>
              <w:pStyle w:val="xDisclaimerText"/>
            </w:pPr>
            <w:r>
              <w:t>Fiscal Policy Analysis Division</w:t>
            </w:r>
          </w:p>
          <w:p w:rsidR="00961DBB" w:rsidRDefault="00961DBB" w:rsidP="0087390B">
            <w:pPr>
              <w:pStyle w:val="xDisclaimerText2"/>
              <w:framePr w:hSpace="0" w:wrap="auto" w:hAnchor="text" w:yAlign="inline"/>
              <w:suppressOverlap w:val="0"/>
            </w:pPr>
            <w:r w:rsidRPr="008E314A">
              <w:t>Parliamentary Budget</w:t>
            </w:r>
            <w:r>
              <w:t xml:space="preserve"> Office</w:t>
            </w:r>
          </w:p>
          <w:p w:rsidR="00961DBB" w:rsidRPr="008E314A" w:rsidRDefault="00961DBB" w:rsidP="0087390B">
            <w:pPr>
              <w:pStyle w:val="xDisclaimerText"/>
            </w:pPr>
            <w:r w:rsidRPr="008E314A">
              <w:t>Parliament House</w:t>
            </w:r>
          </w:p>
          <w:p w:rsidR="00961DBB" w:rsidRPr="008E314A" w:rsidRDefault="00961DBB" w:rsidP="0087390B">
            <w:pPr>
              <w:pStyle w:val="xDisclaimerText"/>
            </w:pPr>
            <w:r w:rsidRPr="008E314A">
              <w:t>PO Box 6010</w:t>
            </w:r>
          </w:p>
          <w:p w:rsidR="00961DBB" w:rsidRDefault="00961DBB" w:rsidP="0087390B">
            <w:pPr>
              <w:pStyle w:val="xDisclaimerText2"/>
              <w:framePr w:hSpace="0" w:wrap="auto" w:hAnchor="text" w:yAlign="inline"/>
              <w:suppressOverlap w:val="0"/>
            </w:pPr>
            <w:r w:rsidRPr="008E314A">
              <w:t>CANBERRA ACT</w:t>
            </w:r>
            <w:r>
              <w:t xml:space="preserve"> 2600</w:t>
            </w:r>
          </w:p>
          <w:p w:rsidR="00961DBB" w:rsidRPr="008E314A" w:rsidRDefault="00961DBB" w:rsidP="0087390B">
            <w:pPr>
              <w:pStyle w:val="xDisclaimerText"/>
            </w:pPr>
            <w:r>
              <w:t xml:space="preserve">Phone: (02) </w:t>
            </w:r>
            <w:r w:rsidRPr="008E314A">
              <w:t>6277 9500</w:t>
            </w:r>
          </w:p>
          <w:p w:rsidR="00961DBB" w:rsidRDefault="00961DBB" w:rsidP="0087390B">
            <w:pPr>
              <w:pStyle w:val="xDisclaimerText"/>
            </w:pPr>
            <w:r w:rsidRPr="008E314A">
              <w:t>Email: pbo@pbo.gov</w:t>
            </w:r>
            <w:r>
              <w:t>.au</w:t>
            </w:r>
          </w:p>
        </w:tc>
      </w:tr>
    </w:tbl>
    <w:p w:rsidR="00961DBB" w:rsidRDefault="00961DBB" w:rsidP="00961DBB"/>
    <w:p w:rsidR="00961DBB" w:rsidRDefault="00961DBB">
      <w:pPr>
        <w:sectPr w:rsidR="00961DBB" w:rsidSect="00E31439">
          <w:headerReference w:type="even" r:id="rId15"/>
          <w:headerReference w:type="default" r:id="rId16"/>
          <w:footerReference w:type="default" r:id="rId17"/>
          <w:pgSz w:w="11906" w:h="16838" w:code="9"/>
          <w:pgMar w:top="1361" w:right="1797" w:bottom="1474" w:left="1797" w:header="284" w:footer="454" w:gutter="0"/>
          <w:pgNumType w:fmt="lowerRoman"/>
          <w:cols w:space="708"/>
          <w:docGrid w:linePitch="360"/>
        </w:sectPr>
      </w:pPr>
    </w:p>
    <w:p w:rsidR="00961DBB" w:rsidRPr="00733970" w:rsidRDefault="00903E3F" w:rsidP="00733970">
      <w:pPr>
        <w:pStyle w:val="TOCHeading"/>
      </w:pPr>
      <w:r w:rsidRPr="00903E3F">
        <w:lastRenderedPageBreak/>
        <w:t>Contents</w:t>
      </w:r>
      <w:bookmarkStart w:id="2" w:name="_TOCMarker"/>
      <w:bookmarkEnd w:id="2"/>
    </w:p>
    <w:bookmarkStart w:id="3" w:name="Here"/>
    <w:bookmarkEnd w:id="3"/>
    <w:p w:rsidR="00362E25" w:rsidRDefault="004F4EE3">
      <w:pPr>
        <w:pStyle w:val="TOC1"/>
        <w:rPr>
          <w:rFonts w:eastAsiaTheme="minorEastAsia"/>
          <w:b w:val="0"/>
          <w:color w:val="auto"/>
          <w:lang w:eastAsia="en-AU"/>
        </w:rPr>
      </w:pPr>
      <w:r>
        <w:rPr>
          <w:b w:val="0"/>
        </w:rPr>
        <w:fldChar w:fldCharType="begin"/>
      </w:r>
      <w:r>
        <w:rPr>
          <w:b w:val="0"/>
        </w:rPr>
        <w:instrText xml:space="preserve"> TOC \o "2-2" \h \z \t "Heading 1,1,Heading 1 No Numbering,1,Section Heading,5" </w:instrText>
      </w:r>
      <w:r>
        <w:rPr>
          <w:b w:val="0"/>
        </w:rPr>
        <w:fldChar w:fldCharType="separate"/>
      </w:r>
      <w:hyperlink w:anchor="_Toc474245142" w:history="1">
        <w:r w:rsidR="00362E25" w:rsidRPr="00252AB7">
          <w:rPr>
            <w:rStyle w:val="Hyperlink"/>
          </w:rPr>
          <w:t>Foreword</w:t>
        </w:r>
        <w:r w:rsidR="00362E25">
          <w:rPr>
            <w:webHidden/>
          </w:rPr>
          <w:tab/>
        </w:r>
        <w:r w:rsidR="00362E25">
          <w:rPr>
            <w:webHidden/>
          </w:rPr>
          <w:fldChar w:fldCharType="begin"/>
        </w:r>
        <w:r w:rsidR="00362E25">
          <w:rPr>
            <w:webHidden/>
          </w:rPr>
          <w:instrText xml:space="preserve"> PAGEREF _Toc474245142 \h </w:instrText>
        </w:r>
        <w:r w:rsidR="00362E25">
          <w:rPr>
            <w:webHidden/>
          </w:rPr>
        </w:r>
        <w:r w:rsidR="00362E25">
          <w:rPr>
            <w:webHidden/>
          </w:rPr>
          <w:fldChar w:fldCharType="separate"/>
        </w:r>
        <w:r w:rsidR="00D42FEB">
          <w:rPr>
            <w:webHidden/>
          </w:rPr>
          <w:t>iv</w:t>
        </w:r>
        <w:r w:rsidR="00362E25">
          <w:rPr>
            <w:webHidden/>
          </w:rPr>
          <w:fldChar w:fldCharType="end"/>
        </w:r>
      </w:hyperlink>
    </w:p>
    <w:p w:rsidR="00362E25" w:rsidRDefault="00D51E66">
      <w:pPr>
        <w:pStyle w:val="TOC1"/>
        <w:rPr>
          <w:rFonts w:eastAsiaTheme="minorEastAsia"/>
          <w:b w:val="0"/>
          <w:color w:val="auto"/>
          <w:lang w:eastAsia="en-AU"/>
        </w:rPr>
      </w:pPr>
      <w:hyperlink w:anchor="_Toc474245143" w:history="1">
        <w:r w:rsidR="00362E25" w:rsidRPr="00252AB7">
          <w:rPr>
            <w:rStyle w:val="Hyperlink"/>
          </w:rPr>
          <w:t>Overview</w:t>
        </w:r>
        <w:r w:rsidR="00362E25">
          <w:rPr>
            <w:webHidden/>
          </w:rPr>
          <w:tab/>
        </w:r>
        <w:r w:rsidR="00362E25">
          <w:rPr>
            <w:webHidden/>
          </w:rPr>
          <w:fldChar w:fldCharType="begin"/>
        </w:r>
        <w:r w:rsidR="00362E25">
          <w:rPr>
            <w:webHidden/>
          </w:rPr>
          <w:instrText xml:space="preserve"> PAGEREF _Toc474245143 \h </w:instrText>
        </w:r>
        <w:r w:rsidR="00362E25">
          <w:rPr>
            <w:webHidden/>
          </w:rPr>
        </w:r>
        <w:r w:rsidR="00362E25">
          <w:rPr>
            <w:webHidden/>
          </w:rPr>
          <w:fldChar w:fldCharType="separate"/>
        </w:r>
        <w:r w:rsidR="00D42FEB">
          <w:rPr>
            <w:webHidden/>
          </w:rPr>
          <w:t>v</w:t>
        </w:r>
        <w:r w:rsidR="00362E25">
          <w:rPr>
            <w:webHidden/>
          </w:rPr>
          <w:fldChar w:fldCharType="end"/>
        </w:r>
      </w:hyperlink>
    </w:p>
    <w:p w:rsidR="00362E25" w:rsidRDefault="00D51E66">
      <w:pPr>
        <w:pStyle w:val="TOC1"/>
        <w:rPr>
          <w:rFonts w:eastAsiaTheme="minorEastAsia"/>
          <w:b w:val="0"/>
          <w:color w:val="auto"/>
          <w:lang w:eastAsia="en-AU"/>
        </w:rPr>
      </w:pPr>
      <w:hyperlink w:anchor="_Toc474245144" w:history="1">
        <w:r w:rsidR="00362E25" w:rsidRPr="00252AB7">
          <w:rPr>
            <w:rStyle w:val="Hyperlink"/>
          </w:rPr>
          <w:t>1</w:t>
        </w:r>
        <w:r w:rsidR="00362E25">
          <w:rPr>
            <w:rFonts w:eastAsiaTheme="minorEastAsia"/>
            <w:b w:val="0"/>
            <w:color w:val="auto"/>
            <w:lang w:eastAsia="en-AU"/>
          </w:rPr>
          <w:tab/>
        </w:r>
        <w:r w:rsidR="00362E25" w:rsidRPr="00252AB7">
          <w:rPr>
            <w:rStyle w:val="Hyperlink"/>
          </w:rPr>
          <w:t>Introduction</w:t>
        </w:r>
        <w:r w:rsidR="00362E25">
          <w:rPr>
            <w:webHidden/>
          </w:rPr>
          <w:tab/>
        </w:r>
        <w:r w:rsidR="00362E25">
          <w:rPr>
            <w:webHidden/>
          </w:rPr>
          <w:fldChar w:fldCharType="begin"/>
        </w:r>
        <w:r w:rsidR="00362E25">
          <w:rPr>
            <w:webHidden/>
          </w:rPr>
          <w:instrText xml:space="preserve"> PAGEREF _Toc474245144 \h </w:instrText>
        </w:r>
        <w:r w:rsidR="00362E25">
          <w:rPr>
            <w:webHidden/>
          </w:rPr>
        </w:r>
        <w:r w:rsidR="00362E25">
          <w:rPr>
            <w:webHidden/>
          </w:rPr>
          <w:fldChar w:fldCharType="separate"/>
        </w:r>
        <w:r w:rsidR="00D42FEB">
          <w:rPr>
            <w:webHidden/>
          </w:rPr>
          <w:t>1</w:t>
        </w:r>
        <w:r w:rsidR="00362E25">
          <w:rPr>
            <w:webHidden/>
          </w:rPr>
          <w:fldChar w:fldCharType="end"/>
        </w:r>
      </w:hyperlink>
    </w:p>
    <w:p w:rsidR="00362E25" w:rsidRDefault="00D51E66">
      <w:pPr>
        <w:pStyle w:val="TOC1"/>
        <w:rPr>
          <w:rFonts w:eastAsiaTheme="minorEastAsia"/>
          <w:b w:val="0"/>
          <w:color w:val="auto"/>
          <w:lang w:eastAsia="en-AU"/>
        </w:rPr>
      </w:pPr>
      <w:hyperlink w:anchor="_Toc474245145" w:history="1">
        <w:r w:rsidR="00362E25" w:rsidRPr="00252AB7">
          <w:rPr>
            <w:rStyle w:val="Hyperlink"/>
          </w:rPr>
          <w:t>2</w:t>
        </w:r>
        <w:r w:rsidR="00362E25">
          <w:rPr>
            <w:rFonts w:eastAsiaTheme="minorEastAsia"/>
            <w:b w:val="0"/>
            <w:color w:val="auto"/>
            <w:lang w:eastAsia="en-AU"/>
          </w:rPr>
          <w:tab/>
        </w:r>
        <w:r w:rsidR="00362E25" w:rsidRPr="00252AB7">
          <w:rPr>
            <w:rStyle w:val="Hyperlink"/>
          </w:rPr>
          <w:t>Future Fund drawdown scenarios</w:t>
        </w:r>
        <w:r w:rsidR="00362E25">
          <w:rPr>
            <w:webHidden/>
          </w:rPr>
          <w:tab/>
        </w:r>
        <w:r w:rsidR="00362E25">
          <w:rPr>
            <w:webHidden/>
          </w:rPr>
          <w:fldChar w:fldCharType="begin"/>
        </w:r>
        <w:r w:rsidR="00362E25">
          <w:rPr>
            <w:webHidden/>
          </w:rPr>
          <w:instrText xml:space="preserve"> PAGEREF _Toc474245145 \h </w:instrText>
        </w:r>
        <w:r w:rsidR="00362E25">
          <w:rPr>
            <w:webHidden/>
          </w:rPr>
        </w:r>
        <w:r w:rsidR="00362E25">
          <w:rPr>
            <w:webHidden/>
          </w:rPr>
          <w:fldChar w:fldCharType="separate"/>
        </w:r>
        <w:r w:rsidR="00D42FEB">
          <w:rPr>
            <w:webHidden/>
          </w:rPr>
          <w:t>2</w:t>
        </w:r>
        <w:r w:rsidR="00362E25">
          <w:rPr>
            <w:webHidden/>
          </w:rPr>
          <w:fldChar w:fldCharType="end"/>
        </w:r>
      </w:hyperlink>
    </w:p>
    <w:p w:rsidR="00362E25" w:rsidRDefault="00D51E66">
      <w:pPr>
        <w:pStyle w:val="TOC2"/>
        <w:rPr>
          <w:rFonts w:eastAsiaTheme="minorEastAsia"/>
          <w:szCs w:val="22"/>
          <w:lang w:eastAsia="en-AU"/>
        </w:rPr>
      </w:pPr>
      <w:hyperlink w:anchor="_Toc474245146" w:history="1">
        <w:r w:rsidR="00362E25" w:rsidRPr="00252AB7">
          <w:rPr>
            <w:rStyle w:val="Hyperlink"/>
          </w:rPr>
          <w:t>2.1</w:t>
        </w:r>
        <w:r w:rsidR="00362E25">
          <w:rPr>
            <w:rFonts w:eastAsiaTheme="minorEastAsia"/>
            <w:szCs w:val="22"/>
            <w:lang w:eastAsia="en-AU"/>
          </w:rPr>
          <w:tab/>
        </w:r>
        <w:r w:rsidR="00362E25" w:rsidRPr="00252AB7">
          <w:rPr>
            <w:rStyle w:val="Hyperlink"/>
          </w:rPr>
          <w:t>Draw down from 1 July 2020</w:t>
        </w:r>
        <w:r w:rsidR="00362E25">
          <w:rPr>
            <w:webHidden/>
          </w:rPr>
          <w:tab/>
        </w:r>
        <w:r w:rsidR="00362E25">
          <w:rPr>
            <w:webHidden/>
          </w:rPr>
          <w:fldChar w:fldCharType="begin"/>
        </w:r>
        <w:r w:rsidR="00362E25">
          <w:rPr>
            <w:webHidden/>
          </w:rPr>
          <w:instrText xml:space="preserve"> PAGEREF _Toc474245146 \h </w:instrText>
        </w:r>
        <w:r w:rsidR="00362E25">
          <w:rPr>
            <w:webHidden/>
          </w:rPr>
        </w:r>
        <w:r w:rsidR="00362E25">
          <w:rPr>
            <w:webHidden/>
          </w:rPr>
          <w:fldChar w:fldCharType="separate"/>
        </w:r>
        <w:r w:rsidR="00D42FEB">
          <w:rPr>
            <w:webHidden/>
          </w:rPr>
          <w:t>2</w:t>
        </w:r>
        <w:r w:rsidR="00362E25">
          <w:rPr>
            <w:webHidden/>
          </w:rPr>
          <w:fldChar w:fldCharType="end"/>
        </w:r>
      </w:hyperlink>
    </w:p>
    <w:p w:rsidR="00362E25" w:rsidRDefault="00D51E66">
      <w:pPr>
        <w:pStyle w:val="TOC2"/>
        <w:rPr>
          <w:rFonts w:eastAsiaTheme="minorEastAsia"/>
          <w:szCs w:val="22"/>
          <w:lang w:eastAsia="en-AU"/>
        </w:rPr>
      </w:pPr>
      <w:hyperlink w:anchor="_Toc474245147" w:history="1">
        <w:r w:rsidR="00362E25" w:rsidRPr="00252AB7">
          <w:rPr>
            <w:rStyle w:val="Hyperlink"/>
          </w:rPr>
          <w:t>2.2</w:t>
        </w:r>
        <w:r w:rsidR="00362E25">
          <w:rPr>
            <w:rFonts w:eastAsiaTheme="minorEastAsia"/>
            <w:szCs w:val="22"/>
            <w:lang w:eastAsia="en-AU"/>
          </w:rPr>
          <w:tab/>
        </w:r>
        <w:r w:rsidR="00362E25" w:rsidRPr="00252AB7">
          <w:rPr>
            <w:rStyle w:val="Hyperlink"/>
          </w:rPr>
          <w:t>Draw down when Future Fund assets offset the unfunded superannuation liability (2024–25)</w:t>
        </w:r>
        <w:r w:rsidR="00362E25">
          <w:rPr>
            <w:webHidden/>
          </w:rPr>
          <w:tab/>
        </w:r>
        <w:r w:rsidR="00362E25">
          <w:rPr>
            <w:webHidden/>
          </w:rPr>
          <w:fldChar w:fldCharType="begin"/>
        </w:r>
        <w:r w:rsidR="00362E25">
          <w:rPr>
            <w:webHidden/>
          </w:rPr>
          <w:instrText xml:space="preserve"> PAGEREF _Toc474245147 \h </w:instrText>
        </w:r>
        <w:r w:rsidR="00362E25">
          <w:rPr>
            <w:webHidden/>
          </w:rPr>
        </w:r>
        <w:r w:rsidR="00362E25">
          <w:rPr>
            <w:webHidden/>
          </w:rPr>
          <w:fldChar w:fldCharType="separate"/>
        </w:r>
        <w:r w:rsidR="00D42FEB">
          <w:rPr>
            <w:webHidden/>
          </w:rPr>
          <w:t>4</w:t>
        </w:r>
        <w:r w:rsidR="00362E25">
          <w:rPr>
            <w:webHidden/>
          </w:rPr>
          <w:fldChar w:fldCharType="end"/>
        </w:r>
      </w:hyperlink>
    </w:p>
    <w:p w:rsidR="00362E25" w:rsidRDefault="00D51E66">
      <w:pPr>
        <w:pStyle w:val="TOC2"/>
        <w:rPr>
          <w:rFonts w:eastAsiaTheme="minorEastAsia"/>
          <w:szCs w:val="22"/>
          <w:lang w:eastAsia="en-AU"/>
        </w:rPr>
      </w:pPr>
      <w:hyperlink w:anchor="_Toc474245148" w:history="1">
        <w:r w:rsidR="00362E25" w:rsidRPr="00252AB7">
          <w:rPr>
            <w:rStyle w:val="Hyperlink"/>
          </w:rPr>
          <w:t>2.3</w:t>
        </w:r>
        <w:r w:rsidR="00362E25">
          <w:rPr>
            <w:rFonts w:eastAsiaTheme="minorEastAsia"/>
            <w:szCs w:val="22"/>
            <w:lang w:eastAsia="en-AU"/>
          </w:rPr>
          <w:tab/>
        </w:r>
        <w:r w:rsidR="00362E25" w:rsidRPr="00252AB7">
          <w:rPr>
            <w:rStyle w:val="Hyperlink"/>
          </w:rPr>
          <w:t>Budget implications</w:t>
        </w:r>
        <w:r w:rsidR="00362E25">
          <w:rPr>
            <w:webHidden/>
          </w:rPr>
          <w:tab/>
        </w:r>
        <w:r w:rsidR="00362E25">
          <w:rPr>
            <w:webHidden/>
          </w:rPr>
          <w:fldChar w:fldCharType="begin"/>
        </w:r>
        <w:r w:rsidR="00362E25">
          <w:rPr>
            <w:webHidden/>
          </w:rPr>
          <w:instrText xml:space="preserve"> PAGEREF _Toc474245148 \h </w:instrText>
        </w:r>
        <w:r w:rsidR="00362E25">
          <w:rPr>
            <w:webHidden/>
          </w:rPr>
        </w:r>
        <w:r w:rsidR="00362E25">
          <w:rPr>
            <w:webHidden/>
          </w:rPr>
          <w:fldChar w:fldCharType="separate"/>
        </w:r>
        <w:r w:rsidR="00D42FEB">
          <w:rPr>
            <w:webHidden/>
          </w:rPr>
          <w:t>5</w:t>
        </w:r>
        <w:r w:rsidR="00362E25">
          <w:rPr>
            <w:webHidden/>
          </w:rPr>
          <w:fldChar w:fldCharType="end"/>
        </w:r>
      </w:hyperlink>
    </w:p>
    <w:p w:rsidR="00362E25" w:rsidRDefault="00D51E66">
      <w:pPr>
        <w:pStyle w:val="TOC2"/>
        <w:rPr>
          <w:rFonts w:eastAsiaTheme="minorEastAsia"/>
          <w:szCs w:val="22"/>
          <w:lang w:eastAsia="en-AU"/>
        </w:rPr>
      </w:pPr>
      <w:hyperlink w:anchor="_Toc474245149" w:history="1">
        <w:r w:rsidR="00362E25" w:rsidRPr="00252AB7">
          <w:rPr>
            <w:rStyle w:val="Hyperlink"/>
          </w:rPr>
          <w:t>2.4</w:t>
        </w:r>
        <w:r w:rsidR="00362E25">
          <w:rPr>
            <w:rFonts w:eastAsiaTheme="minorEastAsia"/>
            <w:szCs w:val="22"/>
            <w:lang w:eastAsia="en-AU"/>
          </w:rPr>
          <w:tab/>
        </w:r>
        <w:r w:rsidR="00362E25" w:rsidRPr="00252AB7">
          <w:rPr>
            <w:rStyle w:val="Hyperlink"/>
          </w:rPr>
          <w:t>Sensitivity of the projections to assumptions</w:t>
        </w:r>
        <w:r w:rsidR="00362E25">
          <w:rPr>
            <w:webHidden/>
          </w:rPr>
          <w:tab/>
        </w:r>
        <w:r w:rsidR="00362E25">
          <w:rPr>
            <w:webHidden/>
          </w:rPr>
          <w:fldChar w:fldCharType="begin"/>
        </w:r>
        <w:r w:rsidR="00362E25">
          <w:rPr>
            <w:webHidden/>
          </w:rPr>
          <w:instrText xml:space="preserve"> PAGEREF _Toc474245149 \h </w:instrText>
        </w:r>
        <w:r w:rsidR="00362E25">
          <w:rPr>
            <w:webHidden/>
          </w:rPr>
        </w:r>
        <w:r w:rsidR="00362E25">
          <w:rPr>
            <w:webHidden/>
          </w:rPr>
          <w:fldChar w:fldCharType="separate"/>
        </w:r>
        <w:r w:rsidR="00D42FEB">
          <w:rPr>
            <w:webHidden/>
          </w:rPr>
          <w:t>7</w:t>
        </w:r>
        <w:r w:rsidR="00362E25">
          <w:rPr>
            <w:webHidden/>
          </w:rPr>
          <w:fldChar w:fldCharType="end"/>
        </w:r>
      </w:hyperlink>
    </w:p>
    <w:p w:rsidR="00362E25" w:rsidRDefault="00D51E66">
      <w:pPr>
        <w:pStyle w:val="TOC1"/>
        <w:rPr>
          <w:rFonts w:eastAsiaTheme="minorEastAsia"/>
          <w:b w:val="0"/>
          <w:color w:val="auto"/>
          <w:lang w:eastAsia="en-AU"/>
        </w:rPr>
      </w:pPr>
      <w:hyperlink w:anchor="_Toc474245150" w:history="1">
        <w:r w:rsidR="00362E25" w:rsidRPr="00252AB7">
          <w:rPr>
            <w:rStyle w:val="Hyperlink"/>
          </w:rPr>
          <w:t>Appendix A</w:t>
        </w:r>
        <w:r w:rsidR="00362E25">
          <w:rPr>
            <w:webHidden/>
          </w:rPr>
          <w:tab/>
        </w:r>
        <w:r w:rsidR="00362E25">
          <w:rPr>
            <w:webHidden/>
          </w:rPr>
          <w:fldChar w:fldCharType="begin"/>
        </w:r>
        <w:r w:rsidR="00362E25">
          <w:rPr>
            <w:webHidden/>
          </w:rPr>
          <w:instrText xml:space="preserve"> PAGEREF _Toc474245150 \h </w:instrText>
        </w:r>
        <w:r w:rsidR="00362E25">
          <w:rPr>
            <w:webHidden/>
          </w:rPr>
        </w:r>
        <w:r w:rsidR="00362E25">
          <w:rPr>
            <w:webHidden/>
          </w:rPr>
          <w:fldChar w:fldCharType="separate"/>
        </w:r>
        <w:r w:rsidR="00D42FEB">
          <w:rPr>
            <w:webHidden/>
          </w:rPr>
          <w:t>10</w:t>
        </w:r>
        <w:r w:rsidR="00362E25">
          <w:rPr>
            <w:webHidden/>
          </w:rPr>
          <w:fldChar w:fldCharType="end"/>
        </w:r>
      </w:hyperlink>
    </w:p>
    <w:p w:rsidR="004F4EE3" w:rsidRPr="004F4EE3" w:rsidRDefault="004F4EE3" w:rsidP="000F5A3E">
      <w:pPr>
        <w:pStyle w:val="TOC1"/>
      </w:pPr>
      <w:r>
        <w:rPr>
          <w:b w:val="0"/>
        </w:rPr>
        <w:fldChar w:fldCharType="end"/>
      </w:r>
    </w:p>
    <w:p w:rsidR="00E915E6" w:rsidRDefault="00E915E6">
      <w:pPr>
        <w:sectPr w:rsidR="00E915E6" w:rsidSect="00E31439">
          <w:headerReference w:type="even" r:id="rId18"/>
          <w:headerReference w:type="default" r:id="rId19"/>
          <w:footerReference w:type="even" r:id="rId20"/>
          <w:footerReference w:type="default" r:id="rId21"/>
          <w:pgSz w:w="11906" w:h="16838" w:code="9"/>
          <w:pgMar w:top="1361" w:right="1797" w:bottom="1474" w:left="1797" w:header="284" w:footer="454" w:gutter="0"/>
          <w:pgNumType w:fmt="lowerRoman"/>
          <w:cols w:space="708"/>
          <w:docGrid w:linePitch="360"/>
        </w:sectPr>
      </w:pPr>
    </w:p>
    <w:p w:rsidR="004F1297" w:rsidRPr="00CC26BB" w:rsidRDefault="00E915E6" w:rsidP="00A12C39">
      <w:pPr>
        <w:pStyle w:val="Heading1NoNumbering"/>
      </w:pPr>
      <w:bookmarkStart w:id="4" w:name="_Toc469389301"/>
      <w:bookmarkStart w:id="5" w:name="_Toc474245142"/>
      <w:r w:rsidRPr="00CC26BB">
        <w:lastRenderedPageBreak/>
        <w:t>Foreword</w:t>
      </w:r>
      <w:bookmarkStart w:id="6" w:name="_ForewordMarker"/>
      <w:bookmarkEnd w:id="4"/>
      <w:bookmarkEnd w:id="5"/>
      <w:bookmarkEnd w:id="6"/>
    </w:p>
    <w:p w:rsidR="006D5EAF" w:rsidRDefault="006D5EAF" w:rsidP="006D5EAF">
      <w:pPr>
        <w:pStyle w:val="OverviewBodyText"/>
      </w:pPr>
      <w:r>
        <w:t xml:space="preserve">The Future Fund </w:t>
      </w:r>
      <w:r w:rsidR="007744C7">
        <w:t xml:space="preserve">was established </w:t>
      </w:r>
      <w:r>
        <w:t>to strengthen the Commonwealth’s long-term financial position by making provision for the unfunded superannuation liabilities of Commonwealth employees</w:t>
      </w:r>
      <w:r w:rsidR="007679AF">
        <w:t>.</w:t>
      </w:r>
    </w:p>
    <w:p w:rsidR="006D5EAF" w:rsidRDefault="006D5EAF" w:rsidP="006D5EAF">
      <w:pPr>
        <w:pStyle w:val="OverviewBodyText"/>
      </w:pPr>
      <w:r>
        <w:t>This paper discusses scenarios for the drawdown of funds from the Future Fund to meet u</w:t>
      </w:r>
      <w:r w:rsidR="007744C7">
        <w:t xml:space="preserve">nfunded superannuation </w:t>
      </w:r>
      <w:r w:rsidR="000A3D56">
        <w:t xml:space="preserve">cash </w:t>
      </w:r>
      <w:r w:rsidR="007744C7">
        <w:t>payments, and the budget implications of those scenarios.</w:t>
      </w:r>
    </w:p>
    <w:p w:rsidR="00C80200" w:rsidRDefault="006D5EAF" w:rsidP="00925603">
      <w:pPr>
        <w:pStyle w:val="OverviewBodyText"/>
      </w:pPr>
      <w:r>
        <w:t>I would like to thank the PBO</w:t>
      </w:r>
      <w:r w:rsidR="00C6786A">
        <w:t xml:space="preserve"> staff</w:t>
      </w:r>
      <w:r>
        <w:t xml:space="preserve"> involved in the preparation of the report, </w:t>
      </w:r>
      <w:r w:rsidR="00F75B67">
        <w:t>na</w:t>
      </w:r>
      <w:r>
        <w:t>mely Tim</w:t>
      </w:r>
      <w:r w:rsidR="00CC26BB">
        <w:t> </w:t>
      </w:r>
      <w:r>
        <w:t xml:space="preserve">Pyne, </w:t>
      </w:r>
      <w:r w:rsidR="007744C7">
        <w:t>Paul</w:t>
      </w:r>
      <w:r>
        <w:t xml:space="preserve"> </w:t>
      </w:r>
      <w:r w:rsidR="007744C7">
        <w:t>Gardiner</w:t>
      </w:r>
      <w:r>
        <w:t xml:space="preserve">, Lok Potticary and </w:t>
      </w:r>
      <w:r w:rsidR="007744C7">
        <w:t>Vijay Murik.</w:t>
      </w:r>
      <w:r w:rsidR="00777AA1">
        <w:t xml:space="preserve">  The report was prepared for publication by Helen Seisun.</w:t>
      </w:r>
    </w:p>
    <w:p w:rsidR="00351F62" w:rsidRDefault="00E31439" w:rsidP="00925603">
      <w:pPr>
        <w:spacing w:before="960"/>
      </w:pPr>
      <w:r>
        <w:t>Phil Bowen PSM FCPA</w:t>
      </w:r>
    </w:p>
    <w:p w:rsidR="00351F62" w:rsidRDefault="00E31439" w:rsidP="00925603">
      <w:pPr>
        <w:spacing w:after="114"/>
      </w:pPr>
      <w:r>
        <w:t>Parliamentary Budget Officer</w:t>
      </w:r>
    </w:p>
    <w:sdt>
      <w:sdtPr>
        <w:alias w:val="Date"/>
        <w:tag w:val="Date"/>
        <w:id w:val="-226846581"/>
        <w:placeholder>
          <w:docPart w:val="09F0DB4219B74E53B4C1E9FBC76B7B77"/>
        </w:placeholder>
        <w:date w:fullDate="2017-02-08T00:00:00Z">
          <w:dateFormat w:val="d MMMM yyyy"/>
          <w:lid w:val="en-AU"/>
          <w:storeMappedDataAs w:val="dateTime"/>
          <w:calendar w:val="gregorian"/>
        </w:date>
      </w:sdtPr>
      <w:sdtEndPr/>
      <w:sdtContent>
        <w:p w:rsidR="00EA6EB3" w:rsidRDefault="00D65413" w:rsidP="00351F62">
          <w:r>
            <w:t>8 February 2017</w:t>
          </w:r>
        </w:p>
      </w:sdtContent>
    </w:sdt>
    <w:p w:rsidR="00EA6EB3" w:rsidRDefault="00EA6EB3">
      <w:pPr>
        <w:sectPr w:rsidR="00EA6EB3" w:rsidSect="00E31439">
          <w:footerReference w:type="default" r:id="rId22"/>
          <w:pgSz w:w="11906" w:h="16838" w:code="9"/>
          <w:pgMar w:top="1361" w:right="1797" w:bottom="1474" w:left="1797" w:header="284" w:footer="454" w:gutter="0"/>
          <w:pgNumType w:fmt="lowerRoman"/>
          <w:cols w:space="708"/>
          <w:docGrid w:linePitch="360"/>
        </w:sectPr>
      </w:pPr>
    </w:p>
    <w:p w:rsidR="00903E3F" w:rsidRPr="00C51D0B" w:rsidRDefault="000A348F" w:rsidP="00EA6EB3">
      <w:pPr>
        <w:pStyle w:val="Heading1NoNumbering"/>
      </w:pPr>
      <w:bookmarkStart w:id="7" w:name="_Toc469389302"/>
      <w:bookmarkStart w:id="8" w:name="_Toc474245143"/>
      <w:r w:rsidRPr="00C51D0B">
        <w:lastRenderedPageBreak/>
        <w:t>Overview</w:t>
      </w:r>
      <w:bookmarkStart w:id="9" w:name="_OverviewMarker"/>
      <w:bookmarkEnd w:id="7"/>
      <w:bookmarkEnd w:id="8"/>
      <w:bookmarkEnd w:id="9"/>
    </w:p>
    <w:p w:rsidR="0046299F" w:rsidRDefault="0046299F" w:rsidP="0046299F">
      <w:pPr>
        <w:pStyle w:val="OverviewBodyText"/>
      </w:pPr>
      <w:r>
        <w:t>The Future Fund was established in May 2006 to strengthen the Commonwealth’s long</w:t>
      </w:r>
      <w:r w:rsidR="00CC26BB">
        <w:noBreakHyphen/>
      </w:r>
      <w:r>
        <w:t>term financial position by making provision for unfunded superannuation liabilities of Commonwealth employees that will become payable during a period when an ageing population is likely to place significant pressure on the Commonwealth’s finances.</w:t>
      </w:r>
    </w:p>
    <w:p w:rsidR="0046299F" w:rsidRDefault="0046299F" w:rsidP="0046299F">
      <w:pPr>
        <w:pStyle w:val="OverviewBodyText"/>
      </w:pPr>
      <w:r>
        <w:t xml:space="preserve">The </w:t>
      </w:r>
      <w:r w:rsidRPr="00F06453">
        <w:rPr>
          <w:i/>
        </w:rPr>
        <w:t>Future Fund Act 2006</w:t>
      </w:r>
      <w:r>
        <w:t xml:space="preserve"> allows the Future Fund to be drawn down by the Government to </w:t>
      </w:r>
      <w:r w:rsidR="000A3D56">
        <w:t xml:space="preserve">cover unfunded </w:t>
      </w:r>
      <w:r>
        <w:t>superannuation</w:t>
      </w:r>
      <w:r w:rsidR="000A3D56">
        <w:t xml:space="preserve"> cash</w:t>
      </w:r>
      <w:r>
        <w:t xml:space="preserve"> payments from whichever is the earlier of:</w:t>
      </w:r>
    </w:p>
    <w:p w:rsidR="0046299F" w:rsidRDefault="0046299F" w:rsidP="0046299F">
      <w:pPr>
        <w:pStyle w:val="ListBullet"/>
      </w:pPr>
      <w:r>
        <w:t>the time when the balance of the Fund is greater than or equal to the target asset level (that is the amount that is expected to offset the present value of projected unfunded superannuation liabilities), or</w:t>
      </w:r>
    </w:p>
    <w:p w:rsidR="0046299F" w:rsidRDefault="0046299F" w:rsidP="0046299F">
      <w:pPr>
        <w:pStyle w:val="ListBullet"/>
      </w:pPr>
      <w:r>
        <w:t>1 July 2020.</w:t>
      </w:r>
    </w:p>
    <w:p w:rsidR="0046299F" w:rsidRDefault="00DF66D1" w:rsidP="0046299F">
      <w:pPr>
        <w:pStyle w:val="OverviewBodyText"/>
      </w:pPr>
      <w:r w:rsidRPr="009E2AFF">
        <w:t>As at February 2017, the</w:t>
      </w:r>
      <w:r w:rsidR="0046299F" w:rsidRPr="009E2AFF">
        <w:t xml:space="preserve"> Government has not </w:t>
      </w:r>
      <w:r w:rsidRPr="009E2AFF">
        <w:t xml:space="preserve">announced </w:t>
      </w:r>
      <w:r w:rsidR="009F7BC5">
        <w:t>when or to what extent it proposes to draw down on the Future Fund.  T</w:t>
      </w:r>
      <w:r w:rsidR="00C95B4A">
        <w:t xml:space="preserve">he 2016–17 </w:t>
      </w:r>
      <w:r w:rsidR="005E2E14">
        <w:t>Mid-</w:t>
      </w:r>
      <w:r w:rsidR="003E2D0A">
        <w:t>Y</w:t>
      </w:r>
      <w:r w:rsidR="005E2E14">
        <w:t>ear Economic and Fiscal Outlook (MYEFO)</w:t>
      </w:r>
      <w:r w:rsidR="00C95B4A">
        <w:t xml:space="preserve"> is based on the technical assumption that the Fund will be drawn down to the maximum extent permissible from 1 July 2020.</w:t>
      </w:r>
    </w:p>
    <w:p w:rsidR="00622D14" w:rsidRDefault="0046299F" w:rsidP="000478A0">
      <w:pPr>
        <w:pStyle w:val="OverviewBodyText"/>
      </w:pPr>
      <w:r>
        <w:t>If the Government decides to draw</w:t>
      </w:r>
      <w:r w:rsidR="0074034A">
        <w:t xml:space="preserve"> </w:t>
      </w:r>
      <w:r>
        <w:t xml:space="preserve">down the Future Fund </w:t>
      </w:r>
      <w:r w:rsidR="0074034A">
        <w:t xml:space="preserve">from 1 July 2020 </w:t>
      </w:r>
      <w:r>
        <w:t xml:space="preserve">to meet </w:t>
      </w:r>
      <w:r w:rsidR="0074034A">
        <w:t xml:space="preserve">its unfunded </w:t>
      </w:r>
      <w:r>
        <w:t>superannuation liabilities</w:t>
      </w:r>
      <w:r w:rsidR="006E286F">
        <w:t xml:space="preserve">, assuming the Future Fund continues to meet its target </w:t>
      </w:r>
      <w:r w:rsidR="00280323">
        <w:t>investment</w:t>
      </w:r>
      <w:r w:rsidR="006E286F">
        <w:t xml:space="preserve"> return,</w:t>
      </w:r>
      <w:r>
        <w:t xml:space="preserve"> </w:t>
      </w:r>
      <w:r w:rsidR="00DD14C7">
        <w:t xml:space="preserve">the PBO projects that </w:t>
      </w:r>
      <w:r>
        <w:t>the assets of the Future Fund would be exhausted by</w:t>
      </w:r>
      <w:r w:rsidR="0074034A">
        <w:t xml:space="preserve"> </w:t>
      </w:r>
      <w:r>
        <w:t>205</w:t>
      </w:r>
      <w:r w:rsidR="00924FEF">
        <w:t>2</w:t>
      </w:r>
      <w:r w:rsidR="00CC26BB">
        <w:t>–</w:t>
      </w:r>
      <w:r w:rsidR="00924FEF">
        <w:t>53</w:t>
      </w:r>
      <w:r w:rsidR="00461F34">
        <w:t xml:space="preserve"> while</w:t>
      </w:r>
      <w:r w:rsidR="009F7BC5">
        <w:t>, based on official projections,</w:t>
      </w:r>
      <w:r w:rsidR="00461F34">
        <w:t xml:space="preserve"> the </w:t>
      </w:r>
      <w:r>
        <w:t>Government’s unfunded superannuation liability</w:t>
      </w:r>
      <w:r w:rsidR="00C95B4A">
        <w:t xml:space="preserve"> </w:t>
      </w:r>
      <w:r w:rsidR="00461F34">
        <w:t>would stand at $</w:t>
      </w:r>
      <w:r w:rsidR="00D65413">
        <w:t>249.0</w:t>
      </w:r>
      <w:r w:rsidR="00461F34">
        <w:t xml:space="preserve"> billion</w:t>
      </w:r>
      <w:r w:rsidR="0019487D">
        <w:t>.</w:t>
      </w:r>
      <w:r w:rsidR="006E286F">
        <w:t xml:space="preserve">  If the Future Fund</w:t>
      </w:r>
      <w:r w:rsidR="009F7BC5">
        <w:t>’</w:t>
      </w:r>
      <w:r w:rsidR="006E286F">
        <w:t xml:space="preserve">s </w:t>
      </w:r>
      <w:r w:rsidR="009F7BC5">
        <w:t xml:space="preserve">investment </w:t>
      </w:r>
      <w:r w:rsidR="006E286F">
        <w:t xml:space="preserve">returns were to </w:t>
      </w:r>
      <w:r w:rsidR="009F7BC5">
        <w:t xml:space="preserve">be lower than assumed in the PBO’s analysis, </w:t>
      </w:r>
      <w:r w:rsidR="00C21DEF">
        <w:t xml:space="preserve">under the 1 July 2020 drawdown scenario </w:t>
      </w:r>
      <w:r w:rsidR="009F7BC5">
        <w:t>the assets of the Fund would be exhausted sooner</w:t>
      </w:r>
      <w:r w:rsidR="000478A0">
        <w:t xml:space="preserve"> than 2052–53</w:t>
      </w:r>
      <w:r w:rsidR="00C21DEF">
        <w:t>.</w:t>
      </w:r>
    </w:p>
    <w:p w:rsidR="00622D14" w:rsidRDefault="00622D14" w:rsidP="000478A0">
      <w:pPr>
        <w:pStyle w:val="OverviewBodyText"/>
      </w:pPr>
      <w:r>
        <w:t>If the Government chooses to defer drawdowns from the Future Fund until the value of the Fund is sufficient to offset the Government’s unfunded superannuation liability, the PBO projects that the Fund would meet the annual unfunded superannuation payments on an ongoing basis.  This would be achieved by deferring drawdowns until 2024</w:t>
      </w:r>
      <w:r w:rsidR="003E2D0A">
        <w:t>–</w:t>
      </w:r>
      <w:r>
        <w:t>25 based on the Fund meetin</w:t>
      </w:r>
      <w:r w:rsidR="003E2D0A">
        <w:t>g its target investment return</w:t>
      </w:r>
      <w:r w:rsidR="00A22D06">
        <w:t xml:space="preserve"> over the projection period</w:t>
      </w:r>
      <w:r w:rsidR="003E2D0A">
        <w:t>.</w:t>
      </w:r>
    </w:p>
    <w:p w:rsidR="00BA6041" w:rsidRDefault="00622D14" w:rsidP="00622D14">
      <w:pPr>
        <w:pStyle w:val="OverviewBodyText"/>
      </w:pPr>
      <w:r>
        <w:t xml:space="preserve">Assuming the </w:t>
      </w:r>
      <w:r w:rsidR="00EF68E3">
        <w:t xml:space="preserve">Fund </w:t>
      </w:r>
      <w:r>
        <w:t>continues to meet its target rate of return, the PBO projects that deferring drawdowns from the Fund until 2024</w:t>
      </w:r>
      <w:r w:rsidR="003E2D0A">
        <w:t>–</w:t>
      </w:r>
      <w:r>
        <w:t>25 would result in the Commonwealth’s net financial worth being 3¾ per cent of GDP higher by 2054–55, compared to the 1</w:t>
      </w:r>
      <w:r w:rsidR="009C37CD">
        <w:t> </w:t>
      </w:r>
      <w:r>
        <w:t>July</w:t>
      </w:r>
      <w:r w:rsidR="009C37CD">
        <w:t> </w:t>
      </w:r>
      <w:r>
        <w:t>2020 drawdown scenario.  Net financial worth includes all of the Government’s financial assets and liabilities, unlike net debt which excludes the Future Fund’s unrealised equity investments and the Government’s unfunded superannuation liability.</w:t>
      </w:r>
    </w:p>
    <w:p w:rsidR="00BA6041" w:rsidRDefault="00BA6041" w:rsidP="00BA6041">
      <w:pPr>
        <w:pStyle w:val="OverviewBodyText"/>
      </w:pPr>
      <w:r>
        <w:t>The PBO’s analysis is based on the central assumption that the Future Fund’s investment returns will continue to exceed the Government’s cost of borrowings.</w:t>
      </w:r>
      <w:r w:rsidR="00622D14">
        <w:t xml:space="preserve">  </w:t>
      </w:r>
      <w:r>
        <w:t xml:space="preserve">If, due to a less favourable investment climate, Future Fund investment returns were lower than assumed in the analysis, drawdowns from the Fund would need to be deferred further in order for the Fund to be sufficient to offset the unfunded superannuation liability and meet the annual unfunded superannuation payments on an ongoing basis.  In these circumstances, provided the Future Fund’s investment returns continue to exceed the Government’s cost of </w:t>
      </w:r>
      <w:r>
        <w:lastRenderedPageBreak/>
        <w:t>borrowing, deferral of drawdowns would still improve the Commonwealth’s net financial worth.</w:t>
      </w:r>
    </w:p>
    <w:p w:rsidR="00A45D8F" w:rsidRDefault="00A45D8F" w:rsidP="00A45D8F">
      <w:pPr>
        <w:pStyle w:val="OverviewBodyText"/>
      </w:pPr>
      <w:r w:rsidRPr="005E2E14">
        <w:t xml:space="preserve">Greater exposure to financial markets </w:t>
      </w:r>
      <w:r>
        <w:t>under a deferred drawdown policy could result in some increased short-term volatility in the budget aggregates.  In the longer term the matching of the long-term Future Fund asset with the long-term unfunded superannuation liability could be expected to benefit the Commonwealth’s net financial worth.</w:t>
      </w:r>
    </w:p>
    <w:p w:rsidR="000478A0" w:rsidRDefault="000478A0" w:rsidP="004456BF">
      <w:pPr>
        <w:pStyle w:val="OverviewBodyText"/>
      </w:pPr>
    </w:p>
    <w:p w:rsidR="004456BF" w:rsidRDefault="004456BF" w:rsidP="004456BF">
      <w:pPr>
        <w:pStyle w:val="OverviewBodyText"/>
        <w:sectPr w:rsidR="004456BF" w:rsidSect="00E31439">
          <w:pgSz w:w="11906" w:h="16838" w:code="9"/>
          <w:pgMar w:top="1361" w:right="1797" w:bottom="1474" w:left="1797" w:header="284" w:footer="454" w:gutter="0"/>
          <w:pgNumType w:fmt="lowerRoman"/>
          <w:cols w:space="708"/>
          <w:docGrid w:linePitch="360"/>
        </w:sectPr>
      </w:pPr>
    </w:p>
    <w:p w:rsidR="00903E3F" w:rsidRDefault="00E31439" w:rsidP="00E31439">
      <w:pPr>
        <w:pStyle w:val="Heading1"/>
      </w:pPr>
      <w:bookmarkStart w:id="10" w:name="_Toc469056256"/>
      <w:bookmarkStart w:id="11" w:name="_Toc469389303"/>
      <w:bookmarkStart w:id="12" w:name="_Ref473017767"/>
      <w:bookmarkStart w:id="13" w:name="_Toc474245144"/>
      <w:r>
        <w:lastRenderedPageBreak/>
        <w:t>Introduction</w:t>
      </w:r>
      <w:bookmarkEnd w:id="10"/>
      <w:bookmarkEnd w:id="11"/>
      <w:bookmarkEnd w:id="12"/>
      <w:bookmarkEnd w:id="13"/>
    </w:p>
    <w:p w:rsidR="00E31439" w:rsidRDefault="00E31439" w:rsidP="00E31439">
      <w:pPr>
        <w:pStyle w:val="BodyText"/>
      </w:pPr>
      <w:r>
        <w:t>The Future Fund was established in May 2006 to strengthen the Commonwealth’s long</w:t>
      </w:r>
      <w:r w:rsidR="00CC26BB">
        <w:noBreakHyphen/>
      </w:r>
      <w:r>
        <w:t>term financial position by making provision for unfunded superannuation liabilities of Commonwealth employees that will become payable during a period when an ageing population is likely to place significant pressure on the Commonwealth’s finances.</w:t>
      </w:r>
    </w:p>
    <w:p w:rsidR="00646DFE" w:rsidRDefault="00646DFE" w:rsidP="00E31439">
      <w:pPr>
        <w:pStyle w:val="BodyText"/>
      </w:pPr>
      <w:r>
        <w:t>From its inception to 30 June 2016 the Future Fund’s annualised investment return has averaged 7.7 per cent, comparing favourably w</w:t>
      </w:r>
      <w:r w:rsidR="00D65413">
        <w:t>ith its long-</w:t>
      </w:r>
      <w:r>
        <w:t>term target return of at least CPI plus 4.5 to 5.5 per cent.</w:t>
      </w:r>
    </w:p>
    <w:p w:rsidR="00E31439" w:rsidRDefault="00E31439" w:rsidP="00E31439">
      <w:pPr>
        <w:pStyle w:val="BodyText"/>
      </w:pPr>
      <w:r>
        <w:t>As at 30 June 2016, the Future Fund was valued at $122.8 billion comprising $60.5 billion of contributions from the Government and $62.3 billion of investment returns</w:t>
      </w:r>
      <w:r w:rsidR="0046551F">
        <w:t xml:space="preserve"> (</w:t>
      </w:r>
      <w:r w:rsidR="000A07EF">
        <w:t>Appendix</w:t>
      </w:r>
      <w:r w:rsidR="003C6DF2">
        <w:t xml:space="preserve"> </w:t>
      </w:r>
      <w:r w:rsidR="003C6DF2">
        <w:fldChar w:fldCharType="begin"/>
      </w:r>
      <w:r w:rsidR="003C6DF2">
        <w:instrText xml:space="preserve"> REF _Ref473017743 \w \h </w:instrText>
      </w:r>
      <w:r w:rsidR="003C6DF2">
        <w:fldChar w:fldCharType="separate"/>
      </w:r>
      <w:r w:rsidR="00D42FEB">
        <w:t>A1</w:t>
      </w:r>
      <w:r w:rsidR="003C6DF2">
        <w:fldChar w:fldCharType="end"/>
      </w:r>
      <w:r w:rsidR="0046551F">
        <w:t>)</w:t>
      </w:r>
      <w:r>
        <w:t>.  The Commonwealth’s unfunded superannuation liability</w:t>
      </w:r>
      <w:r w:rsidR="00FA4FD8">
        <w:t xml:space="preserve"> as</w:t>
      </w:r>
      <w:r>
        <w:t xml:space="preserve"> at 30 June 2016 stood at $</w:t>
      </w:r>
      <w:r w:rsidR="000669F1">
        <w:t>169.1</w:t>
      </w:r>
      <w:r w:rsidR="003C6DF2">
        <w:t> </w:t>
      </w:r>
      <w:r>
        <w:t>billion and is projected to peak at $</w:t>
      </w:r>
      <w:r w:rsidR="00174CC7">
        <w:t>283.</w:t>
      </w:r>
      <w:r w:rsidR="002134CC">
        <w:t>5</w:t>
      </w:r>
      <w:r>
        <w:t xml:space="preserve"> billion</w:t>
      </w:r>
      <w:r w:rsidR="00A359BC">
        <w:t xml:space="preserve"> </w:t>
      </w:r>
      <w:r>
        <w:t>in 20</w:t>
      </w:r>
      <w:r w:rsidR="00174CC7">
        <w:t>40</w:t>
      </w:r>
      <w:r w:rsidR="003C6DF2">
        <w:t>–</w:t>
      </w:r>
      <w:r w:rsidR="00174CC7">
        <w:t>41</w:t>
      </w:r>
      <w:r w:rsidR="0046551F">
        <w:t xml:space="preserve"> (</w:t>
      </w:r>
      <w:r w:rsidR="000A07EF">
        <w:t>Appendix</w:t>
      </w:r>
      <w:r w:rsidR="003C6DF2">
        <w:t xml:space="preserve"> </w:t>
      </w:r>
      <w:r w:rsidR="003C6DF2">
        <w:fldChar w:fldCharType="begin"/>
      </w:r>
      <w:r w:rsidR="003C6DF2">
        <w:instrText xml:space="preserve"> REF _Ref473017819 \r \h </w:instrText>
      </w:r>
      <w:r w:rsidR="003C6DF2">
        <w:fldChar w:fldCharType="separate"/>
      </w:r>
      <w:r w:rsidR="00D42FEB">
        <w:t>A2</w:t>
      </w:r>
      <w:r w:rsidR="003C6DF2">
        <w:fldChar w:fldCharType="end"/>
      </w:r>
      <w:r w:rsidR="0046551F">
        <w:t>)</w:t>
      </w:r>
      <w:r>
        <w:t>.</w:t>
      </w:r>
    </w:p>
    <w:p w:rsidR="00F871CD" w:rsidRDefault="00F871CD" w:rsidP="00F871CD">
      <w:pPr>
        <w:pStyle w:val="BodyText"/>
      </w:pPr>
      <w:r>
        <w:t>T</w:t>
      </w:r>
      <w:r w:rsidRPr="00DF66D1">
        <w:t xml:space="preserve">he </w:t>
      </w:r>
      <w:r w:rsidRPr="00DF66D1">
        <w:rPr>
          <w:i/>
        </w:rPr>
        <w:t>Future Fund Act 2006</w:t>
      </w:r>
      <w:r w:rsidRPr="00DF66D1">
        <w:t xml:space="preserve"> allows the Fund to be drawn down to fund</w:t>
      </w:r>
      <w:r>
        <w:t xml:space="preserve"> unfunded superannuation cash payments </w:t>
      </w:r>
      <w:r w:rsidRPr="00D5061C">
        <w:t>from whichever is the earlier of</w:t>
      </w:r>
      <w:r>
        <w:t>:</w:t>
      </w:r>
    </w:p>
    <w:p w:rsidR="00F871CD" w:rsidRPr="00B12664" w:rsidRDefault="00F871CD" w:rsidP="00F871CD">
      <w:pPr>
        <w:pStyle w:val="ListBullet"/>
      </w:pPr>
      <w:r w:rsidRPr="00D5061C">
        <w:rPr>
          <w:rFonts w:cs="Times New Roman"/>
        </w:rPr>
        <w:t>the time when the balance of the Fund is greater than or equal to the target asset level</w:t>
      </w:r>
      <w:r>
        <w:t xml:space="preserve"> (that is </w:t>
      </w:r>
      <w:r w:rsidRPr="00D5061C">
        <w:t>the amount that is expected to offset the present value of projected unfunded superannuation liabilit</w:t>
      </w:r>
      <w:r>
        <w:t>ies), or</w:t>
      </w:r>
    </w:p>
    <w:p w:rsidR="00F871CD" w:rsidRDefault="00F871CD" w:rsidP="00F871CD">
      <w:pPr>
        <w:pStyle w:val="ListBullet"/>
      </w:pPr>
      <w:r>
        <w:t>1 July 2020.</w:t>
      </w:r>
    </w:p>
    <w:p w:rsidR="001E6F54" w:rsidRPr="00020036" w:rsidRDefault="00E31439">
      <w:pPr>
        <w:pStyle w:val="BodyText"/>
        <w:rPr>
          <w:highlight w:val="yellow"/>
        </w:rPr>
      </w:pPr>
      <w:r>
        <w:t xml:space="preserve">The purpose of this report is to </w:t>
      </w:r>
      <w:r w:rsidR="00F871CD">
        <w:t xml:space="preserve">analyse </w:t>
      </w:r>
      <w:r>
        <w:t>the impact of the timing of drawdowns from the Future</w:t>
      </w:r>
      <w:r w:rsidR="003C6DF2">
        <w:t> </w:t>
      </w:r>
      <w:r>
        <w:t>Fund on the Commonwealth’s balance sheet</w:t>
      </w:r>
      <w:r w:rsidR="00F871CD">
        <w:t xml:space="preserve">, with a particular focus on the </w:t>
      </w:r>
      <w:r w:rsidR="00F871CD" w:rsidRPr="005E2E14">
        <w:t>Commonwealth’s net</w:t>
      </w:r>
      <w:r w:rsidR="00B96F74" w:rsidRPr="005E2E14">
        <w:t xml:space="preserve"> financial</w:t>
      </w:r>
      <w:r w:rsidR="00F871CD" w:rsidRPr="005E2E14">
        <w:t xml:space="preserve"> worth</w:t>
      </w:r>
      <w:r w:rsidR="00F871CD">
        <w:t xml:space="preserve"> rather than net debt</w:t>
      </w:r>
      <w:bookmarkStart w:id="14" w:name="_Toc469056257"/>
      <w:bookmarkStart w:id="15" w:name="_Toc469056258"/>
      <w:bookmarkStart w:id="16" w:name="_Toc469056259"/>
      <w:bookmarkStart w:id="17" w:name="_Toc469056260"/>
      <w:bookmarkStart w:id="18" w:name="_Toc469056261"/>
      <w:bookmarkStart w:id="19" w:name="_Toc469056262"/>
      <w:bookmarkStart w:id="20" w:name="_Toc469056263"/>
      <w:bookmarkStart w:id="21" w:name="_Toc469056264"/>
      <w:bookmarkStart w:id="22" w:name="_Toc469056265"/>
      <w:bookmarkStart w:id="23" w:name="_Toc469056266"/>
      <w:bookmarkStart w:id="24" w:name="_Toc469056267"/>
      <w:bookmarkStart w:id="25" w:name="_Toc469056268"/>
      <w:bookmarkStart w:id="26" w:name="_Toc469056269"/>
      <w:bookmarkStart w:id="27" w:name="_Toc469056270"/>
      <w:bookmarkStart w:id="28" w:name="_Toc469056271"/>
      <w:bookmarkStart w:id="29" w:name="_Toc469056272"/>
      <w:bookmarkStart w:id="30" w:name="_Toc469056273"/>
      <w:bookmarkStart w:id="31" w:name="_Toc469056274"/>
      <w:bookmarkStart w:id="32" w:name="_Toc469056275"/>
      <w:bookmarkStart w:id="33" w:name="_Toc469056276"/>
      <w:bookmarkStart w:id="34" w:name="_Toc469056277"/>
      <w:bookmarkStart w:id="35" w:name="_Toc469056278"/>
      <w:bookmarkStart w:id="36" w:name="_Toc469056279"/>
      <w:bookmarkStart w:id="37" w:name="_Toc469056280"/>
      <w:bookmarkStart w:id="38" w:name="_Toc469056281"/>
      <w:bookmarkStart w:id="39" w:name="_Toc469056282"/>
      <w:bookmarkStart w:id="40" w:name="_Toc469056283"/>
      <w:bookmarkStart w:id="41" w:name="_Toc469056284"/>
      <w:bookmarkStart w:id="42" w:name="_Toc469056285"/>
      <w:bookmarkStart w:id="43" w:name="_Toc469056286"/>
      <w:bookmarkStart w:id="44" w:name="_Toc469056287"/>
      <w:bookmarkStart w:id="45" w:name="_Toc469056288"/>
      <w:bookmarkStart w:id="46" w:name="_Toc469056289"/>
      <w:bookmarkStart w:id="47" w:name="_Toc469056290"/>
      <w:bookmarkStart w:id="48" w:name="_Toc469056291"/>
      <w:bookmarkStart w:id="49" w:name="_Toc469056292"/>
      <w:bookmarkStart w:id="50" w:name="_Toc469056293"/>
      <w:bookmarkStart w:id="51" w:name="_Toc469056294"/>
      <w:bookmarkStart w:id="52" w:name="_Toc469056295"/>
      <w:bookmarkStart w:id="53" w:name="_Toc469056296"/>
      <w:bookmarkStart w:id="54" w:name="_Toc469056297"/>
      <w:bookmarkStart w:id="55" w:name="_Toc469056298"/>
      <w:bookmarkStart w:id="56" w:name="_Toc469056299"/>
      <w:bookmarkStart w:id="57" w:name="_Toc469056300"/>
      <w:bookmarkStart w:id="58" w:name="_Toc46905630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00F871CD" w:rsidRPr="005E2E14">
        <w:t>.</w:t>
      </w:r>
    </w:p>
    <w:p w:rsidR="002E0357" w:rsidRPr="00E31439" w:rsidRDefault="00535286" w:rsidP="00E31439">
      <w:pPr>
        <w:pStyle w:val="BodyText"/>
        <w:sectPr w:rsidR="002E0357" w:rsidRPr="00E31439" w:rsidSect="00362E25">
          <w:footerReference w:type="default" r:id="rId23"/>
          <w:pgSz w:w="11906" w:h="16838" w:code="9"/>
          <w:pgMar w:top="1361" w:right="1797" w:bottom="1474" w:left="1797" w:header="284" w:footer="454" w:gutter="0"/>
          <w:pgNumType w:start="1"/>
          <w:cols w:space="708"/>
          <w:docGrid w:linePitch="360"/>
        </w:sectPr>
      </w:pPr>
      <w:r w:rsidRPr="005E2E14">
        <w:t>Net financial worth</w:t>
      </w:r>
      <w:r w:rsidR="002E0357" w:rsidRPr="005E2E14">
        <w:t xml:space="preserve"> is a comprehensive measure of the strength of the Government’s </w:t>
      </w:r>
      <w:r w:rsidR="007C472C" w:rsidRPr="005E2E14">
        <w:t>financial position</w:t>
      </w:r>
      <w:r w:rsidR="002E0357" w:rsidRPr="005E2E14">
        <w:t>.</w:t>
      </w:r>
      <w:r w:rsidR="004E3C25" w:rsidRPr="005E2E14">
        <w:t xml:space="preserve">  </w:t>
      </w:r>
      <w:r w:rsidR="007C472C" w:rsidRPr="005E2E14">
        <w:t>It includes all</w:t>
      </w:r>
      <w:r w:rsidR="00020036" w:rsidRPr="005E2E14">
        <w:t xml:space="preserve"> of</w:t>
      </w:r>
      <w:r w:rsidR="007C472C" w:rsidRPr="005E2E14">
        <w:t xml:space="preserve"> the </w:t>
      </w:r>
      <w:r w:rsidR="00BD5185" w:rsidRPr="005E2E14">
        <w:t>Government’s</w:t>
      </w:r>
      <w:r w:rsidR="007C472C" w:rsidRPr="005E2E14">
        <w:t xml:space="preserve"> financial assets and liabilities, including </w:t>
      </w:r>
      <w:r w:rsidR="004E3C25" w:rsidRPr="005E2E14">
        <w:t>the value of the Future Fund</w:t>
      </w:r>
      <w:r w:rsidR="006E17AB">
        <w:t xml:space="preserve"> and</w:t>
      </w:r>
      <w:r w:rsidR="004E3C25" w:rsidRPr="005E2E14">
        <w:t xml:space="preserve"> the unfunded superannuation liability</w:t>
      </w:r>
      <w:r w:rsidR="006E17AB">
        <w:t xml:space="preserve">.  Net debt on the other hand excludes the Future Fund’s </w:t>
      </w:r>
      <w:r w:rsidR="006E17AB" w:rsidRPr="005E2E14">
        <w:t>equity investments</w:t>
      </w:r>
      <w:r w:rsidR="00BD5185" w:rsidRPr="005E2E14">
        <w:t xml:space="preserve"> </w:t>
      </w:r>
      <w:r w:rsidR="007C472C" w:rsidRPr="005E2E14">
        <w:t xml:space="preserve">and the </w:t>
      </w:r>
      <w:r w:rsidR="00BD5185" w:rsidRPr="005E2E14">
        <w:t>Government’s</w:t>
      </w:r>
      <w:r w:rsidR="007C472C" w:rsidRPr="005E2E14">
        <w:t xml:space="preserve"> </w:t>
      </w:r>
      <w:r w:rsidR="006E17AB">
        <w:t>unfunded superannuation liability.</w:t>
      </w:r>
    </w:p>
    <w:p w:rsidR="00E31439" w:rsidRDefault="00E31439" w:rsidP="00E31439">
      <w:pPr>
        <w:pStyle w:val="Heading1"/>
      </w:pPr>
      <w:bookmarkStart w:id="59" w:name="_Toc469389304"/>
      <w:bookmarkStart w:id="60" w:name="_Toc469389334"/>
      <w:bookmarkStart w:id="61" w:name="_Toc469056304"/>
      <w:bookmarkStart w:id="62" w:name="_Toc469389305"/>
      <w:bookmarkStart w:id="63" w:name="_Toc469389335"/>
      <w:bookmarkStart w:id="64" w:name="_Toc469056305"/>
      <w:bookmarkStart w:id="65" w:name="_Toc469389306"/>
      <w:bookmarkStart w:id="66" w:name="_Toc469389336"/>
      <w:bookmarkStart w:id="67" w:name="_Toc469056306"/>
      <w:bookmarkStart w:id="68" w:name="_Toc469389307"/>
      <w:bookmarkStart w:id="69" w:name="_Toc469389337"/>
      <w:bookmarkStart w:id="70" w:name="_Toc469056307"/>
      <w:bookmarkStart w:id="71" w:name="_Toc469389308"/>
      <w:bookmarkStart w:id="72" w:name="_Toc469389338"/>
      <w:bookmarkStart w:id="73" w:name="_Toc469056308"/>
      <w:bookmarkStart w:id="74" w:name="_Toc469389309"/>
      <w:bookmarkStart w:id="75" w:name="_Toc469389339"/>
      <w:bookmarkStart w:id="76" w:name="_Toc469056309"/>
      <w:bookmarkStart w:id="77" w:name="_Toc469389310"/>
      <w:bookmarkStart w:id="78" w:name="_Toc469389340"/>
      <w:bookmarkStart w:id="79" w:name="_Toc469056310"/>
      <w:bookmarkStart w:id="80" w:name="_Toc469389311"/>
      <w:bookmarkStart w:id="81" w:name="_Toc469389341"/>
      <w:bookmarkStart w:id="82" w:name="_Toc469056311"/>
      <w:bookmarkStart w:id="83" w:name="_Toc469056312"/>
      <w:bookmarkStart w:id="84" w:name="_Toc469389312"/>
      <w:bookmarkStart w:id="85" w:name="_Toc469389342"/>
      <w:bookmarkStart w:id="86" w:name="_Toc469056313"/>
      <w:bookmarkStart w:id="87" w:name="_Toc469056314"/>
      <w:bookmarkStart w:id="88" w:name="_Toc469389313"/>
      <w:bookmarkStart w:id="89" w:name="_Toc469389343"/>
      <w:bookmarkStart w:id="90" w:name="_Toc469056315"/>
      <w:bookmarkStart w:id="91" w:name="_Toc469389314"/>
      <w:bookmarkStart w:id="92" w:name="_Toc469389344"/>
      <w:bookmarkStart w:id="93" w:name="_Toc469056316"/>
      <w:bookmarkStart w:id="94" w:name="_Toc469389315"/>
      <w:bookmarkStart w:id="95" w:name="_Toc469389345"/>
      <w:bookmarkStart w:id="96" w:name="_Toc469389316"/>
      <w:bookmarkStart w:id="97" w:name="_Toc469389346"/>
      <w:bookmarkStart w:id="98" w:name="_Toc469389317"/>
      <w:bookmarkStart w:id="99" w:name="_Toc474245145"/>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lastRenderedPageBreak/>
        <w:t>Future Fund drawdown scenarios</w:t>
      </w:r>
      <w:bookmarkEnd w:id="98"/>
      <w:bookmarkEnd w:id="99"/>
    </w:p>
    <w:p w:rsidR="00E31439" w:rsidRDefault="00E31439" w:rsidP="00E31439">
      <w:pPr>
        <w:pStyle w:val="BodyText"/>
      </w:pPr>
      <w:r>
        <w:t>Th</w:t>
      </w:r>
      <w:r w:rsidR="00577406">
        <w:t>is chapter</w:t>
      </w:r>
      <w:r>
        <w:t xml:space="preserve"> considers two drawdown scenarios:</w:t>
      </w:r>
    </w:p>
    <w:p w:rsidR="00E31439" w:rsidRDefault="005E2A36" w:rsidP="00E31439">
      <w:pPr>
        <w:pStyle w:val="ListBullet"/>
      </w:pPr>
      <w:r>
        <w:t xml:space="preserve">draw </w:t>
      </w:r>
      <w:r w:rsidR="00E31439">
        <w:t>down from 1 July 2020</w:t>
      </w:r>
    </w:p>
    <w:p w:rsidR="00E31439" w:rsidRDefault="005E2A36" w:rsidP="00E31439">
      <w:pPr>
        <w:pStyle w:val="ListBullet"/>
      </w:pPr>
      <w:proofErr w:type="gramStart"/>
      <w:r>
        <w:t>draw</w:t>
      </w:r>
      <w:proofErr w:type="gramEnd"/>
      <w:r>
        <w:t xml:space="preserve"> </w:t>
      </w:r>
      <w:r w:rsidR="00E31439">
        <w:t xml:space="preserve">down from when the Future Fund assets are </w:t>
      </w:r>
      <w:r w:rsidR="00B10749">
        <w:t xml:space="preserve">projected by the PBO to be </w:t>
      </w:r>
      <w:r w:rsidR="00E31439">
        <w:t>sufficient to offset the unfunded superannuation liability</w:t>
      </w:r>
      <w:r w:rsidR="00782496">
        <w:t>.</w:t>
      </w:r>
    </w:p>
    <w:p w:rsidR="00BF5654" w:rsidRDefault="00E31439" w:rsidP="00584CFE">
      <w:pPr>
        <w:pStyle w:val="BodyText"/>
      </w:pPr>
      <w:r>
        <w:t xml:space="preserve">Under each scenario </w:t>
      </w:r>
      <w:r w:rsidR="00BF5654">
        <w:t>the PBO has used the official projections of the Government’s unfunded superannuation liability and cost of borrowing.</w:t>
      </w:r>
    </w:p>
    <w:p w:rsidR="00E31439" w:rsidRDefault="00BF5654" w:rsidP="00584CFE">
      <w:pPr>
        <w:pStyle w:val="BodyText"/>
      </w:pPr>
      <w:r>
        <w:t xml:space="preserve">The PBO has </w:t>
      </w:r>
      <w:r w:rsidR="00E31439">
        <w:t>assumed that:</w:t>
      </w:r>
    </w:p>
    <w:p w:rsidR="00E31439" w:rsidRDefault="00E31439" w:rsidP="00D5061C">
      <w:pPr>
        <w:pStyle w:val="ListBullet"/>
      </w:pPr>
      <w:r>
        <w:t xml:space="preserve">the Future Fund </w:t>
      </w:r>
      <w:r w:rsidR="00F81EBA">
        <w:t xml:space="preserve">continues to </w:t>
      </w:r>
      <w:r>
        <w:t>achieve the midpoint of its mandated target return, namely CPI plus</w:t>
      </w:r>
      <w:r w:rsidR="008A777E">
        <w:t xml:space="preserve"> 5</w:t>
      </w:r>
      <w:r w:rsidR="0065292B">
        <w:t> </w:t>
      </w:r>
      <w:r w:rsidR="008A777E">
        <w:t>per cent annually</w:t>
      </w:r>
      <w:r w:rsidR="00822EF6">
        <w:t xml:space="preserve"> (over the long</w:t>
      </w:r>
      <w:r w:rsidR="00D65413">
        <w:t xml:space="preserve"> </w:t>
      </w:r>
      <w:r w:rsidR="00822EF6">
        <w:t xml:space="preserve">term this assumption implies </w:t>
      </w:r>
      <w:r w:rsidR="001F0918">
        <w:t>t</w:t>
      </w:r>
      <w:r w:rsidR="00822EF6">
        <w:t>hat the Future Fund’s annual return of 7½ per cent is 1½ per cent abov</w:t>
      </w:r>
      <w:r w:rsidR="00D65413">
        <w:t>e the Government’s assumed long-</w:t>
      </w:r>
      <w:r w:rsidR="00822EF6">
        <w:t>term cost of borrowing, which is 6 per cent)</w:t>
      </w:r>
    </w:p>
    <w:p w:rsidR="00E31439" w:rsidRDefault="00E31439" w:rsidP="00D5061C">
      <w:pPr>
        <w:pStyle w:val="ListBullet"/>
      </w:pPr>
      <w:r>
        <w:t>no further contributions are credite</w:t>
      </w:r>
      <w:r w:rsidR="008A777E">
        <w:t>d to the Fund by the Government</w:t>
      </w:r>
    </w:p>
    <w:p w:rsidR="00E31439" w:rsidRDefault="00E31439" w:rsidP="00D5061C">
      <w:pPr>
        <w:pStyle w:val="ListBullet"/>
      </w:pPr>
      <w:proofErr w:type="gramStart"/>
      <w:r>
        <w:t>the</w:t>
      </w:r>
      <w:proofErr w:type="gramEnd"/>
      <w:r>
        <w:t xml:space="preserve"> amount drawn down each year </w:t>
      </w:r>
      <w:r w:rsidR="004B04C7">
        <w:t>meet</w:t>
      </w:r>
      <w:r w:rsidR="000669F1">
        <w:t>s</w:t>
      </w:r>
      <w:r w:rsidR="004B04C7">
        <w:t xml:space="preserve"> in full the unfunded</w:t>
      </w:r>
      <w:r w:rsidR="000A3D56">
        <w:t xml:space="preserve"> cash</w:t>
      </w:r>
      <w:r w:rsidR="004B04C7">
        <w:t xml:space="preserve"> superannuation payments that fall due within that year</w:t>
      </w:r>
      <w:r w:rsidR="008151E3">
        <w:t xml:space="preserve">, consistent with the technical assumption in </w:t>
      </w:r>
      <w:r w:rsidR="00B96F74" w:rsidRPr="005E2E14">
        <w:t>the 2016–17 MYEFO</w:t>
      </w:r>
      <w:r>
        <w:t>.</w:t>
      </w:r>
    </w:p>
    <w:p w:rsidR="00E31439" w:rsidRPr="000B2288" w:rsidRDefault="00F90E64" w:rsidP="00584CFE">
      <w:pPr>
        <w:pStyle w:val="BodyText"/>
      </w:pPr>
      <w:r w:rsidRPr="005E2E14">
        <w:t xml:space="preserve">Further details of the modelling assumptions and methodology used by the PBO are at Appendix </w:t>
      </w:r>
      <w:r w:rsidRPr="005E2E14">
        <w:fldChar w:fldCharType="begin"/>
      </w:r>
      <w:r w:rsidRPr="005E2E14">
        <w:instrText xml:space="preserve"> REF _Ref473018504 \r \h </w:instrText>
      </w:r>
      <w:r w:rsidR="004A7CED" w:rsidRPr="005E2E14">
        <w:instrText xml:space="preserve"> \* MERGEFORMAT </w:instrText>
      </w:r>
      <w:r w:rsidRPr="005E2E14">
        <w:fldChar w:fldCharType="separate"/>
      </w:r>
      <w:r w:rsidR="00D42FEB">
        <w:t>A3</w:t>
      </w:r>
      <w:r w:rsidRPr="005E2E14">
        <w:fldChar w:fldCharType="end"/>
      </w:r>
      <w:r w:rsidRPr="005E2E14">
        <w:t>.</w:t>
      </w:r>
      <w:r w:rsidR="00BF5654">
        <w:t xml:space="preserve"> </w:t>
      </w:r>
      <w:r w:rsidR="005E2E14">
        <w:t xml:space="preserve"> A discussion of the sensitivity of the projections to underlying assumptions is at section </w:t>
      </w:r>
      <w:r w:rsidR="009C37CD">
        <w:fldChar w:fldCharType="begin"/>
      </w:r>
      <w:r w:rsidR="009C37CD">
        <w:instrText xml:space="preserve"> REF _Ref474242969 \r \h </w:instrText>
      </w:r>
      <w:r w:rsidR="009C37CD">
        <w:fldChar w:fldCharType="separate"/>
      </w:r>
      <w:r w:rsidR="00D42FEB">
        <w:t>2.4</w:t>
      </w:r>
      <w:r w:rsidR="009C37CD">
        <w:fldChar w:fldCharType="end"/>
      </w:r>
      <w:r w:rsidR="005E2E14">
        <w:t xml:space="preserve"> below.</w:t>
      </w:r>
    </w:p>
    <w:p w:rsidR="00E31439" w:rsidRDefault="00E31439" w:rsidP="00E31439">
      <w:pPr>
        <w:pStyle w:val="Heading2"/>
      </w:pPr>
      <w:bookmarkStart w:id="100" w:name="_Toc469056318"/>
      <w:bookmarkStart w:id="101" w:name="_Toc469389318"/>
      <w:bookmarkStart w:id="102" w:name="_Toc468961265"/>
      <w:bookmarkStart w:id="103" w:name="_Toc474245146"/>
      <w:r>
        <w:t>Draw</w:t>
      </w:r>
      <w:r w:rsidR="00411413">
        <w:t xml:space="preserve"> </w:t>
      </w:r>
      <w:r>
        <w:t>down from 1 July 2020</w:t>
      </w:r>
      <w:bookmarkEnd w:id="100"/>
      <w:bookmarkEnd w:id="101"/>
      <w:bookmarkEnd w:id="102"/>
      <w:bookmarkEnd w:id="103"/>
    </w:p>
    <w:p w:rsidR="00E31439" w:rsidRDefault="00E31439" w:rsidP="00584CFE">
      <w:pPr>
        <w:pStyle w:val="BodyText"/>
      </w:pPr>
      <w:r>
        <w:t xml:space="preserve">This scenario is </w:t>
      </w:r>
      <w:r w:rsidRPr="004E20A5">
        <w:t xml:space="preserve">consistent with the </w:t>
      </w:r>
      <w:r>
        <w:t xml:space="preserve">technical assumptions underpinning the </w:t>
      </w:r>
      <w:r w:rsidRPr="004E20A5">
        <w:t>medium</w:t>
      </w:r>
      <w:r w:rsidR="00782496">
        <w:noBreakHyphen/>
      </w:r>
      <w:r w:rsidRPr="004E20A5">
        <w:t xml:space="preserve">term projections of budget aggregates presented in </w:t>
      </w:r>
      <w:proofErr w:type="gramStart"/>
      <w:r w:rsidRPr="004E20A5">
        <w:t xml:space="preserve">the </w:t>
      </w:r>
      <w:r w:rsidRPr="00141ACC">
        <w:t>2016</w:t>
      </w:r>
      <w:r w:rsidR="00782496">
        <w:t>–</w:t>
      </w:r>
      <w:r w:rsidRPr="00141ACC">
        <w:t xml:space="preserve">17 </w:t>
      </w:r>
      <w:r w:rsidR="0067243C">
        <w:t>Mid-</w:t>
      </w:r>
      <w:r w:rsidR="003E2D0A">
        <w:t>Y</w:t>
      </w:r>
      <w:r w:rsidR="0067243C">
        <w:t>ear Economic</w:t>
      </w:r>
      <w:proofErr w:type="gramEnd"/>
      <w:r w:rsidR="0067243C">
        <w:t xml:space="preserve"> and Fiscal Outlook (MYEFO)</w:t>
      </w:r>
      <w:r w:rsidR="00D65413">
        <w:t xml:space="preserve"> and the long-</w:t>
      </w:r>
      <w:r>
        <w:t xml:space="preserve">term projections in the </w:t>
      </w:r>
      <w:r w:rsidRPr="00141ACC">
        <w:t>2015 Intergenerational Report</w:t>
      </w:r>
      <w:r w:rsidRPr="004E20A5">
        <w:t xml:space="preserve">.  </w:t>
      </w:r>
      <w:proofErr w:type="gramStart"/>
      <w:r w:rsidR="005E2E14">
        <w:t>As at February 2017, t</w:t>
      </w:r>
      <w:r w:rsidRPr="004E20A5">
        <w:t xml:space="preserve">he Government has not yet </w:t>
      </w:r>
      <w:r w:rsidR="00791A91">
        <w:t xml:space="preserve">announced </w:t>
      </w:r>
      <w:r w:rsidRPr="004E20A5">
        <w:t>when the Fund will be drawn down or the magnitude of the drawdowns.</w:t>
      </w:r>
      <w:proofErr w:type="gramEnd"/>
    </w:p>
    <w:p w:rsidR="00E31439" w:rsidRPr="00584CFE" w:rsidRDefault="00E31439" w:rsidP="00E31439">
      <w:pPr>
        <w:pStyle w:val="ListBullet"/>
        <w:numPr>
          <w:ilvl w:val="0"/>
          <w:numId w:val="0"/>
        </w:numPr>
        <w:rPr>
          <w:rStyle w:val="BodyTextChar"/>
        </w:rPr>
      </w:pPr>
      <w:r w:rsidRPr="00584CFE">
        <w:rPr>
          <w:rStyle w:val="BodyTextChar"/>
        </w:rPr>
        <w:t xml:space="preserve">Under this scenario, the </w:t>
      </w:r>
      <w:r w:rsidR="00B10749" w:rsidRPr="00584CFE">
        <w:rPr>
          <w:rStyle w:val="BodyTextChar"/>
        </w:rPr>
        <w:t>assets</w:t>
      </w:r>
      <w:r w:rsidRPr="00584CFE">
        <w:rPr>
          <w:rStyle w:val="BodyTextChar"/>
        </w:rPr>
        <w:t xml:space="preserve"> of the Future Fund </w:t>
      </w:r>
      <w:r w:rsidR="00B10749" w:rsidRPr="00584CFE">
        <w:rPr>
          <w:rStyle w:val="BodyTextChar"/>
        </w:rPr>
        <w:t>are</w:t>
      </w:r>
      <w:r w:rsidRPr="00584CFE">
        <w:rPr>
          <w:rStyle w:val="BodyTextChar"/>
        </w:rPr>
        <w:t xml:space="preserve"> projected to be exhausted by</w:t>
      </w:r>
      <w:r w:rsidR="009C37CD">
        <w:rPr>
          <w:rStyle w:val="BodyTextChar"/>
        </w:rPr>
        <w:br/>
      </w:r>
      <w:r w:rsidR="00B64B0E" w:rsidRPr="00584CFE">
        <w:rPr>
          <w:rStyle w:val="BodyTextChar"/>
        </w:rPr>
        <w:t>2052</w:t>
      </w:r>
      <w:r w:rsidR="009C37CD">
        <w:rPr>
          <w:rStyle w:val="BodyTextChar"/>
        </w:rPr>
        <w:t>–</w:t>
      </w:r>
      <w:r w:rsidR="00852BC0">
        <w:rPr>
          <w:rStyle w:val="BodyTextChar"/>
        </w:rPr>
        <w:t>53</w:t>
      </w:r>
      <w:r w:rsidRPr="00584CFE">
        <w:rPr>
          <w:rStyle w:val="BodyTextChar"/>
        </w:rPr>
        <w:t>,</w:t>
      </w:r>
      <w:r w:rsidR="006D358D">
        <w:rPr>
          <w:rStyle w:val="FootnoteReference"/>
          <w:rFonts w:cs="Times New Roman"/>
        </w:rPr>
        <w:footnoteReference w:id="1"/>
      </w:r>
      <w:r w:rsidRPr="00584CFE">
        <w:rPr>
          <w:rStyle w:val="BodyTextChar"/>
        </w:rPr>
        <w:t xml:space="preserve"> </w:t>
      </w:r>
      <w:r w:rsidR="00791A91">
        <w:rPr>
          <w:rStyle w:val="BodyTextChar"/>
        </w:rPr>
        <w:t xml:space="preserve">while </w:t>
      </w:r>
      <w:r w:rsidRPr="00584CFE">
        <w:rPr>
          <w:rStyle w:val="BodyTextChar"/>
        </w:rPr>
        <w:t>the</w:t>
      </w:r>
      <w:r w:rsidR="00896711" w:rsidRPr="00584CFE">
        <w:rPr>
          <w:rStyle w:val="BodyTextChar"/>
        </w:rPr>
        <w:t xml:space="preserve"> Government’s</w:t>
      </w:r>
      <w:r w:rsidRPr="00584CFE">
        <w:rPr>
          <w:rStyle w:val="BodyTextChar"/>
        </w:rPr>
        <w:t xml:space="preserve"> unfunded superannuation liability </w:t>
      </w:r>
      <w:r w:rsidR="00791A91">
        <w:rPr>
          <w:rStyle w:val="BodyTextChar"/>
        </w:rPr>
        <w:t>is projected to be $</w:t>
      </w:r>
      <w:r w:rsidR="00D65413">
        <w:rPr>
          <w:rStyle w:val="BodyTextChar"/>
        </w:rPr>
        <w:t>249.0</w:t>
      </w:r>
      <w:r w:rsidR="00791A91">
        <w:rPr>
          <w:rStyle w:val="BodyTextChar"/>
        </w:rPr>
        <w:t xml:space="preserve"> billion </w:t>
      </w:r>
      <w:r w:rsidR="00072233">
        <w:rPr>
          <w:rStyle w:val="BodyTextChar"/>
        </w:rPr>
        <w:t xml:space="preserve">with </w:t>
      </w:r>
      <w:r w:rsidR="00872606">
        <w:rPr>
          <w:rStyle w:val="BodyTextChar"/>
        </w:rPr>
        <w:t>annual</w:t>
      </w:r>
      <w:r w:rsidR="00072233">
        <w:rPr>
          <w:rStyle w:val="BodyTextChar"/>
        </w:rPr>
        <w:t xml:space="preserve"> unfunded superannuation payments of $</w:t>
      </w:r>
      <w:r w:rsidR="00D65413">
        <w:rPr>
          <w:rStyle w:val="BodyTextChar"/>
        </w:rPr>
        <w:t>21.4</w:t>
      </w:r>
      <w:r w:rsidR="00072233">
        <w:rPr>
          <w:rStyle w:val="BodyTextChar"/>
        </w:rPr>
        <w:t xml:space="preserve"> billion at th</w:t>
      </w:r>
      <w:r w:rsidR="004B5170">
        <w:rPr>
          <w:rStyle w:val="BodyTextChar"/>
        </w:rPr>
        <w:t>at</w:t>
      </w:r>
      <w:r w:rsidR="00072233">
        <w:rPr>
          <w:rStyle w:val="BodyTextChar"/>
        </w:rPr>
        <w:t xml:space="preserve"> time </w:t>
      </w:r>
      <w:r w:rsidRPr="00584CFE">
        <w:rPr>
          <w:rStyle w:val="BodyTextChar"/>
        </w:rPr>
        <w:t>(</w:t>
      </w:r>
      <w:r w:rsidR="00FA7C0D">
        <w:fldChar w:fldCharType="begin"/>
      </w:r>
      <w:r w:rsidR="00FA7C0D">
        <w:instrText xml:space="preserve"> REF _Ref469387053 \h </w:instrText>
      </w:r>
      <w:r w:rsidR="00FA7C0D">
        <w:fldChar w:fldCharType="separate"/>
      </w:r>
      <w:r w:rsidR="00D42FEB" w:rsidRPr="004654B1">
        <w:t xml:space="preserve">Figure </w:t>
      </w:r>
      <w:r w:rsidR="00D42FEB">
        <w:rPr>
          <w:noProof/>
        </w:rPr>
        <w:t>2</w:t>
      </w:r>
      <w:r w:rsidR="00D42FEB" w:rsidRPr="004654B1">
        <w:t>–</w:t>
      </w:r>
      <w:r w:rsidR="00D42FEB">
        <w:rPr>
          <w:noProof/>
        </w:rPr>
        <w:t>1</w:t>
      </w:r>
      <w:r w:rsidR="00FA7C0D">
        <w:fldChar w:fldCharType="end"/>
      </w:r>
      <w:r w:rsidRPr="00584CFE">
        <w:rPr>
          <w:rStyle w:val="BodyTextChar"/>
        </w:rPr>
        <w:t>).</w:t>
      </w:r>
    </w:p>
    <w:p w:rsidR="00B85F8A" w:rsidRDefault="00896711" w:rsidP="00A22D06">
      <w:pPr>
        <w:pStyle w:val="BodyText"/>
      </w:pPr>
      <w:r w:rsidRPr="00584CFE">
        <w:rPr>
          <w:rStyle w:val="BodyTextChar"/>
        </w:rPr>
        <w:lastRenderedPageBreak/>
        <w:t>The decline in the value of the Fund is driven by the fact that investment returns after accounting for costs are outstripped by drawdown cash outflows from around 203</w:t>
      </w:r>
      <w:r w:rsidR="00B64B0E" w:rsidRPr="00584CFE">
        <w:rPr>
          <w:rStyle w:val="BodyTextChar"/>
        </w:rPr>
        <w:t>2</w:t>
      </w:r>
      <w:r w:rsidRPr="00584CFE">
        <w:rPr>
          <w:rStyle w:val="BodyTextChar"/>
        </w:rPr>
        <w:t xml:space="preserve"> (</w:t>
      </w:r>
      <w:r w:rsidR="00671E13">
        <w:fldChar w:fldCharType="begin"/>
      </w:r>
      <w:r w:rsidR="00671E13">
        <w:instrText xml:space="preserve"> REF _Ref471828737 \h </w:instrText>
      </w:r>
      <w:r w:rsidR="004075D9">
        <w:instrText xml:space="preserve"> \* MERGEFORMAT </w:instrText>
      </w:r>
      <w:r w:rsidR="00671E13">
        <w:fldChar w:fldCharType="separate"/>
      </w:r>
      <w:r w:rsidR="00D42FEB" w:rsidRPr="004654B1">
        <w:t xml:space="preserve">Figure </w:t>
      </w:r>
      <w:r w:rsidR="00D42FEB">
        <w:rPr>
          <w:noProof/>
        </w:rPr>
        <w:t>2</w:t>
      </w:r>
      <w:r w:rsidR="00D42FEB" w:rsidRPr="004654B1">
        <w:t>–</w:t>
      </w:r>
      <w:r w:rsidR="00D42FEB">
        <w:rPr>
          <w:noProof/>
        </w:rPr>
        <w:t>2</w:t>
      </w:r>
      <w:r w:rsidR="00671E13">
        <w:fldChar w:fldCharType="end"/>
      </w:r>
      <w:r w:rsidRPr="00584CFE">
        <w:rPr>
          <w:rStyle w:val="BodyTextChar"/>
        </w:rPr>
        <w:t>)</w:t>
      </w:r>
      <w:r w:rsidR="003366A8" w:rsidRPr="00584CFE">
        <w:rPr>
          <w:rStyle w:val="BodyTextChar"/>
        </w:rPr>
        <w:t>.</w:t>
      </w:r>
    </w:p>
    <w:p w:rsidR="004654B1" w:rsidRDefault="004654B1" w:rsidP="004654B1">
      <w:pPr>
        <w:pStyle w:val="Caption"/>
      </w:pPr>
      <w:bookmarkStart w:id="104" w:name="_Ref469387053"/>
      <w:r w:rsidRPr="004654B1">
        <w:t xml:space="preserve">Figure </w:t>
      </w:r>
      <w:r w:rsidR="00D51E66">
        <w:fldChar w:fldCharType="begin"/>
      </w:r>
      <w:r w:rsidR="00D51E66">
        <w:instrText xml:space="preserve"> STYLEREF 1 \s </w:instrText>
      </w:r>
      <w:r w:rsidR="00D51E66">
        <w:fldChar w:fldCharType="separate"/>
      </w:r>
      <w:r w:rsidR="00D42FEB">
        <w:rPr>
          <w:noProof/>
        </w:rPr>
        <w:t>2</w:t>
      </w:r>
      <w:r w:rsidR="00D51E66">
        <w:rPr>
          <w:noProof/>
        </w:rPr>
        <w:fldChar w:fldCharType="end"/>
      </w:r>
      <w:r w:rsidRPr="004654B1">
        <w:t>–</w:t>
      </w:r>
      <w:r w:rsidR="00D51E66">
        <w:fldChar w:fldCharType="begin"/>
      </w:r>
      <w:r w:rsidR="00D51E66">
        <w:instrText xml:space="preserve"> SEQ Figure \* ARABIC \s 1 </w:instrText>
      </w:r>
      <w:r w:rsidR="00D51E66">
        <w:fldChar w:fldCharType="separate"/>
      </w:r>
      <w:r w:rsidR="00D42FEB">
        <w:rPr>
          <w:noProof/>
        </w:rPr>
        <w:t>1</w:t>
      </w:r>
      <w:r w:rsidR="00D51E66">
        <w:rPr>
          <w:noProof/>
        </w:rPr>
        <w:fldChar w:fldCharType="end"/>
      </w:r>
      <w:bookmarkEnd w:id="104"/>
      <w:r w:rsidRPr="004654B1">
        <w:t xml:space="preserve">: </w:t>
      </w:r>
      <w:r w:rsidR="00D506F0" w:rsidRPr="00D506F0">
        <w:t>Future Fund</w:t>
      </w:r>
      <w:r w:rsidR="00B10749">
        <w:t xml:space="preserve"> assets</w:t>
      </w:r>
      <w:r w:rsidR="00D506F0" w:rsidRPr="00D506F0">
        <w:t xml:space="preserve"> and </w:t>
      </w:r>
      <w:r w:rsidR="00230BCD">
        <w:t>u</w:t>
      </w:r>
      <w:r w:rsidR="00D506F0" w:rsidRPr="00D506F0">
        <w:t xml:space="preserve">nfunded </w:t>
      </w:r>
      <w:r w:rsidR="00230BCD">
        <w:t>s</w:t>
      </w:r>
      <w:r w:rsidR="00D506F0" w:rsidRPr="00D506F0">
        <w:t>uper</w:t>
      </w:r>
      <w:r w:rsidR="00B612D6">
        <w:t>annuation</w:t>
      </w:r>
      <w:r w:rsidR="00D506F0" w:rsidRPr="00D506F0">
        <w:t xml:space="preserve"> </w:t>
      </w:r>
      <w:r w:rsidR="00230BCD">
        <w:t>l</w:t>
      </w:r>
      <w:r w:rsidR="00D506F0" w:rsidRPr="00D506F0">
        <w:t>iability projections</w:t>
      </w:r>
      <w:r w:rsidR="00D506F0">
        <w:t>—</w:t>
      </w:r>
      <w:r w:rsidR="00B612D6" w:rsidRPr="00D506F0">
        <w:t>2020</w:t>
      </w:r>
      <w:r w:rsidR="009C37CD">
        <w:t>–</w:t>
      </w:r>
      <w:r w:rsidR="00B612D6" w:rsidRPr="00D506F0">
        <w:t>21</w:t>
      </w:r>
      <w:r w:rsidR="00B612D6">
        <w:t xml:space="preserve"> </w:t>
      </w:r>
      <w:r w:rsidR="00D506F0" w:rsidRPr="00D506F0">
        <w:t>drawdowns</w:t>
      </w:r>
    </w:p>
    <w:p w:rsidR="009458A9" w:rsidRPr="009458A9" w:rsidRDefault="00B846D5" w:rsidP="009458A9">
      <w:pPr>
        <w:pStyle w:val="BodyText"/>
      </w:pPr>
      <w:r>
        <w:rPr>
          <w:noProof/>
          <w:lang w:eastAsia="en-AU"/>
        </w:rPr>
        <w:drawing>
          <wp:inline distT="0" distB="0" distL="0" distR="0" wp14:anchorId="6118C6DE" wp14:editId="0E922704">
            <wp:extent cx="5328000" cy="2874968"/>
            <wp:effectExtent l="0" t="0" r="635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8000" cy="2874968"/>
                    </a:xfrm>
                    <a:prstGeom prst="rect">
                      <a:avLst/>
                    </a:prstGeom>
                    <a:noFill/>
                  </pic:spPr>
                </pic:pic>
              </a:graphicData>
            </a:graphic>
          </wp:inline>
        </w:drawing>
      </w:r>
    </w:p>
    <w:p w:rsidR="00FA7C0D" w:rsidRDefault="00FA7C0D" w:rsidP="00FA7C0D">
      <w:pPr>
        <w:pStyle w:val="Source"/>
      </w:pPr>
      <w:r>
        <w:t>Source: Treasury data, Department of Finance data, PBO analysis</w:t>
      </w:r>
      <w:r w:rsidR="00230BCD">
        <w:t>.</w:t>
      </w:r>
    </w:p>
    <w:p w:rsidR="00D506F0" w:rsidRDefault="00D506F0" w:rsidP="00D506F0">
      <w:pPr>
        <w:pStyle w:val="Caption"/>
      </w:pPr>
      <w:bookmarkStart w:id="105" w:name="_Ref471828737"/>
      <w:r w:rsidRPr="004654B1">
        <w:t xml:space="preserve">Figure </w:t>
      </w:r>
      <w:r w:rsidR="00D51E66">
        <w:fldChar w:fldCharType="begin"/>
      </w:r>
      <w:r w:rsidR="00D51E66">
        <w:instrText xml:space="preserve"> STYLEREF 1 \s </w:instrText>
      </w:r>
      <w:r w:rsidR="00D51E66">
        <w:fldChar w:fldCharType="separate"/>
      </w:r>
      <w:r w:rsidR="00D42FEB">
        <w:rPr>
          <w:noProof/>
        </w:rPr>
        <w:t>2</w:t>
      </w:r>
      <w:r w:rsidR="00D51E66">
        <w:rPr>
          <w:noProof/>
        </w:rPr>
        <w:fldChar w:fldCharType="end"/>
      </w:r>
      <w:r w:rsidRPr="004654B1">
        <w:t>–</w:t>
      </w:r>
      <w:r w:rsidR="00D51E66">
        <w:fldChar w:fldCharType="begin"/>
      </w:r>
      <w:r w:rsidR="00D51E66">
        <w:instrText xml:space="preserve"> SEQ Figure \* ARABIC \s 1 </w:instrText>
      </w:r>
      <w:r w:rsidR="00D51E66">
        <w:fldChar w:fldCharType="separate"/>
      </w:r>
      <w:r w:rsidR="00D42FEB">
        <w:rPr>
          <w:noProof/>
        </w:rPr>
        <w:t>2</w:t>
      </w:r>
      <w:r w:rsidR="00D51E66">
        <w:rPr>
          <w:noProof/>
        </w:rPr>
        <w:fldChar w:fldCharType="end"/>
      </w:r>
      <w:bookmarkEnd w:id="105"/>
      <w:r w:rsidRPr="004654B1">
        <w:t xml:space="preserve">: </w:t>
      </w:r>
      <w:r w:rsidRPr="00D506F0">
        <w:t xml:space="preserve">Annual Future Fund net returns and </w:t>
      </w:r>
      <w:r w:rsidR="00230BCD">
        <w:t>u</w:t>
      </w:r>
      <w:r w:rsidRPr="00D506F0">
        <w:t xml:space="preserve">nfunded </w:t>
      </w:r>
      <w:r w:rsidR="00230BCD">
        <w:t>s</w:t>
      </w:r>
      <w:r w:rsidRPr="00D506F0">
        <w:t>uper</w:t>
      </w:r>
      <w:r>
        <w:t>annuation</w:t>
      </w:r>
      <w:r w:rsidRPr="00D506F0">
        <w:t xml:space="preserve"> </w:t>
      </w:r>
      <w:r w:rsidR="00230BCD">
        <w:t>l</w:t>
      </w:r>
      <w:r w:rsidRPr="00D506F0">
        <w:t>iability payments</w:t>
      </w:r>
      <w:r>
        <w:t>—</w:t>
      </w:r>
      <w:r w:rsidRPr="00D506F0">
        <w:t>2020</w:t>
      </w:r>
      <w:r w:rsidR="00230BCD">
        <w:t>–</w:t>
      </w:r>
      <w:r w:rsidRPr="00D506F0">
        <w:t>21</w:t>
      </w:r>
      <w:r w:rsidR="00B10749">
        <w:t xml:space="preserve"> drawdowns</w:t>
      </w:r>
    </w:p>
    <w:p w:rsidR="00D506F0" w:rsidRPr="00D506F0" w:rsidRDefault="00B846D5" w:rsidP="00D506F0">
      <w:pPr>
        <w:pStyle w:val="BodyText"/>
      </w:pPr>
      <w:r>
        <w:rPr>
          <w:noProof/>
          <w:lang w:eastAsia="en-AU"/>
        </w:rPr>
        <w:drawing>
          <wp:inline distT="0" distB="0" distL="0" distR="0" wp14:anchorId="17EF7B4E" wp14:editId="595A1150">
            <wp:extent cx="5327010" cy="28800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27010" cy="2880000"/>
                    </a:xfrm>
                    <a:prstGeom prst="rect">
                      <a:avLst/>
                    </a:prstGeom>
                    <a:noFill/>
                  </pic:spPr>
                </pic:pic>
              </a:graphicData>
            </a:graphic>
          </wp:inline>
        </w:drawing>
      </w:r>
    </w:p>
    <w:p w:rsidR="00D506F0" w:rsidRDefault="00D506F0" w:rsidP="00D506F0">
      <w:pPr>
        <w:pStyle w:val="Source"/>
      </w:pPr>
      <w:r>
        <w:t>Source: Treasury data, Department of Finance data, PBO analysis</w:t>
      </w:r>
      <w:r w:rsidR="00230BCD">
        <w:t>.</w:t>
      </w:r>
    </w:p>
    <w:p w:rsidR="00E31439" w:rsidRDefault="00E109C5" w:rsidP="00E31439">
      <w:pPr>
        <w:pStyle w:val="Heading2"/>
      </w:pPr>
      <w:bookmarkStart w:id="106" w:name="_Toc474245080"/>
      <w:bookmarkStart w:id="107" w:name="_Toc473022057"/>
      <w:bookmarkStart w:id="108" w:name="_Toc469056319"/>
      <w:bookmarkStart w:id="109" w:name="_Toc469389319"/>
      <w:bookmarkStart w:id="110" w:name="_Toc469389349"/>
      <w:bookmarkStart w:id="111" w:name="_Toc469056320"/>
      <w:bookmarkStart w:id="112" w:name="_Toc469389320"/>
      <w:bookmarkStart w:id="113" w:name="_Toc469389350"/>
      <w:bookmarkStart w:id="114" w:name="_Toc469056321"/>
      <w:bookmarkStart w:id="115" w:name="_Toc469389321"/>
      <w:bookmarkStart w:id="116" w:name="_Toc469389351"/>
      <w:bookmarkStart w:id="117" w:name="_Toc469056322"/>
      <w:bookmarkStart w:id="118" w:name="_Toc469389322"/>
      <w:bookmarkStart w:id="119" w:name="_Toc469389352"/>
      <w:bookmarkStart w:id="120" w:name="_Toc469056323"/>
      <w:bookmarkStart w:id="121" w:name="_Toc469389323"/>
      <w:bookmarkStart w:id="122" w:name="_Toc469389353"/>
      <w:bookmarkStart w:id="123" w:name="_Toc469056324"/>
      <w:bookmarkStart w:id="124" w:name="_Toc469389324"/>
      <w:bookmarkStart w:id="125" w:name="_Toc469389354"/>
      <w:bookmarkStart w:id="126" w:name="_Toc469056325"/>
      <w:bookmarkStart w:id="127" w:name="_Toc469389325"/>
      <w:bookmarkStart w:id="128" w:name="_Toc469389355"/>
      <w:bookmarkStart w:id="129" w:name="_Toc469056326"/>
      <w:bookmarkStart w:id="130" w:name="_Toc469389326"/>
      <w:bookmarkStart w:id="131" w:name="_Toc468961266"/>
      <w:bookmarkStart w:id="132" w:name="_Toc474245147"/>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lastRenderedPageBreak/>
        <w:t>Draw</w:t>
      </w:r>
      <w:r w:rsidR="00C90235">
        <w:t xml:space="preserve"> </w:t>
      </w:r>
      <w:r w:rsidR="00E31439">
        <w:t xml:space="preserve">down when Future Fund </w:t>
      </w:r>
      <w:r w:rsidR="00B10749">
        <w:t xml:space="preserve">assets </w:t>
      </w:r>
      <w:r w:rsidR="00E31439">
        <w:t>offset the unfunded superannuation liability (</w:t>
      </w:r>
      <w:r w:rsidR="00E85335">
        <w:t>2024</w:t>
      </w:r>
      <w:r w:rsidR="00230BCD">
        <w:t>–</w:t>
      </w:r>
      <w:r w:rsidR="00E85335">
        <w:t>25</w:t>
      </w:r>
      <w:r w:rsidR="00E31439">
        <w:t>)</w:t>
      </w:r>
      <w:bookmarkEnd w:id="129"/>
      <w:bookmarkEnd w:id="130"/>
      <w:bookmarkEnd w:id="131"/>
      <w:bookmarkEnd w:id="132"/>
    </w:p>
    <w:p w:rsidR="00E31439" w:rsidRDefault="00E31439" w:rsidP="00584CFE">
      <w:pPr>
        <w:pStyle w:val="BodyText"/>
      </w:pPr>
      <w:r>
        <w:t xml:space="preserve">The PBO projects that if the Future Fund drawdowns did not commence until </w:t>
      </w:r>
      <w:r w:rsidR="00E85335">
        <w:t>2024</w:t>
      </w:r>
      <w:r w:rsidR="00230BCD">
        <w:t>–</w:t>
      </w:r>
      <w:r w:rsidR="00E85335">
        <w:t>25</w:t>
      </w:r>
      <w:r>
        <w:t xml:space="preserve">, the value of the Future Fund </w:t>
      </w:r>
      <w:r w:rsidRPr="00335FC8">
        <w:t xml:space="preserve">would </w:t>
      </w:r>
      <w:r w:rsidR="00896711">
        <w:t xml:space="preserve">be sufficient to offset the Government’s unfunded superannuation liability </w:t>
      </w:r>
      <w:r w:rsidR="00C90235">
        <w:t xml:space="preserve">and meet the annual unfunded superannuation payments on an ongoing basis </w:t>
      </w:r>
      <w:r w:rsidRPr="00335FC8">
        <w:t>(</w:t>
      </w:r>
      <w:r w:rsidR="00896711">
        <w:fldChar w:fldCharType="begin"/>
      </w:r>
      <w:r w:rsidR="00896711">
        <w:instrText xml:space="preserve"> REF _Ref471826136 \h </w:instrText>
      </w:r>
      <w:r w:rsidR="00230BCD">
        <w:instrText xml:space="preserve"> \* MERGEFORMAT </w:instrText>
      </w:r>
      <w:r w:rsidR="00896711">
        <w:fldChar w:fldCharType="separate"/>
      </w:r>
      <w:r w:rsidR="00D42FEB" w:rsidRPr="00FA7C0D">
        <w:t xml:space="preserve">Figure </w:t>
      </w:r>
      <w:r w:rsidR="00D42FEB">
        <w:rPr>
          <w:noProof/>
        </w:rPr>
        <w:t>2</w:t>
      </w:r>
      <w:r w:rsidR="00D42FEB" w:rsidRPr="00FA7C0D">
        <w:t>–</w:t>
      </w:r>
      <w:r w:rsidR="00D42FEB">
        <w:rPr>
          <w:noProof/>
        </w:rPr>
        <w:t>3</w:t>
      </w:r>
      <w:r w:rsidR="00896711">
        <w:fldChar w:fldCharType="end"/>
      </w:r>
      <w:r w:rsidRPr="00335FC8">
        <w:t>).</w:t>
      </w:r>
    </w:p>
    <w:p w:rsidR="00FA7C0D" w:rsidRDefault="00FA7C0D" w:rsidP="00A22D06">
      <w:pPr>
        <w:pStyle w:val="Caption"/>
        <w:spacing w:before="240"/>
      </w:pPr>
      <w:bookmarkStart w:id="133" w:name="_Ref471826136"/>
      <w:bookmarkStart w:id="134" w:name="_Ref471826082"/>
      <w:r w:rsidRPr="00FA7C0D">
        <w:t xml:space="preserve">Figure </w:t>
      </w:r>
      <w:r w:rsidR="00D51E66">
        <w:fldChar w:fldCharType="begin"/>
      </w:r>
      <w:r w:rsidR="00D51E66">
        <w:instrText xml:space="preserve"> STYLEREF 1 \s </w:instrText>
      </w:r>
      <w:r w:rsidR="00D51E66">
        <w:fldChar w:fldCharType="separate"/>
      </w:r>
      <w:r w:rsidR="00D42FEB">
        <w:rPr>
          <w:noProof/>
        </w:rPr>
        <w:t>2</w:t>
      </w:r>
      <w:r w:rsidR="00D51E66">
        <w:rPr>
          <w:noProof/>
        </w:rPr>
        <w:fldChar w:fldCharType="end"/>
      </w:r>
      <w:r w:rsidRPr="00FA7C0D">
        <w:t>–</w:t>
      </w:r>
      <w:r w:rsidR="00D51E66">
        <w:fldChar w:fldCharType="begin"/>
      </w:r>
      <w:r w:rsidR="00D51E66">
        <w:instrText xml:space="preserve"> SEQ Figure \* ARABIC \s 1 </w:instrText>
      </w:r>
      <w:r w:rsidR="00D51E66">
        <w:fldChar w:fldCharType="separate"/>
      </w:r>
      <w:r w:rsidR="00D42FEB">
        <w:rPr>
          <w:noProof/>
        </w:rPr>
        <w:t>3</w:t>
      </w:r>
      <w:r w:rsidR="00D51E66">
        <w:rPr>
          <w:noProof/>
        </w:rPr>
        <w:fldChar w:fldCharType="end"/>
      </w:r>
      <w:bookmarkEnd w:id="133"/>
      <w:r w:rsidRPr="00FA7C0D">
        <w:t xml:space="preserve">: </w:t>
      </w:r>
      <w:bookmarkStart w:id="135" w:name="_Ref471826098"/>
      <w:r>
        <w:t>Future Fund</w:t>
      </w:r>
      <w:r w:rsidR="00FA4FD8">
        <w:t xml:space="preserve"> assets</w:t>
      </w:r>
      <w:r>
        <w:t xml:space="preserve"> and </w:t>
      </w:r>
      <w:r w:rsidR="00230BCD">
        <w:t>u</w:t>
      </w:r>
      <w:r>
        <w:t xml:space="preserve">nfunded </w:t>
      </w:r>
      <w:r w:rsidR="00230BCD">
        <w:t>s</w:t>
      </w:r>
      <w:r>
        <w:t>uper</w:t>
      </w:r>
      <w:r w:rsidR="00687153">
        <w:t>annuation</w:t>
      </w:r>
      <w:r>
        <w:t xml:space="preserve"> </w:t>
      </w:r>
      <w:r w:rsidR="00230BCD">
        <w:t>l</w:t>
      </w:r>
      <w:r>
        <w:t>iability projections—</w:t>
      </w:r>
      <w:r w:rsidR="00E85335">
        <w:t>2024</w:t>
      </w:r>
      <w:r w:rsidR="00230BCD">
        <w:t>–</w:t>
      </w:r>
      <w:r w:rsidR="00E85335">
        <w:t>25</w:t>
      </w:r>
      <w:r>
        <w:t xml:space="preserve"> drawdown</w:t>
      </w:r>
      <w:bookmarkEnd w:id="134"/>
      <w:bookmarkEnd w:id="135"/>
      <w:r w:rsidR="00EF6FF3">
        <w:t>s</w:t>
      </w:r>
    </w:p>
    <w:p w:rsidR="00D506F0" w:rsidRPr="00D506F0" w:rsidRDefault="00B846D5" w:rsidP="00D506F0">
      <w:pPr>
        <w:pStyle w:val="BodyText"/>
      </w:pPr>
      <w:r>
        <w:rPr>
          <w:noProof/>
          <w:lang w:eastAsia="en-AU"/>
        </w:rPr>
        <w:drawing>
          <wp:inline distT="0" distB="0" distL="0" distR="0" wp14:anchorId="6F5709D1" wp14:editId="79209C5F">
            <wp:extent cx="5337327" cy="288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7327" cy="2880000"/>
                    </a:xfrm>
                    <a:prstGeom prst="rect">
                      <a:avLst/>
                    </a:prstGeom>
                    <a:noFill/>
                  </pic:spPr>
                </pic:pic>
              </a:graphicData>
            </a:graphic>
          </wp:inline>
        </w:drawing>
      </w:r>
    </w:p>
    <w:p w:rsidR="00FA7C0D" w:rsidRDefault="00FA7C0D" w:rsidP="00A22D06">
      <w:pPr>
        <w:pStyle w:val="Source"/>
        <w:spacing w:before="120"/>
      </w:pPr>
      <w:r>
        <w:t>Source: Treasury data, Department of Finance data, PBO analysis</w:t>
      </w:r>
      <w:r w:rsidR="00230BCD">
        <w:t>.</w:t>
      </w:r>
    </w:p>
    <w:p w:rsidR="00D506F0" w:rsidRDefault="00D506F0" w:rsidP="00A22D06">
      <w:pPr>
        <w:pStyle w:val="Caption"/>
        <w:spacing w:before="240"/>
      </w:pPr>
      <w:bookmarkStart w:id="136" w:name="_Ref471826129"/>
      <w:r w:rsidRPr="004654B1">
        <w:t xml:space="preserve">Figure </w:t>
      </w:r>
      <w:r w:rsidR="00D51E66">
        <w:fldChar w:fldCharType="begin"/>
      </w:r>
      <w:r w:rsidR="00D51E66">
        <w:instrText xml:space="preserve"> STYLEREF 1 \s </w:instrText>
      </w:r>
      <w:r w:rsidR="00D51E66">
        <w:fldChar w:fldCharType="separate"/>
      </w:r>
      <w:r w:rsidR="00D42FEB">
        <w:rPr>
          <w:noProof/>
        </w:rPr>
        <w:t>2</w:t>
      </w:r>
      <w:r w:rsidR="00D51E66">
        <w:rPr>
          <w:noProof/>
        </w:rPr>
        <w:fldChar w:fldCharType="end"/>
      </w:r>
      <w:r w:rsidRPr="004654B1">
        <w:t>–</w:t>
      </w:r>
      <w:r w:rsidR="00D51E66">
        <w:fldChar w:fldCharType="begin"/>
      </w:r>
      <w:r w:rsidR="00D51E66">
        <w:instrText xml:space="preserve"> S</w:instrText>
      </w:r>
      <w:r w:rsidR="00D51E66">
        <w:instrText xml:space="preserve">EQ Figure \* ARABIC \s 1 </w:instrText>
      </w:r>
      <w:r w:rsidR="00D51E66">
        <w:fldChar w:fldCharType="separate"/>
      </w:r>
      <w:r w:rsidR="00D42FEB">
        <w:rPr>
          <w:noProof/>
        </w:rPr>
        <w:t>4</w:t>
      </w:r>
      <w:r w:rsidR="00D51E66">
        <w:rPr>
          <w:noProof/>
        </w:rPr>
        <w:fldChar w:fldCharType="end"/>
      </w:r>
      <w:bookmarkEnd w:id="136"/>
      <w:r w:rsidRPr="004654B1">
        <w:t xml:space="preserve">: </w:t>
      </w:r>
      <w:r w:rsidRPr="00D506F0">
        <w:t xml:space="preserve">Annual Future Fund net returns and </w:t>
      </w:r>
      <w:r w:rsidR="00230BCD">
        <w:t>u</w:t>
      </w:r>
      <w:r w:rsidRPr="00D506F0">
        <w:t xml:space="preserve">nfunded </w:t>
      </w:r>
      <w:r w:rsidR="00230BCD">
        <w:t>s</w:t>
      </w:r>
      <w:r w:rsidRPr="00D506F0">
        <w:t>uper</w:t>
      </w:r>
      <w:r>
        <w:t>annuation</w:t>
      </w:r>
      <w:r w:rsidRPr="00D506F0">
        <w:t xml:space="preserve"> </w:t>
      </w:r>
      <w:r w:rsidR="00230BCD">
        <w:t>l</w:t>
      </w:r>
      <w:r w:rsidRPr="00D506F0">
        <w:t>iability payments</w:t>
      </w:r>
      <w:r>
        <w:t>—</w:t>
      </w:r>
      <w:r w:rsidR="00E85335">
        <w:t>2024</w:t>
      </w:r>
      <w:r w:rsidR="00230BCD">
        <w:t>–</w:t>
      </w:r>
      <w:r w:rsidR="00E85335">
        <w:t>25</w:t>
      </w:r>
      <w:r w:rsidR="00B10749">
        <w:t xml:space="preserve"> drawdown</w:t>
      </w:r>
      <w:r w:rsidR="00EF6FF3">
        <w:t>s</w:t>
      </w:r>
    </w:p>
    <w:p w:rsidR="00D506F0" w:rsidRDefault="00B846D5" w:rsidP="00D506F0">
      <w:pPr>
        <w:pStyle w:val="BodyText"/>
      </w:pPr>
      <w:r>
        <w:rPr>
          <w:noProof/>
          <w:lang w:eastAsia="en-AU"/>
        </w:rPr>
        <w:drawing>
          <wp:inline distT="0" distB="0" distL="0" distR="0" wp14:anchorId="731BD5AE" wp14:editId="0DE16714">
            <wp:extent cx="5337327" cy="288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7327" cy="2880000"/>
                    </a:xfrm>
                    <a:prstGeom prst="rect">
                      <a:avLst/>
                    </a:prstGeom>
                    <a:noFill/>
                  </pic:spPr>
                </pic:pic>
              </a:graphicData>
            </a:graphic>
          </wp:inline>
        </w:drawing>
      </w:r>
    </w:p>
    <w:p w:rsidR="00D506F0" w:rsidRDefault="00D506F0" w:rsidP="00A22D06">
      <w:pPr>
        <w:pStyle w:val="Source"/>
        <w:spacing w:before="120"/>
      </w:pPr>
      <w:r>
        <w:t>Source: Treasury data, Department of Finance data, PBO analysis</w:t>
      </w:r>
      <w:r w:rsidR="00230BCD">
        <w:t>.</w:t>
      </w:r>
    </w:p>
    <w:p w:rsidR="004557C3" w:rsidRDefault="00D506F0" w:rsidP="00584CFE">
      <w:pPr>
        <w:pStyle w:val="BodyText"/>
      </w:pPr>
      <w:r>
        <w:lastRenderedPageBreak/>
        <w:t>T</w:t>
      </w:r>
      <w:r w:rsidRPr="009752E6">
        <w:t xml:space="preserve">he additional </w:t>
      </w:r>
      <w:r w:rsidR="00924FEF">
        <w:t>four</w:t>
      </w:r>
      <w:r w:rsidRPr="009752E6">
        <w:t xml:space="preserve"> years of </w:t>
      </w:r>
      <w:r>
        <w:t xml:space="preserve">accumulating </w:t>
      </w:r>
      <w:r w:rsidRPr="009752E6">
        <w:t xml:space="preserve">returns </w:t>
      </w:r>
      <w:r w:rsidR="006E1579">
        <w:t xml:space="preserve">under the deferred drawdown scenario </w:t>
      </w:r>
      <w:r>
        <w:t>e</w:t>
      </w:r>
      <w:r w:rsidRPr="009752E6">
        <w:t>nable</w:t>
      </w:r>
      <w:r w:rsidR="00F90E64">
        <w:t>s</w:t>
      </w:r>
      <w:r w:rsidRPr="009752E6">
        <w:t xml:space="preserve"> the </w:t>
      </w:r>
      <w:r>
        <w:t xml:space="preserve">Future </w:t>
      </w:r>
      <w:r w:rsidRPr="009752E6">
        <w:t xml:space="preserve">Fund to </w:t>
      </w:r>
      <w:r>
        <w:t xml:space="preserve">grow sufficiently </w:t>
      </w:r>
      <w:r w:rsidRPr="00335FC8">
        <w:t xml:space="preserve">to </w:t>
      </w:r>
      <w:r w:rsidR="005C2E27">
        <w:t>allow</w:t>
      </w:r>
      <w:r w:rsidRPr="00335FC8">
        <w:t xml:space="preserve"> </w:t>
      </w:r>
      <w:r w:rsidR="00AB447D">
        <w:t xml:space="preserve">ongoing </w:t>
      </w:r>
      <w:r w:rsidRPr="00335FC8">
        <w:t xml:space="preserve">drawdowns </w:t>
      </w:r>
      <w:r w:rsidR="005C2E27">
        <w:t>for</w:t>
      </w:r>
      <w:r w:rsidRPr="00335FC8">
        <w:t xml:space="preserve"> </w:t>
      </w:r>
      <w:r w:rsidR="000A3D56">
        <w:t xml:space="preserve">unfunded superannuation cash payments </w:t>
      </w:r>
      <w:r w:rsidRPr="00335FC8">
        <w:t xml:space="preserve">out of its investment returns </w:t>
      </w:r>
      <w:r w:rsidR="00896711">
        <w:t>(</w:t>
      </w:r>
      <w:r w:rsidR="00896711">
        <w:fldChar w:fldCharType="begin"/>
      </w:r>
      <w:r w:rsidR="00896711">
        <w:instrText xml:space="preserve"> REF _Ref471826129 \h </w:instrText>
      </w:r>
      <w:r w:rsidR="00230BCD">
        <w:instrText xml:space="preserve"> \* MERGEFORMAT </w:instrText>
      </w:r>
      <w:r w:rsidR="00896711">
        <w:fldChar w:fldCharType="separate"/>
      </w:r>
      <w:r w:rsidR="00D42FEB" w:rsidRPr="004654B1">
        <w:t xml:space="preserve">Figure </w:t>
      </w:r>
      <w:r w:rsidR="00D42FEB">
        <w:rPr>
          <w:noProof/>
        </w:rPr>
        <w:t>2</w:t>
      </w:r>
      <w:r w:rsidR="00D42FEB" w:rsidRPr="004654B1">
        <w:t>–</w:t>
      </w:r>
      <w:r w:rsidR="00D42FEB">
        <w:rPr>
          <w:noProof/>
        </w:rPr>
        <w:t>4</w:t>
      </w:r>
      <w:r w:rsidR="00896711">
        <w:fldChar w:fldCharType="end"/>
      </w:r>
      <w:r w:rsidR="00896711">
        <w:t>).</w:t>
      </w:r>
    </w:p>
    <w:p w:rsidR="00C754F8" w:rsidRDefault="00600B4B" w:rsidP="00584CFE">
      <w:pPr>
        <w:pStyle w:val="BodyText"/>
      </w:pPr>
      <w:r>
        <w:t>Under this scenario, the Future Fund is projected to maintain an ongoing positive balance.  In</w:t>
      </w:r>
      <w:r w:rsidR="00230BCD">
        <w:t> </w:t>
      </w:r>
      <w:r>
        <w:t>particular, the PBO projects that the Future Fund would have a positive balance once the unfunded superannuation liability</w:t>
      </w:r>
      <w:r w:rsidR="003F61F7">
        <w:t xml:space="preserve"> arising from the closed civilian and military schemes</w:t>
      </w:r>
      <w:r>
        <w:t xml:space="preserve"> is</w:t>
      </w:r>
      <w:r w:rsidR="003F61F7">
        <w:t xml:space="preserve"> largely</w:t>
      </w:r>
      <w:r>
        <w:t xml:space="preserve"> extinguished, around the year 2100</w:t>
      </w:r>
      <w:r w:rsidR="00AD2996">
        <w:t>.</w:t>
      </w:r>
    </w:p>
    <w:p w:rsidR="00600B4B" w:rsidRDefault="00600B4B" w:rsidP="00584CFE">
      <w:pPr>
        <w:pStyle w:val="BodyText"/>
      </w:pPr>
      <w:r>
        <w:t xml:space="preserve">This is because the residual value of the Fund that persists once </w:t>
      </w:r>
      <w:r w:rsidR="003F61F7">
        <w:t xml:space="preserve">the vast majority of </w:t>
      </w:r>
      <w:r w:rsidR="000A3D56">
        <w:t>unfunded superannuation cash payments</w:t>
      </w:r>
      <w:r>
        <w:t xml:space="preserve"> are met is expected to continue to grow annually at the mandated target return.  </w:t>
      </w:r>
      <w:r w:rsidR="0098483E" w:rsidRPr="00BF2666">
        <w:t>As c</w:t>
      </w:r>
      <w:r w:rsidR="000669F1" w:rsidRPr="00BF2666">
        <w:t>urrent legislation</w:t>
      </w:r>
      <w:r w:rsidR="0098483E" w:rsidRPr="00BF2666">
        <w:t xml:space="preserve"> does not allow drawdowns for purposes other than meeting payments relating to unfunded superannuation liabilities,</w:t>
      </w:r>
      <w:r w:rsidR="005E2E14" w:rsidRPr="00BF2666">
        <w:t xml:space="preserve"> if this scenario arose,</w:t>
      </w:r>
      <w:r w:rsidR="0098483E" w:rsidRPr="00BF2666">
        <w:t xml:space="preserve"> </w:t>
      </w:r>
      <w:r w:rsidR="005E2E14" w:rsidRPr="00BF2666">
        <w:t>it would be a matter for</w:t>
      </w:r>
      <w:r w:rsidR="000669F1" w:rsidRPr="00BF2666">
        <w:t xml:space="preserve"> f</w:t>
      </w:r>
      <w:r w:rsidRPr="00BF2666">
        <w:t xml:space="preserve">uture </w:t>
      </w:r>
      <w:r w:rsidR="00230BCD" w:rsidRPr="00BF2666">
        <w:t>g</w:t>
      </w:r>
      <w:r w:rsidRPr="00BF2666">
        <w:t>overnments to</w:t>
      </w:r>
      <w:r w:rsidR="0098483E" w:rsidRPr="00BF2666">
        <w:t xml:space="preserve"> </w:t>
      </w:r>
      <w:r w:rsidR="005E2E14" w:rsidRPr="00BF2666">
        <w:t>amend the legislative framework in order</w:t>
      </w:r>
      <w:r w:rsidR="0098483E" w:rsidRPr="00BF2666">
        <w:t xml:space="preserve"> to</w:t>
      </w:r>
      <w:r w:rsidRPr="00BF2666">
        <w:t xml:space="preserve"> decide the timing</w:t>
      </w:r>
      <w:r w:rsidR="0098483E" w:rsidRPr="00BF2666">
        <w:t xml:space="preserve"> and application</w:t>
      </w:r>
      <w:r w:rsidRPr="00BF2666">
        <w:t xml:space="preserve"> of the drawdown of this residual balance.</w:t>
      </w:r>
    </w:p>
    <w:p w:rsidR="00E31439" w:rsidRDefault="00E31439" w:rsidP="00FA7C0D">
      <w:pPr>
        <w:pStyle w:val="Heading2"/>
      </w:pPr>
      <w:bookmarkStart w:id="137" w:name="_Toc468961267"/>
      <w:bookmarkStart w:id="138" w:name="_Toc469056327"/>
      <w:bookmarkStart w:id="139" w:name="_Toc469389327"/>
      <w:bookmarkStart w:id="140" w:name="_Toc474245148"/>
      <w:r w:rsidRPr="00FA7C0D">
        <w:t>Budget implications</w:t>
      </w:r>
      <w:bookmarkEnd w:id="137"/>
      <w:bookmarkEnd w:id="138"/>
      <w:bookmarkEnd w:id="139"/>
      <w:bookmarkEnd w:id="140"/>
    </w:p>
    <w:p w:rsidR="00E31439" w:rsidRDefault="00F5495D" w:rsidP="00FA7C0D">
      <w:pPr>
        <w:pStyle w:val="BodyText"/>
      </w:pPr>
      <w:r>
        <w:t>T</w:t>
      </w:r>
      <w:r w:rsidR="00E31439">
        <w:t>his section examines the impact of the drawdown scenarios on the Commonwealth’s fiscal and underlying cash balances,</w:t>
      </w:r>
      <w:r w:rsidR="0067243C">
        <w:t xml:space="preserve"> the Commonwealth’s net debt</w:t>
      </w:r>
      <w:r w:rsidR="00E31439">
        <w:t xml:space="preserve"> and the Commonwealth’s net</w:t>
      </w:r>
      <w:r w:rsidR="00B10749">
        <w:t xml:space="preserve"> financial</w:t>
      </w:r>
      <w:r w:rsidR="00E31439">
        <w:t xml:space="preserve"> worth.</w:t>
      </w:r>
    </w:p>
    <w:p w:rsidR="00B07472" w:rsidRDefault="00E31439" w:rsidP="00FA7C0D">
      <w:pPr>
        <w:pStyle w:val="BodyText"/>
      </w:pPr>
      <w:r w:rsidRPr="00A0696B">
        <w:t xml:space="preserve">To assess the budget implications of the two drawdown scenarios discussed in the previous sections, the PBO prepared long-term budget projections of the scenarios. </w:t>
      </w:r>
      <w:r w:rsidR="00230BCD">
        <w:t xml:space="preserve"> </w:t>
      </w:r>
      <w:r w:rsidRPr="00A0696B">
        <w:t>The long-term projections were prepared by modifying the latest available long-term budget projections</w:t>
      </w:r>
      <w:r w:rsidR="00230BCD">
        <w:t>—</w:t>
      </w:r>
      <w:r w:rsidRPr="00A0696B">
        <w:t xml:space="preserve">the </w:t>
      </w:r>
      <w:r w:rsidRPr="00B84AFC">
        <w:t>2015 I</w:t>
      </w:r>
      <w:r w:rsidR="00B84AFC">
        <w:t>ntergenerational Report</w:t>
      </w:r>
      <w:r w:rsidRPr="00A0696B">
        <w:t xml:space="preserve"> “currently legislated baseline”</w:t>
      </w:r>
      <w:r w:rsidR="00230BCD">
        <w:t>—</w:t>
      </w:r>
      <w:r w:rsidRPr="00A0696B">
        <w:t xml:space="preserve">to include </w:t>
      </w:r>
      <w:r w:rsidR="00B84AFC">
        <w:t>the PBO’</w:t>
      </w:r>
      <w:r w:rsidRPr="00A0696B">
        <w:t xml:space="preserve">s Future Fund projections, and also the </w:t>
      </w:r>
      <w:r w:rsidRPr="00B84AFC">
        <w:t>2016</w:t>
      </w:r>
      <w:r w:rsidR="00230BCD">
        <w:t>–</w:t>
      </w:r>
      <w:r w:rsidRPr="00B84AFC">
        <w:t xml:space="preserve">17 </w:t>
      </w:r>
      <w:r w:rsidR="0067243C">
        <w:t>MYEFO</w:t>
      </w:r>
      <w:r w:rsidR="00B84AFC">
        <w:t xml:space="preserve"> </w:t>
      </w:r>
      <w:r w:rsidRPr="00A0696B">
        <w:t>unfunded superannuation projections.</w:t>
      </w:r>
      <w:r w:rsidR="00B5005D">
        <w:t xml:space="preserve"> </w:t>
      </w:r>
      <w:r w:rsidR="004075D9">
        <w:t xml:space="preserve"> </w:t>
      </w:r>
      <w:r w:rsidR="00B5005D" w:rsidRPr="005E2E14">
        <w:t>Of the three projection baselines included in the 2015 IGR, the currently legislated baseline provides the closest approximation of current policy settings as at the 2016–17 MYEFO.</w:t>
      </w:r>
    </w:p>
    <w:p w:rsidR="003F61F7" w:rsidRDefault="003F61F7" w:rsidP="003F61F7">
      <w:pPr>
        <w:pStyle w:val="Heading3"/>
      </w:pPr>
      <w:r>
        <w:t>Budget accounting treatment of the Future Fund</w:t>
      </w:r>
    </w:p>
    <w:p w:rsidR="003F61F7" w:rsidRPr="005C2E27" w:rsidRDefault="003F61F7" w:rsidP="003F61F7">
      <w:pPr>
        <w:pStyle w:val="BodyText"/>
      </w:pPr>
      <w:r>
        <w:t>The Future Fund forms part of the Australian Government general government sector and its activities impact on the budget balances and the Government’s balance sheet.</w:t>
      </w:r>
    </w:p>
    <w:p w:rsidR="003F61F7" w:rsidRDefault="003F61F7" w:rsidP="003F61F7">
      <w:pPr>
        <w:pStyle w:val="BodyText"/>
      </w:pPr>
      <w:r>
        <w:t>The Future Fund’s net investment returns comprise realised gains from interest revenues and dividends, as well as unrealised capital gains, less management expenses.  Each of these components, except for unrealised capital gains, are expected to impact on the Commonwealth’s fiscal and underlying cash balances from 2020</w:t>
      </w:r>
      <w:r w:rsidR="004075D9">
        <w:t>–</w:t>
      </w:r>
      <w:r>
        <w:t>21 onwards, when the Fund becomes available to meet payments for unfunded superannuation liabilities.  Over the years from 2016</w:t>
      </w:r>
      <w:r w:rsidR="008151E3">
        <w:t>–</w:t>
      </w:r>
      <w:r>
        <w:t>17 to 2019</w:t>
      </w:r>
      <w:r w:rsidR="008151E3">
        <w:t>–</w:t>
      </w:r>
      <w:r>
        <w:t xml:space="preserve">20, the Future Fund does not have any impact on the Commonwealth’s </w:t>
      </w:r>
      <w:r w:rsidRPr="005E2E14">
        <w:t>underlying cash balance</w:t>
      </w:r>
      <w:r>
        <w:t>.</w:t>
      </w:r>
    </w:p>
    <w:p w:rsidR="003F61F7" w:rsidRDefault="003F61F7" w:rsidP="003F61F7">
      <w:pPr>
        <w:pStyle w:val="BodyText"/>
      </w:pPr>
      <w:r>
        <w:t>The accumulated value of the Future Fund is included in the Commonwealth’s balance sheet as part of the Commonwealth’s net financial worth.  Net financial worth includes all of the Commonwealth’s financial assets and liabilities, including the unfunded superannuation liability.</w:t>
      </w:r>
    </w:p>
    <w:p w:rsidR="003F61F7" w:rsidRDefault="003F61F7" w:rsidP="00FA7C0D">
      <w:pPr>
        <w:pStyle w:val="BodyText"/>
      </w:pPr>
      <w:r>
        <w:lastRenderedPageBreak/>
        <w:t xml:space="preserve">Net financial worth is a broader measure of fiscal sustainability than net debt.  Net debt includes the </w:t>
      </w:r>
      <w:r w:rsidR="005C6CDC">
        <w:t>interest bearing</w:t>
      </w:r>
      <w:r>
        <w:t xml:space="preserve"> assets of the Future Fund but excludes the Commonwealth’s unfunded superannuation liability and the equity-like assets of the Future Fund.</w:t>
      </w:r>
    </w:p>
    <w:p w:rsidR="00577406" w:rsidRDefault="00577406" w:rsidP="00577406">
      <w:pPr>
        <w:pStyle w:val="Heading3"/>
      </w:pPr>
      <w:bookmarkStart w:id="141" w:name="_Toc468961270"/>
      <w:bookmarkStart w:id="142" w:name="_Toc469389330"/>
      <w:r>
        <w:t>Underlying cash balance</w:t>
      </w:r>
      <w:bookmarkEnd w:id="141"/>
      <w:bookmarkEnd w:id="142"/>
      <w:r>
        <w:t xml:space="preserve"> </w:t>
      </w:r>
      <w:r w:rsidRPr="00D8613C">
        <w:t>and fiscal balance</w:t>
      </w:r>
    </w:p>
    <w:p w:rsidR="003F61F7" w:rsidRDefault="00577406" w:rsidP="00FA7C0D">
      <w:pPr>
        <w:pStyle w:val="BodyText"/>
      </w:pPr>
      <w:r w:rsidRPr="00A0696B">
        <w:t xml:space="preserve">The </w:t>
      </w:r>
      <w:r w:rsidR="00E85335">
        <w:t>2024</w:t>
      </w:r>
      <w:r w:rsidR="00230BCD">
        <w:t>–</w:t>
      </w:r>
      <w:r w:rsidR="00E85335">
        <w:t>25</w:t>
      </w:r>
      <w:r w:rsidRPr="00A0696B">
        <w:t xml:space="preserve"> drawdown scenario results in slight</w:t>
      </w:r>
      <w:r w:rsidR="005C2E27">
        <w:t>ly</w:t>
      </w:r>
      <w:r w:rsidRPr="00A0696B">
        <w:t xml:space="preserve"> </w:t>
      </w:r>
      <w:r w:rsidR="005C2E27">
        <w:t>lower</w:t>
      </w:r>
      <w:r w:rsidRPr="00A0696B">
        <w:t xml:space="preserve"> underlying cash </w:t>
      </w:r>
      <w:r w:rsidR="003366A8">
        <w:t xml:space="preserve">and fiscal balance </w:t>
      </w:r>
      <w:r w:rsidRPr="00A0696B">
        <w:t>projection</w:t>
      </w:r>
      <w:r w:rsidR="006E1579">
        <w:t>s</w:t>
      </w:r>
      <w:r w:rsidRPr="00A0696B">
        <w:t xml:space="preserve"> over the long-term relative to the 2020</w:t>
      </w:r>
      <w:r w:rsidR="00230BCD">
        <w:t>–</w:t>
      </w:r>
      <w:r w:rsidRPr="00A0696B">
        <w:t xml:space="preserve">21 drawdown </w:t>
      </w:r>
      <w:proofErr w:type="gramStart"/>
      <w:r w:rsidRPr="00A0696B">
        <w:t>scenario</w:t>
      </w:r>
      <w:proofErr w:type="gramEnd"/>
      <w:r w:rsidRPr="00A0696B">
        <w:t xml:space="preserve">.  The </w:t>
      </w:r>
      <w:r w:rsidR="006E1579">
        <w:t xml:space="preserve">underlying cash </w:t>
      </w:r>
      <w:r w:rsidR="003366A8">
        <w:t>and fiscal balance</w:t>
      </w:r>
      <w:r w:rsidR="003934E7">
        <w:t xml:space="preserve"> </w:t>
      </w:r>
      <w:r w:rsidRPr="00A0696B">
        <w:t>impact</w:t>
      </w:r>
      <w:r w:rsidR="006E1579">
        <w:t>s</w:t>
      </w:r>
      <w:r w:rsidRPr="00A0696B">
        <w:t xml:space="preserve"> of the </w:t>
      </w:r>
      <w:r w:rsidR="006E1579">
        <w:t>deferred</w:t>
      </w:r>
      <w:r w:rsidR="006E1579" w:rsidRPr="00A0696B">
        <w:t xml:space="preserve"> </w:t>
      </w:r>
      <w:r w:rsidRPr="00A0696B">
        <w:t>drawdown</w:t>
      </w:r>
      <w:r w:rsidR="00F5495D">
        <w:t xml:space="preserve"> scenario</w:t>
      </w:r>
      <w:r w:rsidRPr="00A0696B">
        <w:t xml:space="preserve"> is estimated by the PBO to be less than 0.1 per cent of GDP in any given year over the projection period.</w:t>
      </w:r>
    </w:p>
    <w:p w:rsidR="00577406" w:rsidRDefault="00577406" w:rsidP="00FA7C0D">
      <w:pPr>
        <w:pStyle w:val="BodyText"/>
      </w:pPr>
      <w:r w:rsidRPr="00A0696B">
        <w:t>The</w:t>
      </w:r>
      <w:r w:rsidR="00B10749">
        <w:t xml:space="preserve"> </w:t>
      </w:r>
      <w:r w:rsidR="005C2E27">
        <w:t xml:space="preserve">lower </w:t>
      </w:r>
      <w:r w:rsidR="006E1579">
        <w:t xml:space="preserve">underlying cash </w:t>
      </w:r>
      <w:r w:rsidR="003366A8">
        <w:t>and fiscal balance</w:t>
      </w:r>
      <w:r w:rsidR="006E1579">
        <w:t>s</w:t>
      </w:r>
      <w:r w:rsidRPr="00A0696B">
        <w:t xml:space="preserve"> under the </w:t>
      </w:r>
      <w:r w:rsidR="006E1579">
        <w:t>deferred</w:t>
      </w:r>
      <w:r w:rsidR="006E1579" w:rsidRPr="00A0696B">
        <w:t xml:space="preserve"> </w:t>
      </w:r>
      <w:r w:rsidRPr="00A0696B">
        <w:t xml:space="preserve">drawdown scenario </w:t>
      </w:r>
      <w:r w:rsidR="00B10749">
        <w:t>results from</w:t>
      </w:r>
      <w:r w:rsidRPr="00A0696B">
        <w:t xml:space="preserve"> the cash returns on the Fund (dividend and interest receipts) </w:t>
      </w:r>
      <w:r w:rsidR="00B10749">
        <w:t>being</w:t>
      </w:r>
      <w:r w:rsidRPr="00A0696B">
        <w:t xml:space="preserve"> outweighed by the higher borrowing costs to finance </w:t>
      </w:r>
      <w:r w:rsidR="000A3D56">
        <w:t>unfunded superannuation cash payments</w:t>
      </w:r>
      <w:r w:rsidRPr="00A0696B">
        <w:t xml:space="preserve"> </w:t>
      </w:r>
      <w:r w:rsidR="00B10749">
        <w:t>over the period from 2020</w:t>
      </w:r>
      <w:r w:rsidR="00230BCD">
        <w:t>–</w:t>
      </w:r>
      <w:r w:rsidR="00B10749">
        <w:t>21 to</w:t>
      </w:r>
      <w:r w:rsidR="006A4D47">
        <w:t xml:space="preserve"> </w:t>
      </w:r>
      <w:r w:rsidR="00E85335">
        <w:t>202</w:t>
      </w:r>
      <w:r w:rsidR="00924FEF">
        <w:t>3</w:t>
      </w:r>
      <w:r w:rsidR="00230BCD">
        <w:t>–</w:t>
      </w:r>
      <w:r w:rsidR="00E85335">
        <w:t>2</w:t>
      </w:r>
      <w:r w:rsidR="00924FEF">
        <w:t>4</w:t>
      </w:r>
      <w:r w:rsidRPr="00A0696B">
        <w:t xml:space="preserve">.  This arises because a large proportion of the investment return on the fund is in the form of </w:t>
      </w:r>
      <w:r w:rsidR="00F5495D">
        <w:t xml:space="preserve">unrealised </w:t>
      </w:r>
      <w:r w:rsidRPr="00A0696B">
        <w:t xml:space="preserve">capital gains that do not impact on the </w:t>
      </w:r>
      <w:r w:rsidR="006E1579">
        <w:t xml:space="preserve">underlying cash </w:t>
      </w:r>
      <w:r w:rsidR="003366A8">
        <w:t>or fiscal balance</w:t>
      </w:r>
      <w:r w:rsidR="006E1579">
        <w:t>s</w:t>
      </w:r>
      <w:r w:rsidRPr="00A0696B">
        <w:t>.</w:t>
      </w:r>
    </w:p>
    <w:p w:rsidR="00E31439" w:rsidRDefault="00E31439" w:rsidP="00E31439">
      <w:pPr>
        <w:pStyle w:val="Heading3"/>
      </w:pPr>
      <w:bookmarkStart w:id="143" w:name="_Toc468961269"/>
      <w:bookmarkStart w:id="144" w:name="_Toc469389329"/>
      <w:r>
        <w:t>Net debt</w:t>
      </w:r>
      <w:bookmarkEnd w:id="143"/>
      <w:bookmarkEnd w:id="144"/>
    </w:p>
    <w:p w:rsidR="00E31439" w:rsidRPr="008A5ADB" w:rsidRDefault="00E31439" w:rsidP="008A5ADB">
      <w:pPr>
        <w:pStyle w:val="BodyText"/>
      </w:pPr>
      <w:r w:rsidRPr="008A5ADB">
        <w:t xml:space="preserve">The </w:t>
      </w:r>
      <w:r w:rsidR="00E85335">
        <w:t>2024</w:t>
      </w:r>
      <w:r w:rsidR="00230BCD">
        <w:t>–</w:t>
      </w:r>
      <w:r w:rsidR="00E85335">
        <w:t>25</w:t>
      </w:r>
      <w:r w:rsidRPr="008A5ADB">
        <w:t xml:space="preserve"> drawdown scenario results in higher net debt projections than the 2020</w:t>
      </w:r>
      <w:r w:rsidR="00230BCD">
        <w:t>–</w:t>
      </w:r>
      <w:r w:rsidRPr="008A5ADB">
        <w:t>21 drawdown scenario because there is a need for additional borrowings in the period 2020</w:t>
      </w:r>
      <w:r w:rsidR="00230BCD">
        <w:t>–</w:t>
      </w:r>
      <w:r w:rsidRPr="008A5ADB">
        <w:t xml:space="preserve">21 to </w:t>
      </w:r>
      <w:r w:rsidR="00E85335">
        <w:t>202</w:t>
      </w:r>
      <w:r w:rsidR="00924FEF">
        <w:t>3</w:t>
      </w:r>
      <w:r w:rsidR="00230BCD">
        <w:t>–</w:t>
      </w:r>
      <w:r w:rsidR="00E85335">
        <w:t>2</w:t>
      </w:r>
      <w:r w:rsidR="00924FEF">
        <w:t>4</w:t>
      </w:r>
      <w:r w:rsidRPr="008A5ADB">
        <w:t xml:space="preserve"> </w:t>
      </w:r>
      <w:r w:rsidR="00D95185">
        <w:t>to finance the annual unfunded superannuation payments pending the drawdowns from the Future Fund.</w:t>
      </w:r>
    </w:p>
    <w:p w:rsidR="00E31439" w:rsidRPr="00B86BA3" w:rsidRDefault="00E31439" w:rsidP="00E31439">
      <w:pPr>
        <w:pStyle w:val="BodyText"/>
      </w:pPr>
      <w:r w:rsidRPr="00A0696B">
        <w:t>Net debt is projected to be up to 1</w:t>
      </w:r>
      <w:r w:rsidR="00924FEF">
        <w:t>¾</w:t>
      </w:r>
      <w:r w:rsidRPr="00A0696B">
        <w:t xml:space="preserve"> per cent of GDP higher t</w:t>
      </w:r>
      <w:r w:rsidR="00B10749">
        <w:t>hroughout the period from 2016</w:t>
      </w:r>
      <w:r w:rsidR="009224F5">
        <w:t>–</w:t>
      </w:r>
      <w:r w:rsidRPr="00A0696B">
        <w:t>17 to 2054</w:t>
      </w:r>
      <w:r w:rsidR="009224F5">
        <w:t>–</w:t>
      </w:r>
      <w:r w:rsidRPr="00A0696B">
        <w:t xml:space="preserve">55 under the </w:t>
      </w:r>
      <w:r w:rsidR="00E85335">
        <w:t>2024</w:t>
      </w:r>
      <w:r w:rsidR="009224F5">
        <w:t>–</w:t>
      </w:r>
      <w:r w:rsidR="00E85335">
        <w:t>25</w:t>
      </w:r>
      <w:r w:rsidRPr="00A0696B">
        <w:t xml:space="preserve"> drawdown scenario </w:t>
      </w:r>
      <w:r w:rsidR="008A777E">
        <w:t>compared to</w:t>
      </w:r>
      <w:r w:rsidRPr="00A0696B">
        <w:t xml:space="preserve"> the 2020</w:t>
      </w:r>
      <w:r w:rsidR="00FA5341">
        <w:t>–</w:t>
      </w:r>
      <w:r w:rsidRPr="00A0696B">
        <w:t xml:space="preserve">21 drawdown </w:t>
      </w:r>
      <w:proofErr w:type="gramStart"/>
      <w:r w:rsidRPr="00A0696B">
        <w:t>scenario</w:t>
      </w:r>
      <w:proofErr w:type="gramEnd"/>
      <w:r w:rsidRPr="00A0696B">
        <w:t xml:space="preserve">.  </w:t>
      </w:r>
      <w:r w:rsidR="00F6607A">
        <w:t>The higher amount of debt being issued under the later drawdown scenario is only partially offset by the higher balances on non-equity-like assets in the Future</w:t>
      </w:r>
      <w:r w:rsidR="004075D9">
        <w:t> </w:t>
      </w:r>
      <w:r w:rsidR="00F6607A">
        <w:t xml:space="preserve">Fund, leading to an increase in net debt under this scenario.  However, this highlights the limitations of net debt as a </w:t>
      </w:r>
      <w:r w:rsidR="008151E3">
        <w:t>measure for evaluating the budget implications of drawdown scenarios</w:t>
      </w:r>
      <w:r w:rsidR="004075D9">
        <w:t>—</w:t>
      </w:r>
      <w:r w:rsidR="00F6607A">
        <w:t>net debt does not include the returns on equity-like assets in the Future Fund, which are higher in the later drawdown scenario.</w:t>
      </w:r>
    </w:p>
    <w:p w:rsidR="00577406" w:rsidRDefault="00577406" w:rsidP="00577406">
      <w:pPr>
        <w:pStyle w:val="Heading3"/>
      </w:pPr>
      <w:bookmarkStart w:id="145" w:name="_Toc468961268"/>
      <w:bookmarkStart w:id="146" w:name="_Toc469389328"/>
      <w:bookmarkStart w:id="147" w:name="_Ref473020333"/>
      <w:r>
        <w:t>Net financial worth</w:t>
      </w:r>
      <w:bookmarkEnd w:id="145"/>
      <w:bookmarkEnd w:id="146"/>
      <w:bookmarkEnd w:id="147"/>
    </w:p>
    <w:p w:rsidR="00577406" w:rsidRDefault="00577406" w:rsidP="00577406">
      <w:pPr>
        <w:pStyle w:val="BodyText"/>
      </w:pPr>
      <w:r>
        <w:t xml:space="preserve">Net financial worth is </w:t>
      </w:r>
      <w:r w:rsidR="008A777E">
        <w:t>projected to be higher</w:t>
      </w:r>
      <w:r>
        <w:t xml:space="preserve"> under the </w:t>
      </w:r>
      <w:r w:rsidR="00E85335">
        <w:t>2024</w:t>
      </w:r>
      <w:r w:rsidR="00FA5341">
        <w:t>–</w:t>
      </w:r>
      <w:r w:rsidR="00E85335">
        <w:t>25</w:t>
      </w:r>
      <w:r>
        <w:t xml:space="preserve"> drawdown scenario compared to the 2020</w:t>
      </w:r>
      <w:r w:rsidR="00FA5341">
        <w:t>–</w:t>
      </w:r>
      <w:r w:rsidR="00671E13">
        <w:t xml:space="preserve">21 drawdown </w:t>
      </w:r>
      <w:proofErr w:type="gramStart"/>
      <w:r w:rsidR="00671E13">
        <w:t>scenario</w:t>
      </w:r>
      <w:proofErr w:type="gramEnd"/>
      <w:r w:rsidR="00671E13">
        <w:t xml:space="preserve"> (</w:t>
      </w:r>
      <w:r w:rsidR="00671E13">
        <w:fldChar w:fldCharType="begin"/>
      </w:r>
      <w:r w:rsidR="00671E13">
        <w:instrText xml:space="preserve"> REF _Ref471828766 \h </w:instrText>
      </w:r>
      <w:r w:rsidR="00671E13">
        <w:fldChar w:fldCharType="separate"/>
      </w:r>
      <w:r w:rsidR="00D42FEB" w:rsidRPr="008A5ADB">
        <w:t xml:space="preserve">Figure </w:t>
      </w:r>
      <w:r w:rsidR="00D42FEB">
        <w:rPr>
          <w:noProof/>
        </w:rPr>
        <w:t>2</w:t>
      </w:r>
      <w:r w:rsidR="00D42FEB" w:rsidRPr="008A5ADB">
        <w:t>–</w:t>
      </w:r>
      <w:r w:rsidR="00D42FEB">
        <w:rPr>
          <w:noProof/>
        </w:rPr>
        <w:t>5</w:t>
      </w:r>
      <w:r w:rsidR="00671E13">
        <w:fldChar w:fldCharType="end"/>
      </w:r>
      <w:r>
        <w:t xml:space="preserve">).  </w:t>
      </w:r>
      <w:r w:rsidR="008A777E">
        <w:t>N</w:t>
      </w:r>
      <w:r>
        <w:t xml:space="preserve">et financial worth is </w:t>
      </w:r>
      <w:r w:rsidR="00B10749">
        <w:t>projected</w:t>
      </w:r>
      <w:r>
        <w:t xml:space="preserve"> to </w:t>
      </w:r>
      <w:r w:rsidR="008A777E">
        <w:t>be higher by</w:t>
      </w:r>
      <w:r>
        <w:t xml:space="preserve"> </w:t>
      </w:r>
      <w:r w:rsidR="0067243C">
        <w:t>3</w:t>
      </w:r>
      <w:r w:rsidR="006B4B36">
        <w:t>¾</w:t>
      </w:r>
      <w:r>
        <w:t xml:space="preserve"> per cent of GDP by 2054</w:t>
      </w:r>
      <w:r w:rsidR="00FA5341">
        <w:t>–</w:t>
      </w:r>
      <w:r>
        <w:t>55.</w:t>
      </w:r>
    </w:p>
    <w:p w:rsidR="00577406" w:rsidRPr="008A5ADB" w:rsidRDefault="00577406" w:rsidP="00577406">
      <w:pPr>
        <w:pStyle w:val="Caption"/>
      </w:pPr>
      <w:bookmarkStart w:id="148" w:name="_Ref471828766"/>
      <w:r w:rsidRPr="008A5ADB">
        <w:lastRenderedPageBreak/>
        <w:t xml:space="preserve">Figure </w:t>
      </w:r>
      <w:r w:rsidR="00D51E66">
        <w:fldChar w:fldCharType="begin"/>
      </w:r>
      <w:r w:rsidR="00D51E66">
        <w:instrText xml:space="preserve"> STYLEREF 1 \s </w:instrText>
      </w:r>
      <w:r w:rsidR="00D51E66">
        <w:fldChar w:fldCharType="separate"/>
      </w:r>
      <w:r w:rsidR="00D42FEB">
        <w:rPr>
          <w:noProof/>
        </w:rPr>
        <w:t>2</w:t>
      </w:r>
      <w:r w:rsidR="00D51E66">
        <w:rPr>
          <w:noProof/>
        </w:rPr>
        <w:fldChar w:fldCharType="end"/>
      </w:r>
      <w:r w:rsidRPr="008A5ADB">
        <w:t>–</w:t>
      </w:r>
      <w:r w:rsidR="00D51E66">
        <w:fldChar w:fldCharType="begin"/>
      </w:r>
      <w:r w:rsidR="00D51E66">
        <w:instrText xml:space="preserve"> SEQ Figure \* ARABIC \s 1 </w:instrText>
      </w:r>
      <w:r w:rsidR="00D51E66">
        <w:fldChar w:fldCharType="separate"/>
      </w:r>
      <w:r w:rsidR="00D42FEB">
        <w:rPr>
          <w:noProof/>
        </w:rPr>
        <w:t>5</w:t>
      </w:r>
      <w:r w:rsidR="00D51E66">
        <w:rPr>
          <w:noProof/>
        </w:rPr>
        <w:fldChar w:fldCharType="end"/>
      </w:r>
      <w:bookmarkEnd w:id="148"/>
      <w:r w:rsidRPr="008A5ADB">
        <w:t xml:space="preserve">: </w:t>
      </w:r>
      <w:r>
        <w:t>Net financial worth projections</w:t>
      </w:r>
    </w:p>
    <w:p w:rsidR="00577406" w:rsidRDefault="003D303E" w:rsidP="00577406">
      <w:pPr>
        <w:pStyle w:val="BodyText"/>
      </w:pPr>
      <w:r>
        <w:rPr>
          <w:noProof/>
          <w:lang w:eastAsia="en-AU"/>
        </w:rPr>
        <w:drawing>
          <wp:inline distT="0" distB="0" distL="0" distR="0" wp14:anchorId="1B3C2F47" wp14:editId="6EEE756E">
            <wp:extent cx="5340993" cy="2844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40993" cy="2844000"/>
                    </a:xfrm>
                    <a:prstGeom prst="rect">
                      <a:avLst/>
                    </a:prstGeom>
                    <a:noFill/>
                  </pic:spPr>
                </pic:pic>
              </a:graphicData>
            </a:graphic>
          </wp:inline>
        </w:drawing>
      </w:r>
    </w:p>
    <w:p w:rsidR="00577406" w:rsidRDefault="00577406" w:rsidP="00577406">
      <w:pPr>
        <w:pStyle w:val="Source"/>
      </w:pPr>
      <w:r>
        <w:t>Source: Treasury data, PBO analysis</w:t>
      </w:r>
      <w:r w:rsidR="00FA5341">
        <w:t>.</w:t>
      </w:r>
    </w:p>
    <w:p w:rsidR="00577406" w:rsidRDefault="00577406" w:rsidP="00A22D06">
      <w:pPr>
        <w:pStyle w:val="BodyText17ptAbove"/>
      </w:pPr>
      <w:r>
        <w:t>The later drawdowns result in higher Fund balances from 2020</w:t>
      </w:r>
      <w:r w:rsidR="00FA5341">
        <w:t>–</w:t>
      </w:r>
      <w:r>
        <w:t>2</w:t>
      </w:r>
      <w:r w:rsidR="00EA43BB">
        <w:t>1</w:t>
      </w:r>
      <w:r w:rsidR="001521C5">
        <w:t xml:space="preserve">.  Although this scenario </w:t>
      </w:r>
      <w:r>
        <w:t>require</w:t>
      </w:r>
      <w:r w:rsidR="001521C5">
        <w:t>s</w:t>
      </w:r>
      <w:r>
        <w:t xml:space="preserve"> </w:t>
      </w:r>
      <w:r w:rsidR="000A3D56">
        <w:t>unfunded superannuation cash payments</w:t>
      </w:r>
      <w:r>
        <w:t xml:space="preserve"> to be financed by additional borrowings over the period 2020</w:t>
      </w:r>
      <w:r w:rsidR="00FA5341">
        <w:t>–</w:t>
      </w:r>
      <w:r>
        <w:t xml:space="preserve">21 to </w:t>
      </w:r>
      <w:r w:rsidR="006B4B36">
        <w:t>2023</w:t>
      </w:r>
      <w:r w:rsidR="00FA5341">
        <w:t>–</w:t>
      </w:r>
      <w:r w:rsidR="00E85335">
        <w:t>2</w:t>
      </w:r>
      <w:r w:rsidR="006B4B36">
        <w:t>4</w:t>
      </w:r>
      <w:r w:rsidR="001521C5">
        <w:t>, n</w:t>
      </w:r>
      <w:r>
        <w:t xml:space="preserve">et </w:t>
      </w:r>
      <w:r w:rsidR="00B10749">
        <w:t xml:space="preserve">financial </w:t>
      </w:r>
      <w:r>
        <w:t>worth is improved because the investment returns on the higher Fund balances exceed the additional borrowing costs.</w:t>
      </w:r>
      <w:r w:rsidR="00B07472">
        <w:t xml:space="preserve"> </w:t>
      </w:r>
      <w:r w:rsidR="00852BC0">
        <w:t xml:space="preserve"> As such, the Fund’s asset balance outweighs the additional stock of debt incurred in financing</w:t>
      </w:r>
      <w:r w:rsidR="000A3D56">
        <w:t xml:space="preserve"> unfunded</w:t>
      </w:r>
      <w:r w:rsidR="00852BC0">
        <w:t xml:space="preserve"> superannuation</w:t>
      </w:r>
      <w:r w:rsidR="000A3D56">
        <w:t xml:space="preserve"> cash</w:t>
      </w:r>
      <w:r w:rsidR="00852BC0">
        <w:t xml:space="preserve"> payments, thereby improving net financial worth.</w:t>
      </w:r>
    </w:p>
    <w:p w:rsidR="00577406" w:rsidRDefault="00577406" w:rsidP="000B2288">
      <w:pPr>
        <w:pStyle w:val="BodyText"/>
      </w:pPr>
      <w:r w:rsidRPr="00A0696B">
        <w:t xml:space="preserve">In summary, </w:t>
      </w:r>
      <w:r w:rsidR="008A777E">
        <w:t>drawing down later</w:t>
      </w:r>
      <w:r w:rsidRPr="00A0696B">
        <w:t xml:space="preserve"> on the Future Fund </w:t>
      </w:r>
      <w:r w:rsidR="00B10749">
        <w:t>is projected to</w:t>
      </w:r>
      <w:r w:rsidRPr="00A0696B">
        <w:t xml:space="preserve"> strengthen the Government’s financial position over the long term</w:t>
      </w:r>
      <w:r w:rsidR="00C754F8">
        <w:t>.</w:t>
      </w:r>
      <w:r w:rsidRPr="00A0696B">
        <w:t xml:space="preserve">  Drawing down later is estimated to result in projections</w:t>
      </w:r>
      <w:r>
        <w:t xml:space="preserve"> of the </w:t>
      </w:r>
      <w:r w:rsidRPr="00A0696B">
        <w:t>Future Fund</w:t>
      </w:r>
      <w:r>
        <w:t>’s balance</w:t>
      </w:r>
      <w:r w:rsidRPr="00A0696B">
        <w:t xml:space="preserve"> that are sufficient to</w:t>
      </w:r>
      <w:r w:rsidR="001521C5">
        <w:t xml:space="preserve"> </w:t>
      </w:r>
      <w:r w:rsidRPr="00A0696B">
        <w:t>offset the Government’s unfunded superannuation liability</w:t>
      </w:r>
      <w:r w:rsidR="00B265BD">
        <w:t xml:space="preserve"> and meet the annual unfunded superannuation payments on an ongoing basis</w:t>
      </w:r>
      <w:r w:rsidRPr="00A0696B">
        <w:t>.</w:t>
      </w:r>
    </w:p>
    <w:p w:rsidR="00577406" w:rsidRPr="005E2E14" w:rsidRDefault="004271BE" w:rsidP="002328C1">
      <w:pPr>
        <w:pStyle w:val="Heading2"/>
      </w:pPr>
      <w:bookmarkStart w:id="149" w:name="_Ref474242969"/>
      <w:bookmarkStart w:id="150" w:name="_Toc474245149"/>
      <w:r w:rsidRPr="005E2E14">
        <w:t>Sensitivity of the projections to assumptions</w:t>
      </w:r>
      <w:bookmarkEnd w:id="149"/>
      <w:bookmarkEnd w:id="150"/>
    </w:p>
    <w:p w:rsidR="00D4609F" w:rsidRDefault="00D4609F" w:rsidP="00A22D06">
      <w:pPr>
        <w:pStyle w:val="BodyText"/>
      </w:pPr>
      <w:r>
        <w:t xml:space="preserve">The PBO’s analysis is based on the official projections of the </w:t>
      </w:r>
      <w:r w:rsidR="00C359D7">
        <w:t xml:space="preserve">Government’s </w:t>
      </w:r>
      <w:r>
        <w:t>unfunded superannuation liability and the central assumption that the Future Fund’s investment returns will continue to exceed the Government’s cost of borrowings.</w:t>
      </w:r>
    </w:p>
    <w:p w:rsidR="00D4609F" w:rsidRDefault="00D4609F" w:rsidP="00A22D06">
      <w:pPr>
        <w:pStyle w:val="BodyText"/>
      </w:pPr>
      <w:r>
        <w:t xml:space="preserve">If, due to a less favourable investment climate, Future Fund investment returns were lower than assumed in the analysis, drawdowns from the Fund would need to be deferred further in order for the Fund to be sufficient to offset the unfunded superannuation liability and meet the annual unfunded superannuation payments on an ongoing basis.  In these circumstances, provided the Future Fund’s investment returns continued to exceed the Government’s cost of borrowing, deferral of drawdowns would still improve the Commonwealth’s net financial worth. </w:t>
      </w:r>
    </w:p>
    <w:p w:rsidR="00D4609F" w:rsidRDefault="00D4609F" w:rsidP="00A22D06">
      <w:pPr>
        <w:pStyle w:val="BodyText"/>
      </w:pPr>
      <w:r w:rsidRPr="005E2E14">
        <w:lastRenderedPageBreak/>
        <w:t>Greater exposure to financial markets under a deferred drawdown policy could result in some increase</w:t>
      </w:r>
      <w:r w:rsidR="00D65413">
        <w:t>d short-</w:t>
      </w:r>
      <w:r w:rsidRPr="005E2E14">
        <w:t>term volatility in the budget aggregates.</w:t>
      </w:r>
      <w:r>
        <w:t xml:space="preserve">  In the longe</w:t>
      </w:r>
      <w:r w:rsidR="00D65413">
        <w:t>r term the matching of the long-</w:t>
      </w:r>
      <w:r>
        <w:t xml:space="preserve">term </w:t>
      </w:r>
      <w:r w:rsidR="00D65413">
        <w:t>Future Fund asset with the long-</w:t>
      </w:r>
      <w:r>
        <w:t>term unfunded superannuation liability could be expected to benefit the Commonwealth’s net financial worth.</w:t>
      </w:r>
    </w:p>
    <w:p w:rsidR="00693118" w:rsidRDefault="00693118" w:rsidP="00693118">
      <w:pPr>
        <w:pStyle w:val="Heading3"/>
      </w:pPr>
      <w:r>
        <w:t>Sensitivity analysis: Lower investment returns</w:t>
      </w:r>
    </w:p>
    <w:p w:rsidR="00174CC7" w:rsidRDefault="00621264" w:rsidP="00621264">
      <w:pPr>
        <w:pStyle w:val="BodyText"/>
      </w:pPr>
      <w:r>
        <w:t>The sensitivity analysis</w:t>
      </w:r>
      <w:r w:rsidR="004A7CED">
        <w:t xml:space="preserve"> in this section</w:t>
      </w:r>
      <w:r w:rsidR="00174CC7">
        <w:t xml:space="preserve"> </w:t>
      </w:r>
      <w:r w:rsidR="008A777E">
        <w:t>uses</w:t>
      </w:r>
      <w:r w:rsidR="00174CC7">
        <w:t xml:space="preserve"> the assumption that the Future Fund achieves an annual return that is one percent</w:t>
      </w:r>
      <w:r w:rsidR="00693118">
        <w:t>age point</w:t>
      </w:r>
      <w:r w:rsidR="00174CC7">
        <w:t xml:space="preserve"> lower than the midpoint of its mandated target return, namely CPI plus 4 per cent annually</w:t>
      </w:r>
      <w:r w:rsidR="00AB7255">
        <w:t>,</w:t>
      </w:r>
      <w:r w:rsidR="008A777E" w:rsidRPr="00CC26BB">
        <w:rPr>
          <w:rStyle w:val="FootnoteReference"/>
        </w:rPr>
        <w:footnoteReference w:id="2"/>
      </w:r>
      <w:r w:rsidR="00AB7255">
        <w:t xml:space="preserve"> with interest rates </w:t>
      </w:r>
      <w:r w:rsidR="001246D3">
        <w:t>on Commonwealth Government Securities held consistent with the assumptions used in the 2015 I</w:t>
      </w:r>
      <w:r w:rsidR="00A22D06">
        <w:t>GR</w:t>
      </w:r>
      <w:r w:rsidR="00FF13BF">
        <w:t xml:space="preserve">.  This focuses the sensitivity analysis on Fund performance relative to the risk-free benchmark </w:t>
      </w:r>
      <w:r w:rsidR="00DB3759">
        <w:t>Commonwealth</w:t>
      </w:r>
      <w:r w:rsidR="00FF13BF">
        <w:t xml:space="preserve"> Government</w:t>
      </w:r>
      <w:r w:rsidR="00DB3759">
        <w:t xml:space="preserve"> Securities</w:t>
      </w:r>
      <w:r w:rsidR="00FF13BF">
        <w:t xml:space="preserve"> yield curve.</w:t>
      </w:r>
      <w:r w:rsidR="00A65324">
        <w:rPr>
          <w:rStyle w:val="FootnoteReference"/>
        </w:rPr>
        <w:footnoteReference w:id="3"/>
      </w:r>
    </w:p>
    <w:p w:rsidR="00261DE2" w:rsidRDefault="00174CC7" w:rsidP="00584CFE">
      <w:pPr>
        <w:pStyle w:val="BodyText"/>
      </w:pPr>
      <w:r>
        <w:t>Under th</w:t>
      </w:r>
      <w:r w:rsidR="00621264">
        <w:t>e lower return</w:t>
      </w:r>
      <w:r>
        <w:t xml:space="preserve"> </w:t>
      </w:r>
      <w:r w:rsidR="00621264">
        <w:t>assumption</w:t>
      </w:r>
      <w:r w:rsidR="002A21EF">
        <w:t xml:space="preserve"> and assuming drawdowns from 2020</w:t>
      </w:r>
      <w:r w:rsidR="000B2288">
        <w:t>–</w:t>
      </w:r>
      <w:r w:rsidR="002A21EF">
        <w:t>21</w:t>
      </w:r>
      <w:r>
        <w:t>, the value of the Future Fund is projected to be exhausted by 20</w:t>
      </w:r>
      <w:r w:rsidR="003E5592">
        <w:t>4</w:t>
      </w:r>
      <w:r w:rsidR="006B4B36">
        <w:t>4</w:t>
      </w:r>
      <w:r w:rsidR="000B2288">
        <w:t>–</w:t>
      </w:r>
      <w:r w:rsidR="006B4B36">
        <w:t>45</w:t>
      </w:r>
      <w:r>
        <w:t>,</w:t>
      </w:r>
      <w:r w:rsidR="003E5592">
        <w:t xml:space="preserve"> </w:t>
      </w:r>
      <w:r w:rsidR="00621264">
        <w:t>which is around</w:t>
      </w:r>
      <w:r w:rsidR="003E5592">
        <w:t xml:space="preserve"> </w:t>
      </w:r>
      <w:r w:rsidR="006B4B36">
        <w:t>eight</w:t>
      </w:r>
      <w:r w:rsidR="003E5592">
        <w:t xml:space="preserve"> years</w:t>
      </w:r>
      <w:r w:rsidR="00621264">
        <w:t xml:space="preserve"> earlier than the case of the original return assumption</w:t>
      </w:r>
      <w:r w:rsidR="003E5592">
        <w:t>.  This is again</w:t>
      </w:r>
      <w:r>
        <w:t xml:space="preserve"> well before </w:t>
      </w:r>
      <w:r w:rsidR="003E5592">
        <w:t>the Fund</w:t>
      </w:r>
      <w:r>
        <w:t xml:space="preserve"> </w:t>
      </w:r>
      <w:r w:rsidR="003E5592">
        <w:t>is</w:t>
      </w:r>
      <w:r>
        <w:t xml:space="preserve"> large enough to offset the</w:t>
      </w:r>
      <w:r w:rsidR="003E5592">
        <w:t xml:space="preserve"> Government’s</w:t>
      </w:r>
      <w:r>
        <w:t xml:space="preserve"> unfunded superannuation liability.</w:t>
      </w:r>
      <w:r w:rsidR="00621264">
        <w:t xml:space="preserve">  T</w:t>
      </w:r>
      <w:r w:rsidR="00261DE2">
        <w:t xml:space="preserve">he </w:t>
      </w:r>
      <w:r w:rsidR="002A21EF">
        <w:t>lower</w:t>
      </w:r>
      <w:r w:rsidR="00261DE2">
        <w:t xml:space="preserve"> value of the Fund is driven by the fact that the</w:t>
      </w:r>
      <w:r w:rsidR="00E80E20">
        <w:t xml:space="preserve"> assumed</w:t>
      </w:r>
      <w:r w:rsidR="00261DE2">
        <w:t xml:space="preserve"> lower investment returns are outstripped by drawdown cash outflows from around 202</w:t>
      </w:r>
      <w:r w:rsidR="006B4B36">
        <w:t>6</w:t>
      </w:r>
      <w:r w:rsidR="000B2288">
        <w:t>–</w:t>
      </w:r>
      <w:r w:rsidR="006B4B36">
        <w:t>27</w:t>
      </w:r>
      <w:r w:rsidR="00261DE2">
        <w:t>.</w:t>
      </w:r>
    </w:p>
    <w:p w:rsidR="009F0248" w:rsidRDefault="004271BE" w:rsidP="00584CFE">
      <w:pPr>
        <w:pStyle w:val="BodyText"/>
      </w:pPr>
      <w:r>
        <w:t>U</w:t>
      </w:r>
      <w:r w:rsidR="003E5592">
        <w:t xml:space="preserve">nder the lower </w:t>
      </w:r>
      <w:r w:rsidR="00621264">
        <w:t>return assumption</w:t>
      </w:r>
      <w:r w:rsidR="003E5592">
        <w:t xml:space="preserve">, </w:t>
      </w:r>
      <w:r>
        <w:t xml:space="preserve">the PBO projects that </w:t>
      </w:r>
      <w:r w:rsidR="003E5592">
        <w:t xml:space="preserve">the value of the Future Fund </w:t>
      </w:r>
      <w:r w:rsidR="003E5592" w:rsidRPr="00335FC8">
        <w:t xml:space="preserve">would </w:t>
      </w:r>
      <w:r w:rsidR="003E5592">
        <w:t xml:space="preserve">be sufficient to offset the Government’s unfunded superannuation liability </w:t>
      </w:r>
      <w:r w:rsidR="003E5592" w:rsidRPr="00335FC8">
        <w:t>over the remainder of the projection period</w:t>
      </w:r>
      <w:r w:rsidR="00AD2996">
        <w:t xml:space="preserve"> if the Future Fund drawdowns did not commence until</w:t>
      </w:r>
      <w:r w:rsidR="000B2288">
        <w:br/>
      </w:r>
      <w:r w:rsidR="00AD2996">
        <w:t>2029</w:t>
      </w:r>
      <w:r w:rsidR="000B2288">
        <w:t>–</w:t>
      </w:r>
      <w:r w:rsidR="00AD2996">
        <w:t>30</w:t>
      </w:r>
      <w:r w:rsidR="003E5592" w:rsidRPr="00335FC8">
        <w:t>.</w:t>
      </w:r>
      <w:r w:rsidR="00621264">
        <w:t xml:space="preserve">  T</w:t>
      </w:r>
      <w:r w:rsidR="00261DE2" w:rsidRPr="009752E6">
        <w:t xml:space="preserve">he additional years of </w:t>
      </w:r>
      <w:r w:rsidR="00261DE2">
        <w:t xml:space="preserve">accumulating </w:t>
      </w:r>
      <w:r w:rsidR="00261DE2" w:rsidRPr="009752E6">
        <w:t>returns</w:t>
      </w:r>
      <w:r w:rsidR="00261DE2">
        <w:t xml:space="preserve"> would e</w:t>
      </w:r>
      <w:r w:rsidR="00261DE2" w:rsidRPr="009752E6">
        <w:t xml:space="preserve">nable the </w:t>
      </w:r>
      <w:r w:rsidR="00261DE2">
        <w:t xml:space="preserve">Future </w:t>
      </w:r>
      <w:r w:rsidR="00261DE2" w:rsidRPr="009752E6">
        <w:t xml:space="preserve">Fund to </w:t>
      </w:r>
      <w:r w:rsidR="00261DE2">
        <w:t xml:space="preserve">grow sufficiently </w:t>
      </w:r>
      <w:r w:rsidR="00261DE2" w:rsidRPr="00335FC8">
        <w:t xml:space="preserve">to cover drawdowns to meet </w:t>
      </w:r>
      <w:r w:rsidR="000A3D56">
        <w:t>unfunded superannuation cash payments</w:t>
      </w:r>
      <w:r w:rsidR="00261DE2" w:rsidRPr="00335FC8">
        <w:t xml:space="preserve"> out of its investment returns</w:t>
      </w:r>
      <w:r w:rsidR="00261DE2">
        <w:t>.</w:t>
      </w:r>
      <w:r w:rsidR="00621264" w:rsidRPr="00CC26BB">
        <w:rPr>
          <w:rStyle w:val="FootnoteReference"/>
        </w:rPr>
        <w:footnoteReference w:id="4"/>
      </w:r>
    </w:p>
    <w:p w:rsidR="00BE3D52" w:rsidRDefault="00BE3D52" w:rsidP="000B2288">
      <w:pPr>
        <w:pStyle w:val="BodyText"/>
      </w:pPr>
      <w:r w:rsidRPr="00BE3D52">
        <w:t>Under the lower returns assumption, deferring commencement of drawdowns</w:t>
      </w:r>
      <w:r>
        <w:t xml:space="preserve"> until 2029</w:t>
      </w:r>
      <w:r w:rsidR="004456BF">
        <w:t>–</w:t>
      </w:r>
      <w:r>
        <w:t xml:space="preserve">30 is projected to result in </w:t>
      </w:r>
      <w:r w:rsidRPr="00BE3D52">
        <w:t xml:space="preserve">net financial worth </w:t>
      </w:r>
      <w:r>
        <w:t>being</w:t>
      </w:r>
      <w:r w:rsidRPr="00BE3D52">
        <w:t xml:space="preserve"> higher by 1</w:t>
      </w:r>
      <w:r>
        <w:t> </w:t>
      </w:r>
      <w:r w:rsidRPr="00BE3D52">
        <w:t>per</w:t>
      </w:r>
      <w:r>
        <w:t> </w:t>
      </w:r>
      <w:r w:rsidRPr="00BE3D52">
        <w:t>cent of GDP by 2054</w:t>
      </w:r>
      <w:r w:rsidR="000B2288">
        <w:t>–</w:t>
      </w:r>
      <w:r w:rsidRPr="00BE3D52">
        <w:t>55.</w:t>
      </w:r>
      <w:r>
        <w:t xml:space="preserve">  This increase in net financial worth from deferring drawdowns is</w:t>
      </w:r>
      <w:r w:rsidR="00AD2996">
        <w:t xml:space="preserve"> not</w:t>
      </w:r>
      <w:r>
        <w:t xml:space="preserve"> as large as under the </w:t>
      </w:r>
      <w:r w:rsidR="00867EC1">
        <w:t>original return assumptions as</w:t>
      </w:r>
      <w:r>
        <w:t xml:space="preserve"> outlined in section </w:t>
      </w:r>
      <w:r w:rsidR="000B2288">
        <w:fldChar w:fldCharType="begin"/>
      </w:r>
      <w:r w:rsidR="000B2288">
        <w:instrText xml:space="preserve"> REF _Ref473020333 \r \h </w:instrText>
      </w:r>
      <w:r w:rsidR="000B2288">
        <w:fldChar w:fldCharType="separate"/>
      </w:r>
      <w:r w:rsidR="00D42FEB">
        <w:t>2.3.4</w:t>
      </w:r>
      <w:r w:rsidR="000B2288">
        <w:fldChar w:fldCharType="end"/>
      </w:r>
      <w:r>
        <w:t>.  This is because the difference between the returns on the Fund and the Government’s borrowing costs are smaller.</w:t>
      </w:r>
    </w:p>
    <w:p w:rsidR="003C6DF2" w:rsidRDefault="002A21EF" w:rsidP="00584CFE">
      <w:pPr>
        <w:pStyle w:val="BodyText"/>
      </w:pPr>
      <w:r>
        <w:t>This</w:t>
      </w:r>
      <w:r w:rsidR="00311E2E">
        <w:t xml:space="preserve"> </w:t>
      </w:r>
      <w:r w:rsidR="00621264">
        <w:t>sensitivity analysis of returns</w:t>
      </w:r>
      <w:r w:rsidR="00311E2E">
        <w:t xml:space="preserve"> show</w:t>
      </w:r>
      <w:r w:rsidR="00867EC1">
        <w:t>s</w:t>
      </w:r>
      <w:r w:rsidR="00311E2E">
        <w:t xml:space="preserve"> that it is still possible for the Fund to offset the unfunded superannuation liability if it achieves a return that is lower than its current mandated investment target, but</w:t>
      </w:r>
      <w:r>
        <w:t xml:space="preserve"> that</w:t>
      </w:r>
      <w:r w:rsidR="00311E2E">
        <w:t xml:space="preserve"> this can only be achieved by further pushing back the commencement date of drawdowns from the Fund.  </w:t>
      </w:r>
      <w:r>
        <w:t xml:space="preserve">It also demonstrates that the </w:t>
      </w:r>
      <w:r w:rsidR="00BE3D52">
        <w:t xml:space="preserve">size of the </w:t>
      </w:r>
      <w:r>
        <w:lastRenderedPageBreak/>
        <w:t>positive impact of delaying drawdowns on the Future Fund (as measured by the impact on net financial worth) is dependent on the Fund’s ability to</w:t>
      </w:r>
      <w:r w:rsidR="00FF13BF">
        <w:t xml:space="preserve"> continue to</w:t>
      </w:r>
      <w:r>
        <w:t xml:space="preserve"> deliver returns materially above the Government’s cost of borrowing over the long run.</w:t>
      </w:r>
      <w:bookmarkStart w:id="151" w:name="_Toc468961271"/>
      <w:bookmarkStart w:id="152" w:name="_Toc469056328"/>
    </w:p>
    <w:p w:rsidR="003C6DF2" w:rsidRDefault="003C6DF2" w:rsidP="00584CFE">
      <w:pPr>
        <w:pStyle w:val="BodyText"/>
        <w:sectPr w:rsidR="003C6DF2" w:rsidSect="008A5ADB">
          <w:headerReference w:type="even" r:id="rId29"/>
          <w:headerReference w:type="default" r:id="rId30"/>
          <w:footerReference w:type="even" r:id="rId31"/>
          <w:footerReference w:type="default" r:id="rId32"/>
          <w:headerReference w:type="first" r:id="rId33"/>
          <w:footerReference w:type="first" r:id="rId34"/>
          <w:pgSz w:w="11907" w:h="16839" w:code="9"/>
          <w:pgMar w:top="1361" w:right="1797" w:bottom="1474" w:left="1797" w:header="283" w:footer="454" w:gutter="0"/>
          <w:cols w:space="708"/>
          <w:docGrid w:linePitch="360"/>
        </w:sectPr>
      </w:pPr>
    </w:p>
    <w:p w:rsidR="003C6DF2" w:rsidRDefault="003C6DF2" w:rsidP="00362E25">
      <w:pPr>
        <w:pStyle w:val="Heading1NoNumbering"/>
      </w:pPr>
      <w:bookmarkStart w:id="153" w:name="_Toc474245150"/>
      <w:bookmarkStart w:id="154" w:name="ReturnHere"/>
      <w:r>
        <w:lastRenderedPageBreak/>
        <w:t>A</w:t>
      </w:r>
      <w:r w:rsidR="000A07EF">
        <w:t>ppendix</w:t>
      </w:r>
      <w:r w:rsidR="00362E25">
        <w:t xml:space="preserve"> A</w:t>
      </w:r>
      <w:bookmarkEnd w:id="153"/>
    </w:p>
    <w:p w:rsidR="00083421" w:rsidRPr="001F73D7" w:rsidRDefault="00083421" w:rsidP="00083421">
      <w:pPr>
        <w:pStyle w:val="Heading9"/>
        <w:numPr>
          <w:ilvl w:val="1"/>
          <w:numId w:val="1"/>
        </w:numPr>
      </w:pPr>
      <w:bookmarkStart w:id="155" w:name="_Ref473017743"/>
      <w:bookmarkEnd w:id="151"/>
      <w:bookmarkEnd w:id="152"/>
      <w:bookmarkEnd w:id="154"/>
      <w:r w:rsidRPr="001F73D7">
        <w:t>Future Fund performance</w:t>
      </w:r>
      <w:bookmarkEnd w:id="155"/>
    </w:p>
    <w:p w:rsidR="00083421" w:rsidRDefault="00083421" w:rsidP="00083421">
      <w:pPr>
        <w:pStyle w:val="BodyText"/>
      </w:pPr>
      <w:r w:rsidRPr="001F73D7">
        <w:t>As at 30 June 2016, the Future Fund was val</w:t>
      </w:r>
      <w:r w:rsidR="007513A0">
        <w:t>ued at $122.8 billion (</w:t>
      </w:r>
      <w:r w:rsidR="000B2288">
        <w:fldChar w:fldCharType="begin"/>
      </w:r>
      <w:r w:rsidR="000B2288">
        <w:instrText xml:space="preserve"> REF _Ref473020657 \h </w:instrText>
      </w:r>
      <w:r w:rsidR="000B2288">
        <w:fldChar w:fldCharType="separate"/>
      </w:r>
      <w:r w:rsidR="00D42FEB" w:rsidRPr="004F4EE3">
        <w:t xml:space="preserve">Figure </w:t>
      </w:r>
      <w:r w:rsidR="00D42FEB">
        <w:t>A</w:t>
      </w:r>
      <w:r w:rsidR="00D42FEB" w:rsidRPr="004F4EE3">
        <w:t>‒</w:t>
      </w:r>
      <w:r w:rsidR="00D42FEB">
        <w:rPr>
          <w:noProof/>
        </w:rPr>
        <w:t>1</w:t>
      </w:r>
      <w:r w:rsidR="000B2288">
        <w:fldChar w:fldCharType="end"/>
      </w:r>
      <w:r w:rsidRPr="001F73D7">
        <w:t>).  This included $60.5 billion of contributions from the Government and $62.3 billion of investment returns.</w:t>
      </w:r>
    </w:p>
    <w:p w:rsidR="00083421" w:rsidRPr="004F4EE3" w:rsidRDefault="00083421" w:rsidP="00083421">
      <w:pPr>
        <w:pStyle w:val="Caption"/>
      </w:pPr>
      <w:bookmarkStart w:id="156" w:name="_Ref473020657"/>
      <w:r w:rsidRPr="004F4EE3">
        <w:t xml:space="preserve">Figure </w:t>
      </w:r>
      <w:r w:rsidR="009E2AFF">
        <w:t>A</w:t>
      </w:r>
      <w:r w:rsidRPr="004F4EE3">
        <w:t>‒</w:t>
      </w:r>
      <w:r w:rsidR="00D51E66">
        <w:fldChar w:fldCharType="begin"/>
      </w:r>
      <w:r w:rsidR="00D51E66">
        <w:instrText xml:space="preserve"> SEQ AppendixFigure\s 8 </w:instrText>
      </w:r>
      <w:r w:rsidR="00D51E66">
        <w:fldChar w:fldCharType="separate"/>
      </w:r>
      <w:r w:rsidR="00D42FEB">
        <w:rPr>
          <w:noProof/>
        </w:rPr>
        <w:t>1</w:t>
      </w:r>
      <w:r w:rsidR="00D51E66">
        <w:rPr>
          <w:noProof/>
        </w:rPr>
        <w:fldChar w:fldCharType="end"/>
      </w:r>
      <w:bookmarkEnd w:id="156"/>
      <w:r w:rsidRPr="004F4EE3">
        <w:t xml:space="preserve">: </w:t>
      </w:r>
      <w:bookmarkStart w:id="157" w:name="_Ref473020594"/>
      <w:r w:rsidRPr="004F4EE3">
        <w:t xml:space="preserve">Future </w:t>
      </w:r>
      <w:r w:rsidR="00B846D5">
        <w:t>F</w:t>
      </w:r>
      <w:r w:rsidRPr="004F4EE3">
        <w:t>und balance since inception</w:t>
      </w:r>
      <w:bookmarkEnd w:id="157"/>
    </w:p>
    <w:p w:rsidR="00083421" w:rsidRDefault="00B846D5" w:rsidP="00083421">
      <w:pPr>
        <w:pStyle w:val="BodyText"/>
      </w:pPr>
      <w:r>
        <w:rPr>
          <w:noProof/>
          <w:lang w:eastAsia="en-AU"/>
        </w:rPr>
        <w:drawing>
          <wp:inline distT="0" distB="0" distL="0" distR="0" wp14:anchorId="4D1BF778" wp14:editId="44F18FD5">
            <wp:extent cx="5321801" cy="277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21801" cy="2772000"/>
                    </a:xfrm>
                    <a:prstGeom prst="rect">
                      <a:avLst/>
                    </a:prstGeom>
                    <a:noFill/>
                  </pic:spPr>
                </pic:pic>
              </a:graphicData>
            </a:graphic>
          </wp:inline>
        </w:drawing>
      </w:r>
    </w:p>
    <w:p w:rsidR="00083421" w:rsidRDefault="00083421" w:rsidP="00083421">
      <w:pPr>
        <w:pStyle w:val="Source"/>
      </w:pPr>
      <w:r>
        <w:t>Source: Department of Finance</w:t>
      </w:r>
      <w:r w:rsidR="00AF676F">
        <w:t>.</w:t>
      </w:r>
    </w:p>
    <w:p w:rsidR="00083421" w:rsidRDefault="00083421" w:rsidP="00A22D06">
      <w:pPr>
        <w:pStyle w:val="BodyText17ptAbove"/>
      </w:pPr>
      <w:r w:rsidRPr="00D5061C">
        <w:t>Over the period from the Fund’s inception to 30 June 2016, the Fund’s annualised investment return was 7.7 per cent.  The</w:t>
      </w:r>
      <w:r>
        <w:t xml:space="preserve"> minimum of the</w:t>
      </w:r>
      <w:r w:rsidRPr="00D5061C">
        <w:t xml:space="preserve"> target return mandate of </w:t>
      </w:r>
      <w:r w:rsidRPr="00083421">
        <w:t>CPI plus 4.5 per cent</w:t>
      </w:r>
      <w:r w:rsidRPr="00D5061C">
        <w:t xml:space="preserve"> equated to 6.9 per cent annualised over the same period.  Hence, as at 30 June 2016, the Fund achieved its mandated return target over the long</w:t>
      </w:r>
      <w:r w:rsidR="00D65413">
        <w:t>-</w:t>
      </w:r>
      <w:r w:rsidRPr="00D5061C">
        <w:t xml:space="preserve">term (which the Future Fund Management Agency interprets as rolling </w:t>
      </w:r>
      <w:r w:rsidR="00256D9B">
        <w:t>10</w:t>
      </w:r>
      <w:r w:rsidRPr="00D5061C">
        <w:t xml:space="preserve"> year periods).</w:t>
      </w:r>
      <w:r w:rsidR="00E441E4">
        <w:rPr>
          <w:rStyle w:val="FootnoteReference"/>
        </w:rPr>
        <w:footnoteReference w:id="5"/>
      </w:r>
      <w:r w:rsidRPr="00D5061C">
        <w:t xml:space="preserve">  On an annual basis, the Fund has generally outperformed </w:t>
      </w:r>
      <w:r>
        <w:t>a return equivalent to CPI plus 4.5 per cent</w:t>
      </w:r>
      <w:r w:rsidRPr="00D5061C">
        <w:t xml:space="preserve">, but there have been years where the Fund did not meet </w:t>
      </w:r>
      <w:r>
        <w:t>this return level</w:t>
      </w:r>
      <w:r w:rsidRPr="00D5061C">
        <w:t>, typically due to volatile financial market conditions</w:t>
      </w:r>
      <w:r w:rsidR="007513A0">
        <w:t xml:space="preserve"> (</w:t>
      </w:r>
      <w:r w:rsidR="00AF676F">
        <w:fldChar w:fldCharType="begin"/>
      </w:r>
      <w:r w:rsidR="00AF676F">
        <w:instrText xml:space="preserve"> REF _Ref473020781 \h </w:instrText>
      </w:r>
      <w:r w:rsidR="004456BF">
        <w:instrText xml:space="preserve"> \* MERGEFORMAT </w:instrText>
      </w:r>
      <w:r w:rsidR="00AF676F">
        <w:fldChar w:fldCharType="separate"/>
      </w:r>
      <w:r w:rsidR="00D42FEB" w:rsidRPr="00D5061C">
        <w:t xml:space="preserve">Figure </w:t>
      </w:r>
      <w:r w:rsidR="00D42FEB">
        <w:t>A</w:t>
      </w:r>
      <w:r w:rsidR="00D42FEB" w:rsidRPr="00D5061C">
        <w:t>‒</w:t>
      </w:r>
      <w:r w:rsidR="00D42FEB">
        <w:t>2</w:t>
      </w:r>
      <w:r w:rsidR="00AF676F">
        <w:fldChar w:fldCharType="end"/>
      </w:r>
      <w:r>
        <w:t>)</w:t>
      </w:r>
      <w:r w:rsidRPr="00D5061C">
        <w:t>.</w:t>
      </w:r>
    </w:p>
    <w:p w:rsidR="00083421" w:rsidRPr="00D5061C" w:rsidRDefault="00083421" w:rsidP="00083421">
      <w:pPr>
        <w:pStyle w:val="Caption"/>
      </w:pPr>
      <w:bookmarkStart w:id="158" w:name="_Ref473020781"/>
      <w:r w:rsidRPr="00D5061C">
        <w:lastRenderedPageBreak/>
        <w:t xml:space="preserve">Figure </w:t>
      </w:r>
      <w:r w:rsidR="009E2AFF">
        <w:t>A</w:t>
      </w:r>
      <w:r w:rsidRPr="00D5061C">
        <w:t>‒</w:t>
      </w:r>
      <w:r w:rsidR="00D51E66">
        <w:fldChar w:fldCharType="begin"/>
      </w:r>
      <w:r w:rsidR="00D51E66">
        <w:instrText xml:space="preserve"> SEQ AppendixFigure\s 8 </w:instrText>
      </w:r>
      <w:r w:rsidR="00D51E66">
        <w:fldChar w:fldCharType="separate"/>
      </w:r>
      <w:r w:rsidR="00D42FEB">
        <w:rPr>
          <w:noProof/>
        </w:rPr>
        <w:t>2</w:t>
      </w:r>
      <w:r w:rsidR="00D51E66">
        <w:rPr>
          <w:noProof/>
        </w:rPr>
        <w:fldChar w:fldCharType="end"/>
      </w:r>
      <w:bookmarkEnd w:id="158"/>
      <w:r w:rsidRPr="00D5061C">
        <w:t>: Future Fund annual returns and target returns since inception</w:t>
      </w:r>
    </w:p>
    <w:p w:rsidR="00083421" w:rsidRPr="00D5061C" w:rsidRDefault="00B846D5" w:rsidP="00083421">
      <w:pPr>
        <w:pStyle w:val="BodyText"/>
      </w:pPr>
      <w:r>
        <w:rPr>
          <w:noProof/>
          <w:lang w:eastAsia="en-AU"/>
        </w:rPr>
        <w:drawing>
          <wp:inline distT="0" distB="0" distL="0" distR="0" wp14:anchorId="0227C509" wp14:editId="4ABE97E7">
            <wp:extent cx="5311471" cy="2800673"/>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09649" cy="2799712"/>
                    </a:xfrm>
                    <a:prstGeom prst="rect">
                      <a:avLst/>
                    </a:prstGeom>
                    <a:noFill/>
                  </pic:spPr>
                </pic:pic>
              </a:graphicData>
            </a:graphic>
          </wp:inline>
        </w:drawing>
      </w:r>
    </w:p>
    <w:p w:rsidR="00083421" w:rsidRPr="00D5061C" w:rsidRDefault="00083421" w:rsidP="00083421">
      <w:pPr>
        <w:pStyle w:val="Source"/>
      </w:pPr>
      <w:r w:rsidRPr="00D5061C">
        <w:t>Source: Department of Finance</w:t>
      </w:r>
      <w:r w:rsidR="00AF676F">
        <w:t>.</w:t>
      </w:r>
    </w:p>
    <w:p w:rsidR="00D4609F" w:rsidRDefault="00B95C76" w:rsidP="00A22D06">
      <w:pPr>
        <w:pStyle w:val="BodyText17ptAbove"/>
      </w:pPr>
      <w:r w:rsidRPr="00D5061C">
        <w:t>As at 30 June 2016, the Fund had about 40 per cent of its assets in equity</w:t>
      </w:r>
      <w:r>
        <w:noBreakHyphen/>
      </w:r>
      <w:r w:rsidRPr="00D5061C">
        <w:t>like asset classes, 35</w:t>
      </w:r>
      <w:r w:rsidR="00FA4FD8">
        <w:t> </w:t>
      </w:r>
      <w:r w:rsidRPr="00D5061C">
        <w:t>per cent in debt and cash, and the remainder in infrastructu</w:t>
      </w:r>
      <w:r>
        <w:t>re, property and alternatives.</w:t>
      </w:r>
      <w:r w:rsidR="00D4609F">
        <w:t xml:space="preserve">  </w:t>
      </w:r>
      <w:r w:rsidRPr="006D358D">
        <w:t>As the various asset classes within the Fund’s portfolio typically exhibit different risk-return characteristics, the Fund’s asset allocation is a key determinant of both the Fund’s performance and its total portfolio risk.</w:t>
      </w:r>
    </w:p>
    <w:p w:rsidR="00835CB0" w:rsidRPr="006D358D" w:rsidRDefault="00B95C76" w:rsidP="004456BF">
      <w:pPr>
        <w:pStyle w:val="BodyText"/>
      </w:pPr>
      <w:r w:rsidRPr="006D358D">
        <w:t>The Fund’s asset allocation balances exposures to higher risk asset classes such as equities (which tend to have relatively higher expected returns), with lower risk asset classes such as bonds and cash (which tend to have relatively lower expected returns), thereby calibrating a level of total portfolio risk judged appropriate to best position the Fund to achieve its investment mandate over the long</w:t>
      </w:r>
      <w:r w:rsidR="00D65413">
        <w:t xml:space="preserve"> </w:t>
      </w:r>
      <w:r w:rsidRPr="006D358D">
        <w:t>term.  The Future Fund’s asset allocation is reviewed and adjusted through time with respect to its investment objective and risk tolerance in the context of financial market developments.</w:t>
      </w:r>
    </w:p>
    <w:p w:rsidR="00B95C76" w:rsidRDefault="00B95C76" w:rsidP="004456BF">
      <w:pPr>
        <w:pStyle w:val="BodyText"/>
      </w:pPr>
      <w:r w:rsidRPr="006D358D">
        <w:t xml:space="preserve">The asset allocation also supports the liquidity management of the Fund.  </w:t>
      </w:r>
      <w:r w:rsidR="00D4609F" w:rsidRPr="006D358D">
        <w:t>When</w:t>
      </w:r>
      <w:r w:rsidRPr="006D358D">
        <w:t xml:space="preserve"> the Government decides to draw</w:t>
      </w:r>
      <w:r w:rsidR="00D4609F" w:rsidRPr="006D358D">
        <w:t xml:space="preserve"> </w:t>
      </w:r>
      <w:r w:rsidRPr="006D358D">
        <w:t xml:space="preserve">down on the Fund, the Fund will need to decide which of its holdings to liquidate.  This in turn </w:t>
      </w:r>
      <w:r w:rsidR="00D4609F" w:rsidRPr="006D358D">
        <w:t xml:space="preserve">will have </w:t>
      </w:r>
      <w:r w:rsidRPr="006D358D">
        <w:t>broader implications for the performance and risk profile of the Fund.</w:t>
      </w:r>
    </w:p>
    <w:p w:rsidR="00083421" w:rsidRPr="001F73D7" w:rsidRDefault="00083421" w:rsidP="00083421">
      <w:pPr>
        <w:pStyle w:val="Heading9"/>
        <w:numPr>
          <w:ilvl w:val="1"/>
          <w:numId w:val="1"/>
        </w:numPr>
      </w:pPr>
      <w:bookmarkStart w:id="159" w:name="_Ref473017819"/>
      <w:r w:rsidRPr="001F73D7">
        <w:t>Unfunded superannuation liability</w:t>
      </w:r>
      <w:bookmarkEnd w:id="159"/>
    </w:p>
    <w:p w:rsidR="004C39E2" w:rsidRDefault="00083421" w:rsidP="00083421">
      <w:pPr>
        <w:pStyle w:val="BodyText"/>
        <w:sectPr w:rsidR="004C39E2" w:rsidSect="00362E25">
          <w:headerReference w:type="even" r:id="rId37"/>
          <w:headerReference w:type="default" r:id="rId38"/>
          <w:footerReference w:type="even" r:id="rId39"/>
          <w:footerReference w:type="default" r:id="rId40"/>
          <w:type w:val="evenPage"/>
          <w:pgSz w:w="11907" w:h="16839" w:code="9"/>
          <w:pgMar w:top="1361" w:right="1797" w:bottom="1474" w:left="1797" w:header="283" w:footer="454" w:gutter="0"/>
          <w:cols w:space="708"/>
          <w:docGrid w:linePitch="360"/>
        </w:sectPr>
      </w:pPr>
      <w:r>
        <w:t>The unfunded superannuation liability as projected by the Department of Finance remains a significant liability of the Government over the long term.  T</w:t>
      </w:r>
      <w:r w:rsidRPr="004A0FA4">
        <w:t>he</w:t>
      </w:r>
      <w:r>
        <w:t xml:space="preserve"> value of the</w:t>
      </w:r>
      <w:r w:rsidRPr="004A0FA4">
        <w:t xml:space="preserve"> super</w:t>
      </w:r>
      <w:r>
        <w:t>annuation</w:t>
      </w:r>
      <w:r w:rsidRPr="004A0FA4">
        <w:t xml:space="preserve"> liability</w:t>
      </w:r>
      <w:r>
        <w:t xml:space="preserve"> is projected to</w:t>
      </w:r>
      <w:r w:rsidRPr="004A0FA4">
        <w:t xml:space="preserve"> peak around 2040 </w:t>
      </w:r>
      <w:r>
        <w:t xml:space="preserve">and is still significant </w:t>
      </w:r>
      <w:r w:rsidR="00D4609F">
        <w:t xml:space="preserve">well </w:t>
      </w:r>
      <w:r>
        <w:t>beyond this point</w:t>
      </w:r>
      <w:r w:rsidRPr="004A0FA4">
        <w:t xml:space="preserve"> (</w:t>
      </w:r>
      <w:r w:rsidR="00AF676F">
        <w:fldChar w:fldCharType="begin"/>
      </w:r>
      <w:r w:rsidR="00AF676F">
        <w:instrText xml:space="preserve"> REF _Ref473020904 \h </w:instrText>
      </w:r>
      <w:r w:rsidR="00AF676F">
        <w:fldChar w:fldCharType="separate"/>
      </w:r>
      <w:r w:rsidR="00D42FEB" w:rsidRPr="008516F2">
        <w:t xml:space="preserve">Figure </w:t>
      </w:r>
      <w:r w:rsidR="00D42FEB">
        <w:t>A</w:t>
      </w:r>
      <w:r w:rsidR="00D42FEB" w:rsidRPr="008516F2">
        <w:t>‒</w:t>
      </w:r>
      <w:r w:rsidR="00D42FEB">
        <w:rPr>
          <w:noProof/>
        </w:rPr>
        <w:t>3</w:t>
      </w:r>
      <w:r w:rsidR="00AF676F">
        <w:fldChar w:fldCharType="end"/>
      </w:r>
      <w:r w:rsidRPr="004A0FA4">
        <w:t>)</w:t>
      </w:r>
      <w:r>
        <w:t>.</w:t>
      </w:r>
    </w:p>
    <w:p w:rsidR="00083421" w:rsidRDefault="00083421" w:rsidP="004C39E2">
      <w:pPr>
        <w:pStyle w:val="BodyText"/>
      </w:pPr>
      <w:r>
        <w:lastRenderedPageBreak/>
        <w:t>As all large civilian and military schemes are closed to new participants, the projected growth in the liability is caused by the accrual of benefits to members according to their tenure of service, retirement decisions and life expectancy</w:t>
      </w:r>
      <w:r w:rsidRPr="009E2AFF">
        <w:t>.  The valuation of the civilian schemes peaks in the mid-2030s and decreases after this time as the number of beneficiaries declines.</w:t>
      </w:r>
    </w:p>
    <w:p w:rsidR="00083421" w:rsidRDefault="00083421" w:rsidP="00083421">
      <w:pPr>
        <w:pStyle w:val="BodyText"/>
      </w:pPr>
      <w:r>
        <w:t>The military schemes are projected to continue to grow all the way to 2054</w:t>
      </w:r>
      <w:r w:rsidR="00AF676F">
        <w:t>–</w:t>
      </w:r>
      <w:r>
        <w:t xml:space="preserve">55, albeit at a slowing rate, given the later closure date of the </w:t>
      </w:r>
      <w:r w:rsidR="00F06453">
        <w:t>Military Superannuation Benefits Scheme</w:t>
      </w:r>
      <w:r>
        <w:t xml:space="preserve"> and the resulting younger age profile of participants in the military schemes relative to those of the civilian schemes.</w:t>
      </w:r>
    </w:p>
    <w:p w:rsidR="00083421" w:rsidRDefault="00083421" w:rsidP="00083421">
      <w:pPr>
        <w:pStyle w:val="Caption"/>
      </w:pPr>
      <w:bookmarkStart w:id="160" w:name="_Ref473020904"/>
      <w:r w:rsidRPr="008516F2">
        <w:t xml:space="preserve">Figure </w:t>
      </w:r>
      <w:r w:rsidR="009E2AFF">
        <w:t>A</w:t>
      </w:r>
      <w:r w:rsidRPr="008516F2">
        <w:t>‒</w:t>
      </w:r>
      <w:r w:rsidR="00D51E66">
        <w:fldChar w:fldCharType="begin"/>
      </w:r>
      <w:r w:rsidR="00D51E66">
        <w:instrText xml:space="preserve"> SEQ AppendixF</w:instrText>
      </w:r>
      <w:r w:rsidR="00D51E66">
        <w:instrText xml:space="preserve">igure\s 8 </w:instrText>
      </w:r>
      <w:r w:rsidR="00D51E66">
        <w:fldChar w:fldCharType="separate"/>
      </w:r>
      <w:r w:rsidR="00D42FEB">
        <w:rPr>
          <w:noProof/>
        </w:rPr>
        <w:t>3</w:t>
      </w:r>
      <w:r w:rsidR="00D51E66">
        <w:rPr>
          <w:noProof/>
        </w:rPr>
        <w:fldChar w:fldCharType="end"/>
      </w:r>
      <w:bookmarkEnd w:id="160"/>
      <w:r w:rsidRPr="008516F2">
        <w:t xml:space="preserve">: </w:t>
      </w:r>
      <w:r>
        <w:t xml:space="preserve">Unfunded </w:t>
      </w:r>
      <w:r w:rsidR="00AF676F">
        <w:t>s</w:t>
      </w:r>
      <w:r>
        <w:t xml:space="preserve">uperannuation </w:t>
      </w:r>
      <w:r w:rsidR="00AF676F">
        <w:t>l</w:t>
      </w:r>
      <w:r>
        <w:t>iability projections</w:t>
      </w:r>
    </w:p>
    <w:p w:rsidR="00083421" w:rsidRDefault="00B846D5" w:rsidP="00083421">
      <w:pPr>
        <w:spacing w:line="360" w:lineRule="auto"/>
        <w:rPr>
          <w:sz w:val="24"/>
          <w:szCs w:val="24"/>
        </w:rPr>
      </w:pPr>
      <w:r>
        <w:rPr>
          <w:noProof/>
          <w:sz w:val="24"/>
          <w:szCs w:val="24"/>
          <w:lang w:eastAsia="en-AU"/>
        </w:rPr>
        <w:drawing>
          <wp:inline distT="0" distB="0" distL="0" distR="0" wp14:anchorId="0CD64427" wp14:editId="13013E5F">
            <wp:extent cx="5328350" cy="2767054"/>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27952" cy="2766847"/>
                    </a:xfrm>
                    <a:prstGeom prst="rect">
                      <a:avLst/>
                    </a:prstGeom>
                    <a:noFill/>
                  </pic:spPr>
                </pic:pic>
              </a:graphicData>
            </a:graphic>
          </wp:inline>
        </w:drawing>
      </w:r>
    </w:p>
    <w:p w:rsidR="00083421" w:rsidRDefault="00083421" w:rsidP="00083421">
      <w:pPr>
        <w:pStyle w:val="Source"/>
      </w:pPr>
      <w:r>
        <w:t>Source: Department of Finance</w:t>
      </w:r>
      <w:r w:rsidR="00AF676F">
        <w:t>.</w:t>
      </w:r>
    </w:p>
    <w:p w:rsidR="00083421" w:rsidRDefault="00083421" w:rsidP="00083421">
      <w:pPr>
        <w:pStyle w:val="BodyText17ptAbove"/>
      </w:pPr>
      <w:r>
        <w:t>Cash payments to superannuation recipients are also projected to grow according to the projected retirement decisions and life expectancy o</w:t>
      </w:r>
      <w:r w:rsidR="007513A0">
        <w:t>f scheme participants (</w:t>
      </w:r>
      <w:r w:rsidR="00AF676F">
        <w:fldChar w:fldCharType="begin"/>
      </w:r>
      <w:r w:rsidR="00AF676F">
        <w:instrText xml:space="preserve"> REF _Ref473021090 \h </w:instrText>
      </w:r>
      <w:r w:rsidR="00AF676F">
        <w:fldChar w:fldCharType="separate"/>
      </w:r>
      <w:r w:rsidR="00D42FEB" w:rsidRPr="004F4EE3">
        <w:t xml:space="preserve">Figure </w:t>
      </w:r>
      <w:r w:rsidR="00D42FEB">
        <w:t>A</w:t>
      </w:r>
      <w:r w:rsidR="00D42FEB" w:rsidRPr="004F4EE3">
        <w:t>‒</w:t>
      </w:r>
      <w:r w:rsidR="00D42FEB">
        <w:rPr>
          <w:noProof/>
        </w:rPr>
        <w:t>4</w:t>
      </w:r>
      <w:r w:rsidR="00AF676F">
        <w:fldChar w:fldCharType="end"/>
      </w:r>
      <w:r>
        <w:t>).</w:t>
      </w:r>
    </w:p>
    <w:p w:rsidR="00083421" w:rsidRDefault="00083421" w:rsidP="00083421">
      <w:pPr>
        <w:pStyle w:val="BodyText"/>
      </w:pPr>
      <w:r>
        <w:t xml:space="preserve">Projected cash payments peak around 2050, which is around </w:t>
      </w:r>
      <w:r w:rsidR="00256D9B">
        <w:t>10</w:t>
      </w:r>
      <w:r>
        <w:t xml:space="preserve"> years later than the peak of the liability profile.  The later timing of the peak in cash payments is due to the accrued benefits being recognised for scheme participants during their working lives, whereas those benefits are </w:t>
      </w:r>
      <w:r w:rsidR="00672592">
        <w:t xml:space="preserve">realised </w:t>
      </w:r>
      <w:r>
        <w:t>as cash payments only after their retirement.</w:t>
      </w:r>
    </w:p>
    <w:p w:rsidR="00083421" w:rsidRPr="00464C91" w:rsidRDefault="00083421" w:rsidP="00083421">
      <w:pPr>
        <w:pStyle w:val="Caption"/>
      </w:pPr>
      <w:bookmarkStart w:id="161" w:name="_Ref473021090"/>
      <w:r w:rsidRPr="004F4EE3">
        <w:lastRenderedPageBreak/>
        <w:t xml:space="preserve">Figure </w:t>
      </w:r>
      <w:r w:rsidR="009E2AFF">
        <w:t>A</w:t>
      </w:r>
      <w:r w:rsidRPr="004F4EE3">
        <w:t>‒</w:t>
      </w:r>
      <w:r w:rsidR="00D51E66">
        <w:fldChar w:fldCharType="begin"/>
      </w:r>
      <w:r w:rsidR="00D51E66">
        <w:instrText xml:space="preserve"> SEQ AppendixFigure\s 8 </w:instrText>
      </w:r>
      <w:r w:rsidR="00D51E66">
        <w:fldChar w:fldCharType="separate"/>
      </w:r>
      <w:r w:rsidR="00D42FEB">
        <w:rPr>
          <w:noProof/>
        </w:rPr>
        <w:t>4</w:t>
      </w:r>
      <w:r w:rsidR="00D51E66">
        <w:rPr>
          <w:noProof/>
        </w:rPr>
        <w:fldChar w:fldCharType="end"/>
      </w:r>
      <w:bookmarkEnd w:id="161"/>
      <w:r w:rsidRPr="004F4EE3">
        <w:t xml:space="preserve">: </w:t>
      </w:r>
      <w:r>
        <w:t xml:space="preserve">Unfunded </w:t>
      </w:r>
      <w:r w:rsidR="00AF676F">
        <w:t>s</w:t>
      </w:r>
      <w:r>
        <w:t xml:space="preserve">uperannuation </w:t>
      </w:r>
      <w:r w:rsidR="00AF676F">
        <w:t>l</w:t>
      </w:r>
      <w:r>
        <w:t>iability payment projections</w:t>
      </w:r>
    </w:p>
    <w:p w:rsidR="00083421" w:rsidRDefault="00B846D5" w:rsidP="00083421">
      <w:pPr>
        <w:pStyle w:val="BodyText"/>
      </w:pPr>
      <w:r>
        <w:rPr>
          <w:noProof/>
          <w:lang w:eastAsia="en-AU"/>
        </w:rPr>
        <w:drawing>
          <wp:inline distT="0" distB="0" distL="0" distR="0" wp14:anchorId="31C290D0" wp14:editId="103A4E49">
            <wp:extent cx="5303520" cy="27269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08370" cy="2729469"/>
                    </a:xfrm>
                    <a:prstGeom prst="rect">
                      <a:avLst/>
                    </a:prstGeom>
                    <a:noFill/>
                  </pic:spPr>
                </pic:pic>
              </a:graphicData>
            </a:graphic>
          </wp:inline>
        </w:drawing>
      </w:r>
    </w:p>
    <w:p w:rsidR="00083421" w:rsidRDefault="00083421" w:rsidP="00083421">
      <w:pPr>
        <w:pStyle w:val="Source"/>
      </w:pPr>
      <w:r>
        <w:t>Source: Department of Finance</w:t>
      </w:r>
      <w:r w:rsidR="00AF676F">
        <w:t>.</w:t>
      </w:r>
    </w:p>
    <w:p w:rsidR="00083421" w:rsidRPr="001F73D7" w:rsidRDefault="00083421" w:rsidP="00083421">
      <w:pPr>
        <w:pStyle w:val="Heading9"/>
        <w:numPr>
          <w:ilvl w:val="1"/>
          <w:numId w:val="1"/>
        </w:numPr>
      </w:pPr>
      <w:bookmarkStart w:id="162" w:name="_Ref473018504"/>
      <w:r>
        <w:t>Modelling assumptions</w:t>
      </w:r>
      <w:bookmarkEnd w:id="162"/>
    </w:p>
    <w:p w:rsidR="00083421" w:rsidRPr="008A5ADB" w:rsidRDefault="00083421" w:rsidP="004C39E2">
      <w:pPr>
        <w:pStyle w:val="BodyText"/>
      </w:pPr>
      <w:r w:rsidRPr="009E2AFF">
        <w:t>The long-term superannuation projections used in this report were provided to the PBO by the Department of Finance.</w:t>
      </w:r>
      <w:r w:rsidRPr="00CC26BB">
        <w:rPr>
          <w:rStyle w:val="FootnoteReference"/>
        </w:rPr>
        <w:footnoteReference w:id="6"/>
      </w:r>
    </w:p>
    <w:p w:rsidR="0010789E" w:rsidRPr="004C39E2" w:rsidRDefault="00083421" w:rsidP="004C39E2">
      <w:pPr>
        <w:pStyle w:val="BodyText"/>
      </w:pPr>
      <w:r w:rsidRPr="004C39E2">
        <w:t xml:space="preserve">To project the Future Fund return and asset size, the PBO has made assumptions about </w:t>
      </w:r>
      <w:r w:rsidR="007513A0" w:rsidRPr="004C39E2">
        <w:t>expected returns (</w:t>
      </w:r>
      <w:r w:rsidR="004411F0">
        <w:fldChar w:fldCharType="begin"/>
      </w:r>
      <w:r w:rsidR="004411F0">
        <w:instrText xml:space="preserve"> REF _Ref474245653 \h </w:instrText>
      </w:r>
      <w:r w:rsidR="004411F0">
        <w:fldChar w:fldCharType="separate"/>
      </w:r>
      <w:r w:rsidR="00D42FEB" w:rsidRPr="004F4EE3">
        <w:t xml:space="preserve">Table </w:t>
      </w:r>
      <w:r w:rsidR="00D42FEB">
        <w:t>A</w:t>
      </w:r>
      <w:r w:rsidR="00D42FEB" w:rsidRPr="004F4EE3">
        <w:t>‒</w:t>
      </w:r>
      <w:r w:rsidR="00D42FEB">
        <w:rPr>
          <w:noProof/>
        </w:rPr>
        <w:t>1</w:t>
      </w:r>
      <w:r w:rsidR="004411F0">
        <w:fldChar w:fldCharType="end"/>
      </w:r>
      <w:r w:rsidRPr="004C39E2">
        <w:t>), and assumes that each year the Fund meets the mid</w:t>
      </w:r>
      <w:r w:rsidR="00AF676F" w:rsidRPr="004C39E2">
        <w:noBreakHyphen/>
      </w:r>
      <w:r w:rsidRPr="004C39E2">
        <w:t>point of the mandated target return: annual CPI inflation plus five per cent.</w:t>
      </w:r>
    </w:p>
    <w:p w:rsidR="00083421" w:rsidRPr="004C39E2" w:rsidRDefault="0098483E" w:rsidP="004C39E2">
      <w:pPr>
        <w:pStyle w:val="BodyText"/>
      </w:pPr>
      <w:r w:rsidRPr="004C39E2">
        <w:t>Assumptions around interest income</w:t>
      </w:r>
      <w:r w:rsidR="00835CB0" w:rsidRPr="004C39E2">
        <w:t xml:space="preserve"> on the cash and debt asset classes,</w:t>
      </w:r>
      <w:r w:rsidRPr="004C39E2">
        <w:t xml:space="preserve"> and dividend yields are consistent with those use</w:t>
      </w:r>
      <w:r w:rsidR="00B95C76" w:rsidRPr="004C39E2">
        <w:t>d in the 2016–</w:t>
      </w:r>
      <w:r w:rsidRPr="004C39E2">
        <w:t>17 MYEFO.</w:t>
      </w:r>
      <w:r w:rsidR="00835CB0" w:rsidRPr="004C39E2">
        <w:t xml:space="preserve">  The assumed asset allocation of the Fund is consistent with the forward estimates and medium-term assumptions in the</w:t>
      </w:r>
      <w:r w:rsidR="004C39E2">
        <w:br/>
      </w:r>
      <w:r w:rsidR="00835CB0" w:rsidRPr="004C39E2">
        <w:t>2016</w:t>
      </w:r>
      <w:r w:rsidR="004C39E2">
        <w:t>–</w:t>
      </w:r>
      <w:r w:rsidR="00835CB0" w:rsidRPr="004C39E2">
        <w:t>17</w:t>
      </w:r>
      <w:r w:rsidR="00B95C76" w:rsidRPr="004C39E2">
        <w:t> </w:t>
      </w:r>
      <w:r w:rsidR="00835CB0" w:rsidRPr="004C39E2">
        <w:t xml:space="preserve">MYEFO, and the medium-term asset allocation is assumed to </w:t>
      </w:r>
      <w:r w:rsidR="0010789E" w:rsidRPr="004C39E2">
        <w:t>be kept constant until the end of the long</w:t>
      </w:r>
      <w:r w:rsidR="00B95C76" w:rsidRPr="004C39E2">
        <w:t>-term projection period in 2054–</w:t>
      </w:r>
      <w:r w:rsidR="0010789E" w:rsidRPr="004C39E2">
        <w:t>55.</w:t>
      </w:r>
    </w:p>
    <w:p w:rsidR="00083421" w:rsidRPr="004C39E2" w:rsidRDefault="00083421" w:rsidP="004C39E2">
      <w:pPr>
        <w:pStyle w:val="BodyText"/>
      </w:pPr>
      <w:r w:rsidRPr="004C39E2">
        <w:t>Drawdowns are made from the cash asset class, and Fund portfolio weights are rebalanced according to the assumed asset allocation of the Fund, with the residual net cash flows in each asset class (after accounting for interest receipt and dividend receipt earnings and rebalancing) treated as capital gains.  Expenses are a fixed proportion of Fund assets, and are deducted from the cash asset class each year.</w:t>
      </w:r>
    </w:p>
    <w:p w:rsidR="00E441E4" w:rsidRDefault="00E441E4" w:rsidP="00A22D06">
      <w:pPr>
        <w:pStyle w:val="BodyText"/>
      </w:pPr>
      <w:bookmarkStart w:id="163" w:name="_Ref473021189"/>
      <w:r>
        <w:t>Projections of the Government’s cost of borrowing in this report are based on Commonwealth Government Securities yield curve assumptions from the 2015 IGR.  Consistent with the 2015 IGR and the 2016</w:t>
      </w:r>
      <w:r w:rsidR="00B12E41">
        <w:t>–</w:t>
      </w:r>
      <w:r>
        <w:t>17 MYEFO the long-term yield on 10-year Commonwealth Government Securities is 6 per cent.</w:t>
      </w:r>
    </w:p>
    <w:p w:rsidR="00083421" w:rsidRDefault="00083421" w:rsidP="00083421">
      <w:pPr>
        <w:pStyle w:val="Caption"/>
      </w:pPr>
      <w:bookmarkStart w:id="164" w:name="_Ref474245653"/>
      <w:r w:rsidRPr="004F4EE3">
        <w:lastRenderedPageBreak/>
        <w:t xml:space="preserve">Table </w:t>
      </w:r>
      <w:r w:rsidR="009E2AFF">
        <w:t>A</w:t>
      </w:r>
      <w:r w:rsidRPr="004F4EE3">
        <w:t>‒</w:t>
      </w:r>
      <w:r w:rsidR="00D51E66">
        <w:fldChar w:fldCharType="begin"/>
      </w:r>
      <w:r w:rsidR="00D51E66">
        <w:instrText xml:space="preserve"> SEQ AppendixTable\s 8 </w:instrText>
      </w:r>
      <w:r w:rsidR="00D51E66">
        <w:fldChar w:fldCharType="separate"/>
      </w:r>
      <w:r w:rsidR="00D42FEB">
        <w:rPr>
          <w:noProof/>
        </w:rPr>
        <w:t>1</w:t>
      </w:r>
      <w:r w:rsidR="00D51E66">
        <w:rPr>
          <w:noProof/>
        </w:rPr>
        <w:fldChar w:fldCharType="end"/>
      </w:r>
      <w:bookmarkEnd w:id="163"/>
      <w:bookmarkEnd w:id="164"/>
      <w:r w:rsidRPr="004F4EE3">
        <w:t xml:space="preserve">: </w:t>
      </w:r>
      <w:r>
        <w:t>Future Fund technical assumptions</w:t>
      </w:r>
    </w:p>
    <w:tbl>
      <w:tblPr>
        <w:tblStyle w:val="TableGrid"/>
        <w:tblW w:w="5000" w:type="pct"/>
        <w:tblLook w:val="04A0" w:firstRow="1" w:lastRow="0" w:firstColumn="1" w:lastColumn="0" w:noHBand="0" w:noVBand="1"/>
      </w:tblPr>
      <w:tblGrid>
        <w:gridCol w:w="2771"/>
        <w:gridCol w:w="2772"/>
        <w:gridCol w:w="2770"/>
      </w:tblGrid>
      <w:tr w:rsidR="00083421" w:rsidTr="0008342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667" w:type="pct"/>
            <w:tcBorders>
              <w:bottom w:val="none" w:sz="0" w:space="0" w:color="auto"/>
            </w:tcBorders>
          </w:tcPr>
          <w:p w:rsidR="00083421" w:rsidRDefault="00083421" w:rsidP="003C6DF2">
            <w:pPr>
              <w:pStyle w:val="TableHeading"/>
            </w:pPr>
          </w:p>
        </w:tc>
        <w:tc>
          <w:tcPr>
            <w:tcW w:w="1667" w:type="pct"/>
            <w:tcBorders>
              <w:bottom w:val="none" w:sz="0" w:space="0" w:color="auto"/>
            </w:tcBorders>
          </w:tcPr>
          <w:p w:rsidR="00083421" w:rsidRDefault="00083421" w:rsidP="00584CFE">
            <w:pPr>
              <w:pStyle w:val="TableHeadingCentred"/>
              <w:cnfStyle w:val="100000000000" w:firstRow="1" w:lastRow="0" w:firstColumn="0" w:lastColumn="0" w:oddVBand="0" w:evenVBand="0" w:oddHBand="0" w:evenHBand="0" w:firstRowFirstColumn="0" w:firstRowLastColumn="0" w:lastRowFirstColumn="0" w:lastRowLastColumn="0"/>
            </w:pPr>
            <w:r>
              <w:t>2016–17 to 2019–20,</w:t>
            </w:r>
            <w:r>
              <w:br/>
              <w:t>per cent</w:t>
            </w:r>
          </w:p>
        </w:tc>
        <w:tc>
          <w:tcPr>
            <w:tcW w:w="1666" w:type="pct"/>
            <w:tcBorders>
              <w:bottom w:val="none" w:sz="0" w:space="0" w:color="auto"/>
            </w:tcBorders>
          </w:tcPr>
          <w:p w:rsidR="00083421" w:rsidRDefault="00083421" w:rsidP="003C6DF2">
            <w:pPr>
              <w:pStyle w:val="TableHeadingCentred"/>
              <w:cnfStyle w:val="100000000000" w:firstRow="1" w:lastRow="0" w:firstColumn="0" w:lastColumn="0" w:oddVBand="0" w:evenVBand="0" w:oddHBand="0" w:evenHBand="0" w:firstRowFirstColumn="0" w:firstRowLastColumn="0" w:lastRowFirstColumn="0" w:lastRowLastColumn="0"/>
            </w:pPr>
            <w:r>
              <w:t>2020–21 to 2054–55,</w:t>
            </w:r>
            <w:r>
              <w:br/>
              <w:t>per cent</w:t>
            </w:r>
          </w:p>
        </w:tc>
      </w:tr>
      <w:tr w:rsidR="00083421" w:rsidTr="000834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7" w:type="pct"/>
            <w:shd w:val="clear" w:color="auto" w:fill="CBD4E7" w:themeFill="text2" w:themeFillTint="33"/>
          </w:tcPr>
          <w:p w:rsidR="00083421" w:rsidRPr="00362E25" w:rsidRDefault="00083421" w:rsidP="00A22D06">
            <w:pPr>
              <w:pStyle w:val="TableText"/>
            </w:pPr>
            <w:r w:rsidRPr="00A22D06">
              <w:rPr>
                <w:b/>
              </w:rPr>
              <w:t>Expected gross nominal return</w:t>
            </w:r>
          </w:p>
        </w:tc>
        <w:tc>
          <w:tcPr>
            <w:tcW w:w="1667" w:type="pct"/>
            <w:shd w:val="clear" w:color="auto" w:fill="CBD4E7" w:themeFill="text2" w:themeFillTint="33"/>
          </w:tcPr>
          <w:p w:rsidR="00083421" w:rsidRPr="00F56793" w:rsidRDefault="00083421" w:rsidP="003C6DF2">
            <w:pPr>
              <w:pStyle w:val="TableTextCentred"/>
              <w:cnfStyle w:val="000000100000" w:firstRow="0" w:lastRow="0" w:firstColumn="0" w:lastColumn="0" w:oddVBand="0" w:evenVBand="0" w:oddHBand="1" w:evenHBand="0" w:firstRowFirstColumn="0" w:firstRowLastColumn="0" w:lastRowFirstColumn="0" w:lastRowLastColumn="0"/>
              <w:rPr>
                <w:b/>
              </w:rPr>
            </w:pPr>
            <w:r w:rsidRPr="00F56793">
              <w:rPr>
                <w:b/>
              </w:rPr>
              <w:t>6.</w:t>
            </w:r>
            <w:r>
              <w:rPr>
                <w:b/>
              </w:rPr>
              <w:t>90</w:t>
            </w:r>
          </w:p>
        </w:tc>
        <w:tc>
          <w:tcPr>
            <w:tcW w:w="1666" w:type="pct"/>
            <w:shd w:val="clear" w:color="auto" w:fill="CBD4E7" w:themeFill="text2" w:themeFillTint="33"/>
          </w:tcPr>
          <w:p w:rsidR="00083421" w:rsidRPr="00F56793" w:rsidRDefault="00083421" w:rsidP="003C6DF2">
            <w:pPr>
              <w:pStyle w:val="TableTextCentred"/>
              <w:cnfStyle w:val="000000100000" w:firstRow="0" w:lastRow="0" w:firstColumn="0" w:lastColumn="0" w:oddVBand="0" w:evenVBand="0" w:oddHBand="1" w:evenHBand="0" w:firstRowFirstColumn="0" w:firstRowLastColumn="0" w:lastRowFirstColumn="0" w:lastRowLastColumn="0"/>
              <w:rPr>
                <w:b/>
              </w:rPr>
            </w:pPr>
            <w:r w:rsidRPr="00F56793">
              <w:rPr>
                <w:b/>
              </w:rPr>
              <w:t>7.</w:t>
            </w:r>
            <w:r>
              <w:rPr>
                <w:b/>
              </w:rPr>
              <w:t>50</w:t>
            </w:r>
          </w:p>
        </w:tc>
      </w:tr>
      <w:tr w:rsidR="00083421" w:rsidTr="003C6DF2">
        <w:trPr>
          <w:cantSplit/>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tcPr>
          <w:p w:rsidR="00083421" w:rsidRDefault="00083421" w:rsidP="00B12E41">
            <w:pPr>
              <w:pStyle w:val="TableText"/>
            </w:pPr>
            <w:r>
              <w:t>Average annual CPI inflation</w:t>
            </w:r>
          </w:p>
        </w:tc>
        <w:tc>
          <w:tcPr>
            <w:tcW w:w="1667" w:type="pct"/>
            <w:shd w:val="clear" w:color="auto" w:fill="auto"/>
          </w:tcPr>
          <w:p w:rsidR="00083421" w:rsidRDefault="00083421" w:rsidP="003C6DF2">
            <w:pPr>
              <w:pStyle w:val="TableTextCentred"/>
              <w:cnfStyle w:val="000000000000" w:firstRow="0" w:lastRow="0" w:firstColumn="0" w:lastColumn="0" w:oddVBand="0" w:evenVBand="0" w:oddHBand="0" w:evenHBand="0" w:firstRowFirstColumn="0" w:firstRowLastColumn="0" w:lastRowFirstColumn="0" w:lastRowLastColumn="0"/>
            </w:pPr>
            <w:r w:rsidRPr="00115A8A">
              <w:t>1.90</w:t>
            </w:r>
          </w:p>
        </w:tc>
        <w:tc>
          <w:tcPr>
            <w:tcW w:w="1666" w:type="pct"/>
            <w:shd w:val="clear" w:color="auto" w:fill="auto"/>
          </w:tcPr>
          <w:p w:rsidR="00083421" w:rsidRDefault="00083421" w:rsidP="003C6DF2">
            <w:pPr>
              <w:pStyle w:val="TableTextCentred"/>
              <w:cnfStyle w:val="000000000000" w:firstRow="0" w:lastRow="0" w:firstColumn="0" w:lastColumn="0" w:oddVBand="0" w:evenVBand="0" w:oddHBand="0" w:evenHBand="0" w:firstRowFirstColumn="0" w:firstRowLastColumn="0" w:lastRowFirstColumn="0" w:lastRowLastColumn="0"/>
            </w:pPr>
            <w:r>
              <w:t>2.50</w:t>
            </w:r>
          </w:p>
        </w:tc>
      </w:tr>
      <w:tr w:rsidR="00083421" w:rsidTr="003C6DF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67" w:type="pct"/>
          </w:tcPr>
          <w:p w:rsidR="00083421" w:rsidRPr="00362E25" w:rsidRDefault="00083421" w:rsidP="00A22D06">
            <w:pPr>
              <w:pStyle w:val="TableText"/>
            </w:pPr>
            <w:r w:rsidRPr="00A22D06">
              <w:rPr>
                <w:b/>
              </w:rPr>
              <w:t>Expected gross real return</w:t>
            </w:r>
          </w:p>
        </w:tc>
        <w:tc>
          <w:tcPr>
            <w:tcW w:w="1667" w:type="pct"/>
          </w:tcPr>
          <w:p w:rsidR="00083421" w:rsidRPr="00900F55" w:rsidRDefault="00083421" w:rsidP="003C6DF2">
            <w:pPr>
              <w:pStyle w:val="TableTextCentred"/>
              <w:cnfStyle w:val="000000100000" w:firstRow="0" w:lastRow="0" w:firstColumn="0" w:lastColumn="0" w:oddVBand="0" w:evenVBand="0" w:oddHBand="1" w:evenHBand="0" w:firstRowFirstColumn="0" w:firstRowLastColumn="0" w:lastRowFirstColumn="0" w:lastRowLastColumn="0"/>
              <w:rPr>
                <w:b/>
              </w:rPr>
            </w:pPr>
            <w:r>
              <w:rPr>
                <w:b/>
              </w:rPr>
              <w:t>5.00</w:t>
            </w:r>
          </w:p>
        </w:tc>
        <w:tc>
          <w:tcPr>
            <w:tcW w:w="1666" w:type="pct"/>
          </w:tcPr>
          <w:p w:rsidR="00083421" w:rsidRPr="00900F55" w:rsidRDefault="00083421" w:rsidP="003C6DF2">
            <w:pPr>
              <w:pStyle w:val="TableTextCentred"/>
              <w:cnfStyle w:val="000000100000" w:firstRow="0" w:lastRow="0" w:firstColumn="0" w:lastColumn="0" w:oddVBand="0" w:evenVBand="0" w:oddHBand="1" w:evenHBand="0" w:firstRowFirstColumn="0" w:firstRowLastColumn="0" w:lastRowFirstColumn="0" w:lastRowLastColumn="0"/>
              <w:rPr>
                <w:b/>
              </w:rPr>
            </w:pPr>
            <w:r>
              <w:rPr>
                <w:b/>
              </w:rPr>
              <w:t>5.00</w:t>
            </w:r>
          </w:p>
        </w:tc>
      </w:tr>
      <w:tr w:rsidR="00083421" w:rsidRPr="00085B61" w:rsidTr="00083421">
        <w:tc>
          <w:tcPr>
            <w:cnfStyle w:val="001000000000" w:firstRow="0" w:lastRow="0" w:firstColumn="1" w:lastColumn="0" w:oddVBand="0" w:evenVBand="0" w:oddHBand="0" w:evenHBand="0" w:firstRowFirstColumn="0" w:firstRowLastColumn="0" w:lastRowFirstColumn="0" w:lastRowLastColumn="0"/>
            <w:tcW w:w="1667" w:type="pct"/>
          </w:tcPr>
          <w:p w:rsidR="00083421" w:rsidRPr="00085B61" w:rsidRDefault="00083421" w:rsidP="00B12E41">
            <w:pPr>
              <w:pStyle w:val="TableText"/>
            </w:pPr>
            <w:r w:rsidRPr="00085B61">
              <w:t>Assumed expenses</w:t>
            </w:r>
          </w:p>
        </w:tc>
        <w:tc>
          <w:tcPr>
            <w:tcW w:w="1667" w:type="pct"/>
          </w:tcPr>
          <w:p w:rsidR="00083421" w:rsidRPr="00085B61" w:rsidRDefault="00083421" w:rsidP="003C6DF2">
            <w:pPr>
              <w:pStyle w:val="TableTextCentred"/>
              <w:cnfStyle w:val="000000000000" w:firstRow="0" w:lastRow="0" w:firstColumn="0" w:lastColumn="0" w:oddVBand="0" w:evenVBand="0" w:oddHBand="0" w:evenHBand="0" w:firstRowFirstColumn="0" w:firstRowLastColumn="0" w:lastRowFirstColumn="0" w:lastRowLastColumn="0"/>
            </w:pPr>
            <w:r w:rsidRPr="00085B61">
              <w:t>0.26</w:t>
            </w:r>
          </w:p>
        </w:tc>
        <w:tc>
          <w:tcPr>
            <w:tcW w:w="1666" w:type="pct"/>
          </w:tcPr>
          <w:p w:rsidR="00083421" w:rsidRPr="00085B61" w:rsidRDefault="00083421" w:rsidP="003C6DF2">
            <w:pPr>
              <w:pStyle w:val="TableTextCentred"/>
              <w:cnfStyle w:val="000000000000" w:firstRow="0" w:lastRow="0" w:firstColumn="0" w:lastColumn="0" w:oddVBand="0" w:evenVBand="0" w:oddHBand="0" w:evenHBand="0" w:firstRowFirstColumn="0" w:firstRowLastColumn="0" w:lastRowFirstColumn="0" w:lastRowLastColumn="0"/>
            </w:pPr>
            <w:r w:rsidRPr="00085B61">
              <w:t>0.26</w:t>
            </w:r>
          </w:p>
        </w:tc>
      </w:tr>
      <w:tr w:rsidR="00083421" w:rsidTr="000834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rsidR="00083421" w:rsidRPr="00362E25" w:rsidRDefault="00083421" w:rsidP="00A22D06">
            <w:pPr>
              <w:pStyle w:val="TableText"/>
            </w:pPr>
            <w:r w:rsidRPr="00A22D06">
              <w:rPr>
                <w:b/>
              </w:rPr>
              <w:t>Expected net real return</w:t>
            </w:r>
          </w:p>
        </w:tc>
        <w:tc>
          <w:tcPr>
            <w:tcW w:w="1667" w:type="pct"/>
          </w:tcPr>
          <w:p w:rsidR="00083421" w:rsidRPr="00085B61" w:rsidRDefault="00083421" w:rsidP="00083421">
            <w:pPr>
              <w:pStyle w:val="TableTextCentred"/>
              <w:cnfStyle w:val="000000100000" w:firstRow="0" w:lastRow="0" w:firstColumn="0" w:lastColumn="0" w:oddVBand="0" w:evenVBand="0" w:oddHBand="1" w:evenHBand="0" w:firstRowFirstColumn="0" w:firstRowLastColumn="0" w:lastRowFirstColumn="0" w:lastRowLastColumn="0"/>
              <w:rPr>
                <w:b/>
              </w:rPr>
            </w:pPr>
            <w:r w:rsidRPr="00085B61">
              <w:rPr>
                <w:b/>
              </w:rPr>
              <w:t>4.74</w:t>
            </w:r>
          </w:p>
        </w:tc>
        <w:tc>
          <w:tcPr>
            <w:tcW w:w="1666" w:type="pct"/>
          </w:tcPr>
          <w:p w:rsidR="00083421" w:rsidRPr="00900F55" w:rsidRDefault="00083421" w:rsidP="003C6DF2">
            <w:pPr>
              <w:pStyle w:val="TableTextCentred"/>
              <w:cnfStyle w:val="000000100000" w:firstRow="0" w:lastRow="0" w:firstColumn="0" w:lastColumn="0" w:oddVBand="0" w:evenVBand="0" w:oddHBand="1" w:evenHBand="0" w:firstRowFirstColumn="0" w:firstRowLastColumn="0" w:lastRowFirstColumn="0" w:lastRowLastColumn="0"/>
              <w:rPr>
                <w:b/>
              </w:rPr>
            </w:pPr>
            <w:r w:rsidRPr="00085B61">
              <w:rPr>
                <w:b/>
              </w:rPr>
              <w:t>4.74</w:t>
            </w:r>
          </w:p>
        </w:tc>
      </w:tr>
    </w:tbl>
    <w:p w:rsidR="00E325DF" w:rsidRDefault="00083421" w:rsidP="004C0BC8">
      <w:pPr>
        <w:pStyle w:val="Source"/>
      </w:pPr>
      <w:r>
        <w:t>Source: Department of Finance, Parliamentary Budget Office analysis</w:t>
      </w:r>
      <w:r w:rsidR="00584CFE">
        <w:t>.</w:t>
      </w:r>
    </w:p>
    <w:p w:rsidR="00E325DF" w:rsidRDefault="00E325DF">
      <w:pPr>
        <w:sectPr w:rsidR="00E325DF" w:rsidSect="004C39E2">
          <w:footerReference w:type="default" r:id="rId43"/>
          <w:pgSz w:w="11907" w:h="16839" w:code="9"/>
          <w:pgMar w:top="1361" w:right="1797" w:bottom="1474" w:left="1797" w:header="283" w:footer="454" w:gutter="0"/>
          <w:cols w:space="708"/>
          <w:docGrid w:linePitch="360"/>
        </w:sectPr>
      </w:pPr>
    </w:p>
    <w:p w:rsidR="00E325DF" w:rsidRDefault="00E325DF">
      <w:pPr>
        <w:rPr>
          <w:rFonts w:cs="Times New Roman"/>
          <w:color w:val="788184" w:themeColor="background2"/>
          <w:sz w:val="20"/>
          <w:szCs w:val="14"/>
        </w:rPr>
      </w:pPr>
    </w:p>
    <w:p w:rsidR="00083421" w:rsidRDefault="00083421" w:rsidP="004C0BC8">
      <w:pPr>
        <w:pStyle w:val="Source"/>
      </w:pPr>
    </w:p>
    <w:p w:rsidR="00AB1931" w:rsidRPr="00AB1931" w:rsidRDefault="00AB1931" w:rsidP="00AB1931">
      <w:pPr>
        <w:pStyle w:val="BodyText17ptAbove"/>
      </w:pPr>
      <w:r w:rsidRPr="003A2FBB">
        <w:rPr>
          <w:noProof/>
          <w:color w:val="FFFFFF" w:themeColor="background1"/>
          <w:sz w:val="72"/>
          <w:szCs w:val="72"/>
          <w:lang w:eastAsia="en-AU"/>
        </w:rPr>
        <w:lastRenderedPageBreak/>
        <mc:AlternateContent>
          <mc:Choice Requires="wpc">
            <w:drawing>
              <wp:anchor distT="0" distB="0" distL="114300" distR="114300" simplePos="0" relativeHeight="251659264" behindDoc="1" locked="0" layoutInCell="1" allowOverlap="1" wp14:anchorId="60135B66" wp14:editId="61A6466C">
                <wp:simplePos x="0" y="0"/>
                <wp:positionH relativeFrom="page">
                  <wp:posOffset>0</wp:posOffset>
                </wp:positionH>
                <wp:positionV relativeFrom="page">
                  <wp:posOffset>0</wp:posOffset>
                </wp:positionV>
                <wp:extent cx="7632000" cy="10692000"/>
                <wp:effectExtent l="0" t="0" r="7620" b="0"/>
                <wp:wrapTight wrapText="bothSides">
                  <wp:wrapPolygon edited="0">
                    <wp:start x="0" y="0"/>
                    <wp:lineTo x="0" y="21553"/>
                    <wp:lineTo x="21568" y="21553"/>
                    <wp:lineTo x="21568" y="0"/>
                    <wp:lineTo x="0" y="0"/>
                  </wp:wrapPolygon>
                </wp:wrapTight>
                <wp:docPr id="26" name="Canvas 26"/>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pic:pic xmlns:pic="http://schemas.openxmlformats.org/drawingml/2006/picture">
                        <pic:nvPicPr>
                          <pic:cNvPr id="24" name="Picture 24"/>
                          <pic:cNvPicPr preferRelativeResize="0">
                            <a:picLocks/>
                          </pic:cNvPicPr>
                        </pic:nvPicPr>
                        <pic:blipFill>
                          <a:blip r:embed="rId44" cstate="print">
                            <a:extLst>
                              <a:ext uri="{28A0092B-C50C-407E-A947-70E740481C1C}">
                                <a14:useLocalDpi xmlns:a14="http://schemas.microsoft.com/office/drawing/2010/main" val="0"/>
                              </a:ext>
                            </a:extLst>
                          </a:blip>
                          <a:stretch>
                            <a:fillRect/>
                          </a:stretch>
                        </pic:blipFill>
                        <pic:spPr>
                          <a:xfrm>
                            <a:off x="0" y="0"/>
                            <a:ext cx="7563600" cy="10687050"/>
                          </a:xfrm>
                          <a:prstGeom prst="rect">
                            <a:avLst/>
                          </a:prstGeom>
                        </pic:spPr>
                      </pic:pic>
                      <wps:wsp>
                        <wps:cNvPr id="25" name="Text Box 2"/>
                        <wps:cNvSpPr txBox="1">
                          <a:spLocks noChangeArrowheads="1"/>
                        </wps:cNvSpPr>
                        <wps:spPr bwMode="auto">
                          <a:xfrm>
                            <a:off x="2520315" y="8763000"/>
                            <a:ext cx="2520000" cy="608400"/>
                          </a:xfrm>
                          <a:prstGeom prst="rect">
                            <a:avLst/>
                          </a:prstGeom>
                          <a:noFill/>
                          <a:ln w="9525">
                            <a:noFill/>
                            <a:miter lim="800000"/>
                            <a:headEnd/>
                            <a:tailEnd/>
                          </a:ln>
                        </wps:spPr>
                        <wps:txbx>
                          <w:txbxContent>
                            <w:p w:rsidR="0005434A" w:rsidRPr="0061135C" w:rsidRDefault="00D51E66" w:rsidP="00E109C5">
                              <w:pPr>
                                <w:pStyle w:val="xBackPageWebAddress"/>
                                <w:jc w:val="center"/>
                              </w:pPr>
                              <w:hyperlink r:id="rId45" w:history="1">
                                <w:r w:rsidR="0005434A" w:rsidRPr="0061135C">
                                  <w:t>www.pbo.gov.au</w:t>
                                </w:r>
                              </w:hyperlink>
                            </w:p>
                          </w:txbxContent>
                        </wps:txbx>
                        <wps:bodyPr rot="0" vert="horz" wrap="square" lIns="91440" tIns="45720" rIns="91440" bIns="45720" anchor="b" anchorCtr="0">
                          <a:noAutofit/>
                        </wps:bodyPr>
                      </wps:wsp>
                    </wpc:wpc>
                  </a:graphicData>
                </a:graphic>
                <wp14:sizeRelH relativeFrom="page">
                  <wp14:pctWidth>0</wp14:pctWidth>
                </wp14:sizeRelH>
                <wp14:sizeRelV relativeFrom="page">
                  <wp14:pctHeight>0</wp14:pctHeight>
                </wp14:sizeRelV>
              </wp:anchor>
            </w:drawing>
          </mc:Choice>
          <mc:Fallback>
            <w:pict>
              <v:group id="Canvas 26" o:spid="_x0000_s1026" editas="canvas" style="position:absolute;margin-left:0;margin-top:0;width:600.95pt;height:841.9pt;z-index:-251657216;mso-position-horizontal-relative:page;mso-position-vertical-relative:page" coordsize="76314,10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314;height:106914;visibility:visible;mso-wrap-style:square" filled="t" fillcolor="white [3212]">
                  <v:fill o:detectmouseclick="t"/>
                  <v:path o:connecttype="none"/>
                </v:shape>
                <v:shape id="Picture 24" o:spid="_x0000_s1028" type="#_x0000_t75" style="position:absolute;width:75636;height:10687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DK7jFAAAA2wAAAA8AAABkcnMvZG93bnJldi54bWxEj0FrwkAUhO9C/8PyCl6k2VRESnQNbaBg&#10;oVBMS8DbI/tMgtm3aXabxH/vFgSPw8x8w2zTybRioN41lhU8RzEI4tLqhisFP9/vTy8gnEfW2Fom&#10;BRdykO4eZltMtB35QEPuKxEg7BJUUHvfJVK6siaDLrIdcfBOtjfog+wrqXscA9y0chnHa2mw4bBQ&#10;Y0dZTeU5/zMK8rHAc15dvmT2tjgeToX8/P0YlJo/Tq8bEJ4mfw/f2nutYLmC/y/hB8jd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wyu4xQAAANsAAAAPAAAAAAAAAAAAAAAA&#10;AJ8CAABkcnMvZG93bnJldi54bWxQSwUGAAAAAAQABAD3AAAAkQMAAAAA&#10;">
                  <v:imagedata r:id="rId46" o:title=""/>
                  <v:path arrowok="t"/>
                  <o:lock v:ext="edit" aspectratio="f"/>
                </v:shape>
                <v:shapetype id="_x0000_t202" coordsize="21600,21600" o:spt="202" path="m,l,21600r21600,l21600,xe">
                  <v:stroke joinstyle="miter"/>
                  <v:path gradientshapeok="t" o:connecttype="rect"/>
                </v:shapetype>
                <v:shape id="Text Box 2" o:spid="_x0000_s1029" type="#_x0000_t202" style="position:absolute;left:25203;top:87630;width:25200;height:608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mlsUA&#10;AADbAAAADwAAAGRycy9kb3ducmV2LnhtbESP0WrCQBRE3wv9h+UW+mY2SpSSukqxFfoi1rQfcJO9&#10;JrHZuyG7Mcnfu0Khj8PMnGHW29E04kqdqy0rmEcxCOLC6ppLBT/f+9kLCOeRNTaWScFEDrabx4c1&#10;ptoOfKJr5ksRIOxSVFB536ZSuqIigy6yLXHwzrYz6IPsSqk7HALcNHIRxytpsOawUGFLu4qK36w3&#10;Cj6+8ilP5pd98h5PuT4Oh13RH5R6fhrfXkF4Gv1/+K/9qRUslnD/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qaWxQAAANsAAAAPAAAAAAAAAAAAAAAAAJgCAABkcnMv&#10;ZG93bnJldi54bWxQSwUGAAAAAAQABAD1AAAAigMAAAAA&#10;" filled="f" stroked="f">
                  <v:textbox>
                    <w:txbxContent>
                      <w:p w:rsidR="0005434A" w:rsidRPr="0061135C" w:rsidRDefault="00F6646E" w:rsidP="00E109C5">
                        <w:pPr>
                          <w:pStyle w:val="xBackPageWebAddress"/>
                          <w:jc w:val="center"/>
                        </w:pPr>
                        <w:hyperlink r:id="rId47" w:history="1">
                          <w:r w:rsidR="0005434A" w:rsidRPr="0061135C">
                            <w:t>www.pbo.gov.au</w:t>
                          </w:r>
                        </w:hyperlink>
                      </w:p>
                    </w:txbxContent>
                  </v:textbox>
                </v:shape>
                <w10:wrap type="tight" anchorx="page" anchory="page"/>
              </v:group>
            </w:pict>
          </mc:Fallback>
        </mc:AlternateContent>
      </w:r>
    </w:p>
    <w:sectPr w:rsidR="00AB1931" w:rsidRPr="00AB1931" w:rsidSect="004C39E2">
      <w:footerReference w:type="default" r:id="rId48"/>
      <w:pgSz w:w="11907" w:h="16839" w:code="9"/>
      <w:pgMar w:top="1361" w:right="1797" w:bottom="1474" w:left="1797" w:header="28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34A" w:rsidRDefault="0005434A" w:rsidP="00A20802">
      <w:pPr>
        <w:spacing w:line="240" w:lineRule="auto"/>
      </w:pPr>
      <w:r>
        <w:separator/>
      </w:r>
    </w:p>
    <w:p w:rsidR="0005434A" w:rsidRDefault="0005434A"/>
  </w:endnote>
  <w:endnote w:type="continuationSeparator" w:id="0">
    <w:p w:rsidR="0005434A" w:rsidRDefault="0005434A" w:rsidP="00A20802">
      <w:pPr>
        <w:spacing w:line="240" w:lineRule="auto"/>
      </w:pPr>
      <w:r>
        <w:continuationSeparator/>
      </w:r>
    </w:p>
    <w:p w:rsidR="0005434A" w:rsidRDefault="00054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4A" w:rsidRDefault="0005434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362E25" w:rsidRPr="00EB388E" w:rsidTr="00362E25">
      <w:trPr>
        <w:trHeight w:val="340"/>
      </w:trPr>
      <w:tc>
        <w:tcPr>
          <w:tcW w:w="8164" w:type="dxa"/>
          <w:tcBorders>
            <w:right w:val="single" w:sz="4" w:space="0" w:color="788184" w:themeColor="background2"/>
          </w:tcBorders>
          <w:vAlign w:val="center"/>
        </w:tcPr>
        <w:p w:rsidR="00362E25" w:rsidRPr="00CB70DF" w:rsidRDefault="00D96C4A" w:rsidP="00362E25">
          <w:pPr>
            <w:pStyle w:val="FooterRight"/>
            <w:framePr w:wrap="auto" w:vAnchor="margin" w:hAnchor="text" w:xAlign="left" w:yAlign="inline"/>
          </w:pPr>
          <w:fldSimple w:instr=" STYLEREF  &quot;Heading 1 No Numbering&quot; \* MERGEFORMAT ">
            <w:r w:rsidR="00D51E66">
              <w:rPr>
                <w:noProof/>
              </w:rPr>
              <w:t>Appendix A</w:t>
            </w:r>
          </w:fldSimple>
        </w:p>
      </w:tc>
      <w:tc>
        <w:tcPr>
          <w:tcW w:w="567" w:type="dxa"/>
          <w:tcBorders>
            <w:left w:val="single" w:sz="4" w:space="0" w:color="788184" w:themeColor="background2"/>
          </w:tcBorders>
          <w:vAlign w:val="center"/>
        </w:tcPr>
        <w:p w:rsidR="00362E25" w:rsidRPr="00CB70DF" w:rsidRDefault="00362E25" w:rsidP="00362E25">
          <w:pPr>
            <w:pStyle w:val="FooterRightPageNumber"/>
          </w:pPr>
          <w:r w:rsidRPr="00EB388E">
            <w:fldChar w:fldCharType="begin"/>
          </w:r>
          <w:r w:rsidRPr="00EB388E">
            <w:instrText xml:space="preserve"> PAGE   \* MERGEFORMAT </w:instrText>
          </w:r>
          <w:r w:rsidRPr="00EB388E">
            <w:fldChar w:fldCharType="separate"/>
          </w:r>
          <w:r w:rsidR="00D51E66">
            <w:t>11</w:t>
          </w:r>
          <w:r w:rsidRPr="00EB388E">
            <w:fldChar w:fldCharType="end"/>
          </w:r>
        </w:p>
      </w:tc>
    </w:tr>
    <w:tr w:rsidR="00362E25" w:rsidRPr="00EB388E" w:rsidTr="00362E25">
      <w:trPr>
        <w:trHeight w:hRule="exact" w:val="403"/>
      </w:trPr>
      <w:tc>
        <w:tcPr>
          <w:tcW w:w="8164" w:type="dxa"/>
        </w:tcPr>
        <w:p w:rsidR="00362E25" w:rsidRPr="00090E70" w:rsidRDefault="00362E25" w:rsidP="00362E25"/>
      </w:tc>
      <w:tc>
        <w:tcPr>
          <w:tcW w:w="567" w:type="dxa"/>
          <w:tcMar>
            <w:bottom w:w="284" w:type="dxa"/>
          </w:tcMar>
        </w:tcPr>
        <w:p w:rsidR="00362E25" w:rsidRPr="00090E70" w:rsidRDefault="00362E25" w:rsidP="00362E25"/>
      </w:tc>
    </w:tr>
  </w:tbl>
  <w:p w:rsidR="00362E25" w:rsidRDefault="00362E25">
    <w:pPr>
      <w:pStyle w:val="Footer"/>
    </w:pPr>
  </w:p>
  <w:p w:rsidR="00362E25" w:rsidRPr="004816D7" w:rsidRDefault="00362E25" w:rsidP="009160F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E325DF" w:rsidRPr="00EB388E" w:rsidTr="00362E25">
      <w:trPr>
        <w:trHeight w:val="340"/>
      </w:trPr>
      <w:tc>
        <w:tcPr>
          <w:tcW w:w="8164" w:type="dxa"/>
          <w:tcBorders>
            <w:right w:val="single" w:sz="4" w:space="0" w:color="788184" w:themeColor="background2"/>
          </w:tcBorders>
          <w:vAlign w:val="center"/>
        </w:tcPr>
        <w:p w:rsidR="00E325DF" w:rsidRPr="00CB70DF" w:rsidRDefault="00D96C4A" w:rsidP="00362E25">
          <w:pPr>
            <w:pStyle w:val="FooterRight"/>
            <w:framePr w:wrap="auto" w:vAnchor="margin" w:hAnchor="text" w:xAlign="left" w:yAlign="inline"/>
          </w:pPr>
          <w:fldSimple w:instr=" STYLEREF  &quot;Heading 1 No Numbering&quot; \* MERGEFORMAT ">
            <w:r w:rsidR="00D51E66">
              <w:rPr>
                <w:noProof/>
              </w:rPr>
              <w:t>Appendix A</w:t>
            </w:r>
          </w:fldSimple>
        </w:p>
      </w:tc>
      <w:tc>
        <w:tcPr>
          <w:tcW w:w="567" w:type="dxa"/>
          <w:tcBorders>
            <w:left w:val="single" w:sz="4" w:space="0" w:color="788184" w:themeColor="background2"/>
          </w:tcBorders>
          <w:vAlign w:val="center"/>
        </w:tcPr>
        <w:p w:rsidR="00E325DF" w:rsidRPr="00CB70DF" w:rsidRDefault="00E325DF" w:rsidP="00362E25">
          <w:pPr>
            <w:pStyle w:val="FooterRightPageNumber"/>
          </w:pPr>
          <w:r w:rsidRPr="00EB388E">
            <w:fldChar w:fldCharType="begin"/>
          </w:r>
          <w:r w:rsidRPr="00EB388E">
            <w:instrText xml:space="preserve"> PAGE   \* MERGEFORMAT </w:instrText>
          </w:r>
          <w:r w:rsidRPr="00EB388E">
            <w:fldChar w:fldCharType="separate"/>
          </w:r>
          <w:r w:rsidR="00D51E66">
            <w:t>13</w:t>
          </w:r>
          <w:r w:rsidRPr="00EB388E">
            <w:fldChar w:fldCharType="end"/>
          </w:r>
        </w:p>
      </w:tc>
    </w:tr>
    <w:tr w:rsidR="00E325DF" w:rsidRPr="00EB388E" w:rsidTr="00362E25">
      <w:trPr>
        <w:trHeight w:hRule="exact" w:val="403"/>
      </w:trPr>
      <w:tc>
        <w:tcPr>
          <w:tcW w:w="8164" w:type="dxa"/>
        </w:tcPr>
        <w:p w:rsidR="00E325DF" w:rsidRPr="00090E70" w:rsidRDefault="00E325DF" w:rsidP="00362E25"/>
      </w:tc>
      <w:tc>
        <w:tcPr>
          <w:tcW w:w="567" w:type="dxa"/>
          <w:tcMar>
            <w:bottom w:w="284" w:type="dxa"/>
          </w:tcMar>
        </w:tcPr>
        <w:p w:rsidR="00E325DF" w:rsidRPr="00090E70" w:rsidRDefault="00E325DF" w:rsidP="00362E25"/>
      </w:tc>
    </w:tr>
  </w:tbl>
  <w:p w:rsidR="00E325DF" w:rsidRDefault="00E325DF">
    <w:pPr>
      <w:pStyle w:val="Footer"/>
    </w:pPr>
  </w:p>
  <w:p w:rsidR="00E325DF" w:rsidRPr="004816D7" w:rsidRDefault="00E325DF" w:rsidP="009160F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5DF" w:rsidRDefault="00E325DF">
    <w:pPr>
      <w:pStyle w:val="Footer"/>
    </w:pPr>
  </w:p>
  <w:p w:rsidR="00E325DF" w:rsidRPr="004816D7" w:rsidRDefault="00E325DF" w:rsidP="009160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05434A" w:rsidRPr="00EB388E" w:rsidTr="00C80200">
      <w:trPr>
        <w:trHeight w:val="340"/>
      </w:trPr>
      <w:tc>
        <w:tcPr>
          <w:tcW w:w="567" w:type="dxa"/>
          <w:tcBorders>
            <w:right w:val="single" w:sz="4" w:space="0" w:color="788184" w:themeColor="background2"/>
          </w:tcBorders>
          <w:vAlign w:val="center"/>
        </w:tcPr>
        <w:p w:rsidR="0005434A" w:rsidRPr="00CB70DF" w:rsidRDefault="0005434A" w:rsidP="00C80200">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D51E66">
            <w:rPr>
              <w:noProof/>
            </w:rPr>
            <w:t>vi</w:t>
          </w:r>
          <w:r w:rsidRPr="00EB388E">
            <w:fldChar w:fldCharType="end"/>
          </w:r>
        </w:p>
      </w:tc>
      <w:tc>
        <w:tcPr>
          <w:tcW w:w="8164" w:type="dxa"/>
          <w:tcBorders>
            <w:left w:val="single" w:sz="4" w:space="0" w:color="788184" w:themeColor="background2"/>
          </w:tcBorders>
          <w:vAlign w:val="center"/>
        </w:tcPr>
        <w:p w:rsidR="0005434A" w:rsidRPr="00CB70DF" w:rsidRDefault="0005434A" w:rsidP="00C80200">
          <w:pPr>
            <w:pStyle w:val="FooterLeft"/>
            <w:framePr w:wrap="auto" w:vAnchor="margin" w:hAnchor="text" w:yAlign="inline"/>
          </w:pPr>
        </w:p>
      </w:tc>
    </w:tr>
    <w:tr w:rsidR="0005434A" w:rsidRPr="00EB388E" w:rsidTr="00C80200">
      <w:trPr>
        <w:trHeight w:hRule="exact" w:val="403"/>
      </w:trPr>
      <w:tc>
        <w:tcPr>
          <w:tcW w:w="567" w:type="dxa"/>
          <w:tcMar>
            <w:bottom w:w="284" w:type="dxa"/>
          </w:tcMar>
        </w:tcPr>
        <w:p w:rsidR="0005434A" w:rsidRPr="00EB388E" w:rsidRDefault="0005434A" w:rsidP="00C80200">
          <w:pPr>
            <w:pStyle w:val="FooterRightPageNumber"/>
          </w:pPr>
        </w:p>
      </w:tc>
      <w:tc>
        <w:tcPr>
          <w:tcW w:w="8164" w:type="dxa"/>
          <w:tcMar>
            <w:bottom w:w="284" w:type="dxa"/>
          </w:tcMar>
        </w:tcPr>
        <w:p w:rsidR="0005434A" w:rsidRPr="00090E70" w:rsidRDefault="0005434A" w:rsidP="00C80200"/>
      </w:tc>
    </w:tr>
  </w:tbl>
  <w:p w:rsidR="0005434A" w:rsidRDefault="0005434A">
    <w:pPr>
      <w:pStyle w:val="Footer"/>
    </w:pPr>
  </w:p>
  <w:p w:rsidR="0005434A" w:rsidRPr="004816D7" w:rsidRDefault="0005434A" w:rsidP="004816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05434A" w:rsidRPr="00EB388E" w:rsidTr="0087390B">
      <w:trPr>
        <w:trHeight w:val="340"/>
      </w:trPr>
      <w:tc>
        <w:tcPr>
          <w:tcW w:w="8164" w:type="dxa"/>
          <w:tcBorders>
            <w:right w:val="single" w:sz="4" w:space="0" w:color="788184" w:themeColor="background2"/>
          </w:tcBorders>
          <w:vAlign w:val="center"/>
        </w:tcPr>
        <w:p w:rsidR="0005434A" w:rsidRPr="00CB70DF" w:rsidRDefault="0005434A" w:rsidP="00584CFE">
          <w:pPr>
            <w:pStyle w:val="FooterRight"/>
            <w:framePr w:wrap="auto" w:vAnchor="margin" w:hAnchor="text" w:xAlign="left" w:yAlign="inline"/>
          </w:pPr>
        </w:p>
      </w:tc>
      <w:tc>
        <w:tcPr>
          <w:tcW w:w="567" w:type="dxa"/>
          <w:tcBorders>
            <w:left w:val="single" w:sz="4" w:space="0" w:color="788184" w:themeColor="background2"/>
          </w:tcBorders>
          <w:vAlign w:val="center"/>
        </w:tcPr>
        <w:p w:rsidR="0005434A" w:rsidRPr="00CB70DF" w:rsidRDefault="0005434A" w:rsidP="00E915E6">
          <w:pPr>
            <w:pStyle w:val="FooterRightPageNumber"/>
          </w:pPr>
          <w:r w:rsidRPr="00EB388E">
            <w:fldChar w:fldCharType="begin"/>
          </w:r>
          <w:r w:rsidRPr="00EB388E">
            <w:instrText xml:space="preserve"> PAGE   \* MERGEFORMAT </w:instrText>
          </w:r>
          <w:r w:rsidRPr="00EB388E">
            <w:fldChar w:fldCharType="separate"/>
          </w:r>
          <w:r w:rsidR="00D51E66">
            <w:t>iii</w:t>
          </w:r>
          <w:r w:rsidRPr="00EB388E">
            <w:fldChar w:fldCharType="end"/>
          </w:r>
        </w:p>
      </w:tc>
    </w:tr>
    <w:tr w:rsidR="0005434A" w:rsidRPr="00EB388E" w:rsidTr="004F1297">
      <w:trPr>
        <w:trHeight w:hRule="exact" w:val="403"/>
      </w:trPr>
      <w:tc>
        <w:tcPr>
          <w:tcW w:w="8164" w:type="dxa"/>
        </w:tcPr>
        <w:p w:rsidR="0005434A" w:rsidRPr="00090E70" w:rsidRDefault="0005434A" w:rsidP="0087390B"/>
      </w:tc>
      <w:tc>
        <w:tcPr>
          <w:tcW w:w="567" w:type="dxa"/>
          <w:tcMar>
            <w:bottom w:w="284" w:type="dxa"/>
          </w:tcMar>
        </w:tcPr>
        <w:p w:rsidR="0005434A" w:rsidRPr="00090E70" w:rsidRDefault="0005434A" w:rsidP="0087390B"/>
      </w:tc>
    </w:tr>
  </w:tbl>
  <w:p w:rsidR="0005434A" w:rsidRDefault="0005434A">
    <w:pPr>
      <w:pStyle w:val="Footer"/>
    </w:pPr>
  </w:p>
  <w:p w:rsidR="0005434A" w:rsidRPr="004816D7" w:rsidRDefault="0005434A" w:rsidP="004816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05434A" w:rsidRPr="00EB388E" w:rsidTr="0087390B">
      <w:trPr>
        <w:trHeight w:val="340"/>
      </w:trPr>
      <w:tc>
        <w:tcPr>
          <w:tcW w:w="8164" w:type="dxa"/>
          <w:tcBorders>
            <w:right w:val="single" w:sz="4" w:space="0" w:color="788184" w:themeColor="background2"/>
          </w:tcBorders>
          <w:vAlign w:val="center"/>
        </w:tcPr>
        <w:p w:rsidR="0005434A" w:rsidRPr="00CB70DF" w:rsidRDefault="0005434A" w:rsidP="001C48DE">
          <w:pPr>
            <w:pStyle w:val="FooterRight"/>
            <w:framePr w:wrap="auto" w:vAnchor="margin" w:hAnchor="text" w:xAlign="left" w:yAlign="inline"/>
          </w:pPr>
        </w:p>
      </w:tc>
      <w:tc>
        <w:tcPr>
          <w:tcW w:w="567" w:type="dxa"/>
          <w:tcBorders>
            <w:left w:val="single" w:sz="4" w:space="0" w:color="788184" w:themeColor="background2"/>
          </w:tcBorders>
          <w:vAlign w:val="center"/>
        </w:tcPr>
        <w:p w:rsidR="0005434A" w:rsidRPr="00CB70DF" w:rsidRDefault="0005434A" w:rsidP="00E915E6">
          <w:pPr>
            <w:pStyle w:val="FooterRightPageNumber"/>
          </w:pPr>
          <w:r w:rsidRPr="00EB388E">
            <w:fldChar w:fldCharType="begin"/>
          </w:r>
          <w:r w:rsidRPr="00EB388E">
            <w:instrText xml:space="preserve"> PAGE   \* MERGEFORMAT </w:instrText>
          </w:r>
          <w:r w:rsidRPr="00EB388E">
            <w:fldChar w:fldCharType="separate"/>
          </w:r>
          <w:r w:rsidR="00D51E66">
            <w:t>v</w:t>
          </w:r>
          <w:r w:rsidRPr="00EB388E">
            <w:fldChar w:fldCharType="end"/>
          </w:r>
        </w:p>
      </w:tc>
    </w:tr>
    <w:tr w:rsidR="0005434A" w:rsidRPr="00EB388E" w:rsidTr="004F1297">
      <w:trPr>
        <w:trHeight w:hRule="exact" w:val="403"/>
      </w:trPr>
      <w:tc>
        <w:tcPr>
          <w:tcW w:w="8164" w:type="dxa"/>
        </w:tcPr>
        <w:p w:rsidR="0005434A" w:rsidRPr="00090E70" w:rsidRDefault="0005434A" w:rsidP="0087390B"/>
      </w:tc>
      <w:tc>
        <w:tcPr>
          <w:tcW w:w="567" w:type="dxa"/>
          <w:tcMar>
            <w:bottom w:w="284" w:type="dxa"/>
          </w:tcMar>
        </w:tcPr>
        <w:p w:rsidR="0005434A" w:rsidRPr="00090E70" w:rsidRDefault="0005434A" w:rsidP="0087390B"/>
      </w:tc>
    </w:tr>
  </w:tbl>
  <w:p w:rsidR="0005434A" w:rsidRDefault="0005434A">
    <w:pPr>
      <w:pStyle w:val="Footer"/>
    </w:pPr>
  </w:p>
  <w:p w:rsidR="0005434A" w:rsidRPr="004816D7" w:rsidRDefault="0005434A" w:rsidP="004816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05434A" w:rsidRPr="00EB388E" w:rsidTr="0087390B">
      <w:trPr>
        <w:trHeight w:val="340"/>
      </w:trPr>
      <w:tc>
        <w:tcPr>
          <w:tcW w:w="8164" w:type="dxa"/>
          <w:tcBorders>
            <w:right w:val="single" w:sz="4" w:space="0" w:color="788184" w:themeColor="background2"/>
          </w:tcBorders>
          <w:vAlign w:val="center"/>
        </w:tcPr>
        <w:p w:rsidR="0005434A" w:rsidRPr="00CB70DF" w:rsidRDefault="00D96C4A" w:rsidP="001C48DE">
          <w:pPr>
            <w:pStyle w:val="FooterRight"/>
            <w:framePr w:wrap="auto" w:vAnchor="margin" w:hAnchor="text" w:xAlign="left" w:yAlign="inline"/>
          </w:pPr>
          <w:fldSimple w:instr=" STYLEREF  &quot;Heading 1&quot;  \* MERGEFORMAT ">
            <w:r w:rsidR="00D51E66">
              <w:rPr>
                <w:noProof/>
              </w:rPr>
              <w:t>Introduction</w:t>
            </w:r>
          </w:fldSimple>
        </w:p>
      </w:tc>
      <w:tc>
        <w:tcPr>
          <w:tcW w:w="567" w:type="dxa"/>
          <w:tcBorders>
            <w:left w:val="single" w:sz="4" w:space="0" w:color="788184" w:themeColor="background2"/>
          </w:tcBorders>
          <w:vAlign w:val="center"/>
        </w:tcPr>
        <w:p w:rsidR="0005434A" w:rsidRPr="00CB70DF" w:rsidRDefault="0005434A" w:rsidP="00E915E6">
          <w:pPr>
            <w:pStyle w:val="FooterRightPageNumber"/>
          </w:pPr>
          <w:r w:rsidRPr="00EB388E">
            <w:fldChar w:fldCharType="begin"/>
          </w:r>
          <w:r w:rsidRPr="00EB388E">
            <w:instrText xml:space="preserve"> PAGE   \* MERGEFORMAT </w:instrText>
          </w:r>
          <w:r w:rsidRPr="00EB388E">
            <w:fldChar w:fldCharType="separate"/>
          </w:r>
          <w:r w:rsidR="00D51E66">
            <w:t>1</w:t>
          </w:r>
          <w:r w:rsidRPr="00EB388E">
            <w:fldChar w:fldCharType="end"/>
          </w:r>
        </w:p>
      </w:tc>
    </w:tr>
    <w:tr w:rsidR="0005434A" w:rsidRPr="00EB388E" w:rsidTr="004F1297">
      <w:trPr>
        <w:trHeight w:hRule="exact" w:val="403"/>
      </w:trPr>
      <w:tc>
        <w:tcPr>
          <w:tcW w:w="8164" w:type="dxa"/>
        </w:tcPr>
        <w:p w:rsidR="0005434A" w:rsidRPr="00090E70" w:rsidRDefault="0005434A" w:rsidP="0087390B"/>
      </w:tc>
      <w:tc>
        <w:tcPr>
          <w:tcW w:w="567" w:type="dxa"/>
          <w:tcMar>
            <w:bottom w:w="284" w:type="dxa"/>
          </w:tcMar>
        </w:tcPr>
        <w:p w:rsidR="0005434A" w:rsidRPr="00090E70" w:rsidRDefault="0005434A" w:rsidP="0087390B"/>
      </w:tc>
    </w:tr>
  </w:tbl>
  <w:p w:rsidR="0005434A" w:rsidRDefault="0005434A">
    <w:pPr>
      <w:pStyle w:val="Footer"/>
    </w:pPr>
  </w:p>
  <w:p w:rsidR="0005434A" w:rsidRPr="004816D7" w:rsidRDefault="0005434A" w:rsidP="004816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05434A" w:rsidRPr="00EB388E" w:rsidTr="008A5ADB">
      <w:trPr>
        <w:trHeight w:val="340"/>
      </w:trPr>
      <w:tc>
        <w:tcPr>
          <w:tcW w:w="567" w:type="dxa"/>
          <w:tcBorders>
            <w:right w:val="single" w:sz="4" w:space="0" w:color="788184" w:themeColor="background2"/>
          </w:tcBorders>
          <w:vAlign w:val="center"/>
        </w:tcPr>
        <w:p w:rsidR="0005434A" w:rsidRPr="00CB70DF" w:rsidRDefault="0005434A" w:rsidP="008A5ADB">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D51E66">
            <w:rPr>
              <w:noProof/>
            </w:rPr>
            <w:t>8</w:t>
          </w:r>
          <w:r w:rsidRPr="00EB388E">
            <w:fldChar w:fldCharType="end"/>
          </w:r>
        </w:p>
      </w:tc>
      <w:tc>
        <w:tcPr>
          <w:tcW w:w="8164" w:type="dxa"/>
          <w:tcBorders>
            <w:left w:val="single" w:sz="4" w:space="0" w:color="788184" w:themeColor="background2"/>
          </w:tcBorders>
          <w:vAlign w:val="center"/>
        </w:tcPr>
        <w:p w:rsidR="0005434A" w:rsidRPr="00584CFE" w:rsidRDefault="00D96C4A" w:rsidP="00C509CE">
          <w:pPr>
            <w:pStyle w:val="FooterLeft"/>
            <w:framePr w:wrap="auto" w:vAnchor="margin" w:hAnchor="text" w:yAlign="inline"/>
          </w:pPr>
          <w:fldSimple w:instr=" STYLEREF  Title  \* MERGEFORMAT ">
            <w:r w:rsidR="00D51E66" w:rsidRPr="00D51E66">
              <w:rPr>
                <w:bCs/>
                <w:noProof/>
                <w:lang w:val="en-US"/>
              </w:rPr>
              <w:t>Future Fund drawdown scenarios</w:t>
            </w:r>
          </w:fldSimple>
        </w:p>
      </w:tc>
    </w:tr>
    <w:tr w:rsidR="0005434A" w:rsidRPr="00EB388E" w:rsidTr="008A5ADB">
      <w:trPr>
        <w:trHeight w:hRule="exact" w:val="403"/>
      </w:trPr>
      <w:tc>
        <w:tcPr>
          <w:tcW w:w="567" w:type="dxa"/>
          <w:tcMar>
            <w:bottom w:w="284" w:type="dxa"/>
          </w:tcMar>
        </w:tcPr>
        <w:p w:rsidR="0005434A" w:rsidRPr="00EB388E" w:rsidRDefault="0005434A" w:rsidP="008A5ADB">
          <w:pPr>
            <w:pStyle w:val="FooterRightPageNumber"/>
          </w:pPr>
        </w:p>
      </w:tc>
      <w:tc>
        <w:tcPr>
          <w:tcW w:w="8164" w:type="dxa"/>
          <w:tcMar>
            <w:bottom w:w="284" w:type="dxa"/>
          </w:tcMar>
        </w:tcPr>
        <w:p w:rsidR="0005434A" w:rsidRPr="00090E70" w:rsidRDefault="0005434A" w:rsidP="008A5ADB"/>
      </w:tc>
    </w:tr>
  </w:tbl>
  <w:p w:rsidR="0005434A" w:rsidRDefault="0005434A">
    <w:pPr>
      <w:pStyle w:val="Footer"/>
    </w:pPr>
  </w:p>
  <w:p w:rsidR="0005434A" w:rsidRPr="004816D7" w:rsidRDefault="0005434A" w:rsidP="003C6DF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05434A" w:rsidRPr="00EB388E" w:rsidTr="008A5ADB">
      <w:trPr>
        <w:trHeight w:val="340"/>
      </w:trPr>
      <w:tc>
        <w:tcPr>
          <w:tcW w:w="8164" w:type="dxa"/>
          <w:tcBorders>
            <w:right w:val="single" w:sz="4" w:space="0" w:color="788184" w:themeColor="background2"/>
          </w:tcBorders>
          <w:vAlign w:val="center"/>
        </w:tcPr>
        <w:p w:rsidR="0005434A" w:rsidRPr="00CB70DF" w:rsidRDefault="00D96C4A" w:rsidP="008A5ADB">
          <w:pPr>
            <w:pStyle w:val="FooterRight"/>
            <w:framePr w:wrap="auto" w:vAnchor="margin" w:hAnchor="text" w:xAlign="left" w:yAlign="inline"/>
          </w:pPr>
          <w:fldSimple w:instr=" STYLEREF  &quot;Heading 1&quot;  \* MERGEFORMAT ">
            <w:r w:rsidR="00D51E66">
              <w:rPr>
                <w:noProof/>
              </w:rPr>
              <w:t>Future Fund drawdown scenarios</w:t>
            </w:r>
          </w:fldSimple>
        </w:p>
      </w:tc>
      <w:tc>
        <w:tcPr>
          <w:tcW w:w="567" w:type="dxa"/>
          <w:tcBorders>
            <w:left w:val="single" w:sz="4" w:space="0" w:color="788184" w:themeColor="background2"/>
          </w:tcBorders>
          <w:vAlign w:val="center"/>
        </w:tcPr>
        <w:p w:rsidR="0005434A" w:rsidRPr="00CB70DF" w:rsidRDefault="0005434A" w:rsidP="008A5ADB">
          <w:pPr>
            <w:pStyle w:val="FooterRightPageNumber"/>
          </w:pPr>
          <w:r w:rsidRPr="00EB388E">
            <w:fldChar w:fldCharType="begin"/>
          </w:r>
          <w:r w:rsidRPr="00EB388E">
            <w:instrText xml:space="preserve"> PAGE   \* MERGEFORMAT </w:instrText>
          </w:r>
          <w:r w:rsidRPr="00EB388E">
            <w:fldChar w:fldCharType="separate"/>
          </w:r>
          <w:r w:rsidR="00D51E66">
            <w:t>9</w:t>
          </w:r>
          <w:r w:rsidRPr="00EB388E">
            <w:fldChar w:fldCharType="end"/>
          </w:r>
        </w:p>
      </w:tc>
    </w:tr>
    <w:tr w:rsidR="0005434A" w:rsidRPr="00EB388E" w:rsidTr="008A5ADB">
      <w:trPr>
        <w:trHeight w:hRule="exact" w:val="403"/>
      </w:trPr>
      <w:tc>
        <w:tcPr>
          <w:tcW w:w="8164" w:type="dxa"/>
        </w:tcPr>
        <w:p w:rsidR="0005434A" w:rsidRPr="00090E70" w:rsidRDefault="0005434A" w:rsidP="008A5ADB"/>
      </w:tc>
      <w:tc>
        <w:tcPr>
          <w:tcW w:w="567" w:type="dxa"/>
          <w:tcMar>
            <w:bottom w:w="284" w:type="dxa"/>
          </w:tcMar>
        </w:tcPr>
        <w:p w:rsidR="0005434A" w:rsidRPr="00090E70" w:rsidRDefault="0005434A" w:rsidP="008A5ADB"/>
      </w:tc>
    </w:tr>
  </w:tbl>
  <w:p w:rsidR="0005434A" w:rsidRDefault="0005434A">
    <w:pPr>
      <w:pStyle w:val="Footer"/>
    </w:pPr>
  </w:p>
  <w:p w:rsidR="0005434A" w:rsidRPr="004816D7" w:rsidRDefault="0005434A" w:rsidP="003C6DF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4A" w:rsidRDefault="0005434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362E25" w:rsidRPr="00EB388E" w:rsidTr="00362E25">
      <w:trPr>
        <w:trHeight w:val="340"/>
      </w:trPr>
      <w:tc>
        <w:tcPr>
          <w:tcW w:w="567" w:type="dxa"/>
          <w:tcBorders>
            <w:right w:val="single" w:sz="4" w:space="0" w:color="788184" w:themeColor="background2"/>
          </w:tcBorders>
          <w:vAlign w:val="center"/>
        </w:tcPr>
        <w:p w:rsidR="00362E25" w:rsidRPr="00CB70DF" w:rsidRDefault="00362E25" w:rsidP="00362E25">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D51E66">
            <w:rPr>
              <w:noProof/>
            </w:rPr>
            <w:t>16</w:t>
          </w:r>
          <w:r w:rsidRPr="00EB388E">
            <w:fldChar w:fldCharType="end"/>
          </w:r>
        </w:p>
      </w:tc>
      <w:tc>
        <w:tcPr>
          <w:tcW w:w="8164" w:type="dxa"/>
          <w:tcBorders>
            <w:left w:val="single" w:sz="4" w:space="0" w:color="788184" w:themeColor="background2"/>
          </w:tcBorders>
          <w:vAlign w:val="center"/>
        </w:tcPr>
        <w:p w:rsidR="00362E25" w:rsidRPr="00CB70DF" w:rsidRDefault="00D96C4A" w:rsidP="00362E25">
          <w:pPr>
            <w:pStyle w:val="FooterLeft"/>
            <w:framePr w:wrap="auto" w:vAnchor="margin" w:hAnchor="text" w:yAlign="inline"/>
          </w:pPr>
          <w:fldSimple w:instr=" STYLEREF  Title  \* MERGEFORMAT ">
            <w:r w:rsidR="00D51E66">
              <w:rPr>
                <w:noProof/>
              </w:rPr>
              <w:t>Future Fund drawdown scenarios</w:t>
            </w:r>
          </w:fldSimple>
        </w:p>
      </w:tc>
    </w:tr>
    <w:tr w:rsidR="00362E25" w:rsidRPr="00EB388E" w:rsidTr="00362E25">
      <w:trPr>
        <w:trHeight w:hRule="exact" w:val="403"/>
      </w:trPr>
      <w:tc>
        <w:tcPr>
          <w:tcW w:w="567" w:type="dxa"/>
          <w:tcMar>
            <w:bottom w:w="284" w:type="dxa"/>
          </w:tcMar>
        </w:tcPr>
        <w:p w:rsidR="00362E25" w:rsidRPr="00EB388E" w:rsidRDefault="00362E25" w:rsidP="00362E25">
          <w:pPr>
            <w:pStyle w:val="FooterRightPageNumber"/>
          </w:pPr>
        </w:p>
      </w:tc>
      <w:tc>
        <w:tcPr>
          <w:tcW w:w="8164" w:type="dxa"/>
          <w:tcMar>
            <w:bottom w:w="284" w:type="dxa"/>
          </w:tcMar>
        </w:tcPr>
        <w:p w:rsidR="00362E25" w:rsidRPr="00090E70" w:rsidRDefault="00362E25" w:rsidP="00362E25"/>
      </w:tc>
    </w:tr>
  </w:tbl>
  <w:p w:rsidR="00362E25" w:rsidRDefault="00362E25">
    <w:pPr>
      <w:pStyle w:val="Footer"/>
    </w:pPr>
  </w:p>
  <w:p w:rsidR="00362E25" w:rsidRPr="004816D7" w:rsidRDefault="00362E25" w:rsidP="00017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34A" w:rsidRPr="000557A7" w:rsidRDefault="0005434A" w:rsidP="008D5A11">
      <w:pPr>
        <w:pBdr>
          <w:top w:val="single" w:sz="4" w:space="1" w:color="auto"/>
        </w:pBdr>
        <w:spacing w:before="240" w:line="60" w:lineRule="exact"/>
        <w:rPr>
          <w:sz w:val="16"/>
          <w:szCs w:val="16"/>
        </w:rPr>
      </w:pPr>
    </w:p>
  </w:footnote>
  <w:footnote w:type="continuationSeparator" w:id="0">
    <w:p w:rsidR="0005434A" w:rsidRDefault="0005434A" w:rsidP="00A20802">
      <w:pPr>
        <w:spacing w:line="240" w:lineRule="auto"/>
      </w:pPr>
      <w:r>
        <w:continuationSeparator/>
      </w:r>
    </w:p>
    <w:p w:rsidR="0005434A" w:rsidRDefault="0005434A"/>
  </w:footnote>
  <w:footnote w:id="1">
    <w:p w:rsidR="0005434A" w:rsidRPr="006D358D" w:rsidRDefault="0005434A">
      <w:pPr>
        <w:pStyle w:val="FootnoteText"/>
      </w:pPr>
      <w:r w:rsidRPr="006D358D">
        <w:footnoteRef/>
      </w:r>
      <w:r>
        <w:tab/>
      </w:r>
      <w:r w:rsidRPr="00BF2666">
        <w:t>The 2015 Intergenerational Report (IGR) projects the balance of the Future Fund to be depleted by around the late-2040s as a result of drawdowns made from the Fund from 2020 (p 86).  The 2015 IGR was released in March 2015.  The projection of the Fund being depleted at a later date in this report relative to the 2015 IGR is a result of updated information on the Future Fund’s performance over the period from March 2015 through to the 2016</w:t>
      </w:r>
      <w:r>
        <w:t>–</w:t>
      </w:r>
      <w:r w:rsidRPr="00BF2666">
        <w:t>17 MYEFO.</w:t>
      </w:r>
    </w:p>
  </w:footnote>
  <w:footnote w:id="2">
    <w:p w:rsidR="0005434A" w:rsidRDefault="0005434A">
      <w:pPr>
        <w:pStyle w:val="FootnoteText"/>
      </w:pPr>
      <w:r w:rsidRPr="00EA43BB">
        <w:footnoteRef/>
      </w:r>
      <w:r>
        <w:tab/>
        <w:t>Over the long term, this assumption implies that the Future Fund’s annual return of 6½ per cent is ½ percentage points above the Government’s assumed long-term cost of borrowing of 6 per cent.</w:t>
      </w:r>
    </w:p>
  </w:footnote>
  <w:footnote w:id="3">
    <w:p w:rsidR="0005434A" w:rsidRPr="00A65324" w:rsidRDefault="0005434A">
      <w:pPr>
        <w:pStyle w:val="FootnoteText"/>
      </w:pPr>
      <w:r w:rsidRPr="006D358D">
        <w:footnoteRef/>
      </w:r>
      <w:r w:rsidRPr="006D358D">
        <w:tab/>
        <w:t>There is a nexus between the investment returns earned by the Future Fund and financial market conditions, and the broader economy.  As such, if nominal Future Fund returns are lower, it is likely that the Government’s borrowing costs and inflation will also be lower.  The PBO has kept borrowing costs and inflation constant in this sensitivity analysis to emphasise the performance of the Future Fund relative to the Government’s borrowing costs as the key determinant of the Fund’s impact on net financial worth.</w:t>
      </w:r>
    </w:p>
  </w:footnote>
  <w:footnote w:id="4">
    <w:p w:rsidR="0005434A" w:rsidRPr="00621264" w:rsidRDefault="0005434A">
      <w:pPr>
        <w:pStyle w:val="FootnoteText"/>
      </w:pPr>
      <w:r w:rsidRPr="00621264">
        <w:footnoteRef/>
      </w:r>
      <w:r>
        <w:tab/>
      </w:r>
      <w:r w:rsidRPr="00621264">
        <w:t xml:space="preserve">As with the later drawdown scenario considered in the previous </w:t>
      </w:r>
      <w:r>
        <w:t>s</w:t>
      </w:r>
      <w:r w:rsidRPr="00621264">
        <w:t xml:space="preserve">ection, under the lower </w:t>
      </w:r>
      <w:r>
        <w:t>returns</w:t>
      </w:r>
      <w:r w:rsidRPr="00621264">
        <w:t xml:space="preserve"> scenario the Fund will still remain with a positive balance once the Government’s </w:t>
      </w:r>
      <w:r>
        <w:t>unfunded superannuation liability arising from the closed civilian and military schemes is extinguished</w:t>
      </w:r>
      <w:r w:rsidRPr="00621264">
        <w:t xml:space="preserve">, if drawdowns commence in </w:t>
      </w:r>
      <w:r>
        <w:t>2029–30</w:t>
      </w:r>
      <w:r w:rsidRPr="00621264">
        <w:t>.</w:t>
      </w:r>
    </w:p>
  </w:footnote>
  <w:footnote w:id="5">
    <w:p w:rsidR="0005434A" w:rsidRPr="00A22D06" w:rsidRDefault="0005434A">
      <w:pPr>
        <w:pStyle w:val="FootnoteText"/>
      </w:pPr>
      <w:r w:rsidRPr="00741A2A">
        <w:footnoteRef/>
      </w:r>
      <w:r>
        <w:tab/>
      </w:r>
      <w:proofErr w:type="gramStart"/>
      <w:r w:rsidRPr="00A22D06">
        <w:t>Future Fund Annual Report 2015–16</w:t>
      </w:r>
      <w:r w:rsidRPr="0005434A">
        <w:t>,</w:t>
      </w:r>
      <w:r>
        <w:t xml:space="preserve"> p 32</w:t>
      </w:r>
      <w:r>
        <w:rPr>
          <w:i/>
        </w:rPr>
        <w:t>.</w:t>
      </w:r>
      <w:proofErr w:type="gramEnd"/>
    </w:p>
  </w:footnote>
  <w:footnote w:id="6">
    <w:p w:rsidR="0005434A" w:rsidRDefault="0005434A" w:rsidP="00083421">
      <w:pPr>
        <w:pStyle w:val="FootnoteText"/>
      </w:pPr>
      <w:r w:rsidRPr="00083421">
        <w:footnoteRef/>
      </w:r>
      <w:r>
        <w:tab/>
        <w:t xml:space="preserve">For further details of the actuarial analysis underpinning these projections, see the </w:t>
      </w:r>
      <w:r w:rsidRPr="000F6B68">
        <w:rPr>
          <w:i/>
        </w:rPr>
        <w:t>Long Term Cost Reports</w:t>
      </w:r>
      <w:r w:rsidRPr="008A5ADB">
        <w:t xml:space="preserve"> released by Mercer for the civilian schemes and by the Australian Government Actuary for the military schemes.</w:t>
      </w:r>
      <w:r>
        <w:t xml:space="preserve">  The latest releases of both reports were in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4A" w:rsidRDefault="0005434A">
    <w:pPr>
      <w:pStyle w:val="Header"/>
    </w:pPr>
    <w:r>
      <w:rPr>
        <w:noProof/>
        <w:lang w:eastAsia="en-AU"/>
      </w:rPr>
      <mc:AlternateContent>
        <mc:Choice Requires="wps">
          <w:drawing>
            <wp:anchor distT="0" distB="0" distL="114300" distR="114300" simplePos="0" relativeHeight="251663360" behindDoc="1" locked="1" layoutInCell="1" allowOverlap="1" wp14:anchorId="166BC7D0" wp14:editId="3FDD2DA3">
              <wp:simplePos x="0" y="0"/>
              <wp:positionH relativeFrom="page">
                <wp:align>center</wp:align>
              </wp:positionH>
              <wp:positionV relativeFrom="page">
                <wp:align>center</wp:align>
              </wp:positionV>
              <wp:extent cx="7560000" cy="1796400"/>
              <wp:effectExtent l="0" t="0" r="0" b="0"/>
              <wp:wrapNone/>
              <wp:docPr id="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4A" w:rsidRPr="0001226A" w:rsidRDefault="0005434A"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30" type="#_x0000_t202" style="position:absolute;margin-left:0;margin-top:0;width:595.3pt;height:141.45pt;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IOtgIAALw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" filled="f" stroked="f">
              <v:textbox>
                <w:txbxContent>
                  <w:p w:rsidR="0005434A" w:rsidRPr="0001226A" w:rsidRDefault="0005434A" w:rsidP="00F45442">
                    <w:pPr>
                      <w:pStyle w:val="xStatus"/>
                      <w:rPr>
                        <w:szCs w:val="120"/>
                      </w:rPr>
                    </w:pPr>
                  </w:p>
                </w:txbxContent>
              </v:textbox>
              <w10:wrap anchorx="page" anchory="page"/>
              <w10:anchorlock/>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4A" w:rsidRDefault="0005434A">
    <w:pPr>
      <w:pStyle w:val="Header"/>
    </w:pPr>
    <w:r>
      <w:rPr>
        <w:noProof/>
        <w:lang w:eastAsia="en-AU"/>
      </w:rPr>
      <w:drawing>
        <wp:anchor distT="0" distB="0" distL="114300" distR="114300" simplePos="0" relativeHeight="251688960" behindDoc="1" locked="0" layoutInCell="1" allowOverlap="1" wp14:anchorId="1B308D3D" wp14:editId="30A714C2">
          <wp:simplePos x="0" y="0"/>
          <wp:positionH relativeFrom="page">
            <wp:posOffset>0</wp:posOffset>
          </wp:positionH>
          <wp:positionV relativeFrom="page">
            <wp:posOffset>0</wp:posOffset>
          </wp:positionV>
          <wp:extent cx="7563600" cy="10695600"/>
          <wp:effectExtent l="0" t="0" r="0" b="0"/>
          <wp:wrapNone/>
          <wp:docPr id="21" name="Picture 2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87936" behindDoc="1" locked="1" layoutInCell="1" allowOverlap="1" wp14:anchorId="14D427C7" wp14:editId="2A06B3D8">
              <wp:simplePos x="0" y="0"/>
              <wp:positionH relativeFrom="page">
                <wp:align>center</wp:align>
              </wp:positionH>
              <wp:positionV relativeFrom="page">
                <wp:align>center</wp:align>
              </wp:positionV>
              <wp:extent cx="7560000" cy="1796400"/>
              <wp:effectExtent l="0" t="0" r="0" b="0"/>
              <wp:wrapNone/>
              <wp:docPr id="3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4A" w:rsidRPr="0001226A" w:rsidRDefault="0005434A"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0;margin-top:0;width:595.3pt;height:141.45pt;z-index:-2516285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CxXtFquwIA&#10;AMQFAAAOAAAAAAAAAAAAAAAAAC4CAABkcnMvZTJvRG9jLnhtbFBLAQItABQABgAIAAAAIQA0xUTO&#10;2wAAAAYBAAAPAAAAAAAAAAAAAAAAABUFAABkcnMvZG93bnJldi54bWxQSwUGAAAAAAQABADzAAAA&#10;HQYAAAAA&#10;" filled="f" stroked="f">
              <v:textbox>
                <w:txbxContent>
                  <w:p w:rsidR="0005434A" w:rsidRPr="0001226A" w:rsidRDefault="0005434A" w:rsidP="00F45442">
                    <w:pPr>
                      <w:pStyle w:val="xStatus"/>
                      <w:rPr>
                        <w:szCs w:val="120"/>
                      </w:rPr>
                    </w:pPr>
                  </w:p>
                </w:txbxContent>
              </v:textbox>
              <w10:wrap anchorx="page" anchory="page"/>
              <w10:anchorlock/>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E25" w:rsidRDefault="00362E25" w:rsidP="00362E25">
    <w:pPr>
      <w:pStyle w:val="Header"/>
    </w:pPr>
    <w:r>
      <w:rPr>
        <w:noProof/>
        <w:lang w:eastAsia="en-AU"/>
      </w:rPr>
      <mc:AlternateContent>
        <mc:Choice Requires="wps">
          <w:drawing>
            <wp:anchor distT="0" distB="0" distL="114300" distR="114300" simplePos="0" relativeHeight="251693056" behindDoc="1" locked="1" layoutInCell="1" allowOverlap="1" wp14:anchorId="5E2E21EF" wp14:editId="2AD8BE12">
              <wp:simplePos x="0" y="0"/>
              <wp:positionH relativeFrom="page">
                <wp:align>center</wp:align>
              </wp:positionH>
              <wp:positionV relativeFrom="page">
                <wp:align>center</wp:align>
              </wp:positionV>
              <wp:extent cx="7560000" cy="1796400"/>
              <wp:effectExtent l="0" t="0" r="0" b="0"/>
              <wp:wrapNone/>
              <wp:docPr id="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E25" w:rsidRPr="0001226A" w:rsidRDefault="00362E25" w:rsidP="00362E25">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0;margin-top:0;width:595.3pt;height:141.45pt;z-index:-2516234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GZuQIAAMU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hlXBmbkCAADF&#10;BQAADgAAAAAAAAAAAAAAAAAuAgAAZHJzL2Uyb0RvYy54bWxQSwECLQAUAAYACAAAACEANMVEztsA&#10;AAAGAQAADwAAAAAAAAAAAAAAAAATBQAAZHJzL2Rvd25yZXYueG1sUEsFBgAAAAAEAAQA8wAAABsG&#10;AAAAAA==&#10;" filled="f" stroked="f">
              <v:textbox>
                <w:txbxContent>
                  <w:p w:rsidR="00362E25" w:rsidRPr="0001226A" w:rsidRDefault="00362E25" w:rsidP="00362E25">
                    <w:pPr>
                      <w:pStyle w:val="xStatus"/>
                      <w:rPr>
                        <w:szCs w:val="120"/>
                      </w:rPr>
                    </w:pPr>
                  </w:p>
                </w:txbxContent>
              </v:textbox>
              <w10:wrap anchorx="page" anchory="page"/>
              <w10:anchorlock/>
            </v:shape>
          </w:pict>
        </mc:Fallback>
      </mc:AlternateContent>
    </w:r>
  </w:p>
  <w:p w:rsidR="00362E25" w:rsidRPr="00362E25" w:rsidRDefault="00362E25" w:rsidP="00362E2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E25" w:rsidRDefault="00362E25" w:rsidP="00362E25">
    <w:pPr>
      <w:pStyle w:val="Header"/>
    </w:pPr>
    <w:r>
      <w:rPr>
        <w:noProof/>
        <w:lang w:eastAsia="en-AU"/>
      </w:rPr>
      <mc:AlternateContent>
        <mc:Choice Requires="wps">
          <w:drawing>
            <wp:anchor distT="0" distB="0" distL="114300" distR="114300" simplePos="0" relativeHeight="251691008" behindDoc="1" locked="1" layoutInCell="1" allowOverlap="1" wp14:anchorId="58006FC3" wp14:editId="23CC60A9">
              <wp:simplePos x="0" y="0"/>
              <wp:positionH relativeFrom="page">
                <wp:align>center</wp:align>
              </wp:positionH>
              <wp:positionV relativeFrom="page">
                <wp:align>center</wp:align>
              </wp:positionV>
              <wp:extent cx="7560000" cy="1796400"/>
              <wp:effectExtent l="0" t="0" r="0" b="0"/>
              <wp:wrapNone/>
              <wp:docPr id="1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E25" w:rsidRPr="0001226A" w:rsidRDefault="00362E25" w:rsidP="00362E25">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margin-left:0;margin-top:0;width:595.3pt;height:141.45pt;z-index:-2516254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DGePxq6AgAA&#10;xQUAAA4AAAAAAAAAAAAAAAAALgIAAGRycy9lMm9Eb2MueG1sUEsBAi0AFAAGAAgAAAAhADTFRM7b&#10;AAAABgEAAA8AAAAAAAAAAAAAAAAAFAUAAGRycy9kb3ducmV2LnhtbFBLBQYAAAAABAAEAPMAAAAc&#10;BgAAAAA=&#10;" filled="f" stroked="f">
              <v:textbox>
                <w:txbxContent>
                  <w:p w:rsidR="00362E25" w:rsidRPr="0001226A" w:rsidRDefault="00362E25" w:rsidP="00362E25">
                    <w:pPr>
                      <w:pStyle w:val="xStatus"/>
                      <w:rPr>
                        <w:szCs w:val="120"/>
                      </w:rPr>
                    </w:pPr>
                  </w:p>
                </w:txbxContent>
              </v:textbox>
              <w10:wrap anchorx="page" anchory="page"/>
              <w10:anchorlock/>
            </v:shape>
          </w:pict>
        </mc:Fallback>
      </mc:AlternateContent>
    </w:r>
  </w:p>
  <w:p w:rsidR="00362E25" w:rsidRPr="00362E25" w:rsidRDefault="00362E25" w:rsidP="00362E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4A" w:rsidRDefault="0005434A">
    <w:pPr>
      <w:pStyle w:val="Header"/>
    </w:pPr>
    <w:r>
      <w:rPr>
        <w:noProof/>
        <w:lang w:eastAsia="en-AU"/>
      </w:rPr>
      <mc:AlternateContent>
        <mc:Choice Requires="wps">
          <w:drawing>
            <wp:anchor distT="0" distB="0" distL="114300" distR="114300" simplePos="0" relativeHeight="251665408" behindDoc="1" locked="1" layoutInCell="1" allowOverlap="1" wp14:anchorId="232C8D19" wp14:editId="7F2DCB79">
              <wp:simplePos x="0" y="0"/>
              <wp:positionH relativeFrom="page">
                <wp:align>center</wp:align>
              </wp:positionH>
              <wp:positionV relativeFrom="page">
                <wp:align>center</wp:align>
              </wp:positionV>
              <wp:extent cx="7560000" cy="1796400"/>
              <wp:effectExtent l="0" t="0" r="0" b="0"/>
              <wp:wrapNone/>
              <wp:docPr id="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4A" w:rsidRPr="0001226A" w:rsidRDefault="0005434A"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595.3pt;height:141.45pt;z-index:-2516510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IeAB0W6AgAA&#10;wwUAAA4AAAAAAAAAAAAAAAAALgIAAGRycy9lMm9Eb2MueG1sUEsBAi0AFAAGAAgAAAAhADTFRM7b&#10;AAAABgEAAA8AAAAAAAAAAAAAAAAAFAUAAGRycy9kb3ducmV2LnhtbFBLBQYAAAAABAAEAPMAAAAc&#10;BgAAAAA=&#10;" filled="f" stroked="f">
              <v:textbox>
                <w:txbxContent>
                  <w:p w:rsidR="0005434A" w:rsidRPr="0001226A" w:rsidRDefault="0005434A" w:rsidP="00F45442">
                    <w:pPr>
                      <w:pStyle w:val="xStatus"/>
                      <w:rPr>
                        <w:szCs w:val="120"/>
                      </w:rPr>
                    </w:pP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4A" w:rsidRDefault="0005434A">
    <w:pPr>
      <w:pStyle w:val="Header"/>
    </w:pPr>
    <w:r>
      <w:rPr>
        <w:noProof/>
        <w:lang w:eastAsia="en-AU"/>
      </w:rPr>
      <w:drawing>
        <wp:anchor distT="0" distB="0" distL="114300" distR="114300" simplePos="0" relativeHeight="251674624" behindDoc="1" locked="0" layoutInCell="1" allowOverlap="1" wp14:anchorId="1AE3E788" wp14:editId="34360893">
          <wp:simplePos x="0" y="0"/>
          <wp:positionH relativeFrom="page">
            <wp:posOffset>-2740</wp:posOffset>
          </wp:positionH>
          <wp:positionV relativeFrom="page">
            <wp:posOffset>0</wp:posOffset>
          </wp:positionV>
          <wp:extent cx="7563600" cy="10695600"/>
          <wp:effectExtent l="0" t="0" r="0" b="0"/>
          <wp:wrapNone/>
          <wp:docPr id="20" name="Picture 20"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1312" behindDoc="1" locked="1" layoutInCell="1" allowOverlap="1" wp14:anchorId="17F3C3C6" wp14:editId="7DAA4AA2">
              <wp:simplePos x="0" y="0"/>
              <wp:positionH relativeFrom="page">
                <wp:align>center</wp:align>
              </wp:positionH>
              <wp:positionV relativeFrom="page">
                <wp:align>center</wp:align>
              </wp:positionV>
              <wp:extent cx="7560000" cy="1796400"/>
              <wp:effectExtent l="0" t="0" r="0" b="0"/>
              <wp:wrapNone/>
              <wp:docPr id="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4A" w:rsidRPr="0001226A" w:rsidRDefault="0005434A"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595.3pt;height:141.45pt;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Gtyw5K6AgAA&#10;wwUAAA4AAAAAAAAAAAAAAAAALgIAAGRycy9lMm9Eb2MueG1sUEsBAi0AFAAGAAgAAAAhADTFRM7b&#10;AAAABgEAAA8AAAAAAAAAAAAAAAAAFAUAAGRycy9kb3ducmV2LnhtbFBLBQYAAAAABAAEAPMAAAAc&#10;BgAAAAA=&#10;" filled="f" stroked="f">
              <v:textbox>
                <w:txbxContent>
                  <w:p w:rsidR="0005434A" w:rsidRPr="0001226A" w:rsidRDefault="0005434A" w:rsidP="00F45442">
                    <w:pPr>
                      <w:pStyle w:val="xStatus"/>
                      <w:rPr>
                        <w:szCs w:val="120"/>
                      </w:rPr>
                    </w:pPr>
                  </w:p>
                </w:txbxContent>
              </v:textbox>
              <w10:wrap anchorx="page"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4A" w:rsidRDefault="0005434A">
    <w:pPr>
      <w:pStyle w:val="Header"/>
    </w:pPr>
    <w:r>
      <w:rPr>
        <w:noProof/>
        <w:lang w:eastAsia="en-AU"/>
      </w:rPr>
      <mc:AlternateContent>
        <mc:Choice Requires="wps">
          <w:drawing>
            <wp:anchor distT="0" distB="0" distL="114300" distR="114300" simplePos="0" relativeHeight="251667456" behindDoc="1" locked="1" layoutInCell="1" allowOverlap="1" wp14:anchorId="08FE228A" wp14:editId="187FBB03">
              <wp:simplePos x="0" y="0"/>
              <wp:positionH relativeFrom="page">
                <wp:align>center</wp:align>
              </wp:positionH>
              <wp:positionV relativeFrom="page">
                <wp:align>center</wp:align>
              </wp:positionV>
              <wp:extent cx="7560000" cy="1796400"/>
              <wp:effectExtent l="0" t="0" r="0" b="0"/>
              <wp:wrapNone/>
              <wp:docPr id="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4A" w:rsidRPr="0001226A" w:rsidRDefault="0005434A"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0;margin-top:0;width:595.3pt;height:141.45pt;z-index:-2516490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CbXotK6AgAA&#10;wwUAAA4AAAAAAAAAAAAAAAAALgIAAGRycy9lMm9Eb2MueG1sUEsBAi0AFAAGAAgAAAAhADTFRM7b&#10;AAAABgEAAA8AAAAAAAAAAAAAAAAAFAUAAGRycy9kb3ducmV2LnhtbFBLBQYAAAAABAAEAPMAAAAc&#10;BgAAAAA=&#10;" filled="f" stroked="f">
              <v:textbox>
                <w:txbxContent>
                  <w:p w:rsidR="0005434A" w:rsidRPr="0001226A" w:rsidRDefault="0005434A" w:rsidP="00F45442">
                    <w:pPr>
                      <w:pStyle w:val="xStatus"/>
                      <w:rPr>
                        <w:szCs w:val="120"/>
                      </w:rPr>
                    </w:pPr>
                  </w:p>
                </w:txbxContent>
              </v:textbox>
              <w10:wrap anchorx="page" anchory="page"/>
              <w10:anchorlock/>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4A" w:rsidRDefault="0005434A">
    <w:pPr>
      <w:pStyle w:val="Header"/>
    </w:pPr>
    <w:r>
      <w:rPr>
        <w:noProof/>
        <w:lang w:eastAsia="en-AU"/>
      </w:rPr>
      <mc:AlternateContent>
        <mc:Choice Requires="wps">
          <w:drawing>
            <wp:anchor distT="0" distB="0" distL="114300" distR="114300" simplePos="0" relativeHeight="251669504" behindDoc="1" locked="1" layoutInCell="1" allowOverlap="1" wp14:anchorId="77362260" wp14:editId="72D1B73B">
              <wp:simplePos x="0" y="0"/>
              <wp:positionH relativeFrom="page">
                <wp:align>center</wp:align>
              </wp:positionH>
              <wp:positionV relativeFrom="page">
                <wp:align>center</wp:align>
              </wp:positionV>
              <wp:extent cx="7560000" cy="1796400"/>
              <wp:effectExtent l="0" t="0" r="0" b="0"/>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4A" w:rsidRPr="0001226A" w:rsidRDefault="0005434A"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0;margin-top:0;width:595.3pt;height:141.45pt;z-index:-2516469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gmCugIAAMM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FPCCYK6AgAA&#10;wwUAAA4AAAAAAAAAAAAAAAAALgIAAGRycy9lMm9Eb2MueG1sUEsBAi0AFAAGAAgAAAAhADTFRM7b&#10;AAAABgEAAA8AAAAAAAAAAAAAAAAAFAUAAGRycy9kb3ducmV2LnhtbFBLBQYAAAAABAAEAPMAAAAc&#10;BgAAAAA=&#10;" filled="f" stroked="f">
              <v:textbox>
                <w:txbxContent>
                  <w:p w:rsidR="0005434A" w:rsidRPr="0001226A" w:rsidRDefault="0005434A" w:rsidP="00F45442">
                    <w:pPr>
                      <w:pStyle w:val="xStatus"/>
                      <w:rPr>
                        <w:szCs w:val="120"/>
                      </w:rPr>
                    </w:pPr>
                  </w:p>
                </w:txbxContent>
              </v:textbox>
              <w10:wrap anchorx="page" anchory="page"/>
              <w10:anchorlock/>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4A" w:rsidRDefault="0005434A">
    <w:pPr>
      <w:pStyle w:val="Header"/>
    </w:pPr>
    <w:r>
      <w:rPr>
        <w:noProof/>
        <w:lang w:eastAsia="en-AU"/>
      </w:rPr>
      <mc:AlternateContent>
        <mc:Choice Requires="wps">
          <w:drawing>
            <wp:anchor distT="0" distB="0" distL="114300" distR="114300" simplePos="0" relativeHeight="251673600" behindDoc="1" locked="1" layoutInCell="1" allowOverlap="1" wp14:anchorId="726F4419" wp14:editId="3194620D">
              <wp:simplePos x="0" y="0"/>
              <wp:positionH relativeFrom="page">
                <wp:align>center</wp:align>
              </wp:positionH>
              <wp:positionV relativeFrom="page">
                <wp:align>center</wp:align>
              </wp:positionV>
              <wp:extent cx="7560000" cy="1796400"/>
              <wp:effectExtent l="0" t="0" r="0" b="0"/>
              <wp:wrapNone/>
              <wp:docPr id="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4A" w:rsidRPr="0001226A" w:rsidRDefault="0005434A"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0;margin-top:0;width:595.3pt;height:141.45pt;z-index:-2516428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MkOloi6AgAA&#10;wwUAAA4AAAAAAAAAAAAAAAAALgIAAGRycy9lMm9Eb2MueG1sUEsBAi0AFAAGAAgAAAAhADTFRM7b&#10;AAAABgEAAA8AAAAAAAAAAAAAAAAAFAUAAGRycy9kb3ducmV2LnhtbFBLBQYAAAAABAAEAPMAAAAc&#10;BgAAAAA=&#10;" filled="f" stroked="f">
              <v:textbox>
                <w:txbxContent>
                  <w:p w:rsidR="0005434A" w:rsidRPr="0001226A" w:rsidRDefault="0005434A" w:rsidP="00F45442">
                    <w:pPr>
                      <w:pStyle w:val="xStatus"/>
                      <w:rPr>
                        <w:szCs w:val="120"/>
                      </w:rPr>
                    </w:pPr>
                  </w:p>
                </w:txbxContent>
              </v:textbox>
              <w10:wrap anchorx="page" anchory="page"/>
              <w10:anchorlock/>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4A" w:rsidRDefault="0005434A">
    <w:pPr>
      <w:pStyle w:val="Header"/>
    </w:pPr>
    <w:r>
      <w:rPr>
        <w:noProof/>
        <w:lang w:eastAsia="en-AU"/>
      </w:rPr>
      <mc:AlternateContent>
        <mc:Choice Requires="wps">
          <w:drawing>
            <wp:anchor distT="0" distB="0" distL="114300" distR="114300" simplePos="0" relativeHeight="251671552" behindDoc="1" locked="1" layoutInCell="1" allowOverlap="1" wp14:anchorId="24826703" wp14:editId="39B6B336">
              <wp:simplePos x="0" y="0"/>
              <wp:positionH relativeFrom="page">
                <wp:align>center</wp:align>
              </wp:positionH>
              <wp:positionV relativeFrom="page">
                <wp:align>center</wp:align>
              </wp:positionV>
              <wp:extent cx="7560000" cy="1796400"/>
              <wp:effectExtent l="0" t="0" r="0" b="0"/>
              <wp:wrapNone/>
              <wp:docPr id="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4A" w:rsidRPr="0001226A" w:rsidRDefault="0005434A"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0;margin-top:0;width:595.3pt;height:141.45pt;z-index:-2516449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sugIAAMM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L+yBiy6AgAA&#10;wwUAAA4AAAAAAAAAAAAAAAAALgIAAGRycy9lMm9Eb2MueG1sUEsBAi0AFAAGAAgAAAAhADTFRM7b&#10;AAAABgEAAA8AAAAAAAAAAAAAAAAAFAUAAGRycy9kb3ducmV2LnhtbFBLBQYAAAAABAAEAPMAAAAc&#10;BgAAAAA=&#10;" filled="f" stroked="f">
              <v:textbox>
                <w:txbxContent>
                  <w:p w:rsidR="0005434A" w:rsidRPr="0001226A" w:rsidRDefault="0005434A" w:rsidP="00F45442">
                    <w:pPr>
                      <w:pStyle w:val="xStatus"/>
                      <w:rPr>
                        <w:szCs w:val="120"/>
                      </w:rPr>
                    </w:pPr>
                  </w:p>
                </w:txbxContent>
              </v:textbox>
              <w10:wrap anchorx="page" anchory="page"/>
              <w10:anchorlock/>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4A" w:rsidRDefault="0005434A">
    <w:pPr>
      <w:pStyle w:val="Header"/>
    </w:pPr>
    <w:r>
      <w:rPr>
        <w:noProof/>
        <w:lang w:eastAsia="en-AU"/>
      </w:rPr>
      <mc:AlternateContent>
        <mc:Choice Requires="wps">
          <w:drawing>
            <wp:anchor distT="0" distB="0" distL="114300" distR="114300" simplePos="0" relativeHeight="251685888" behindDoc="1" locked="1" layoutInCell="1" allowOverlap="1" wp14:anchorId="3105DF48" wp14:editId="49539DA1">
              <wp:simplePos x="0" y="0"/>
              <wp:positionH relativeFrom="page">
                <wp:align>center</wp:align>
              </wp:positionH>
              <wp:positionV relativeFrom="page">
                <wp:align>center</wp:align>
              </wp:positionV>
              <wp:extent cx="7560000" cy="1796400"/>
              <wp:effectExtent l="0" t="0" r="0" b="0"/>
              <wp:wrapNone/>
              <wp:docPr id="3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4A" w:rsidRPr="0001226A" w:rsidRDefault="0005434A"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0;margin-top:0;width:595.3pt;height:141.45pt;z-index:-2516305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BgaeHcuwIA&#10;AMQFAAAOAAAAAAAAAAAAAAAAAC4CAABkcnMvZTJvRG9jLnhtbFBLAQItABQABgAIAAAAIQA0xUTO&#10;2wAAAAYBAAAPAAAAAAAAAAAAAAAAABUFAABkcnMvZG93bnJldi54bWxQSwUGAAAAAAQABADzAAAA&#10;HQYAAAAA&#10;" filled="f" stroked="f">
              <v:textbox>
                <w:txbxContent>
                  <w:p w:rsidR="0005434A" w:rsidRPr="0001226A" w:rsidRDefault="0005434A" w:rsidP="00F45442">
                    <w:pPr>
                      <w:pStyle w:val="xStatus"/>
                      <w:rPr>
                        <w:szCs w:val="120"/>
                      </w:rPr>
                    </w:pPr>
                  </w:p>
                </w:txbxContent>
              </v:textbox>
              <w10:wrap anchorx="page" anchory="page"/>
              <w10:anchorlock/>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4A" w:rsidRDefault="0005434A">
    <w:pPr>
      <w:pStyle w:val="Header"/>
    </w:pPr>
    <w:r>
      <w:rPr>
        <w:noProof/>
        <w:lang w:eastAsia="en-AU"/>
      </w:rPr>
      <mc:AlternateContent>
        <mc:Choice Requires="wps">
          <w:drawing>
            <wp:anchor distT="0" distB="0" distL="114300" distR="114300" simplePos="0" relativeHeight="251683840" behindDoc="1" locked="1" layoutInCell="1" allowOverlap="1" wp14:anchorId="27D3067A" wp14:editId="65AC39C1">
              <wp:simplePos x="0" y="0"/>
              <wp:positionH relativeFrom="page">
                <wp:align>center</wp:align>
              </wp:positionH>
              <wp:positionV relativeFrom="page">
                <wp:align>center</wp:align>
              </wp:positionV>
              <wp:extent cx="7560000" cy="1796400"/>
              <wp:effectExtent l="0" t="0" r="0" b="0"/>
              <wp:wrapNone/>
              <wp:docPr id="3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434A" w:rsidRPr="0001226A" w:rsidRDefault="0005434A"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0;margin-top:0;width:595.3pt;height:141.45pt;z-index:-2516326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" filled="f" stroked="f">
              <v:textbox>
                <w:txbxContent>
                  <w:p w:rsidR="0005434A" w:rsidRPr="0001226A" w:rsidRDefault="0005434A" w:rsidP="00F45442">
                    <w:pPr>
                      <w:pStyle w:val="xStatus"/>
                      <w:rPr>
                        <w:szCs w:val="120"/>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8303A82"/>
    <w:lvl w:ilvl="0">
      <w:start w:val="1"/>
      <w:numFmt w:val="decimal"/>
      <w:lvlText w:val="%1."/>
      <w:lvlJc w:val="left"/>
      <w:pPr>
        <w:tabs>
          <w:tab w:val="num" w:pos="926"/>
        </w:tabs>
        <w:ind w:left="926" w:hanging="360"/>
      </w:pPr>
    </w:lvl>
  </w:abstractNum>
  <w:abstractNum w:abstractNumId="1">
    <w:nsid w:val="FFFFFF7F"/>
    <w:multiLevelType w:val="singleLevel"/>
    <w:tmpl w:val="4EB87814"/>
    <w:lvl w:ilvl="0">
      <w:start w:val="1"/>
      <w:numFmt w:val="decimal"/>
      <w:lvlText w:val="%1."/>
      <w:lvlJc w:val="left"/>
      <w:pPr>
        <w:tabs>
          <w:tab w:val="num" w:pos="643"/>
        </w:tabs>
        <w:ind w:left="643" w:hanging="360"/>
      </w:pPr>
    </w:lvl>
  </w:abstractNum>
  <w:abstractNum w:abstractNumId="2">
    <w:nsid w:val="FFFFFF82"/>
    <w:multiLevelType w:val="singleLevel"/>
    <w:tmpl w:val="37844A8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6E30B580"/>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EFB6BBE4"/>
    <w:lvl w:ilvl="0">
      <w:start w:val="1"/>
      <w:numFmt w:val="decimal"/>
      <w:lvlText w:val="%1."/>
      <w:lvlJc w:val="left"/>
      <w:pPr>
        <w:tabs>
          <w:tab w:val="num" w:pos="360"/>
        </w:tabs>
        <w:ind w:left="360" w:hanging="360"/>
      </w:pPr>
    </w:lvl>
  </w:abstractNum>
  <w:abstractNum w:abstractNumId="5">
    <w:nsid w:val="FFFFFF89"/>
    <w:multiLevelType w:val="singleLevel"/>
    <w:tmpl w:val="01905BD0"/>
    <w:lvl w:ilvl="0">
      <w:start w:val="1"/>
      <w:numFmt w:val="bullet"/>
      <w:lvlText w:val=""/>
      <w:lvlJc w:val="left"/>
      <w:pPr>
        <w:tabs>
          <w:tab w:val="num" w:pos="360"/>
        </w:tabs>
        <w:ind w:left="360" w:hanging="360"/>
      </w:pPr>
      <w:rPr>
        <w:rFonts w:ascii="Symbol" w:hAnsi="Symbol" w:hint="default"/>
      </w:rPr>
    </w:lvl>
  </w:abstractNum>
  <w:abstractNum w:abstractNumId="6">
    <w:nsid w:val="068B37FE"/>
    <w:multiLevelType w:val="multilevel"/>
    <w:tmpl w:val="D1A2BED4"/>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nsid w:val="0D745448"/>
    <w:multiLevelType w:val="multilevel"/>
    <w:tmpl w:val="CABC0242"/>
    <w:name w:val="PBOHeadings"/>
    <w:lvl w:ilvl="0">
      <w:start w:val="1"/>
      <w:numFmt w:val="decimal"/>
      <w:pStyle w:val="Heading1"/>
      <w:lvlText w:val="%1"/>
      <w:lvlJc w:val="left"/>
      <w:pPr>
        <w:ind w:left="765" w:hanging="765"/>
      </w:pPr>
      <w:rPr>
        <w:rFonts w:hint="default"/>
      </w:rPr>
    </w:lvl>
    <w:lvl w:ilvl="1">
      <w:start w:val="1"/>
      <w:numFmt w:val="decimal"/>
      <w:pStyle w:val="Heading2"/>
      <w:lvlText w:val="%1.%2"/>
      <w:lvlJc w:val="left"/>
      <w:pPr>
        <w:ind w:left="907" w:hanging="765"/>
      </w:pPr>
      <w:rPr>
        <w:rFonts w:hint="default"/>
      </w:rPr>
    </w:lvl>
    <w:lvl w:ilvl="2">
      <w:start w:val="1"/>
      <w:numFmt w:val="decimal"/>
      <w:pStyle w:val="Heading3"/>
      <w:lvlText w:val="%1.%2.%3"/>
      <w:lvlJc w:val="left"/>
      <w:pPr>
        <w:ind w:left="765" w:hanging="765"/>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8">
    <w:nsid w:val="0FB2573F"/>
    <w:multiLevelType w:val="multilevel"/>
    <w:tmpl w:val="93FEDA8E"/>
    <w:name w:val="TableFootnotes"/>
    <w:lvl w:ilvl="0">
      <w:start w:val="1"/>
      <w:numFmt w:val="decimal"/>
      <w:pStyle w:val="TableFootnotes"/>
      <w:lvlText w:val="%1"/>
      <w:lvlJc w:val="left"/>
      <w:pPr>
        <w:ind w:left="227" w:hanging="227"/>
      </w:pPr>
      <w:rPr>
        <w:rFonts w:hint="default"/>
        <w:color w:val="788184" w:themeColor="background2"/>
        <w:spacing w:val="0"/>
        <w:sz w:val="20"/>
        <w:vertAlign w:val="superscript"/>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9">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0">
    <w:nsid w:val="22D045EF"/>
    <w:multiLevelType w:val="multilevel"/>
    <w:tmpl w:val="D34CA962"/>
    <w:lvl w:ilvl="0">
      <w:start w:val="1"/>
      <w:numFmt w:val="bullet"/>
      <w:lvlText w:val=""/>
      <w:lvlJc w:val="left"/>
      <w:pPr>
        <w:tabs>
          <w:tab w:val="num" w:pos="340"/>
        </w:tabs>
        <w:ind w:left="340" w:hanging="340"/>
      </w:pPr>
      <w:rPr>
        <w:rFonts w:ascii="Symbol" w:hAnsi="Symbol" w:hint="default"/>
        <w:b w:val="0"/>
        <w:i w:val="0"/>
        <w:color w:val="auto"/>
        <w:position w:val="2"/>
        <w:sz w:val="16"/>
      </w:rPr>
    </w:lvl>
    <w:lvl w:ilvl="1">
      <w:start w:val="1"/>
      <w:numFmt w:val="bullet"/>
      <w:lvlText w:val=""/>
      <w:lvlJc w:val="left"/>
      <w:pPr>
        <w:tabs>
          <w:tab w:val="num" w:pos="851"/>
        </w:tabs>
        <w:ind w:left="851" w:hanging="426"/>
      </w:pPr>
      <w:rPr>
        <w:rFonts w:ascii="Webdings" w:hAnsi="Webdings" w:hint="default"/>
        <w:b w:val="0"/>
        <w:i w:val="0"/>
        <w:color w:val="auto"/>
        <w:position w:val="2"/>
        <w:sz w:val="18"/>
      </w:rPr>
    </w:lvl>
    <w:lvl w:ilvl="2">
      <w:start w:val="1"/>
      <w:numFmt w:val="bullet"/>
      <w:lvlText w:val="–"/>
      <w:lvlJc w:val="left"/>
      <w:pPr>
        <w:tabs>
          <w:tab w:val="num" w:pos="1276"/>
        </w:tabs>
        <w:ind w:left="1276" w:hanging="425"/>
      </w:pPr>
      <w:rPr>
        <w:rFonts w:ascii="Arial" w:hAnsi="Arial" w:hint="default"/>
        <w:b w:val="0"/>
        <w:i w:val="0"/>
        <w:spacing w:val="0"/>
        <w:w w:val="100"/>
        <w:position w:val="4"/>
        <w:sz w:val="20"/>
        <w:szCs w:val="16"/>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nsid w:val="5D0540A9"/>
    <w:multiLevelType w:val="multilevel"/>
    <w:tmpl w:val="0588A4BC"/>
    <w:name w:val="AppendicesNumbering"/>
    <w:lvl w:ilvl="0">
      <w:start w:val="1"/>
      <w:numFmt w:val="upperLetter"/>
      <w:pStyle w:val="Heading8"/>
      <w:suff w:val="nothing"/>
      <w:lvlText w:val="Appendix %1"/>
      <w:lvlJc w:val="left"/>
      <w:pPr>
        <w:ind w:left="0" w:firstLine="0"/>
      </w:pPr>
      <w:rPr>
        <w:rFonts w:hint="default"/>
        <w:b w:val="0"/>
        <w:i w:val="0"/>
        <w:sz w:val="40"/>
      </w:rPr>
    </w:lvl>
    <w:lvl w:ilvl="1">
      <w:start w:val="1"/>
      <w:numFmt w:val="decimal"/>
      <w:pStyle w:val="Heading9"/>
      <w:lvlText w:val="%1%2."/>
      <w:lvlJc w:val="left"/>
      <w:pPr>
        <w:tabs>
          <w:tab w:val="num" w:pos="765"/>
        </w:tabs>
        <w:ind w:left="765" w:hanging="765"/>
      </w:pPr>
      <w:rPr>
        <w:rFonts w:hint="default"/>
        <w:sz w:val="26"/>
      </w:rPr>
    </w:lvl>
    <w:lvl w:ilvl="2">
      <w:start w:val="1"/>
      <w:numFmt w:val="decimal"/>
      <w:pStyle w:val="AppendixHeading2"/>
      <w:lvlText w:val="%1%2.%3"/>
      <w:lvlJc w:val="left"/>
      <w:pPr>
        <w:tabs>
          <w:tab w:val="num" w:pos="765"/>
        </w:tabs>
        <w:ind w:left="765" w:hanging="765"/>
      </w:pPr>
      <w:rPr>
        <w:rFonts w:hint="default"/>
      </w:rPr>
    </w:lvl>
    <w:lvl w:ilvl="3">
      <w:start w:val="1"/>
      <w:numFmt w:val="decimal"/>
      <w:pStyle w:val="AppendixHeading3"/>
      <w:lvlText w:val="%1%2.%3.%4"/>
      <w:lvlJc w:val="left"/>
      <w:pPr>
        <w:tabs>
          <w:tab w:val="num" w:pos="765"/>
        </w:tabs>
        <w:ind w:left="765" w:hanging="765"/>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14">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6">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3"/>
  </w:num>
  <w:num w:numId="2">
    <w:abstractNumId w:val="13"/>
  </w:num>
  <w:num w:numId="3">
    <w:abstractNumId w:val="13"/>
  </w:num>
  <w:num w:numId="4">
    <w:abstractNumId w:val="13"/>
  </w:num>
  <w:num w:numId="5">
    <w:abstractNumId w:val="5"/>
  </w:num>
  <w:num w:numId="6">
    <w:abstractNumId w:val="6"/>
  </w:num>
  <w:num w:numId="7">
    <w:abstractNumId w:val="3"/>
  </w:num>
  <w:num w:numId="8">
    <w:abstractNumId w:val="6"/>
  </w:num>
  <w:num w:numId="9">
    <w:abstractNumId w:val="2"/>
  </w:num>
  <w:num w:numId="10">
    <w:abstractNumId w:val="6"/>
  </w:num>
  <w:num w:numId="11">
    <w:abstractNumId w:val="4"/>
  </w:num>
  <w:num w:numId="12">
    <w:abstractNumId w:val="16"/>
  </w:num>
  <w:num w:numId="13">
    <w:abstractNumId w:val="1"/>
  </w:num>
  <w:num w:numId="14">
    <w:abstractNumId w:val="16"/>
  </w:num>
  <w:num w:numId="15">
    <w:abstractNumId w:val="0"/>
  </w:num>
  <w:num w:numId="16">
    <w:abstractNumId w:val="16"/>
  </w:num>
  <w:num w:numId="17">
    <w:abstractNumId w:val="12"/>
  </w:num>
  <w:num w:numId="18">
    <w:abstractNumId w:val="12"/>
  </w:num>
  <w:num w:numId="19">
    <w:abstractNumId w:val="12"/>
  </w:num>
  <w:num w:numId="20">
    <w:abstractNumId w:val="11"/>
  </w:num>
  <w:num w:numId="21">
    <w:abstractNumId w:val="11"/>
  </w:num>
  <w:num w:numId="22">
    <w:abstractNumId w:val="11"/>
  </w:num>
  <w:num w:numId="23">
    <w:abstractNumId w:val="15"/>
  </w:num>
  <w:num w:numId="24">
    <w:abstractNumId w:val="15"/>
  </w:num>
  <w:num w:numId="25">
    <w:abstractNumId w:val="8"/>
  </w:num>
  <w:num w:numId="26">
    <w:abstractNumId w:val="9"/>
  </w:num>
  <w:num w:numId="27">
    <w:abstractNumId w:val="9"/>
  </w:num>
  <w:num w:numId="28">
    <w:abstractNumId w:val="9"/>
  </w:num>
  <w:num w:numId="29">
    <w:abstractNumId w:val="14"/>
  </w:num>
  <w:num w:numId="30">
    <w:abstractNumId w:val="14"/>
  </w:num>
  <w:num w:numId="31">
    <w:abstractNumId w:val="14"/>
  </w:num>
  <w:num w:numId="32">
    <w:abstractNumId w:val="10"/>
  </w:num>
  <w:num w:numId="33">
    <w:abstractNumId w:val="7"/>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evenAndOddHeaders/>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False"/>
    <w:docVar w:name="AppendixName" w:val="Appendix"/>
    <w:docVar w:name="Disclaimer" w:val="True"/>
    <w:docVar w:name="Foreword" w:val="True"/>
    <w:docVar w:name="Heading1Numbered" w:val="True"/>
    <w:docVar w:name="Heading2Numbered" w:val="True"/>
    <w:docVar w:name="Heading3Numbered" w:val="True"/>
    <w:docVar w:name="IsWordingOverview" w:val="True"/>
    <w:docVar w:name="NumberedBodyText" w:val="False"/>
    <w:docVar w:name="optHeading1OddPage" w:val="False"/>
    <w:docVar w:name="Overview" w:val="True"/>
    <w:docVar w:name="PageSetup" w:val="Double"/>
    <w:docVar w:name="RibbonLabel" w:val="Appendix"/>
    <w:docVar w:name="TOC" w:val="True"/>
    <w:docVar w:name="TOCNew" w:val="False"/>
    <w:docVar w:name="Version" w:val="Version 1"/>
  </w:docVars>
  <w:rsids>
    <w:rsidRoot w:val="00E31439"/>
    <w:rsid w:val="00002E11"/>
    <w:rsid w:val="0000322C"/>
    <w:rsid w:val="00003CDD"/>
    <w:rsid w:val="00006770"/>
    <w:rsid w:val="000168A7"/>
    <w:rsid w:val="00020036"/>
    <w:rsid w:val="000278D0"/>
    <w:rsid w:val="00027E62"/>
    <w:rsid w:val="000307C8"/>
    <w:rsid w:val="00030F73"/>
    <w:rsid w:val="00032AAB"/>
    <w:rsid w:val="00035ADE"/>
    <w:rsid w:val="0004224B"/>
    <w:rsid w:val="00046226"/>
    <w:rsid w:val="000478A0"/>
    <w:rsid w:val="0005330D"/>
    <w:rsid w:val="0005434A"/>
    <w:rsid w:val="000557A7"/>
    <w:rsid w:val="00055805"/>
    <w:rsid w:val="00056CB3"/>
    <w:rsid w:val="000669F1"/>
    <w:rsid w:val="00067A28"/>
    <w:rsid w:val="0007183C"/>
    <w:rsid w:val="00072233"/>
    <w:rsid w:val="0007260F"/>
    <w:rsid w:val="000805D5"/>
    <w:rsid w:val="0008103B"/>
    <w:rsid w:val="00083421"/>
    <w:rsid w:val="00085607"/>
    <w:rsid w:val="00085B61"/>
    <w:rsid w:val="00085F97"/>
    <w:rsid w:val="00092A33"/>
    <w:rsid w:val="00097A1B"/>
    <w:rsid w:val="000A07EF"/>
    <w:rsid w:val="000A2FEC"/>
    <w:rsid w:val="000A348F"/>
    <w:rsid w:val="000A358B"/>
    <w:rsid w:val="000A3D56"/>
    <w:rsid w:val="000B2288"/>
    <w:rsid w:val="000B6942"/>
    <w:rsid w:val="000C09FA"/>
    <w:rsid w:val="000C37A9"/>
    <w:rsid w:val="000C6728"/>
    <w:rsid w:val="000C702E"/>
    <w:rsid w:val="000D0AA4"/>
    <w:rsid w:val="000D15E9"/>
    <w:rsid w:val="000D3182"/>
    <w:rsid w:val="000D45C4"/>
    <w:rsid w:val="000E18F3"/>
    <w:rsid w:val="000E266E"/>
    <w:rsid w:val="000F1515"/>
    <w:rsid w:val="000F16B5"/>
    <w:rsid w:val="000F5A3E"/>
    <w:rsid w:val="000F616E"/>
    <w:rsid w:val="0010789E"/>
    <w:rsid w:val="00110D43"/>
    <w:rsid w:val="001159EA"/>
    <w:rsid w:val="001167F7"/>
    <w:rsid w:val="001246D3"/>
    <w:rsid w:val="00125410"/>
    <w:rsid w:val="001277FA"/>
    <w:rsid w:val="00130858"/>
    <w:rsid w:val="00131A8B"/>
    <w:rsid w:val="00136C26"/>
    <w:rsid w:val="00137AD4"/>
    <w:rsid w:val="0014059F"/>
    <w:rsid w:val="00141551"/>
    <w:rsid w:val="001417CE"/>
    <w:rsid w:val="0014479F"/>
    <w:rsid w:val="00146E7C"/>
    <w:rsid w:val="001521C5"/>
    <w:rsid w:val="00154DC5"/>
    <w:rsid w:val="00160C8D"/>
    <w:rsid w:val="001629C0"/>
    <w:rsid w:val="00165122"/>
    <w:rsid w:val="00165854"/>
    <w:rsid w:val="00173DFD"/>
    <w:rsid w:val="00174CC7"/>
    <w:rsid w:val="0017611D"/>
    <w:rsid w:val="00180FF9"/>
    <w:rsid w:val="0019487D"/>
    <w:rsid w:val="00195228"/>
    <w:rsid w:val="00195696"/>
    <w:rsid w:val="00196532"/>
    <w:rsid w:val="001A1EFC"/>
    <w:rsid w:val="001A48EF"/>
    <w:rsid w:val="001A49CC"/>
    <w:rsid w:val="001A5553"/>
    <w:rsid w:val="001A716E"/>
    <w:rsid w:val="001B2C65"/>
    <w:rsid w:val="001B7058"/>
    <w:rsid w:val="001C3A4F"/>
    <w:rsid w:val="001C4121"/>
    <w:rsid w:val="001C48DE"/>
    <w:rsid w:val="001D43CF"/>
    <w:rsid w:val="001D52E3"/>
    <w:rsid w:val="001D576F"/>
    <w:rsid w:val="001D7C29"/>
    <w:rsid w:val="001E0475"/>
    <w:rsid w:val="001E6F54"/>
    <w:rsid w:val="001F0918"/>
    <w:rsid w:val="001F1F4E"/>
    <w:rsid w:val="001F5C90"/>
    <w:rsid w:val="001F73D7"/>
    <w:rsid w:val="001F767C"/>
    <w:rsid w:val="0021025A"/>
    <w:rsid w:val="00210FCF"/>
    <w:rsid w:val="00212C70"/>
    <w:rsid w:val="002134CC"/>
    <w:rsid w:val="00222EFF"/>
    <w:rsid w:val="002240D5"/>
    <w:rsid w:val="002261A7"/>
    <w:rsid w:val="00226AEC"/>
    <w:rsid w:val="00230BCD"/>
    <w:rsid w:val="002328C1"/>
    <w:rsid w:val="002545F3"/>
    <w:rsid w:val="00256D9B"/>
    <w:rsid w:val="00261DE2"/>
    <w:rsid w:val="0026344F"/>
    <w:rsid w:val="00266A17"/>
    <w:rsid w:val="00270372"/>
    <w:rsid w:val="0027300B"/>
    <w:rsid w:val="00275534"/>
    <w:rsid w:val="00277075"/>
    <w:rsid w:val="002775D2"/>
    <w:rsid w:val="00280323"/>
    <w:rsid w:val="00281ADD"/>
    <w:rsid w:val="0029380C"/>
    <w:rsid w:val="00293E0D"/>
    <w:rsid w:val="00293E80"/>
    <w:rsid w:val="002973B0"/>
    <w:rsid w:val="00297C14"/>
    <w:rsid w:val="002A21EF"/>
    <w:rsid w:val="002A220F"/>
    <w:rsid w:val="002A24F1"/>
    <w:rsid w:val="002A5778"/>
    <w:rsid w:val="002B00E6"/>
    <w:rsid w:val="002B1E84"/>
    <w:rsid w:val="002B2085"/>
    <w:rsid w:val="002B2090"/>
    <w:rsid w:val="002B213D"/>
    <w:rsid w:val="002B3EC4"/>
    <w:rsid w:val="002B415D"/>
    <w:rsid w:val="002C2BBB"/>
    <w:rsid w:val="002C37D5"/>
    <w:rsid w:val="002C3E4F"/>
    <w:rsid w:val="002D34DB"/>
    <w:rsid w:val="002D4B11"/>
    <w:rsid w:val="002E0357"/>
    <w:rsid w:val="002E5633"/>
    <w:rsid w:val="002F1963"/>
    <w:rsid w:val="002F5B6E"/>
    <w:rsid w:val="002F61B5"/>
    <w:rsid w:val="0030209B"/>
    <w:rsid w:val="003111D7"/>
    <w:rsid w:val="00311E2E"/>
    <w:rsid w:val="003127E4"/>
    <w:rsid w:val="00313215"/>
    <w:rsid w:val="003174C3"/>
    <w:rsid w:val="00323396"/>
    <w:rsid w:val="0032557A"/>
    <w:rsid w:val="00332CAF"/>
    <w:rsid w:val="00335FC8"/>
    <w:rsid w:val="003366A8"/>
    <w:rsid w:val="00340778"/>
    <w:rsid w:val="00344D2C"/>
    <w:rsid w:val="003458CE"/>
    <w:rsid w:val="00345A57"/>
    <w:rsid w:val="00346D90"/>
    <w:rsid w:val="00351F62"/>
    <w:rsid w:val="003601F4"/>
    <w:rsid w:val="00362E25"/>
    <w:rsid w:val="003671E2"/>
    <w:rsid w:val="00367564"/>
    <w:rsid w:val="00372AE6"/>
    <w:rsid w:val="003746FE"/>
    <w:rsid w:val="003837E1"/>
    <w:rsid w:val="0038584D"/>
    <w:rsid w:val="0039257F"/>
    <w:rsid w:val="003931DE"/>
    <w:rsid w:val="003934E7"/>
    <w:rsid w:val="00397D1A"/>
    <w:rsid w:val="003A14F3"/>
    <w:rsid w:val="003A163C"/>
    <w:rsid w:val="003A2B4E"/>
    <w:rsid w:val="003A2FBB"/>
    <w:rsid w:val="003A3799"/>
    <w:rsid w:val="003A4913"/>
    <w:rsid w:val="003A4C22"/>
    <w:rsid w:val="003A54A9"/>
    <w:rsid w:val="003A7083"/>
    <w:rsid w:val="003B38B3"/>
    <w:rsid w:val="003B3A97"/>
    <w:rsid w:val="003B3D43"/>
    <w:rsid w:val="003B3D44"/>
    <w:rsid w:val="003C3459"/>
    <w:rsid w:val="003C4F49"/>
    <w:rsid w:val="003C6DF2"/>
    <w:rsid w:val="003C7CC2"/>
    <w:rsid w:val="003D303E"/>
    <w:rsid w:val="003D50B6"/>
    <w:rsid w:val="003E05DF"/>
    <w:rsid w:val="003E2D0A"/>
    <w:rsid w:val="003E5592"/>
    <w:rsid w:val="003E6085"/>
    <w:rsid w:val="003E6CA3"/>
    <w:rsid w:val="003F4C96"/>
    <w:rsid w:val="003F61F7"/>
    <w:rsid w:val="0040296E"/>
    <w:rsid w:val="00406002"/>
    <w:rsid w:val="00406AD3"/>
    <w:rsid w:val="004075D9"/>
    <w:rsid w:val="00411413"/>
    <w:rsid w:val="00412E42"/>
    <w:rsid w:val="004232D1"/>
    <w:rsid w:val="00423D26"/>
    <w:rsid w:val="00426356"/>
    <w:rsid w:val="00426929"/>
    <w:rsid w:val="004271BE"/>
    <w:rsid w:val="004411F0"/>
    <w:rsid w:val="00442C16"/>
    <w:rsid w:val="004456BF"/>
    <w:rsid w:val="00446439"/>
    <w:rsid w:val="00450BDA"/>
    <w:rsid w:val="00453A3E"/>
    <w:rsid w:val="0045452F"/>
    <w:rsid w:val="004557C3"/>
    <w:rsid w:val="0045766B"/>
    <w:rsid w:val="00461F34"/>
    <w:rsid w:val="0046299F"/>
    <w:rsid w:val="004654B1"/>
    <w:rsid w:val="0046551F"/>
    <w:rsid w:val="00474BB7"/>
    <w:rsid w:val="004816D7"/>
    <w:rsid w:val="0048342E"/>
    <w:rsid w:val="00487478"/>
    <w:rsid w:val="0048782D"/>
    <w:rsid w:val="00494DC1"/>
    <w:rsid w:val="004A3F56"/>
    <w:rsid w:val="004A5E21"/>
    <w:rsid w:val="004A666A"/>
    <w:rsid w:val="004A7CED"/>
    <w:rsid w:val="004B04C7"/>
    <w:rsid w:val="004B143F"/>
    <w:rsid w:val="004B49A0"/>
    <w:rsid w:val="004B5170"/>
    <w:rsid w:val="004C0BC8"/>
    <w:rsid w:val="004C39E2"/>
    <w:rsid w:val="004C6306"/>
    <w:rsid w:val="004C6F5E"/>
    <w:rsid w:val="004C7E94"/>
    <w:rsid w:val="004D7CF8"/>
    <w:rsid w:val="004D7EDA"/>
    <w:rsid w:val="004E01A4"/>
    <w:rsid w:val="004E0E49"/>
    <w:rsid w:val="004E197A"/>
    <w:rsid w:val="004E3C25"/>
    <w:rsid w:val="004E5D52"/>
    <w:rsid w:val="004F07D7"/>
    <w:rsid w:val="004F1297"/>
    <w:rsid w:val="004F16DB"/>
    <w:rsid w:val="004F4D7E"/>
    <w:rsid w:val="004F4EE3"/>
    <w:rsid w:val="004F5B16"/>
    <w:rsid w:val="004F5D9D"/>
    <w:rsid w:val="004F68E5"/>
    <w:rsid w:val="004F741B"/>
    <w:rsid w:val="00500CB0"/>
    <w:rsid w:val="00503253"/>
    <w:rsid w:val="00503BB0"/>
    <w:rsid w:val="00503E03"/>
    <w:rsid w:val="00512226"/>
    <w:rsid w:val="00512F5D"/>
    <w:rsid w:val="005147C6"/>
    <w:rsid w:val="005159B1"/>
    <w:rsid w:val="00522502"/>
    <w:rsid w:val="005255A1"/>
    <w:rsid w:val="0052641C"/>
    <w:rsid w:val="00535286"/>
    <w:rsid w:val="00537734"/>
    <w:rsid w:val="0053795D"/>
    <w:rsid w:val="00544522"/>
    <w:rsid w:val="005468AB"/>
    <w:rsid w:val="005475A2"/>
    <w:rsid w:val="005501A0"/>
    <w:rsid w:val="00550831"/>
    <w:rsid w:val="00554273"/>
    <w:rsid w:val="005642B6"/>
    <w:rsid w:val="00571D5E"/>
    <w:rsid w:val="00577406"/>
    <w:rsid w:val="005823D0"/>
    <w:rsid w:val="00584CFE"/>
    <w:rsid w:val="005871F8"/>
    <w:rsid w:val="005A2748"/>
    <w:rsid w:val="005A443F"/>
    <w:rsid w:val="005B58D4"/>
    <w:rsid w:val="005C07B3"/>
    <w:rsid w:val="005C284E"/>
    <w:rsid w:val="005C2E27"/>
    <w:rsid w:val="005C43D0"/>
    <w:rsid w:val="005C47D4"/>
    <w:rsid w:val="005C649F"/>
    <w:rsid w:val="005C6CDC"/>
    <w:rsid w:val="005D51D0"/>
    <w:rsid w:val="005D6F83"/>
    <w:rsid w:val="005D7877"/>
    <w:rsid w:val="005D7CCF"/>
    <w:rsid w:val="005E2A36"/>
    <w:rsid w:val="005E2E14"/>
    <w:rsid w:val="005E58C4"/>
    <w:rsid w:val="005E5D8F"/>
    <w:rsid w:val="005F049D"/>
    <w:rsid w:val="005F1609"/>
    <w:rsid w:val="005F3118"/>
    <w:rsid w:val="005F5A5C"/>
    <w:rsid w:val="005F5CD9"/>
    <w:rsid w:val="00600B4B"/>
    <w:rsid w:val="0061135C"/>
    <w:rsid w:val="006136DD"/>
    <w:rsid w:val="006149F0"/>
    <w:rsid w:val="00621264"/>
    <w:rsid w:val="006220A5"/>
    <w:rsid w:val="00622D14"/>
    <w:rsid w:val="00624AC8"/>
    <w:rsid w:val="00633C60"/>
    <w:rsid w:val="0064126D"/>
    <w:rsid w:val="006451B8"/>
    <w:rsid w:val="00645722"/>
    <w:rsid w:val="00646DFE"/>
    <w:rsid w:val="00652432"/>
    <w:rsid w:val="0065292B"/>
    <w:rsid w:val="00657840"/>
    <w:rsid w:val="0066003C"/>
    <w:rsid w:val="0066041E"/>
    <w:rsid w:val="006622DF"/>
    <w:rsid w:val="00671E13"/>
    <w:rsid w:val="0067243C"/>
    <w:rsid w:val="00672592"/>
    <w:rsid w:val="00673560"/>
    <w:rsid w:val="00673CCC"/>
    <w:rsid w:val="00675C98"/>
    <w:rsid w:val="00683195"/>
    <w:rsid w:val="00687153"/>
    <w:rsid w:val="0069026B"/>
    <w:rsid w:val="00693118"/>
    <w:rsid w:val="006956EA"/>
    <w:rsid w:val="006A2624"/>
    <w:rsid w:val="006A490C"/>
    <w:rsid w:val="006A4D47"/>
    <w:rsid w:val="006B4B36"/>
    <w:rsid w:val="006B4F7D"/>
    <w:rsid w:val="006C114C"/>
    <w:rsid w:val="006C2053"/>
    <w:rsid w:val="006C3864"/>
    <w:rsid w:val="006C5383"/>
    <w:rsid w:val="006C5E72"/>
    <w:rsid w:val="006D2AEC"/>
    <w:rsid w:val="006D358D"/>
    <w:rsid w:val="006D4C8E"/>
    <w:rsid w:val="006D5EAF"/>
    <w:rsid w:val="006E1579"/>
    <w:rsid w:val="006E17AB"/>
    <w:rsid w:val="006E19D1"/>
    <w:rsid w:val="006E1CBB"/>
    <w:rsid w:val="006E286F"/>
    <w:rsid w:val="006F100B"/>
    <w:rsid w:val="006F239A"/>
    <w:rsid w:val="006F2C9D"/>
    <w:rsid w:val="0070637D"/>
    <w:rsid w:val="007071DD"/>
    <w:rsid w:val="0070771F"/>
    <w:rsid w:val="00712A14"/>
    <w:rsid w:val="007146D6"/>
    <w:rsid w:val="00716C04"/>
    <w:rsid w:val="00717180"/>
    <w:rsid w:val="007179D2"/>
    <w:rsid w:val="00720750"/>
    <w:rsid w:val="0072549C"/>
    <w:rsid w:val="00725A80"/>
    <w:rsid w:val="00730045"/>
    <w:rsid w:val="00733970"/>
    <w:rsid w:val="0074034A"/>
    <w:rsid w:val="00741A2A"/>
    <w:rsid w:val="007513A0"/>
    <w:rsid w:val="00754C58"/>
    <w:rsid w:val="00755A5A"/>
    <w:rsid w:val="007679AF"/>
    <w:rsid w:val="007744C7"/>
    <w:rsid w:val="00776E78"/>
    <w:rsid w:val="00777AA1"/>
    <w:rsid w:val="0078138A"/>
    <w:rsid w:val="00782496"/>
    <w:rsid w:val="00783014"/>
    <w:rsid w:val="007834DC"/>
    <w:rsid w:val="00791A91"/>
    <w:rsid w:val="007959D8"/>
    <w:rsid w:val="0079630F"/>
    <w:rsid w:val="007A04C2"/>
    <w:rsid w:val="007B146A"/>
    <w:rsid w:val="007B5728"/>
    <w:rsid w:val="007C0E7C"/>
    <w:rsid w:val="007C0EAA"/>
    <w:rsid w:val="007C44B2"/>
    <w:rsid w:val="007C472C"/>
    <w:rsid w:val="007C6496"/>
    <w:rsid w:val="007C745E"/>
    <w:rsid w:val="007E3F8C"/>
    <w:rsid w:val="007F1C60"/>
    <w:rsid w:val="007F2058"/>
    <w:rsid w:val="007F7685"/>
    <w:rsid w:val="0080011D"/>
    <w:rsid w:val="00800EA5"/>
    <w:rsid w:val="00801C01"/>
    <w:rsid w:val="00812EBA"/>
    <w:rsid w:val="008130BB"/>
    <w:rsid w:val="008151E3"/>
    <w:rsid w:val="00821AD6"/>
    <w:rsid w:val="00822EF6"/>
    <w:rsid w:val="008237FA"/>
    <w:rsid w:val="00825D37"/>
    <w:rsid w:val="00835CB0"/>
    <w:rsid w:val="008369B0"/>
    <w:rsid w:val="008516F2"/>
    <w:rsid w:val="00852BC0"/>
    <w:rsid w:val="0085732C"/>
    <w:rsid w:val="00860B45"/>
    <w:rsid w:val="00863860"/>
    <w:rsid w:val="008638B5"/>
    <w:rsid w:val="00867EC1"/>
    <w:rsid w:val="00872606"/>
    <w:rsid w:val="008734DB"/>
    <w:rsid w:val="0087390B"/>
    <w:rsid w:val="008745A1"/>
    <w:rsid w:val="008768E9"/>
    <w:rsid w:val="0087751B"/>
    <w:rsid w:val="00890995"/>
    <w:rsid w:val="008914FB"/>
    <w:rsid w:val="00896711"/>
    <w:rsid w:val="00897E99"/>
    <w:rsid w:val="008A4829"/>
    <w:rsid w:val="008A5ADB"/>
    <w:rsid w:val="008A6645"/>
    <w:rsid w:val="008A777E"/>
    <w:rsid w:val="008B1FB1"/>
    <w:rsid w:val="008B2384"/>
    <w:rsid w:val="008B38D6"/>
    <w:rsid w:val="008B4802"/>
    <w:rsid w:val="008B4A3A"/>
    <w:rsid w:val="008B5FCC"/>
    <w:rsid w:val="008B69E3"/>
    <w:rsid w:val="008C1FD1"/>
    <w:rsid w:val="008C24A8"/>
    <w:rsid w:val="008C35EF"/>
    <w:rsid w:val="008C5996"/>
    <w:rsid w:val="008D5A11"/>
    <w:rsid w:val="008D5E23"/>
    <w:rsid w:val="008E6D59"/>
    <w:rsid w:val="008F5D66"/>
    <w:rsid w:val="008F60DF"/>
    <w:rsid w:val="00900F55"/>
    <w:rsid w:val="009028AA"/>
    <w:rsid w:val="00903E3F"/>
    <w:rsid w:val="009049C3"/>
    <w:rsid w:val="009057D9"/>
    <w:rsid w:val="0090774A"/>
    <w:rsid w:val="00910D07"/>
    <w:rsid w:val="00914B2F"/>
    <w:rsid w:val="009150E6"/>
    <w:rsid w:val="00917F89"/>
    <w:rsid w:val="009224F5"/>
    <w:rsid w:val="00924FEF"/>
    <w:rsid w:val="009255EE"/>
    <w:rsid w:val="00925603"/>
    <w:rsid w:val="00925F76"/>
    <w:rsid w:val="00926C62"/>
    <w:rsid w:val="00932E89"/>
    <w:rsid w:val="0093359D"/>
    <w:rsid w:val="00933F2B"/>
    <w:rsid w:val="00942EEB"/>
    <w:rsid w:val="0094468E"/>
    <w:rsid w:val="00945261"/>
    <w:rsid w:val="009458A9"/>
    <w:rsid w:val="009506A5"/>
    <w:rsid w:val="009541CC"/>
    <w:rsid w:val="00956564"/>
    <w:rsid w:val="00956D5A"/>
    <w:rsid w:val="0096075A"/>
    <w:rsid w:val="00961B2C"/>
    <w:rsid w:val="00961DBB"/>
    <w:rsid w:val="0096618E"/>
    <w:rsid w:val="00973356"/>
    <w:rsid w:val="0097741F"/>
    <w:rsid w:val="00981433"/>
    <w:rsid w:val="0098483E"/>
    <w:rsid w:val="009859D8"/>
    <w:rsid w:val="00985C07"/>
    <w:rsid w:val="00990D4D"/>
    <w:rsid w:val="00995B4F"/>
    <w:rsid w:val="00997582"/>
    <w:rsid w:val="009A2C21"/>
    <w:rsid w:val="009A3E58"/>
    <w:rsid w:val="009A58CD"/>
    <w:rsid w:val="009A5F02"/>
    <w:rsid w:val="009A68E7"/>
    <w:rsid w:val="009A7AB1"/>
    <w:rsid w:val="009C37CD"/>
    <w:rsid w:val="009C6DAA"/>
    <w:rsid w:val="009D0E74"/>
    <w:rsid w:val="009D1A96"/>
    <w:rsid w:val="009D370B"/>
    <w:rsid w:val="009D4D02"/>
    <w:rsid w:val="009E131F"/>
    <w:rsid w:val="009E2087"/>
    <w:rsid w:val="009E252B"/>
    <w:rsid w:val="009E2AFF"/>
    <w:rsid w:val="009E3265"/>
    <w:rsid w:val="009E3353"/>
    <w:rsid w:val="009E446D"/>
    <w:rsid w:val="009E4CD6"/>
    <w:rsid w:val="009E7C09"/>
    <w:rsid w:val="009F0248"/>
    <w:rsid w:val="009F146D"/>
    <w:rsid w:val="009F4F1E"/>
    <w:rsid w:val="009F7BC5"/>
    <w:rsid w:val="00A015E4"/>
    <w:rsid w:val="00A04D42"/>
    <w:rsid w:val="00A075BC"/>
    <w:rsid w:val="00A11222"/>
    <w:rsid w:val="00A12C39"/>
    <w:rsid w:val="00A134FB"/>
    <w:rsid w:val="00A20802"/>
    <w:rsid w:val="00A22D06"/>
    <w:rsid w:val="00A25B4F"/>
    <w:rsid w:val="00A3599B"/>
    <w:rsid w:val="00A359BC"/>
    <w:rsid w:val="00A442BF"/>
    <w:rsid w:val="00A44E48"/>
    <w:rsid w:val="00A455AC"/>
    <w:rsid w:val="00A45D8F"/>
    <w:rsid w:val="00A53716"/>
    <w:rsid w:val="00A5629E"/>
    <w:rsid w:val="00A60685"/>
    <w:rsid w:val="00A61847"/>
    <w:rsid w:val="00A61CA1"/>
    <w:rsid w:val="00A64832"/>
    <w:rsid w:val="00A65324"/>
    <w:rsid w:val="00A732DB"/>
    <w:rsid w:val="00A7481E"/>
    <w:rsid w:val="00A86F04"/>
    <w:rsid w:val="00A90409"/>
    <w:rsid w:val="00A932B6"/>
    <w:rsid w:val="00A93580"/>
    <w:rsid w:val="00A946C4"/>
    <w:rsid w:val="00AB1931"/>
    <w:rsid w:val="00AB447D"/>
    <w:rsid w:val="00AB7255"/>
    <w:rsid w:val="00AC01F8"/>
    <w:rsid w:val="00AC059A"/>
    <w:rsid w:val="00AC19D0"/>
    <w:rsid w:val="00AC5096"/>
    <w:rsid w:val="00AD0308"/>
    <w:rsid w:val="00AD2996"/>
    <w:rsid w:val="00AD377A"/>
    <w:rsid w:val="00AD67BB"/>
    <w:rsid w:val="00AE1CC1"/>
    <w:rsid w:val="00AE3EA4"/>
    <w:rsid w:val="00AE6D0C"/>
    <w:rsid w:val="00AF1B02"/>
    <w:rsid w:val="00AF41E4"/>
    <w:rsid w:val="00AF676F"/>
    <w:rsid w:val="00B06A75"/>
    <w:rsid w:val="00B06BC3"/>
    <w:rsid w:val="00B07472"/>
    <w:rsid w:val="00B10749"/>
    <w:rsid w:val="00B12E41"/>
    <w:rsid w:val="00B13342"/>
    <w:rsid w:val="00B1512F"/>
    <w:rsid w:val="00B15A0F"/>
    <w:rsid w:val="00B20236"/>
    <w:rsid w:val="00B20937"/>
    <w:rsid w:val="00B220A0"/>
    <w:rsid w:val="00B22B64"/>
    <w:rsid w:val="00B22FEA"/>
    <w:rsid w:val="00B24321"/>
    <w:rsid w:val="00B24327"/>
    <w:rsid w:val="00B265BD"/>
    <w:rsid w:val="00B30FEB"/>
    <w:rsid w:val="00B40AA3"/>
    <w:rsid w:val="00B44478"/>
    <w:rsid w:val="00B5005D"/>
    <w:rsid w:val="00B57531"/>
    <w:rsid w:val="00B6002C"/>
    <w:rsid w:val="00B612D6"/>
    <w:rsid w:val="00B620EE"/>
    <w:rsid w:val="00B64B0E"/>
    <w:rsid w:val="00B846D5"/>
    <w:rsid w:val="00B84AFC"/>
    <w:rsid w:val="00B85366"/>
    <w:rsid w:val="00B85F8A"/>
    <w:rsid w:val="00B87F60"/>
    <w:rsid w:val="00B93D3D"/>
    <w:rsid w:val="00B95C76"/>
    <w:rsid w:val="00B96F74"/>
    <w:rsid w:val="00BA471F"/>
    <w:rsid w:val="00BA6041"/>
    <w:rsid w:val="00BB5013"/>
    <w:rsid w:val="00BB528E"/>
    <w:rsid w:val="00BC0768"/>
    <w:rsid w:val="00BC2600"/>
    <w:rsid w:val="00BC36F0"/>
    <w:rsid w:val="00BC4FA7"/>
    <w:rsid w:val="00BC5E30"/>
    <w:rsid w:val="00BD02C5"/>
    <w:rsid w:val="00BD068D"/>
    <w:rsid w:val="00BD5185"/>
    <w:rsid w:val="00BE0D9A"/>
    <w:rsid w:val="00BE1A50"/>
    <w:rsid w:val="00BE2F0D"/>
    <w:rsid w:val="00BE3D52"/>
    <w:rsid w:val="00BE4697"/>
    <w:rsid w:val="00BF0BD5"/>
    <w:rsid w:val="00BF2666"/>
    <w:rsid w:val="00BF55F8"/>
    <w:rsid w:val="00BF5654"/>
    <w:rsid w:val="00C051FD"/>
    <w:rsid w:val="00C20C7D"/>
    <w:rsid w:val="00C20DEF"/>
    <w:rsid w:val="00C21DEF"/>
    <w:rsid w:val="00C24B25"/>
    <w:rsid w:val="00C27985"/>
    <w:rsid w:val="00C326D4"/>
    <w:rsid w:val="00C32C2F"/>
    <w:rsid w:val="00C33D8B"/>
    <w:rsid w:val="00C359D7"/>
    <w:rsid w:val="00C3738A"/>
    <w:rsid w:val="00C41BD8"/>
    <w:rsid w:val="00C41C3F"/>
    <w:rsid w:val="00C4315A"/>
    <w:rsid w:val="00C43F5E"/>
    <w:rsid w:val="00C44074"/>
    <w:rsid w:val="00C4651F"/>
    <w:rsid w:val="00C509CE"/>
    <w:rsid w:val="00C51D0B"/>
    <w:rsid w:val="00C52A50"/>
    <w:rsid w:val="00C6342F"/>
    <w:rsid w:val="00C642D4"/>
    <w:rsid w:val="00C664C1"/>
    <w:rsid w:val="00C6786A"/>
    <w:rsid w:val="00C730F4"/>
    <w:rsid w:val="00C754F8"/>
    <w:rsid w:val="00C80200"/>
    <w:rsid w:val="00C8270B"/>
    <w:rsid w:val="00C841A9"/>
    <w:rsid w:val="00C85CB6"/>
    <w:rsid w:val="00C8728F"/>
    <w:rsid w:val="00C90235"/>
    <w:rsid w:val="00C95B4A"/>
    <w:rsid w:val="00C97FBC"/>
    <w:rsid w:val="00CA0B7E"/>
    <w:rsid w:val="00CA5598"/>
    <w:rsid w:val="00CA5EF8"/>
    <w:rsid w:val="00CB28A3"/>
    <w:rsid w:val="00CC00A0"/>
    <w:rsid w:val="00CC26BB"/>
    <w:rsid w:val="00CC5455"/>
    <w:rsid w:val="00CC6C06"/>
    <w:rsid w:val="00CD5509"/>
    <w:rsid w:val="00CD6E51"/>
    <w:rsid w:val="00CE1EB0"/>
    <w:rsid w:val="00CE3DF2"/>
    <w:rsid w:val="00CE7DA5"/>
    <w:rsid w:val="00CF0C0F"/>
    <w:rsid w:val="00CF1690"/>
    <w:rsid w:val="00CF1F2A"/>
    <w:rsid w:val="00CF5CE3"/>
    <w:rsid w:val="00CF7412"/>
    <w:rsid w:val="00D015BB"/>
    <w:rsid w:val="00D030F8"/>
    <w:rsid w:val="00D03DE4"/>
    <w:rsid w:val="00D04D24"/>
    <w:rsid w:val="00D077B7"/>
    <w:rsid w:val="00D10101"/>
    <w:rsid w:val="00D14B66"/>
    <w:rsid w:val="00D20297"/>
    <w:rsid w:val="00D21E6B"/>
    <w:rsid w:val="00D23634"/>
    <w:rsid w:val="00D25047"/>
    <w:rsid w:val="00D34551"/>
    <w:rsid w:val="00D42FEB"/>
    <w:rsid w:val="00D457D6"/>
    <w:rsid w:val="00D4609F"/>
    <w:rsid w:val="00D5061C"/>
    <w:rsid w:val="00D506F0"/>
    <w:rsid w:val="00D51E66"/>
    <w:rsid w:val="00D56699"/>
    <w:rsid w:val="00D64CE2"/>
    <w:rsid w:val="00D64ED2"/>
    <w:rsid w:val="00D65413"/>
    <w:rsid w:val="00D74F1D"/>
    <w:rsid w:val="00D7751B"/>
    <w:rsid w:val="00D815DC"/>
    <w:rsid w:val="00D822B5"/>
    <w:rsid w:val="00D83D3C"/>
    <w:rsid w:val="00D8613C"/>
    <w:rsid w:val="00D867AE"/>
    <w:rsid w:val="00D87BBB"/>
    <w:rsid w:val="00D87C87"/>
    <w:rsid w:val="00D921C4"/>
    <w:rsid w:val="00D9296A"/>
    <w:rsid w:val="00D93C23"/>
    <w:rsid w:val="00D95185"/>
    <w:rsid w:val="00D95638"/>
    <w:rsid w:val="00D9584C"/>
    <w:rsid w:val="00D96C4A"/>
    <w:rsid w:val="00DA14D9"/>
    <w:rsid w:val="00DB13AD"/>
    <w:rsid w:val="00DB23F9"/>
    <w:rsid w:val="00DB3759"/>
    <w:rsid w:val="00DB58BE"/>
    <w:rsid w:val="00DB6176"/>
    <w:rsid w:val="00DB6AA0"/>
    <w:rsid w:val="00DB7AEC"/>
    <w:rsid w:val="00DB7C3A"/>
    <w:rsid w:val="00DD0FE7"/>
    <w:rsid w:val="00DD14C7"/>
    <w:rsid w:val="00DD32AB"/>
    <w:rsid w:val="00DD3B67"/>
    <w:rsid w:val="00DD5BF6"/>
    <w:rsid w:val="00DE1865"/>
    <w:rsid w:val="00DE6CEF"/>
    <w:rsid w:val="00DF11C2"/>
    <w:rsid w:val="00DF4593"/>
    <w:rsid w:val="00DF66D1"/>
    <w:rsid w:val="00E06182"/>
    <w:rsid w:val="00E109C5"/>
    <w:rsid w:val="00E10D05"/>
    <w:rsid w:val="00E2223E"/>
    <w:rsid w:val="00E22D98"/>
    <w:rsid w:val="00E24623"/>
    <w:rsid w:val="00E252E3"/>
    <w:rsid w:val="00E31439"/>
    <w:rsid w:val="00E325DF"/>
    <w:rsid w:val="00E33F80"/>
    <w:rsid w:val="00E40505"/>
    <w:rsid w:val="00E42A41"/>
    <w:rsid w:val="00E4397B"/>
    <w:rsid w:val="00E441E4"/>
    <w:rsid w:val="00E45766"/>
    <w:rsid w:val="00E567E5"/>
    <w:rsid w:val="00E6708B"/>
    <w:rsid w:val="00E73A8C"/>
    <w:rsid w:val="00E75050"/>
    <w:rsid w:val="00E76F42"/>
    <w:rsid w:val="00E80E20"/>
    <w:rsid w:val="00E85335"/>
    <w:rsid w:val="00E915E6"/>
    <w:rsid w:val="00E96293"/>
    <w:rsid w:val="00EA3E11"/>
    <w:rsid w:val="00EA43BB"/>
    <w:rsid w:val="00EA6EB3"/>
    <w:rsid w:val="00EB16B1"/>
    <w:rsid w:val="00EB4A8E"/>
    <w:rsid w:val="00EB5203"/>
    <w:rsid w:val="00EB5EF3"/>
    <w:rsid w:val="00EB695D"/>
    <w:rsid w:val="00EB7845"/>
    <w:rsid w:val="00ED39CE"/>
    <w:rsid w:val="00ED4134"/>
    <w:rsid w:val="00EE05F1"/>
    <w:rsid w:val="00EE471A"/>
    <w:rsid w:val="00EE5492"/>
    <w:rsid w:val="00EF68E3"/>
    <w:rsid w:val="00EF6FF3"/>
    <w:rsid w:val="00F00FE5"/>
    <w:rsid w:val="00F06453"/>
    <w:rsid w:val="00F07BD5"/>
    <w:rsid w:val="00F122D6"/>
    <w:rsid w:val="00F1365A"/>
    <w:rsid w:val="00F15BF4"/>
    <w:rsid w:val="00F17940"/>
    <w:rsid w:val="00F2046C"/>
    <w:rsid w:val="00F20647"/>
    <w:rsid w:val="00F219CB"/>
    <w:rsid w:val="00F244F5"/>
    <w:rsid w:val="00F25AE2"/>
    <w:rsid w:val="00F31392"/>
    <w:rsid w:val="00F31EF9"/>
    <w:rsid w:val="00F333DC"/>
    <w:rsid w:val="00F3430B"/>
    <w:rsid w:val="00F348B5"/>
    <w:rsid w:val="00F3652B"/>
    <w:rsid w:val="00F377B9"/>
    <w:rsid w:val="00F43CD7"/>
    <w:rsid w:val="00F45442"/>
    <w:rsid w:val="00F50DC3"/>
    <w:rsid w:val="00F5145E"/>
    <w:rsid w:val="00F5495D"/>
    <w:rsid w:val="00F558EA"/>
    <w:rsid w:val="00F613CB"/>
    <w:rsid w:val="00F61F79"/>
    <w:rsid w:val="00F656A4"/>
    <w:rsid w:val="00F6607A"/>
    <w:rsid w:val="00F6646E"/>
    <w:rsid w:val="00F6665E"/>
    <w:rsid w:val="00F7075F"/>
    <w:rsid w:val="00F71D76"/>
    <w:rsid w:val="00F74414"/>
    <w:rsid w:val="00F75B67"/>
    <w:rsid w:val="00F81EBA"/>
    <w:rsid w:val="00F8349F"/>
    <w:rsid w:val="00F83FB7"/>
    <w:rsid w:val="00F85935"/>
    <w:rsid w:val="00F85D29"/>
    <w:rsid w:val="00F871CD"/>
    <w:rsid w:val="00F90E64"/>
    <w:rsid w:val="00F9490A"/>
    <w:rsid w:val="00F969D3"/>
    <w:rsid w:val="00FA190E"/>
    <w:rsid w:val="00FA4FD8"/>
    <w:rsid w:val="00FA5341"/>
    <w:rsid w:val="00FA54D8"/>
    <w:rsid w:val="00FA7C0D"/>
    <w:rsid w:val="00FB38F2"/>
    <w:rsid w:val="00FC4FB7"/>
    <w:rsid w:val="00FD0171"/>
    <w:rsid w:val="00FD08BA"/>
    <w:rsid w:val="00FD357B"/>
    <w:rsid w:val="00FD38FC"/>
    <w:rsid w:val="00FD6119"/>
    <w:rsid w:val="00FD688E"/>
    <w:rsid w:val="00FD7C0C"/>
    <w:rsid w:val="00FE045C"/>
    <w:rsid w:val="00FE0C52"/>
    <w:rsid w:val="00FE1692"/>
    <w:rsid w:val="00FE7017"/>
    <w:rsid w:val="00FF0566"/>
    <w:rsid w:val="00FF13BF"/>
    <w:rsid w:val="00FF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uiPriority="99"/>
    <w:lsdException w:name="header" w:uiPriority="99"/>
    <w:lsdException w:name="caption" w:qFormat="1"/>
    <w:lsdException w:name="table of figures" w:semiHidden="0" w:uiPriority="99" w:unhideWhenUsed="0"/>
    <w:lsdException w:name="footnote reference" w:uiPriority="99"/>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0E266E"/>
  </w:style>
  <w:style w:type="paragraph" w:styleId="Heading1">
    <w:name w:val="heading 1"/>
    <w:basedOn w:val="Normal"/>
    <w:next w:val="BodyText"/>
    <w:link w:val="Heading1Char"/>
    <w:qFormat/>
    <w:rsid w:val="00733970"/>
    <w:pPr>
      <w:keepNext/>
      <w:keepLines/>
      <w:numPr>
        <w:numId w:val="33"/>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961DBB"/>
    <w:pPr>
      <w:keepNext/>
      <w:keepLines/>
      <w:numPr>
        <w:ilvl w:val="1"/>
        <w:numId w:val="33"/>
      </w:numPr>
      <w:tabs>
        <w:tab w:val="left" w:pos="1418"/>
        <w:tab w:val="left" w:pos="1701"/>
        <w:tab w:val="left" w:pos="1985"/>
      </w:tabs>
      <w:spacing w:before="470" w:after="227"/>
      <w:ind w:left="765"/>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B620EE"/>
    <w:pPr>
      <w:keepNext/>
      <w:keepLines/>
      <w:numPr>
        <w:ilvl w:val="2"/>
        <w:numId w:val="33"/>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4"/>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4"/>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99"/>
    <w:rsid w:val="000E266E"/>
    <w:rPr>
      <w:kern w:val="16"/>
      <w:sz w:val="18"/>
    </w:rPr>
  </w:style>
  <w:style w:type="character" w:styleId="FootnoteReference">
    <w:name w:val="footnote reference"/>
    <w:basedOn w:val="DefaultParagraphFont"/>
    <w:uiPriority w:val="99"/>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0E266E"/>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4"/>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4"/>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6"/>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12"/>
      </w:numPr>
      <w:spacing w:before="113" w:after="113"/>
    </w:pPr>
    <w:rPr>
      <w:spacing w:val="-1"/>
    </w:rPr>
  </w:style>
  <w:style w:type="paragraph" w:styleId="ListNumber2">
    <w:name w:val="List Number 2"/>
    <w:basedOn w:val="Normal"/>
    <w:qFormat/>
    <w:rsid w:val="00961DBB"/>
    <w:pPr>
      <w:numPr>
        <w:ilvl w:val="1"/>
        <w:numId w:val="12"/>
      </w:numPr>
      <w:spacing w:before="113" w:after="113"/>
    </w:pPr>
    <w:rPr>
      <w:spacing w:val="-1"/>
    </w:rPr>
  </w:style>
  <w:style w:type="paragraph" w:styleId="ListNumber3">
    <w:name w:val="List Number 3"/>
    <w:basedOn w:val="Normal"/>
    <w:qFormat/>
    <w:rsid w:val="00961DBB"/>
    <w:pPr>
      <w:numPr>
        <w:ilvl w:val="2"/>
        <w:numId w:val="12"/>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19"/>
      </w:numPr>
    </w:pPr>
  </w:style>
  <w:style w:type="paragraph" w:customStyle="1" w:styleId="PullOutBoxBullet2">
    <w:name w:val="Pull Out Box Bullet 2"/>
    <w:basedOn w:val="PullOutBoxBodyText"/>
    <w:qFormat/>
    <w:rsid w:val="00961DBB"/>
    <w:pPr>
      <w:numPr>
        <w:ilvl w:val="1"/>
        <w:numId w:val="19"/>
      </w:numPr>
    </w:pPr>
  </w:style>
  <w:style w:type="paragraph" w:customStyle="1" w:styleId="PullOutBoxBullet3">
    <w:name w:val="Pull Out Box Bullet 3"/>
    <w:basedOn w:val="PullOutBoxBodyText"/>
    <w:qFormat/>
    <w:rsid w:val="00961DBB"/>
    <w:pPr>
      <w:numPr>
        <w:ilvl w:val="2"/>
        <w:numId w:val="19"/>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22"/>
      </w:numPr>
    </w:pPr>
  </w:style>
  <w:style w:type="paragraph" w:customStyle="1" w:styleId="PullOutBoxNumber2">
    <w:name w:val="Pull Out Box Number 2"/>
    <w:basedOn w:val="PullOutBoxBodyText"/>
    <w:qFormat/>
    <w:rsid w:val="00961DBB"/>
    <w:pPr>
      <w:numPr>
        <w:ilvl w:val="1"/>
        <w:numId w:val="22"/>
      </w:numPr>
    </w:pPr>
  </w:style>
  <w:style w:type="paragraph" w:customStyle="1" w:styleId="PullOutBoxNumber3">
    <w:name w:val="Pull Out Box Number 3"/>
    <w:basedOn w:val="PullOutBoxBodyText"/>
    <w:qFormat/>
    <w:rsid w:val="00961DBB"/>
    <w:pPr>
      <w:numPr>
        <w:ilvl w:val="2"/>
        <w:numId w:val="22"/>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24"/>
      </w:numPr>
    </w:pPr>
  </w:style>
  <w:style w:type="paragraph" w:customStyle="1" w:styleId="QuoteBullet2">
    <w:name w:val="Quote Bullet 2"/>
    <w:basedOn w:val="Quote"/>
    <w:qFormat/>
    <w:rsid w:val="00961DBB"/>
    <w:pPr>
      <w:numPr>
        <w:ilvl w:val="1"/>
        <w:numId w:val="24"/>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25"/>
      </w:numPr>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2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31"/>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5"/>
      </w:tabs>
      <w:spacing w:after="227"/>
      <w:ind w:left="454" w:right="851" w:hanging="454"/>
    </w:pPr>
    <w:rPr>
      <w:b/>
      <w:noProof/>
      <w:color w:val="2B3B5F" w:themeColor="text2"/>
    </w:rPr>
  </w:style>
  <w:style w:type="paragraph" w:styleId="TOC2">
    <w:name w:val="toc 2"/>
    <w:basedOn w:val="Normal"/>
    <w:next w:val="Normal"/>
    <w:uiPriority w:val="39"/>
    <w:rsid w:val="001B2C65"/>
    <w:pPr>
      <w:tabs>
        <w:tab w:val="left" w:pos="1021"/>
        <w:tab w:val="right" w:leader="underscore" w:pos="8165"/>
      </w:tabs>
      <w:spacing w:after="227"/>
      <w:ind w:left="1021" w:right="851" w:hanging="567"/>
    </w:pPr>
    <w:rPr>
      <w:noProof/>
      <w:szCs w:val="28"/>
    </w:rPr>
  </w:style>
  <w:style w:type="paragraph" w:styleId="TOC3">
    <w:name w:val="toc 3"/>
    <w:basedOn w:val="Normal"/>
    <w:next w:val="Normal"/>
    <w:uiPriority w:val="39"/>
    <w:rsid w:val="001B2C65"/>
    <w:pPr>
      <w:tabs>
        <w:tab w:val="left" w:pos="1758"/>
        <w:tab w:val="right" w:leader="underscore" w:pos="8165"/>
      </w:tabs>
      <w:spacing w:after="227"/>
      <w:ind w:left="1758" w:right="851" w:hanging="737"/>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boxpara">
    <w:name w:val="boxpara"/>
    <w:basedOn w:val="Normal"/>
    <w:rsid w:val="00E3143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9">
    <w:name w:val="toc 9"/>
    <w:basedOn w:val="Normal"/>
    <w:next w:val="Normal"/>
    <w:autoRedefine/>
    <w:semiHidden/>
    <w:unhideWhenUsed/>
    <w:rsid w:val="004F4EE3"/>
    <w:pPr>
      <w:spacing w:after="100"/>
      <w:ind w:left="1760"/>
    </w:pPr>
  </w:style>
  <w:style w:type="character" w:styleId="CommentReference">
    <w:name w:val="annotation reference"/>
    <w:basedOn w:val="DefaultParagraphFont"/>
    <w:semiHidden/>
    <w:unhideWhenUsed/>
    <w:rsid w:val="000B2288"/>
    <w:rPr>
      <w:sz w:val="16"/>
      <w:szCs w:val="16"/>
    </w:rPr>
  </w:style>
  <w:style w:type="paragraph" w:styleId="CommentText">
    <w:name w:val="annotation text"/>
    <w:basedOn w:val="Normal"/>
    <w:link w:val="CommentTextChar"/>
    <w:semiHidden/>
    <w:unhideWhenUsed/>
    <w:rsid w:val="000B2288"/>
    <w:pPr>
      <w:spacing w:line="240" w:lineRule="auto"/>
    </w:pPr>
    <w:rPr>
      <w:sz w:val="20"/>
      <w:szCs w:val="20"/>
    </w:rPr>
  </w:style>
  <w:style w:type="character" w:customStyle="1" w:styleId="CommentTextChar">
    <w:name w:val="Comment Text Char"/>
    <w:basedOn w:val="DefaultParagraphFont"/>
    <w:link w:val="CommentText"/>
    <w:semiHidden/>
    <w:rsid w:val="000B2288"/>
    <w:rPr>
      <w:sz w:val="20"/>
      <w:szCs w:val="20"/>
    </w:rPr>
  </w:style>
  <w:style w:type="paragraph" w:styleId="CommentSubject">
    <w:name w:val="annotation subject"/>
    <w:basedOn w:val="CommentText"/>
    <w:next w:val="CommentText"/>
    <w:link w:val="CommentSubjectChar"/>
    <w:semiHidden/>
    <w:unhideWhenUsed/>
    <w:rsid w:val="000B2288"/>
    <w:rPr>
      <w:b/>
      <w:bCs/>
    </w:rPr>
  </w:style>
  <w:style w:type="character" w:customStyle="1" w:styleId="CommentSubjectChar">
    <w:name w:val="Comment Subject Char"/>
    <w:basedOn w:val="CommentTextChar"/>
    <w:link w:val="CommentSubject"/>
    <w:semiHidden/>
    <w:rsid w:val="000B2288"/>
    <w:rPr>
      <w:b/>
      <w:bCs/>
      <w:sz w:val="20"/>
      <w:szCs w:val="20"/>
    </w:rPr>
  </w:style>
  <w:style w:type="paragraph" w:styleId="Revision">
    <w:name w:val="Revision"/>
    <w:hidden/>
    <w:uiPriority w:val="99"/>
    <w:semiHidden/>
    <w:rsid w:val="000B2288"/>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uiPriority="99"/>
    <w:lsdException w:name="header" w:uiPriority="99"/>
    <w:lsdException w:name="caption" w:qFormat="1"/>
    <w:lsdException w:name="table of figures" w:semiHidden="0" w:uiPriority="99" w:unhideWhenUsed="0"/>
    <w:lsdException w:name="footnote reference" w:uiPriority="99"/>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lsdException w:name="Quote" w:semiHidden="0"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0E266E"/>
  </w:style>
  <w:style w:type="paragraph" w:styleId="Heading1">
    <w:name w:val="heading 1"/>
    <w:basedOn w:val="Normal"/>
    <w:next w:val="BodyText"/>
    <w:link w:val="Heading1Char"/>
    <w:qFormat/>
    <w:rsid w:val="00733970"/>
    <w:pPr>
      <w:keepNext/>
      <w:keepLines/>
      <w:numPr>
        <w:numId w:val="33"/>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961DBB"/>
    <w:pPr>
      <w:keepNext/>
      <w:keepLines/>
      <w:numPr>
        <w:ilvl w:val="1"/>
        <w:numId w:val="33"/>
      </w:numPr>
      <w:tabs>
        <w:tab w:val="left" w:pos="1418"/>
        <w:tab w:val="left" w:pos="1701"/>
        <w:tab w:val="left" w:pos="1985"/>
      </w:tabs>
      <w:spacing w:before="470" w:after="227"/>
      <w:ind w:left="765"/>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B620EE"/>
    <w:pPr>
      <w:keepNext/>
      <w:keepLines/>
      <w:numPr>
        <w:ilvl w:val="2"/>
        <w:numId w:val="33"/>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4"/>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4"/>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99"/>
    <w:rsid w:val="000E266E"/>
    <w:rPr>
      <w:kern w:val="16"/>
      <w:sz w:val="18"/>
    </w:rPr>
  </w:style>
  <w:style w:type="character" w:styleId="FootnoteReference">
    <w:name w:val="footnote reference"/>
    <w:basedOn w:val="DefaultParagraphFont"/>
    <w:uiPriority w:val="99"/>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0E266E"/>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4"/>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4"/>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6"/>
      </w:numPr>
      <w:spacing w:after="113"/>
    </w:pPr>
    <w:rPr>
      <w:spacing w:val="-1"/>
    </w:rPr>
  </w:style>
  <w:style w:type="paragraph" w:styleId="ListBullet2">
    <w:name w:val="List Bullet 2"/>
    <w:basedOn w:val="ListBullet"/>
    <w:unhideWhenUsed/>
    <w:qFormat/>
    <w:rsid w:val="00961DBB"/>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12"/>
      </w:numPr>
      <w:spacing w:before="113" w:after="113"/>
    </w:pPr>
    <w:rPr>
      <w:spacing w:val="-1"/>
    </w:rPr>
  </w:style>
  <w:style w:type="paragraph" w:styleId="ListNumber2">
    <w:name w:val="List Number 2"/>
    <w:basedOn w:val="Normal"/>
    <w:qFormat/>
    <w:rsid w:val="00961DBB"/>
    <w:pPr>
      <w:numPr>
        <w:ilvl w:val="1"/>
        <w:numId w:val="12"/>
      </w:numPr>
      <w:spacing w:before="113" w:after="113"/>
    </w:pPr>
    <w:rPr>
      <w:spacing w:val="-1"/>
    </w:rPr>
  </w:style>
  <w:style w:type="paragraph" w:styleId="ListNumber3">
    <w:name w:val="List Number 3"/>
    <w:basedOn w:val="Normal"/>
    <w:qFormat/>
    <w:rsid w:val="00961DBB"/>
    <w:pPr>
      <w:numPr>
        <w:ilvl w:val="2"/>
        <w:numId w:val="12"/>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19"/>
      </w:numPr>
    </w:pPr>
  </w:style>
  <w:style w:type="paragraph" w:customStyle="1" w:styleId="PullOutBoxBullet2">
    <w:name w:val="Pull Out Box Bullet 2"/>
    <w:basedOn w:val="PullOutBoxBodyText"/>
    <w:qFormat/>
    <w:rsid w:val="00961DBB"/>
    <w:pPr>
      <w:numPr>
        <w:ilvl w:val="1"/>
        <w:numId w:val="19"/>
      </w:numPr>
    </w:pPr>
  </w:style>
  <w:style w:type="paragraph" w:customStyle="1" w:styleId="PullOutBoxBullet3">
    <w:name w:val="Pull Out Box Bullet 3"/>
    <w:basedOn w:val="PullOutBoxBodyText"/>
    <w:qFormat/>
    <w:rsid w:val="00961DBB"/>
    <w:pPr>
      <w:numPr>
        <w:ilvl w:val="2"/>
        <w:numId w:val="19"/>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22"/>
      </w:numPr>
    </w:pPr>
  </w:style>
  <w:style w:type="paragraph" w:customStyle="1" w:styleId="PullOutBoxNumber2">
    <w:name w:val="Pull Out Box Number 2"/>
    <w:basedOn w:val="PullOutBoxBodyText"/>
    <w:qFormat/>
    <w:rsid w:val="00961DBB"/>
    <w:pPr>
      <w:numPr>
        <w:ilvl w:val="1"/>
        <w:numId w:val="22"/>
      </w:numPr>
    </w:pPr>
  </w:style>
  <w:style w:type="paragraph" w:customStyle="1" w:styleId="PullOutBoxNumber3">
    <w:name w:val="Pull Out Box Number 3"/>
    <w:basedOn w:val="PullOutBoxBodyText"/>
    <w:qFormat/>
    <w:rsid w:val="00961DBB"/>
    <w:pPr>
      <w:numPr>
        <w:ilvl w:val="2"/>
        <w:numId w:val="22"/>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24"/>
      </w:numPr>
    </w:pPr>
  </w:style>
  <w:style w:type="paragraph" w:customStyle="1" w:styleId="QuoteBullet2">
    <w:name w:val="Quote Bullet 2"/>
    <w:basedOn w:val="Quote"/>
    <w:qFormat/>
    <w:rsid w:val="00961DBB"/>
    <w:pPr>
      <w:numPr>
        <w:ilvl w:val="1"/>
        <w:numId w:val="24"/>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25"/>
      </w:numPr>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2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31"/>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5"/>
      </w:tabs>
      <w:spacing w:after="227"/>
      <w:ind w:left="454" w:right="851" w:hanging="454"/>
    </w:pPr>
    <w:rPr>
      <w:b/>
      <w:noProof/>
      <w:color w:val="2B3B5F" w:themeColor="text2"/>
    </w:rPr>
  </w:style>
  <w:style w:type="paragraph" w:styleId="TOC2">
    <w:name w:val="toc 2"/>
    <w:basedOn w:val="Normal"/>
    <w:next w:val="Normal"/>
    <w:uiPriority w:val="39"/>
    <w:rsid w:val="001B2C65"/>
    <w:pPr>
      <w:tabs>
        <w:tab w:val="left" w:pos="1021"/>
        <w:tab w:val="right" w:leader="underscore" w:pos="8165"/>
      </w:tabs>
      <w:spacing w:after="227"/>
      <w:ind w:left="1021" w:right="851" w:hanging="567"/>
    </w:pPr>
    <w:rPr>
      <w:noProof/>
      <w:szCs w:val="28"/>
    </w:rPr>
  </w:style>
  <w:style w:type="paragraph" w:styleId="TOC3">
    <w:name w:val="toc 3"/>
    <w:basedOn w:val="Normal"/>
    <w:next w:val="Normal"/>
    <w:uiPriority w:val="39"/>
    <w:rsid w:val="001B2C65"/>
    <w:pPr>
      <w:tabs>
        <w:tab w:val="left" w:pos="1758"/>
        <w:tab w:val="right" w:leader="underscore" w:pos="8165"/>
      </w:tabs>
      <w:spacing w:after="227"/>
      <w:ind w:left="1758" w:right="851" w:hanging="737"/>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boxpara">
    <w:name w:val="boxpara"/>
    <w:basedOn w:val="Normal"/>
    <w:rsid w:val="00E3143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9">
    <w:name w:val="toc 9"/>
    <w:basedOn w:val="Normal"/>
    <w:next w:val="Normal"/>
    <w:autoRedefine/>
    <w:semiHidden/>
    <w:unhideWhenUsed/>
    <w:rsid w:val="004F4EE3"/>
    <w:pPr>
      <w:spacing w:after="100"/>
      <w:ind w:left="1760"/>
    </w:pPr>
  </w:style>
  <w:style w:type="character" w:styleId="CommentReference">
    <w:name w:val="annotation reference"/>
    <w:basedOn w:val="DefaultParagraphFont"/>
    <w:semiHidden/>
    <w:unhideWhenUsed/>
    <w:rsid w:val="000B2288"/>
    <w:rPr>
      <w:sz w:val="16"/>
      <w:szCs w:val="16"/>
    </w:rPr>
  </w:style>
  <w:style w:type="paragraph" w:styleId="CommentText">
    <w:name w:val="annotation text"/>
    <w:basedOn w:val="Normal"/>
    <w:link w:val="CommentTextChar"/>
    <w:semiHidden/>
    <w:unhideWhenUsed/>
    <w:rsid w:val="000B2288"/>
    <w:pPr>
      <w:spacing w:line="240" w:lineRule="auto"/>
    </w:pPr>
    <w:rPr>
      <w:sz w:val="20"/>
      <w:szCs w:val="20"/>
    </w:rPr>
  </w:style>
  <w:style w:type="character" w:customStyle="1" w:styleId="CommentTextChar">
    <w:name w:val="Comment Text Char"/>
    <w:basedOn w:val="DefaultParagraphFont"/>
    <w:link w:val="CommentText"/>
    <w:semiHidden/>
    <w:rsid w:val="000B2288"/>
    <w:rPr>
      <w:sz w:val="20"/>
      <w:szCs w:val="20"/>
    </w:rPr>
  </w:style>
  <w:style w:type="paragraph" w:styleId="CommentSubject">
    <w:name w:val="annotation subject"/>
    <w:basedOn w:val="CommentText"/>
    <w:next w:val="CommentText"/>
    <w:link w:val="CommentSubjectChar"/>
    <w:semiHidden/>
    <w:unhideWhenUsed/>
    <w:rsid w:val="000B2288"/>
    <w:rPr>
      <w:b/>
      <w:bCs/>
    </w:rPr>
  </w:style>
  <w:style w:type="character" w:customStyle="1" w:styleId="CommentSubjectChar">
    <w:name w:val="Comment Subject Char"/>
    <w:basedOn w:val="CommentTextChar"/>
    <w:link w:val="CommentSubject"/>
    <w:semiHidden/>
    <w:rsid w:val="000B2288"/>
    <w:rPr>
      <w:b/>
      <w:bCs/>
      <w:sz w:val="20"/>
      <w:szCs w:val="20"/>
    </w:rPr>
  </w:style>
  <w:style w:type="paragraph" w:styleId="Revision">
    <w:name w:val="Revision"/>
    <w:hidden/>
    <w:uiPriority w:val="99"/>
    <w:semiHidden/>
    <w:rsid w:val="000B228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13823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nc-nd/3.0/au/" TargetMode="External"/><Relationship Id="rId18" Type="http://schemas.openxmlformats.org/officeDocument/2006/relationships/header" Target="header6.xml"/><Relationship Id="rId26" Type="http://schemas.openxmlformats.org/officeDocument/2006/relationships/image" Target="media/image5.png"/><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8.xml"/><Relationship Id="rId42" Type="http://schemas.openxmlformats.org/officeDocument/2006/relationships/image" Target="media/image11.png"/><Relationship Id="rId47" Type="http://schemas.openxmlformats.org/officeDocument/2006/relationships/hyperlink" Target="http://www.pbo.gov.au/" TargetMode="External"/><Relationship Id="rId50"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4.png"/><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2.xml"/><Relationship Id="rId29" Type="http://schemas.openxmlformats.org/officeDocument/2006/relationships/header" Target="header8.xml"/><Relationship Id="rId4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image" Target="media/image3.png"/><Relationship Id="rId32" Type="http://schemas.openxmlformats.org/officeDocument/2006/relationships/footer" Target="footer7.xml"/><Relationship Id="rId37" Type="http://schemas.openxmlformats.org/officeDocument/2006/relationships/header" Target="header11.xml"/><Relationship Id="rId40" Type="http://schemas.openxmlformats.org/officeDocument/2006/relationships/footer" Target="footer10.xml"/><Relationship Id="rId45" Type="http://schemas.openxmlformats.org/officeDocument/2006/relationships/hyperlink" Target="http://www.pbo.gov.au/"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image" Target="media/image7.png"/><Relationship Id="rId36" Type="http://schemas.openxmlformats.org/officeDocument/2006/relationships/image" Target="media/image9.png"/><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6.xml"/><Relationship Id="rId44"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tsanhonour.gov.au/coat-arms" TargetMode="External"/><Relationship Id="rId22" Type="http://schemas.openxmlformats.org/officeDocument/2006/relationships/footer" Target="footer4.xml"/><Relationship Id="rId27" Type="http://schemas.openxmlformats.org/officeDocument/2006/relationships/image" Target="media/image6.png"/><Relationship Id="rId30" Type="http://schemas.openxmlformats.org/officeDocument/2006/relationships/header" Target="header9.xml"/><Relationship Id="rId35" Type="http://schemas.openxmlformats.org/officeDocument/2006/relationships/image" Target="media/image8.png"/><Relationship Id="rId43" Type="http://schemas.openxmlformats.org/officeDocument/2006/relationships/footer" Target="footer11.xml"/><Relationship Id="rId48" Type="http://schemas.openxmlformats.org/officeDocument/2006/relationships/footer" Target="footer12.xml"/><Relationship Id="rId8" Type="http://schemas.openxmlformats.org/officeDocument/2006/relationships/endnotes" Target="endnotes.xml"/><Relationship Id="rId51"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PBO\PBO%20Research%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F0DB4219B74E53B4C1E9FBC76B7B77"/>
        <w:category>
          <w:name w:val="General"/>
          <w:gallery w:val="placeholder"/>
        </w:category>
        <w:types>
          <w:type w:val="bbPlcHdr"/>
        </w:types>
        <w:behaviors>
          <w:behavior w:val="content"/>
        </w:behaviors>
        <w:guid w:val="{061215E2-D83A-474E-B144-E76903DF0531}"/>
      </w:docPartPr>
      <w:docPartBody>
        <w:p w:rsidR="00A20D20" w:rsidRDefault="00A20D20">
          <w:pPr>
            <w:pStyle w:val="09F0DB4219B74E53B4C1E9FBC76B7B77"/>
          </w:pPr>
          <w:r w:rsidRPr="004F703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D20"/>
    <w:rsid w:val="0038335C"/>
    <w:rsid w:val="006530C3"/>
    <w:rsid w:val="00755516"/>
    <w:rsid w:val="00823134"/>
    <w:rsid w:val="009972F1"/>
    <w:rsid w:val="009C0205"/>
    <w:rsid w:val="00A20D20"/>
    <w:rsid w:val="00A8360C"/>
    <w:rsid w:val="00D24E5D"/>
    <w:rsid w:val="00F847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09F0DB4219B74E53B4C1E9FBC76B7B77">
    <w:name w:val="09F0DB4219B74E53B4C1E9FBC76B7B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09F0DB4219B74E53B4C1E9FBC76B7B77">
    <w:name w:val="09F0DB4219B74E53B4C1E9FBC76B7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541B8-BAF2-4A08-84D5-6446C781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PBO Research Report.dotm</Template>
  <TotalTime>320</TotalTime>
  <Pages>22</Pages>
  <Words>4155</Words>
  <Characters>23689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Future Fund drawdown scenarios: Budget implications</vt:lpstr>
    </vt:vector>
  </TitlesOfParts>
  <Company>Parliament of Australia</Company>
  <LinksUpToDate>false</LinksUpToDate>
  <CharactersWithSpaces>27789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Fund drawdown scenarios: Budget implications</dc:title>
  <dc:creator>Parliamentary Budget Office</dc:creator>
  <cp:lastModifiedBy>Moorhouse, Helen (PBO)</cp:lastModifiedBy>
  <cp:revision>46</cp:revision>
  <cp:lastPrinted>2017-02-07T21:33:00Z</cp:lastPrinted>
  <dcterms:created xsi:type="dcterms:W3CDTF">2017-02-06T21:22:00Z</dcterms:created>
  <dcterms:modified xsi:type="dcterms:W3CDTF">2017-02-07T21:47:00Z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S</vt:lpwstr>
  </property>
  <property fmtid="{D5CDD505-2E9C-101B-9397-08002B2CF9AE}" pid="8" name="xNumberedBodyText">
    <vt:lpwstr>False</vt:lpwstr>
  </property>
  <property fmtid="{D5CDD505-2E9C-101B-9397-08002B2CF9AE}" pid="9" name="xCR">
    <vt:lpwstr>AppendixTables</vt:lpwstr>
  </property>
  <property fmtid="{D5CDD505-2E9C-101B-9397-08002B2CF9AE}" pid="10" name="xHeadingsNumbered">
    <vt:lpwstr>True</vt:lpwstr>
  </property>
  <property fmtid="{D5CDD505-2E9C-101B-9397-08002B2CF9AE}" pid="11" name="xAppendixName">
    <vt:lpwstr>Appendix</vt:lpwstr>
  </property>
  <property fmtid="{D5CDD505-2E9C-101B-9397-08002B2CF9AE}" pid="12" name="_MarkAsFinal">
    <vt:bool>true</vt:bool>
  </property>
</Properties>
</file>