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3.xml" ContentType="application/vnd.openxmlformats-officedocument.wordprocessingml.header+xml"/>
  <Override PartName="/word/footer26.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28.xml" ContentType="application/vnd.openxmlformats-officedocument.wordprocessingml.header+xml"/>
  <Override PartName="/word/footer31.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DBB" w:rsidRPr="00BA0FBF" w:rsidRDefault="00961DBB" w:rsidP="00961DBB">
      <w:pPr>
        <w:rPr>
          <w:sz w:val="20"/>
        </w:rPr>
      </w:pPr>
      <w:bookmarkStart w:id="0" w:name="Here"/>
      <w:bookmarkStart w:id="1" w:name="_GoBack"/>
      <w:bookmarkEnd w:id="0"/>
      <w:bookmarkEnd w:id="1"/>
    </w:p>
    <w:tbl>
      <w:tblPr>
        <w:tblStyle w:val="TableAsPlaceholder"/>
        <w:tblpPr w:leftFromText="181" w:rightFromText="181" w:vertAnchor="page" w:horzAnchor="margin" w:tblpY="5779"/>
        <w:tblOverlap w:val="never"/>
        <w:tblW w:w="8277" w:type="dxa"/>
        <w:tblLayout w:type="fixed"/>
        <w:tblLook w:val="04A0" w:firstRow="1" w:lastRow="0" w:firstColumn="1" w:lastColumn="0" w:noHBand="0" w:noVBand="1"/>
      </w:tblPr>
      <w:tblGrid>
        <w:gridCol w:w="8277"/>
      </w:tblGrid>
      <w:tr w:rsidR="00961DBB" w:rsidRPr="00BA0FBF" w:rsidTr="00C8728F">
        <w:trPr>
          <w:trHeight w:val="907"/>
        </w:trPr>
        <w:tc>
          <w:tcPr>
            <w:tcW w:w="8277" w:type="dxa"/>
          </w:tcPr>
          <w:p w:rsidR="00961DBB" w:rsidRPr="003929F4" w:rsidRDefault="00F95381" w:rsidP="00D41DBB">
            <w:pPr>
              <w:pStyle w:val="Title"/>
            </w:pPr>
            <w:r w:rsidRPr="003929F4">
              <w:t>G</w:t>
            </w:r>
            <w:r w:rsidR="00D41DBB">
              <w:t>oods and Services Tax</w:t>
            </w:r>
          </w:p>
        </w:tc>
      </w:tr>
      <w:tr w:rsidR="00F20647" w:rsidRPr="003929F4" w:rsidTr="00C8728F">
        <w:trPr>
          <w:trHeight w:val="680"/>
        </w:trPr>
        <w:tc>
          <w:tcPr>
            <w:tcW w:w="8277" w:type="dxa"/>
          </w:tcPr>
          <w:p w:rsidR="00F20647" w:rsidRPr="003929F4" w:rsidRDefault="00D41DBB" w:rsidP="00D41DBB">
            <w:pPr>
              <w:pStyle w:val="Title2"/>
            </w:pPr>
            <w:r>
              <w:t>D</w:t>
            </w:r>
            <w:r w:rsidR="00F95381" w:rsidRPr="003929F4">
              <w:t xml:space="preserve">istributional </w:t>
            </w:r>
            <w:r w:rsidR="00794503" w:rsidRPr="003929F4">
              <w:t>a</w:t>
            </w:r>
            <w:r w:rsidR="00F95381" w:rsidRPr="003929F4">
              <w:t>nalysis</w:t>
            </w:r>
            <w:r>
              <w:t xml:space="preserve"> and indicative reform scenarios</w:t>
            </w:r>
          </w:p>
        </w:tc>
      </w:tr>
      <w:tr w:rsidR="00195228" w:rsidRPr="003929F4" w:rsidTr="00C8728F">
        <w:trPr>
          <w:trHeight w:val="765"/>
        </w:trPr>
        <w:tc>
          <w:tcPr>
            <w:tcW w:w="8277" w:type="dxa"/>
          </w:tcPr>
          <w:p w:rsidR="00195228" w:rsidRPr="003929F4" w:rsidRDefault="00106387" w:rsidP="00F2046C">
            <w:pPr>
              <w:pStyle w:val="Title3"/>
              <w:framePr w:wrap="auto" w:vAnchor="margin" w:hAnchor="text" w:yAlign="inline"/>
            </w:pPr>
            <w:r w:rsidRPr="003929F4">
              <w:t>Report no. 05</w:t>
            </w:r>
            <w:r w:rsidR="004A4AB0" w:rsidRPr="003929F4">
              <w:t>/2015</w:t>
            </w:r>
          </w:p>
        </w:tc>
      </w:tr>
    </w:tbl>
    <w:p w:rsidR="00961DBB" w:rsidRPr="00BA0FBF" w:rsidRDefault="00961DBB" w:rsidP="00961DBB">
      <w:pPr>
        <w:rPr>
          <w:sz w:val="20"/>
        </w:rPr>
      </w:pPr>
    </w:p>
    <w:p w:rsidR="00961DBB" w:rsidRPr="00BA0FBF" w:rsidRDefault="00961DBB">
      <w:pPr>
        <w:rPr>
          <w:sz w:val="20"/>
        </w:rPr>
        <w:sectPr w:rsidR="00961DBB" w:rsidRPr="00BA0FBF" w:rsidSect="009057D9">
          <w:headerReference w:type="even" r:id="rId9"/>
          <w:headerReference w:type="default" r:id="rId10"/>
          <w:headerReference w:type="first" r:id="rId11"/>
          <w:pgSz w:w="11906" w:h="16838" w:code="9"/>
          <w:pgMar w:top="1361" w:right="1797" w:bottom="1474" w:left="1797" w:header="284" w:footer="454" w:gutter="0"/>
          <w:cols w:space="708"/>
          <w:titlePg/>
          <w:docGrid w:linePitch="360"/>
        </w:sectPr>
      </w:pPr>
    </w:p>
    <w:p w:rsidR="00613471" w:rsidRPr="00BA0FBF" w:rsidRDefault="00613471" w:rsidP="00613471">
      <w:pPr>
        <w:rPr>
          <w:sz w:val="20"/>
        </w:rPr>
      </w:pPr>
      <w:bookmarkStart w:id="2" w:name="_Toc396331954"/>
    </w:p>
    <w:tbl>
      <w:tblPr>
        <w:tblStyle w:val="TableAsPlaceholder"/>
        <w:tblpPr w:leftFromText="181" w:rightFromText="181" w:horzAnchor="margin" w:tblpY="4310"/>
        <w:tblOverlap w:val="never"/>
        <w:tblW w:w="0" w:type="auto"/>
        <w:tblCellMar>
          <w:bottom w:w="57" w:type="dxa"/>
          <w:right w:w="57" w:type="dxa"/>
        </w:tblCellMar>
        <w:tblLook w:val="04A0" w:firstRow="1" w:lastRow="0" w:firstColumn="1" w:lastColumn="0" w:noHBand="0" w:noVBand="1"/>
      </w:tblPr>
      <w:tblGrid>
        <w:gridCol w:w="8220"/>
      </w:tblGrid>
      <w:tr w:rsidR="00613471" w:rsidRPr="00BA0FBF" w:rsidTr="00F95381">
        <w:trPr>
          <w:trHeight w:val="8165"/>
        </w:trPr>
        <w:tc>
          <w:tcPr>
            <w:tcW w:w="8220" w:type="dxa"/>
            <w:vAlign w:val="bottom"/>
          </w:tcPr>
          <w:p w:rsidR="00613471" w:rsidRPr="00BA0FBF" w:rsidRDefault="00613471" w:rsidP="00F95381">
            <w:pPr>
              <w:pStyle w:val="xDisclaimerText2"/>
              <w:framePr w:hSpace="0" w:wrap="auto" w:hAnchor="text" w:yAlign="inline"/>
              <w:suppressOverlap w:val="0"/>
              <w:rPr>
                <w:sz w:val="20"/>
              </w:rPr>
            </w:pPr>
            <w:bookmarkStart w:id="3" w:name="_DisclaimerMarker"/>
            <w:bookmarkEnd w:id="3"/>
            <w:r w:rsidRPr="00BA0FBF">
              <w:rPr>
                <w:sz w:val="20"/>
              </w:rPr>
              <w:t xml:space="preserve">© Commonwealth of Australia </w:t>
            </w:r>
            <w:r w:rsidR="000738D4" w:rsidRPr="00BA0FBF">
              <w:rPr>
                <w:sz w:val="20"/>
              </w:rPr>
              <w:t>2015</w:t>
            </w:r>
          </w:p>
          <w:p w:rsidR="00613471" w:rsidRPr="00BA0FBF" w:rsidRDefault="00613471" w:rsidP="00F95381">
            <w:pPr>
              <w:pStyle w:val="xDisclaimerText2"/>
              <w:framePr w:hSpace="0" w:wrap="auto" w:hAnchor="text" w:yAlign="inline"/>
              <w:suppressOverlap w:val="0"/>
              <w:rPr>
                <w:sz w:val="20"/>
              </w:rPr>
            </w:pPr>
            <w:r w:rsidRPr="00BA0FBF">
              <w:rPr>
                <w:sz w:val="20"/>
              </w:rPr>
              <w:t>IS</w:t>
            </w:r>
            <w:r w:rsidR="002817C3">
              <w:rPr>
                <w:sz w:val="20"/>
              </w:rPr>
              <w:t>B</w:t>
            </w:r>
            <w:r w:rsidRPr="00BA0FBF">
              <w:rPr>
                <w:sz w:val="20"/>
              </w:rPr>
              <w:t xml:space="preserve">N </w:t>
            </w:r>
            <w:r w:rsidR="004A4AB0" w:rsidRPr="00BA0FBF">
              <w:rPr>
                <w:sz w:val="20"/>
              </w:rPr>
              <w:t xml:space="preserve">978-0-9944547-0-6 </w:t>
            </w:r>
            <w:r w:rsidRPr="00BA0FBF">
              <w:rPr>
                <w:sz w:val="20"/>
              </w:rPr>
              <w:t>(Online)</w:t>
            </w:r>
          </w:p>
          <w:p w:rsidR="00613471" w:rsidRPr="00BA0FBF" w:rsidRDefault="00613471" w:rsidP="00F95381">
            <w:pPr>
              <w:pStyle w:val="xDisclaimerText2"/>
              <w:framePr w:hSpace="0" w:wrap="auto" w:hAnchor="text" w:yAlign="inline"/>
              <w:suppressOverlap w:val="0"/>
              <w:rPr>
                <w:sz w:val="20"/>
              </w:rPr>
            </w:pPr>
            <w:r w:rsidRPr="00BA0FBF">
              <w:rPr>
                <w:sz w:val="20"/>
              </w:rPr>
              <w:t>This work is licensed under the Creative Commons Attribution-NonCommercial-NoDerivs 3.0 Australia License.</w:t>
            </w:r>
          </w:p>
          <w:p w:rsidR="00613471" w:rsidRPr="00BA0FBF" w:rsidRDefault="00613471" w:rsidP="00F95381">
            <w:pPr>
              <w:pStyle w:val="xDisclaimerText2"/>
              <w:framePr w:hSpace="0" w:wrap="auto" w:hAnchor="text" w:yAlign="inline"/>
              <w:spacing w:before="240"/>
              <w:suppressOverlap w:val="0"/>
              <w:rPr>
                <w:sz w:val="20"/>
              </w:rPr>
            </w:pPr>
            <w:r w:rsidRPr="00BA0FBF">
              <w:rPr>
                <w:noProof/>
                <w:sz w:val="20"/>
              </w:rPr>
              <w:drawing>
                <wp:inline distT="0" distB="0" distL="0" distR="0" wp14:anchorId="7447228F" wp14:editId="6805C6CD">
                  <wp:extent cx="1079086" cy="377985"/>
                  <wp:effectExtent l="0" t="0" r="6985"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on creative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9086" cy="377985"/>
                          </a:xfrm>
                          <a:prstGeom prst="rect">
                            <a:avLst/>
                          </a:prstGeom>
                        </pic:spPr>
                      </pic:pic>
                    </a:graphicData>
                  </a:graphic>
                </wp:inline>
              </w:drawing>
            </w:r>
          </w:p>
          <w:p w:rsidR="00613471" w:rsidRPr="00BA0FBF" w:rsidRDefault="00613471" w:rsidP="00F95381">
            <w:pPr>
              <w:pStyle w:val="xDisclaimerText2"/>
              <w:framePr w:hSpace="0" w:wrap="auto" w:hAnchor="text" w:yAlign="inline"/>
              <w:suppressOverlap w:val="0"/>
              <w:rPr>
                <w:sz w:val="20"/>
              </w:rPr>
            </w:pPr>
            <w:r w:rsidRPr="00BA0FBF">
              <w:rPr>
                <w:sz w:val="20"/>
              </w:rPr>
              <w:t>The details of this licence are available on the Creative Commons website:</w:t>
            </w:r>
            <w:r w:rsidRPr="00BA0FBF">
              <w:rPr>
                <w:color w:val="FF0000"/>
                <w:sz w:val="20"/>
              </w:rPr>
              <w:t xml:space="preserve"> </w:t>
            </w:r>
            <w:hyperlink r:id="rId13" w:history="1">
              <w:r w:rsidRPr="0064547B">
                <w:t>http://creativecommons.org/licenses/by-nc-nd/3.0/au/</w:t>
              </w:r>
            </w:hyperlink>
            <w:r w:rsidRPr="00BA0FBF">
              <w:rPr>
                <w:sz w:val="20"/>
              </w:rPr>
              <w:t xml:space="preserve"> </w:t>
            </w:r>
          </w:p>
          <w:p w:rsidR="00613471" w:rsidRPr="00BA0FBF" w:rsidRDefault="00613471" w:rsidP="00F95381">
            <w:pPr>
              <w:pStyle w:val="xDisclaimerHeading"/>
              <w:framePr w:hSpace="0" w:wrap="auto" w:hAnchor="text" w:yAlign="inline"/>
              <w:suppressOverlap w:val="0"/>
              <w:rPr>
                <w:sz w:val="20"/>
              </w:rPr>
            </w:pPr>
            <w:r w:rsidRPr="00BA0FBF">
              <w:rPr>
                <w:sz w:val="20"/>
              </w:rPr>
              <w:t>Use of the Coat of Arms</w:t>
            </w:r>
          </w:p>
          <w:p w:rsidR="00613471" w:rsidRPr="00BA0FBF" w:rsidRDefault="00613471" w:rsidP="00F95381">
            <w:pPr>
              <w:pStyle w:val="xDisclaimerText2"/>
              <w:framePr w:hSpace="0" w:wrap="auto" w:hAnchor="text" w:yAlign="inline"/>
              <w:suppressOverlap w:val="0"/>
              <w:rPr>
                <w:sz w:val="20"/>
              </w:rPr>
            </w:pPr>
            <w:r w:rsidRPr="00BA0FBF">
              <w:rPr>
                <w:sz w:val="20"/>
              </w:rPr>
              <w:t xml:space="preserve">The terms under which the Coat of Arms can be used are detailed on the following website: </w:t>
            </w:r>
            <w:hyperlink r:id="rId14" w:history="1">
              <w:r w:rsidRPr="0064547B">
                <w:t>www.itsanhonour.gov.au/coat-arms</w:t>
              </w:r>
            </w:hyperlink>
            <w:r w:rsidRPr="00BA0FBF">
              <w:rPr>
                <w:sz w:val="20"/>
              </w:rPr>
              <w:t xml:space="preserve"> </w:t>
            </w:r>
          </w:p>
          <w:p w:rsidR="00613471" w:rsidRPr="00BA0FBF" w:rsidRDefault="00613471" w:rsidP="00F95381">
            <w:pPr>
              <w:pStyle w:val="xDisclaimerText"/>
              <w:rPr>
                <w:sz w:val="20"/>
              </w:rPr>
            </w:pPr>
            <w:r w:rsidRPr="00BA0FBF">
              <w:rPr>
                <w:rStyle w:val="xDisclaimerHeadingwithxDisclaimerTextChar"/>
                <w:sz w:val="20"/>
              </w:rPr>
              <w:t>Produced by:</w:t>
            </w:r>
            <w:r w:rsidRPr="00BA0FBF">
              <w:rPr>
                <w:sz w:val="20"/>
              </w:rPr>
              <w:t xml:space="preserve"> Parliamentary Budget Office</w:t>
            </w:r>
          </w:p>
          <w:p w:rsidR="00613471" w:rsidRPr="00BA0FBF" w:rsidRDefault="00613471" w:rsidP="00F95381">
            <w:pPr>
              <w:pStyle w:val="xDisclaimerText"/>
              <w:rPr>
                <w:sz w:val="20"/>
              </w:rPr>
            </w:pPr>
            <w:r w:rsidRPr="00BA0FBF">
              <w:rPr>
                <w:rStyle w:val="xDisclaimerHeadingwithxDisclaimerTextChar"/>
                <w:sz w:val="20"/>
              </w:rPr>
              <w:t>Designed by:</w:t>
            </w:r>
            <w:r w:rsidRPr="00BA0FBF">
              <w:rPr>
                <w:sz w:val="20"/>
              </w:rPr>
              <w:t xml:space="preserve"> </w:t>
            </w:r>
            <w:r w:rsidR="00616FC8" w:rsidRPr="00BA0FBF">
              <w:rPr>
                <w:sz w:val="20"/>
              </w:rPr>
              <w:t>Studio Tweed</w:t>
            </w:r>
          </w:p>
          <w:p w:rsidR="00613471" w:rsidRPr="00BA0FBF" w:rsidRDefault="00613471" w:rsidP="00F95381">
            <w:pPr>
              <w:pStyle w:val="xDisclaimerHeading"/>
              <w:framePr w:hSpace="0" w:wrap="auto" w:hAnchor="text" w:yAlign="inline"/>
              <w:suppressOverlap w:val="0"/>
              <w:rPr>
                <w:sz w:val="20"/>
              </w:rPr>
            </w:pPr>
            <w:r w:rsidRPr="00BA0FBF">
              <w:rPr>
                <w:sz w:val="20"/>
              </w:rPr>
              <w:fldChar w:fldCharType="begin"/>
            </w:r>
            <w:r w:rsidRPr="00BA0FBF">
              <w:rPr>
                <w:sz w:val="20"/>
              </w:rPr>
              <w:instrText xml:space="preserve"> Macrobutton NoMacro Assistant Parliamentary Budget Officer</w:instrText>
            </w:r>
            <w:r w:rsidRPr="00BA0FBF">
              <w:rPr>
                <w:sz w:val="20"/>
              </w:rPr>
              <w:fldChar w:fldCharType="end"/>
            </w:r>
          </w:p>
          <w:p w:rsidR="00613471" w:rsidRPr="00BA0FBF" w:rsidRDefault="00616FC8" w:rsidP="00F95381">
            <w:pPr>
              <w:pStyle w:val="xDisclaimerText"/>
              <w:rPr>
                <w:sz w:val="20"/>
              </w:rPr>
            </w:pPr>
            <w:r w:rsidRPr="00BA0FBF">
              <w:rPr>
                <w:sz w:val="20"/>
              </w:rPr>
              <w:t>Revenue Analysis Branch</w:t>
            </w:r>
          </w:p>
          <w:p w:rsidR="00613471" w:rsidRPr="00BA0FBF" w:rsidRDefault="00613471" w:rsidP="00F95381">
            <w:pPr>
              <w:pStyle w:val="xDisclaimerText2"/>
              <w:framePr w:hSpace="0" w:wrap="auto" w:hAnchor="text" w:yAlign="inline"/>
              <w:suppressOverlap w:val="0"/>
              <w:rPr>
                <w:sz w:val="20"/>
              </w:rPr>
            </w:pPr>
            <w:r w:rsidRPr="00BA0FBF">
              <w:rPr>
                <w:sz w:val="20"/>
              </w:rPr>
              <w:t>Parliamentary Budget Office</w:t>
            </w:r>
          </w:p>
          <w:p w:rsidR="00613471" w:rsidRPr="00BA0FBF" w:rsidRDefault="00613471" w:rsidP="00F95381">
            <w:pPr>
              <w:pStyle w:val="xDisclaimerText"/>
              <w:rPr>
                <w:sz w:val="20"/>
              </w:rPr>
            </w:pPr>
            <w:r w:rsidRPr="00BA0FBF">
              <w:rPr>
                <w:sz w:val="20"/>
              </w:rPr>
              <w:t>Parliament House</w:t>
            </w:r>
          </w:p>
          <w:p w:rsidR="00613471" w:rsidRPr="00BA0FBF" w:rsidRDefault="00613471" w:rsidP="00F95381">
            <w:pPr>
              <w:pStyle w:val="xDisclaimerText"/>
              <w:rPr>
                <w:sz w:val="20"/>
              </w:rPr>
            </w:pPr>
            <w:r w:rsidRPr="00BA0FBF">
              <w:rPr>
                <w:sz w:val="20"/>
              </w:rPr>
              <w:t>PO Box 6010</w:t>
            </w:r>
          </w:p>
          <w:p w:rsidR="00613471" w:rsidRPr="00BA0FBF" w:rsidRDefault="00613471" w:rsidP="00F95381">
            <w:pPr>
              <w:pStyle w:val="xDisclaimerText2"/>
              <w:framePr w:hSpace="0" w:wrap="auto" w:hAnchor="text" w:yAlign="inline"/>
              <w:suppressOverlap w:val="0"/>
              <w:rPr>
                <w:sz w:val="20"/>
              </w:rPr>
            </w:pPr>
            <w:r w:rsidRPr="00BA0FBF">
              <w:rPr>
                <w:sz w:val="20"/>
              </w:rPr>
              <w:t>CANBERRA ACT 2600</w:t>
            </w:r>
          </w:p>
          <w:p w:rsidR="00613471" w:rsidRPr="00BA0FBF" w:rsidRDefault="00613471" w:rsidP="00F95381">
            <w:pPr>
              <w:pStyle w:val="xDisclaimerText"/>
              <w:rPr>
                <w:sz w:val="20"/>
              </w:rPr>
            </w:pPr>
            <w:r w:rsidRPr="00BA0FBF">
              <w:rPr>
                <w:sz w:val="20"/>
              </w:rPr>
              <w:t>Phone: (02) 6277 9500</w:t>
            </w:r>
          </w:p>
          <w:p w:rsidR="00613471" w:rsidRPr="00BA0FBF" w:rsidRDefault="00613471" w:rsidP="00F95381">
            <w:pPr>
              <w:pStyle w:val="xDisclaimerText"/>
              <w:rPr>
                <w:sz w:val="20"/>
              </w:rPr>
            </w:pPr>
            <w:r w:rsidRPr="00BA0FBF">
              <w:rPr>
                <w:sz w:val="20"/>
              </w:rPr>
              <w:t>Email: pbo@pbo.gov.au</w:t>
            </w:r>
          </w:p>
        </w:tc>
      </w:tr>
    </w:tbl>
    <w:p w:rsidR="00613471" w:rsidRPr="00BA0FBF" w:rsidRDefault="00613471" w:rsidP="00613471">
      <w:pPr>
        <w:rPr>
          <w:sz w:val="20"/>
        </w:rPr>
      </w:pPr>
    </w:p>
    <w:p w:rsidR="00613471" w:rsidRPr="00BA0FBF" w:rsidRDefault="00613471" w:rsidP="00613471">
      <w:pPr>
        <w:rPr>
          <w:sz w:val="20"/>
        </w:rPr>
        <w:sectPr w:rsidR="00613471" w:rsidRPr="00BA0FBF" w:rsidSect="00BA0FBF">
          <w:headerReference w:type="even" r:id="rId15"/>
          <w:headerReference w:type="default" r:id="rId16"/>
          <w:footerReference w:type="even" r:id="rId17"/>
          <w:footerReference w:type="default" r:id="rId18"/>
          <w:headerReference w:type="first" r:id="rId19"/>
          <w:footerReference w:type="first" r:id="rId20"/>
          <w:pgSz w:w="11906" w:h="16838" w:code="9"/>
          <w:pgMar w:top="1361" w:right="1797" w:bottom="1474" w:left="1797" w:header="283" w:footer="454" w:gutter="0"/>
          <w:pgNumType w:fmt="lowerRoman"/>
          <w:cols w:space="708"/>
          <w:docGrid w:linePitch="360"/>
        </w:sectPr>
      </w:pPr>
    </w:p>
    <w:p w:rsidR="00613471" w:rsidRPr="00BA0FBF" w:rsidRDefault="00613471" w:rsidP="00613471">
      <w:pPr>
        <w:pStyle w:val="TOCHeading"/>
        <w:rPr>
          <w:sz w:val="36"/>
        </w:rPr>
      </w:pPr>
      <w:r w:rsidRPr="00BA0FBF">
        <w:rPr>
          <w:sz w:val="36"/>
        </w:rPr>
        <w:lastRenderedPageBreak/>
        <w:t>Contents</w:t>
      </w:r>
      <w:bookmarkStart w:id="4" w:name="_TOCMarker"/>
      <w:bookmarkEnd w:id="4"/>
    </w:p>
    <w:p w:rsidR="00691EC2" w:rsidRDefault="00691EC2">
      <w:pPr>
        <w:pStyle w:val="TOC1"/>
        <w:rPr>
          <w:rFonts w:eastAsiaTheme="minorEastAsia"/>
          <w:b w:val="0"/>
          <w:color w:val="auto"/>
          <w:lang w:eastAsia="en-AU"/>
        </w:rPr>
      </w:pPr>
      <w:r>
        <w:rPr>
          <w:b w:val="0"/>
          <w:sz w:val="20"/>
        </w:rPr>
        <w:fldChar w:fldCharType="begin"/>
      </w:r>
      <w:r>
        <w:rPr>
          <w:b w:val="0"/>
          <w:sz w:val="20"/>
        </w:rPr>
        <w:instrText xml:space="preserve"> TOC \o "2-2" \h \z \t "Heading 1,1,Heading 1 No Numbering,1,Section Heading,5" </w:instrText>
      </w:r>
      <w:r>
        <w:rPr>
          <w:b w:val="0"/>
          <w:sz w:val="20"/>
        </w:rPr>
        <w:fldChar w:fldCharType="separate"/>
      </w:r>
      <w:hyperlink w:anchor="_Toc437429839" w:history="1">
        <w:r w:rsidRPr="00E04062">
          <w:rPr>
            <w:rStyle w:val="Hyperlink"/>
          </w:rPr>
          <w:t>Foreword</w:t>
        </w:r>
        <w:r>
          <w:rPr>
            <w:webHidden/>
          </w:rPr>
          <w:tab/>
        </w:r>
        <w:r>
          <w:rPr>
            <w:webHidden/>
          </w:rPr>
          <w:fldChar w:fldCharType="begin"/>
        </w:r>
        <w:r>
          <w:rPr>
            <w:webHidden/>
          </w:rPr>
          <w:instrText xml:space="preserve"> PAGEREF _Toc437429839 \h </w:instrText>
        </w:r>
        <w:r>
          <w:rPr>
            <w:webHidden/>
          </w:rPr>
        </w:r>
        <w:r>
          <w:rPr>
            <w:webHidden/>
          </w:rPr>
          <w:fldChar w:fldCharType="separate"/>
        </w:r>
        <w:r w:rsidR="00076CF9">
          <w:rPr>
            <w:webHidden/>
          </w:rPr>
          <w:t>iv</w:t>
        </w:r>
        <w:r>
          <w:rPr>
            <w:webHidden/>
          </w:rPr>
          <w:fldChar w:fldCharType="end"/>
        </w:r>
      </w:hyperlink>
    </w:p>
    <w:p w:rsidR="00691EC2" w:rsidRDefault="00E62C4F">
      <w:pPr>
        <w:pStyle w:val="TOC1"/>
        <w:rPr>
          <w:rFonts w:eastAsiaTheme="minorEastAsia"/>
          <w:b w:val="0"/>
          <w:color w:val="auto"/>
          <w:lang w:eastAsia="en-AU"/>
        </w:rPr>
      </w:pPr>
      <w:hyperlink w:anchor="_Toc437429840" w:history="1">
        <w:r w:rsidR="00691EC2" w:rsidRPr="00E04062">
          <w:rPr>
            <w:rStyle w:val="Hyperlink"/>
          </w:rPr>
          <w:t>Overview</w:t>
        </w:r>
        <w:r w:rsidR="00691EC2">
          <w:rPr>
            <w:webHidden/>
          </w:rPr>
          <w:tab/>
        </w:r>
        <w:r w:rsidR="00691EC2">
          <w:rPr>
            <w:webHidden/>
          </w:rPr>
          <w:fldChar w:fldCharType="begin"/>
        </w:r>
        <w:r w:rsidR="00691EC2">
          <w:rPr>
            <w:webHidden/>
          </w:rPr>
          <w:instrText xml:space="preserve"> PAGEREF _Toc437429840 \h </w:instrText>
        </w:r>
        <w:r w:rsidR="00691EC2">
          <w:rPr>
            <w:webHidden/>
          </w:rPr>
        </w:r>
        <w:r w:rsidR="00691EC2">
          <w:rPr>
            <w:webHidden/>
          </w:rPr>
          <w:fldChar w:fldCharType="separate"/>
        </w:r>
        <w:r w:rsidR="00076CF9">
          <w:rPr>
            <w:webHidden/>
          </w:rPr>
          <w:t>v</w:t>
        </w:r>
        <w:r w:rsidR="00691EC2">
          <w:rPr>
            <w:webHidden/>
          </w:rPr>
          <w:fldChar w:fldCharType="end"/>
        </w:r>
      </w:hyperlink>
    </w:p>
    <w:p w:rsidR="00691EC2" w:rsidRDefault="00E62C4F">
      <w:pPr>
        <w:pStyle w:val="TOC1"/>
        <w:rPr>
          <w:rFonts w:eastAsiaTheme="minorEastAsia"/>
          <w:b w:val="0"/>
          <w:color w:val="auto"/>
          <w:lang w:eastAsia="en-AU"/>
        </w:rPr>
      </w:pPr>
      <w:hyperlink w:anchor="_Toc437429841" w:history="1">
        <w:r w:rsidR="00691EC2" w:rsidRPr="00E04062">
          <w:rPr>
            <w:rStyle w:val="Hyperlink"/>
          </w:rPr>
          <w:t>1</w:t>
        </w:r>
        <w:r w:rsidR="00691EC2">
          <w:rPr>
            <w:rFonts w:eastAsiaTheme="minorEastAsia"/>
            <w:b w:val="0"/>
            <w:color w:val="auto"/>
            <w:lang w:eastAsia="en-AU"/>
          </w:rPr>
          <w:tab/>
        </w:r>
        <w:r w:rsidR="00691EC2" w:rsidRPr="00E04062">
          <w:rPr>
            <w:rStyle w:val="Hyperlink"/>
          </w:rPr>
          <w:t>Introduction</w:t>
        </w:r>
        <w:r w:rsidR="00691EC2">
          <w:rPr>
            <w:webHidden/>
          </w:rPr>
          <w:tab/>
        </w:r>
        <w:r w:rsidR="00691EC2">
          <w:rPr>
            <w:webHidden/>
          </w:rPr>
          <w:fldChar w:fldCharType="begin"/>
        </w:r>
        <w:r w:rsidR="00691EC2">
          <w:rPr>
            <w:webHidden/>
          </w:rPr>
          <w:instrText xml:space="preserve"> PAGEREF _Toc437429841 \h </w:instrText>
        </w:r>
        <w:r w:rsidR="00691EC2">
          <w:rPr>
            <w:webHidden/>
          </w:rPr>
        </w:r>
        <w:r w:rsidR="00691EC2">
          <w:rPr>
            <w:webHidden/>
          </w:rPr>
          <w:fldChar w:fldCharType="separate"/>
        </w:r>
        <w:r w:rsidR="00076CF9">
          <w:rPr>
            <w:webHidden/>
          </w:rPr>
          <w:t>1</w:t>
        </w:r>
        <w:r w:rsidR="00691EC2">
          <w:rPr>
            <w:webHidden/>
          </w:rPr>
          <w:fldChar w:fldCharType="end"/>
        </w:r>
      </w:hyperlink>
    </w:p>
    <w:p w:rsidR="00691EC2" w:rsidRDefault="00E62C4F">
      <w:pPr>
        <w:pStyle w:val="TOC1"/>
        <w:rPr>
          <w:rFonts w:eastAsiaTheme="minorEastAsia"/>
          <w:b w:val="0"/>
          <w:color w:val="auto"/>
          <w:lang w:eastAsia="en-AU"/>
        </w:rPr>
      </w:pPr>
      <w:hyperlink w:anchor="_Toc437429842" w:history="1">
        <w:r w:rsidR="00691EC2" w:rsidRPr="00E04062">
          <w:rPr>
            <w:rStyle w:val="Hyperlink"/>
          </w:rPr>
          <w:t>2</w:t>
        </w:r>
        <w:r w:rsidR="00691EC2">
          <w:rPr>
            <w:rFonts w:eastAsiaTheme="minorEastAsia"/>
            <w:b w:val="0"/>
            <w:color w:val="auto"/>
            <w:lang w:eastAsia="en-AU"/>
          </w:rPr>
          <w:tab/>
        </w:r>
        <w:r w:rsidR="00691EC2" w:rsidRPr="00E04062">
          <w:rPr>
            <w:rStyle w:val="Hyperlink"/>
          </w:rPr>
          <w:t>The GST in Australia</w:t>
        </w:r>
        <w:r w:rsidR="00691EC2">
          <w:rPr>
            <w:webHidden/>
          </w:rPr>
          <w:tab/>
        </w:r>
        <w:r w:rsidR="00691EC2">
          <w:rPr>
            <w:webHidden/>
          </w:rPr>
          <w:fldChar w:fldCharType="begin"/>
        </w:r>
        <w:r w:rsidR="00691EC2">
          <w:rPr>
            <w:webHidden/>
          </w:rPr>
          <w:instrText xml:space="preserve"> PAGEREF _Toc437429842 \h </w:instrText>
        </w:r>
        <w:r w:rsidR="00691EC2">
          <w:rPr>
            <w:webHidden/>
          </w:rPr>
        </w:r>
        <w:r w:rsidR="00691EC2">
          <w:rPr>
            <w:webHidden/>
          </w:rPr>
          <w:fldChar w:fldCharType="separate"/>
        </w:r>
        <w:r w:rsidR="00076CF9">
          <w:rPr>
            <w:webHidden/>
          </w:rPr>
          <w:t>2</w:t>
        </w:r>
        <w:r w:rsidR="00691EC2">
          <w:rPr>
            <w:webHidden/>
          </w:rPr>
          <w:fldChar w:fldCharType="end"/>
        </w:r>
      </w:hyperlink>
    </w:p>
    <w:p w:rsidR="00691EC2" w:rsidRDefault="00E62C4F">
      <w:pPr>
        <w:pStyle w:val="TOC2"/>
        <w:rPr>
          <w:rFonts w:eastAsiaTheme="minorEastAsia"/>
          <w:szCs w:val="22"/>
          <w:lang w:eastAsia="en-AU"/>
        </w:rPr>
      </w:pPr>
      <w:hyperlink w:anchor="_Toc437429843" w:history="1">
        <w:r w:rsidR="00691EC2" w:rsidRPr="00E04062">
          <w:rPr>
            <w:rStyle w:val="Hyperlink"/>
          </w:rPr>
          <w:t>2.1</w:t>
        </w:r>
        <w:r w:rsidR="00691EC2">
          <w:rPr>
            <w:rFonts w:eastAsiaTheme="minorEastAsia"/>
            <w:szCs w:val="22"/>
            <w:lang w:eastAsia="en-AU"/>
          </w:rPr>
          <w:tab/>
        </w:r>
        <w:r w:rsidR="00691EC2" w:rsidRPr="00E04062">
          <w:rPr>
            <w:rStyle w:val="Hyperlink"/>
          </w:rPr>
          <w:t>Exclusions from the GST base</w:t>
        </w:r>
        <w:r w:rsidR="00691EC2">
          <w:rPr>
            <w:webHidden/>
          </w:rPr>
          <w:tab/>
        </w:r>
        <w:r w:rsidR="00691EC2">
          <w:rPr>
            <w:webHidden/>
          </w:rPr>
          <w:fldChar w:fldCharType="begin"/>
        </w:r>
        <w:r w:rsidR="00691EC2">
          <w:rPr>
            <w:webHidden/>
          </w:rPr>
          <w:instrText xml:space="preserve"> PAGEREF _Toc437429843 \h </w:instrText>
        </w:r>
        <w:r w:rsidR="00691EC2">
          <w:rPr>
            <w:webHidden/>
          </w:rPr>
        </w:r>
        <w:r w:rsidR="00691EC2">
          <w:rPr>
            <w:webHidden/>
          </w:rPr>
          <w:fldChar w:fldCharType="separate"/>
        </w:r>
        <w:r w:rsidR="00076CF9">
          <w:rPr>
            <w:webHidden/>
          </w:rPr>
          <w:t>2</w:t>
        </w:r>
        <w:r w:rsidR="00691EC2">
          <w:rPr>
            <w:webHidden/>
          </w:rPr>
          <w:fldChar w:fldCharType="end"/>
        </w:r>
      </w:hyperlink>
    </w:p>
    <w:p w:rsidR="00691EC2" w:rsidRDefault="00E62C4F">
      <w:pPr>
        <w:pStyle w:val="TOC2"/>
        <w:rPr>
          <w:rFonts w:eastAsiaTheme="minorEastAsia"/>
          <w:szCs w:val="22"/>
          <w:lang w:eastAsia="en-AU"/>
        </w:rPr>
      </w:pPr>
      <w:hyperlink w:anchor="_Toc437429844" w:history="1">
        <w:r w:rsidR="00691EC2" w:rsidRPr="00E04062">
          <w:rPr>
            <w:rStyle w:val="Hyperlink"/>
            <w:lang w:eastAsia="en-AU"/>
          </w:rPr>
          <w:t>2.2</w:t>
        </w:r>
        <w:r w:rsidR="00691EC2">
          <w:rPr>
            <w:rFonts w:eastAsiaTheme="minorEastAsia"/>
            <w:szCs w:val="22"/>
            <w:lang w:eastAsia="en-AU"/>
          </w:rPr>
          <w:tab/>
        </w:r>
        <w:r w:rsidR="00691EC2" w:rsidRPr="00E04062">
          <w:rPr>
            <w:rStyle w:val="Hyperlink"/>
            <w:lang w:eastAsia="en-AU"/>
          </w:rPr>
          <w:t>GST compensation arrangements</w:t>
        </w:r>
        <w:r w:rsidR="00691EC2">
          <w:rPr>
            <w:webHidden/>
          </w:rPr>
          <w:tab/>
        </w:r>
        <w:r w:rsidR="00691EC2">
          <w:rPr>
            <w:webHidden/>
          </w:rPr>
          <w:fldChar w:fldCharType="begin"/>
        </w:r>
        <w:r w:rsidR="00691EC2">
          <w:rPr>
            <w:webHidden/>
          </w:rPr>
          <w:instrText xml:space="preserve"> PAGEREF _Toc437429844 \h </w:instrText>
        </w:r>
        <w:r w:rsidR="00691EC2">
          <w:rPr>
            <w:webHidden/>
          </w:rPr>
        </w:r>
        <w:r w:rsidR="00691EC2">
          <w:rPr>
            <w:webHidden/>
          </w:rPr>
          <w:fldChar w:fldCharType="separate"/>
        </w:r>
        <w:r w:rsidR="00076CF9">
          <w:rPr>
            <w:webHidden/>
          </w:rPr>
          <w:t>3</w:t>
        </w:r>
        <w:r w:rsidR="00691EC2">
          <w:rPr>
            <w:webHidden/>
          </w:rPr>
          <w:fldChar w:fldCharType="end"/>
        </w:r>
      </w:hyperlink>
    </w:p>
    <w:p w:rsidR="00691EC2" w:rsidRDefault="00E62C4F">
      <w:pPr>
        <w:pStyle w:val="TOC2"/>
        <w:rPr>
          <w:rFonts w:eastAsiaTheme="minorEastAsia"/>
          <w:szCs w:val="22"/>
          <w:lang w:eastAsia="en-AU"/>
        </w:rPr>
      </w:pPr>
      <w:hyperlink w:anchor="_Toc437429845" w:history="1">
        <w:r w:rsidR="00691EC2" w:rsidRPr="00E04062">
          <w:rPr>
            <w:rStyle w:val="Hyperlink"/>
            <w:lang w:eastAsia="en-AU"/>
          </w:rPr>
          <w:t>2.3</w:t>
        </w:r>
        <w:r w:rsidR="00691EC2">
          <w:rPr>
            <w:rFonts w:eastAsiaTheme="minorEastAsia"/>
            <w:szCs w:val="22"/>
            <w:lang w:eastAsia="en-AU"/>
          </w:rPr>
          <w:tab/>
        </w:r>
        <w:r w:rsidR="00691EC2" w:rsidRPr="00E04062">
          <w:rPr>
            <w:rStyle w:val="Hyperlink"/>
            <w:lang w:eastAsia="en-AU"/>
          </w:rPr>
          <w:t>International comparison</w:t>
        </w:r>
        <w:r w:rsidR="00691EC2">
          <w:rPr>
            <w:webHidden/>
          </w:rPr>
          <w:tab/>
        </w:r>
        <w:r w:rsidR="00691EC2">
          <w:rPr>
            <w:webHidden/>
          </w:rPr>
          <w:fldChar w:fldCharType="begin"/>
        </w:r>
        <w:r w:rsidR="00691EC2">
          <w:rPr>
            <w:webHidden/>
          </w:rPr>
          <w:instrText xml:space="preserve"> PAGEREF _Toc437429845 \h </w:instrText>
        </w:r>
        <w:r w:rsidR="00691EC2">
          <w:rPr>
            <w:webHidden/>
          </w:rPr>
        </w:r>
        <w:r w:rsidR="00691EC2">
          <w:rPr>
            <w:webHidden/>
          </w:rPr>
          <w:fldChar w:fldCharType="separate"/>
        </w:r>
        <w:r w:rsidR="00076CF9">
          <w:rPr>
            <w:webHidden/>
          </w:rPr>
          <w:t>5</w:t>
        </w:r>
        <w:r w:rsidR="00691EC2">
          <w:rPr>
            <w:webHidden/>
          </w:rPr>
          <w:fldChar w:fldCharType="end"/>
        </w:r>
      </w:hyperlink>
    </w:p>
    <w:p w:rsidR="00691EC2" w:rsidRDefault="00E62C4F">
      <w:pPr>
        <w:pStyle w:val="TOC1"/>
        <w:rPr>
          <w:rFonts w:eastAsiaTheme="minorEastAsia"/>
          <w:b w:val="0"/>
          <w:color w:val="auto"/>
          <w:lang w:eastAsia="en-AU"/>
        </w:rPr>
      </w:pPr>
      <w:hyperlink w:anchor="_Toc437429846" w:history="1">
        <w:r w:rsidR="00691EC2" w:rsidRPr="00E04062">
          <w:rPr>
            <w:rStyle w:val="Hyperlink"/>
          </w:rPr>
          <w:t>3</w:t>
        </w:r>
        <w:r w:rsidR="00691EC2">
          <w:rPr>
            <w:rFonts w:eastAsiaTheme="minorEastAsia"/>
            <w:b w:val="0"/>
            <w:color w:val="auto"/>
            <w:lang w:eastAsia="en-AU"/>
          </w:rPr>
          <w:tab/>
        </w:r>
        <w:r w:rsidR="00691EC2" w:rsidRPr="00E04062">
          <w:rPr>
            <w:rStyle w:val="Hyperlink"/>
          </w:rPr>
          <w:t>Distributional analysis of the GST</w:t>
        </w:r>
        <w:r w:rsidR="00691EC2">
          <w:rPr>
            <w:webHidden/>
          </w:rPr>
          <w:tab/>
        </w:r>
        <w:r w:rsidR="00691EC2">
          <w:rPr>
            <w:webHidden/>
          </w:rPr>
          <w:fldChar w:fldCharType="begin"/>
        </w:r>
        <w:r w:rsidR="00691EC2">
          <w:rPr>
            <w:webHidden/>
          </w:rPr>
          <w:instrText xml:space="preserve"> PAGEREF _Toc437429846 \h </w:instrText>
        </w:r>
        <w:r w:rsidR="00691EC2">
          <w:rPr>
            <w:webHidden/>
          </w:rPr>
        </w:r>
        <w:r w:rsidR="00691EC2">
          <w:rPr>
            <w:webHidden/>
          </w:rPr>
          <w:fldChar w:fldCharType="separate"/>
        </w:r>
        <w:r w:rsidR="00076CF9">
          <w:rPr>
            <w:webHidden/>
          </w:rPr>
          <w:t>7</w:t>
        </w:r>
        <w:r w:rsidR="00691EC2">
          <w:rPr>
            <w:webHidden/>
          </w:rPr>
          <w:fldChar w:fldCharType="end"/>
        </w:r>
      </w:hyperlink>
    </w:p>
    <w:p w:rsidR="00691EC2" w:rsidRDefault="00E62C4F">
      <w:pPr>
        <w:pStyle w:val="TOC2"/>
        <w:rPr>
          <w:rFonts w:eastAsiaTheme="minorEastAsia"/>
          <w:szCs w:val="22"/>
          <w:lang w:eastAsia="en-AU"/>
        </w:rPr>
      </w:pPr>
      <w:hyperlink w:anchor="_Toc437429847" w:history="1">
        <w:r w:rsidR="00691EC2" w:rsidRPr="00E04062">
          <w:rPr>
            <w:rStyle w:val="Hyperlink"/>
          </w:rPr>
          <w:t>3.1</w:t>
        </w:r>
        <w:r w:rsidR="00691EC2">
          <w:rPr>
            <w:rFonts w:eastAsiaTheme="minorEastAsia"/>
            <w:szCs w:val="22"/>
            <w:lang w:eastAsia="en-AU"/>
          </w:rPr>
          <w:tab/>
        </w:r>
        <w:r w:rsidR="00691EC2" w:rsidRPr="00E04062">
          <w:rPr>
            <w:rStyle w:val="Hyperlink"/>
          </w:rPr>
          <w:t>Distributional analysis of household saving</w:t>
        </w:r>
        <w:r w:rsidR="00691EC2">
          <w:rPr>
            <w:webHidden/>
          </w:rPr>
          <w:tab/>
        </w:r>
        <w:r w:rsidR="00691EC2">
          <w:rPr>
            <w:webHidden/>
          </w:rPr>
          <w:fldChar w:fldCharType="begin"/>
        </w:r>
        <w:r w:rsidR="00691EC2">
          <w:rPr>
            <w:webHidden/>
          </w:rPr>
          <w:instrText xml:space="preserve"> PAGEREF _Toc437429847 \h </w:instrText>
        </w:r>
        <w:r w:rsidR="00691EC2">
          <w:rPr>
            <w:webHidden/>
          </w:rPr>
        </w:r>
        <w:r w:rsidR="00691EC2">
          <w:rPr>
            <w:webHidden/>
          </w:rPr>
          <w:fldChar w:fldCharType="separate"/>
        </w:r>
        <w:r w:rsidR="00076CF9">
          <w:rPr>
            <w:webHidden/>
          </w:rPr>
          <w:t>8</w:t>
        </w:r>
        <w:r w:rsidR="00691EC2">
          <w:rPr>
            <w:webHidden/>
          </w:rPr>
          <w:fldChar w:fldCharType="end"/>
        </w:r>
      </w:hyperlink>
    </w:p>
    <w:p w:rsidR="00691EC2" w:rsidRDefault="00E62C4F">
      <w:pPr>
        <w:pStyle w:val="TOC2"/>
        <w:rPr>
          <w:rFonts w:eastAsiaTheme="minorEastAsia"/>
          <w:szCs w:val="22"/>
          <w:lang w:eastAsia="en-AU"/>
        </w:rPr>
      </w:pPr>
      <w:hyperlink w:anchor="_Toc437429848" w:history="1">
        <w:r w:rsidR="00691EC2" w:rsidRPr="00E04062">
          <w:rPr>
            <w:rStyle w:val="Hyperlink"/>
          </w:rPr>
          <w:t>3.2</w:t>
        </w:r>
        <w:r w:rsidR="00691EC2">
          <w:rPr>
            <w:rFonts w:eastAsiaTheme="minorEastAsia"/>
            <w:szCs w:val="22"/>
            <w:lang w:eastAsia="en-AU"/>
          </w:rPr>
          <w:tab/>
        </w:r>
        <w:r w:rsidR="00691EC2" w:rsidRPr="00E04062">
          <w:rPr>
            <w:rStyle w:val="Hyperlink"/>
          </w:rPr>
          <w:t>Distributional analysis of the GST</w:t>
        </w:r>
        <w:r w:rsidR="00691EC2">
          <w:rPr>
            <w:webHidden/>
          </w:rPr>
          <w:tab/>
        </w:r>
        <w:r w:rsidR="00691EC2">
          <w:rPr>
            <w:webHidden/>
          </w:rPr>
          <w:fldChar w:fldCharType="begin"/>
        </w:r>
        <w:r w:rsidR="00691EC2">
          <w:rPr>
            <w:webHidden/>
          </w:rPr>
          <w:instrText xml:space="preserve"> PAGEREF _Toc437429848 \h </w:instrText>
        </w:r>
        <w:r w:rsidR="00691EC2">
          <w:rPr>
            <w:webHidden/>
          </w:rPr>
        </w:r>
        <w:r w:rsidR="00691EC2">
          <w:rPr>
            <w:webHidden/>
          </w:rPr>
          <w:fldChar w:fldCharType="separate"/>
        </w:r>
        <w:r w:rsidR="00076CF9">
          <w:rPr>
            <w:webHidden/>
          </w:rPr>
          <w:t>9</w:t>
        </w:r>
        <w:r w:rsidR="00691EC2">
          <w:rPr>
            <w:webHidden/>
          </w:rPr>
          <w:fldChar w:fldCharType="end"/>
        </w:r>
      </w:hyperlink>
    </w:p>
    <w:p w:rsidR="00691EC2" w:rsidRDefault="00E62C4F">
      <w:pPr>
        <w:pStyle w:val="TOC2"/>
        <w:rPr>
          <w:rFonts w:eastAsiaTheme="minorEastAsia"/>
          <w:szCs w:val="22"/>
          <w:lang w:eastAsia="en-AU"/>
        </w:rPr>
      </w:pPr>
      <w:hyperlink w:anchor="_Toc437429849" w:history="1">
        <w:r w:rsidR="00691EC2" w:rsidRPr="00E04062">
          <w:rPr>
            <w:rStyle w:val="Hyperlink"/>
          </w:rPr>
          <w:t>3.3</w:t>
        </w:r>
        <w:r w:rsidR="00691EC2">
          <w:rPr>
            <w:rFonts w:eastAsiaTheme="minorEastAsia"/>
            <w:szCs w:val="22"/>
            <w:lang w:eastAsia="en-AU"/>
          </w:rPr>
          <w:tab/>
        </w:r>
        <w:r w:rsidR="00691EC2" w:rsidRPr="00E04062">
          <w:rPr>
            <w:rStyle w:val="Hyperlink"/>
          </w:rPr>
          <w:t>Distributional analysis of GST concessions</w:t>
        </w:r>
        <w:r w:rsidR="00691EC2">
          <w:rPr>
            <w:webHidden/>
          </w:rPr>
          <w:tab/>
        </w:r>
        <w:r w:rsidR="00691EC2">
          <w:rPr>
            <w:webHidden/>
          </w:rPr>
          <w:fldChar w:fldCharType="begin"/>
        </w:r>
        <w:r w:rsidR="00691EC2">
          <w:rPr>
            <w:webHidden/>
          </w:rPr>
          <w:instrText xml:space="preserve"> PAGEREF _Toc437429849 \h </w:instrText>
        </w:r>
        <w:r w:rsidR="00691EC2">
          <w:rPr>
            <w:webHidden/>
          </w:rPr>
        </w:r>
        <w:r w:rsidR="00691EC2">
          <w:rPr>
            <w:webHidden/>
          </w:rPr>
          <w:fldChar w:fldCharType="separate"/>
        </w:r>
        <w:r w:rsidR="00076CF9">
          <w:rPr>
            <w:webHidden/>
          </w:rPr>
          <w:t>10</w:t>
        </w:r>
        <w:r w:rsidR="00691EC2">
          <w:rPr>
            <w:webHidden/>
          </w:rPr>
          <w:fldChar w:fldCharType="end"/>
        </w:r>
      </w:hyperlink>
    </w:p>
    <w:p w:rsidR="00691EC2" w:rsidRDefault="00E62C4F">
      <w:pPr>
        <w:pStyle w:val="TOC1"/>
        <w:rPr>
          <w:rFonts w:eastAsiaTheme="minorEastAsia"/>
          <w:b w:val="0"/>
          <w:color w:val="auto"/>
          <w:lang w:eastAsia="en-AU"/>
        </w:rPr>
      </w:pPr>
      <w:hyperlink w:anchor="_Toc437429850" w:history="1">
        <w:r w:rsidR="00691EC2" w:rsidRPr="00E04062">
          <w:rPr>
            <w:rStyle w:val="Hyperlink"/>
            <w:lang w:eastAsia="en-AU"/>
          </w:rPr>
          <w:t>4</w:t>
        </w:r>
        <w:r w:rsidR="00691EC2">
          <w:rPr>
            <w:rFonts w:eastAsiaTheme="minorEastAsia"/>
            <w:b w:val="0"/>
            <w:color w:val="auto"/>
            <w:lang w:eastAsia="en-AU"/>
          </w:rPr>
          <w:tab/>
        </w:r>
        <w:r w:rsidR="00691EC2" w:rsidRPr="00E04062">
          <w:rPr>
            <w:rStyle w:val="Hyperlink"/>
            <w:lang w:eastAsia="en-AU"/>
          </w:rPr>
          <w:t>Analysis of GST reform scenarios</w:t>
        </w:r>
        <w:r w:rsidR="00691EC2">
          <w:rPr>
            <w:webHidden/>
          </w:rPr>
          <w:tab/>
        </w:r>
        <w:r w:rsidR="00691EC2">
          <w:rPr>
            <w:webHidden/>
          </w:rPr>
          <w:fldChar w:fldCharType="begin"/>
        </w:r>
        <w:r w:rsidR="00691EC2">
          <w:rPr>
            <w:webHidden/>
          </w:rPr>
          <w:instrText xml:space="preserve"> PAGEREF _Toc437429850 \h </w:instrText>
        </w:r>
        <w:r w:rsidR="00691EC2">
          <w:rPr>
            <w:webHidden/>
          </w:rPr>
        </w:r>
        <w:r w:rsidR="00691EC2">
          <w:rPr>
            <w:webHidden/>
          </w:rPr>
          <w:fldChar w:fldCharType="separate"/>
        </w:r>
        <w:r w:rsidR="00076CF9">
          <w:rPr>
            <w:webHidden/>
          </w:rPr>
          <w:t>18</w:t>
        </w:r>
        <w:r w:rsidR="00691EC2">
          <w:rPr>
            <w:webHidden/>
          </w:rPr>
          <w:fldChar w:fldCharType="end"/>
        </w:r>
      </w:hyperlink>
    </w:p>
    <w:p w:rsidR="00691EC2" w:rsidRDefault="00E62C4F">
      <w:pPr>
        <w:pStyle w:val="TOC2"/>
        <w:rPr>
          <w:rFonts w:eastAsiaTheme="minorEastAsia"/>
          <w:szCs w:val="22"/>
          <w:lang w:eastAsia="en-AU"/>
        </w:rPr>
      </w:pPr>
      <w:hyperlink w:anchor="_Toc437429851" w:history="1">
        <w:r w:rsidR="00691EC2" w:rsidRPr="00E04062">
          <w:rPr>
            <w:rStyle w:val="Hyperlink"/>
          </w:rPr>
          <w:t>4.1</w:t>
        </w:r>
        <w:r w:rsidR="00691EC2">
          <w:rPr>
            <w:rFonts w:eastAsiaTheme="minorEastAsia"/>
            <w:szCs w:val="22"/>
            <w:lang w:eastAsia="en-AU"/>
          </w:rPr>
          <w:tab/>
        </w:r>
        <w:r w:rsidR="00691EC2" w:rsidRPr="00E04062">
          <w:rPr>
            <w:rStyle w:val="Hyperlink"/>
          </w:rPr>
          <w:t>Methodology and key assumptions</w:t>
        </w:r>
        <w:r w:rsidR="00691EC2">
          <w:rPr>
            <w:webHidden/>
          </w:rPr>
          <w:tab/>
        </w:r>
        <w:r w:rsidR="00691EC2">
          <w:rPr>
            <w:webHidden/>
          </w:rPr>
          <w:fldChar w:fldCharType="begin"/>
        </w:r>
        <w:r w:rsidR="00691EC2">
          <w:rPr>
            <w:webHidden/>
          </w:rPr>
          <w:instrText xml:space="preserve"> PAGEREF _Toc437429851 \h </w:instrText>
        </w:r>
        <w:r w:rsidR="00691EC2">
          <w:rPr>
            <w:webHidden/>
          </w:rPr>
        </w:r>
        <w:r w:rsidR="00691EC2">
          <w:rPr>
            <w:webHidden/>
          </w:rPr>
          <w:fldChar w:fldCharType="separate"/>
        </w:r>
        <w:r w:rsidR="00076CF9">
          <w:rPr>
            <w:webHidden/>
          </w:rPr>
          <w:t>18</w:t>
        </w:r>
        <w:r w:rsidR="00691EC2">
          <w:rPr>
            <w:webHidden/>
          </w:rPr>
          <w:fldChar w:fldCharType="end"/>
        </w:r>
      </w:hyperlink>
    </w:p>
    <w:p w:rsidR="00691EC2" w:rsidRDefault="00E62C4F">
      <w:pPr>
        <w:pStyle w:val="TOC2"/>
        <w:rPr>
          <w:rFonts w:eastAsiaTheme="minorEastAsia"/>
          <w:szCs w:val="22"/>
          <w:lang w:eastAsia="en-AU"/>
        </w:rPr>
      </w:pPr>
      <w:hyperlink w:anchor="_Toc437429852" w:history="1">
        <w:r w:rsidR="00691EC2" w:rsidRPr="00E04062">
          <w:rPr>
            <w:rStyle w:val="Hyperlink"/>
          </w:rPr>
          <w:t>4.2</w:t>
        </w:r>
        <w:r w:rsidR="00691EC2">
          <w:rPr>
            <w:rFonts w:eastAsiaTheme="minorEastAsia"/>
            <w:szCs w:val="22"/>
            <w:lang w:eastAsia="en-AU"/>
          </w:rPr>
          <w:tab/>
        </w:r>
        <w:r w:rsidR="00691EC2" w:rsidRPr="00E04062">
          <w:rPr>
            <w:rStyle w:val="Hyperlink"/>
          </w:rPr>
          <w:t>Scenario 1: basic food subject to GST</w:t>
        </w:r>
        <w:r w:rsidR="00691EC2">
          <w:rPr>
            <w:webHidden/>
          </w:rPr>
          <w:tab/>
        </w:r>
        <w:r w:rsidR="00691EC2">
          <w:rPr>
            <w:webHidden/>
          </w:rPr>
          <w:fldChar w:fldCharType="begin"/>
        </w:r>
        <w:r w:rsidR="00691EC2">
          <w:rPr>
            <w:webHidden/>
          </w:rPr>
          <w:instrText xml:space="preserve"> PAGEREF _Toc437429852 \h </w:instrText>
        </w:r>
        <w:r w:rsidR="00691EC2">
          <w:rPr>
            <w:webHidden/>
          </w:rPr>
        </w:r>
        <w:r w:rsidR="00691EC2">
          <w:rPr>
            <w:webHidden/>
          </w:rPr>
          <w:fldChar w:fldCharType="separate"/>
        </w:r>
        <w:r w:rsidR="00076CF9">
          <w:rPr>
            <w:webHidden/>
          </w:rPr>
          <w:t>21</w:t>
        </w:r>
        <w:r w:rsidR="00691EC2">
          <w:rPr>
            <w:webHidden/>
          </w:rPr>
          <w:fldChar w:fldCharType="end"/>
        </w:r>
      </w:hyperlink>
    </w:p>
    <w:p w:rsidR="00691EC2" w:rsidRDefault="00E62C4F">
      <w:pPr>
        <w:pStyle w:val="TOC2"/>
        <w:rPr>
          <w:rFonts w:eastAsiaTheme="minorEastAsia"/>
          <w:szCs w:val="22"/>
          <w:lang w:eastAsia="en-AU"/>
        </w:rPr>
      </w:pPr>
      <w:hyperlink w:anchor="_Toc437429853" w:history="1">
        <w:r w:rsidR="00691EC2" w:rsidRPr="00E04062">
          <w:rPr>
            <w:rStyle w:val="Hyperlink"/>
          </w:rPr>
          <w:t>4.3</w:t>
        </w:r>
        <w:r w:rsidR="00691EC2">
          <w:rPr>
            <w:rFonts w:eastAsiaTheme="minorEastAsia"/>
            <w:szCs w:val="22"/>
            <w:lang w:eastAsia="en-AU"/>
          </w:rPr>
          <w:tab/>
        </w:r>
        <w:r w:rsidR="00691EC2" w:rsidRPr="00E04062">
          <w:rPr>
            <w:rStyle w:val="Hyperlink"/>
          </w:rPr>
          <w:t>Scenario 2: remove concessions from GST base</w:t>
        </w:r>
        <w:r w:rsidR="00691EC2">
          <w:rPr>
            <w:webHidden/>
          </w:rPr>
          <w:tab/>
        </w:r>
        <w:r w:rsidR="00691EC2">
          <w:rPr>
            <w:webHidden/>
          </w:rPr>
          <w:fldChar w:fldCharType="begin"/>
        </w:r>
        <w:r w:rsidR="00691EC2">
          <w:rPr>
            <w:webHidden/>
          </w:rPr>
          <w:instrText xml:space="preserve"> PAGEREF _Toc437429853 \h </w:instrText>
        </w:r>
        <w:r w:rsidR="00691EC2">
          <w:rPr>
            <w:webHidden/>
          </w:rPr>
        </w:r>
        <w:r w:rsidR="00691EC2">
          <w:rPr>
            <w:webHidden/>
          </w:rPr>
          <w:fldChar w:fldCharType="separate"/>
        </w:r>
        <w:r w:rsidR="00076CF9">
          <w:rPr>
            <w:webHidden/>
          </w:rPr>
          <w:t>23</w:t>
        </w:r>
        <w:r w:rsidR="00691EC2">
          <w:rPr>
            <w:webHidden/>
          </w:rPr>
          <w:fldChar w:fldCharType="end"/>
        </w:r>
      </w:hyperlink>
    </w:p>
    <w:p w:rsidR="00691EC2" w:rsidRDefault="00E62C4F">
      <w:pPr>
        <w:pStyle w:val="TOC2"/>
        <w:rPr>
          <w:rFonts w:eastAsiaTheme="minorEastAsia"/>
          <w:szCs w:val="22"/>
          <w:lang w:eastAsia="en-AU"/>
        </w:rPr>
      </w:pPr>
      <w:hyperlink w:anchor="_Toc437429854" w:history="1">
        <w:r w:rsidR="00691EC2" w:rsidRPr="00E04062">
          <w:rPr>
            <w:rStyle w:val="Hyperlink"/>
          </w:rPr>
          <w:t>4.4</w:t>
        </w:r>
        <w:r w:rsidR="00691EC2">
          <w:rPr>
            <w:rFonts w:eastAsiaTheme="minorEastAsia"/>
            <w:szCs w:val="22"/>
            <w:lang w:eastAsia="en-AU"/>
          </w:rPr>
          <w:tab/>
        </w:r>
        <w:r w:rsidR="00691EC2" w:rsidRPr="00E04062">
          <w:rPr>
            <w:rStyle w:val="Hyperlink"/>
          </w:rPr>
          <w:t>Scenario 3: increase the GST rate to 15 per cent</w:t>
        </w:r>
        <w:r w:rsidR="00691EC2">
          <w:rPr>
            <w:webHidden/>
          </w:rPr>
          <w:tab/>
        </w:r>
        <w:r w:rsidR="00691EC2">
          <w:rPr>
            <w:webHidden/>
          </w:rPr>
          <w:fldChar w:fldCharType="begin"/>
        </w:r>
        <w:r w:rsidR="00691EC2">
          <w:rPr>
            <w:webHidden/>
          </w:rPr>
          <w:instrText xml:space="preserve"> PAGEREF _Toc437429854 \h </w:instrText>
        </w:r>
        <w:r w:rsidR="00691EC2">
          <w:rPr>
            <w:webHidden/>
          </w:rPr>
        </w:r>
        <w:r w:rsidR="00691EC2">
          <w:rPr>
            <w:webHidden/>
          </w:rPr>
          <w:fldChar w:fldCharType="separate"/>
        </w:r>
        <w:r w:rsidR="00076CF9">
          <w:rPr>
            <w:webHidden/>
          </w:rPr>
          <w:t>25</w:t>
        </w:r>
        <w:r w:rsidR="00691EC2">
          <w:rPr>
            <w:webHidden/>
          </w:rPr>
          <w:fldChar w:fldCharType="end"/>
        </w:r>
      </w:hyperlink>
    </w:p>
    <w:p w:rsidR="00691EC2" w:rsidRDefault="00E62C4F">
      <w:pPr>
        <w:pStyle w:val="TOC2"/>
        <w:rPr>
          <w:rFonts w:eastAsiaTheme="minorEastAsia"/>
          <w:szCs w:val="22"/>
          <w:lang w:eastAsia="en-AU"/>
        </w:rPr>
      </w:pPr>
      <w:hyperlink w:anchor="_Toc437429855" w:history="1">
        <w:r w:rsidR="00691EC2" w:rsidRPr="00E04062">
          <w:rPr>
            <w:rStyle w:val="Hyperlink"/>
          </w:rPr>
          <w:t>4.5</w:t>
        </w:r>
        <w:r w:rsidR="00691EC2">
          <w:rPr>
            <w:rFonts w:eastAsiaTheme="minorEastAsia"/>
            <w:szCs w:val="22"/>
            <w:lang w:eastAsia="en-AU"/>
          </w:rPr>
          <w:tab/>
        </w:r>
        <w:r w:rsidR="00691EC2" w:rsidRPr="00E04062">
          <w:rPr>
            <w:rStyle w:val="Hyperlink"/>
          </w:rPr>
          <w:t>Scenario 4: 15 per cent GST; basic food subject to GST</w:t>
        </w:r>
        <w:r w:rsidR="00691EC2">
          <w:rPr>
            <w:webHidden/>
          </w:rPr>
          <w:tab/>
        </w:r>
        <w:r w:rsidR="00691EC2">
          <w:rPr>
            <w:webHidden/>
          </w:rPr>
          <w:fldChar w:fldCharType="begin"/>
        </w:r>
        <w:r w:rsidR="00691EC2">
          <w:rPr>
            <w:webHidden/>
          </w:rPr>
          <w:instrText xml:space="preserve"> PAGEREF _Toc437429855 \h </w:instrText>
        </w:r>
        <w:r w:rsidR="00691EC2">
          <w:rPr>
            <w:webHidden/>
          </w:rPr>
        </w:r>
        <w:r w:rsidR="00691EC2">
          <w:rPr>
            <w:webHidden/>
          </w:rPr>
          <w:fldChar w:fldCharType="separate"/>
        </w:r>
        <w:r w:rsidR="00076CF9">
          <w:rPr>
            <w:webHidden/>
          </w:rPr>
          <w:t>27</w:t>
        </w:r>
        <w:r w:rsidR="00691EC2">
          <w:rPr>
            <w:webHidden/>
          </w:rPr>
          <w:fldChar w:fldCharType="end"/>
        </w:r>
      </w:hyperlink>
    </w:p>
    <w:p w:rsidR="00691EC2" w:rsidRDefault="00E62C4F">
      <w:pPr>
        <w:pStyle w:val="TOC2"/>
        <w:rPr>
          <w:rFonts w:eastAsiaTheme="minorEastAsia"/>
          <w:szCs w:val="22"/>
          <w:lang w:eastAsia="en-AU"/>
        </w:rPr>
      </w:pPr>
      <w:hyperlink w:anchor="_Toc437429856" w:history="1">
        <w:r w:rsidR="00691EC2" w:rsidRPr="00E04062">
          <w:rPr>
            <w:rStyle w:val="Hyperlink"/>
          </w:rPr>
          <w:t>4.6</w:t>
        </w:r>
        <w:r w:rsidR="00691EC2">
          <w:rPr>
            <w:rFonts w:eastAsiaTheme="minorEastAsia"/>
            <w:szCs w:val="22"/>
            <w:lang w:eastAsia="en-AU"/>
          </w:rPr>
          <w:tab/>
        </w:r>
        <w:r w:rsidR="00691EC2" w:rsidRPr="00E04062">
          <w:rPr>
            <w:rStyle w:val="Hyperlink"/>
          </w:rPr>
          <w:t>Scenario 5: 15 per cent GST; remove concessions</w:t>
        </w:r>
        <w:r w:rsidR="00691EC2">
          <w:rPr>
            <w:webHidden/>
          </w:rPr>
          <w:tab/>
        </w:r>
        <w:r w:rsidR="00691EC2">
          <w:rPr>
            <w:webHidden/>
          </w:rPr>
          <w:fldChar w:fldCharType="begin"/>
        </w:r>
        <w:r w:rsidR="00691EC2">
          <w:rPr>
            <w:webHidden/>
          </w:rPr>
          <w:instrText xml:space="preserve"> PAGEREF _Toc437429856 \h </w:instrText>
        </w:r>
        <w:r w:rsidR="00691EC2">
          <w:rPr>
            <w:webHidden/>
          </w:rPr>
        </w:r>
        <w:r w:rsidR="00691EC2">
          <w:rPr>
            <w:webHidden/>
          </w:rPr>
          <w:fldChar w:fldCharType="separate"/>
        </w:r>
        <w:r w:rsidR="00076CF9">
          <w:rPr>
            <w:webHidden/>
          </w:rPr>
          <w:t>29</w:t>
        </w:r>
        <w:r w:rsidR="00691EC2">
          <w:rPr>
            <w:webHidden/>
          </w:rPr>
          <w:fldChar w:fldCharType="end"/>
        </w:r>
      </w:hyperlink>
    </w:p>
    <w:p w:rsidR="00691EC2" w:rsidRDefault="00E62C4F">
      <w:pPr>
        <w:pStyle w:val="TOC2"/>
        <w:rPr>
          <w:rFonts w:eastAsiaTheme="minorEastAsia"/>
          <w:szCs w:val="22"/>
          <w:lang w:eastAsia="en-AU"/>
        </w:rPr>
      </w:pPr>
      <w:hyperlink w:anchor="_Toc437429857" w:history="1">
        <w:r w:rsidR="00691EC2" w:rsidRPr="00E04062">
          <w:rPr>
            <w:rStyle w:val="Hyperlink"/>
          </w:rPr>
          <w:t>4.7</w:t>
        </w:r>
        <w:r w:rsidR="00691EC2">
          <w:rPr>
            <w:rFonts w:eastAsiaTheme="minorEastAsia"/>
            <w:szCs w:val="22"/>
            <w:lang w:eastAsia="en-AU"/>
          </w:rPr>
          <w:tab/>
        </w:r>
        <w:r w:rsidR="00691EC2" w:rsidRPr="00E04062">
          <w:rPr>
            <w:rStyle w:val="Hyperlink"/>
          </w:rPr>
          <w:t>Summary</w:t>
        </w:r>
        <w:r w:rsidR="00691EC2">
          <w:rPr>
            <w:webHidden/>
          </w:rPr>
          <w:tab/>
        </w:r>
        <w:r w:rsidR="00691EC2">
          <w:rPr>
            <w:webHidden/>
          </w:rPr>
          <w:fldChar w:fldCharType="begin"/>
        </w:r>
        <w:r w:rsidR="00691EC2">
          <w:rPr>
            <w:webHidden/>
          </w:rPr>
          <w:instrText xml:space="preserve"> PAGEREF _Toc437429857 \h </w:instrText>
        </w:r>
        <w:r w:rsidR="00691EC2">
          <w:rPr>
            <w:webHidden/>
          </w:rPr>
        </w:r>
        <w:r w:rsidR="00691EC2">
          <w:rPr>
            <w:webHidden/>
          </w:rPr>
          <w:fldChar w:fldCharType="separate"/>
        </w:r>
        <w:r w:rsidR="00076CF9">
          <w:rPr>
            <w:webHidden/>
          </w:rPr>
          <w:t>31</w:t>
        </w:r>
        <w:r w:rsidR="00691EC2">
          <w:rPr>
            <w:webHidden/>
          </w:rPr>
          <w:fldChar w:fldCharType="end"/>
        </w:r>
      </w:hyperlink>
    </w:p>
    <w:p w:rsidR="00691EC2" w:rsidRDefault="00E62C4F">
      <w:pPr>
        <w:pStyle w:val="TOC1"/>
        <w:rPr>
          <w:rFonts w:eastAsiaTheme="minorEastAsia"/>
          <w:b w:val="0"/>
          <w:color w:val="auto"/>
          <w:lang w:eastAsia="en-AU"/>
        </w:rPr>
      </w:pPr>
      <w:hyperlink w:anchor="_Toc437429858" w:history="1">
        <w:r w:rsidR="00691EC2" w:rsidRPr="00E04062">
          <w:rPr>
            <w:rStyle w:val="Hyperlink"/>
          </w:rPr>
          <w:t>References</w:t>
        </w:r>
        <w:r w:rsidR="00691EC2">
          <w:rPr>
            <w:webHidden/>
          </w:rPr>
          <w:tab/>
        </w:r>
        <w:r w:rsidR="00691EC2">
          <w:rPr>
            <w:webHidden/>
          </w:rPr>
          <w:fldChar w:fldCharType="begin"/>
        </w:r>
        <w:r w:rsidR="00691EC2">
          <w:rPr>
            <w:webHidden/>
          </w:rPr>
          <w:instrText xml:space="preserve"> PAGEREF _Toc437429858 \h </w:instrText>
        </w:r>
        <w:r w:rsidR="00691EC2">
          <w:rPr>
            <w:webHidden/>
          </w:rPr>
        </w:r>
        <w:r w:rsidR="00691EC2">
          <w:rPr>
            <w:webHidden/>
          </w:rPr>
          <w:fldChar w:fldCharType="separate"/>
        </w:r>
        <w:r w:rsidR="00076CF9">
          <w:rPr>
            <w:webHidden/>
          </w:rPr>
          <w:t>33</w:t>
        </w:r>
        <w:r w:rsidR="00691EC2">
          <w:rPr>
            <w:webHidden/>
          </w:rPr>
          <w:fldChar w:fldCharType="end"/>
        </w:r>
      </w:hyperlink>
    </w:p>
    <w:p w:rsidR="00691EC2" w:rsidRDefault="00E62C4F">
      <w:pPr>
        <w:pStyle w:val="TOC1"/>
        <w:rPr>
          <w:rFonts w:eastAsiaTheme="minorEastAsia"/>
          <w:b w:val="0"/>
          <w:color w:val="auto"/>
          <w:lang w:eastAsia="en-AU"/>
        </w:rPr>
      </w:pPr>
      <w:hyperlink w:anchor="_Toc437429859" w:history="1">
        <w:r w:rsidR="00691EC2" w:rsidRPr="00E04062">
          <w:rPr>
            <w:rStyle w:val="Hyperlink"/>
          </w:rPr>
          <w:t>List of figures</w:t>
        </w:r>
        <w:r w:rsidR="00691EC2">
          <w:rPr>
            <w:webHidden/>
          </w:rPr>
          <w:tab/>
        </w:r>
        <w:r w:rsidR="00691EC2">
          <w:rPr>
            <w:webHidden/>
          </w:rPr>
          <w:fldChar w:fldCharType="begin"/>
        </w:r>
        <w:r w:rsidR="00691EC2">
          <w:rPr>
            <w:webHidden/>
          </w:rPr>
          <w:instrText xml:space="preserve"> PAGEREF _Toc437429859 \h </w:instrText>
        </w:r>
        <w:r w:rsidR="00691EC2">
          <w:rPr>
            <w:webHidden/>
          </w:rPr>
        </w:r>
        <w:r w:rsidR="00691EC2">
          <w:rPr>
            <w:webHidden/>
          </w:rPr>
          <w:fldChar w:fldCharType="separate"/>
        </w:r>
        <w:r w:rsidR="00076CF9">
          <w:rPr>
            <w:webHidden/>
          </w:rPr>
          <w:t>35</w:t>
        </w:r>
        <w:r w:rsidR="00691EC2">
          <w:rPr>
            <w:webHidden/>
          </w:rPr>
          <w:fldChar w:fldCharType="end"/>
        </w:r>
      </w:hyperlink>
    </w:p>
    <w:p w:rsidR="00691EC2" w:rsidRDefault="00E62C4F">
      <w:pPr>
        <w:pStyle w:val="TOC1"/>
        <w:rPr>
          <w:rFonts w:eastAsiaTheme="minorEastAsia"/>
          <w:b w:val="0"/>
          <w:color w:val="auto"/>
          <w:lang w:eastAsia="en-AU"/>
        </w:rPr>
      </w:pPr>
      <w:hyperlink w:anchor="_Toc437429860" w:history="1">
        <w:r w:rsidR="00691EC2" w:rsidRPr="00E04062">
          <w:rPr>
            <w:rStyle w:val="Hyperlink"/>
          </w:rPr>
          <w:t>List of tables</w:t>
        </w:r>
        <w:r w:rsidR="00691EC2">
          <w:rPr>
            <w:webHidden/>
          </w:rPr>
          <w:tab/>
        </w:r>
        <w:r w:rsidR="00691EC2">
          <w:rPr>
            <w:webHidden/>
          </w:rPr>
          <w:fldChar w:fldCharType="begin"/>
        </w:r>
        <w:r w:rsidR="00691EC2">
          <w:rPr>
            <w:webHidden/>
          </w:rPr>
          <w:instrText xml:space="preserve"> PAGEREF _Toc437429860 \h </w:instrText>
        </w:r>
        <w:r w:rsidR="00691EC2">
          <w:rPr>
            <w:webHidden/>
          </w:rPr>
        </w:r>
        <w:r w:rsidR="00691EC2">
          <w:rPr>
            <w:webHidden/>
          </w:rPr>
          <w:fldChar w:fldCharType="separate"/>
        </w:r>
        <w:r w:rsidR="00076CF9">
          <w:rPr>
            <w:webHidden/>
          </w:rPr>
          <w:t>36</w:t>
        </w:r>
        <w:r w:rsidR="00691EC2">
          <w:rPr>
            <w:webHidden/>
          </w:rPr>
          <w:fldChar w:fldCharType="end"/>
        </w:r>
      </w:hyperlink>
    </w:p>
    <w:p w:rsidR="00691EC2" w:rsidRDefault="00E62C4F">
      <w:pPr>
        <w:pStyle w:val="TOC1"/>
        <w:rPr>
          <w:rFonts w:eastAsiaTheme="minorEastAsia"/>
          <w:b w:val="0"/>
          <w:color w:val="auto"/>
          <w:lang w:eastAsia="en-AU"/>
        </w:rPr>
      </w:pPr>
      <w:hyperlink w:anchor="_Toc437429861" w:history="1">
        <w:r w:rsidR="00691EC2" w:rsidRPr="00E04062">
          <w:rPr>
            <w:rStyle w:val="Hyperlink"/>
          </w:rPr>
          <w:t>List of abbreviations</w:t>
        </w:r>
        <w:r w:rsidR="00691EC2">
          <w:rPr>
            <w:webHidden/>
          </w:rPr>
          <w:tab/>
        </w:r>
        <w:r w:rsidR="00691EC2">
          <w:rPr>
            <w:webHidden/>
          </w:rPr>
          <w:fldChar w:fldCharType="begin"/>
        </w:r>
        <w:r w:rsidR="00691EC2">
          <w:rPr>
            <w:webHidden/>
          </w:rPr>
          <w:instrText xml:space="preserve"> PAGEREF _Toc437429861 \h </w:instrText>
        </w:r>
        <w:r w:rsidR="00691EC2">
          <w:rPr>
            <w:webHidden/>
          </w:rPr>
        </w:r>
        <w:r w:rsidR="00691EC2">
          <w:rPr>
            <w:webHidden/>
          </w:rPr>
          <w:fldChar w:fldCharType="separate"/>
        </w:r>
        <w:r w:rsidR="00076CF9">
          <w:rPr>
            <w:webHidden/>
          </w:rPr>
          <w:t>37</w:t>
        </w:r>
        <w:r w:rsidR="00691EC2">
          <w:rPr>
            <w:webHidden/>
          </w:rPr>
          <w:fldChar w:fldCharType="end"/>
        </w:r>
      </w:hyperlink>
    </w:p>
    <w:p w:rsidR="00613471" w:rsidRPr="00BA0FBF" w:rsidRDefault="00E62C4F" w:rsidP="00691EC2">
      <w:pPr>
        <w:pStyle w:val="TOC1"/>
        <w:rPr>
          <w:sz w:val="20"/>
        </w:rPr>
      </w:pPr>
      <w:hyperlink w:anchor="_Toc437429862" w:history="1">
        <w:r w:rsidR="00691EC2" w:rsidRPr="00E04062">
          <w:rPr>
            <w:rStyle w:val="Hyperlink"/>
          </w:rPr>
          <w:t>List of appendices</w:t>
        </w:r>
        <w:r w:rsidR="00691EC2">
          <w:rPr>
            <w:webHidden/>
          </w:rPr>
          <w:tab/>
        </w:r>
        <w:r w:rsidR="00691EC2">
          <w:rPr>
            <w:webHidden/>
          </w:rPr>
          <w:fldChar w:fldCharType="begin"/>
        </w:r>
        <w:r w:rsidR="00691EC2">
          <w:rPr>
            <w:webHidden/>
          </w:rPr>
          <w:instrText xml:space="preserve"> PAGEREF _Toc437429862 \h </w:instrText>
        </w:r>
        <w:r w:rsidR="00691EC2">
          <w:rPr>
            <w:webHidden/>
          </w:rPr>
        </w:r>
        <w:r w:rsidR="00691EC2">
          <w:rPr>
            <w:webHidden/>
          </w:rPr>
          <w:fldChar w:fldCharType="separate"/>
        </w:r>
        <w:r w:rsidR="00076CF9">
          <w:rPr>
            <w:webHidden/>
          </w:rPr>
          <w:t>38</w:t>
        </w:r>
        <w:r w:rsidR="00691EC2">
          <w:rPr>
            <w:webHidden/>
          </w:rPr>
          <w:fldChar w:fldCharType="end"/>
        </w:r>
      </w:hyperlink>
      <w:r w:rsidR="00691EC2">
        <w:rPr>
          <w:b w:val="0"/>
          <w:sz w:val="20"/>
        </w:rPr>
        <w:fldChar w:fldCharType="end"/>
      </w:r>
    </w:p>
    <w:p w:rsidR="00613471" w:rsidRPr="00BA0FBF" w:rsidRDefault="00613471" w:rsidP="00613471">
      <w:pPr>
        <w:rPr>
          <w:sz w:val="20"/>
        </w:rPr>
        <w:sectPr w:rsidR="00613471" w:rsidRPr="00BA0FBF" w:rsidSect="00BA0FBF">
          <w:headerReference w:type="even" r:id="rId21"/>
          <w:headerReference w:type="default" r:id="rId22"/>
          <w:footerReference w:type="even" r:id="rId23"/>
          <w:footerReference w:type="default" r:id="rId24"/>
          <w:headerReference w:type="first" r:id="rId25"/>
          <w:footerReference w:type="first" r:id="rId26"/>
          <w:pgSz w:w="11906" w:h="16838" w:code="9"/>
          <w:pgMar w:top="1361" w:right="1797" w:bottom="1474" w:left="1797" w:header="283" w:footer="454" w:gutter="0"/>
          <w:pgNumType w:fmt="lowerRoman"/>
          <w:cols w:space="708"/>
          <w:docGrid w:linePitch="360"/>
        </w:sectPr>
      </w:pPr>
    </w:p>
    <w:p w:rsidR="00613471" w:rsidRPr="00BA0FBF" w:rsidRDefault="00613471" w:rsidP="00613471">
      <w:pPr>
        <w:pStyle w:val="Heading1NoNumbering"/>
        <w:rPr>
          <w:sz w:val="36"/>
        </w:rPr>
      </w:pPr>
      <w:bookmarkStart w:id="5" w:name="_Toc436400312"/>
      <w:bookmarkStart w:id="6" w:name="_Toc436652240"/>
      <w:bookmarkStart w:id="7" w:name="_Toc436652278"/>
      <w:bookmarkStart w:id="8" w:name="_Toc436917797"/>
      <w:bookmarkStart w:id="9" w:name="_Toc437429839"/>
      <w:r w:rsidRPr="00BA0FBF">
        <w:rPr>
          <w:sz w:val="36"/>
        </w:rPr>
        <w:lastRenderedPageBreak/>
        <w:t>Foreword</w:t>
      </w:r>
      <w:bookmarkStart w:id="10" w:name="_ForewordMarker"/>
      <w:bookmarkEnd w:id="5"/>
      <w:bookmarkEnd w:id="6"/>
      <w:bookmarkEnd w:id="7"/>
      <w:bookmarkEnd w:id="8"/>
      <w:bookmarkEnd w:id="9"/>
      <w:bookmarkEnd w:id="10"/>
    </w:p>
    <w:p w:rsidR="00074925" w:rsidRPr="00741789" w:rsidRDefault="00074925" w:rsidP="00741789">
      <w:pPr>
        <w:pStyle w:val="OverviewBodyText"/>
      </w:pPr>
      <w:r w:rsidRPr="00741789">
        <w:t xml:space="preserve">The current discussion of reform of Australia’s tax system has invariably raised questions of the potential for reform of Australia’s </w:t>
      </w:r>
      <w:r w:rsidR="00B47DF0" w:rsidRPr="00741789">
        <w:t>Goods and Services Tax (</w:t>
      </w:r>
      <w:r w:rsidRPr="00741789">
        <w:t>GST</w:t>
      </w:r>
      <w:r w:rsidR="00B47DF0" w:rsidRPr="00741789">
        <w:t>)</w:t>
      </w:r>
      <w:r w:rsidRPr="00741789">
        <w:t>.</w:t>
      </w:r>
    </w:p>
    <w:p w:rsidR="007E529C" w:rsidRPr="00741789" w:rsidRDefault="00074925" w:rsidP="00741789">
      <w:pPr>
        <w:pStyle w:val="OverviewBodyText"/>
      </w:pPr>
      <w:r w:rsidRPr="00741789">
        <w:t xml:space="preserve">This report seeks to inform public discussion </w:t>
      </w:r>
      <w:r w:rsidR="007E529C" w:rsidRPr="00741789">
        <w:t>of this important public policy issue.</w:t>
      </w:r>
    </w:p>
    <w:p w:rsidR="00074925" w:rsidRPr="00741789" w:rsidRDefault="007E529C" w:rsidP="00741789">
      <w:pPr>
        <w:pStyle w:val="OverviewBodyText"/>
      </w:pPr>
      <w:r w:rsidRPr="00741789">
        <w:t xml:space="preserve">It </w:t>
      </w:r>
      <w:r w:rsidR="00074925" w:rsidRPr="00741789">
        <w:t>provid</w:t>
      </w:r>
      <w:r w:rsidRPr="00741789">
        <w:t>es</w:t>
      </w:r>
      <w:r w:rsidR="00074925" w:rsidRPr="00741789">
        <w:t xml:space="preserve"> an independent analysis of the revenue and distributional impact</w:t>
      </w:r>
      <w:r w:rsidR="00792C31">
        <w:t>s</w:t>
      </w:r>
      <w:r w:rsidR="00074925" w:rsidRPr="00741789">
        <w:t xml:space="preserve"> of </w:t>
      </w:r>
      <w:r w:rsidRPr="00741789">
        <w:t xml:space="preserve">five </w:t>
      </w:r>
      <w:r w:rsidR="00494FB2">
        <w:t xml:space="preserve">indicative </w:t>
      </w:r>
      <w:r w:rsidR="00074925" w:rsidRPr="00741789">
        <w:t>GST reform scenarios</w:t>
      </w:r>
      <w:r w:rsidRPr="00741789">
        <w:t xml:space="preserve"> that have been canvassed in public</w:t>
      </w:r>
      <w:r w:rsidR="00B414F8" w:rsidRPr="00741789">
        <w:t xml:space="preserve"> policy discussions</w:t>
      </w:r>
      <w:r w:rsidRPr="00741789">
        <w:t>.</w:t>
      </w:r>
    </w:p>
    <w:p w:rsidR="007E529C" w:rsidRPr="00741789" w:rsidRDefault="005335D1" w:rsidP="00741789">
      <w:pPr>
        <w:pStyle w:val="OverviewBodyText"/>
      </w:pPr>
      <w:r w:rsidRPr="00741789">
        <w:t xml:space="preserve">Consistent with the </w:t>
      </w:r>
      <w:r w:rsidR="002F66E5">
        <w:t>Parliamentary Budget Office</w:t>
      </w:r>
      <w:r w:rsidRPr="00741789">
        <w:t>’s mandate, the report presents a factual analysis and does not i</w:t>
      </w:r>
      <w:r w:rsidR="007E529C" w:rsidRPr="00741789">
        <w:t>nclude policy recommendations.</w:t>
      </w:r>
      <w:r w:rsidR="00A0032A" w:rsidRPr="00741789">
        <w:t xml:space="preserve">  The selection of GST reform scenarios for analysis in this report should not be interpreted as the PBO endorsing any of these scenarios.</w:t>
      </w:r>
    </w:p>
    <w:p w:rsidR="005335D1" w:rsidRPr="00741789" w:rsidRDefault="005335D1" w:rsidP="00741789">
      <w:pPr>
        <w:pStyle w:val="OverviewBodyText"/>
      </w:pPr>
      <w:r w:rsidRPr="00741789">
        <w:t>I would like to thank the PBO staff involved in the preparation of this report.  The report was prepared by Colin Brown, Tony McDonald, Andrew Watterson and Phillip Hawkins, with the benefit of comments from Tim Pyne.  The report was prepared for publication by Louise</w:t>
      </w:r>
      <w:r w:rsidR="003A3568" w:rsidRPr="00741789">
        <w:t> </w:t>
      </w:r>
      <w:r w:rsidRPr="00741789">
        <w:t>Milligan and Helen Moorhouse.</w:t>
      </w:r>
    </w:p>
    <w:p w:rsidR="00B414F8" w:rsidRPr="00741789" w:rsidRDefault="00B414F8" w:rsidP="00741789">
      <w:pPr>
        <w:pStyle w:val="OverviewBodyText"/>
      </w:pPr>
      <w:r w:rsidRPr="00741789">
        <w:t xml:space="preserve">I also wish to thank the external referees who provided helpful comments and suggestions on the report, namely </w:t>
      </w:r>
      <w:r w:rsidR="001C6F58">
        <w:t>Professor John Daley of the Grattan Institute, Professor John Freebairn of the University of Melbourne, and Ben Phillips of the National Centre for Social and Economic Modelling (NATSEM)</w:t>
      </w:r>
      <w:r w:rsidRPr="00741789">
        <w:t>.  The assistance of external reviewers does not imply any responsibility on their part for the content of the final report, which rests solely with the PBO.</w:t>
      </w:r>
    </w:p>
    <w:p w:rsidR="00613471" w:rsidRPr="00874840" w:rsidRDefault="00D84B75" w:rsidP="00F95381">
      <w:pPr>
        <w:spacing w:before="960"/>
      </w:pPr>
      <w:r w:rsidRPr="00874840">
        <w:t>Phil Bowen PSM FCPA</w:t>
      </w:r>
    </w:p>
    <w:p w:rsidR="00613471" w:rsidRPr="00874840" w:rsidRDefault="00D84B75" w:rsidP="00F95381">
      <w:pPr>
        <w:spacing w:after="114"/>
      </w:pPr>
      <w:r w:rsidRPr="00874840">
        <w:t>Parliamentary Budget Officer</w:t>
      </w:r>
    </w:p>
    <w:sdt>
      <w:sdtPr>
        <w:alias w:val="Date"/>
        <w:tag w:val="Date"/>
        <w:id w:val="-226846581"/>
        <w:placeholder>
          <w:docPart w:val="2C4EF870A2A14BE8B3BC4C178CF552A6"/>
        </w:placeholder>
        <w:date w:fullDate="2015-12-09T00:00:00Z">
          <w:dateFormat w:val="d MMMM yyyy"/>
          <w:lid w:val="en-AU"/>
          <w:storeMappedDataAs w:val="dateTime"/>
          <w:calendar w:val="gregorian"/>
        </w:date>
      </w:sdtPr>
      <w:sdtEndPr/>
      <w:sdtContent>
        <w:p w:rsidR="00613471" w:rsidRPr="00874840" w:rsidRDefault="001C6F58" w:rsidP="00613471">
          <w:r w:rsidRPr="00494FB2">
            <w:t>9 December 2015</w:t>
          </w:r>
        </w:p>
      </w:sdtContent>
    </w:sdt>
    <w:p w:rsidR="00613471" w:rsidRPr="00874840" w:rsidRDefault="00613471" w:rsidP="00613471">
      <w:pPr>
        <w:sectPr w:rsidR="00613471" w:rsidRPr="00874840" w:rsidSect="00BA0FBF">
          <w:headerReference w:type="even" r:id="rId27"/>
          <w:headerReference w:type="default" r:id="rId28"/>
          <w:footerReference w:type="even" r:id="rId29"/>
          <w:footerReference w:type="default" r:id="rId30"/>
          <w:footerReference w:type="first" r:id="rId31"/>
          <w:pgSz w:w="11906" w:h="16838" w:code="9"/>
          <w:pgMar w:top="1361" w:right="1797" w:bottom="1474" w:left="1797" w:header="283" w:footer="454" w:gutter="0"/>
          <w:pgNumType w:fmt="lowerRoman"/>
          <w:cols w:space="708"/>
          <w:docGrid w:linePitch="360"/>
        </w:sectPr>
      </w:pPr>
    </w:p>
    <w:p w:rsidR="00903E3F" w:rsidRPr="00BA0FBF" w:rsidRDefault="000A348F" w:rsidP="00EA6EB3">
      <w:pPr>
        <w:pStyle w:val="Heading1NoNumbering"/>
        <w:rPr>
          <w:sz w:val="36"/>
        </w:rPr>
      </w:pPr>
      <w:bookmarkStart w:id="11" w:name="_Toc436400313"/>
      <w:bookmarkStart w:id="12" w:name="_Toc436652241"/>
      <w:bookmarkStart w:id="13" w:name="_Toc436652279"/>
      <w:bookmarkStart w:id="14" w:name="_Toc436917798"/>
      <w:bookmarkStart w:id="15" w:name="_Toc437429840"/>
      <w:r w:rsidRPr="00BA0FBF">
        <w:rPr>
          <w:sz w:val="36"/>
        </w:rPr>
        <w:t>Overview</w:t>
      </w:r>
      <w:bookmarkStart w:id="16" w:name="_OverviewMarker"/>
      <w:bookmarkEnd w:id="2"/>
      <w:bookmarkEnd w:id="11"/>
      <w:bookmarkEnd w:id="12"/>
      <w:bookmarkEnd w:id="13"/>
      <w:bookmarkEnd w:id="14"/>
      <w:bookmarkEnd w:id="15"/>
      <w:bookmarkEnd w:id="16"/>
    </w:p>
    <w:p w:rsidR="00CE5702" w:rsidRDefault="00CE5702" w:rsidP="00CE5702">
      <w:pPr>
        <w:pStyle w:val="OverviewBodyText"/>
      </w:pPr>
      <w:r>
        <w:t>The Goods and Services Tax (GST) is a regressive tax.  On average, households in the lowest income decile pay over 12 per cent of their disposable income on GST or about three times the proportion paid by those in the highest income decile.</w:t>
      </w:r>
    </w:p>
    <w:p w:rsidR="00CE5702" w:rsidRDefault="00CE5702" w:rsidP="00CE5702">
      <w:pPr>
        <w:pStyle w:val="OverviewBodyText"/>
      </w:pPr>
      <w:r>
        <w:t>The value of GST concessions represents around 4 per cent of the disposable incomes of households in the lowest income decile or about four times the proportion received by those in the highest income decile.</w:t>
      </w:r>
    </w:p>
    <w:p w:rsidR="00CE5702" w:rsidRDefault="00CE5702" w:rsidP="00CE5702">
      <w:pPr>
        <w:pStyle w:val="OverviewBodyText"/>
      </w:pPr>
      <w:r>
        <w:t>In absolute terms, the amount of GST paid increases in line with household income, from around $40 per week for the lowest income decile to over $140 per week for the highest income decile.</w:t>
      </w:r>
    </w:p>
    <w:p w:rsidR="00CE5702" w:rsidRDefault="00CE5702" w:rsidP="00CE5702">
      <w:pPr>
        <w:pStyle w:val="OverviewBodyText"/>
      </w:pPr>
      <w:r>
        <w:t>Similarly, in absolute terms, GST concessions provide substantially greater benefits to higher income households.  The value of the GST concessions to households in the highest income decile is about $32 per week or around two and a half times that for households in the lowest income decile.</w:t>
      </w:r>
    </w:p>
    <w:p w:rsidR="00CE5702" w:rsidRDefault="00CE5702" w:rsidP="00CE5702">
      <w:pPr>
        <w:pStyle w:val="OverviewBodyText"/>
      </w:pPr>
      <w:r>
        <w:t>Proponents of GST reform typically argue that the GST is a more economically efficient way of raising revenue than most other taxes.  On the other hand, there are concerns that the GST is a regressive tax and compensation put in place to protect lower income earners from an increase in the GST could be eroded over time.</w:t>
      </w:r>
    </w:p>
    <w:p w:rsidR="00CE5702" w:rsidRDefault="00CE5702" w:rsidP="00CE5702">
      <w:pPr>
        <w:pStyle w:val="OverviewBodyText"/>
      </w:pPr>
      <w:r>
        <w:t>The compensation arrangements for transfer payment recipients on the introduction of the GST largely remain in place, although the impact of personal tax reductions has been eroded over time by bracket creep, with the average personal tax rate projected to return to its pre</w:t>
      </w:r>
      <w:r>
        <w:noBreakHyphen/>
        <w:t>GST level by 2018–19.</w:t>
      </w:r>
    </w:p>
    <w:p w:rsidR="00CE5702" w:rsidRDefault="00CE5702" w:rsidP="00CE5702">
      <w:pPr>
        <w:pStyle w:val="OverviewBodyText"/>
      </w:pPr>
      <w:r>
        <w:t xml:space="preserve">A number of GST reform scenarios have been canvassed in public policy discussions that would either increase the rate of the GST or remove concessions from the GST base, or some combination of both.  </w:t>
      </w:r>
    </w:p>
    <w:p w:rsidR="00CE5702" w:rsidRDefault="00CE5702" w:rsidP="00CE5702">
      <w:pPr>
        <w:pStyle w:val="OverviewBodyText"/>
      </w:pPr>
      <w:r>
        <w:t>This report presents analysis of the revenue and distributional impacts of five indicative GST reform scenarios, namely:</w:t>
      </w:r>
    </w:p>
    <w:p w:rsidR="00CE5702" w:rsidRDefault="00CE5702" w:rsidP="00684229">
      <w:pPr>
        <w:pStyle w:val="ListNumber"/>
      </w:pPr>
      <w:r>
        <w:t>include basic food in the GST base</w:t>
      </w:r>
    </w:p>
    <w:p w:rsidR="00CE5702" w:rsidRDefault="00CE5702" w:rsidP="00684229">
      <w:pPr>
        <w:pStyle w:val="ListNumber"/>
      </w:pPr>
      <w:r>
        <w:t>include basic food,</w:t>
      </w:r>
      <w:r w:rsidRPr="00BA0FBF">
        <w:t xml:space="preserve"> health and medical care, education, child care and water and sewerage</w:t>
      </w:r>
      <w:r>
        <w:t xml:space="preserve"> in the GST base</w:t>
      </w:r>
    </w:p>
    <w:p w:rsidR="00CE5702" w:rsidRDefault="00CE5702" w:rsidP="00684229">
      <w:pPr>
        <w:pStyle w:val="ListNumber"/>
      </w:pPr>
      <w:r>
        <w:t>increase the GST rate from 10 to 15 per cent</w:t>
      </w:r>
    </w:p>
    <w:p w:rsidR="00CE5702" w:rsidRDefault="00CE5702" w:rsidP="00684229">
      <w:pPr>
        <w:pStyle w:val="ListNumber"/>
      </w:pPr>
      <w:r>
        <w:t>GST rate 15 per cent and include basic food in the GST base</w:t>
      </w:r>
    </w:p>
    <w:p w:rsidR="00CE5702" w:rsidRDefault="00CE5702" w:rsidP="00684229">
      <w:pPr>
        <w:pStyle w:val="ListNumber"/>
      </w:pPr>
      <w:r>
        <w:t>GST rate 15 per cent and include basic food,</w:t>
      </w:r>
      <w:r w:rsidRPr="00BA0FBF">
        <w:t xml:space="preserve"> health and medical care, education, child care and water and sewerage</w:t>
      </w:r>
      <w:r>
        <w:t xml:space="preserve"> in the GST base</w:t>
      </w:r>
      <w:r w:rsidR="005218F8">
        <w:t>.</w:t>
      </w:r>
    </w:p>
    <w:p w:rsidR="00E74582" w:rsidRDefault="00E74582" w:rsidP="00CE5702">
      <w:pPr>
        <w:pStyle w:val="OverviewBodyText"/>
        <w:sectPr w:rsidR="00E74582" w:rsidSect="00BA0FBF">
          <w:footerReference w:type="even" r:id="rId32"/>
          <w:footerReference w:type="default" r:id="rId33"/>
          <w:footerReference w:type="first" r:id="rId34"/>
          <w:pgSz w:w="11906" w:h="16838" w:code="9"/>
          <w:pgMar w:top="1361" w:right="1797" w:bottom="1474" w:left="1797" w:header="284" w:footer="454" w:gutter="0"/>
          <w:pgNumType w:fmt="lowerRoman"/>
          <w:cols w:space="708"/>
          <w:docGrid w:linePitch="360"/>
        </w:sectPr>
      </w:pPr>
    </w:p>
    <w:p w:rsidR="00CE5702" w:rsidRDefault="00CE5702" w:rsidP="00CE5702">
      <w:pPr>
        <w:pStyle w:val="OverviewBodyText"/>
      </w:pPr>
      <w:r>
        <w:t>Each scenario includes a compensation package that, in aggregate, would be sufficient to fully offset the impact of the changes on the bottom 40 per cent of households by disposable income.   The specific design of compensation packages is a policy question, involving a range of possible changes to the tax and transfer systems about which the PBO has made no assumptions.</w:t>
      </w:r>
    </w:p>
    <w:p w:rsidR="00CE5702" w:rsidRDefault="00CE5702" w:rsidP="00CE5702">
      <w:pPr>
        <w:pStyle w:val="OverviewBodyText"/>
      </w:pPr>
      <w:r>
        <w:t>These scenarios would increase GST revenue, net of compensation, by between $4.8 billion (extending GST to basic food) and $49.3 billion (15 per cent rate, remove concessions from GST base) annually (Table 1).  The ongoing impact of each scenario would grow broadly in line with nominal Gross Domestic Product (GDP).</w:t>
      </w:r>
    </w:p>
    <w:p w:rsidR="00F26DB9" w:rsidRPr="00871AEF" w:rsidRDefault="00F26DB9" w:rsidP="00F26DB9">
      <w:pPr>
        <w:pStyle w:val="Caption"/>
      </w:pPr>
      <w:bookmarkStart w:id="17" w:name="_Ref436650888"/>
      <w:bookmarkStart w:id="18" w:name="_Toc436664557"/>
      <w:bookmarkStart w:id="19" w:name="_Toc436917804"/>
      <w:bookmarkStart w:id="20" w:name="_Toc437429562"/>
      <w:r w:rsidRPr="00871AEF">
        <w:t xml:space="preserve">Table </w:t>
      </w:r>
      <w:fldSimple w:instr=" SEQ Table \* ARABIC \s 1 ">
        <w:r w:rsidR="00076CF9">
          <w:rPr>
            <w:noProof/>
          </w:rPr>
          <w:t>1</w:t>
        </w:r>
      </w:fldSimple>
      <w:bookmarkEnd w:id="17"/>
      <w:r w:rsidRPr="00871AEF">
        <w:t xml:space="preserve">: Summary of </w:t>
      </w:r>
      <w:r w:rsidR="00E216C8" w:rsidRPr="00871AEF">
        <w:t>n</w:t>
      </w:r>
      <w:r w:rsidRPr="00871AEF">
        <w:t xml:space="preserve">et GST </w:t>
      </w:r>
      <w:r w:rsidR="00E216C8" w:rsidRPr="00871AEF">
        <w:t>r</w:t>
      </w:r>
      <w:r w:rsidRPr="00871AEF">
        <w:t>evenue impact of scenarios</w:t>
      </w:r>
      <w:bookmarkEnd w:id="18"/>
      <w:bookmarkEnd w:id="19"/>
      <w:bookmarkEnd w:id="20"/>
    </w:p>
    <w:tbl>
      <w:tblPr>
        <w:tblStyle w:val="TableGrid"/>
        <w:tblW w:w="5012" w:type="pct"/>
        <w:tblLayout w:type="fixed"/>
        <w:tblLook w:val="04A0" w:firstRow="1" w:lastRow="0" w:firstColumn="1" w:lastColumn="0" w:noHBand="0" w:noVBand="1"/>
      </w:tblPr>
      <w:tblGrid>
        <w:gridCol w:w="3122"/>
        <w:gridCol w:w="1556"/>
        <w:gridCol w:w="1843"/>
        <w:gridCol w:w="1811"/>
      </w:tblGrid>
      <w:tr w:rsidR="00CE5702" w:rsidRPr="00264433" w:rsidTr="00CE5702">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873" w:type="pct"/>
          </w:tcPr>
          <w:p w:rsidR="00CE5702" w:rsidRPr="00264433" w:rsidRDefault="00CE5702" w:rsidP="00A6101C">
            <w:pPr>
              <w:pStyle w:val="TableHeading"/>
              <w:rPr>
                <w:sz w:val="22"/>
              </w:rPr>
            </w:pPr>
          </w:p>
        </w:tc>
        <w:tc>
          <w:tcPr>
            <w:tcW w:w="934" w:type="pct"/>
          </w:tcPr>
          <w:p w:rsidR="00CE5702" w:rsidRPr="00264433" w:rsidRDefault="00CE5702" w:rsidP="007035A5">
            <w:pPr>
              <w:pStyle w:val="TableHeading"/>
              <w:cnfStyle w:val="100000000000" w:firstRow="1" w:lastRow="0" w:firstColumn="0" w:lastColumn="0" w:oddVBand="0" w:evenVBand="0" w:oddHBand="0" w:evenHBand="0" w:firstRowFirstColumn="0" w:firstRowLastColumn="0" w:lastRowFirstColumn="0" w:lastRowLastColumn="0"/>
              <w:rPr>
                <w:sz w:val="22"/>
              </w:rPr>
            </w:pPr>
            <w:r>
              <w:rPr>
                <w:sz w:val="22"/>
              </w:rPr>
              <w:t>Additional GST Revenue ($b)</w:t>
            </w:r>
          </w:p>
        </w:tc>
        <w:tc>
          <w:tcPr>
            <w:tcW w:w="1106" w:type="pct"/>
          </w:tcPr>
          <w:p w:rsidR="00CE5702" w:rsidRPr="00264433" w:rsidRDefault="00CE5702" w:rsidP="007035A5">
            <w:pPr>
              <w:pStyle w:val="TableHeading"/>
              <w:cnfStyle w:val="100000000000" w:firstRow="1" w:lastRow="0" w:firstColumn="0" w:lastColumn="0" w:oddVBand="0" w:evenVBand="0" w:oddHBand="0" w:evenHBand="0" w:firstRowFirstColumn="0" w:firstRowLastColumn="0" w:lastRowFirstColumn="0" w:lastRowLastColumn="0"/>
              <w:rPr>
                <w:sz w:val="22"/>
              </w:rPr>
            </w:pPr>
            <w:r>
              <w:rPr>
                <w:sz w:val="22"/>
              </w:rPr>
              <w:t>Compensation ($b)</w:t>
            </w:r>
          </w:p>
        </w:tc>
        <w:tc>
          <w:tcPr>
            <w:tcW w:w="1087" w:type="pct"/>
          </w:tcPr>
          <w:p w:rsidR="00CE5702" w:rsidRPr="00264433" w:rsidRDefault="00CE5702" w:rsidP="00CE5702">
            <w:pPr>
              <w:pStyle w:val="TableHeading"/>
              <w:cnfStyle w:val="100000000000" w:firstRow="1" w:lastRow="0" w:firstColumn="0" w:lastColumn="0" w:oddVBand="0" w:evenVBand="0" w:oddHBand="0" w:evenHBand="0" w:firstRowFirstColumn="0" w:firstRowLastColumn="0" w:lastRowFirstColumn="0" w:lastRowLastColumn="0"/>
              <w:rPr>
                <w:sz w:val="22"/>
              </w:rPr>
            </w:pPr>
            <w:r>
              <w:rPr>
                <w:sz w:val="22"/>
              </w:rPr>
              <w:t xml:space="preserve">Net Additional </w:t>
            </w:r>
            <w:r w:rsidR="004C0C3F">
              <w:rPr>
                <w:sz w:val="22"/>
              </w:rPr>
              <w:t xml:space="preserve">GST </w:t>
            </w:r>
            <w:r>
              <w:rPr>
                <w:sz w:val="22"/>
              </w:rPr>
              <w:t>Revenue</w:t>
            </w:r>
            <w:r w:rsidRPr="00264433">
              <w:rPr>
                <w:sz w:val="22"/>
              </w:rPr>
              <w:br/>
              <w:t>($</w:t>
            </w:r>
            <w:r>
              <w:rPr>
                <w:sz w:val="22"/>
              </w:rPr>
              <w:t>b</w:t>
            </w:r>
            <w:r w:rsidRPr="00264433">
              <w:rPr>
                <w:sz w:val="22"/>
              </w:rPr>
              <w:t>)</w:t>
            </w:r>
          </w:p>
        </w:tc>
      </w:tr>
      <w:tr w:rsidR="00CE5702" w:rsidRPr="00264433" w:rsidTr="00CE570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73" w:type="pct"/>
          </w:tcPr>
          <w:p w:rsidR="00CE5702" w:rsidRPr="00264433" w:rsidRDefault="00CE5702" w:rsidP="007035A5">
            <w:pPr>
              <w:pStyle w:val="TableText"/>
              <w:rPr>
                <w:sz w:val="22"/>
              </w:rPr>
            </w:pPr>
            <w:r>
              <w:rPr>
                <w:sz w:val="22"/>
              </w:rPr>
              <w:t xml:space="preserve">Scenario 1: </w:t>
            </w:r>
            <w:r w:rsidRPr="00264433">
              <w:rPr>
                <w:sz w:val="22"/>
              </w:rPr>
              <w:t>Basic food subject to GST</w:t>
            </w:r>
          </w:p>
        </w:tc>
        <w:tc>
          <w:tcPr>
            <w:tcW w:w="934" w:type="pct"/>
          </w:tcPr>
          <w:p w:rsidR="00CE5702" w:rsidRPr="00DC6477" w:rsidRDefault="00CE5702" w:rsidP="00DC6477">
            <w:pPr>
              <w:pStyle w:val="TableTextCentred"/>
              <w:cnfStyle w:val="000000100000" w:firstRow="0" w:lastRow="0" w:firstColumn="0" w:lastColumn="0" w:oddVBand="0" w:evenVBand="0" w:oddHBand="1" w:evenHBand="0" w:firstRowFirstColumn="0" w:firstRowLastColumn="0" w:lastRowFirstColumn="0" w:lastRowLastColumn="0"/>
              <w:rPr>
                <w:sz w:val="22"/>
              </w:rPr>
            </w:pPr>
            <w:r w:rsidRPr="00DC6477">
              <w:rPr>
                <w:sz w:val="22"/>
              </w:rPr>
              <w:t>7.2</w:t>
            </w:r>
          </w:p>
        </w:tc>
        <w:tc>
          <w:tcPr>
            <w:tcW w:w="1106" w:type="pct"/>
          </w:tcPr>
          <w:p w:rsidR="00CE5702" w:rsidRPr="00DC6477" w:rsidRDefault="00CE5702" w:rsidP="00DC6477">
            <w:pPr>
              <w:pStyle w:val="TableTextCentred"/>
              <w:cnfStyle w:val="000000100000" w:firstRow="0" w:lastRow="0" w:firstColumn="0" w:lastColumn="0" w:oddVBand="0" w:evenVBand="0" w:oddHBand="1" w:evenHBand="0" w:firstRowFirstColumn="0" w:firstRowLastColumn="0" w:lastRowFirstColumn="0" w:lastRowLastColumn="0"/>
              <w:rPr>
                <w:sz w:val="22"/>
              </w:rPr>
            </w:pPr>
            <w:r w:rsidRPr="00DC6477">
              <w:rPr>
                <w:sz w:val="22"/>
              </w:rPr>
              <w:t>2.4</w:t>
            </w:r>
          </w:p>
        </w:tc>
        <w:tc>
          <w:tcPr>
            <w:tcW w:w="1087" w:type="pct"/>
          </w:tcPr>
          <w:p w:rsidR="00CE5702" w:rsidRPr="00264433" w:rsidRDefault="00CE5702" w:rsidP="007035A5">
            <w:pPr>
              <w:pStyle w:val="TableTextCentred"/>
              <w:cnfStyle w:val="000000100000" w:firstRow="0" w:lastRow="0" w:firstColumn="0" w:lastColumn="0" w:oddVBand="0" w:evenVBand="0" w:oddHBand="1" w:evenHBand="0" w:firstRowFirstColumn="0" w:firstRowLastColumn="0" w:lastRowFirstColumn="0" w:lastRowLastColumn="0"/>
              <w:rPr>
                <w:sz w:val="22"/>
              </w:rPr>
            </w:pPr>
            <w:r w:rsidRPr="00264433">
              <w:rPr>
                <w:sz w:val="22"/>
              </w:rPr>
              <w:t>4.8</w:t>
            </w:r>
          </w:p>
        </w:tc>
      </w:tr>
      <w:tr w:rsidR="00CE5702" w:rsidRPr="00264433" w:rsidTr="00CE5702">
        <w:trPr>
          <w:cantSplit/>
        </w:trPr>
        <w:tc>
          <w:tcPr>
            <w:cnfStyle w:val="001000000000" w:firstRow="0" w:lastRow="0" w:firstColumn="1" w:lastColumn="0" w:oddVBand="0" w:evenVBand="0" w:oddHBand="0" w:evenHBand="0" w:firstRowFirstColumn="0" w:firstRowLastColumn="0" w:lastRowFirstColumn="0" w:lastRowLastColumn="0"/>
            <w:tcW w:w="1873" w:type="pct"/>
          </w:tcPr>
          <w:p w:rsidR="00CE5702" w:rsidRPr="00264433" w:rsidRDefault="00CE5702" w:rsidP="007035A5">
            <w:pPr>
              <w:pStyle w:val="TableText"/>
              <w:rPr>
                <w:sz w:val="22"/>
              </w:rPr>
            </w:pPr>
            <w:r w:rsidRPr="00264433">
              <w:rPr>
                <w:sz w:val="22"/>
              </w:rPr>
              <w:t>Scenario 2: Remove concessions from GST base</w:t>
            </w:r>
          </w:p>
        </w:tc>
        <w:tc>
          <w:tcPr>
            <w:tcW w:w="934" w:type="pct"/>
          </w:tcPr>
          <w:p w:rsidR="00CE5702" w:rsidRPr="00DC6477" w:rsidRDefault="00CE5702" w:rsidP="00DC6477">
            <w:pPr>
              <w:pStyle w:val="TableTextCentred"/>
              <w:cnfStyle w:val="000000000000" w:firstRow="0" w:lastRow="0" w:firstColumn="0" w:lastColumn="0" w:oddVBand="0" w:evenVBand="0" w:oddHBand="0" w:evenHBand="0" w:firstRowFirstColumn="0" w:firstRowLastColumn="0" w:lastRowFirstColumn="0" w:lastRowLastColumn="0"/>
              <w:rPr>
                <w:sz w:val="22"/>
              </w:rPr>
            </w:pPr>
            <w:r w:rsidRPr="00DC6477">
              <w:rPr>
                <w:sz w:val="22"/>
              </w:rPr>
              <w:t>21.6</w:t>
            </w:r>
          </w:p>
        </w:tc>
        <w:tc>
          <w:tcPr>
            <w:tcW w:w="1106" w:type="pct"/>
          </w:tcPr>
          <w:p w:rsidR="00CE5702" w:rsidRPr="00DC6477" w:rsidRDefault="00CE5702" w:rsidP="00DC6477">
            <w:pPr>
              <w:pStyle w:val="TableTextCentred"/>
              <w:cnfStyle w:val="000000000000" w:firstRow="0" w:lastRow="0" w:firstColumn="0" w:lastColumn="0" w:oddVBand="0" w:evenVBand="0" w:oddHBand="0" w:evenHBand="0" w:firstRowFirstColumn="0" w:firstRowLastColumn="0" w:lastRowFirstColumn="0" w:lastRowLastColumn="0"/>
              <w:rPr>
                <w:sz w:val="22"/>
              </w:rPr>
            </w:pPr>
            <w:r w:rsidRPr="00DC6477">
              <w:rPr>
                <w:sz w:val="22"/>
              </w:rPr>
              <w:t>5.6</w:t>
            </w:r>
          </w:p>
        </w:tc>
        <w:tc>
          <w:tcPr>
            <w:tcW w:w="1087" w:type="pct"/>
          </w:tcPr>
          <w:p w:rsidR="00CE5702" w:rsidRPr="00264433" w:rsidRDefault="00CE5702" w:rsidP="007035A5">
            <w:pPr>
              <w:pStyle w:val="TableTextCentred"/>
              <w:cnfStyle w:val="000000000000" w:firstRow="0" w:lastRow="0" w:firstColumn="0" w:lastColumn="0" w:oddVBand="0" w:evenVBand="0" w:oddHBand="0" w:evenHBand="0" w:firstRowFirstColumn="0" w:firstRowLastColumn="0" w:lastRowFirstColumn="0" w:lastRowLastColumn="0"/>
              <w:rPr>
                <w:sz w:val="22"/>
              </w:rPr>
            </w:pPr>
            <w:r w:rsidRPr="00264433">
              <w:rPr>
                <w:sz w:val="22"/>
              </w:rPr>
              <w:t>16.0</w:t>
            </w:r>
          </w:p>
        </w:tc>
      </w:tr>
      <w:tr w:rsidR="00CE5702" w:rsidRPr="00264433" w:rsidTr="00CE570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73" w:type="pct"/>
          </w:tcPr>
          <w:p w:rsidR="00CE5702" w:rsidRPr="00264433" w:rsidRDefault="00CE5702" w:rsidP="007035A5">
            <w:pPr>
              <w:pStyle w:val="TableText"/>
              <w:rPr>
                <w:sz w:val="22"/>
              </w:rPr>
            </w:pPr>
            <w:r w:rsidRPr="00264433">
              <w:rPr>
                <w:sz w:val="22"/>
              </w:rPr>
              <w:t>Scenario 3: 15 per cent GST</w:t>
            </w:r>
          </w:p>
        </w:tc>
        <w:tc>
          <w:tcPr>
            <w:tcW w:w="934" w:type="pct"/>
          </w:tcPr>
          <w:p w:rsidR="00CE5702" w:rsidRPr="00DC6477" w:rsidRDefault="00CE5702" w:rsidP="00DC6477">
            <w:pPr>
              <w:pStyle w:val="TableTextCentred"/>
              <w:cnfStyle w:val="000000100000" w:firstRow="0" w:lastRow="0" w:firstColumn="0" w:lastColumn="0" w:oddVBand="0" w:evenVBand="0" w:oddHBand="1" w:evenHBand="0" w:firstRowFirstColumn="0" w:firstRowLastColumn="0" w:lastRowFirstColumn="0" w:lastRowLastColumn="0"/>
              <w:rPr>
                <w:sz w:val="22"/>
              </w:rPr>
            </w:pPr>
            <w:r>
              <w:rPr>
                <w:sz w:val="22"/>
              </w:rPr>
              <w:t>32.5</w:t>
            </w:r>
          </w:p>
        </w:tc>
        <w:tc>
          <w:tcPr>
            <w:tcW w:w="1106" w:type="pct"/>
          </w:tcPr>
          <w:p w:rsidR="00CE5702" w:rsidRPr="00DC6477" w:rsidRDefault="00CE5702" w:rsidP="00740FBF">
            <w:pPr>
              <w:pStyle w:val="TableTextCentred"/>
              <w:cnfStyle w:val="000000100000" w:firstRow="0" w:lastRow="0" w:firstColumn="0" w:lastColumn="0" w:oddVBand="0" w:evenVBand="0" w:oddHBand="1" w:evenHBand="0" w:firstRowFirstColumn="0" w:firstRowLastColumn="0" w:lastRowFirstColumn="0" w:lastRowLastColumn="0"/>
              <w:rPr>
                <w:sz w:val="22"/>
              </w:rPr>
            </w:pPr>
            <w:r>
              <w:rPr>
                <w:sz w:val="22"/>
              </w:rPr>
              <w:t>7</w:t>
            </w:r>
            <w:r w:rsidRPr="00DC6477">
              <w:rPr>
                <w:sz w:val="22"/>
              </w:rPr>
              <w:t>.</w:t>
            </w:r>
            <w:r>
              <w:rPr>
                <w:sz w:val="22"/>
              </w:rPr>
              <w:t>9</w:t>
            </w:r>
          </w:p>
        </w:tc>
        <w:tc>
          <w:tcPr>
            <w:tcW w:w="1087" w:type="pct"/>
          </w:tcPr>
          <w:p w:rsidR="00CE5702" w:rsidRPr="00264433" w:rsidRDefault="00CE5702" w:rsidP="00740FBF">
            <w:pPr>
              <w:pStyle w:val="TableTextCentred"/>
              <w:cnfStyle w:val="000000100000" w:firstRow="0" w:lastRow="0" w:firstColumn="0" w:lastColumn="0" w:oddVBand="0" w:evenVBand="0" w:oddHBand="1" w:evenHBand="0" w:firstRowFirstColumn="0" w:firstRowLastColumn="0" w:lastRowFirstColumn="0" w:lastRowLastColumn="0"/>
              <w:rPr>
                <w:sz w:val="22"/>
              </w:rPr>
            </w:pPr>
            <w:r w:rsidRPr="00264433">
              <w:rPr>
                <w:sz w:val="22"/>
              </w:rPr>
              <w:t>24.</w:t>
            </w:r>
            <w:r>
              <w:rPr>
                <w:sz w:val="22"/>
              </w:rPr>
              <w:t>6</w:t>
            </w:r>
          </w:p>
        </w:tc>
      </w:tr>
      <w:tr w:rsidR="00CE5702" w:rsidRPr="00264433" w:rsidTr="00CE5702">
        <w:trPr>
          <w:cantSplit/>
        </w:trPr>
        <w:tc>
          <w:tcPr>
            <w:cnfStyle w:val="001000000000" w:firstRow="0" w:lastRow="0" w:firstColumn="1" w:lastColumn="0" w:oddVBand="0" w:evenVBand="0" w:oddHBand="0" w:evenHBand="0" w:firstRowFirstColumn="0" w:firstRowLastColumn="0" w:lastRowFirstColumn="0" w:lastRowLastColumn="0"/>
            <w:tcW w:w="1873" w:type="pct"/>
          </w:tcPr>
          <w:p w:rsidR="00CE5702" w:rsidRPr="00264433" w:rsidRDefault="00CE5702" w:rsidP="006264C8">
            <w:pPr>
              <w:pStyle w:val="TableText"/>
              <w:rPr>
                <w:sz w:val="22"/>
              </w:rPr>
            </w:pPr>
            <w:r w:rsidRPr="00264433">
              <w:rPr>
                <w:sz w:val="22"/>
              </w:rPr>
              <w:t xml:space="preserve">Scenario 4: 15 per cent GST; </w:t>
            </w:r>
            <w:r>
              <w:rPr>
                <w:sz w:val="22"/>
              </w:rPr>
              <w:t xml:space="preserve">basic food subject to </w:t>
            </w:r>
            <w:r w:rsidRPr="00264433">
              <w:rPr>
                <w:sz w:val="22"/>
              </w:rPr>
              <w:t>GST</w:t>
            </w:r>
          </w:p>
        </w:tc>
        <w:tc>
          <w:tcPr>
            <w:tcW w:w="934" w:type="pct"/>
          </w:tcPr>
          <w:p w:rsidR="00CE5702" w:rsidRPr="00DC6477" w:rsidRDefault="00CE5702" w:rsidP="00740FBF">
            <w:pPr>
              <w:pStyle w:val="TableTextCentred"/>
              <w:cnfStyle w:val="000000000000" w:firstRow="0" w:lastRow="0" w:firstColumn="0" w:lastColumn="0" w:oddVBand="0" w:evenVBand="0" w:oddHBand="0" w:evenHBand="0" w:firstRowFirstColumn="0" w:firstRowLastColumn="0" w:lastRowFirstColumn="0" w:lastRowLastColumn="0"/>
              <w:rPr>
                <w:sz w:val="22"/>
              </w:rPr>
            </w:pPr>
            <w:r w:rsidRPr="00DC6477">
              <w:rPr>
                <w:sz w:val="22"/>
              </w:rPr>
              <w:t>4</w:t>
            </w:r>
            <w:r>
              <w:rPr>
                <w:sz w:val="22"/>
              </w:rPr>
              <w:t>2</w:t>
            </w:r>
            <w:r w:rsidRPr="00DC6477">
              <w:rPr>
                <w:sz w:val="22"/>
              </w:rPr>
              <w:t>.</w:t>
            </w:r>
            <w:r>
              <w:rPr>
                <w:sz w:val="22"/>
              </w:rPr>
              <w:t>7</w:t>
            </w:r>
          </w:p>
        </w:tc>
        <w:tc>
          <w:tcPr>
            <w:tcW w:w="1106" w:type="pct"/>
          </w:tcPr>
          <w:p w:rsidR="00CE5702" w:rsidRPr="00DC6477" w:rsidRDefault="00CE5702" w:rsidP="00740FBF">
            <w:pPr>
              <w:pStyle w:val="TableTextCentred"/>
              <w:cnfStyle w:val="000000000000" w:firstRow="0" w:lastRow="0" w:firstColumn="0" w:lastColumn="0" w:oddVBand="0" w:evenVBand="0" w:oddHBand="0" w:evenHBand="0" w:firstRowFirstColumn="0" w:firstRowLastColumn="0" w:lastRowFirstColumn="0" w:lastRowLastColumn="0"/>
              <w:rPr>
                <w:sz w:val="22"/>
              </w:rPr>
            </w:pPr>
            <w:r w:rsidRPr="00DC6477">
              <w:rPr>
                <w:sz w:val="22"/>
              </w:rPr>
              <w:t>11.</w:t>
            </w:r>
            <w:r>
              <w:rPr>
                <w:sz w:val="22"/>
              </w:rPr>
              <w:t>3</w:t>
            </w:r>
          </w:p>
        </w:tc>
        <w:tc>
          <w:tcPr>
            <w:tcW w:w="1087" w:type="pct"/>
          </w:tcPr>
          <w:p w:rsidR="00CE5702" w:rsidRPr="00264433" w:rsidRDefault="00CE5702" w:rsidP="00740FBF">
            <w:pPr>
              <w:pStyle w:val="TableTextCentred"/>
              <w:cnfStyle w:val="000000000000" w:firstRow="0" w:lastRow="0" w:firstColumn="0" w:lastColumn="0" w:oddVBand="0" w:evenVBand="0" w:oddHBand="0" w:evenHBand="0" w:firstRowFirstColumn="0" w:firstRowLastColumn="0" w:lastRowFirstColumn="0" w:lastRowLastColumn="0"/>
              <w:rPr>
                <w:sz w:val="22"/>
              </w:rPr>
            </w:pPr>
            <w:r w:rsidRPr="00264433">
              <w:rPr>
                <w:sz w:val="22"/>
              </w:rPr>
              <w:t>31.</w:t>
            </w:r>
            <w:r>
              <w:rPr>
                <w:sz w:val="22"/>
              </w:rPr>
              <w:t>4</w:t>
            </w:r>
          </w:p>
        </w:tc>
      </w:tr>
      <w:tr w:rsidR="00CE5702" w:rsidRPr="00264433" w:rsidTr="00CE570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73" w:type="pct"/>
          </w:tcPr>
          <w:p w:rsidR="00CE5702" w:rsidRPr="00264433" w:rsidRDefault="00CE5702" w:rsidP="006264C8">
            <w:pPr>
              <w:pStyle w:val="TableText"/>
              <w:rPr>
                <w:sz w:val="22"/>
              </w:rPr>
            </w:pPr>
            <w:r w:rsidRPr="00264433">
              <w:rPr>
                <w:sz w:val="22"/>
              </w:rPr>
              <w:t>Scenario 5: 15 per cent GST; remove concessions</w:t>
            </w:r>
          </w:p>
        </w:tc>
        <w:tc>
          <w:tcPr>
            <w:tcW w:w="934" w:type="pct"/>
          </w:tcPr>
          <w:p w:rsidR="00CE5702" w:rsidRPr="00DC6477" w:rsidRDefault="00CE5702" w:rsidP="00DC6477">
            <w:pPr>
              <w:pStyle w:val="TableTextCentred"/>
              <w:cnfStyle w:val="000000100000" w:firstRow="0" w:lastRow="0" w:firstColumn="0" w:lastColumn="0" w:oddVBand="0" w:evenVBand="0" w:oddHBand="1" w:evenHBand="0" w:firstRowFirstColumn="0" w:firstRowLastColumn="0" w:lastRowFirstColumn="0" w:lastRowLastColumn="0"/>
              <w:rPr>
                <w:sz w:val="22"/>
              </w:rPr>
            </w:pPr>
            <w:r w:rsidRPr="00DC6477">
              <w:rPr>
                <w:sz w:val="22"/>
              </w:rPr>
              <w:t>65.8</w:t>
            </w:r>
          </w:p>
        </w:tc>
        <w:tc>
          <w:tcPr>
            <w:tcW w:w="1106" w:type="pct"/>
          </w:tcPr>
          <w:p w:rsidR="00CE5702" w:rsidRPr="00DC6477" w:rsidRDefault="00CE5702" w:rsidP="00DC6477">
            <w:pPr>
              <w:pStyle w:val="TableTextCentred"/>
              <w:cnfStyle w:val="000000100000" w:firstRow="0" w:lastRow="0" w:firstColumn="0" w:lastColumn="0" w:oddVBand="0" w:evenVBand="0" w:oddHBand="1" w:evenHBand="0" w:firstRowFirstColumn="0" w:firstRowLastColumn="0" w:lastRowFirstColumn="0" w:lastRowLastColumn="0"/>
              <w:rPr>
                <w:sz w:val="22"/>
              </w:rPr>
            </w:pPr>
            <w:r w:rsidRPr="00DC6477">
              <w:rPr>
                <w:sz w:val="22"/>
              </w:rPr>
              <w:t>16.5</w:t>
            </w:r>
          </w:p>
        </w:tc>
        <w:tc>
          <w:tcPr>
            <w:tcW w:w="1087" w:type="pct"/>
          </w:tcPr>
          <w:p w:rsidR="00CE5702" w:rsidRPr="00264433" w:rsidRDefault="00CE5702" w:rsidP="00740FBF">
            <w:pPr>
              <w:pStyle w:val="TableTextCentred"/>
              <w:cnfStyle w:val="000000100000" w:firstRow="0" w:lastRow="0" w:firstColumn="0" w:lastColumn="0" w:oddVBand="0" w:evenVBand="0" w:oddHBand="1" w:evenHBand="0" w:firstRowFirstColumn="0" w:firstRowLastColumn="0" w:lastRowFirstColumn="0" w:lastRowLastColumn="0"/>
              <w:rPr>
                <w:sz w:val="22"/>
              </w:rPr>
            </w:pPr>
            <w:r w:rsidRPr="00264433">
              <w:rPr>
                <w:sz w:val="22"/>
              </w:rPr>
              <w:t>49.</w:t>
            </w:r>
            <w:r>
              <w:rPr>
                <w:sz w:val="22"/>
              </w:rPr>
              <w:t>3</w:t>
            </w:r>
          </w:p>
        </w:tc>
      </w:tr>
    </w:tbl>
    <w:p w:rsidR="00741789" w:rsidRPr="00BA0FBF" w:rsidRDefault="00EA0CBA" w:rsidP="00EA0CBA">
      <w:pPr>
        <w:pStyle w:val="Source"/>
      </w:pPr>
      <w:r>
        <w:t xml:space="preserve">Source: </w:t>
      </w:r>
      <w:r w:rsidR="00DC6477">
        <w:t>PBO analysis</w:t>
      </w:r>
    </w:p>
    <w:p w:rsidR="00CE5702" w:rsidRDefault="00CE5702" w:rsidP="00E74582">
      <w:pPr>
        <w:pStyle w:val="BodyText17ptAbove"/>
      </w:pPr>
      <w:r>
        <w:t>The analysis in this report makes no assumptions as to how any net additional GST revenue would</w:t>
      </w:r>
      <w:r w:rsidR="00A372F6">
        <w:t xml:space="preserve"> be utilised, or the </w:t>
      </w:r>
      <w:r>
        <w:t>nature</w:t>
      </w:r>
      <w:r w:rsidR="00A372F6">
        <w:t xml:space="preserve"> and extent</w:t>
      </w:r>
      <w:r>
        <w:t xml:space="preserve"> of any possible associated changes to the tax and transfer systems. </w:t>
      </w:r>
    </w:p>
    <w:p w:rsidR="00F940C3" w:rsidRPr="00741789" w:rsidRDefault="00CE5702" w:rsidP="00CE5702">
      <w:pPr>
        <w:pStyle w:val="OverviewBodyText"/>
      </w:pPr>
      <w:r>
        <w:t>The report is intended to help inform public debate on this issue through objective analysis.  Consistent with the PBO’s non-partisan mandate, the report contains no policy recommendations.</w:t>
      </w:r>
    </w:p>
    <w:p w:rsidR="00EA0CBA" w:rsidRPr="00BA0FBF" w:rsidRDefault="00EA0CBA">
      <w:pPr>
        <w:rPr>
          <w:sz w:val="20"/>
        </w:rPr>
        <w:sectPr w:rsidR="00EA0CBA" w:rsidRPr="00BA0FBF" w:rsidSect="00BA0FBF">
          <w:pgSz w:w="11906" w:h="16838" w:code="9"/>
          <w:pgMar w:top="1361" w:right="1797" w:bottom="1474" w:left="1797" w:header="284" w:footer="454" w:gutter="0"/>
          <w:pgNumType w:fmt="lowerRoman"/>
          <w:cols w:space="708"/>
          <w:docGrid w:linePitch="360"/>
        </w:sectPr>
      </w:pPr>
    </w:p>
    <w:p w:rsidR="00F95381" w:rsidRPr="00BA0FBF" w:rsidRDefault="00F95381" w:rsidP="00C574AE">
      <w:pPr>
        <w:pStyle w:val="Heading1"/>
        <w:rPr>
          <w:sz w:val="36"/>
        </w:rPr>
      </w:pPr>
      <w:bookmarkStart w:id="21" w:name="_Toc433642995"/>
      <w:bookmarkStart w:id="22" w:name="_Toc433988580"/>
      <w:bookmarkStart w:id="23" w:name="_Toc436400314"/>
      <w:bookmarkStart w:id="24" w:name="_Toc436652242"/>
      <w:bookmarkStart w:id="25" w:name="_Toc436652280"/>
      <w:bookmarkStart w:id="26" w:name="_Toc436917799"/>
      <w:bookmarkStart w:id="27" w:name="_Toc437429841"/>
      <w:r w:rsidRPr="00BA0FBF">
        <w:rPr>
          <w:sz w:val="36"/>
        </w:rPr>
        <w:t>Introduction</w:t>
      </w:r>
      <w:bookmarkEnd w:id="21"/>
      <w:bookmarkEnd w:id="22"/>
      <w:bookmarkEnd w:id="23"/>
      <w:bookmarkEnd w:id="24"/>
      <w:bookmarkEnd w:id="25"/>
      <w:bookmarkEnd w:id="26"/>
      <w:bookmarkEnd w:id="27"/>
    </w:p>
    <w:p w:rsidR="00F95381" w:rsidRPr="00741789" w:rsidRDefault="00F95381" w:rsidP="00741789">
      <w:pPr>
        <w:pStyle w:val="BodyText"/>
      </w:pPr>
      <w:r w:rsidRPr="00741789">
        <w:t xml:space="preserve">The current discussion of reform of Australia’s tax system </w:t>
      </w:r>
      <w:r w:rsidR="008F5F45" w:rsidRPr="00741789">
        <w:t xml:space="preserve">has raised </w:t>
      </w:r>
      <w:r w:rsidRPr="00741789">
        <w:t xml:space="preserve">questions of the potential for reform </w:t>
      </w:r>
      <w:r w:rsidR="008F5F45" w:rsidRPr="00741789">
        <w:t>of Australia’s Goods and Services Tax (GST)</w:t>
      </w:r>
      <w:r w:rsidRPr="00741789">
        <w:t>, with the I</w:t>
      </w:r>
      <w:r w:rsidR="00E216C8" w:rsidRPr="00741789">
        <w:t xml:space="preserve">nternational </w:t>
      </w:r>
      <w:r w:rsidRPr="00741789">
        <w:t>M</w:t>
      </w:r>
      <w:r w:rsidR="00E216C8" w:rsidRPr="00741789">
        <w:t xml:space="preserve">onetary </w:t>
      </w:r>
      <w:r w:rsidRPr="00741789">
        <w:t>F</w:t>
      </w:r>
      <w:r w:rsidR="00E216C8" w:rsidRPr="00741789">
        <w:t>und (IMF)</w:t>
      </w:r>
      <w:r w:rsidRPr="00741789">
        <w:t xml:space="preserve"> and O</w:t>
      </w:r>
      <w:r w:rsidR="00E216C8" w:rsidRPr="00741789">
        <w:t xml:space="preserve">rganisation for </w:t>
      </w:r>
      <w:r w:rsidRPr="00741789">
        <w:t>E</w:t>
      </w:r>
      <w:r w:rsidR="00E216C8" w:rsidRPr="00741789">
        <w:t xml:space="preserve">conomic </w:t>
      </w:r>
      <w:r w:rsidRPr="00741789">
        <w:t>C</w:t>
      </w:r>
      <w:r w:rsidR="00E216C8" w:rsidRPr="00741789">
        <w:t xml:space="preserve">o-operation and </w:t>
      </w:r>
      <w:r w:rsidRPr="00741789">
        <w:t>D</w:t>
      </w:r>
      <w:r w:rsidR="00E216C8" w:rsidRPr="00741789">
        <w:t>evelopment (OECD)</w:t>
      </w:r>
      <w:r w:rsidRPr="00741789">
        <w:t xml:space="preserve"> recommending broadening the base and increasing the rate of the GST.</w:t>
      </w:r>
      <w:r w:rsidR="00241B49" w:rsidRPr="0086621F">
        <w:rPr>
          <w:rStyle w:val="FootnoteReference"/>
        </w:rPr>
        <w:footnoteReference w:id="1"/>
      </w:r>
    </w:p>
    <w:p w:rsidR="00F95381" w:rsidRPr="00741789" w:rsidRDefault="002F66E5" w:rsidP="00741789">
      <w:pPr>
        <w:pStyle w:val="BodyText"/>
      </w:pPr>
      <w:r>
        <w:t>The t</w:t>
      </w:r>
      <w:r w:rsidR="00F95381" w:rsidRPr="00741789">
        <w:t xml:space="preserve">ax discussion paper released by the Treasury in March 2015 sought </w:t>
      </w:r>
      <w:r w:rsidR="008F5F45" w:rsidRPr="00741789">
        <w:t>views on the extent to which current GST</w:t>
      </w:r>
      <w:r w:rsidR="00890A68" w:rsidRPr="00741789">
        <w:t xml:space="preserve"> policy settings—particularly the rate and base—</w:t>
      </w:r>
      <w:r w:rsidR="00F95381" w:rsidRPr="00741789">
        <w:t xml:space="preserve">are appropriate.  The paper also noted that </w:t>
      </w:r>
      <w:r w:rsidR="00E216C8" w:rsidRPr="00741789">
        <w:t>’</w:t>
      </w:r>
      <w:r w:rsidR="00F95381" w:rsidRPr="00741789">
        <w:t>the Australian Government will only consider progressing any such proposals if there is a broad political consensus for change</w:t>
      </w:r>
      <w:r w:rsidR="00E216C8" w:rsidRPr="00741789">
        <w:t>’</w:t>
      </w:r>
      <w:r w:rsidR="00F95381" w:rsidRPr="00741789">
        <w:t>.</w:t>
      </w:r>
      <w:r w:rsidR="00241B49" w:rsidRPr="0086621F">
        <w:rPr>
          <w:rStyle w:val="FootnoteReference"/>
        </w:rPr>
        <w:footnoteReference w:id="2"/>
      </w:r>
    </w:p>
    <w:p w:rsidR="00F95381" w:rsidRPr="00741789" w:rsidRDefault="00F95381" w:rsidP="00741789">
      <w:pPr>
        <w:pStyle w:val="BodyText"/>
      </w:pPr>
      <w:r w:rsidRPr="00741789">
        <w:t xml:space="preserve">Proponents of increasing </w:t>
      </w:r>
      <w:r w:rsidR="008F5F45" w:rsidRPr="00741789">
        <w:t>GST</w:t>
      </w:r>
      <w:r w:rsidRPr="00741789">
        <w:t xml:space="preserve"> revenue stress that it is a more efficient way of raising revenue than </w:t>
      </w:r>
      <w:r w:rsidR="006264C8" w:rsidRPr="00CE5702">
        <w:t>most</w:t>
      </w:r>
      <w:r w:rsidR="006264C8">
        <w:t xml:space="preserve"> </w:t>
      </w:r>
      <w:r w:rsidRPr="00741789">
        <w:t>other taxes.</w:t>
      </w:r>
      <w:r w:rsidR="00241B49" w:rsidRPr="0086621F">
        <w:rPr>
          <w:rStyle w:val="FootnoteReference"/>
        </w:rPr>
        <w:footnoteReference w:id="3"/>
      </w:r>
      <w:r w:rsidRPr="00741789">
        <w:t xml:space="preserve">  In particular, Treasury modelling estimates that the GST has a lesser impact on the economy than company income tax</w:t>
      </w:r>
      <w:r w:rsidR="008F5F45" w:rsidRPr="00741789">
        <w:t>,</w:t>
      </w:r>
      <w:r w:rsidRPr="00741789">
        <w:t xml:space="preserve"> stamp duty</w:t>
      </w:r>
      <w:r w:rsidR="008F5F45" w:rsidRPr="00741789">
        <w:t xml:space="preserve"> and a progressive personal income tax</w:t>
      </w:r>
      <w:r w:rsidRPr="00741789">
        <w:t>.</w:t>
      </w:r>
      <w:r w:rsidR="00241B49" w:rsidRPr="0086621F">
        <w:rPr>
          <w:rStyle w:val="FootnoteReference"/>
        </w:rPr>
        <w:footnoteReference w:id="4"/>
      </w:r>
    </w:p>
    <w:p w:rsidR="00F95381" w:rsidRPr="00741789" w:rsidRDefault="00F95381" w:rsidP="00741789">
      <w:pPr>
        <w:pStyle w:val="BodyText"/>
      </w:pPr>
      <w:r w:rsidRPr="00741789">
        <w:t xml:space="preserve">On </w:t>
      </w:r>
      <w:r w:rsidR="00C702D4">
        <w:t xml:space="preserve">the </w:t>
      </w:r>
      <w:r w:rsidRPr="00741789">
        <w:t>other hand, others have expressed concern around the eq</w:t>
      </w:r>
      <w:r w:rsidR="00CA7406" w:rsidRPr="00741789">
        <w:t xml:space="preserve">uity </w:t>
      </w:r>
      <w:r w:rsidR="001318F4" w:rsidRPr="00741789">
        <w:t xml:space="preserve">of </w:t>
      </w:r>
      <w:r w:rsidR="00CA7406" w:rsidRPr="00741789">
        <w:t>GST reform proposals, noting that as the GST is a regressive tax, an increase in the GST would increase the tax burden on lower income earners.</w:t>
      </w:r>
      <w:r w:rsidR="00241B49" w:rsidRPr="0086621F">
        <w:rPr>
          <w:rStyle w:val="FootnoteReference"/>
        </w:rPr>
        <w:footnoteReference w:id="5"/>
      </w:r>
    </w:p>
    <w:p w:rsidR="00F95381" w:rsidRPr="00741789" w:rsidRDefault="00F95381" w:rsidP="00741789">
      <w:pPr>
        <w:pStyle w:val="BodyText"/>
      </w:pPr>
      <w:r w:rsidRPr="00741789">
        <w:t>The purpose of this report is to inform public discussion of issues around the impact of GST reform proposals by providing a more detailed analysis of the distributional effe</w:t>
      </w:r>
      <w:r w:rsidR="002F66E5">
        <w:t>cts of GST than set out in the t</w:t>
      </w:r>
      <w:r w:rsidRPr="00741789">
        <w:t>ax discussion paper</w:t>
      </w:r>
      <w:r w:rsidR="00E216C8" w:rsidRPr="00741789">
        <w:t>,</w:t>
      </w:r>
      <w:r w:rsidRPr="00741789">
        <w:t xml:space="preserve"> and providing an independent analysis of the </w:t>
      </w:r>
      <w:r w:rsidR="00CA7406" w:rsidRPr="00741789">
        <w:t>revenue</w:t>
      </w:r>
      <w:r w:rsidRPr="00741789">
        <w:t xml:space="preserve"> and distributional impact</w:t>
      </w:r>
      <w:r w:rsidR="008D54B4">
        <w:t>s</w:t>
      </w:r>
      <w:r w:rsidRPr="00741789">
        <w:t xml:space="preserve"> of different GST reform scenarios.</w:t>
      </w:r>
    </w:p>
    <w:p w:rsidR="00CA7406" w:rsidRPr="00741789" w:rsidRDefault="00F95381" w:rsidP="00741789">
      <w:pPr>
        <w:pStyle w:val="BodyText"/>
      </w:pPr>
      <w:r w:rsidRPr="00741789">
        <w:t>Consistent with the PBO’s mandate, this report does not include policy recommendations.  The selection of GST reform scenarios for analysis in this report was based on proposals that have been widely canvassed in public policy d</w:t>
      </w:r>
      <w:r w:rsidR="002F66E5">
        <w:t>iscussion</w:t>
      </w:r>
      <w:r w:rsidRPr="00741789">
        <w:t xml:space="preserve">.  </w:t>
      </w:r>
      <w:r w:rsidR="00CA7406" w:rsidRPr="00741789">
        <w:t>T</w:t>
      </w:r>
      <w:r w:rsidRPr="00741789">
        <w:t xml:space="preserve">his should not be interpreted as the PBO endorsing </w:t>
      </w:r>
      <w:r w:rsidR="00CA7406" w:rsidRPr="00741789">
        <w:t>any of these scenarios.</w:t>
      </w:r>
    </w:p>
    <w:p w:rsidR="00F95381" w:rsidRPr="00741789" w:rsidRDefault="00F95381" w:rsidP="00741789">
      <w:pPr>
        <w:pStyle w:val="BodyText"/>
      </w:pPr>
      <w:r w:rsidRPr="00741789">
        <w:t>The remainder of this report is structured as follows.  Chapter 2 provides a</w:t>
      </w:r>
      <w:r w:rsidR="00241B49" w:rsidRPr="00741789">
        <w:t xml:space="preserve"> brief</w:t>
      </w:r>
      <w:r w:rsidRPr="00741789">
        <w:t xml:space="preserve"> outline of the GST in Australia, including the exclusions from the GST base</w:t>
      </w:r>
      <w:r w:rsidR="00241B49" w:rsidRPr="00741789">
        <w:t>, a recap of compensation arrangements on the introduction of the GST</w:t>
      </w:r>
      <w:r w:rsidR="00E216C8" w:rsidRPr="00741789">
        <w:t>,</w:t>
      </w:r>
      <w:r w:rsidRPr="00741789">
        <w:t xml:space="preserve"> and a</w:t>
      </w:r>
      <w:r w:rsidR="00241B49" w:rsidRPr="00741789">
        <w:t>n</w:t>
      </w:r>
      <w:r w:rsidRPr="00741789">
        <w:t xml:space="preserve"> international comparison.  Chapter 3 provides a distributional analysis of the current GST system, </w:t>
      </w:r>
      <w:r w:rsidR="0059678F" w:rsidRPr="00741789">
        <w:t xml:space="preserve">giving </w:t>
      </w:r>
      <w:r w:rsidRPr="00741789">
        <w:t>estimates of the relative</w:t>
      </w:r>
      <w:r w:rsidR="00CA7406" w:rsidRPr="00741789">
        <w:t xml:space="preserve"> and absolute impact</w:t>
      </w:r>
      <w:r w:rsidR="007B7E81">
        <w:t>s</w:t>
      </w:r>
      <w:r w:rsidR="00CA7406" w:rsidRPr="00741789">
        <w:t xml:space="preserve"> of the GST and GST concessions</w:t>
      </w:r>
      <w:r w:rsidRPr="00741789">
        <w:t xml:space="preserve"> on households.  Chapter 4 provides estimates of the revenue and distributional impact</w:t>
      </w:r>
      <w:r w:rsidR="0059678F" w:rsidRPr="00741789">
        <w:t>s</w:t>
      </w:r>
      <w:r w:rsidRPr="00741789">
        <w:t xml:space="preserve"> of </w:t>
      </w:r>
      <w:r w:rsidR="00A0032A" w:rsidRPr="00741789">
        <w:t>five</w:t>
      </w:r>
      <w:r w:rsidRPr="00741789">
        <w:t xml:space="preserve"> GST reform scenarios.</w:t>
      </w:r>
    </w:p>
    <w:p w:rsidR="00741789" w:rsidRPr="00741789" w:rsidRDefault="00741789" w:rsidP="00741789">
      <w:pPr>
        <w:pStyle w:val="BodyText"/>
        <w:sectPr w:rsidR="00741789" w:rsidRPr="00741789" w:rsidSect="005C5DF2">
          <w:headerReference w:type="even" r:id="rId35"/>
          <w:headerReference w:type="default" r:id="rId36"/>
          <w:footerReference w:type="even" r:id="rId37"/>
          <w:footerReference w:type="default" r:id="rId38"/>
          <w:headerReference w:type="first" r:id="rId39"/>
          <w:footerReference w:type="first" r:id="rId40"/>
          <w:pgSz w:w="11906" w:h="16838" w:code="9"/>
          <w:pgMar w:top="1361" w:right="1797" w:bottom="1474" w:left="1797" w:header="284" w:footer="454" w:gutter="0"/>
          <w:pgNumType w:start="1"/>
          <w:cols w:space="708"/>
          <w:docGrid w:linePitch="360"/>
        </w:sectPr>
      </w:pPr>
    </w:p>
    <w:p w:rsidR="00741789" w:rsidRPr="00E74582" w:rsidRDefault="00741789" w:rsidP="00741789">
      <w:pPr>
        <w:pStyle w:val="Heading1"/>
        <w:rPr>
          <w:sz w:val="36"/>
          <w:szCs w:val="36"/>
        </w:rPr>
      </w:pPr>
      <w:bookmarkStart w:id="28" w:name="_Toc436917800"/>
      <w:bookmarkStart w:id="29" w:name="_Toc437429842"/>
      <w:r w:rsidRPr="00E74582">
        <w:rPr>
          <w:sz w:val="36"/>
          <w:szCs w:val="36"/>
        </w:rPr>
        <w:t>The GST in Australia</w:t>
      </w:r>
      <w:bookmarkEnd w:id="28"/>
      <w:bookmarkEnd w:id="29"/>
    </w:p>
    <w:p w:rsidR="00F95381" w:rsidRPr="00741789" w:rsidRDefault="00F95381" w:rsidP="00741789">
      <w:pPr>
        <w:pStyle w:val="BodyText"/>
      </w:pPr>
      <w:r w:rsidRPr="00741789">
        <w:t>Australia’s Goods and Services Tax (GST) is a value added tax that applies to the consumption of most goods and services.</w:t>
      </w:r>
    </w:p>
    <w:p w:rsidR="00F95381" w:rsidRPr="00741789" w:rsidRDefault="00F95381" w:rsidP="00741789">
      <w:pPr>
        <w:pStyle w:val="BodyText"/>
      </w:pPr>
      <w:r w:rsidRPr="00741789">
        <w:t>The GST applies at each stage of production until final consumption in Australia, with a credit provided for GST paid on inputs.  As such, it applies to imports but not exports.</w:t>
      </w:r>
    </w:p>
    <w:p w:rsidR="00F95381" w:rsidRPr="00741789" w:rsidRDefault="00F95381" w:rsidP="00741789">
      <w:pPr>
        <w:pStyle w:val="BodyText"/>
      </w:pPr>
      <w:r w:rsidRPr="00741789">
        <w:t>The GST commenced on 1 July 2000, replacing the previous Wholesale Sales Tax and a range of other taxes and charges.</w:t>
      </w:r>
    </w:p>
    <w:p w:rsidR="00F95381" w:rsidRPr="00741789" w:rsidRDefault="00F95381" w:rsidP="00741789">
      <w:pPr>
        <w:pStyle w:val="BodyText"/>
      </w:pPr>
      <w:r w:rsidRPr="00741789">
        <w:t>Since its introduction, the GST has applied at a flat rate of 10 per cent.</w:t>
      </w:r>
    </w:p>
    <w:p w:rsidR="00F95381" w:rsidRPr="00741789" w:rsidRDefault="00F95381" w:rsidP="00741789">
      <w:pPr>
        <w:pStyle w:val="BodyText"/>
      </w:pPr>
      <w:r w:rsidRPr="00741789">
        <w:t xml:space="preserve">The GST is collected and administered by the </w:t>
      </w:r>
      <w:r w:rsidR="007B7E81">
        <w:t>Australian</w:t>
      </w:r>
      <w:r w:rsidRPr="00741789">
        <w:t xml:space="preserve"> Government, with GST receipts (less the cost of administration) transferred to States and Territories.</w:t>
      </w:r>
      <w:r w:rsidRPr="0086621F">
        <w:rPr>
          <w:rStyle w:val="FootnoteReference"/>
        </w:rPr>
        <w:footnoteReference w:id="6"/>
      </w:r>
    </w:p>
    <w:p w:rsidR="00F95381" w:rsidRPr="00741789" w:rsidRDefault="00F95381" w:rsidP="00741789">
      <w:pPr>
        <w:pStyle w:val="BodyText"/>
      </w:pPr>
      <w:r w:rsidRPr="00741789">
        <w:t>GST receipts in 2014</w:t>
      </w:r>
      <w:r w:rsidR="00465BC4" w:rsidRPr="00741789">
        <w:t>–</w:t>
      </w:r>
      <w:r w:rsidRPr="00741789">
        <w:t>15 were $54.5 billion, or 3.4 per cent of GDP.</w:t>
      </w:r>
    </w:p>
    <w:p w:rsidR="00F95381" w:rsidRPr="00741789" w:rsidRDefault="00F95381" w:rsidP="00741789">
      <w:pPr>
        <w:pStyle w:val="BodyText"/>
      </w:pPr>
      <w:r w:rsidRPr="00741789">
        <w:t>GST receipts have declined over the past decade from a peak of alm</w:t>
      </w:r>
      <w:r w:rsidR="00465BC4" w:rsidRPr="00741789">
        <w:t>ost 3.8 per cent of GDP in 2003–</w:t>
      </w:r>
      <w:r w:rsidRPr="00741789">
        <w:t>04 to around 3.4 per cent of GDP in 2014</w:t>
      </w:r>
      <w:r w:rsidR="00465BC4" w:rsidRPr="00741789">
        <w:t>–</w:t>
      </w:r>
      <w:r w:rsidRPr="00741789">
        <w:t>15.  This reflects a decline in consumption as a share of GDP, and a shift in consumption patterns away from goods and services subject to GST.</w:t>
      </w:r>
      <w:r w:rsidRPr="0086621F">
        <w:rPr>
          <w:rStyle w:val="FootnoteReference"/>
        </w:rPr>
        <w:footnoteReference w:id="7"/>
      </w:r>
    </w:p>
    <w:p w:rsidR="00F95381" w:rsidRPr="00BA0FBF" w:rsidRDefault="00F95381" w:rsidP="00F95381">
      <w:pPr>
        <w:pStyle w:val="Heading2"/>
        <w:rPr>
          <w:sz w:val="28"/>
        </w:rPr>
      </w:pPr>
      <w:bookmarkStart w:id="30" w:name="_Toc436400316"/>
      <w:bookmarkStart w:id="31" w:name="_Toc437429843"/>
      <w:r w:rsidRPr="00BA0FBF">
        <w:rPr>
          <w:sz w:val="28"/>
        </w:rPr>
        <w:t>Exclusions from the GST base</w:t>
      </w:r>
      <w:bookmarkEnd w:id="30"/>
      <w:bookmarkEnd w:id="31"/>
    </w:p>
    <w:p w:rsidR="00F95381" w:rsidRPr="00741789" w:rsidRDefault="00A0032A" w:rsidP="00741789">
      <w:pPr>
        <w:pStyle w:val="BodyText"/>
      </w:pPr>
      <w:r w:rsidRPr="00741789">
        <w:t>In its 1998 White Paper</w:t>
      </w:r>
      <w:r w:rsidR="007B7E81">
        <w:t>,</w:t>
      </w:r>
      <w:r w:rsidRPr="00741789">
        <w:t xml:space="preserve"> t</w:t>
      </w:r>
      <w:r w:rsidR="002C471E">
        <w:t>he then g</w:t>
      </w:r>
      <w:r w:rsidR="00F95381" w:rsidRPr="00741789">
        <w:t xml:space="preserve">overnment announced its intention to introduce the GST as part of </w:t>
      </w:r>
      <w:r w:rsidRPr="00741789">
        <w:t>a package of tax reforms</w:t>
      </w:r>
      <w:r w:rsidR="004E5E4D" w:rsidRPr="00741789">
        <w:t>.</w:t>
      </w:r>
      <w:r w:rsidR="004E5E4D" w:rsidRPr="0086621F">
        <w:rPr>
          <w:rStyle w:val="FootnoteReference"/>
        </w:rPr>
        <w:footnoteReference w:id="8"/>
      </w:r>
    </w:p>
    <w:p w:rsidR="00CA7406" w:rsidRPr="00741789" w:rsidRDefault="00F95381" w:rsidP="00741789">
      <w:pPr>
        <w:pStyle w:val="BodyText"/>
      </w:pPr>
      <w:r w:rsidRPr="00741789">
        <w:t xml:space="preserve">As originally announced, the GST was intended to have a </w:t>
      </w:r>
      <w:r w:rsidR="002F1E6F">
        <w:t>‘</w:t>
      </w:r>
      <w:r w:rsidRPr="00741789">
        <w:t>very broad base</w:t>
      </w:r>
      <w:r w:rsidR="00603B3B" w:rsidRPr="00741789">
        <w:t>’</w:t>
      </w:r>
      <w:r w:rsidRPr="00741789">
        <w:t xml:space="preserve">, with exclusions from the GST base limited to circumstances where the imposition would be </w:t>
      </w:r>
      <w:r w:rsidR="002F1E6F">
        <w:t>‘</w:t>
      </w:r>
      <w:r w:rsidRPr="00741789">
        <w:t>technically difficult</w:t>
      </w:r>
      <w:r w:rsidR="00603B3B" w:rsidRPr="00741789">
        <w:t>’</w:t>
      </w:r>
      <w:r w:rsidRPr="00741789">
        <w:t xml:space="preserve"> (financial services) or </w:t>
      </w:r>
      <w:r w:rsidR="002F1E6F">
        <w:t>‘</w:t>
      </w:r>
      <w:r w:rsidRPr="00741789">
        <w:t>would create inequities between private and public sector providers</w:t>
      </w:r>
      <w:r w:rsidR="00603B3B" w:rsidRPr="00741789">
        <w:t>’</w:t>
      </w:r>
      <w:r w:rsidRPr="00741789">
        <w:t xml:space="preserve"> (health and medical care; education; child care).</w:t>
      </w:r>
      <w:r w:rsidRPr="0086621F">
        <w:rPr>
          <w:rStyle w:val="FootnoteReference"/>
        </w:rPr>
        <w:footnoteReference w:id="9"/>
      </w:r>
    </w:p>
    <w:p w:rsidR="0094725B" w:rsidRDefault="00F95381" w:rsidP="00741789">
      <w:pPr>
        <w:pStyle w:val="BodyText"/>
      </w:pPr>
      <w:r w:rsidRPr="00741789">
        <w:t xml:space="preserve">The original announcement also excluded water and sewerage rates and charges from the GST.  While the policy intention was to </w:t>
      </w:r>
      <w:r w:rsidR="00E577F7">
        <w:t>‘</w:t>
      </w:r>
      <w:r w:rsidRPr="00741789">
        <w:t>apply the GST to the commercial activities of all levels of government in the normal manner</w:t>
      </w:r>
      <w:r w:rsidR="00603B3B" w:rsidRPr="00741789">
        <w:t>’</w:t>
      </w:r>
      <w:r w:rsidRPr="00741789">
        <w:t xml:space="preserve">, it was also recognised that </w:t>
      </w:r>
      <w:r w:rsidR="00603B3B" w:rsidRPr="00741789">
        <w:t>‘</w:t>
      </w:r>
      <w:r w:rsidRPr="00741789">
        <w:t>there are Constitutional limitations on subjecting some activities of government to the GST</w:t>
      </w:r>
      <w:r w:rsidR="00603B3B" w:rsidRPr="00741789">
        <w:t>’</w:t>
      </w:r>
      <w:r w:rsidRPr="00741789">
        <w:t>.</w:t>
      </w:r>
      <w:r w:rsidRPr="0086621F">
        <w:rPr>
          <w:rStyle w:val="FootnoteReference"/>
        </w:rPr>
        <w:footnoteReference w:id="10"/>
      </w:r>
    </w:p>
    <w:p w:rsidR="004E5E4D" w:rsidRPr="00741789" w:rsidRDefault="00F95381" w:rsidP="00741789">
      <w:pPr>
        <w:pStyle w:val="BodyText"/>
      </w:pPr>
      <w:r w:rsidRPr="00741789">
        <w:t>Subsequently, as part of negotiations to secure the passage of GST legislatio</w:t>
      </w:r>
      <w:r w:rsidR="002C471E">
        <w:t>n through parliament, the then g</w:t>
      </w:r>
      <w:r w:rsidRPr="00741789">
        <w:t>overnment agreed to exclude basic food from the GST.</w:t>
      </w:r>
      <w:r w:rsidRPr="0086621F">
        <w:rPr>
          <w:rStyle w:val="FootnoteReference"/>
        </w:rPr>
        <w:footnoteReference w:id="11"/>
      </w:r>
      <w:r w:rsidRPr="00741789">
        <w:t xml:space="preserve">  The principal criticism of applying the GST to basic food was that it would be highly regressive.</w:t>
      </w:r>
      <w:r w:rsidRPr="0086621F">
        <w:rPr>
          <w:rStyle w:val="FootnoteReference"/>
        </w:rPr>
        <w:footnoteReference w:id="12"/>
      </w:r>
      <w:r w:rsidRPr="00741789">
        <w:t xml:space="preserve">  There were also concerns about the potential for adverse health consequences from taxing fresh food.</w:t>
      </w:r>
      <w:r w:rsidRPr="0086621F">
        <w:rPr>
          <w:rStyle w:val="FootnoteReference"/>
        </w:rPr>
        <w:footnoteReference w:id="13"/>
      </w:r>
    </w:p>
    <w:p w:rsidR="001725B0" w:rsidRPr="00741789" w:rsidRDefault="000F2D4C" w:rsidP="00741789">
      <w:pPr>
        <w:pStyle w:val="BodyText"/>
      </w:pPr>
      <w:r w:rsidRPr="00741789">
        <w:t xml:space="preserve">In most cases where the GST is not charged on goods and services the provider is </w:t>
      </w:r>
      <w:r w:rsidR="008369A2" w:rsidRPr="00741789">
        <w:t xml:space="preserve">still </w:t>
      </w:r>
      <w:r w:rsidR="0048749C" w:rsidRPr="00741789">
        <w:t xml:space="preserve">able to claim credit (or be refunded) for the </w:t>
      </w:r>
      <w:r w:rsidRPr="00741789">
        <w:t xml:space="preserve">GST </w:t>
      </w:r>
      <w:r w:rsidR="008369A2" w:rsidRPr="00741789">
        <w:t xml:space="preserve">it </w:t>
      </w:r>
      <w:r w:rsidRPr="00741789">
        <w:t xml:space="preserve">paid on the goods and services used </w:t>
      </w:r>
      <w:r w:rsidR="008369A2" w:rsidRPr="00741789">
        <w:t>in the provision of its goods and services.</w:t>
      </w:r>
      <w:r w:rsidR="00A0032A" w:rsidRPr="00741789">
        <w:t xml:space="preserve">  The main items this</w:t>
      </w:r>
      <w:r w:rsidRPr="00741789">
        <w:t xml:space="preserve"> </w:t>
      </w:r>
      <w:r w:rsidR="00603B3B" w:rsidRPr="00741789">
        <w:t>‘</w:t>
      </w:r>
      <w:r w:rsidRPr="00741789">
        <w:t>GST</w:t>
      </w:r>
      <w:r w:rsidRPr="00741789">
        <w:noBreakHyphen/>
        <w:t>free</w:t>
      </w:r>
      <w:r w:rsidR="00603B3B" w:rsidRPr="00741789">
        <w:t>’</w:t>
      </w:r>
      <w:r w:rsidRPr="00741789">
        <w:t xml:space="preserve"> treatment applies to </w:t>
      </w:r>
      <w:r w:rsidR="00A0032A" w:rsidRPr="00741789">
        <w:t>are</w:t>
      </w:r>
      <w:r w:rsidRPr="00741789">
        <w:t xml:space="preserve">: basic food; health and medical care; education; child care; </w:t>
      </w:r>
      <w:r w:rsidR="00A0032A" w:rsidRPr="00741789">
        <w:t xml:space="preserve">and </w:t>
      </w:r>
      <w:r w:rsidRPr="00741789">
        <w:t>water and sewerage.</w:t>
      </w:r>
      <w:r w:rsidR="00A0032A" w:rsidRPr="0086621F">
        <w:rPr>
          <w:rStyle w:val="FootnoteReference"/>
        </w:rPr>
        <w:footnoteReference w:id="14"/>
      </w:r>
    </w:p>
    <w:p w:rsidR="00F95381" w:rsidRPr="00741789" w:rsidRDefault="006B4FD3" w:rsidP="00741789">
      <w:pPr>
        <w:pStyle w:val="BodyText"/>
      </w:pPr>
      <w:r w:rsidRPr="00741789">
        <w:t xml:space="preserve">Providers of financial services </w:t>
      </w:r>
      <w:r w:rsidR="00C57375" w:rsidRPr="00741789">
        <w:t xml:space="preserve">do not apply GST to the services they supply but </w:t>
      </w:r>
      <w:r w:rsidRPr="00741789">
        <w:t>are not able to claim credit (or be refunded) for the GST paid on the goods and services used in the provision of financial services.</w:t>
      </w:r>
      <w:r w:rsidR="00C57375" w:rsidRPr="0086621F">
        <w:rPr>
          <w:rStyle w:val="FootnoteReference"/>
        </w:rPr>
        <w:footnoteReference w:id="15"/>
      </w:r>
      <w:r w:rsidRPr="00741789">
        <w:t xml:space="preserve">  No OECD country applies the GST to financial services, reflecting the technical challenges in doing so.</w:t>
      </w:r>
      <w:r w:rsidRPr="0086621F">
        <w:rPr>
          <w:rStyle w:val="FootnoteReference"/>
        </w:rPr>
        <w:footnoteReference w:id="16"/>
      </w:r>
      <w:r w:rsidRPr="00741789">
        <w:t xml:space="preserve">  </w:t>
      </w:r>
      <w:r w:rsidR="00F95381" w:rsidRPr="00741789">
        <w:t xml:space="preserve">The </w:t>
      </w:r>
      <w:r w:rsidRPr="00741789">
        <w:t xml:space="preserve">impact of the exclusion of financial services from the GST is </w:t>
      </w:r>
      <w:r w:rsidR="00F95381" w:rsidRPr="00741789">
        <w:t xml:space="preserve">not analysed in this </w:t>
      </w:r>
      <w:r w:rsidRPr="00741789">
        <w:t>report</w:t>
      </w:r>
      <w:r w:rsidR="00F95381" w:rsidRPr="00741789">
        <w:t>.</w:t>
      </w:r>
    </w:p>
    <w:p w:rsidR="00660999" w:rsidRPr="00BA0FBF" w:rsidRDefault="001725B0" w:rsidP="00F95381">
      <w:pPr>
        <w:pStyle w:val="Heading2"/>
        <w:rPr>
          <w:sz w:val="28"/>
          <w:lang w:eastAsia="en-AU"/>
        </w:rPr>
      </w:pPr>
      <w:bookmarkStart w:id="32" w:name="_Toc436400317"/>
      <w:bookmarkStart w:id="33" w:name="_Toc437429844"/>
      <w:r w:rsidRPr="00BA0FBF">
        <w:rPr>
          <w:sz w:val="28"/>
          <w:lang w:eastAsia="en-AU"/>
        </w:rPr>
        <w:t xml:space="preserve">GST </w:t>
      </w:r>
      <w:r w:rsidR="00603B3B">
        <w:rPr>
          <w:sz w:val="28"/>
          <w:lang w:eastAsia="en-AU"/>
        </w:rPr>
        <w:t>c</w:t>
      </w:r>
      <w:r w:rsidR="00660999" w:rsidRPr="00BA0FBF">
        <w:rPr>
          <w:sz w:val="28"/>
          <w:lang w:eastAsia="en-AU"/>
        </w:rPr>
        <w:t xml:space="preserve">ompensation </w:t>
      </w:r>
      <w:r w:rsidR="00603B3B">
        <w:rPr>
          <w:sz w:val="28"/>
          <w:lang w:eastAsia="en-AU"/>
        </w:rPr>
        <w:t>a</w:t>
      </w:r>
      <w:r w:rsidRPr="00BA0FBF">
        <w:rPr>
          <w:sz w:val="28"/>
          <w:lang w:eastAsia="en-AU"/>
        </w:rPr>
        <w:t>rrangements</w:t>
      </w:r>
      <w:bookmarkEnd w:id="32"/>
      <w:bookmarkEnd w:id="33"/>
    </w:p>
    <w:p w:rsidR="00823D86" w:rsidRPr="00741789" w:rsidRDefault="00823D86" w:rsidP="00741789">
      <w:pPr>
        <w:pStyle w:val="BodyText"/>
      </w:pPr>
      <w:r w:rsidRPr="00741789">
        <w:t xml:space="preserve">The introduction of the GST in 2000 was accompanied by a number of other measures to provide compensation for low and middle income earners, </w:t>
      </w:r>
      <w:r w:rsidR="001E25A7" w:rsidRPr="00741789">
        <w:t xml:space="preserve">namely </w:t>
      </w:r>
      <w:r w:rsidRPr="00741789">
        <w:t>increases in income support payments</w:t>
      </w:r>
      <w:r w:rsidR="00E51F74" w:rsidRPr="00741789">
        <w:t xml:space="preserve"> and</w:t>
      </w:r>
      <w:r w:rsidRPr="00741789">
        <w:t xml:space="preserve"> family benefits</w:t>
      </w:r>
      <w:r w:rsidR="00E51F74" w:rsidRPr="00741789">
        <w:t>,</w:t>
      </w:r>
      <w:r w:rsidRPr="00741789">
        <w:t xml:space="preserve"> and reductions in personal </w:t>
      </w:r>
      <w:r w:rsidR="009C46F3" w:rsidRPr="00741789">
        <w:t>income tax.</w:t>
      </w:r>
    </w:p>
    <w:p w:rsidR="00823D86" w:rsidRPr="00BA0FBF" w:rsidRDefault="00823D86" w:rsidP="00823D86">
      <w:pPr>
        <w:pStyle w:val="Heading3"/>
        <w:rPr>
          <w:sz w:val="24"/>
          <w:lang w:eastAsia="en-AU"/>
        </w:rPr>
      </w:pPr>
      <w:bookmarkStart w:id="34" w:name="_Toc435632977"/>
      <w:bookmarkStart w:id="35" w:name="_Toc436400318"/>
      <w:r w:rsidRPr="00BA0FBF">
        <w:rPr>
          <w:sz w:val="24"/>
          <w:lang w:eastAsia="en-AU"/>
        </w:rPr>
        <w:t xml:space="preserve">GST </w:t>
      </w:r>
      <w:r w:rsidR="00603B3B">
        <w:rPr>
          <w:sz w:val="24"/>
          <w:lang w:eastAsia="en-AU"/>
        </w:rPr>
        <w:t>c</w:t>
      </w:r>
      <w:r w:rsidRPr="00BA0FBF">
        <w:rPr>
          <w:sz w:val="24"/>
          <w:lang w:eastAsia="en-AU"/>
        </w:rPr>
        <w:t xml:space="preserve">ompensation: </w:t>
      </w:r>
      <w:r w:rsidR="00603B3B">
        <w:rPr>
          <w:sz w:val="24"/>
          <w:lang w:eastAsia="en-AU"/>
        </w:rPr>
        <w:t>i</w:t>
      </w:r>
      <w:r w:rsidR="00325952" w:rsidRPr="00BA0FBF">
        <w:rPr>
          <w:sz w:val="24"/>
          <w:lang w:eastAsia="en-AU"/>
        </w:rPr>
        <w:t xml:space="preserve">ncome </w:t>
      </w:r>
      <w:r w:rsidR="00603B3B">
        <w:rPr>
          <w:sz w:val="24"/>
          <w:lang w:eastAsia="en-AU"/>
        </w:rPr>
        <w:t>s</w:t>
      </w:r>
      <w:r w:rsidR="00325952" w:rsidRPr="00BA0FBF">
        <w:rPr>
          <w:sz w:val="24"/>
          <w:lang w:eastAsia="en-AU"/>
        </w:rPr>
        <w:t>upport</w:t>
      </w:r>
      <w:r w:rsidRPr="00BA0FBF">
        <w:rPr>
          <w:sz w:val="24"/>
          <w:lang w:eastAsia="en-AU"/>
        </w:rPr>
        <w:t xml:space="preserve"> </w:t>
      </w:r>
      <w:r w:rsidR="00603B3B">
        <w:rPr>
          <w:sz w:val="24"/>
          <w:lang w:eastAsia="en-AU"/>
        </w:rPr>
        <w:t>p</w:t>
      </w:r>
      <w:r w:rsidRPr="00BA0FBF">
        <w:rPr>
          <w:sz w:val="24"/>
          <w:lang w:eastAsia="en-AU"/>
        </w:rPr>
        <w:t>ayments</w:t>
      </w:r>
      <w:bookmarkEnd w:id="34"/>
      <w:bookmarkEnd w:id="35"/>
    </w:p>
    <w:p w:rsidR="00837086" w:rsidRDefault="00473F07" w:rsidP="00741789">
      <w:pPr>
        <w:pStyle w:val="BodyText"/>
        <w:sectPr w:rsidR="00837086" w:rsidSect="00F256DF">
          <w:footerReference w:type="even" r:id="rId41"/>
          <w:pgSz w:w="11906" w:h="16838" w:code="9"/>
          <w:pgMar w:top="1361" w:right="1797" w:bottom="1474" w:left="1797" w:header="284" w:footer="454" w:gutter="0"/>
          <w:cols w:space="708"/>
          <w:docGrid w:linePitch="360"/>
        </w:sectPr>
      </w:pPr>
      <w:r w:rsidRPr="00741789">
        <w:t xml:space="preserve">Income support payments (pensions, allowances and benefits) were increased by </w:t>
      </w:r>
      <w:r w:rsidR="00603B3B" w:rsidRPr="00741789">
        <w:t>four</w:t>
      </w:r>
      <w:r w:rsidR="00465BC4" w:rsidRPr="00741789">
        <w:t> </w:t>
      </w:r>
      <w:r w:rsidRPr="00741789">
        <w:t>per</w:t>
      </w:r>
      <w:r w:rsidR="00465BC4" w:rsidRPr="00741789">
        <w:t> </w:t>
      </w:r>
      <w:r w:rsidRPr="00741789">
        <w:t xml:space="preserve">cent on the commencement of the GST, with the intention of providing a </w:t>
      </w:r>
      <w:r w:rsidR="00603B3B" w:rsidRPr="00741789">
        <w:t>two</w:t>
      </w:r>
      <w:r w:rsidR="004B1A6C">
        <w:t> </w:t>
      </w:r>
      <w:r w:rsidRPr="00741789">
        <w:t>per</w:t>
      </w:r>
      <w:r w:rsidR="004B1A6C">
        <w:t> </w:t>
      </w:r>
      <w:r w:rsidRPr="00741789">
        <w:t>cent real increase.</w:t>
      </w:r>
      <w:r w:rsidR="00EB3EF2" w:rsidRPr="0086621F">
        <w:rPr>
          <w:rStyle w:val="FootnoteReference"/>
        </w:rPr>
        <w:footnoteReference w:id="17"/>
      </w:r>
    </w:p>
    <w:p w:rsidR="00656EE8" w:rsidRDefault="00073860" w:rsidP="00695B37">
      <w:pPr>
        <w:pStyle w:val="BodyText"/>
        <w:spacing w:after="0"/>
      </w:pPr>
      <w:r w:rsidRPr="00741789">
        <w:t>For income suppor</w:t>
      </w:r>
      <w:r w:rsidR="00465BC4" w:rsidRPr="00741789">
        <w:t xml:space="preserve">t payments indexed to the </w:t>
      </w:r>
      <w:r w:rsidR="00603B3B" w:rsidRPr="00741789">
        <w:t>Consumer Price Index (</w:t>
      </w:r>
      <w:r w:rsidR="00465BC4" w:rsidRPr="00741789">
        <w:t>CPI</w:t>
      </w:r>
      <w:r w:rsidR="00603B3B" w:rsidRPr="00741789">
        <w:t>)</w:t>
      </w:r>
      <w:r w:rsidR="00465BC4" w:rsidRPr="00741789">
        <w:t>—</w:t>
      </w:r>
      <w:r w:rsidRPr="00741789">
        <w:t>such as Newstart</w:t>
      </w:r>
      <w:r w:rsidR="00465BC4" w:rsidRPr="00741789">
        <w:t>—</w:t>
      </w:r>
      <w:r w:rsidRPr="00741789">
        <w:t xml:space="preserve">the </w:t>
      </w:r>
      <w:r w:rsidR="00473F07" w:rsidRPr="00741789">
        <w:t>March 2001 indexation was offset</w:t>
      </w:r>
      <w:r w:rsidR="00EB3EF2" w:rsidRPr="00741789">
        <w:t xml:space="preserve"> by the estimated </w:t>
      </w:r>
      <w:r w:rsidR="00E81937" w:rsidRPr="00741789">
        <w:t xml:space="preserve">net </w:t>
      </w:r>
      <w:r w:rsidR="00EB3EF2" w:rsidRPr="00741789">
        <w:t xml:space="preserve">CPI impact of the package </w:t>
      </w:r>
      <w:r w:rsidR="00603B3B" w:rsidRPr="00741789">
        <w:t>‘</w:t>
      </w:r>
      <w:r w:rsidR="00EB3EF2" w:rsidRPr="00741789">
        <w:t>to avoid giving a double benefit</w:t>
      </w:r>
      <w:r w:rsidR="00603B3B" w:rsidRPr="00741789">
        <w:t>’</w:t>
      </w:r>
      <w:r w:rsidR="00EB3EF2" w:rsidRPr="00741789">
        <w:t>.</w:t>
      </w:r>
      <w:r w:rsidR="00EB3EF2" w:rsidRPr="0086621F">
        <w:rPr>
          <w:rStyle w:val="FootnoteReference"/>
        </w:rPr>
        <w:footnoteReference w:id="18"/>
      </w:r>
      <w:r w:rsidRPr="00741789">
        <w:t xml:space="preserve">  The impact of this increase remains embedded within the base l</w:t>
      </w:r>
      <w:r w:rsidR="00AF6887" w:rsidRPr="00741789">
        <w:t>evel of payments.</w:t>
      </w:r>
    </w:p>
    <w:p w:rsidR="00073860" w:rsidRPr="00741789" w:rsidRDefault="00AF6887" w:rsidP="00741789">
      <w:pPr>
        <w:pStyle w:val="BodyText"/>
      </w:pPr>
      <w:r w:rsidRPr="00741789">
        <w:t xml:space="preserve">For example, $20.13 of the $523.40 per fortnight </w:t>
      </w:r>
      <w:r w:rsidR="00241B49" w:rsidRPr="00741789">
        <w:t xml:space="preserve">currently </w:t>
      </w:r>
      <w:r w:rsidRPr="00741789">
        <w:t>paid to single Newstart recipients</w:t>
      </w:r>
      <w:r w:rsidR="002C471E">
        <w:t xml:space="preserve"> who are</w:t>
      </w:r>
      <w:r w:rsidRPr="00741789">
        <w:t xml:space="preserve"> 22</w:t>
      </w:r>
      <w:r w:rsidR="00533B9A">
        <w:t> </w:t>
      </w:r>
      <w:r w:rsidR="00603B3B" w:rsidRPr="00741789">
        <w:t>years</w:t>
      </w:r>
      <w:r w:rsidRPr="00741789">
        <w:t xml:space="preserve"> or over with no children </w:t>
      </w:r>
      <w:r w:rsidR="009E5139" w:rsidRPr="00741789">
        <w:t xml:space="preserve">reflects the increase in payments following the introduction of the GST.  </w:t>
      </w:r>
      <w:r w:rsidR="002C471E">
        <w:t>I</w:t>
      </w:r>
      <w:r w:rsidR="00C60524" w:rsidRPr="00741789">
        <w:t>t has been</w:t>
      </w:r>
      <w:r w:rsidR="00073860" w:rsidRPr="00741789">
        <w:t xml:space="preserve"> noted </w:t>
      </w:r>
      <w:r w:rsidR="008E7916">
        <w:t xml:space="preserve">however </w:t>
      </w:r>
      <w:r w:rsidR="00073860" w:rsidRPr="00741789">
        <w:t xml:space="preserve">that the </w:t>
      </w:r>
      <w:r w:rsidR="009E5139" w:rsidRPr="00741789">
        <w:t>level o</w:t>
      </w:r>
      <w:r w:rsidR="00073860" w:rsidRPr="00741789">
        <w:t xml:space="preserve">f Newstart </w:t>
      </w:r>
      <w:r w:rsidR="009E5139" w:rsidRPr="00741789">
        <w:t xml:space="preserve">payments relative to community living standards </w:t>
      </w:r>
      <w:r w:rsidR="00073860" w:rsidRPr="00741789">
        <w:t>has declined over time.</w:t>
      </w:r>
      <w:r w:rsidR="009E5139" w:rsidRPr="0086621F">
        <w:rPr>
          <w:rStyle w:val="FootnoteReference"/>
        </w:rPr>
        <w:footnoteReference w:id="19"/>
      </w:r>
    </w:p>
    <w:p w:rsidR="00556499" w:rsidRPr="00741789" w:rsidRDefault="00556499" w:rsidP="00741789">
      <w:pPr>
        <w:pStyle w:val="BodyText"/>
      </w:pPr>
      <w:r w:rsidRPr="00741789">
        <w:t xml:space="preserve">For pensioners, </w:t>
      </w:r>
      <w:r w:rsidR="00241B49" w:rsidRPr="00741789">
        <w:t>GST compensation</w:t>
      </w:r>
      <w:r w:rsidRPr="00741789">
        <w:t xml:space="preserve"> was </w:t>
      </w:r>
      <w:r w:rsidR="00997B0B" w:rsidRPr="00741789">
        <w:t xml:space="preserve">provided </w:t>
      </w:r>
      <w:r w:rsidRPr="00741789">
        <w:t>as a supplement (the pension GST supplement) to ensure that it applied on top</w:t>
      </w:r>
      <w:r w:rsidR="00241B49" w:rsidRPr="00741789">
        <w:t xml:space="preserve"> of the legislative requirement</w:t>
      </w:r>
      <w:r w:rsidRPr="00741789">
        <w:t xml:space="preserve"> to maintain pensions at no less than a specified proportion of male total average weekly earnings (MTAWE).</w:t>
      </w:r>
      <w:r w:rsidRPr="0086621F">
        <w:rPr>
          <w:rStyle w:val="FootnoteReference"/>
        </w:rPr>
        <w:footnoteReference w:id="20"/>
      </w:r>
      <w:r w:rsidRPr="00741789">
        <w:t xml:space="preserve">  The maximum supplement was equal to </w:t>
      </w:r>
      <w:r w:rsidR="00603B3B" w:rsidRPr="00741789">
        <w:t>four</w:t>
      </w:r>
      <w:r w:rsidRPr="00741789">
        <w:t xml:space="preserve"> per cent of the pension at 1</w:t>
      </w:r>
      <w:r w:rsidR="00B511AF">
        <w:t> </w:t>
      </w:r>
      <w:r w:rsidRPr="00741789">
        <w:t>July</w:t>
      </w:r>
      <w:r w:rsidR="00B511AF">
        <w:t> </w:t>
      </w:r>
      <w:r w:rsidRPr="00741789">
        <w:t xml:space="preserve">2000, initially equivalent to $387.40 per annum for a single pensioner and $644.80 per annum for a couple.  This amount has been indexed to the </w:t>
      </w:r>
      <w:r w:rsidR="00603B3B" w:rsidRPr="00741789">
        <w:t>CPI</w:t>
      </w:r>
      <w:r w:rsidRPr="00741789">
        <w:t>, and is currently equal to $585.00 per annum for a single pensioner and $967.20 per annum for a couple.</w:t>
      </w:r>
      <w:r w:rsidRPr="0086621F">
        <w:rPr>
          <w:rStyle w:val="FootnoteReference"/>
        </w:rPr>
        <w:footnoteReference w:id="21"/>
      </w:r>
    </w:p>
    <w:p w:rsidR="00823D86" w:rsidRPr="00BA0FBF" w:rsidRDefault="00823D86" w:rsidP="00823D86">
      <w:pPr>
        <w:pStyle w:val="Heading3"/>
        <w:rPr>
          <w:sz w:val="24"/>
          <w:lang w:eastAsia="en-AU"/>
        </w:rPr>
      </w:pPr>
      <w:bookmarkStart w:id="36" w:name="_Toc435632978"/>
      <w:bookmarkStart w:id="37" w:name="_Toc436400319"/>
      <w:r w:rsidRPr="00BA0FBF">
        <w:rPr>
          <w:sz w:val="24"/>
          <w:lang w:eastAsia="en-AU"/>
        </w:rPr>
        <w:t xml:space="preserve">GST </w:t>
      </w:r>
      <w:r w:rsidR="00603B3B">
        <w:rPr>
          <w:sz w:val="24"/>
          <w:lang w:eastAsia="en-AU"/>
        </w:rPr>
        <w:t>c</w:t>
      </w:r>
      <w:r w:rsidRPr="00BA0FBF">
        <w:rPr>
          <w:sz w:val="24"/>
          <w:lang w:eastAsia="en-AU"/>
        </w:rPr>
        <w:t xml:space="preserve">ompensation: </w:t>
      </w:r>
      <w:r w:rsidR="00603B3B">
        <w:rPr>
          <w:sz w:val="24"/>
          <w:lang w:eastAsia="en-AU"/>
        </w:rPr>
        <w:t>f</w:t>
      </w:r>
      <w:r w:rsidRPr="00BA0FBF">
        <w:rPr>
          <w:sz w:val="24"/>
          <w:lang w:eastAsia="en-AU"/>
        </w:rPr>
        <w:t xml:space="preserve">amily </w:t>
      </w:r>
      <w:r w:rsidR="00603B3B">
        <w:rPr>
          <w:sz w:val="24"/>
          <w:lang w:eastAsia="en-AU"/>
        </w:rPr>
        <w:t>b</w:t>
      </w:r>
      <w:r w:rsidRPr="00BA0FBF">
        <w:rPr>
          <w:sz w:val="24"/>
          <w:lang w:eastAsia="en-AU"/>
        </w:rPr>
        <w:t>enefits</w:t>
      </w:r>
      <w:bookmarkEnd w:id="36"/>
      <w:bookmarkEnd w:id="37"/>
    </w:p>
    <w:p w:rsidR="00630A13" w:rsidRPr="00741789" w:rsidRDefault="00F32E37" w:rsidP="00741789">
      <w:pPr>
        <w:pStyle w:val="BodyText"/>
      </w:pPr>
      <w:r w:rsidRPr="00741789">
        <w:t>The package that introduced the GST consolidated ten forms of family assistance into two</w:t>
      </w:r>
      <w:r w:rsidR="008E7916">
        <w:t>:</w:t>
      </w:r>
      <w:r w:rsidRPr="00741789">
        <w:t xml:space="preserve"> Family Tax Benefit Part A for families with children</w:t>
      </w:r>
      <w:r w:rsidR="008E7916">
        <w:t>,</w:t>
      </w:r>
      <w:r w:rsidRPr="00741789">
        <w:t xml:space="preserve"> and an additional Family Tax Benefit Part B for single income families with children.</w:t>
      </w:r>
    </w:p>
    <w:p w:rsidR="00630A13" w:rsidRPr="00741789" w:rsidRDefault="00630A13" w:rsidP="00741789">
      <w:pPr>
        <w:pStyle w:val="BodyText"/>
      </w:pPr>
      <w:r w:rsidRPr="00741789">
        <w:t xml:space="preserve">The </w:t>
      </w:r>
      <w:r w:rsidR="00F32E37" w:rsidRPr="00741789">
        <w:t xml:space="preserve">Family Tax Benefit Part A </w:t>
      </w:r>
      <w:r w:rsidRPr="00741789">
        <w:t>preserved the payment structure of the four forms of assistance that it replaced, with the maximum benefit increasing by $140 per annum per dependent child and more generous taper rates applying.</w:t>
      </w:r>
    </w:p>
    <w:p w:rsidR="00837086" w:rsidRDefault="004B0E13" w:rsidP="00741789">
      <w:pPr>
        <w:pStyle w:val="BodyText"/>
        <w:sectPr w:rsidR="00837086" w:rsidSect="00F256DF">
          <w:pgSz w:w="11906" w:h="16838" w:code="9"/>
          <w:pgMar w:top="1361" w:right="1797" w:bottom="1474" w:left="1797" w:header="284" w:footer="454" w:gutter="0"/>
          <w:cols w:space="708"/>
          <w:docGrid w:linePitch="360"/>
        </w:sectPr>
      </w:pPr>
      <w:r w:rsidRPr="00741789">
        <w:t xml:space="preserve">The Family Tax Benefit Part B had a similar rate structure to the six forms of assistance that it replaced, with an additional $350 </w:t>
      </w:r>
      <w:r w:rsidR="00307A27">
        <w:t>per annum</w:t>
      </w:r>
      <w:r w:rsidRPr="00741789">
        <w:t xml:space="preserve"> for single income families with a child under 5 years and an </w:t>
      </w:r>
      <w:r w:rsidR="00BF3991" w:rsidRPr="00741789">
        <w:t xml:space="preserve">additional $61 </w:t>
      </w:r>
      <w:r w:rsidR="00307A27">
        <w:t>per annum</w:t>
      </w:r>
      <w:r w:rsidR="00BF3991" w:rsidRPr="00741789">
        <w:t xml:space="preserve"> for single income families where the youngest child is aged 5 to 16 years.</w:t>
      </w:r>
      <w:r w:rsidR="00B4522D" w:rsidRPr="00741789">
        <w:t xml:space="preserve">  There was also a significant relaxation of means testing, with the abolition of the income test on the primary income earner.</w:t>
      </w:r>
    </w:p>
    <w:p w:rsidR="00B4522D" w:rsidRPr="00741789" w:rsidRDefault="00D71C17" w:rsidP="00741789">
      <w:pPr>
        <w:pStyle w:val="BodyText"/>
      </w:pPr>
      <w:r w:rsidRPr="00741789">
        <w:t>Broadly, the base payments for the Family Tax Benefit Part A and Family Tax Benefit Part</w:t>
      </w:r>
      <w:r w:rsidR="00241B49" w:rsidRPr="00741789">
        <w:t> </w:t>
      </w:r>
      <w:r w:rsidRPr="00741789">
        <w:t xml:space="preserve">B have </w:t>
      </w:r>
      <w:r w:rsidR="00C60524" w:rsidRPr="00741789">
        <w:t>been</w:t>
      </w:r>
      <w:r w:rsidRPr="00741789">
        <w:t xml:space="preserve"> index</w:t>
      </w:r>
      <w:r w:rsidR="00C60524" w:rsidRPr="00741789">
        <w:t>ed</w:t>
      </w:r>
      <w:r w:rsidRPr="00741789">
        <w:t xml:space="preserve"> to the CPI.  However t</w:t>
      </w:r>
      <w:r w:rsidR="00B4522D" w:rsidRPr="00741789">
        <w:t>here have been a number of changes to</w:t>
      </w:r>
      <w:r w:rsidRPr="00741789">
        <w:t xml:space="preserve"> these payments </w:t>
      </w:r>
      <w:r w:rsidR="00B4522D" w:rsidRPr="00741789">
        <w:t xml:space="preserve">since 2000.  </w:t>
      </w:r>
      <w:r w:rsidRPr="00741789">
        <w:t>Recipients now also receive</w:t>
      </w:r>
      <w:r w:rsidR="00B4522D" w:rsidRPr="00741789">
        <w:t xml:space="preserve"> annual supplement payments </w:t>
      </w:r>
      <w:r w:rsidRPr="00741789">
        <w:t>(from</w:t>
      </w:r>
      <w:r w:rsidR="00135142">
        <w:br/>
      </w:r>
      <w:r w:rsidRPr="00741789">
        <w:t>2003</w:t>
      </w:r>
      <w:r w:rsidR="00465BC4" w:rsidRPr="00741789">
        <w:t>–</w:t>
      </w:r>
      <w:r w:rsidRPr="00741789">
        <w:t xml:space="preserve">04 for </w:t>
      </w:r>
      <w:r w:rsidR="00B4522D" w:rsidRPr="00741789">
        <w:t>Family Tax Benefit Part A</w:t>
      </w:r>
      <w:r w:rsidRPr="00741789">
        <w:t>; from 2004</w:t>
      </w:r>
      <w:r w:rsidR="00465BC4" w:rsidRPr="00741789">
        <w:t>–</w:t>
      </w:r>
      <w:r w:rsidRPr="00741789">
        <w:t>05 for</w:t>
      </w:r>
      <w:r w:rsidR="00B4522D" w:rsidRPr="00741789">
        <w:t xml:space="preserve"> Family Tax Benefit Part B</w:t>
      </w:r>
      <w:r w:rsidR="00135142">
        <w:t>)</w:t>
      </w:r>
      <w:r w:rsidR="00B4522D" w:rsidRPr="00741789">
        <w:t xml:space="preserve">.  On the other hand, there have been a number of changes to tighten eligibility </w:t>
      </w:r>
      <w:r w:rsidR="00C60524" w:rsidRPr="00741789">
        <w:t>arrangements, including the re</w:t>
      </w:r>
      <w:r w:rsidR="00B4522D" w:rsidRPr="00741789">
        <w:t>introduction of a primary income earner income test for Family Tax Benefit Part B</w:t>
      </w:r>
      <w:r w:rsidRPr="00741789">
        <w:t>, and pauses to the indexation of some thresholds and payments.</w:t>
      </w:r>
    </w:p>
    <w:p w:rsidR="00823D86" w:rsidRPr="00BA0FBF" w:rsidRDefault="00823D86" w:rsidP="00823D86">
      <w:pPr>
        <w:pStyle w:val="Heading3"/>
        <w:rPr>
          <w:sz w:val="24"/>
          <w:lang w:eastAsia="en-AU"/>
        </w:rPr>
      </w:pPr>
      <w:bookmarkStart w:id="38" w:name="_Toc435632979"/>
      <w:bookmarkStart w:id="39" w:name="_Toc436400320"/>
      <w:r w:rsidRPr="00BA0FBF">
        <w:rPr>
          <w:sz w:val="24"/>
          <w:lang w:eastAsia="en-AU"/>
        </w:rPr>
        <w:t xml:space="preserve">GST </w:t>
      </w:r>
      <w:r w:rsidR="00436EB3">
        <w:rPr>
          <w:sz w:val="24"/>
          <w:lang w:eastAsia="en-AU"/>
        </w:rPr>
        <w:t>c</w:t>
      </w:r>
      <w:r w:rsidRPr="00BA0FBF">
        <w:rPr>
          <w:sz w:val="24"/>
          <w:lang w:eastAsia="en-AU"/>
        </w:rPr>
        <w:t xml:space="preserve">ompensation: </w:t>
      </w:r>
      <w:r w:rsidR="00436EB3">
        <w:rPr>
          <w:sz w:val="24"/>
          <w:lang w:eastAsia="en-AU"/>
        </w:rPr>
        <w:t>p</w:t>
      </w:r>
      <w:r w:rsidRPr="00BA0FBF">
        <w:rPr>
          <w:sz w:val="24"/>
          <w:lang w:eastAsia="en-AU"/>
        </w:rPr>
        <w:t xml:space="preserve">ersonal </w:t>
      </w:r>
      <w:r w:rsidR="00436EB3">
        <w:rPr>
          <w:sz w:val="24"/>
          <w:lang w:eastAsia="en-AU"/>
        </w:rPr>
        <w:t>i</w:t>
      </w:r>
      <w:r w:rsidRPr="00BA0FBF">
        <w:rPr>
          <w:sz w:val="24"/>
          <w:lang w:eastAsia="en-AU"/>
        </w:rPr>
        <w:t xml:space="preserve">ncome </w:t>
      </w:r>
      <w:r w:rsidR="00436EB3">
        <w:rPr>
          <w:sz w:val="24"/>
          <w:lang w:eastAsia="en-AU"/>
        </w:rPr>
        <w:t>t</w:t>
      </w:r>
      <w:r w:rsidRPr="00BA0FBF">
        <w:rPr>
          <w:sz w:val="24"/>
          <w:lang w:eastAsia="en-AU"/>
        </w:rPr>
        <w:t>ax cuts</w:t>
      </w:r>
      <w:bookmarkEnd w:id="38"/>
      <w:bookmarkEnd w:id="39"/>
    </w:p>
    <w:p w:rsidR="00223E7E" w:rsidRPr="00C407BF" w:rsidRDefault="00660999" w:rsidP="00C407BF">
      <w:pPr>
        <w:pStyle w:val="BodyText"/>
      </w:pPr>
      <w:r w:rsidRPr="00C407BF">
        <w:t>Personal income tax cuts</w:t>
      </w:r>
      <w:r w:rsidR="00A314CE" w:rsidRPr="00C407BF">
        <w:t xml:space="preserve"> </w:t>
      </w:r>
      <w:r w:rsidR="00C977DC" w:rsidRPr="00C407BF">
        <w:t>were provided as part of the compensation for the introduction of the GST in 2000</w:t>
      </w:r>
      <w:r w:rsidR="00465BC4" w:rsidRPr="00C407BF">
        <w:t>–</w:t>
      </w:r>
      <w:r w:rsidR="00C977DC" w:rsidRPr="00C407BF">
        <w:t>01, through a combination of lower marginal tax rates</w:t>
      </w:r>
      <w:r w:rsidR="00C60524" w:rsidRPr="00C407BF">
        <w:t xml:space="preserve"> and higher thresholds</w:t>
      </w:r>
      <w:r w:rsidR="00C977DC" w:rsidRPr="00C407BF">
        <w:t>.</w:t>
      </w:r>
      <w:r w:rsidR="005D4C00" w:rsidRPr="00C407BF">
        <w:t xml:space="preserve">  Overall, the average personal tax rate fell from nearly 25</w:t>
      </w:r>
      <w:r w:rsidR="00465BC4" w:rsidRPr="00C407BF">
        <w:t> </w:t>
      </w:r>
      <w:r w:rsidR="005D4C00" w:rsidRPr="00C407BF">
        <w:t>per</w:t>
      </w:r>
      <w:r w:rsidR="00465BC4" w:rsidRPr="00C407BF">
        <w:t> </w:t>
      </w:r>
      <w:r w:rsidR="005D4C00" w:rsidRPr="00C407BF">
        <w:t>cent in 1999</w:t>
      </w:r>
      <w:r w:rsidR="00465BC4" w:rsidRPr="00C407BF">
        <w:t>–</w:t>
      </w:r>
      <w:r w:rsidR="009F10FE">
        <w:t>20</w:t>
      </w:r>
      <w:r w:rsidR="005D4C00" w:rsidRPr="00C407BF">
        <w:t>00 to just over 21½ per cent in 2000</w:t>
      </w:r>
      <w:r w:rsidR="00465BC4" w:rsidRPr="00C407BF">
        <w:t>–</w:t>
      </w:r>
      <w:r w:rsidR="005D4C00" w:rsidRPr="00C407BF">
        <w:t>01.</w:t>
      </w:r>
      <w:r w:rsidR="005D4C00" w:rsidRPr="0086621F">
        <w:rPr>
          <w:rStyle w:val="FootnoteReference"/>
        </w:rPr>
        <w:footnoteReference w:id="22"/>
      </w:r>
    </w:p>
    <w:p w:rsidR="00223E7E" w:rsidRPr="00C407BF" w:rsidRDefault="005D4C00" w:rsidP="00C407BF">
      <w:pPr>
        <w:pStyle w:val="BodyText"/>
      </w:pPr>
      <w:r w:rsidRPr="00C407BF">
        <w:t>In the absence of explicit government policy decisions, average personal tax rates (and personal income tax collections) increase over time</w:t>
      </w:r>
      <w:r w:rsidR="00223E7E" w:rsidRPr="00C407BF">
        <w:t xml:space="preserve"> as a result of bracket creep.</w:t>
      </w:r>
    </w:p>
    <w:p w:rsidR="00223E7E" w:rsidRPr="00BA0FBF" w:rsidRDefault="00223E7E" w:rsidP="00C407BF">
      <w:pPr>
        <w:pStyle w:val="ListBullet"/>
        <w:rPr>
          <w:lang w:eastAsia="en-AU"/>
        </w:rPr>
      </w:pPr>
      <w:r w:rsidRPr="00BA0FBF">
        <w:rPr>
          <w:lang w:eastAsia="en-AU"/>
        </w:rPr>
        <w:t>T</w:t>
      </w:r>
      <w:r w:rsidR="005D4C00" w:rsidRPr="00BA0FBF">
        <w:rPr>
          <w:lang w:eastAsia="en-AU"/>
        </w:rPr>
        <w:t>he av</w:t>
      </w:r>
      <w:r w:rsidR="00465BC4" w:rsidRPr="00BA0FBF">
        <w:rPr>
          <w:lang w:eastAsia="en-AU"/>
        </w:rPr>
        <w:t>erage personal tax rate in 2014–</w:t>
      </w:r>
      <w:r w:rsidR="005D4C00" w:rsidRPr="00BA0FBF">
        <w:rPr>
          <w:lang w:eastAsia="en-AU"/>
        </w:rPr>
        <w:t>15</w:t>
      </w:r>
      <w:r w:rsidRPr="00BA0FBF">
        <w:rPr>
          <w:lang w:eastAsia="en-AU"/>
        </w:rPr>
        <w:t xml:space="preserve"> was </w:t>
      </w:r>
      <w:r w:rsidR="00B2650E" w:rsidRPr="00BA0FBF">
        <w:rPr>
          <w:lang w:eastAsia="en-AU"/>
        </w:rPr>
        <w:t xml:space="preserve">around </w:t>
      </w:r>
      <w:r w:rsidR="00436EB3">
        <w:rPr>
          <w:lang w:eastAsia="en-AU"/>
        </w:rPr>
        <w:t>one</w:t>
      </w:r>
      <w:r w:rsidR="00B2650E" w:rsidRPr="00BA0FBF">
        <w:rPr>
          <w:lang w:eastAsia="en-AU"/>
        </w:rPr>
        <w:t xml:space="preserve"> percentage point higher than</w:t>
      </w:r>
      <w:r w:rsidR="00465BC4" w:rsidRPr="00BA0FBF">
        <w:rPr>
          <w:lang w:eastAsia="en-AU"/>
        </w:rPr>
        <w:t xml:space="preserve"> that of 2000–</w:t>
      </w:r>
      <w:r w:rsidRPr="00BA0FBF">
        <w:rPr>
          <w:lang w:eastAsia="en-AU"/>
        </w:rPr>
        <w:t>01.</w:t>
      </w:r>
      <w:r w:rsidRPr="0086621F">
        <w:rPr>
          <w:rStyle w:val="FootnoteReference"/>
        </w:rPr>
        <w:footnoteReference w:id="23"/>
      </w:r>
    </w:p>
    <w:p w:rsidR="005D4C00" w:rsidRPr="00BA0FBF" w:rsidRDefault="00515984" w:rsidP="00C407BF">
      <w:pPr>
        <w:pStyle w:val="ListBullet"/>
        <w:rPr>
          <w:lang w:eastAsia="en-AU"/>
        </w:rPr>
      </w:pPr>
      <w:r w:rsidRPr="00BA0FBF">
        <w:rPr>
          <w:lang w:eastAsia="en-AU"/>
        </w:rPr>
        <w:t>Under current policy settings, b</w:t>
      </w:r>
      <w:r w:rsidR="00223E7E" w:rsidRPr="00BA0FBF">
        <w:rPr>
          <w:lang w:eastAsia="en-AU"/>
        </w:rPr>
        <w:t xml:space="preserve">y </w:t>
      </w:r>
      <w:r w:rsidR="00465BC4" w:rsidRPr="00BA0FBF">
        <w:rPr>
          <w:lang w:eastAsia="en-AU"/>
        </w:rPr>
        <w:t>2018–</w:t>
      </w:r>
      <w:r w:rsidR="00442227" w:rsidRPr="00BA0FBF">
        <w:rPr>
          <w:lang w:eastAsia="en-AU"/>
        </w:rPr>
        <w:t xml:space="preserve">19 </w:t>
      </w:r>
      <w:r w:rsidR="00223E7E" w:rsidRPr="00BA0FBF">
        <w:rPr>
          <w:lang w:eastAsia="en-AU"/>
        </w:rPr>
        <w:t xml:space="preserve">the average personal tax rate is projected to </w:t>
      </w:r>
      <w:r w:rsidR="00465BC4" w:rsidRPr="00BA0FBF">
        <w:rPr>
          <w:lang w:eastAsia="en-AU"/>
        </w:rPr>
        <w:t>return to its level in 1999–</w:t>
      </w:r>
      <w:r w:rsidR="00A64CAB">
        <w:rPr>
          <w:lang w:eastAsia="en-AU"/>
        </w:rPr>
        <w:t>20</w:t>
      </w:r>
      <w:r w:rsidR="00B2650E" w:rsidRPr="00BA0FBF">
        <w:rPr>
          <w:lang w:eastAsia="en-AU"/>
        </w:rPr>
        <w:t xml:space="preserve">00 (before the introduction of the GST), and over </w:t>
      </w:r>
      <w:r w:rsidR="00436EB3">
        <w:rPr>
          <w:lang w:eastAsia="en-AU"/>
        </w:rPr>
        <w:t>one</w:t>
      </w:r>
      <w:r w:rsidR="00B2650E" w:rsidRPr="00BA0FBF">
        <w:rPr>
          <w:lang w:eastAsia="en-AU"/>
        </w:rPr>
        <w:t xml:space="preserve"> percentage point higher than its long run (30 </w:t>
      </w:r>
      <w:r w:rsidR="00223E7E" w:rsidRPr="00BA0FBF">
        <w:rPr>
          <w:lang w:eastAsia="en-AU"/>
        </w:rPr>
        <w:t>year) average.</w:t>
      </w:r>
      <w:r w:rsidR="00223E7E" w:rsidRPr="0086621F">
        <w:rPr>
          <w:rStyle w:val="FootnoteReference"/>
        </w:rPr>
        <w:footnoteReference w:id="24"/>
      </w:r>
    </w:p>
    <w:p w:rsidR="00F95381" w:rsidRPr="00BA0FBF" w:rsidRDefault="00F95381" w:rsidP="00F95381">
      <w:pPr>
        <w:pStyle w:val="Heading2"/>
        <w:rPr>
          <w:sz w:val="28"/>
          <w:lang w:eastAsia="en-AU"/>
        </w:rPr>
      </w:pPr>
      <w:bookmarkStart w:id="40" w:name="_Toc436400321"/>
      <w:bookmarkStart w:id="41" w:name="_Toc437429845"/>
      <w:r w:rsidRPr="00BA0FBF">
        <w:rPr>
          <w:sz w:val="28"/>
          <w:lang w:eastAsia="en-AU"/>
        </w:rPr>
        <w:t xml:space="preserve">International </w:t>
      </w:r>
      <w:r w:rsidR="00436EB3">
        <w:rPr>
          <w:sz w:val="28"/>
          <w:lang w:eastAsia="en-AU"/>
        </w:rPr>
        <w:t>c</w:t>
      </w:r>
      <w:r w:rsidRPr="00BA0FBF">
        <w:rPr>
          <w:sz w:val="28"/>
          <w:lang w:eastAsia="en-AU"/>
        </w:rPr>
        <w:t>omparison</w:t>
      </w:r>
      <w:bookmarkEnd w:id="40"/>
      <w:bookmarkEnd w:id="41"/>
    </w:p>
    <w:p w:rsidR="00223E7E" w:rsidRPr="00BA0FBF" w:rsidRDefault="00D016B7" w:rsidP="00C407BF">
      <w:pPr>
        <w:pStyle w:val="BodyText"/>
        <w:rPr>
          <w:lang w:eastAsia="en-AU"/>
        </w:rPr>
      </w:pPr>
      <w:r>
        <w:t>All but one of the</w:t>
      </w:r>
      <w:r w:rsidR="00F95381" w:rsidRPr="00BA0FBF">
        <w:t xml:space="preserve"> OECD countries ha</w:t>
      </w:r>
      <w:r>
        <w:t>s</w:t>
      </w:r>
      <w:r w:rsidR="00F95381" w:rsidRPr="00BA0FBF">
        <w:t xml:space="preserve"> a value added tax on consumption, with the sole exception being the United States.</w:t>
      </w:r>
      <w:r w:rsidR="00C60524" w:rsidRPr="0086621F">
        <w:rPr>
          <w:rStyle w:val="FootnoteReference"/>
        </w:rPr>
        <w:footnoteReference w:id="25"/>
      </w:r>
      <w:r w:rsidR="00F95381" w:rsidRPr="00BA0FBF">
        <w:t xml:space="preserve">  While there are common core design principles of value added taxes across OECD countries, there are significant differences in the standard rate of taxation and the level and type of exclusions from the taxation base.</w:t>
      </w:r>
    </w:p>
    <w:p w:rsidR="006A3D81" w:rsidRPr="00BA0FBF" w:rsidRDefault="00F95381" w:rsidP="00C407BF">
      <w:pPr>
        <w:pStyle w:val="BodyText"/>
        <w:rPr>
          <w:lang w:eastAsia="en-AU"/>
        </w:rPr>
      </w:pPr>
      <w:r w:rsidRPr="00BA0FBF">
        <w:t>These differences translate to a wide disparity in the level of value added tax collections across OECD countries</w:t>
      </w:r>
      <w:r w:rsidR="00515984" w:rsidRPr="00BA0FBF">
        <w:t>, which</w:t>
      </w:r>
      <w:r w:rsidRPr="00BA0FBF">
        <w:t xml:space="preserve"> in 201</w:t>
      </w:r>
      <w:r w:rsidR="00C976E6">
        <w:t>3</w:t>
      </w:r>
      <w:r w:rsidRPr="00BA0FBF">
        <w:t xml:space="preserve"> rang</w:t>
      </w:r>
      <w:r w:rsidR="00515984" w:rsidRPr="00BA0FBF">
        <w:t>ed</w:t>
      </w:r>
      <w:r w:rsidRPr="00BA0FBF">
        <w:t xml:space="preserve"> from 2.</w:t>
      </w:r>
      <w:r w:rsidR="00C976E6">
        <w:t>8</w:t>
      </w:r>
      <w:r w:rsidRPr="00BA0FBF">
        <w:t xml:space="preserve"> per cent of GDP in Japan to 9</w:t>
      </w:r>
      <w:r w:rsidR="00C60524" w:rsidRPr="00BA0FBF">
        <w:t>.</w:t>
      </w:r>
      <w:r w:rsidR="00103BC0">
        <w:t>4</w:t>
      </w:r>
      <w:r w:rsidR="00C60524" w:rsidRPr="00BA0FBF">
        <w:t> </w:t>
      </w:r>
      <w:r w:rsidR="006A3D81" w:rsidRPr="00BA0FBF">
        <w:t>per</w:t>
      </w:r>
      <w:r w:rsidR="00287E5C">
        <w:t> </w:t>
      </w:r>
      <w:r w:rsidR="006A3D81" w:rsidRPr="00BA0FBF">
        <w:t xml:space="preserve">cent of GDP in </w:t>
      </w:r>
      <w:r w:rsidR="00103BC0">
        <w:t>New Zealand</w:t>
      </w:r>
      <w:r w:rsidR="006A3D81" w:rsidRPr="00BA0FBF">
        <w:t>.</w:t>
      </w:r>
    </w:p>
    <w:p w:rsidR="00837086" w:rsidRDefault="00837086" w:rsidP="00C407BF">
      <w:pPr>
        <w:pStyle w:val="BodyText"/>
        <w:sectPr w:rsidR="00837086" w:rsidSect="00F256DF">
          <w:pgSz w:w="11906" w:h="16838" w:code="9"/>
          <w:pgMar w:top="1361" w:right="1797" w:bottom="1474" w:left="1797" w:header="284" w:footer="454" w:gutter="0"/>
          <w:cols w:space="708"/>
          <w:docGrid w:linePitch="360"/>
        </w:sectPr>
      </w:pPr>
    </w:p>
    <w:p w:rsidR="006A3D81" w:rsidRPr="00BA0FBF" w:rsidRDefault="00790673" w:rsidP="00C407BF">
      <w:pPr>
        <w:pStyle w:val="BodyText"/>
        <w:rPr>
          <w:lang w:eastAsia="en-AU"/>
        </w:rPr>
      </w:pPr>
      <w:r w:rsidRPr="00BA0FBF">
        <w:t xml:space="preserve">Australia’s GST collections are </w:t>
      </w:r>
      <w:r w:rsidR="00103BC0">
        <w:t xml:space="preserve">just over </w:t>
      </w:r>
      <w:r w:rsidR="00F95381" w:rsidRPr="00BA0FBF">
        <w:t>half the OECD average of value added taxes</w:t>
      </w:r>
      <w:r w:rsidRPr="00BA0FBF">
        <w:t xml:space="preserve"> as a share of GDP</w:t>
      </w:r>
      <w:r w:rsidR="00F95381" w:rsidRPr="00BA0FBF">
        <w:t>.</w:t>
      </w:r>
      <w:r w:rsidR="00C2097F" w:rsidRPr="0086621F">
        <w:rPr>
          <w:rStyle w:val="FootnoteReference"/>
        </w:rPr>
        <w:footnoteReference w:id="26"/>
      </w:r>
    </w:p>
    <w:p w:rsidR="006A3D81" w:rsidRPr="00BA0FBF" w:rsidRDefault="00F95381" w:rsidP="00C407BF">
      <w:pPr>
        <w:pStyle w:val="ListBullet"/>
        <w:rPr>
          <w:lang w:eastAsia="en-AU"/>
        </w:rPr>
      </w:pPr>
      <w:r w:rsidRPr="00BA0FBF">
        <w:t>The main contributor to this outcome is that Australia’s GST rate of 10 per cent is just over half the OECD average s</w:t>
      </w:r>
      <w:r w:rsidR="006A3D81" w:rsidRPr="00BA0FBF">
        <w:t>tandard rate of 19.1 per cent.</w:t>
      </w:r>
    </w:p>
    <w:p w:rsidR="005A1E0D" w:rsidRDefault="00F95381" w:rsidP="00C407BF">
      <w:pPr>
        <w:pStyle w:val="ListBullet"/>
      </w:pPr>
      <w:r w:rsidRPr="00BA0FBF">
        <w:t>Across the OECD, the standard rate of value added tax ranges from 5 per cent in Japan to 27 per cent in Hungary.</w:t>
      </w:r>
      <w:r w:rsidR="00103BC0">
        <w:rPr>
          <w:rStyle w:val="FootnoteReference"/>
        </w:rPr>
        <w:footnoteReference w:id="27"/>
      </w:r>
    </w:p>
    <w:p w:rsidR="008E7916" w:rsidRDefault="00F95381" w:rsidP="00837086">
      <w:pPr>
        <w:pStyle w:val="BodyText"/>
      </w:pPr>
      <w:r w:rsidRPr="00BA0FBF">
        <w:t>While most OECD countries exclude some items from value added taxation</w:t>
      </w:r>
      <w:r w:rsidR="008E7916">
        <w:t xml:space="preserve"> (VAT)</w:t>
      </w:r>
      <w:r w:rsidRPr="00BA0FBF">
        <w:t>, there is significant variation in the type and extent of these exclusions.  The OECD has constructed an estimate of the extent of these exclusions across countries</w:t>
      </w:r>
      <w:r w:rsidR="00465BC4" w:rsidRPr="00BA0FBF">
        <w:t>—</w:t>
      </w:r>
      <w:r w:rsidRPr="00BA0FBF">
        <w:t>the VAT Reven</w:t>
      </w:r>
      <w:r w:rsidR="00C60524" w:rsidRPr="00BA0FBF">
        <w:t>ue Ratio</w:t>
      </w:r>
      <w:r w:rsidR="00465BC4" w:rsidRPr="00BA0FBF">
        <w:t>—</w:t>
      </w:r>
      <w:r w:rsidR="00C60524" w:rsidRPr="00BA0FBF">
        <w:t>where a rating of 100 per cent</w:t>
      </w:r>
      <w:r w:rsidRPr="00BA0FBF">
        <w:t xml:space="preserve"> represents a situ</w:t>
      </w:r>
      <w:r w:rsidR="00656EE8">
        <w:t>ation with no exclusions.</w:t>
      </w:r>
      <w:r w:rsidR="008E7916">
        <w:rPr>
          <w:rStyle w:val="FootnoteReference"/>
        </w:rPr>
        <w:footnoteReference w:id="28"/>
      </w:r>
    </w:p>
    <w:p w:rsidR="00C407BF" w:rsidRDefault="00F95381" w:rsidP="00C407BF">
      <w:pPr>
        <w:pStyle w:val="BodyText"/>
      </w:pPr>
      <w:r w:rsidRPr="00BA0FBF">
        <w:t>The VAT Revenue Ratio ranges from 31 per cent in Mexico and 37 per cent in Greece</w:t>
      </w:r>
      <w:r w:rsidR="00436EB3">
        <w:t>,</w:t>
      </w:r>
      <w:r w:rsidRPr="00BA0FBF">
        <w:t xml:space="preserve"> to 96 per cent in New Zealand</w:t>
      </w:r>
      <w:r w:rsidR="00436EB3">
        <w:t>,</w:t>
      </w:r>
      <w:r w:rsidRPr="00BA0FBF">
        <w:t xml:space="preserve"> and 113 per cent in Luxembourg.</w:t>
      </w:r>
      <w:r w:rsidR="00823D86" w:rsidRPr="0086621F">
        <w:rPr>
          <w:rStyle w:val="FootnoteReference"/>
        </w:rPr>
        <w:footnoteReference w:id="29"/>
      </w:r>
      <w:r w:rsidRPr="00BA0FBF">
        <w:t xml:space="preserve">  Australia’s ratio of 47 per cent is below the OECD average of 55 per cent, suggesting that Australia has a higher level of exclusions from its GST base than </w:t>
      </w:r>
      <w:r w:rsidR="00C60524" w:rsidRPr="00BA0FBF">
        <w:t>the</w:t>
      </w:r>
      <w:r w:rsidRPr="00BA0FBF">
        <w:t xml:space="preserve"> OECD </w:t>
      </w:r>
      <w:r w:rsidR="00C60524" w:rsidRPr="00BA0FBF">
        <w:t>average</w:t>
      </w:r>
      <w:r w:rsidRPr="00BA0FBF">
        <w:t>.</w:t>
      </w:r>
      <w:bookmarkStart w:id="42" w:name="_Toc396331955"/>
      <w:bookmarkStart w:id="43" w:name="_Toc436400322"/>
      <w:bookmarkStart w:id="44" w:name="_Toc436652244"/>
      <w:bookmarkStart w:id="45" w:name="_Toc436652282"/>
    </w:p>
    <w:p w:rsidR="00C407BF" w:rsidRDefault="00C407BF" w:rsidP="00C407BF">
      <w:pPr>
        <w:pStyle w:val="Heading1"/>
        <w:sectPr w:rsidR="00C407BF" w:rsidSect="00F256DF">
          <w:pgSz w:w="11906" w:h="16838" w:code="9"/>
          <w:pgMar w:top="1361" w:right="1797" w:bottom="1474" w:left="1797" w:header="284" w:footer="454" w:gutter="0"/>
          <w:cols w:space="708"/>
          <w:docGrid w:linePitch="360"/>
        </w:sectPr>
      </w:pPr>
    </w:p>
    <w:p w:rsidR="00C407BF" w:rsidRPr="00E74582" w:rsidRDefault="00C407BF" w:rsidP="00C407BF">
      <w:pPr>
        <w:pStyle w:val="Heading1"/>
        <w:rPr>
          <w:sz w:val="36"/>
          <w:szCs w:val="36"/>
        </w:rPr>
      </w:pPr>
      <w:bookmarkStart w:id="46" w:name="_Toc436917801"/>
      <w:bookmarkStart w:id="47" w:name="_Toc437429846"/>
      <w:r w:rsidRPr="00E74582">
        <w:rPr>
          <w:sz w:val="36"/>
          <w:szCs w:val="36"/>
        </w:rPr>
        <w:t>Distributional analysis of the GST</w:t>
      </w:r>
      <w:bookmarkEnd w:id="46"/>
      <w:bookmarkEnd w:id="47"/>
    </w:p>
    <w:bookmarkEnd w:id="42"/>
    <w:bookmarkEnd w:id="43"/>
    <w:bookmarkEnd w:id="44"/>
    <w:bookmarkEnd w:id="45"/>
    <w:p w:rsidR="00873F4D" w:rsidRPr="00BA0FBF" w:rsidRDefault="00F95381" w:rsidP="00C407BF">
      <w:pPr>
        <w:pStyle w:val="BodyText"/>
        <w:rPr>
          <w:lang w:eastAsia="en-AU"/>
        </w:rPr>
      </w:pPr>
      <w:r w:rsidRPr="00BA0FBF">
        <w:t xml:space="preserve">This </w:t>
      </w:r>
      <w:r w:rsidR="00436EB3">
        <w:t>chapter</w:t>
      </w:r>
      <w:r w:rsidR="00436EB3" w:rsidRPr="00BA0FBF">
        <w:t xml:space="preserve"> </w:t>
      </w:r>
      <w:r w:rsidRPr="00BA0FBF">
        <w:t xml:space="preserve">assesses the distributional impact of Australia’s GST.  It presents estimates of the average GST paid by each decile of </w:t>
      </w:r>
      <w:r w:rsidR="0004202B" w:rsidRPr="00BA0FBF">
        <w:t xml:space="preserve">equivalised </w:t>
      </w:r>
      <w:r w:rsidRPr="00BA0FBF">
        <w:t xml:space="preserve">household </w:t>
      </w:r>
      <w:r w:rsidR="0004202B" w:rsidRPr="00BA0FBF">
        <w:t xml:space="preserve">disposable </w:t>
      </w:r>
      <w:r w:rsidRPr="00BA0FBF">
        <w:t xml:space="preserve">income, based on data from the </w:t>
      </w:r>
      <w:r w:rsidR="00436EB3">
        <w:t>Australian Bureau of Statistics (</w:t>
      </w:r>
      <w:r w:rsidRPr="00BA0FBF">
        <w:t>ABS</w:t>
      </w:r>
      <w:r w:rsidR="00436EB3">
        <w:t>)</w:t>
      </w:r>
      <w:r w:rsidRPr="00BA0FBF">
        <w:t xml:space="preserve"> </w:t>
      </w:r>
      <w:r w:rsidRPr="00BA0FBF">
        <w:rPr>
          <w:i/>
        </w:rPr>
        <w:t>Household Expenditure Survey</w:t>
      </w:r>
      <w:r w:rsidRPr="00BA0FBF">
        <w:t>.</w:t>
      </w:r>
      <w:r w:rsidR="0004202B" w:rsidRPr="0086621F">
        <w:rPr>
          <w:rStyle w:val="FootnoteReference"/>
        </w:rPr>
        <w:footnoteReference w:id="30"/>
      </w:r>
      <w:r w:rsidRPr="00BA0FBF">
        <w:t xml:space="preserve">  This analysis is repeated for each of the principal exclusions </w:t>
      </w:r>
      <w:r w:rsidR="00C411E6">
        <w:t>from</w:t>
      </w:r>
      <w:r w:rsidR="00C411E6" w:rsidRPr="00BA0FBF">
        <w:t xml:space="preserve"> </w:t>
      </w:r>
      <w:r w:rsidRPr="00BA0FBF">
        <w:t>the GST base.</w:t>
      </w:r>
    </w:p>
    <w:p w:rsidR="005B428A" w:rsidRDefault="00091674" w:rsidP="00C407BF">
      <w:pPr>
        <w:pStyle w:val="BodyText"/>
      </w:pPr>
      <w:r w:rsidRPr="00BA0FBF">
        <w:t>I</w:t>
      </w:r>
      <w:r w:rsidR="00F95381" w:rsidRPr="00BA0FBF">
        <w:t>nterpretation of this analysis should be mindful of the limitations of the underlying data.</w:t>
      </w:r>
      <w:r w:rsidR="00F95381" w:rsidRPr="0086621F">
        <w:rPr>
          <w:rStyle w:val="FootnoteReference"/>
        </w:rPr>
        <w:footnoteReference w:id="31"/>
      </w:r>
      <w:r w:rsidRPr="00BA0FBF">
        <w:t xml:space="preserve">  In particular, inconsistencies between income and expenditure data </w:t>
      </w:r>
      <w:r w:rsidR="00D44597" w:rsidRPr="00BA0FBF">
        <w:t xml:space="preserve">in the </w:t>
      </w:r>
      <w:r w:rsidR="00D44597" w:rsidRPr="00307A27">
        <w:rPr>
          <w:i/>
        </w:rPr>
        <w:t>Household Expenditure Survey</w:t>
      </w:r>
      <w:r w:rsidR="00D44597" w:rsidRPr="00BA0FBF">
        <w:t xml:space="preserve"> </w:t>
      </w:r>
      <w:r w:rsidRPr="00BA0FBF">
        <w:t>are most apparent in the bottom decile of household income</w:t>
      </w:r>
      <w:r w:rsidR="00D44597" w:rsidRPr="00BA0FBF">
        <w:t xml:space="preserve"> </w:t>
      </w:r>
      <w:r w:rsidR="00F75E1C" w:rsidRPr="00BA0FBF">
        <w:t xml:space="preserve">and </w:t>
      </w:r>
      <w:r w:rsidR="00D44597" w:rsidRPr="00BA0FBF">
        <w:t>mean that this analysis is</w:t>
      </w:r>
      <w:r w:rsidRPr="00BA0FBF">
        <w:t xml:space="preserve"> likely to exaggerate </w:t>
      </w:r>
      <w:r w:rsidR="00D44597" w:rsidRPr="00BA0FBF">
        <w:t>the relative impact of the GST on this group.</w:t>
      </w:r>
    </w:p>
    <w:p w:rsidR="005B428A" w:rsidRPr="00BA0FBF" w:rsidRDefault="005B428A" w:rsidP="00C407BF">
      <w:pPr>
        <w:pStyle w:val="BodyText"/>
        <w:rPr>
          <w:lang w:eastAsia="en-AU"/>
        </w:rPr>
      </w:pPr>
      <w:r w:rsidRPr="00F92A6D">
        <w:t>Th</w:t>
      </w:r>
      <w:r w:rsidR="0004202B" w:rsidRPr="00F92A6D">
        <w:t>e income of households can vary significantly over the course of their life cycle.</w:t>
      </w:r>
      <w:r w:rsidR="0004202B" w:rsidRPr="00F92A6D">
        <w:rPr>
          <w:rStyle w:val="FootnoteReference"/>
        </w:rPr>
        <w:footnoteReference w:id="32"/>
      </w:r>
      <w:r w:rsidRPr="00F92A6D">
        <w:t xml:space="preserve">  To address this issue the OECD included analysis of value added taxes as a proportion of expenditure as part of its analysis of the distributional effects of consumption taxes.</w:t>
      </w:r>
      <w:r w:rsidRPr="00F92A6D">
        <w:rPr>
          <w:rStyle w:val="FootnoteReference"/>
        </w:rPr>
        <w:footnoteReference w:id="33"/>
      </w:r>
      <w:r w:rsidRPr="00F92A6D">
        <w:t xml:space="preserve">  However, while the income of individuals can vary over time, the distribution of income and expenditure across the population is relatively stable</w:t>
      </w:r>
      <w:r w:rsidR="00C411E6" w:rsidRPr="00F92A6D">
        <w:t xml:space="preserve"> over time</w:t>
      </w:r>
      <w:r w:rsidRPr="00F92A6D">
        <w:t>.  As a result, this report does not analyse the impact of the GST as a proportion of household expenditure.</w:t>
      </w:r>
    </w:p>
    <w:p w:rsidR="00D44597" w:rsidRPr="00BA0FBF" w:rsidRDefault="00D44597" w:rsidP="00C407BF">
      <w:pPr>
        <w:pStyle w:val="BodyText"/>
        <w:rPr>
          <w:lang w:eastAsia="en-AU"/>
        </w:rPr>
      </w:pPr>
      <w:r w:rsidRPr="00BA0FBF">
        <w:rPr>
          <w:lang w:eastAsia="en-AU"/>
        </w:rPr>
        <w:t xml:space="preserve">Despite its limitations, the </w:t>
      </w:r>
      <w:r w:rsidRPr="00287E5C">
        <w:rPr>
          <w:i/>
        </w:rPr>
        <w:t>Household Expenditure Survey</w:t>
      </w:r>
      <w:r w:rsidRPr="00BA0FBF">
        <w:t xml:space="preserve"> is the best data available for analysis of the distributional impact of the GST.  Moreover, data issues are likely to affect the magnitude, but not the direction, of the relative impact of the GST across income groups.</w:t>
      </w:r>
    </w:p>
    <w:p w:rsidR="00837086" w:rsidRDefault="00091674" w:rsidP="00C407BF">
      <w:pPr>
        <w:pStyle w:val="BodyText"/>
      </w:pPr>
      <w:r w:rsidRPr="00BA0FBF">
        <w:t xml:space="preserve">Further details on the data, assumptions and methodology underpinning this analysis are presented in </w:t>
      </w:r>
      <w:r w:rsidR="00B56411" w:rsidRPr="00B56411">
        <w:fldChar w:fldCharType="begin"/>
      </w:r>
      <w:r w:rsidR="00B56411" w:rsidRPr="00B56411">
        <w:instrText xml:space="preserve"> REF _Ref436910802 \r </w:instrText>
      </w:r>
      <w:r w:rsidR="00B56411">
        <w:instrText xml:space="preserve"> \* MERGEFORMAT </w:instrText>
      </w:r>
      <w:r w:rsidR="00B56411" w:rsidRPr="00B56411">
        <w:fldChar w:fldCharType="separate"/>
      </w:r>
      <w:r w:rsidR="00076CF9">
        <w:t>Appendix A</w:t>
      </w:r>
      <w:r w:rsidR="00B56411" w:rsidRPr="00B56411">
        <w:fldChar w:fldCharType="end"/>
      </w:r>
      <w:r w:rsidRPr="00B56411">
        <w:t>.</w:t>
      </w:r>
    </w:p>
    <w:p w:rsidR="00837086" w:rsidRDefault="00837086" w:rsidP="00C407BF">
      <w:pPr>
        <w:pStyle w:val="BodyText"/>
        <w:sectPr w:rsidR="00837086" w:rsidSect="00F256DF">
          <w:pgSz w:w="11906" w:h="16838" w:code="9"/>
          <w:pgMar w:top="1361" w:right="1797" w:bottom="1474" w:left="1797" w:header="284" w:footer="454" w:gutter="0"/>
          <w:cols w:space="708"/>
          <w:docGrid w:linePitch="360"/>
        </w:sectPr>
      </w:pPr>
    </w:p>
    <w:p w:rsidR="00F95381" w:rsidRPr="00BA0FBF" w:rsidRDefault="00F95381" w:rsidP="00837086">
      <w:pPr>
        <w:pStyle w:val="Heading2"/>
        <w:spacing w:before="0"/>
        <w:rPr>
          <w:sz w:val="28"/>
        </w:rPr>
      </w:pPr>
      <w:bookmarkStart w:id="48" w:name="_Toc436400323"/>
      <w:bookmarkStart w:id="49" w:name="_Toc437429847"/>
      <w:r w:rsidRPr="00BA0FBF">
        <w:rPr>
          <w:sz w:val="28"/>
        </w:rPr>
        <w:t xml:space="preserve">Distributional </w:t>
      </w:r>
      <w:r w:rsidR="001D4B55">
        <w:rPr>
          <w:sz w:val="28"/>
        </w:rPr>
        <w:t>a</w:t>
      </w:r>
      <w:r w:rsidRPr="00BA0FBF">
        <w:rPr>
          <w:sz w:val="28"/>
        </w:rPr>
        <w:t xml:space="preserve">nalysis of </w:t>
      </w:r>
      <w:r w:rsidR="001D4B55">
        <w:rPr>
          <w:sz w:val="28"/>
        </w:rPr>
        <w:t>h</w:t>
      </w:r>
      <w:r w:rsidRPr="00BA0FBF">
        <w:rPr>
          <w:sz w:val="28"/>
        </w:rPr>
        <w:t xml:space="preserve">ousehold </w:t>
      </w:r>
      <w:r w:rsidR="001D4B55">
        <w:rPr>
          <w:sz w:val="28"/>
        </w:rPr>
        <w:t>s</w:t>
      </w:r>
      <w:r w:rsidRPr="00BA0FBF">
        <w:rPr>
          <w:sz w:val="28"/>
        </w:rPr>
        <w:t>aving</w:t>
      </w:r>
      <w:bookmarkEnd w:id="48"/>
      <w:bookmarkEnd w:id="49"/>
    </w:p>
    <w:p w:rsidR="00D44597" w:rsidRPr="00BA0FBF" w:rsidRDefault="00F95381" w:rsidP="00C407BF">
      <w:pPr>
        <w:pStyle w:val="BodyText"/>
        <w:rPr>
          <w:lang w:eastAsia="en-AU"/>
        </w:rPr>
      </w:pPr>
      <w:r w:rsidRPr="00BA0FBF">
        <w:t>A common criticism of the GST is that it is a regressive tax, as it applies at a flat rate</w:t>
      </w:r>
      <w:r w:rsidR="005B428A">
        <w:t xml:space="preserve"> and</w:t>
      </w:r>
      <w:r w:rsidRPr="00BA0FBF">
        <w:t xml:space="preserve"> those on lower incomes tend to consume more of their income than those on higher incomes.</w:t>
      </w:r>
    </w:p>
    <w:p w:rsidR="00D77AD7" w:rsidRPr="00BA0FBF" w:rsidRDefault="00FF7443" w:rsidP="00C407BF">
      <w:pPr>
        <w:pStyle w:val="BodyText"/>
      </w:pPr>
      <w:r w:rsidRPr="00BA0FBF">
        <w:fldChar w:fldCharType="begin"/>
      </w:r>
      <w:r w:rsidRPr="00BA0FBF">
        <w:instrText xml:space="preserve"> REF _Ref436652398 \h </w:instrText>
      </w:r>
      <w:r w:rsidR="00BA0FBF">
        <w:instrText xml:space="preserve"> \* MERGEFORMAT </w:instrText>
      </w:r>
      <w:r w:rsidRPr="00BA0FBF">
        <w:fldChar w:fldCharType="separate"/>
      </w:r>
      <w:r w:rsidR="00076CF9" w:rsidRPr="00695B37">
        <w:t xml:space="preserve">Figure </w:t>
      </w:r>
      <w:r w:rsidR="00076CF9">
        <w:t>3</w:t>
      </w:r>
      <w:r w:rsidR="00076CF9" w:rsidRPr="00695B37">
        <w:t>–</w:t>
      </w:r>
      <w:r w:rsidR="00076CF9">
        <w:t>1</w:t>
      </w:r>
      <w:r w:rsidRPr="00BA0FBF">
        <w:fldChar w:fldCharType="end"/>
      </w:r>
      <w:r w:rsidR="00F95381" w:rsidRPr="00BA0FBF">
        <w:t xml:space="preserve"> compares the level of income and expenditure by decile of </w:t>
      </w:r>
      <w:r w:rsidR="00E1061F" w:rsidRPr="00BA0FBF">
        <w:t xml:space="preserve">equivalised </w:t>
      </w:r>
      <w:r w:rsidR="00F95381" w:rsidRPr="00BA0FBF">
        <w:t xml:space="preserve">household disposable income.  It shows that, on average, low income households spend more than their disposable income.  In particular, </w:t>
      </w:r>
      <w:r w:rsidR="00E1061F" w:rsidRPr="00BA0FBF">
        <w:t xml:space="preserve">it suggests that </w:t>
      </w:r>
      <w:r w:rsidR="00F95381" w:rsidRPr="00BA0FBF">
        <w:t xml:space="preserve">households </w:t>
      </w:r>
      <w:r w:rsidR="005B41E1" w:rsidRPr="00BA0FBF">
        <w:t xml:space="preserve">in </w:t>
      </w:r>
      <w:r w:rsidR="00F95381" w:rsidRPr="00BA0FBF">
        <w:t xml:space="preserve">the lowest income </w:t>
      </w:r>
      <w:r w:rsidR="005B41E1" w:rsidRPr="00BA0FBF">
        <w:t xml:space="preserve">decile </w:t>
      </w:r>
      <w:r w:rsidR="00F95381" w:rsidRPr="00BA0FBF">
        <w:t>spend over $400 per week more than they receive in income.</w:t>
      </w:r>
      <w:r w:rsidR="00D77AD7" w:rsidRPr="00BA0FBF">
        <w:t xml:space="preserve">  However, t</w:t>
      </w:r>
      <w:r w:rsidR="00E1061F" w:rsidRPr="00BA0FBF">
        <w:t xml:space="preserve">he very high level of dissaving by the </w:t>
      </w:r>
      <w:r w:rsidR="00D77AD7" w:rsidRPr="00BA0FBF">
        <w:t>lowest</w:t>
      </w:r>
      <w:r w:rsidR="00E1061F" w:rsidRPr="00BA0FBF">
        <w:t xml:space="preserve"> income decile </w:t>
      </w:r>
      <w:r w:rsidR="00D77AD7" w:rsidRPr="00BA0FBF">
        <w:t xml:space="preserve">is likely to </w:t>
      </w:r>
      <w:r w:rsidR="006D148F" w:rsidRPr="00BA0FBF">
        <w:t xml:space="preserve">mainly </w:t>
      </w:r>
      <w:r w:rsidR="005B428A">
        <w:t>be due to</w:t>
      </w:r>
      <w:r w:rsidR="00D77AD7" w:rsidRPr="00BA0FBF">
        <w:t xml:space="preserve"> limitations in the data rather than the actual behaviour of households.</w:t>
      </w:r>
      <w:r w:rsidR="00D77AD7" w:rsidRPr="0086621F">
        <w:rPr>
          <w:rStyle w:val="FootnoteReference"/>
        </w:rPr>
        <w:footnoteReference w:id="34"/>
      </w:r>
    </w:p>
    <w:p w:rsidR="00FF7443" w:rsidRPr="00695B37" w:rsidRDefault="00FF7443" w:rsidP="00FF7443">
      <w:pPr>
        <w:pStyle w:val="Caption"/>
      </w:pPr>
      <w:bookmarkStart w:id="50" w:name="_Ref436652398"/>
      <w:bookmarkStart w:id="51" w:name="_Toc436917821"/>
      <w:bookmarkStart w:id="52" w:name="_Toc437429579"/>
      <w:bookmarkStart w:id="53" w:name="_Toc436650597"/>
      <w:r w:rsidRPr="00695B37">
        <w:t xml:space="preserve">Figure </w:t>
      </w:r>
      <w:fldSimple w:instr=" STYLEREF 1 \s ">
        <w:r w:rsidR="00076CF9">
          <w:rPr>
            <w:noProof/>
          </w:rPr>
          <w:t>3</w:t>
        </w:r>
      </w:fldSimple>
      <w:r w:rsidRPr="00695B37">
        <w:t>–</w:t>
      </w:r>
      <w:fldSimple w:instr=" SEQ Figure \* ARABIC \s 1 ">
        <w:r w:rsidR="00076CF9">
          <w:rPr>
            <w:noProof/>
          </w:rPr>
          <w:t>1</w:t>
        </w:r>
      </w:fldSimple>
      <w:bookmarkEnd w:id="50"/>
      <w:r w:rsidRPr="00695B37">
        <w:t>: Distribution of household income and expenditure</w:t>
      </w:r>
      <w:bookmarkEnd w:id="51"/>
      <w:bookmarkEnd w:id="52"/>
    </w:p>
    <w:bookmarkEnd w:id="53"/>
    <w:p w:rsidR="00F95381" w:rsidRDefault="000029BF" w:rsidP="00656EE8">
      <w:pPr>
        <w:pStyle w:val="BodyText"/>
        <w:spacing w:before="120"/>
        <w:rPr>
          <w:sz w:val="20"/>
        </w:rPr>
      </w:pPr>
      <w:r>
        <w:rPr>
          <w:noProof/>
          <w:sz w:val="20"/>
          <w:lang w:eastAsia="en-AU"/>
        </w:rPr>
        <w:drawing>
          <wp:inline distT="0" distB="0" distL="0" distR="0" wp14:anchorId="627007E4">
            <wp:extent cx="4713413" cy="3384000"/>
            <wp:effectExtent l="0" t="0" r="0" b="6985"/>
            <wp:docPr id="19" name="Picture 19" descr="Figure 3–1 compares total household expenditure per week with total household income per week by household disposable income decile.&#10;Total household expenditure per week falls from $755 for the lowest decile to $666 for the second lowest decile before rising steadily over subsequent deciles to reach $2,635 per week for the highest income decile.&#10;Total household disposable income per week rises from $335 for the lowest decile to reach $3,674 per week for the highest income decile." title="Fig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713413" cy="3384000"/>
                    </a:xfrm>
                    <a:prstGeom prst="rect">
                      <a:avLst/>
                    </a:prstGeom>
                    <a:noFill/>
                  </pic:spPr>
                </pic:pic>
              </a:graphicData>
            </a:graphic>
          </wp:inline>
        </w:drawing>
      </w:r>
    </w:p>
    <w:p w:rsidR="00EA0CBA" w:rsidRDefault="00EA0CBA" w:rsidP="00EA0CBA">
      <w:pPr>
        <w:pStyle w:val="Source"/>
      </w:pPr>
      <w:r>
        <w:t xml:space="preserve">Source: </w:t>
      </w:r>
      <w:r w:rsidR="004E109F">
        <w:t>PBO analysis based on data from the Australian Bureau of Statistics (ABS)</w:t>
      </w:r>
    </w:p>
    <w:p w:rsidR="00F95381" w:rsidRPr="00BA0FBF" w:rsidRDefault="00FF7443" w:rsidP="00E74582">
      <w:pPr>
        <w:pStyle w:val="BodyText17ptAbove"/>
      </w:pPr>
      <w:r w:rsidRPr="00BA0FBF">
        <w:fldChar w:fldCharType="begin"/>
      </w:r>
      <w:r w:rsidRPr="00BA0FBF">
        <w:instrText xml:space="preserve"> REF _Ref436652470 \h </w:instrText>
      </w:r>
      <w:r w:rsidR="00023CDB" w:rsidRPr="00BA0FBF">
        <w:instrText xml:space="preserve"> \* MERGEFORMAT </w:instrText>
      </w:r>
      <w:r w:rsidRPr="00BA0FBF">
        <w:fldChar w:fldCharType="separate"/>
      </w:r>
      <w:r w:rsidR="00076CF9" w:rsidRPr="00695B37">
        <w:t xml:space="preserve">Figure </w:t>
      </w:r>
      <w:r w:rsidR="00076CF9">
        <w:t>3</w:t>
      </w:r>
      <w:r w:rsidR="00076CF9" w:rsidRPr="00695B37">
        <w:t>–</w:t>
      </w:r>
      <w:r w:rsidR="00076CF9">
        <w:t>2</w:t>
      </w:r>
      <w:r w:rsidRPr="00BA0FBF">
        <w:fldChar w:fldCharType="end"/>
      </w:r>
      <w:r w:rsidR="00F95381" w:rsidRPr="00BA0FBF">
        <w:t xml:space="preserve"> presents this data as a distributional analysis of household saving.  </w:t>
      </w:r>
      <w:r w:rsidR="008A5F02" w:rsidRPr="00F92A6D">
        <w:t>Even allowing for data issues with the lowest income decile i</w:t>
      </w:r>
      <w:r w:rsidR="00F95381" w:rsidRPr="00F92A6D">
        <w:t>t shows that, on average, the lowest 40 per cent of</w:t>
      </w:r>
      <w:r w:rsidRPr="00F92A6D">
        <w:t xml:space="preserve"> income earners are dissaving—</w:t>
      </w:r>
      <w:r w:rsidR="00F95381" w:rsidRPr="00F92A6D">
        <w:t>either drawing down on existing savings, or supporting current consumption by borrowing money</w:t>
      </w:r>
      <w:r w:rsidRPr="00F92A6D">
        <w:t>—</w:t>
      </w:r>
      <w:r w:rsidR="00F95381" w:rsidRPr="00F92A6D">
        <w:t>while t</w:t>
      </w:r>
      <w:r w:rsidR="00F95381" w:rsidRPr="00BA0FBF">
        <w:t>he top 40</w:t>
      </w:r>
      <w:r w:rsidR="00BE6768">
        <w:t> </w:t>
      </w:r>
      <w:r w:rsidR="00F95381" w:rsidRPr="00BA0FBF">
        <w:t>per cent of income earners are saving.</w:t>
      </w:r>
      <w:r w:rsidR="008A5F02">
        <w:rPr>
          <w:rStyle w:val="FootnoteReference"/>
        </w:rPr>
        <w:footnoteReference w:id="35"/>
      </w:r>
    </w:p>
    <w:p w:rsidR="00FF7443" w:rsidRPr="00695B37" w:rsidRDefault="00FF7443" w:rsidP="00FF7443">
      <w:pPr>
        <w:pStyle w:val="Caption"/>
      </w:pPr>
      <w:bookmarkStart w:id="54" w:name="_Ref436652470"/>
      <w:bookmarkStart w:id="55" w:name="_Toc436917822"/>
      <w:bookmarkStart w:id="56" w:name="_Toc437429580"/>
      <w:r w:rsidRPr="00695B37">
        <w:t xml:space="preserve">Figure </w:t>
      </w:r>
      <w:fldSimple w:instr=" STYLEREF 1 \s ">
        <w:r w:rsidR="00076CF9">
          <w:rPr>
            <w:noProof/>
          </w:rPr>
          <w:t>3</w:t>
        </w:r>
      </w:fldSimple>
      <w:r w:rsidRPr="00695B37">
        <w:t>–</w:t>
      </w:r>
      <w:fldSimple w:instr=" SEQ Figure \* ARABIC \s 1 ">
        <w:r w:rsidR="00076CF9">
          <w:rPr>
            <w:noProof/>
          </w:rPr>
          <w:t>2</w:t>
        </w:r>
      </w:fldSimple>
      <w:bookmarkEnd w:id="54"/>
      <w:r w:rsidRPr="00695B37">
        <w:t>: Distribution of household saving</w:t>
      </w:r>
      <w:bookmarkEnd w:id="55"/>
      <w:bookmarkEnd w:id="56"/>
    </w:p>
    <w:p w:rsidR="00F95381" w:rsidRDefault="000950C7" w:rsidP="00EA0CBA">
      <w:pPr>
        <w:pStyle w:val="BodyText"/>
        <w:widowControl w:val="0"/>
        <w:spacing w:before="120" w:after="0"/>
        <w:rPr>
          <w:sz w:val="20"/>
        </w:rPr>
      </w:pPr>
      <w:r>
        <w:rPr>
          <w:noProof/>
          <w:sz w:val="20"/>
          <w:lang w:eastAsia="en-AU"/>
        </w:rPr>
        <w:drawing>
          <wp:inline distT="0" distB="0" distL="0" distR="0" wp14:anchorId="75570FD6" wp14:editId="28076C38">
            <wp:extent cx="4709366" cy="3384000"/>
            <wp:effectExtent l="0" t="0" r="0" b="6985"/>
            <wp:docPr id="37" name="Picture 37" descr="Figure 3–2 presents the household saving rate, and the level of household savings per week, by household disposable income decile.&#10;The household saving rate for the lowest decile is negative 126 per cent.  The household saving rate for the second decile is negative 26 per cent, with the third and fourth deciles also negative.  The household saving rate is zero for the fifth and sixth deciles, and increases to 28 per cent in the highest income decile.&#10;Household savings per week increase from negative $420.8 per week for the lowest decile to $1,038.50 in the highest income decile." title="Fig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709366" cy="3384000"/>
                    </a:xfrm>
                    <a:prstGeom prst="rect">
                      <a:avLst/>
                    </a:prstGeom>
                    <a:noFill/>
                  </pic:spPr>
                </pic:pic>
              </a:graphicData>
            </a:graphic>
          </wp:inline>
        </w:drawing>
      </w:r>
    </w:p>
    <w:p w:rsidR="00EA0CBA" w:rsidRDefault="00EA0CBA" w:rsidP="00EA0CBA">
      <w:pPr>
        <w:pStyle w:val="Source"/>
        <w:spacing w:before="0" w:after="0"/>
      </w:pPr>
      <w:r>
        <w:t xml:space="preserve">Source: </w:t>
      </w:r>
      <w:r w:rsidR="004E109F">
        <w:t>PBO analysis based on data from the ABS</w:t>
      </w:r>
    </w:p>
    <w:p w:rsidR="00F95381" w:rsidRPr="00C407BF" w:rsidRDefault="00F95381" w:rsidP="00E74582">
      <w:pPr>
        <w:pStyle w:val="BodyText17ptAbove"/>
      </w:pPr>
      <w:r w:rsidRPr="00C407BF">
        <w:t xml:space="preserve">Further details of the composition of households in this analysis </w:t>
      </w:r>
      <w:r w:rsidR="00470F9B" w:rsidRPr="00C407BF">
        <w:t xml:space="preserve">are </w:t>
      </w:r>
      <w:r w:rsidRPr="00C407BF">
        <w:t xml:space="preserve">provided in </w:t>
      </w:r>
      <w:fldSimple w:instr=" REF _Ref436910423 \r ">
        <w:r w:rsidR="00076CF9">
          <w:t>Appendix B</w:t>
        </w:r>
      </w:fldSimple>
      <w:r w:rsidR="00C407BF" w:rsidRPr="00C407BF">
        <w:t>.</w:t>
      </w:r>
    </w:p>
    <w:p w:rsidR="00F95381" w:rsidRPr="00BA0FBF" w:rsidRDefault="00F95381" w:rsidP="00F95381">
      <w:pPr>
        <w:pStyle w:val="Heading2"/>
        <w:rPr>
          <w:sz w:val="28"/>
        </w:rPr>
      </w:pPr>
      <w:bookmarkStart w:id="57" w:name="_Toc436400324"/>
      <w:bookmarkStart w:id="58" w:name="_Toc437429848"/>
      <w:r w:rsidRPr="00BA0FBF">
        <w:rPr>
          <w:sz w:val="28"/>
        </w:rPr>
        <w:t xml:space="preserve">Distributional </w:t>
      </w:r>
      <w:r w:rsidR="007115F4">
        <w:rPr>
          <w:sz w:val="28"/>
        </w:rPr>
        <w:t>a</w:t>
      </w:r>
      <w:r w:rsidRPr="00BA0FBF">
        <w:rPr>
          <w:sz w:val="28"/>
        </w:rPr>
        <w:t>nalysis of the GST</w:t>
      </w:r>
      <w:bookmarkEnd w:id="57"/>
      <w:bookmarkEnd w:id="58"/>
    </w:p>
    <w:p w:rsidR="00E9675E" w:rsidRPr="00BA0FBF" w:rsidRDefault="00C05B94" w:rsidP="00C407BF">
      <w:pPr>
        <w:pStyle w:val="BodyText"/>
      </w:pPr>
      <w:r w:rsidRPr="00BA0FBF">
        <w:fldChar w:fldCharType="begin"/>
      </w:r>
      <w:r w:rsidRPr="00BA0FBF">
        <w:instrText xml:space="preserve"> REF _Ref436652567 \h </w:instrText>
      </w:r>
      <w:r w:rsidR="00BA0FBF">
        <w:instrText xml:space="preserve"> \* MERGEFORMAT </w:instrText>
      </w:r>
      <w:r w:rsidRPr="00BA0FBF">
        <w:fldChar w:fldCharType="separate"/>
      </w:r>
      <w:r w:rsidR="00076CF9" w:rsidRPr="00E21C70">
        <w:t xml:space="preserve">Figure </w:t>
      </w:r>
      <w:r w:rsidR="00076CF9">
        <w:t>3</w:t>
      </w:r>
      <w:r w:rsidR="00076CF9" w:rsidRPr="00E21C70">
        <w:t>–</w:t>
      </w:r>
      <w:r w:rsidR="00076CF9">
        <w:t>3</w:t>
      </w:r>
      <w:r w:rsidRPr="00BA0FBF">
        <w:fldChar w:fldCharType="end"/>
      </w:r>
      <w:r w:rsidR="00F95381" w:rsidRPr="00BA0FBF">
        <w:t xml:space="preserve"> presents a distributional analysis of the relative and absolute impact of the GST </w:t>
      </w:r>
      <w:r w:rsidR="00E9675E" w:rsidRPr="00BA0FBF">
        <w:t>on households by income decile.</w:t>
      </w:r>
    </w:p>
    <w:p w:rsidR="00E9675E" w:rsidRPr="00BA0FBF" w:rsidRDefault="00F95381" w:rsidP="00C407BF">
      <w:pPr>
        <w:pStyle w:val="BodyText"/>
      </w:pPr>
      <w:r w:rsidRPr="00BA0FBF">
        <w:t>The regressive nature of the GST is highlighted by the progressive reduction in the proportion of income paid in GST</w:t>
      </w:r>
      <w:r w:rsidR="00C61F1F" w:rsidRPr="00BA0FBF">
        <w:t xml:space="preserve"> as household incomes rise</w:t>
      </w:r>
      <w:r w:rsidRPr="00BA0FBF">
        <w:t xml:space="preserve">.  On average those in the lowest income decile are estimated to pay over 12 per cent of their disposable income on GST, or about three times the proportion paid on average by those in the highest income decile.  This disparity primarily reflects the distribution of household saving (as lower income households spend more as </w:t>
      </w:r>
      <w:r w:rsidR="0013245D">
        <w:t xml:space="preserve">a </w:t>
      </w:r>
      <w:r w:rsidRPr="00BA0FBF">
        <w:t xml:space="preserve">proportion of their income </w:t>
      </w:r>
      <w:r w:rsidR="00E9675E" w:rsidRPr="00BA0FBF">
        <w:t>than higher income households).</w:t>
      </w:r>
    </w:p>
    <w:p w:rsidR="00F95381" w:rsidRPr="00BA0FBF" w:rsidRDefault="00F95381" w:rsidP="00C407BF">
      <w:pPr>
        <w:pStyle w:val="BodyText"/>
      </w:pPr>
      <w:r w:rsidRPr="00BA0FBF">
        <w:t>On the other hand, the total amount of GST paid generally increases in line with household income, from around $40 per week for the lowest income decile to over $140 per week for the highest income decile.  The difference between the relative and absolute impact of the GST reflects the fact that the proportion of expenditure to income declines as household income increases</w:t>
      </w:r>
      <w:r w:rsidR="00C05B94" w:rsidRPr="00BA0FBF">
        <w:t>.</w:t>
      </w:r>
    </w:p>
    <w:p w:rsidR="00C05B94" w:rsidRDefault="00C05B94" w:rsidP="00C05B94">
      <w:pPr>
        <w:pStyle w:val="Caption"/>
      </w:pPr>
      <w:bookmarkStart w:id="59" w:name="_Ref436652567"/>
      <w:bookmarkStart w:id="60" w:name="_Toc436917823"/>
      <w:bookmarkStart w:id="61" w:name="_Toc437429581"/>
      <w:r w:rsidRPr="00E21C70">
        <w:t xml:space="preserve">Figure </w:t>
      </w:r>
      <w:fldSimple w:instr=" STYLEREF 1 \s ">
        <w:r w:rsidR="00076CF9">
          <w:rPr>
            <w:noProof/>
          </w:rPr>
          <w:t>3</w:t>
        </w:r>
      </w:fldSimple>
      <w:r w:rsidRPr="00E21C70">
        <w:t>–</w:t>
      </w:r>
      <w:fldSimple w:instr=" SEQ Figure \* ARABIC \s 1 ">
        <w:r w:rsidR="00076CF9">
          <w:rPr>
            <w:noProof/>
          </w:rPr>
          <w:t>3</w:t>
        </w:r>
      </w:fldSimple>
      <w:bookmarkEnd w:id="59"/>
      <w:r w:rsidRPr="00E21C70">
        <w:t>: Distributional impact of the GST</w:t>
      </w:r>
      <w:bookmarkEnd w:id="60"/>
      <w:bookmarkEnd w:id="61"/>
    </w:p>
    <w:p w:rsidR="00C9552A" w:rsidRPr="00C9552A" w:rsidRDefault="000029BF" w:rsidP="00C9552A">
      <w:pPr>
        <w:pStyle w:val="BodyText"/>
      </w:pPr>
      <w:r>
        <w:rPr>
          <w:noProof/>
          <w:lang w:eastAsia="en-AU"/>
        </w:rPr>
        <w:drawing>
          <wp:inline distT="0" distB="0" distL="0" distR="0" wp14:anchorId="46CCA6AB">
            <wp:extent cx="4713410" cy="3384000"/>
            <wp:effectExtent l="0" t="0" r="0" b="6985"/>
            <wp:docPr id="20" name="Picture 20" descr="Figure 3–3 presents the relative and absolute impact of the GST by household disposable income decile.&#10;Households in the lowest income decile pay 12 per cent of disposable income in GST, falling to 7 per cent for the second decile and 4 per cent for the highest decile.&#10;Households in the lowest income decile pay $41 per week in GST, falling to $37.9 per week for the second decile, rising to $149.7 per week for the highest decile." title="Figure 3–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713410" cy="3384000"/>
                    </a:xfrm>
                    <a:prstGeom prst="rect">
                      <a:avLst/>
                    </a:prstGeom>
                    <a:noFill/>
                  </pic:spPr>
                </pic:pic>
              </a:graphicData>
            </a:graphic>
          </wp:inline>
        </w:drawing>
      </w:r>
    </w:p>
    <w:p w:rsidR="00EA0CBA" w:rsidRDefault="00EA0CBA" w:rsidP="00EA0CBA">
      <w:pPr>
        <w:pStyle w:val="Source"/>
      </w:pPr>
      <w:r>
        <w:t xml:space="preserve">Source: </w:t>
      </w:r>
      <w:r w:rsidR="004E109F">
        <w:t>PBO analysis based on data from the ABS and Treasury</w:t>
      </w:r>
      <w:r w:rsidR="004E109F" w:rsidDel="004E109F">
        <w:t xml:space="preserve"> </w:t>
      </w:r>
    </w:p>
    <w:p w:rsidR="00F95381" w:rsidRPr="00BA0FBF" w:rsidRDefault="00F95381" w:rsidP="00F95381">
      <w:pPr>
        <w:pStyle w:val="Heading2"/>
        <w:rPr>
          <w:sz w:val="28"/>
        </w:rPr>
      </w:pPr>
      <w:bookmarkStart w:id="62" w:name="_Toc436400325"/>
      <w:bookmarkStart w:id="63" w:name="_Toc437429849"/>
      <w:r w:rsidRPr="00BA0FBF">
        <w:rPr>
          <w:sz w:val="28"/>
        </w:rPr>
        <w:t xml:space="preserve">Distributional </w:t>
      </w:r>
      <w:r w:rsidR="00CC025D">
        <w:rPr>
          <w:sz w:val="28"/>
        </w:rPr>
        <w:t>a</w:t>
      </w:r>
      <w:r w:rsidRPr="00BA0FBF">
        <w:rPr>
          <w:sz w:val="28"/>
        </w:rPr>
        <w:t xml:space="preserve">nalysis of GST </w:t>
      </w:r>
      <w:r w:rsidR="00CC025D">
        <w:rPr>
          <w:sz w:val="28"/>
        </w:rPr>
        <w:t>c</w:t>
      </w:r>
      <w:r w:rsidRPr="00BA0FBF">
        <w:rPr>
          <w:sz w:val="28"/>
        </w:rPr>
        <w:t>oncessions</w:t>
      </w:r>
      <w:bookmarkEnd w:id="62"/>
      <w:bookmarkEnd w:id="63"/>
    </w:p>
    <w:p w:rsidR="006D2570" w:rsidRPr="00BA0FBF" w:rsidRDefault="00F95381" w:rsidP="00C407BF">
      <w:pPr>
        <w:pStyle w:val="BodyText"/>
      </w:pPr>
      <w:r w:rsidRPr="0015643E">
        <w:t>This section</w:t>
      </w:r>
      <w:r w:rsidRPr="00BA0FBF">
        <w:t xml:space="preserve"> analyses the relative and absolute impact of the principal exclusions from the GST tax base: basic food; health and medical care; education; child care; and water and sewerage rates and charges.</w:t>
      </w:r>
      <w:r w:rsidRPr="0086621F">
        <w:rPr>
          <w:rStyle w:val="FootnoteReference"/>
        </w:rPr>
        <w:footnoteReference w:id="36"/>
      </w:r>
    </w:p>
    <w:p w:rsidR="00E74582" w:rsidRDefault="00F95381" w:rsidP="00C407BF">
      <w:pPr>
        <w:pStyle w:val="BodyText"/>
        <w:sectPr w:rsidR="00E74582" w:rsidSect="00F256DF">
          <w:pgSz w:w="11906" w:h="16838" w:code="9"/>
          <w:pgMar w:top="1361" w:right="1797" w:bottom="1474" w:left="1797" w:header="284" w:footer="454" w:gutter="0"/>
          <w:cols w:space="708"/>
          <w:docGrid w:linePitch="360"/>
        </w:sectPr>
      </w:pPr>
      <w:r w:rsidRPr="00BA0FBF">
        <w:t xml:space="preserve">The value of the concessionary treatment by household decile has been calculated by multiplying the average amount of expenditure on </w:t>
      </w:r>
      <w:r w:rsidR="00C61F1F" w:rsidRPr="00BA0FBF">
        <w:t xml:space="preserve">each </w:t>
      </w:r>
      <w:r w:rsidRPr="00BA0FBF">
        <w:t>item by decile by the standard GST rate of 10 per cent.  Differences in the distribution of the benefit of GST concessions thus reflect differences in the distribution of consumption patterns for these goods and services.</w:t>
      </w:r>
    </w:p>
    <w:p w:rsidR="00F95381" w:rsidRPr="00BA0FBF" w:rsidRDefault="00F95381" w:rsidP="00F95381">
      <w:pPr>
        <w:pStyle w:val="Heading3"/>
        <w:rPr>
          <w:sz w:val="24"/>
        </w:rPr>
      </w:pPr>
      <w:bookmarkStart w:id="64" w:name="_Toc429380424"/>
      <w:bookmarkStart w:id="65" w:name="_Toc429380491"/>
      <w:bookmarkStart w:id="66" w:name="_Toc435093656"/>
      <w:bookmarkStart w:id="67" w:name="_Toc435632985"/>
      <w:bookmarkStart w:id="68" w:name="_Toc436400326"/>
      <w:r w:rsidRPr="00BA0FBF">
        <w:rPr>
          <w:sz w:val="24"/>
        </w:rPr>
        <w:t>GST concession: basic food</w:t>
      </w:r>
      <w:bookmarkEnd w:id="64"/>
      <w:bookmarkEnd w:id="65"/>
      <w:bookmarkEnd w:id="66"/>
      <w:bookmarkEnd w:id="67"/>
      <w:r w:rsidR="00790673" w:rsidRPr="00A36FFE">
        <w:rPr>
          <w:rStyle w:val="FootnoteReference"/>
          <w:color w:val="2B3B5F" w:themeColor="text2"/>
        </w:rPr>
        <w:footnoteReference w:id="37"/>
      </w:r>
      <w:bookmarkEnd w:id="68"/>
    </w:p>
    <w:p w:rsidR="006B7B8B" w:rsidRPr="00BA0FBF" w:rsidRDefault="00F95381" w:rsidP="00C407BF">
      <w:pPr>
        <w:pStyle w:val="BodyText"/>
      </w:pPr>
      <w:r w:rsidRPr="00BA0FBF">
        <w:rPr>
          <w:lang w:eastAsia="en-AU"/>
        </w:rPr>
        <w:t>A key criticism of the original proposal to subje</w:t>
      </w:r>
      <w:r w:rsidR="006B7B8B" w:rsidRPr="00BA0FBF">
        <w:rPr>
          <w:lang w:eastAsia="en-AU"/>
        </w:rPr>
        <w:t>ct basic food items to the GST wa</w:t>
      </w:r>
      <w:r w:rsidRPr="00BA0FBF">
        <w:rPr>
          <w:lang w:eastAsia="en-AU"/>
        </w:rPr>
        <w:t>s that it would be highly regressive.</w:t>
      </w:r>
      <w:r w:rsidR="006B7B8B" w:rsidRPr="0086621F">
        <w:rPr>
          <w:rStyle w:val="FootnoteReference"/>
        </w:rPr>
        <w:footnoteReference w:id="38"/>
      </w:r>
      <w:r w:rsidR="00B75276" w:rsidRPr="00BA0FBF">
        <w:rPr>
          <w:lang w:eastAsia="en-AU"/>
        </w:rPr>
        <w:t xml:space="preserve">  </w:t>
      </w:r>
      <w:r w:rsidRPr="00BA0FBF">
        <w:rPr>
          <w:lang w:eastAsia="en-AU"/>
        </w:rPr>
        <w:t xml:space="preserve">This is reflected in the analysis in </w:t>
      </w:r>
      <w:r w:rsidR="00C05B94" w:rsidRPr="00BA0FBF">
        <w:rPr>
          <w:lang w:eastAsia="en-AU"/>
        </w:rPr>
        <w:fldChar w:fldCharType="begin"/>
      </w:r>
      <w:r w:rsidR="00C05B94" w:rsidRPr="00BA0FBF">
        <w:rPr>
          <w:lang w:eastAsia="en-AU"/>
        </w:rPr>
        <w:instrText xml:space="preserve"> REF _Ref436652695 \h </w:instrText>
      </w:r>
      <w:r w:rsidR="00BA0FBF">
        <w:rPr>
          <w:lang w:eastAsia="en-AU"/>
        </w:rPr>
        <w:instrText xml:space="preserve"> \* MERGEFORMAT </w:instrText>
      </w:r>
      <w:r w:rsidR="00C05B94" w:rsidRPr="00BA0FBF">
        <w:rPr>
          <w:lang w:eastAsia="en-AU"/>
        </w:rPr>
      </w:r>
      <w:r w:rsidR="00C05B94" w:rsidRPr="00BA0FBF">
        <w:rPr>
          <w:lang w:eastAsia="en-AU"/>
        </w:rPr>
        <w:fldChar w:fldCharType="separate"/>
      </w:r>
      <w:r w:rsidR="00076CF9" w:rsidRPr="00076CF9">
        <w:t>Figure 3–4</w:t>
      </w:r>
      <w:r w:rsidR="00C05B94" w:rsidRPr="00BA0FBF">
        <w:rPr>
          <w:lang w:eastAsia="en-AU"/>
        </w:rPr>
        <w:fldChar w:fldCharType="end"/>
      </w:r>
      <w:r w:rsidRPr="00BA0FBF">
        <w:rPr>
          <w:lang w:eastAsia="en-AU"/>
        </w:rPr>
        <w:t xml:space="preserve">, </w:t>
      </w:r>
      <w:r w:rsidR="00B75276" w:rsidRPr="00BA0FBF">
        <w:rPr>
          <w:lang w:eastAsia="en-AU"/>
        </w:rPr>
        <w:t xml:space="preserve">with the </w:t>
      </w:r>
      <w:r w:rsidR="00323873" w:rsidRPr="00BA0FBF">
        <w:rPr>
          <w:lang w:eastAsia="en-AU"/>
        </w:rPr>
        <w:t>value of the concession representing</w:t>
      </w:r>
      <w:r w:rsidR="00B75276" w:rsidRPr="00BA0FBF">
        <w:rPr>
          <w:lang w:eastAsia="en-AU"/>
        </w:rPr>
        <w:t xml:space="preserve"> </w:t>
      </w:r>
      <w:r w:rsidRPr="00BA0FBF">
        <w:rPr>
          <w:lang w:eastAsia="en-AU"/>
        </w:rPr>
        <w:t xml:space="preserve">over </w:t>
      </w:r>
      <w:r w:rsidR="007115F4">
        <w:rPr>
          <w:lang w:eastAsia="en-AU"/>
        </w:rPr>
        <w:t>two</w:t>
      </w:r>
      <w:r w:rsidR="00B75276" w:rsidRPr="00BA0FBF">
        <w:rPr>
          <w:lang w:eastAsia="en-AU"/>
        </w:rPr>
        <w:t> </w:t>
      </w:r>
      <w:r w:rsidRPr="00BA0FBF">
        <w:rPr>
          <w:lang w:eastAsia="en-AU"/>
        </w:rPr>
        <w:t>per cent of disposable inco</w:t>
      </w:r>
      <w:r w:rsidR="00B75276" w:rsidRPr="00BA0FBF">
        <w:rPr>
          <w:lang w:eastAsia="en-AU"/>
        </w:rPr>
        <w:t>me of the lowest income decile</w:t>
      </w:r>
      <w:r w:rsidR="00323873" w:rsidRPr="00BA0FBF">
        <w:rPr>
          <w:lang w:eastAsia="en-AU"/>
        </w:rPr>
        <w:t>, or over six times the relative benefit to the</w:t>
      </w:r>
      <w:r w:rsidR="00B75276" w:rsidRPr="00BA0FBF">
        <w:rPr>
          <w:lang w:eastAsia="en-AU"/>
        </w:rPr>
        <w:t xml:space="preserve"> highest income decile</w:t>
      </w:r>
      <w:r w:rsidR="00323873" w:rsidRPr="00BA0FBF">
        <w:rPr>
          <w:lang w:eastAsia="en-AU"/>
        </w:rPr>
        <w:t xml:space="preserve"> of around one third of one per</w:t>
      </w:r>
      <w:r w:rsidR="0015643E">
        <w:rPr>
          <w:lang w:eastAsia="en-AU"/>
        </w:rPr>
        <w:t xml:space="preserve"> </w:t>
      </w:r>
      <w:r w:rsidR="00323873" w:rsidRPr="00BA0FBF">
        <w:rPr>
          <w:lang w:eastAsia="en-AU"/>
        </w:rPr>
        <w:t>cent</w:t>
      </w:r>
      <w:r w:rsidR="00B75276" w:rsidRPr="00BA0FBF">
        <w:rPr>
          <w:lang w:eastAsia="en-AU"/>
        </w:rPr>
        <w:t>.</w:t>
      </w:r>
      <w:r w:rsidR="00B75276" w:rsidRPr="0086621F">
        <w:rPr>
          <w:rStyle w:val="FootnoteReference"/>
        </w:rPr>
        <w:footnoteReference w:id="39"/>
      </w:r>
    </w:p>
    <w:p w:rsidR="00C05B94" w:rsidRPr="00BA0FBF" w:rsidRDefault="00C05B94" w:rsidP="00C05B94">
      <w:pPr>
        <w:pStyle w:val="Caption"/>
        <w:rPr>
          <w:sz w:val="20"/>
        </w:rPr>
      </w:pPr>
      <w:bookmarkStart w:id="69" w:name="_Ref436652695"/>
      <w:bookmarkStart w:id="70" w:name="_Toc436917824"/>
      <w:bookmarkStart w:id="71" w:name="_Toc437429582"/>
      <w:r w:rsidRPr="00BA0FBF">
        <w:rPr>
          <w:sz w:val="20"/>
        </w:rPr>
        <w:t xml:space="preserve">Figure </w:t>
      </w:r>
      <w:r w:rsidR="009F1D24" w:rsidRPr="00BA0FBF">
        <w:rPr>
          <w:sz w:val="20"/>
        </w:rPr>
        <w:fldChar w:fldCharType="begin"/>
      </w:r>
      <w:r w:rsidR="009F1D24" w:rsidRPr="00BA0FBF">
        <w:rPr>
          <w:sz w:val="20"/>
        </w:rPr>
        <w:instrText xml:space="preserve"> STYLEREF 1 \s </w:instrText>
      </w:r>
      <w:r w:rsidR="009F1D24" w:rsidRPr="00BA0FBF">
        <w:rPr>
          <w:sz w:val="20"/>
        </w:rPr>
        <w:fldChar w:fldCharType="separate"/>
      </w:r>
      <w:r w:rsidR="00076CF9">
        <w:rPr>
          <w:noProof/>
          <w:sz w:val="20"/>
        </w:rPr>
        <w:t>3</w:t>
      </w:r>
      <w:r w:rsidR="009F1D24" w:rsidRPr="00BA0FBF">
        <w:rPr>
          <w:noProof/>
          <w:sz w:val="20"/>
        </w:rPr>
        <w:fldChar w:fldCharType="end"/>
      </w:r>
      <w:r w:rsidRPr="00BA0FBF">
        <w:rPr>
          <w:sz w:val="20"/>
        </w:rPr>
        <w:t>–</w:t>
      </w:r>
      <w:r w:rsidR="009F1D24" w:rsidRPr="00BA0FBF">
        <w:rPr>
          <w:sz w:val="20"/>
        </w:rPr>
        <w:fldChar w:fldCharType="begin"/>
      </w:r>
      <w:r w:rsidR="009F1D24" w:rsidRPr="00BA0FBF">
        <w:rPr>
          <w:sz w:val="20"/>
        </w:rPr>
        <w:instrText xml:space="preserve"> SEQ Figure \* ARABIC \s 1 </w:instrText>
      </w:r>
      <w:r w:rsidR="009F1D24" w:rsidRPr="00BA0FBF">
        <w:rPr>
          <w:sz w:val="20"/>
        </w:rPr>
        <w:fldChar w:fldCharType="separate"/>
      </w:r>
      <w:r w:rsidR="00076CF9">
        <w:rPr>
          <w:noProof/>
          <w:sz w:val="20"/>
        </w:rPr>
        <w:t>4</w:t>
      </w:r>
      <w:r w:rsidR="009F1D24" w:rsidRPr="00BA0FBF">
        <w:rPr>
          <w:noProof/>
          <w:sz w:val="20"/>
        </w:rPr>
        <w:fldChar w:fldCharType="end"/>
      </w:r>
      <w:bookmarkEnd w:id="69"/>
      <w:r w:rsidRPr="00BA0FBF">
        <w:rPr>
          <w:sz w:val="20"/>
        </w:rPr>
        <w:t>: Distribution of GST concession on basic food</w:t>
      </w:r>
      <w:bookmarkEnd w:id="70"/>
      <w:bookmarkEnd w:id="71"/>
    </w:p>
    <w:p w:rsidR="00F95381" w:rsidRPr="00BA0FBF" w:rsidRDefault="000950C7" w:rsidP="00656EE8">
      <w:pPr>
        <w:pStyle w:val="BodyText"/>
        <w:spacing w:before="120"/>
        <w:ind w:left="454" w:hanging="454"/>
        <w:rPr>
          <w:sz w:val="20"/>
          <w:lang w:eastAsia="en-AU"/>
        </w:rPr>
      </w:pPr>
      <w:r>
        <w:rPr>
          <w:noProof/>
          <w:sz w:val="20"/>
          <w:lang w:eastAsia="en-AU"/>
        </w:rPr>
        <w:drawing>
          <wp:inline distT="0" distB="0" distL="0" distR="0" wp14:anchorId="2194C19A" wp14:editId="62D40277">
            <wp:extent cx="4713401" cy="3384000"/>
            <wp:effectExtent l="0" t="0" r="0" b="6985"/>
            <wp:docPr id="40" name="Picture 40" descr="Figure 3–4 presents the relative and absolute value of the GST concession on basic food by household disposable income decile.&#10;The value of the GST concession on basic food is just over 2 per cent of disposable income for households in the lowest income decile, over six times the relative benefit to the highest income decile of around one third of one per cent.&#10;In absolute terms, the exclusion of basic food from the GST benefits the lowest two income deciles by around $7 per week, increasing to nearly $12 per week for the highest income decile." title="Fig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713401" cy="3384000"/>
                    </a:xfrm>
                    <a:prstGeom prst="rect">
                      <a:avLst/>
                    </a:prstGeom>
                    <a:noFill/>
                  </pic:spPr>
                </pic:pic>
              </a:graphicData>
            </a:graphic>
          </wp:inline>
        </w:drawing>
      </w:r>
    </w:p>
    <w:p w:rsidR="001F493A" w:rsidRDefault="001F493A" w:rsidP="001F493A">
      <w:pPr>
        <w:pStyle w:val="Source"/>
        <w:rPr>
          <w:lang w:eastAsia="en-AU"/>
        </w:rPr>
      </w:pPr>
      <w:bookmarkStart w:id="72" w:name="_Toc429380426"/>
      <w:bookmarkStart w:id="73" w:name="_Toc429380493"/>
      <w:bookmarkStart w:id="74" w:name="_Toc435093657"/>
      <w:bookmarkStart w:id="75" w:name="_Toc429380425"/>
      <w:bookmarkStart w:id="76" w:name="_Toc429380492"/>
      <w:r>
        <w:rPr>
          <w:lang w:eastAsia="en-AU"/>
        </w:rPr>
        <w:t xml:space="preserve">Source: </w:t>
      </w:r>
      <w:r w:rsidR="004E109F">
        <w:t>PBO analysis based on data from the ABS and Treasury</w:t>
      </w:r>
      <w:r w:rsidR="004E109F" w:rsidDel="004E109F">
        <w:rPr>
          <w:lang w:eastAsia="en-AU"/>
        </w:rPr>
        <w:t xml:space="preserve"> </w:t>
      </w:r>
    </w:p>
    <w:p w:rsidR="00837086" w:rsidRDefault="00837086" w:rsidP="00E74582">
      <w:pPr>
        <w:pStyle w:val="BodyText17ptAbove"/>
        <w:rPr>
          <w:lang w:eastAsia="en-AU"/>
        </w:rPr>
        <w:sectPr w:rsidR="00837086" w:rsidSect="00F256DF">
          <w:pgSz w:w="11906" w:h="16838" w:code="9"/>
          <w:pgMar w:top="1361" w:right="1797" w:bottom="1474" w:left="1797" w:header="284" w:footer="454" w:gutter="0"/>
          <w:cols w:space="708"/>
          <w:docGrid w:linePitch="360"/>
        </w:sectPr>
      </w:pPr>
    </w:p>
    <w:p w:rsidR="008959B2" w:rsidRPr="00BA0FBF" w:rsidRDefault="008959B2" w:rsidP="00E74582">
      <w:pPr>
        <w:pStyle w:val="BodyText17ptAbove"/>
      </w:pPr>
      <w:r w:rsidRPr="00BA0FBF">
        <w:rPr>
          <w:lang w:eastAsia="en-AU"/>
        </w:rPr>
        <w:t xml:space="preserve">That said, in absolute terms the exclusion of basic food from the GST provides a greater level of benefit to higher income earners, with the highest income decile receiving a benefit of nearly $12 per week, or </w:t>
      </w:r>
      <w:r w:rsidR="00323873" w:rsidRPr="00BA0FBF">
        <w:rPr>
          <w:lang w:eastAsia="en-AU"/>
        </w:rPr>
        <w:t>over</w:t>
      </w:r>
      <w:r w:rsidRPr="00BA0FBF">
        <w:rPr>
          <w:lang w:eastAsia="en-AU"/>
        </w:rPr>
        <w:t xml:space="preserve"> 70 per cent more than the benefit of around $7 per week to the lowest</w:t>
      </w:r>
      <w:r w:rsidR="00323873" w:rsidRPr="00BA0FBF">
        <w:rPr>
          <w:lang w:eastAsia="en-AU"/>
        </w:rPr>
        <w:t xml:space="preserve"> two</w:t>
      </w:r>
      <w:r w:rsidRPr="00BA0FBF">
        <w:rPr>
          <w:lang w:eastAsia="en-AU"/>
        </w:rPr>
        <w:t xml:space="preserve"> income decile</w:t>
      </w:r>
      <w:r w:rsidR="00323873" w:rsidRPr="00BA0FBF">
        <w:rPr>
          <w:lang w:eastAsia="en-AU"/>
        </w:rPr>
        <w:t>s</w:t>
      </w:r>
      <w:r w:rsidRPr="00BA0FBF">
        <w:rPr>
          <w:lang w:eastAsia="en-AU"/>
        </w:rPr>
        <w:t>.</w:t>
      </w:r>
    </w:p>
    <w:p w:rsidR="006B7B8B" w:rsidRPr="00BA0FBF" w:rsidRDefault="006B7B8B" w:rsidP="00C407BF">
      <w:pPr>
        <w:pStyle w:val="BodyText"/>
      </w:pPr>
      <w:r w:rsidRPr="00BA0FBF">
        <w:rPr>
          <w:lang w:eastAsia="en-AU"/>
        </w:rPr>
        <w:t>Overall, only 33 per cent of the GST concession for basic food goes to the lowest 40 per cent of households by income.  Clearly, if the principal objective of the exclusion of basic food from the GST is to provide assistance to lower income households, it is not well targeted at achieving this objective, especially relative to Australia’s relatively tightly targeted transfer system.</w:t>
      </w:r>
    </w:p>
    <w:p w:rsidR="00F95381" w:rsidRPr="00BA0FBF" w:rsidRDefault="00F95381" w:rsidP="00F95381">
      <w:pPr>
        <w:pStyle w:val="Heading3"/>
        <w:rPr>
          <w:sz w:val="24"/>
        </w:rPr>
      </w:pPr>
      <w:bookmarkStart w:id="77" w:name="_Toc435632986"/>
      <w:bookmarkStart w:id="78" w:name="_Toc436400327"/>
      <w:r w:rsidRPr="00BA0FBF">
        <w:rPr>
          <w:sz w:val="24"/>
        </w:rPr>
        <w:t>GST concession: health</w:t>
      </w:r>
      <w:bookmarkEnd w:id="72"/>
      <w:bookmarkEnd w:id="73"/>
      <w:r w:rsidRPr="00BA0FBF">
        <w:rPr>
          <w:sz w:val="24"/>
        </w:rPr>
        <w:t xml:space="preserve"> and medical care</w:t>
      </w:r>
      <w:bookmarkEnd w:id="74"/>
      <w:bookmarkEnd w:id="77"/>
      <w:r w:rsidR="00790673" w:rsidRPr="00F2433E">
        <w:rPr>
          <w:rStyle w:val="FootnoteReference"/>
          <w:color w:val="2B3B5F" w:themeColor="text2"/>
        </w:rPr>
        <w:footnoteReference w:id="40"/>
      </w:r>
      <w:bookmarkEnd w:id="78"/>
    </w:p>
    <w:p w:rsidR="001F493A" w:rsidRDefault="00F95381" w:rsidP="00C407BF">
      <w:pPr>
        <w:pStyle w:val="BodyText"/>
      </w:pPr>
      <w:r w:rsidRPr="00BA0FBF">
        <w:rPr>
          <w:lang w:eastAsia="en-AU"/>
        </w:rPr>
        <w:t>The rationale for exclusion of health and medical care from Australia’s GST was to avoid</w:t>
      </w:r>
      <w:r w:rsidRPr="00BA0FBF">
        <w:t xml:space="preserve"> creating inequities between private and public sector providers.</w:t>
      </w:r>
      <w:r w:rsidRPr="0086621F">
        <w:rPr>
          <w:rStyle w:val="FootnoteReference"/>
        </w:rPr>
        <w:footnoteReference w:id="41"/>
      </w:r>
      <w:r w:rsidRPr="00BA0FBF">
        <w:t xml:space="preserve">  There is also a view that as health and medical care is an essential service</w:t>
      </w:r>
      <w:r w:rsidR="0015643E">
        <w:t>,</w:t>
      </w:r>
      <w:r w:rsidRPr="00BA0FBF">
        <w:t xml:space="preserve"> subjecting it to the GST would be regressive.</w:t>
      </w:r>
      <w:r w:rsidR="000C5C53" w:rsidRPr="0086621F">
        <w:rPr>
          <w:rStyle w:val="FootnoteReference"/>
        </w:rPr>
        <w:footnoteReference w:id="42"/>
      </w:r>
    </w:p>
    <w:p w:rsidR="000C5C53" w:rsidRPr="00BA0FBF" w:rsidRDefault="0068456C" w:rsidP="00C407BF">
      <w:pPr>
        <w:pStyle w:val="BodyText"/>
      </w:pPr>
      <w:r w:rsidRPr="0015643E">
        <w:rPr>
          <w:lang w:eastAsia="en-AU"/>
        </w:rPr>
        <w:fldChar w:fldCharType="begin"/>
      </w:r>
      <w:r w:rsidRPr="0015643E">
        <w:rPr>
          <w:lang w:eastAsia="en-AU"/>
        </w:rPr>
        <w:instrText xml:space="preserve"> REF _Ref436653917 \h </w:instrText>
      </w:r>
      <w:r w:rsidR="00BA0FBF" w:rsidRPr="0015643E">
        <w:rPr>
          <w:lang w:eastAsia="en-AU"/>
        </w:rPr>
        <w:instrText xml:space="preserve"> \* MERGEFORMAT </w:instrText>
      </w:r>
      <w:r w:rsidRPr="0015643E">
        <w:rPr>
          <w:lang w:eastAsia="en-AU"/>
        </w:rPr>
      </w:r>
      <w:r w:rsidRPr="0015643E">
        <w:rPr>
          <w:lang w:eastAsia="en-AU"/>
        </w:rPr>
        <w:fldChar w:fldCharType="separate"/>
      </w:r>
      <w:r w:rsidR="00076CF9" w:rsidRPr="00076CF9">
        <w:t>Figure 3–5</w:t>
      </w:r>
      <w:r w:rsidRPr="0015643E">
        <w:rPr>
          <w:lang w:eastAsia="en-AU"/>
        </w:rPr>
        <w:fldChar w:fldCharType="end"/>
      </w:r>
      <w:r w:rsidR="00F95381" w:rsidRPr="0015643E">
        <w:rPr>
          <w:lang w:eastAsia="en-AU"/>
        </w:rPr>
        <w:t xml:space="preserve"> presents estimates of the benefit of the GST-free treatment of health and medical care by household income decile.  It shows that by far the greatest proportionate benefit of the GST concessi</w:t>
      </w:r>
      <w:r w:rsidR="0015643E" w:rsidRPr="0015643E">
        <w:rPr>
          <w:lang w:eastAsia="en-AU"/>
        </w:rPr>
        <w:t>on on health and medical care (one</w:t>
      </w:r>
      <w:r w:rsidR="00F95381" w:rsidRPr="0015643E">
        <w:rPr>
          <w:lang w:eastAsia="en-AU"/>
        </w:rPr>
        <w:t xml:space="preserve"> per cent of income) goes to the lowest</w:t>
      </w:r>
      <w:r w:rsidR="00F95381" w:rsidRPr="00BA0FBF">
        <w:rPr>
          <w:lang w:eastAsia="en-AU"/>
        </w:rPr>
        <w:t xml:space="preserve"> income decile</w:t>
      </w:r>
      <w:r w:rsidR="000C5C53" w:rsidRPr="00BA0FBF">
        <w:rPr>
          <w:lang w:eastAsia="en-AU"/>
        </w:rPr>
        <w:t>.</w:t>
      </w:r>
      <w:r w:rsidR="00B75276" w:rsidRPr="00BA0FBF">
        <w:rPr>
          <w:lang w:eastAsia="en-AU"/>
        </w:rPr>
        <w:t xml:space="preserve">  As noted above, data issues are likely to exaggerate the relative benefit of the GST concession for this group.</w:t>
      </w:r>
    </w:p>
    <w:p w:rsidR="000C5C53" w:rsidRPr="00BA0FBF" w:rsidRDefault="00F95381" w:rsidP="00C407BF">
      <w:pPr>
        <w:pStyle w:val="BodyText"/>
      </w:pPr>
      <w:r w:rsidRPr="00BA0FBF">
        <w:t>Over the remainder of the income distribution, the relative benefit of the concessional treatment of health and medical care varies within a relatively narrow range, from 0.25 per cent for the highest income decile to 0.45 per cent of income for the fourth lowest income decile.</w:t>
      </w:r>
    </w:p>
    <w:p w:rsidR="00F95381" w:rsidRPr="00BA0FBF" w:rsidRDefault="00F95381" w:rsidP="00C407BF">
      <w:pPr>
        <w:pStyle w:val="BodyText"/>
      </w:pPr>
      <w:r w:rsidRPr="00BA0FBF">
        <w:t xml:space="preserve">In absolute terms, </w:t>
      </w:r>
      <w:r w:rsidRPr="00BA0FBF">
        <w:rPr>
          <w:lang w:eastAsia="en-AU"/>
        </w:rPr>
        <w:t>the exclusion of health and medical care from the GST provides a substantially greater level of benefit to higher income earners, with the highest income decile receiving a benefit of $9 per week, or nearly three times more than the benefit of a little over $3 per week to the lowest income decile.  Overall, only 25 per cent of the GST concession for health and medical care goes to the lowest 40 per cent of households by income.</w:t>
      </w:r>
    </w:p>
    <w:p w:rsidR="0068456C" w:rsidRPr="00BA0FBF" w:rsidRDefault="0068456C" w:rsidP="0068456C">
      <w:pPr>
        <w:pStyle w:val="Caption"/>
        <w:rPr>
          <w:sz w:val="20"/>
        </w:rPr>
      </w:pPr>
      <w:bookmarkStart w:id="84" w:name="_Ref436653917"/>
      <w:bookmarkStart w:id="85" w:name="_Toc436917825"/>
      <w:bookmarkStart w:id="86" w:name="_Toc437429583"/>
      <w:r w:rsidRPr="00BA0FBF">
        <w:rPr>
          <w:sz w:val="20"/>
        </w:rPr>
        <w:t xml:space="preserve">Figure </w:t>
      </w:r>
      <w:r w:rsidR="009F1D24" w:rsidRPr="00BA0FBF">
        <w:rPr>
          <w:sz w:val="20"/>
        </w:rPr>
        <w:fldChar w:fldCharType="begin"/>
      </w:r>
      <w:r w:rsidR="009F1D24" w:rsidRPr="00BA0FBF">
        <w:rPr>
          <w:sz w:val="20"/>
        </w:rPr>
        <w:instrText xml:space="preserve"> STYLEREF 1 \s </w:instrText>
      </w:r>
      <w:r w:rsidR="009F1D24" w:rsidRPr="00BA0FBF">
        <w:rPr>
          <w:sz w:val="20"/>
        </w:rPr>
        <w:fldChar w:fldCharType="separate"/>
      </w:r>
      <w:r w:rsidR="00076CF9">
        <w:rPr>
          <w:noProof/>
          <w:sz w:val="20"/>
        </w:rPr>
        <w:t>3</w:t>
      </w:r>
      <w:r w:rsidR="009F1D24" w:rsidRPr="00BA0FBF">
        <w:rPr>
          <w:noProof/>
          <w:sz w:val="20"/>
        </w:rPr>
        <w:fldChar w:fldCharType="end"/>
      </w:r>
      <w:r w:rsidRPr="00BA0FBF">
        <w:rPr>
          <w:sz w:val="20"/>
        </w:rPr>
        <w:t>–</w:t>
      </w:r>
      <w:r w:rsidR="009F1D24" w:rsidRPr="00BA0FBF">
        <w:rPr>
          <w:sz w:val="20"/>
        </w:rPr>
        <w:fldChar w:fldCharType="begin"/>
      </w:r>
      <w:r w:rsidR="009F1D24" w:rsidRPr="00BA0FBF">
        <w:rPr>
          <w:sz w:val="20"/>
        </w:rPr>
        <w:instrText xml:space="preserve"> SEQ Figure \* ARABIC \s 1 </w:instrText>
      </w:r>
      <w:r w:rsidR="009F1D24" w:rsidRPr="00BA0FBF">
        <w:rPr>
          <w:sz w:val="20"/>
        </w:rPr>
        <w:fldChar w:fldCharType="separate"/>
      </w:r>
      <w:r w:rsidR="00076CF9">
        <w:rPr>
          <w:noProof/>
          <w:sz w:val="20"/>
        </w:rPr>
        <w:t>5</w:t>
      </w:r>
      <w:r w:rsidR="009F1D24" w:rsidRPr="00BA0FBF">
        <w:rPr>
          <w:noProof/>
          <w:sz w:val="20"/>
        </w:rPr>
        <w:fldChar w:fldCharType="end"/>
      </w:r>
      <w:bookmarkEnd w:id="84"/>
      <w:r w:rsidRPr="00BA0FBF">
        <w:rPr>
          <w:sz w:val="20"/>
        </w:rPr>
        <w:t>: Distribution of GST concession on health and medical care</w:t>
      </w:r>
      <w:bookmarkEnd w:id="85"/>
      <w:bookmarkEnd w:id="86"/>
    </w:p>
    <w:p w:rsidR="00F95381" w:rsidRDefault="000950C7" w:rsidP="00F92A6D">
      <w:pPr>
        <w:pStyle w:val="BodyText"/>
        <w:keepNext/>
        <w:rPr>
          <w:sz w:val="20"/>
          <w:lang w:eastAsia="en-AU"/>
        </w:rPr>
      </w:pPr>
      <w:r>
        <w:rPr>
          <w:noProof/>
          <w:sz w:val="20"/>
          <w:lang w:eastAsia="en-AU"/>
        </w:rPr>
        <w:drawing>
          <wp:inline distT="0" distB="0" distL="0" distR="0" wp14:anchorId="721C8800" wp14:editId="4B9A6894">
            <wp:extent cx="4709353" cy="3384000"/>
            <wp:effectExtent l="0" t="0" r="0" b="6985"/>
            <wp:docPr id="41" name="Picture 41" descr="Figure 3–5 presents the relative and absolute value of the GST concession on health and medical care by household disposable income decile.&#10;The GST concession on health and medical care is about 1 per cent of disposable income for households in the lowest income decile.  Over the remainder of the income distribution, the relative benefit of the concessional treatment of health and medical care varies within a relatively narrow range, from 0.42 per cent of income for the second lowest income decile and 0.45 per cent of income for the fourth lowest income decile, declining to 0.25 per cent for the highest income decile.&#10;In absolute terms, the exclusion of health and medical care from the GST benefits the lowest income decile by a little over $3 per week, increasing to $9 per week for the highest income decile." title="Fig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709353" cy="3384000"/>
                    </a:xfrm>
                    <a:prstGeom prst="rect">
                      <a:avLst/>
                    </a:prstGeom>
                    <a:noFill/>
                  </pic:spPr>
                </pic:pic>
              </a:graphicData>
            </a:graphic>
          </wp:inline>
        </w:drawing>
      </w:r>
    </w:p>
    <w:p w:rsidR="001F493A" w:rsidRDefault="001F493A" w:rsidP="001F493A">
      <w:pPr>
        <w:pStyle w:val="Source"/>
        <w:rPr>
          <w:lang w:eastAsia="en-AU"/>
        </w:rPr>
      </w:pPr>
      <w:r>
        <w:rPr>
          <w:lang w:eastAsia="en-AU"/>
        </w:rPr>
        <w:t xml:space="preserve">Source: </w:t>
      </w:r>
      <w:r w:rsidR="004E109F">
        <w:t>PBO analysis based on data from the ABS and Treasury</w:t>
      </w:r>
      <w:r w:rsidR="004E109F" w:rsidDel="004E109F">
        <w:rPr>
          <w:lang w:eastAsia="en-AU"/>
        </w:rPr>
        <w:t xml:space="preserve"> </w:t>
      </w:r>
    </w:p>
    <w:p w:rsidR="00F95381" w:rsidRPr="00BA0FBF" w:rsidRDefault="00F95381" w:rsidP="00F95381">
      <w:pPr>
        <w:pStyle w:val="Heading3"/>
        <w:rPr>
          <w:sz w:val="24"/>
        </w:rPr>
      </w:pPr>
      <w:bookmarkStart w:id="87" w:name="_Toc429380427"/>
      <w:bookmarkStart w:id="88" w:name="_Toc429380494"/>
      <w:bookmarkStart w:id="89" w:name="_Toc435093658"/>
      <w:bookmarkStart w:id="90" w:name="_Toc435632987"/>
      <w:bookmarkStart w:id="91" w:name="_Toc436400328"/>
      <w:r w:rsidRPr="00BA0FBF">
        <w:rPr>
          <w:sz w:val="24"/>
        </w:rPr>
        <w:t>GST concession: education</w:t>
      </w:r>
      <w:bookmarkEnd w:id="87"/>
      <w:bookmarkEnd w:id="88"/>
      <w:bookmarkEnd w:id="89"/>
      <w:bookmarkEnd w:id="90"/>
      <w:r w:rsidR="000440BF" w:rsidRPr="00A36FFE">
        <w:rPr>
          <w:rStyle w:val="FootnoteReference"/>
          <w:color w:val="2B3B5F" w:themeColor="text2"/>
        </w:rPr>
        <w:footnoteReference w:id="43"/>
      </w:r>
      <w:bookmarkEnd w:id="91"/>
    </w:p>
    <w:p w:rsidR="00C45D1A" w:rsidRPr="00BA0FBF" w:rsidRDefault="00F95381" w:rsidP="00C407BF">
      <w:pPr>
        <w:pStyle w:val="BodyText"/>
      </w:pPr>
      <w:r w:rsidRPr="00BA0FBF">
        <w:rPr>
          <w:lang w:eastAsia="en-AU"/>
        </w:rPr>
        <w:t xml:space="preserve">As with health and medical care, the rationale for excluding education from Australia’s GST was </w:t>
      </w:r>
      <w:r w:rsidR="00307A27">
        <w:rPr>
          <w:lang w:eastAsia="en-AU"/>
        </w:rPr>
        <w:t>to</w:t>
      </w:r>
      <w:r w:rsidRPr="00BA0FBF">
        <w:rPr>
          <w:lang w:eastAsia="en-AU"/>
        </w:rPr>
        <w:t xml:space="preserve"> avoid distorting the education market between</w:t>
      </w:r>
      <w:r w:rsidRPr="00BA0FBF">
        <w:t xml:space="preserve"> private and public sector providers.</w:t>
      </w:r>
      <w:r w:rsidRPr="0086621F">
        <w:rPr>
          <w:rStyle w:val="FootnoteReference"/>
        </w:rPr>
        <w:footnoteReference w:id="44"/>
      </w:r>
      <w:r w:rsidRPr="00BA0FBF">
        <w:t xml:space="preserve">  Equally, as an essential service education is excluded from the </w:t>
      </w:r>
      <w:r w:rsidR="0015643E">
        <w:t>VAT</w:t>
      </w:r>
      <w:r w:rsidRPr="00BA0FBF">
        <w:t xml:space="preserve"> base of many OECD countries based</w:t>
      </w:r>
      <w:r w:rsidR="0015643E">
        <w:t xml:space="preserve"> on</w:t>
      </w:r>
      <w:r w:rsidRPr="00BA0FBF">
        <w:t>, among other things, concerns that its inclusion would be regressive.</w:t>
      </w:r>
      <w:r w:rsidRPr="0086621F">
        <w:rPr>
          <w:rStyle w:val="FootnoteReference"/>
        </w:rPr>
        <w:footnoteReference w:id="45"/>
      </w:r>
    </w:p>
    <w:p w:rsidR="00C45D1A" w:rsidRPr="00BA0FBF" w:rsidRDefault="0068456C" w:rsidP="00C407BF">
      <w:pPr>
        <w:pStyle w:val="BodyText"/>
      </w:pPr>
      <w:r w:rsidRPr="00BA0FBF">
        <w:rPr>
          <w:lang w:eastAsia="en-AU"/>
        </w:rPr>
        <w:fldChar w:fldCharType="begin"/>
      </w:r>
      <w:r w:rsidRPr="00BA0FBF">
        <w:rPr>
          <w:lang w:eastAsia="en-AU"/>
        </w:rPr>
        <w:instrText xml:space="preserve"> REF _Ref436653979 \h </w:instrText>
      </w:r>
      <w:r w:rsidR="00BA0FBF">
        <w:rPr>
          <w:lang w:eastAsia="en-AU"/>
        </w:rPr>
        <w:instrText xml:space="preserve"> \* MERGEFORMAT </w:instrText>
      </w:r>
      <w:r w:rsidRPr="00BA0FBF">
        <w:rPr>
          <w:lang w:eastAsia="en-AU"/>
        </w:rPr>
      </w:r>
      <w:r w:rsidRPr="00BA0FBF">
        <w:rPr>
          <w:lang w:eastAsia="en-AU"/>
        </w:rPr>
        <w:fldChar w:fldCharType="separate"/>
      </w:r>
      <w:r w:rsidR="00076CF9" w:rsidRPr="00A52CCA">
        <w:t xml:space="preserve">Figure </w:t>
      </w:r>
      <w:r w:rsidR="00076CF9">
        <w:t>3</w:t>
      </w:r>
      <w:r w:rsidR="00076CF9" w:rsidRPr="00A52CCA">
        <w:t>–</w:t>
      </w:r>
      <w:r w:rsidR="00076CF9">
        <w:t>6</w:t>
      </w:r>
      <w:r w:rsidRPr="00BA0FBF">
        <w:rPr>
          <w:lang w:eastAsia="en-AU"/>
        </w:rPr>
        <w:fldChar w:fldCharType="end"/>
      </w:r>
      <w:r w:rsidR="00F95381" w:rsidRPr="00BA0FBF">
        <w:rPr>
          <w:lang w:eastAsia="en-AU"/>
        </w:rPr>
        <w:t xml:space="preserve"> presents estimates of the benefit of the GST-free treatment of education by household income decile.  As with health and medical care, it shows that by far the greatest proportionate benefit of the GST concession on health and medical care (over 0.5 per cent of income) goes to the lowest income decile.</w:t>
      </w:r>
      <w:r w:rsidR="00B75276" w:rsidRPr="00BA0FBF">
        <w:rPr>
          <w:lang w:eastAsia="en-AU"/>
        </w:rPr>
        <w:t xml:space="preserve">  Similarly, data issues are likely to exaggerate the relative benefit of the GST concession for this group.</w:t>
      </w:r>
    </w:p>
    <w:p w:rsidR="00E74582" w:rsidRDefault="00F95381" w:rsidP="00C407BF">
      <w:pPr>
        <w:pStyle w:val="BodyText"/>
        <w:sectPr w:rsidR="00E74582" w:rsidSect="00F256DF">
          <w:pgSz w:w="11906" w:h="16838" w:code="9"/>
          <w:pgMar w:top="1361" w:right="1797" w:bottom="1474" w:left="1797" w:header="284" w:footer="454" w:gutter="0"/>
          <w:cols w:space="708"/>
          <w:docGrid w:linePitch="360"/>
        </w:sectPr>
      </w:pPr>
      <w:r w:rsidRPr="00BA0FBF">
        <w:t>Over the remainder of the income distribution, the greatest relative benefit of the concessional treatment of education is provided to the middle income households (the fourth to eighth deciles) at around 0.2 per cent of income, compared with around 0.15 per cent of income for upper and other lower incom</w:t>
      </w:r>
      <w:r w:rsidR="006B776C" w:rsidRPr="00BA0FBF">
        <w:t>e households.</w:t>
      </w:r>
    </w:p>
    <w:p w:rsidR="00F95381" w:rsidRPr="00BA0FBF" w:rsidRDefault="00F95381" w:rsidP="00C407BF">
      <w:pPr>
        <w:pStyle w:val="BodyText"/>
      </w:pPr>
      <w:r w:rsidRPr="00BA0FBF">
        <w:t xml:space="preserve">In absolute terms, </w:t>
      </w:r>
      <w:r w:rsidRPr="00BA0FBF">
        <w:rPr>
          <w:lang w:eastAsia="en-AU"/>
        </w:rPr>
        <w:t>the exclusion of education from the GST generally provides a greater level of benefit to higher income earners, with the highest income decile receiving a benefit of over $7 per week, or about four times more than the benefit of under $2 per week to the lowest income decile.  Overall, less than 20 per cent of the GST concession for education goes to the lowest 40 per cent of households by income.</w:t>
      </w:r>
    </w:p>
    <w:p w:rsidR="0068456C" w:rsidRPr="00A52CCA" w:rsidRDefault="0068456C" w:rsidP="0068456C">
      <w:pPr>
        <w:pStyle w:val="Caption"/>
      </w:pPr>
      <w:bookmarkStart w:id="92" w:name="_Ref436653979"/>
      <w:bookmarkStart w:id="93" w:name="_Toc436917826"/>
      <w:bookmarkStart w:id="94" w:name="_Toc437429584"/>
      <w:r w:rsidRPr="00A52CCA">
        <w:t xml:space="preserve">Figure </w:t>
      </w:r>
      <w:fldSimple w:instr=" STYLEREF 1 \s ">
        <w:r w:rsidR="00076CF9">
          <w:rPr>
            <w:noProof/>
          </w:rPr>
          <w:t>3</w:t>
        </w:r>
      </w:fldSimple>
      <w:r w:rsidRPr="00A52CCA">
        <w:t>–</w:t>
      </w:r>
      <w:fldSimple w:instr=" SEQ Figure \* ARABIC \s 1 ">
        <w:r w:rsidR="00076CF9">
          <w:rPr>
            <w:noProof/>
          </w:rPr>
          <w:t>6</w:t>
        </w:r>
      </w:fldSimple>
      <w:bookmarkEnd w:id="92"/>
      <w:r w:rsidRPr="00A52CCA">
        <w:t>: Distribution of GST concession on education</w:t>
      </w:r>
      <w:bookmarkEnd w:id="93"/>
      <w:bookmarkEnd w:id="94"/>
    </w:p>
    <w:p w:rsidR="00F95381" w:rsidRDefault="000950C7" w:rsidP="00F95381">
      <w:pPr>
        <w:pStyle w:val="BodyText"/>
        <w:rPr>
          <w:sz w:val="20"/>
          <w:lang w:eastAsia="en-AU"/>
        </w:rPr>
      </w:pPr>
      <w:r>
        <w:rPr>
          <w:noProof/>
          <w:sz w:val="20"/>
          <w:lang w:eastAsia="en-AU"/>
        </w:rPr>
        <w:drawing>
          <wp:inline distT="0" distB="0" distL="0" distR="0" wp14:anchorId="30B61BF7" wp14:editId="555B939E">
            <wp:extent cx="4763544" cy="3420000"/>
            <wp:effectExtent l="0" t="0" r="0" b="9525"/>
            <wp:docPr id="46" name="Picture 46" descr="Figure 3–6 presents the relative and absolute value of the GST concession on education by household disposable income decile.&#10;The GST concession on education is about 0.5 per cent of disposable income for households in the lowest income decile.  Over the remainder of the income distribution, the relative benefit of the concessional treatment of education increases from around 0.15 per cent for the next two deciles to around 0.2 per cent for the fourth to eighth deciles and then decreases to around 0.15 per cent for the top two deciles.&#10;In absolute terms, the exclusion of education from the GST benefits the lowest income decile by under $2 per week, increasing to over $7 per week for the highest income decile." title="Fig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763544" cy="3420000"/>
                    </a:xfrm>
                    <a:prstGeom prst="rect">
                      <a:avLst/>
                    </a:prstGeom>
                    <a:noFill/>
                  </pic:spPr>
                </pic:pic>
              </a:graphicData>
            </a:graphic>
          </wp:inline>
        </w:drawing>
      </w:r>
    </w:p>
    <w:p w:rsidR="001F493A" w:rsidRDefault="001F493A" w:rsidP="001F493A">
      <w:pPr>
        <w:pStyle w:val="Source"/>
        <w:rPr>
          <w:lang w:eastAsia="en-AU"/>
        </w:rPr>
      </w:pPr>
      <w:r>
        <w:rPr>
          <w:lang w:eastAsia="en-AU"/>
        </w:rPr>
        <w:t xml:space="preserve">Source: </w:t>
      </w:r>
      <w:r w:rsidR="004E109F">
        <w:t>PBO analysis based on data from the ABS and Treasury</w:t>
      </w:r>
      <w:r w:rsidR="004E109F" w:rsidDel="004E109F">
        <w:rPr>
          <w:lang w:eastAsia="en-AU"/>
        </w:rPr>
        <w:t xml:space="preserve"> </w:t>
      </w:r>
    </w:p>
    <w:p w:rsidR="00F95381" w:rsidRPr="00BA0FBF" w:rsidRDefault="00F95381" w:rsidP="00F95381">
      <w:pPr>
        <w:pStyle w:val="Heading3"/>
        <w:rPr>
          <w:sz w:val="24"/>
        </w:rPr>
      </w:pPr>
      <w:bookmarkStart w:id="95" w:name="_Toc429380428"/>
      <w:bookmarkStart w:id="96" w:name="_Toc429380495"/>
      <w:bookmarkStart w:id="97" w:name="_Toc435093659"/>
      <w:bookmarkStart w:id="98" w:name="_Toc435632988"/>
      <w:bookmarkStart w:id="99" w:name="_Toc436400329"/>
      <w:r w:rsidRPr="00BA0FBF">
        <w:rPr>
          <w:sz w:val="24"/>
        </w:rPr>
        <w:t>GST concession: child care</w:t>
      </w:r>
      <w:bookmarkEnd w:id="95"/>
      <w:bookmarkEnd w:id="96"/>
      <w:bookmarkEnd w:id="97"/>
      <w:bookmarkEnd w:id="98"/>
      <w:bookmarkEnd w:id="99"/>
    </w:p>
    <w:p w:rsidR="00846FA0" w:rsidRDefault="00F95381" w:rsidP="00C407BF">
      <w:pPr>
        <w:pStyle w:val="BodyText"/>
        <w:rPr>
          <w:lang w:eastAsia="en-AU"/>
        </w:rPr>
      </w:pPr>
      <w:r w:rsidRPr="00BA0FBF">
        <w:rPr>
          <w:lang w:eastAsia="en-AU"/>
        </w:rPr>
        <w:t>Child care services are GST-free if the child care supplier is a registered carer</w:t>
      </w:r>
      <w:r w:rsidR="007115F4">
        <w:rPr>
          <w:lang w:eastAsia="en-AU"/>
        </w:rPr>
        <w:t>,</w:t>
      </w:r>
      <w:r w:rsidRPr="00BA0FBF">
        <w:rPr>
          <w:lang w:eastAsia="en-AU"/>
        </w:rPr>
        <w:t xml:space="preserve"> an approved child care service</w:t>
      </w:r>
      <w:r w:rsidR="006D7B8F">
        <w:rPr>
          <w:lang w:eastAsia="en-AU"/>
        </w:rPr>
        <w:t>,</w:t>
      </w:r>
      <w:r w:rsidRPr="00BA0FBF">
        <w:rPr>
          <w:lang w:eastAsia="en-AU"/>
        </w:rPr>
        <w:t xml:space="preserve"> or if the supplier is eligible for Commonwealth funding of family day care.  The rationale for this concession is that child care often includes an educational component.</w:t>
      </w:r>
      <w:r w:rsidR="006B776C" w:rsidRPr="0086621F">
        <w:rPr>
          <w:rStyle w:val="FootnoteReference"/>
        </w:rPr>
        <w:footnoteReference w:id="46"/>
      </w:r>
    </w:p>
    <w:p w:rsidR="00266CD8" w:rsidRPr="00BA0FBF" w:rsidRDefault="0068456C" w:rsidP="00C407BF">
      <w:pPr>
        <w:pStyle w:val="BodyText"/>
      </w:pPr>
      <w:r w:rsidRPr="00BA0FBF">
        <w:rPr>
          <w:lang w:eastAsia="en-AU"/>
        </w:rPr>
        <w:fldChar w:fldCharType="begin"/>
      </w:r>
      <w:r w:rsidRPr="00BA0FBF">
        <w:rPr>
          <w:lang w:eastAsia="en-AU"/>
        </w:rPr>
        <w:instrText xml:space="preserve"> REF _Ref436654317 \h </w:instrText>
      </w:r>
      <w:r w:rsidR="00BA0FBF">
        <w:rPr>
          <w:lang w:eastAsia="en-AU"/>
        </w:rPr>
        <w:instrText xml:space="preserve"> \* MERGEFORMAT </w:instrText>
      </w:r>
      <w:r w:rsidRPr="00BA0FBF">
        <w:rPr>
          <w:lang w:eastAsia="en-AU"/>
        </w:rPr>
      </w:r>
      <w:r w:rsidRPr="00BA0FBF">
        <w:rPr>
          <w:lang w:eastAsia="en-AU"/>
        </w:rPr>
        <w:fldChar w:fldCharType="separate"/>
      </w:r>
      <w:r w:rsidR="00076CF9" w:rsidRPr="00076CF9">
        <w:t>Figure 3–7</w:t>
      </w:r>
      <w:r w:rsidRPr="00BA0FBF">
        <w:rPr>
          <w:lang w:eastAsia="en-AU"/>
        </w:rPr>
        <w:fldChar w:fldCharType="end"/>
      </w:r>
      <w:r w:rsidR="00F95381" w:rsidRPr="00BA0FBF">
        <w:rPr>
          <w:lang w:eastAsia="en-AU"/>
        </w:rPr>
        <w:t xml:space="preserve"> presents estimates of the benefit of the GST-free treatment of child care by household income decile.  As with education, the concession provides a slightly greater relative benefit to middle income households than for upper and lower income households (except for the first decile).</w:t>
      </w:r>
    </w:p>
    <w:p w:rsidR="00E74582" w:rsidRDefault="00E74582" w:rsidP="00C407BF">
      <w:pPr>
        <w:pStyle w:val="BodyText"/>
        <w:rPr>
          <w:lang w:eastAsia="en-AU"/>
        </w:rPr>
        <w:sectPr w:rsidR="00E74582" w:rsidSect="00F256DF">
          <w:pgSz w:w="11906" w:h="16838" w:code="9"/>
          <w:pgMar w:top="1361" w:right="1797" w:bottom="1474" w:left="1797" w:header="284" w:footer="454" w:gutter="0"/>
          <w:cols w:space="708"/>
          <w:docGrid w:linePitch="360"/>
        </w:sectPr>
      </w:pPr>
    </w:p>
    <w:p w:rsidR="00D110DE" w:rsidRPr="00BA0FBF" w:rsidRDefault="00F95381" w:rsidP="00C407BF">
      <w:pPr>
        <w:pStyle w:val="BodyText"/>
      </w:pPr>
      <w:r w:rsidRPr="00BA0FBF">
        <w:rPr>
          <w:lang w:eastAsia="en-AU"/>
        </w:rPr>
        <w:t xml:space="preserve">The </w:t>
      </w:r>
      <w:r w:rsidR="00266CD8" w:rsidRPr="00BA0FBF">
        <w:rPr>
          <w:lang w:eastAsia="en-AU"/>
        </w:rPr>
        <w:t>difference in the impact of the concession primarily reflects</w:t>
      </w:r>
      <w:r w:rsidRPr="00BA0FBF">
        <w:rPr>
          <w:lang w:eastAsia="en-AU"/>
        </w:rPr>
        <w:t xml:space="preserve"> differences in the characteristics of hou</w:t>
      </w:r>
      <w:r w:rsidR="00266CD8" w:rsidRPr="00BA0FBF">
        <w:rPr>
          <w:lang w:eastAsia="en-AU"/>
        </w:rPr>
        <w:t xml:space="preserve">seholds between income deciles.  Couples with dependent children comprise a higher proportion of households in </w:t>
      </w:r>
      <w:r w:rsidR="009E050B" w:rsidRPr="00BA0FBF">
        <w:rPr>
          <w:lang w:eastAsia="en-AU"/>
        </w:rPr>
        <w:t xml:space="preserve">the middle </w:t>
      </w:r>
      <w:r w:rsidR="00266CD8" w:rsidRPr="00BA0FBF">
        <w:rPr>
          <w:lang w:eastAsia="en-AU"/>
        </w:rPr>
        <w:t xml:space="preserve">income </w:t>
      </w:r>
      <w:r w:rsidR="009E050B" w:rsidRPr="00BA0FBF">
        <w:rPr>
          <w:lang w:eastAsia="en-AU"/>
        </w:rPr>
        <w:t>deciles.</w:t>
      </w:r>
      <w:r w:rsidR="009E050B" w:rsidRPr="0086621F">
        <w:rPr>
          <w:rStyle w:val="FootnoteReference"/>
        </w:rPr>
        <w:footnoteReference w:id="47"/>
      </w:r>
      <w:r w:rsidR="00D110DE" w:rsidRPr="00BA0FBF">
        <w:rPr>
          <w:lang w:eastAsia="en-AU"/>
        </w:rPr>
        <w:t xml:space="preserve">  Within this group, the relative benefit of the concessional treatment of child care rises with income, peaking at just under 0.1 per cent of disposable income for the eighth income decile.</w:t>
      </w:r>
    </w:p>
    <w:p w:rsidR="00F95381" w:rsidRPr="00BA0FBF" w:rsidRDefault="00D110DE" w:rsidP="00C407BF">
      <w:pPr>
        <w:pStyle w:val="BodyText"/>
      </w:pPr>
      <w:r w:rsidRPr="00BA0FBF">
        <w:t>Similarly, i</w:t>
      </w:r>
      <w:r w:rsidR="00F95381" w:rsidRPr="00BA0FBF">
        <w:t>n absolute terms</w:t>
      </w:r>
      <w:r w:rsidR="007115F4">
        <w:t>,</w:t>
      </w:r>
      <w:r w:rsidR="00F95381" w:rsidRPr="00BA0FBF">
        <w:rPr>
          <w:lang w:eastAsia="en-AU"/>
        </w:rPr>
        <w:t xml:space="preserve"> households in the eighth income decile receive the greatest benefit (around $1.75 per week).  Overall, less than 20 per cent of the GST concession for child care goes to the lowest 40 per cent of households by income.</w:t>
      </w:r>
    </w:p>
    <w:p w:rsidR="0068456C" w:rsidRPr="00BA0FBF" w:rsidRDefault="0068456C" w:rsidP="0068456C">
      <w:pPr>
        <w:pStyle w:val="Caption"/>
        <w:rPr>
          <w:sz w:val="20"/>
        </w:rPr>
      </w:pPr>
      <w:bookmarkStart w:id="100" w:name="_Ref436654317"/>
      <w:bookmarkStart w:id="101" w:name="_Toc436917827"/>
      <w:bookmarkStart w:id="102" w:name="_Toc437429585"/>
      <w:r w:rsidRPr="00BA0FBF">
        <w:rPr>
          <w:sz w:val="20"/>
        </w:rPr>
        <w:t xml:space="preserve">Figure </w:t>
      </w:r>
      <w:r w:rsidR="009F1D24" w:rsidRPr="00BA0FBF">
        <w:rPr>
          <w:sz w:val="20"/>
        </w:rPr>
        <w:fldChar w:fldCharType="begin"/>
      </w:r>
      <w:r w:rsidR="009F1D24" w:rsidRPr="00BA0FBF">
        <w:rPr>
          <w:sz w:val="20"/>
        </w:rPr>
        <w:instrText xml:space="preserve"> STYLEREF 1 \s </w:instrText>
      </w:r>
      <w:r w:rsidR="009F1D24" w:rsidRPr="00BA0FBF">
        <w:rPr>
          <w:sz w:val="20"/>
        </w:rPr>
        <w:fldChar w:fldCharType="separate"/>
      </w:r>
      <w:r w:rsidR="00076CF9">
        <w:rPr>
          <w:noProof/>
          <w:sz w:val="20"/>
        </w:rPr>
        <w:t>3</w:t>
      </w:r>
      <w:r w:rsidR="009F1D24" w:rsidRPr="00BA0FBF">
        <w:rPr>
          <w:noProof/>
          <w:sz w:val="20"/>
        </w:rPr>
        <w:fldChar w:fldCharType="end"/>
      </w:r>
      <w:r w:rsidRPr="00BA0FBF">
        <w:rPr>
          <w:sz w:val="20"/>
        </w:rPr>
        <w:t>–</w:t>
      </w:r>
      <w:r w:rsidR="009F1D24" w:rsidRPr="00BA0FBF">
        <w:rPr>
          <w:sz w:val="20"/>
        </w:rPr>
        <w:fldChar w:fldCharType="begin"/>
      </w:r>
      <w:r w:rsidR="009F1D24" w:rsidRPr="00BA0FBF">
        <w:rPr>
          <w:sz w:val="20"/>
        </w:rPr>
        <w:instrText xml:space="preserve"> SEQ Figure \* ARABIC \s 1 </w:instrText>
      </w:r>
      <w:r w:rsidR="009F1D24" w:rsidRPr="00BA0FBF">
        <w:rPr>
          <w:sz w:val="20"/>
        </w:rPr>
        <w:fldChar w:fldCharType="separate"/>
      </w:r>
      <w:r w:rsidR="00076CF9">
        <w:rPr>
          <w:noProof/>
          <w:sz w:val="20"/>
        </w:rPr>
        <w:t>7</w:t>
      </w:r>
      <w:r w:rsidR="009F1D24" w:rsidRPr="00BA0FBF">
        <w:rPr>
          <w:noProof/>
          <w:sz w:val="20"/>
        </w:rPr>
        <w:fldChar w:fldCharType="end"/>
      </w:r>
      <w:bookmarkEnd w:id="100"/>
      <w:r w:rsidRPr="00BA0FBF">
        <w:rPr>
          <w:sz w:val="20"/>
        </w:rPr>
        <w:t>: Distribution of GST concession on child care</w:t>
      </w:r>
      <w:bookmarkEnd w:id="101"/>
      <w:bookmarkEnd w:id="102"/>
    </w:p>
    <w:p w:rsidR="00F95381" w:rsidRDefault="000950C7" w:rsidP="009B1030">
      <w:pPr>
        <w:pStyle w:val="BodyText"/>
        <w:rPr>
          <w:sz w:val="20"/>
        </w:rPr>
      </w:pPr>
      <w:r>
        <w:rPr>
          <w:noProof/>
          <w:sz w:val="20"/>
          <w:lang w:eastAsia="en-AU"/>
        </w:rPr>
        <w:drawing>
          <wp:inline distT="0" distB="0" distL="0" distR="0" wp14:anchorId="353AF9C7" wp14:editId="328D17EB">
            <wp:extent cx="4719681" cy="3384000"/>
            <wp:effectExtent l="0" t="0" r="5080" b="6985"/>
            <wp:docPr id="48" name="Picture 48" descr="Figure 3–7 presents the relative and absolute value of the GST concession on child care by household disposable income decile.&#10;The GST concession on child care is 0.09 per cent of disposable income for households in the lowest income decile.  Over the remainder of the income distribution, the relative benefit of the concessional treatment of education increases from 0.05 per cent for the next three deciles to peak at 0.08 per cent of income in the eighth deciles and then decreases to 0.04 per cent for the top decile.&#10;In absolute terms, the exclusion of child care from the GST benefits the lowest income decile by $0.31 per week, falling to $0.25 per week for the second decile, rising to $1.83 per week for the eighth decile, declining to $1.46 for the highest income decile." title="Fig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719681" cy="3384000"/>
                    </a:xfrm>
                    <a:prstGeom prst="rect">
                      <a:avLst/>
                    </a:prstGeom>
                    <a:noFill/>
                  </pic:spPr>
                </pic:pic>
              </a:graphicData>
            </a:graphic>
          </wp:inline>
        </w:drawing>
      </w:r>
    </w:p>
    <w:p w:rsidR="001F493A" w:rsidRDefault="001F493A" w:rsidP="001F493A">
      <w:pPr>
        <w:pStyle w:val="Source"/>
      </w:pPr>
      <w:r>
        <w:t xml:space="preserve">Source: </w:t>
      </w:r>
      <w:r w:rsidR="004E109F">
        <w:t>PBO analysis based on data from the ABS and Treasury</w:t>
      </w:r>
      <w:r w:rsidR="004E109F" w:rsidDel="004E109F">
        <w:t xml:space="preserve"> </w:t>
      </w:r>
    </w:p>
    <w:p w:rsidR="00F95381" w:rsidRPr="00BA0FBF" w:rsidRDefault="00F95381" w:rsidP="00F95381">
      <w:pPr>
        <w:pStyle w:val="Heading3"/>
        <w:rPr>
          <w:sz w:val="24"/>
        </w:rPr>
      </w:pPr>
      <w:bookmarkStart w:id="103" w:name="_Toc435093660"/>
      <w:bookmarkStart w:id="104" w:name="_Toc435632989"/>
      <w:bookmarkStart w:id="105" w:name="_Toc436400330"/>
      <w:r w:rsidRPr="00BA0FBF">
        <w:rPr>
          <w:sz w:val="24"/>
        </w:rPr>
        <w:t>GST concession: water and sewerage</w:t>
      </w:r>
      <w:bookmarkEnd w:id="75"/>
      <w:bookmarkEnd w:id="76"/>
      <w:bookmarkEnd w:id="103"/>
      <w:bookmarkEnd w:id="104"/>
      <w:bookmarkEnd w:id="105"/>
    </w:p>
    <w:p w:rsidR="00FE6DA1" w:rsidRDefault="00F95381" w:rsidP="00C407BF">
      <w:pPr>
        <w:pStyle w:val="BodyText"/>
        <w:sectPr w:rsidR="00FE6DA1" w:rsidSect="00F256DF">
          <w:pgSz w:w="11906" w:h="16838" w:code="9"/>
          <w:pgMar w:top="1361" w:right="1797" w:bottom="1474" w:left="1797" w:header="284" w:footer="454" w:gutter="0"/>
          <w:cols w:space="708"/>
          <w:docGrid w:linePitch="360"/>
        </w:sectPr>
      </w:pPr>
      <w:r w:rsidRPr="00BA0FBF">
        <w:rPr>
          <w:lang w:eastAsia="en-AU"/>
        </w:rPr>
        <w:t xml:space="preserve">Water and sewerage charges were excluded from the </w:t>
      </w:r>
      <w:r w:rsidR="006D7B8F">
        <w:rPr>
          <w:lang w:eastAsia="en-AU"/>
        </w:rPr>
        <w:t>GST on the basis that they are g</w:t>
      </w:r>
      <w:r w:rsidRPr="00BA0FBF">
        <w:rPr>
          <w:lang w:eastAsia="en-AU"/>
        </w:rPr>
        <w:t xml:space="preserve">overnment taxes and charges.  More broadly, </w:t>
      </w:r>
      <w:r w:rsidRPr="00BA0FBF">
        <w:t xml:space="preserve">many OECD countries exclude these charges on the grounds that they are </w:t>
      </w:r>
      <w:r w:rsidR="00754A8B" w:rsidRPr="00BA0FBF">
        <w:t xml:space="preserve">for </w:t>
      </w:r>
      <w:r w:rsidRPr="00BA0FBF">
        <w:t>essential service</w:t>
      </w:r>
      <w:r w:rsidR="00754A8B" w:rsidRPr="00BA0FBF">
        <w:t>s and</w:t>
      </w:r>
      <w:r w:rsidRPr="00BA0FBF">
        <w:t xml:space="preserve"> subjecting them to </w:t>
      </w:r>
      <w:r w:rsidR="006D7B8F">
        <w:t>VAT</w:t>
      </w:r>
      <w:r w:rsidRPr="00BA0FBF">
        <w:t xml:space="preserve"> would be regressive.</w:t>
      </w:r>
      <w:r w:rsidR="00D110DE" w:rsidRPr="0086621F">
        <w:rPr>
          <w:rStyle w:val="FootnoteReference"/>
        </w:rPr>
        <w:footnoteReference w:id="48"/>
      </w:r>
    </w:p>
    <w:p w:rsidR="00D110DE" w:rsidRPr="00BA0FBF" w:rsidRDefault="0068456C" w:rsidP="00C407BF">
      <w:pPr>
        <w:pStyle w:val="BodyText"/>
      </w:pPr>
      <w:r w:rsidRPr="00BA0FBF">
        <w:fldChar w:fldCharType="begin"/>
      </w:r>
      <w:r w:rsidRPr="00BA0FBF">
        <w:instrText xml:space="preserve"> REF _Ref436654366 \h </w:instrText>
      </w:r>
      <w:r w:rsidR="00BA0FBF">
        <w:instrText xml:space="preserve"> \* MERGEFORMAT </w:instrText>
      </w:r>
      <w:r w:rsidRPr="00BA0FBF">
        <w:fldChar w:fldCharType="separate"/>
      </w:r>
      <w:r w:rsidR="00076CF9" w:rsidRPr="00076CF9">
        <w:t>Figure 3–8</w:t>
      </w:r>
      <w:r w:rsidRPr="00BA0FBF">
        <w:fldChar w:fldCharType="end"/>
      </w:r>
      <w:r w:rsidR="00F95381" w:rsidRPr="00BA0FBF">
        <w:t xml:space="preserve"> shows that, while small relative to other GST concessions, the exclusion of water and sewerage charges from the GST provides a substantially greater proportionate benefit to lower income households.  </w:t>
      </w:r>
      <w:r w:rsidR="00F95381" w:rsidRPr="00BA0FBF">
        <w:rPr>
          <w:lang w:eastAsia="en-AU"/>
        </w:rPr>
        <w:t xml:space="preserve">The value of the water and sewerage concession represents around 0.2 per cent of disposable income of the lowest income decile, or </w:t>
      </w:r>
      <w:r w:rsidR="009C2D00">
        <w:rPr>
          <w:lang w:eastAsia="en-AU"/>
        </w:rPr>
        <w:t>five</w:t>
      </w:r>
      <w:r w:rsidR="00F95381" w:rsidRPr="00BA0FBF">
        <w:rPr>
          <w:lang w:eastAsia="en-AU"/>
        </w:rPr>
        <w:t xml:space="preserve"> times the relative benefit to the highest income decile.</w:t>
      </w:r>
    </w:p>
    <w:p w:rsidR="00F95381" w:rsidRPr="00BA0FBF" w:rsidRDefault="00F95381" w:rsidP="00C407BF">
      <w:pPr>
        <w:pStyle w:val="BodyText"/>
      </w:pPr>
      <w:r w:rsidRPr="00BA0FBF">
        <w:rPr>
          <w:lang w:eastAsia="en-AU"/>
        </w:rPr>
        <w:t>In absolute terms the GST concession for water and sewerage provides a greater level of benefit to higher income earners, with the highest income decile receiving a benefit of around $1.25 per week, or more than double the benefit of just over $0.50 per week to the lowest income decile.  Overall, around 30 per cent of the GST concession for water and sewerage goes to the lowest 40 per cent of households by income.</w:t>
      </w:r>
    </w:p>
    <w:p w:rsidR="0068456C" w:rsidRPr="00BA0FBF" w:rsidRDefault="0068456C" w:rsidP="0068456C">
      <w:pPr>
        <w:pStyle w:val="Caption"/>
        <w:rPr>
          <w:sz w:val="20"/>
        </w:rPr>
      </w:pPr>
      <w:bookmarkStart w:id="106" w:name="_Ref436654366"/>
      <w:bookmarkStart w:id="107" w:name="_Toc436917828"/>
      <w:bookmarkStart w:id="108" w:name="_Toc437429586"/>
      <w:r w:rsidRPr="00BA0FBF">
        <w:rPr>
          <w:sz w:val="20"/>
        </w:rPr>
        <w:t xml:space="preserve">Figure </w:t>
      </w:r>
      <w:r w:rsidR="009F1D24" w:rsidRPr="00BA0FBF">
        <w:rPr>
          <w:sz w:val="20"/>
        </w:rPr>
        <w:fldChar w:fldCharType="begin"/>
      </w:r>
      <w:r w:rsidR="009F1D24" w:rsidRPr="00BA0FBF">
        <w:rPr>
          <w:sz w:val="20"/>
        </w:rPr>
        <w:instrText xml:space="preserve"> STYLEREF 1 \s </w:instrText>
      </w:r>
      <w:r w:rsidR="009F1D24" w:rsidRPr="00BA0FBF">
        <w:rPr>
          <w:sz w:val="20"/>
        </w:rPr>
        <w:fldChar w:fldCharType="separate"/>
      </w:r>
      <w:r w:rsidR="00076CF9">
        <w:rPr>
          <w:noProof/>
          <w:sz w:val="20"/>
        </w:rPr>
        <w:t>3</w:t>
      </w:r>
      <w:r w:rsidR="009F1D24" w:rsidRPr="00BA0FBF">
        <w:rPr>
          <w:noProof/>
          <w:sz w:val="20"/>
        </w:rPr>
        <w:fldChar w:fldCharType="end"/>
      </w:r>
      <w:r w:rsidRPr="00BA0FBF">
        <w:rPr>
          <w:sz w:val="20"/>
        </w:rPr>
        <w:t>–</w:t>
      </w:r>
      <w:r w:rsidR="009F1D24" w:rsidRPr="00BA0FBF">
        <w:rPr>
          <w:sz w:val="20"/>
        </w:rPr>
        <w:fldChar w:fldCharType="begin"/>
      </w:r>
      <w:r w:rsidR="009F1D24" w:rsidRPr="00BA0FBF">
        <w:rPr>
          <w:sz w:val="20"/>
        </w:rPr>
        <w:instrText xml:space="preserve"> SEQ Figure \* ARABIC \s 1 </w:instrText>
      </w:r>
      <w:r w:rsidR="009F1D24" w:rsidRPr="00BA0FBF">
        <w:rPr>
          <w:sz w:val="20"/>
        </w:rPr>
        <w:fldChar w:fldCharType="separate"/>
      </w:r>
      <w:r w:rsidR="00076CF9">
        <w:rPr>
          <w:noProof/>
          <w:sz w:val="20"/>
        </w:rPr>
        <w:t>8</w:t>
      </w:r>
      <w:r w:rsidR="009F1D24" w:rsidRPr="00BA0FBF">
        <w:rPr>
          <w:noProof/>
          <w:sz w:val="20"/>
        </w:rPr>
        <w:fldChar w:fldCharType="end"/>
      </w:r>
      <w:bookmarkEnd w:id="106"/>
      <w:r w:rsidRPr="00BA0FBF">
        <w:rPr>
          <w:sz w:val="20"/>
        </w:rPr>
        <w:t>: Distribution of GST concession on water and sewerage</w:t>
      </w:r>
      <w:bookmarkEnd w:id="107"/>
      <w:bookmarkEnd w:id="108"/>
    </w:p>
    <w:p w:rsidR="00F95381" w:rsidRDefault="000950C7" w:rsidP="009B1030">
      <w:pPr>
        <w:pStyle w:val="BodyText"/>
        <w:rPr>
          <w:sz w:val="20"/>
        </w:rPr>
      </w:pPr>
      <w:r>
        <w:rPr>
          <w:noProof/>
          <w:sz w:val="20"/>
          <w:lang w:eastAsia="en-AU"/>
        </w:rPr>
        <w:drawing>
          <wp:inline distT="0" distB="0" distL="0" distR="0" wp14:anchorId="07E89172" wp14:editId="002079DD">
            <wp:extent cx="0" cy="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pic:spPr>
                </pic:pic>
              </a:graphicData>
            </a:graphic>
          </wp:inline>
        </w:drawing>
      </w:r>
      <w:r>
        <w:rPr>
          <w:noProof/>
          <w:sz w:val="20"/>
          <w:lang w:eastAsia="en-AU"/>
        </w:rPr>
        <w:drawing>
          <wp:inline distT="0" distB="0" distL="0" distR="0" wp14:anchorId="78EFD6A4" wp14:editId="240A5D19">
            <wp:extent cx="4713409" cy="3384000"/>
            <wp:effectExtent l="0" t="0" r="0" b="6985"/>
            <wp:docPr id="49" name="Picture 49" descr="Figure 3–8 presents the relative and absolute value of the GST concession on water and sewerage rates by household disposable income decile.&#10;The value of the GST concession on water and sewerage is 0.18 per cent of disposable income for households in the lowest income decile, falling to 0.04 per cent of income for the highest income decile.&#10;In absolute terms, the exclusion of water and sewerage from the GST benefits the lowest two income deciles by around $0.60 per week, increasing to around $1 per week for the sixth to ninth income deciles and around $1.30 per week for the highest decile." title="Fig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713409" cy="3384000"/>
                    </a:xfrm>
                    <a:prstGeom prst="rect">
                      <a:avLst/>
                    </a:prstGeom>
                    <a:noFill/>
                  </pic:spPr>
                </pic:pic>
              </a:graphicData>
            </a:graphic>
          </wp:inline>
        </w:drawing>
      </w:r>
    </w:p>
    <w:p w:rsidR="00FE6DA1" w:rsidRDefault="001F493A" w:rsidP="001F493A">
      <w:pPr>
        <w:pStyle w:val="Source"/>
        <w:sectPr w:rsidR="00FE6DA1" w:rsidSect="00F256DF">
          <w:pgSz w:w="11906" w:h="16838" w:code="9"/>
          <w:pgMar w:top="1361" w:right="1797" w:bottom="1474" w:left="1797" w:header="284" w:footer="454" w:gutter="0"/>
          <w:cols w:space="708"/>
          <w:docGrid w:linePitch="360"/>
        </w:sectPr>
      </w:pPr>
      <w:r>
        <w:t xml:space="preserve">Source: </w:t>
      </w:r>
      <w:r w:rsidR="004E109F">
        <w:t>PBO analysis based on data from the ABS and Treasury</w:t>
      </w:r>
      <w:r w:rsidR="004E109F" w:rsidDel="004E109F">
        <w:t xml:space="preserve"> </w:t>
      </w:r>
    </w:p>
    <w:p w:rsidR="00F95381" w:rsidRPr="00BA0FBF" w:rsidRDefault="00F95381" w:rsidP="00F95381">
      <w:pPr>
        <w:pStyle w:val="Heading3"/>
        <w:rPr>
          <w:sz w:val="24"/>
        </w:rPr>
      </w:pPr>
      <w:bookmarkStart w:id="109" w:name="_Toc429380429"/>
      <w:bookmarkStart w:id="110" w:name="_Toc429380496"/>
      <w:bookmarkStart w:id="111" w:name="_Toc435093661"/>
      <w:bookmarkStart w:id="112" w:name="_Toc435632990"/>
      <w:bookmarkStart w:id="113" w:name="_Toc436400331"/>
      <w:r w:rsidRPr="00BA0FBF">
        <w:rPr>
          <w:sz w:val="24"/>
        </w:rPr>
        <w:t>Distribution of GST concessions</w:t>
      </w:r>
      <w:bookmarkEnd w:id="109"/>
      <w:bookmarkEnd w:id="110"/>
      <w:r w:rsidRPr="00BA0FBF">
        <w:rPr>
          <w:sz w:val="24"/>
        </w:rPr>
        <w:t xml:space="preserve">: </w:t>
      </w:r>
      <w:r w:rsidR="007115F4">
        <w:rPr>
          <w:sz w:val="24"/>
        </w:rPr>
        <w:t>s</w:t>
      </w:r>
      <w:r w:rsidRPr="00BA0FBF">
        <w:rPr>
          <w:sz w:val="24"/>
        </w:rPr>
        <w:t>ummary</w:t>
      </w:r>
      <w:bookmarkEnd w:id="111"/>
      <w:bookmarkEnd w:id="112"/>
      <w:bookmarkEnd w:id="113"/>
    </w:p>
    <w:p w:rsidR="00F95381" w:rsidRPr="00BA0FBF" w:rsidRDefault="00F95381" w:rsidP="00C407BF">
      <w:pPr>
        <w:pStyle w:val="BodyText"/>
      </w:pPr>
      <w:r w:rsidRPr="00BA0FBF">
        <w:t>Most, if not all, GST concessions are motivated at least in part by concern about the potential for the imposition of tax on essential services to disproportionately impact on low income households.</w:t>
      </w:r>
    </w:p>
    <w:p w:rsidR="0068456C" w:rsidRPr="00BA0FBF" w:rsidRDefault="0068456C" w:rsidP="0068456C">
      <w:pPr>
        <w:pStyle w:val="Caption"/>
        <w:rPr>
          <w:sz w:val="20"/>
        </w:rPr>
      </w:pPr>
      <w:bookmarkStart w:id="114" w:name="_Ref436654425"/>
      <w:bookmarkStart w:id="115" w:name="_Toc436917829"/>
      <w:bookmarkStart w:id="116" w:name="_Toc437429587"/>
      <w:r w:rsidRPr="00BA0FBF">
        <w:rPr>
          <w:sz w:val="20"/>
        </w:rPr>
        <w:t xml:space="preserve">Figure </w:t>
      </w:r>
      <w:r w:rsidR="009F1D24" w:rsidRPr="00BA0FBF">
        <w:rPr>
          <w:sz w:val="20"/>
        </w:rPr>
        <w:fldChar w:fldCharType="begin"/>
      </w:r>
      <w:r w:rsidR="009F1D24" w:rsidRPr="00BA0FBF">
        <w:rPr>
          <w:sz w:val="20"/>
        </w:rPr>
        <w:instrText xml:space="preserve"> STYLEREF 1 \s </w:instrText>
      </w:r>
      <w:r w:rsidR="009F1D24" w:rsidRPr="00BA0FBF">
        <w:rPr>
          <w:sz w:val="20"/>
        </w:rPr>
        <w:fldChar w:fldCharType="separate"/>
      </w:r>
      <w:r w:rsidR="00076CF9">
        <w:rPr>
          <w:noProof/>
          <w:sz w:val="20"/>
        </w:rPr>
        <w:t>3</w:t>
      </w:r>
      <w:r w:rsidR="009F1D24" w:rsidRPr="00BA0FBF">
        <w:rPr>
          <w:noProof/>
          <w:sz w:val="20"/>
        </w:rPr>
        <w:fldChar w:fldCharType="end"/>
      </w:r>
      <w:r w:rsidRPr="00BA0FBF">
        <w:rPr>
          <w:sz w:val="20"/>
        </w:rPr>
        <w:t>–</w:t>
      </w:r>
      <w:r w:rsidR="009F1D24" w:rsidRPr="00BA0FBF">
        <w:rPr>
          <w:sz w:val="20"/>
        </w:rPr>
        <w:fldChar w:fldCharType="begin"/>
      </w:r>
      <w:r w:rsidR="009F1D24" w:rsidRPr="00BA0FBF">
        <w:rPr>
          <w:sz w:val="20"/>
        </w:rPr>
        <w:instrText xml:space="preserve"> SEQ Figure \* ARABIC \s 1 </w:instrText>
      </w:r>
      <w:r w:rsidR="009F1D24" w:rsidRPr="00BA0FBF">
        <w:rPr>
          <w:sz w:val="20"/>
        </w:rPr>
        <w:fldChar w:fldCharType="separate"/>
      </w:r>
      <w:r w:rsidR="00076CF9">
        <w:rPr>
          <w:noProof/>
          <w:sz w:val="20"/>
        </w:rPr>
        <w:t>9</w:t>
      </w:r>
      <w:r w:rsidR="009F1D24" w:rsidRPr="00BA0FBF">
        <w:rPr>
          <w:noProof/>
          <w:sz w:val="20"/>
        </w:rPr>
        <w:fldChar w:fldCharType="end"/>
      </w:r>
      <w:bookmarkEnd w:id="114"/>
      <w:r w:rsidRPr="00BA0FBF">
        <w:rPr>
          <w:sz w:val="20"/>
        </w:rPr>
        <w:t>: Overall distribution of GST concessions</w:t>
      </w:r>
      <w:bookmarkEnd w:id="115"/>
      <w:bookmarkEnd w:id="116"/>
    </w:p>
    <w:p w:rsidR="00F95381" w:rsidRDefault="000950C7" w:rsidP="00846FA0">
      <w:pPr>
        <w:pStyle w:val="BodyText"/>
        <w:spacing w:before="120"/>
        <w:ind w:left="454" w:hanging="454"/>
        <w:rPr>
          <w:sz w:val="20"/>
        </w:rPr>
      </w:pPr>
      <w:r>
        <w:rPr>
          <w:noProof/>
          <w:sz w:val="20"/>
          <w:lang w:eastAsia="en-AU"/>
        </w:rPr>
        <w:drawing>
          <wp:inline distT="0" distB="0" distL="0" distR="0" wp14:anchorId="632CD241" wp14:editId="498AE619">
            <wp:extent cx="4717908" cy="3384000"/>
            <wp:effectExtent l="0" t="0" r="6985" b="6985"/>
            <wp:docPr id="50" name="Picture 50" descr="Figure 3–9 presents the relative and absolute value of the GST concessions by household disposable income decile.&#10;The value of the GST concession is 3.89 per cent of disposable income for households in the lowest income decile, falling to 2.04 per cent of income for the second lowest income decile and 0.86 per cent of the highest income decile.&#10;In absolute terms, exclusions from the GST benefit the lowest income decile by around $13 per week, falling to $10.8 per week for the second decile then increasing to nearly $32 per week for the highest decile." title="Fig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717908" cy="3384000"/>
                    </a:xfrm>
                    <a:prstGeom prst="rect">
                      <a:avLst/>
                    </a:prstGeom>
                    <a:noFill/>
                  </pic:spPr>
                </pic:pic>
              </a:graphicData>
            </a:graphic>
          </wp:inline>
        </w:drawing>
      </w:r>
    </w:p>
    <w:p w:rsidR="001F493A" w:rsidRDefault="001F493A" w:rsidP="001F493A">
      <w:pPr>
        <w:pStyle w:val="Source"/>
      </w:pPr>
      <w:r>
        <w:t xml:space="preserve">Source: </w:t>
      </w:r>
      <w:r w:rsidR="004E109F">
        <w:t>PBO analysis based on data from the ABS and Treasury</w:t>
      </w:r>
    </w:p>
    <w:p w:rsidR="00D110DE" w:rsidRPr="00BA0FBF" w:rsidRDefault="00F95381" w:rsidP="00C407BF">
      <w:pPr>
        <w:pStyle w:val="BodyText17ptAbove"/>
      </w:pPr>
      <w:r w:rsidRPr="00BA0FBF">
        <w:t xml:space="preserve">The overall distribution of GST concessions presented in </w:t>
      </w:r>
      <w:r w:rsidR="0068456C" w:rsidRPr="00BA0FBF">
        <w:fldChar w:fldCharType="begin"/>
      </w:r>
      <w:r w:rsidR="0068456C" w:rsidRPr="00BA0FBF">
        <w:instrText xml:space="preserve"> REF _Ref436654425 \h  \* MERGEFORMAT </w:instrText>
      </w:r>
      <w:r w:rsidR="0068456C" w:rsidRPr="00BA0FBF">
        <w:fldChar w:fldCharType="separate"/>
      </w:r>
      <w:r w:rsidR="00076CF9" w:rsidRPr="00076CF9">
        <w:t>Figure 3–9</w:t>
      </w:r>
      <w:r w:rsidR="0068456C" w:rsidRPr="00BA0FBF">
        <w:fldChar w:fldCharType="end"/>
      </w:r>
      <w:r w:rsidR="0068456C" w:rsidRPr="00BA0FBF">
        <w:t xml:space="preserve"> </w:t>
      </w:r>
      <w:r w:rsidRPr="00BA0FBF">
        <w:t>illustrates that, in isolation, removing all GST co</w:t>
      </w:r>
      <w:r w:rsidR="0068456C" w:rsidRPr="00BA0FBF">
        <w:t>ncessions would be regressive.</w:t>
      </w:r>
    </w:p>
    <w:p w:rsidR="009C266D" w:rsidRPr="00BA0FBF" w:rsidRDefault="00F95381" w:rsidP="00C407BF">
      <w:pPr>
        <w:pStyle w:val="BodyText"/>
      </w:pPr>
      <w:r w:rsidRPr="00BA0FBF">
        <w:t xml:space="preserve">The value of GST concessions represents </w:t>
      </w:r>
      <w:r w:rsidR="002E1373" w:rsidRPr="00BA0FBF">
        <w:t xml:space="preserve">around </w:t>
      </w:r>
      <w:r w:rsidR="007115F4">
        <w:t>four</w:t>
      </w:r>
      <w:r w:rsidRPr="00BA0FBF">
        <w:t xml:space="preserve"> per cent of the disposable income of households in the lowe</w:t>
      </w:r>
      <w:r w:rsidR="002E1373" w:rsidRPr="00BA0FBF">
        <w:t xml:space="preserve">st income decile and less than </w:t>
      </w:r>
      <w:r w:rsidR="007115F4">
        <w:t>one</w:t>
      </w:r>
      <w:r w:rsidRPr="00BA0FBF">
        <w:t xml:space="preserve"> per cent of the disposable income </w:t>
      </w:r>
      <w:r w:rsidR="006D148F" w:rsidRPr="00BA0FBF">
        <w:t>of the highest income decile</w:t>
      </w:r>
      <w:r w:rsidRPr="00BA0FBF">
        <w:t>.</w:t>
      </w:r>
      <w:r w:rsidR="00D110DE" w:rsidRPr="00BA0FBF">
        <w:rPr>
          <w:lang w:eastAsia="en-AU"/>
        </w:rPr>
        <w:t xml:space="preserve">  </w:t>
      </w:r>
      <w:r w:rsidR="009C266D" w:rsidRPr="00BA0FBF">
        <w:rPr>
          <w:lang w:eastAsia="en-AU"/>
        </w:rPr>
        <w:t>While d</w:t>
      </w:r>
      <w:r w:rsidR="00D110DE" w:rsidRPr="00BA0FBF">
        <w:rPr>
          <w:lang w:eastAsia="en-AU"/>
        </w:rPr>
        <w:t>ata issues are likely to exaggerate the relative benefit of the GST concession for the lowest income decile</w:t>
      </w:r>
      <w:r w:rsidR="009C266D" w:rsidRPr="00BA0FBF">
        <w:rPr>
          <w:lang w:eastAsia="en-AU"/>
        </w:rPr>
        <w:t>, this trend is also evident across the rest of the income distribution.</w:t>
      </w:r>
    </w:p>
    <w:p w:rsidR="00D41DBB" w:rsidRDefault="006D7B8F" w:rsidP="00C407BF">
      <w:pPr>
        <w:pStyle w:val="BodyText"/>
        <w:rPr>
          <w:lang w:eastAsia="en-AU"/>
        </w:rPr>
      </w:pPr>
      <w:r>
        <w:t>I</w:t>
      </w:r>
      <w:r w:rsidR="00F95381" w:rsidRPr="00BA0FBF">
        <w:t>n absolute terms</w:t>
      </w:r>
      <w:r>
        <w:t>, however,</w:t>
      </w:r>
      <w:r w:rsidR="00F95381" w:rsidRPr="00BA0FBF">
        <w:t xml:space="preserve"> GST concessions provide substantially greater benefit to </w:t>
      </w:r>
      <w:r w:rsidR="00F95381" w:rsidRPr="00BA0FBF">
        <w:rPr>
          <w:lang w:eastAsia="en-AU"/>
        </w:rPr>
        <w:t>higher income earners.  Households in the highest income decile effectiv</w:t>
      </w:r>
      <w:r w:rsidR="002E1373" w:rsidRPr="00BA0FBF">
        <w:rPr>
          <w:lang w:eastAsia="en-AU"/>
        </w:rPr>
        <w:t>ely receive a benefit of about $32</w:t>
      </w:r>
      <w:r w:rsidR="00F95381" w:rsidRPr="00BA0FBF">
        <w:rPr>
          <w:lang w:eastAsia="en-AU"/>
        </w:rPr>
        <w:t xml:space="preserve"> per we</w:t>
      </w:r>
      <w:r w:rsidR="002E1373" w:rsidRPr="00BA0FBF">
        <w:rPr>
          <w:lang w:eastAsia="en-AU"/>
        </w:rPr>
        <w:t>ek from GST concessions, around 2.5</w:t>
      </w:r>
      <w:r w:rsidR="00F95381" w:rsidRPr="00BA0FBF">
        <w:rPr>
          <w:lang w:eastAsia="en-AU"/>
        </w:rPr>
        <w:t xml:space="preserve"> times as much as the $</w:t>
      </w:r>
      <w:r w:rsidR="002E1373" w:rsidRPr="00BA0FBF">
        <w:rPr>
          <w:lang w:eastAsia="en-AU"/>
        </w:rPr>
        <w:t>13</w:t>
      </w:r>
      <w:r w:rsidR="00F95381" w:rsidRPr="00BA0FBF">
        <w:rPr>
          <w:lang w:eastAsia="en-AU"/>
        </w:rPr>
        <w:t> per week receive</w:t>
      </w:r>
      <w:r w:rsidR="00D41DBB">
        <w:rPr>
          <w:lang w:eastAsia="en-AU"/>
        </w:rPr>
        <w:t>d by the lowest income decile.</w:t>
      </w:r>
    </w:p>
    <w:p w:rsidR="009C266D" w:rsidRPr="00BA0FBF" w:rsidRDefault="00F95381" w:rsidP="00C407BF">
      <w:pPr>
        <w:pStyle w:val="BodyText"/>
      </w:pPr>
      <w:r w:rsidRPr="00BA0FBF">
        <w:rPr>
          <w:lang w:eastAsia="en-AU"/>
        </w:rPr>
        <w:t>Overall, around a quarter of the GST concessions goes to the lowest 40 per cent of households by income.</w:t>
      </w:r>
    </w:p>
    <w:p w:rsidR="00C407BF" w:rsidRDefault="00F95381" w:rsidP="00C407BF">
      <w:pPr>
        <w:pStyle w:val="BodyText"/>
        <w:rPr>
          <w:lang w:eastAsia="en-AU"/>
        </w:rPr>
      </w:pPr>
      <w:r w:rsidRPr="00BA0FBF">
        <w:rPr>
          <w:lang w:eastAsia="en-AU"/>
        </w:rPr>
        <w:t xml:space="preserve">If the principal policy objective of GST concessions is to protect lower income households from disproportionate impact, they are </w:t>
      </w:r>
      <w:r w:rsidR="006D7B8F" w:rsidRPr="00D41DBB">
        <w:rPr>
          <w:lang w:eastAsia="en-AU"/>
        </w:rPr>
        <w:t>not well</w:t>
      </w:r>
      <w:r w:rsidRPr="00D41DBB">
        <w:rPr>
          <w:lang w:eastAsia="en-AU"/>
        </w:rPr>
        <w:t xml:space="preserve"> targeted</w:t>
      </w:r>
      <w:r w:rsidRPr="00BA0FBF">
        <w:rPr>
          <w:lang w:eastAsia="en-AU"/>
        </w:rPr>
        <w:t xml:space="preserve"> compared with Australia’s tightly means tested welfare system.</w:t>
      </w:r>
      <w:bookmarkStart w:id="117" w:name="_Toc436400332"/>
      <w:bookmarkStart w:id="118" w:name="_Toc436652245"/>
      <w:bookmarkStart w:id="119" w:name="_Toc436652283"/>
    </w:p>
    <w:p w:rsidR="00C407BF" w:rsidRDefault="00C407BF" w:rsidP="00C407BF">
      <w:pPr>
        <w:pStyle w:val="Heading1"/>
        <w:rPr>
          <w:lang w:eastAsia="en-AU"/>
        </w:rPr>
        <w:sectPr w:rsidR="00C407BF" w:rsidSect="00F256DF">
          <w:pgSz w:w="11906" w:h="16838" w:code="9"/>
          <w:pgMar w:top="1361" w:right="1797" w:bottom="1474" w:left="1797" w:header="284" w:footer="454" w:gutter="0"/>
          <w:cols w:space="708"/>
          <w:docGrid w:linePitch="360"/>
        </w:sectPr>
      </w:pPr>
    </w:p>
    <w:p w:rsidR="00C407BF" w:rsidRPr="00C9478A" w:rsidRDefault="00C407BF" w:rsidP="00C407BF">
      <w:pPr>
        <w:pStyle w:val="Heading1"/>
        <w:rPr>
          <w:sz w:val="36"/>
          <w:szCs w:val="36"/>
          <w:lang w:eastAsia="en-AU"/>
        </w:rPr>
      </w:pPr>
      <w:bookmarkStart w:id="120" w:name="_Toc436917802"/>
      <w:bookmarkStart w:id="121" w:name="_Toc437429850"/>
      <w:r w:rsidRPr="00C9478A">
        <w:rPr>
          <w:sz w:val="36"/>
          <w:szCs w:val="36"/>
          <w:lang w:eastAsia="en-AU"/>
        </w:rPr>
        <w:t>Analysis of GST reform scenarios</w:t>
      </w:r>
      <w:bookmarkEnd w:id="120"/>
      <w:bookmarkEnd w:id="121"/>
    </w:p>
    <w:bookmarkEnd w:id="117"/>
    <w:bookmarkEnd w:id="118"/>
    <w:bookmarkEnd w:id="119"/>
    <w:p w:rsidR="00360C52" w:rsidRPr="00BA0FBF" w:rsidRDefault="00F95381" w:rsidP="00C407BF">
      <w:pPr>
        <w:pStyle w:val="BodyText"/>
      </w:pPr>
      <w:r w:rsidRPr="00BA0FBF">
        <w:t xml:space="preserve">Public discussion of tax reform has almost invariably raised questions </w:t>
      </w:r>
      <w:r w:rsidR="00A6101C">
        <w:t>about</w:t>
      </w:r>
      <w:r w:rsidRPr="00BA0FBF">
        <w:t xml:space="preserve"> the potential for reform of Australia’s GST.</w:t>
      </w:r>
      <w:r w:rsidR="00360C52" w:rsidRPr="00BA0FBF">
        <w:t xml:space="preserve">  </w:t>
      </w:r>
      <w:r w:rsidRPr="00BA0FBF">
        <w:t xml:space="preserve">GST reform </w:t>
      </w:r>
      <w:r w:rsidR="00360C52" w:rsidRPr="00BA0FBF">
        <w:t>scenarios usually involve</w:t>
      </w:r>
      <w:r w:rsidRPr="00BA0FBF">
        <w:t xml:space="preserve"> increasing the base rate of the GST and</w:t>
      </w:r>
      <w:r w:rsidR="00360C52" w:rsidRPr="00BA0FBF">
        <w:t>/or</w:t>
      </w:r>
      <w:r w:rsidRPr="00BA0FBF">
        <w:t xml:space="preserve"> remo</w:t>
      </w:r>
      <w:r w:rsidR="00360C52" w:rsidRPr="00BA0FBF">
        <w:t xml:space="preserve">ving concessions from </w:t>
      </w:r>
      <w:r w:rsidR="006D7B8F">
        <w:t xml:space="preserve">the </w:t>
      </w:r>
      <w:r w:rsidR="00360C52" w:rsidRPr="00BA0FBF">
        <w:t>GST base.</w:t>
      </w:r>
    </w:p>
    <w:p w:rsidR="00F95381" w:rsidRPr="00BA0FBF" w:rsidRDefault="00F95381" w:rsidP="00C407BF">
      <w:pPr>
        <w:pStyle w:val="BodyText"/>
      </w:pPr>
      <w:r w:rsidRPr="00BA0FBF">
        <w:t xml:space="preserve">This chapter examines the </w:t>
      </w:r>
      <w:r w:rsidR="00D255B4" w:rsidRPr="00BA0FBF">
        <w:t>net</w:t>
      </w:r>
      <w:r w:rsidR="00360C52" w:rsidRPr="00BA0FBF">
        <w:t xml:space="preserve"> revenue</w:t>
      </w:r>
      <w:r w:rsidRPr="00BA0FBF">
        <w:t xml:space="preserve"> and distributional impact of five GST reform scenarios that have been widely canvassed in public policy discussions:</w:t>
      </w:r>
      <w:r w:rsidRPr="0086621F">
        <w:rPr>
          <w:rStyle w:val="FootnoteReference"/>
        </w:rPr>
        <w:footnoteReference w:id="49"/>
      </w:r>
    </w:p>
    <w:p w:rsidR="00D41DBB" w:rsidRDefault="00E368C7" w:rsidP="00C47C14">
      <w:pPr>
        <w:pStyle w:val="ListNumber"/>
        <w:numPr>
          <w:ilvl w:val="0"/>
          <w:numId w:val="27"/>
        </w:numPr>
      </w:pPr>
      <w:r w:rsidRPr="00BA0FBF">
        <w:t>B</w:t>
      </w:r>
      <w:r w:rsidR="00705C21" w:rsidRPr="00BA0FBF">
        <w:t xml:space="preserve">asic food </w:t>
      </w:r>
      <w:r w:rsidRPr="00BA0FBF">
        <w:t xml:space="preserve">subject </w:t>
      </w:r>
      <w:r w:rsidR="00705C21" w:rsidRPr="00BA0FBF">
        <w:t>to GST</w:t>
      </w:r>
    </w:p>
    <w:p w:rsidR="00D41DBB" w:rsidRDefault="00705C21" w:rsidP="00D41DBB">
      <w:pPr>
        <w:pStyle w:val="ListNumber"/>
      </w:pPr>
      <w:r w:rsidRPr="00BA0FBF">
        <w:t>Remove concessions from GST base</w:t>
      </w:r>
      <w:r w:rsidRPr="0086621F">
        <w:rPr>
          <w:rStyle w:val="FootnoteReference"/>
        </w:rPr>
        <w:footnoteReference w:id="50"/>
      </w:r>
    </w:p>
    <w:p w:rsidR="00D41DBB" w:rsidRDefault="00F95381" w:rsidP="00D41DBB">
      <w:pPr>
        <w:pStyle w:val="ListNumber"/>
      </w:pPr>
      <w:r w:rsidRPr="00BA0FBF">
        <w:t>Increase the GST rate from 10 per cent to 15 per cent</w:t>
      </w:r>
    </w:p>
    <w:p w:rsidR="00D41DBB" w:rsidRDefault="00360C52" w:rsidP="00D41DBB">
      <w:pPr>
        <w:pStyle w:val="ListNumber"/>
      </w:pPr>
      <w:r w:rsidRPr="00BA0FBF">
        <w:t xml:space="preserve">GST rate 15 per cent; </w:t>
      </w:r>
      <w:r w:rsidR="003A1E75" w:rsidRPr="00BA0FBF">
        <w:t>basic food s</w:t>
      </w:r>
      <w:r w:rsidRPr="00BA0FBF">
        <w:t>ubject to GST</w:t>
      </w:r>
    </w:p>
    <w:p w:rsidR="00F95381" w:rsidRPr="00BA0FBF" w:rsidRDefault="00F95381" w:rsidP="00D41DBB">
      <w:pPr>
        <w:pStyle w:val="ListNumber"/>
      </w:pPr>
      <w:r w:rsidRPr="00BA0FBF">
        <w:t xml:space="preserve">GST rate 15 per cent; </w:t>
      </w:r>
      <w:r w:rsidR="000440BF" w:rsidRPr="00BA0FBF">
        <w:t xml:space="preserve">Remove </w:t>
      </w:r>
      <w:r w:rsidRPr="00BA0FBF">
        <w:t>concessions from GST base</w:t>
      </w:r>
    </w:p>
    <w:p w:rsidR="00F95381" w:rsidRPr="00BA0FBF" w:rsidRDefault="00F95381" w:rsidP="00C407BF">
      <w:pPr>
        <w:pStyle w:val="BodyText"/>
      </w:pPr>
      <w:r w:rsidRPr="006D7B8F">
        <w:t xml:space="preserve">This </w:t>
      </w:r>
      <w:r w:rsidR="006D7B8F" w:rsidRPr="006D7B8F">
        <w:t>report</w:t>
      </w:r>
      <w:r w:rsidRPr="006D7B8F">
        <w:t xml:space="preserve"> seeks</w:t>
      </w:r>
      <w:r w:rsidRPr="00BA0FBF">
        <w:t xml:space="preserve"> to inform public discussion by providing an independent analysis of the financial impact of these scenarios.  However, this does not mean that the PBO is endorsing any of these </w:t>
      </w:r>
      <w:r w:rsidR="00360C52" w:rsidRPr="00BA0FBF">
        <w:t>scenarios</w:t>
      </w:r>
      <w:r w:rsidRPr="00BA0FBF">
        <w:t>.</w:t>
      </w:r>
    </w:p>
    <w:p w:rsidR="00F95381" w:rsidRPr="00BA0FBF" w:rsidRDefault="004A280F" w:rsidP="00F95381">
      <w:pPr>
        <w:pStyle w:val="Heading2"/>
        <w:rPr>
          <w:sz w:val="28"/>
        </w:rPr>
      </w:pPr>
      <w:bookmarkStart w:id="122" w:name="_Toc436400333"/>
      <w:bookmarkStart w:id="123" w:name="_Toc437429851"/>
      <w:r w:rsidRPr="00BA0FBF">
        <w:rPr>
          <w:sz w:val="28"/>
        </w:rPr>
        <w:t>Methodology and k</w:t>
      </w:r>
      <w:r w:rsidR="00F95381" w:rsidRPr="00BA0FBF">
        <w:rPr>
          <w:sz w:val="28"/>
        </w:rPr>
        <w:t xml:space="preserve">ey </w:t>
      </w:r>
      <w:r w:rsidRPr="00BA0FBF">
        <w:rPr>
          <w:sz w:val="28"/>
        </w:rPr>
        <w:t>a</w:t>
      </w:r>
      <w:r w:rsidR="00F95381" w:rsidRPr="00BA0FBF">
        <w:rPr>
          <w:sz w:val="28"/>
        </w:rPr>
        <w:t>ssumptions</w:t>
      </w:r>
      <w:bookmarkEnd w:id="122"/>
      <w:bookmarkEnd w:id="123"/>
    </w:p>
    <w:p w:rsidR="00FE6DA1" w:rsidRDefault="00F95381" w:rsidP="00360C52">
      <w:pPr>
        <w:pStyle w:val="BodyText"/>
        <w:widowControl w:val="0"/>
      </w:pPr>
      <w:r w:rsidRPr="006D7B8F">
        <w:t>This section provides</w:t>
      </w:r>
      <w:r w:rsidRPr="00C407BF">
        <w:t xml:space="preserve"> a summary of the methodology and key assumptions underpinning the analysis of GST reform scenarios.  Additional technical detail is provided in </w:t>
      </w:r>
      <w:fldSimple w:instr=" REF _Ref436910802 \r ">
        <w:r w:rsidR="00076CF9">
          <w:t>Appendix A</w:t>
        </w:r>
      </w:fldSimple>
      <w:r w:rsidRPr="007115F4">
        <w:t>.</w:t>
      </w:r>
    </w:p>
    <w:p w:rsidR="00F95381" w:rsidRPr="00BA0FBF" w:rsidRDefault="00F95381" w:rsidP="00F95381">
      <w:pPr>
        <w:pStyle w:val="Heading3"/>
        <w:rPr>
          <w:sz w:val="24"/>
        </w:rPr>
      </w:pPr>
      <w:bookmarkStart w:id="124" w:name="_Toc435093664"/>
      <w:bookmarkStart w:id="125" w:name="_Toc435632993"/>
      <w:bookmarkStart w:id="126" w:name="_Toc436400334"/>
      <w:r w:rsidRPr="00BA0FBF">
        <w:rPr>
          <w:sz w:val="24"/>
        </w:rPr>
        <w:t>Methodology</w:t>
      </w:r>
      <w:bookmarkEnd w:id="124"/>
      <w:bookmarkEnd w:id="125"/>
      <w:bookmarkEnd w:id="126"/>
    </w:p>
    <w:p w:rsidR="00360C52" w:rsidRPr="00BA0FBF" w:rsidRDefault="00F95381" w:rsidP="00C407BF">
      <w:pPr>
        <w:pStyle w:val="BodyText"/>
      </w:pPr>
      <w:r w:rsidRPr="00BA0FBF">
        <w:t xml:space="preserve">The financial implications of </w:t>
      </w:r>
      <w:r w:rsidR="007115F4">
        <w:t xml:space="preserve">these </w:t>
      </w:r>
      <w:r w:rsidRPr="00BA0FBF">
        <w:t xml:space="preserve">GST reform scenarios </w:t>
      </w:r>
      <w:r w:rsidR="007115F4">
        <w:t>were</w:t>
      </w:r>
      <w:r w:rsidR="007115F4" w:rsidRPr="00BA0FBF">
        <w:t xml:space="preserve"> </w:t>
      </w:r>
      <w:r w:rsidRPr="00BA0FBF">
        <w:t>estimated using PRISMOD, a large-scale highly disaggregated model of the Australian economy that captures the flows of goods betw</w:t>
      </w:r>
      <w:r w:rsidR="006D7B8F">
        <w:t>een production industries and</w:t>
      </w:r>
      <w:r w:rsidRPr="00BA0FBF">
        <w:t xml:space="preserve"> final consumers.</w:t>
      </w:r>
      <w:r w:rsidR="00D255B4" w:rsidRPr="0086621F">
        <w:rPr>
          <w:rStyle w:val="FootnoteReference"/>
        </w:rPr>
        <w:footnoteReference w:id="51"/>
      </w:r>
    </w:p>
    <w:p w:rsidR="00360C52" w:rsidRDefault="00F95381" w:rsidP="00C407BF">
      <w:pPr>
        <w:pStyle w:val="BodyText"/>
      </w:pPr>
      <w:r w:rsidRPr="00BA0FBF">
        <w:t>Estimates of</w:t>
      </w:r>
      <w:r w:rsidR="001621E0">
        <w:t xml:space="preserve"> the</w:t>
      </w:r>
      <w:r w:rsidRPr="00BA0FBF">
        <w:t xml:space="preserve"> </w:t>
      </w:r>
      <w:r w:rsidR="00471585">
        <w:t>total</w:t>
      </w:r>
      <w:r w:rsidR="001621E0">
        <w:t xml:space="preserve"> GST </w:t>
      </w:r>
      <w:r w:rsidRPr="00BA0FBF">
        <w:t xml:space="preserve">revenue </w:t>
      </w:r>
      <w:r w:rsidR="001621E0">
        <w:t>under</w:t>
      </w:r>
      <w:r w:rsidRPr="00BA0FBF">
        <w:t xml:space="preserve"> </w:t>
      </w:r>
      <w:r w:rsidR="002C7538">
        <w:t xml:space="preserve">each of the </w:t>
      </w:r>
      <w:r w:rsidRPr="00BA0FBF">
        <w:t xml:space="preserve">GST reform </w:t>
      </w:r>
      <w:r w:rsidR="002C7538">
        <w:t>scenarios were</w:t>
      </w:r>
      <w:r w:rsidRPr="00BA0FBF">
        <w:t xml:space="preserve"> obtained by adjusting the effective GST rates on goods and services in</w:t>
      </w:r>
      <w:r w:rsidR="001621E0">
        <w:t xml:space="preserve"> PRISMOD in</w:t>
      </w:r>
      <w:r w:rsidRPr="00BA0FBF">
        <w:t xml:space="preserve"> line with the relevant </w:t>
      </w:r>
      <w:r w:rsidR="002C7538">
        <w:t>scenario</w:t>
      </w:r>
      <w:r w:rsidR="00471585">
        <w:t xml:space="preserve">. </w:t>
      </w:r>
      <w:r w:rsidR="00E765BD">
        <w:t xml:space="preserve"> </w:t>
      </w:r>
      <w:r w:rsidR="00471585">
        <w:t>The additional</w:t>
      </w:r>
      <w:r w:rsidRPr="00BA0FBF">
        <w:t xml:space="preserve"> GST revenue under </w:t>
      </w:r>
      <w:r w:rsidR="002C7538">
        <w:t>each scenario</w:t>
      </w:r>
      <w:r w:rsidR="00471585">
        <w:t xml:space="preserve"> is calculated by subtracting estimates of </w:t>
      </w:r>
      <w:r w:rsidRPr="00BA0FBF">
        <w:t>the base GST revenue</w:t>
      </w:r>
      <w:r w:rsidR="00E765BD">
        <w:t>.</w:t>
      </w:r>
    </w:p>
    <w:p w:rsidR="00E765BD" w:rsidRPr="00BA0FBF" w:rsidRDefault="00E765BD" w:rsidP="00C407BF">
      <w:pPr>
        <w:pStyle w:val="BodyText"/>
      </w:pPr>
      <w:r>
        <w:t>Net additional GST revenue is the additional GST revenue less assumed compensation.</w:t>
      </w:r>
    </w:p>
    <w:p w:rsidR="00F95381" w:rsidRPr="00BA0FBF" w:rsidRDefault="00F95381" w:rsidP="00C407BF">
      <w:pPr>
        <w:pStyle w:val="BodyText"/>
      </w:pPr>
      <w:r w:rsidRPr="00BA0FBF">
        <w:t xml:space="preserve">The distributional impact of </w:t>
      </w:r>
      <w:r w:rsidR="002C7538">
        <w:t xml:space="preserve">the </w:t>
      </w:r>
      <w:r w:rsidRPr="00BA0FBF">
        <w:t xml:space="preserve">GST reform </w:t>
      </w:r>
      <w:r w:rsidR="00865406">
        <w:t>scenarios</w:t>
      </w:r>
      <w:r w:rsidRPr="00BA0FBF">
        <w:t xml:space="preserve"> was estimated by comparing GST paid by </w:t>
      </w:r>
      <w:r w:rsidR="00E765BD">
        <w:t>households</w:t>
      </w:r>
      <w:r w:rsidRPr="00BA0FBF">
        <w:t xml:space="preserve"> </w:t>
      </w:r>
      <w:r w:rsidR="006D7B8F">
        <w:t xml:space="preserve">under </w:t>
      </w:r>
      <w:r w:rsidR="00865406">
        <w:t xml:space="preserve">the </w:t>
      </w:r>
      <w:r w:rsidR="006D7B8F">
        <w:t>scenarios with the base.</w:t>
      </w:r>
      <w:r w:rsidR="00865406">
        <w:rPr>
          <w:rStyle w:val="FootnoteReference"/>
        </w:rPr>
        <w:footnoteReference w:id="52"/>
      </w:r>
    </w:p>
    <w:p w:rsidR="00F95381" w:rsidRPr="00BA0FBF" w:rsidRDefault="00F95381" w:rsidP="00F95381">
      <w:pPr>
        <w:pStyle w:val="Heading3"/>
        <w:rPr>
          <w:sz w:val="24"/>
        </w:rPr>
      </w:pPr>
      <w:bookmarkStart w:id="127" w:name="_Toc435093665"/>
      <w:bookmarkStart w:id="128" w:name="_Toc435632994"/>
      <w:bookmarkStart w:id="129" w:name="_Toc436400335"/>
      <w:r w:rsidRPr="00BA0FBF">
        <w:rPr>
          <w:sz w:val="24"/>
        </w:rPr>
        <w:t xml:space="preserve">Key </w:t>
      </w:r>
      <w:r w:rsidR="001F2835">
        <w:rPr>
          <w:sz w:val="24"/>
        </w:rPr>
        <w:t>a</w:t>
      </w:r>
      <w:r w:rsidRPr="00BA0FBF">
        <w:rPr>
          <w:sz w:val="24"/>
        </w:rPr>
        <w:t>ssumptions</w:t>
      </w:r>
      <w:bookmarkEnd w:id="127"/>
      <w:bookmarkEnd w:id="128"/>
      <w:bookmarkEnd w:id="129"/>
    </w:p>
    <w:p w:rsidR="00D2548F" w:rsidRPr="00BA0FBF" w:rsidRDefault="00F95381" w:rsidP="00C407BF">
      <w:pPr>
        <w:pStyle w:val="BodyText"/>
      </w:pPr>
      <w:r w:rsidRPr="00BA0FBF">
        <w:t xml:space="preserve">The analysis in this chapter assumes that reform </w:t>
      </w:r>
      <w:r w:rsidR="00D2548F" w:rsidRPr="00BA0FBF">
        <w:t>scenarios</w:t>
      </w:r>
      <w:r w:rsidRPr="00BA0FBF">
        <w:t xml:space="preserve"> take effect on 1 July 2017</w:t>
      </w:r>
      <w:r w:rsidR="00D2548F" w:rsidRPr="00BA0FBF">
        <w:t>.</w:t>
      </w:r>
    </w:p>
    <w:p w:rsidR="00D2548F" w:rsidRPr="00BA0FBF" w:rsidRDefault="00F95381" w:rsidP="00C407BF">
      <w:pPr>
        <w:pStyle w:val="BodyText"/>
      </w:pPr>
      <w:r w:rsidRPr="00BA0FBF">
        <w:t xml:space="preserve">Under the terms of the </w:t>
      </w:r>
      <w:r w:rsidRPr="00695B37">
        <w:rPr>
          <w:i/>
        </w:rPr>
        <w:t>Intergovernmental Agreement</w:t>
      </w:r>
      <w:r w:rsidRPr="00BA0FBF">
        <w:t xml:space="preserve"> (IGA), all GST revenue raised, less the agreed administration costs of the Australian Taxation Office</w:t>
      </w:r>
      <w:r w:rsidR="001F2835">
        <w:t xml:space="preserve"> (ATO)</w:t>
      </w:r>
      <w:r w:rsidRPr="00BA0FBF">
        <w:t xml:space="preserve">, is paid to the </w:t>
      </w:r>
      <w:r w:rsidR="00865406">
        <w:t>States and T</w:t>
      </w:r>
      <w:r w:rsidRPr="00BA0FBF">
        <w:t>erritories.</w:t>
      </w:r>
      <w:r w:rsidRPr="0086621F">
        <w:rPr>
          <w:rStyle w:val="FootnoteReference"/>
        </w:rPr>
        <w:footnoteReference w:id="53"/>
      </w:r>
      <w:r w:rsidRPr="00BA0FBF">
        <w:t xml:space="preserve">  The analysis in this chapter presents the additional GST revenue </w:t>
      </w:r>
      <w:r w:rsidR="00C86884">
        <w:t xml:space="preserve">raised </w:t>
      </w:r>
      <w:r w:rsidRPr="00BA0FBF">
        <w:t>(</w:t>
      </w:r>
      <w:r w:rsidR="00D2548F" w:rsidRPr="00BA0FBF">
        <w:t>net of a</w:t>
      </w:r>
      <w:r w:rsidRPr="00BA0FBF">
        <w:t>ny additional ATO administration c</w:t>
      </w:r>
      <w:r w:rsidR="00D2548F" w:rsidRPr="00BA0FBF">
        <w:t>osts</w:t>
      </w:r>
      <w:r w:rsidR="00C86884">
        <w:t xml:space="preserve"> and household compensation</w:t>
      </w:r>
      <w:r w:rsidR="00D2548F" w:rsidRPr="00BA0FBF">
        <w:t xml:space="preserve">) </w:t>
      </w:r>
      <w:r w:rsidR="00C86884">
        <w:t xml:space="preserve">under each </w:t>
      </w:r>
      <w:r w:rsidR="00D2548F" w:rsidRPr="00BA0FBF">
        <w:t xml:space="preserve">of </w:t>
      </w:r>
      <w:r w:rsidR="00C86884">
        <w:t xml:space="preserve">the </w:t>
      </w:r>
      <w:r w:rsidR="00D2548F" w:rsidRPr="00BA0FBF">
        <w:t>GST reform scenarios.</w:t>
      </w:r>
    </w:p>
    <w:p w:rsidR="00D51D02" w:rsidRPr="00BA0FBF" w:rsidRDefault="00D51D02" w:rsidP="00C407BF">
      <w:pPr>
        <w:pStyle w:val="BodyText"/>
      </w:pPr>
      <w:r w:rsidRPr="00BA0FBF">
        <w:t xml:space="preserve">The analysis assumes that </w:t>
      </w:r>
      <w:r w:rsidR="00C86884">
        <w:t xml:space="preserve">the </w:t>
      </w:r>
      <w:r w:rsidRPr="00BA0FBF">
        <w:t>GST reform scenarios apply on the basis that all other taxation settings are unc</w:t>
      </w:r>
      <w:r w:rsidR="00A82B9D">
        <w:t>hanged.</w:t>
      </w:r>
    </w:p>
    <w:p w:rsidR="00D51D02" w:rsidRPr="00BA0FBF" w:rsidRDefault="00D51D02" w:rsidP="00C407BF">
      <w:pPr>
        <w:pStyle w:val="BodyText"/>
      </w:pPr>
      <w:r w:rsidRPr="00BA0FBF">
        <w:t>Several options have been put forward for the use of the additional revenue generated under GST reform scenarios.  The PBO has made no assumption on how GST revenue (net of the assumed compensation package) would be used.</w:t>
      </w:r>
    </w:p>
    <w:p w:rsidR="00D51D02" w:rsidRPr="00BA0FBF" w:rsidRDefault="00D51D02" w:rsidP="00D51D02">
      <w:pPr>
        <w:pStyle w:val="Heading4"/>
        <w:rPr>
          <w:sz w:val="22"/>
        </w:rPr>
      </w:pPr>
      <w:r w:rsidRPr="00BA0FBF">
        <w:rPr>
          <w:sz w:val="22"/>
        </w:rPr>
        <w:t xml:space="preserve">Technical </w:t>
      </w:r>
      <w:r w:rsidR="001F2835">
        <w:rPr>
          <w:sz w:val="22"/>
        </w:rPr>
        <w:t>a</w:t>
      </w:r>
      <w:r w:rsidRPr="00BA0FBF">
        <w:rPr>
          <w:sz w:val="22"/>
        </w:rPr>
        <w:t xml:space="preserve">ssumption on </w:t>
      </w:r>
      <w:r w:rsidR="001F2835">
        <w:rPr>
          <w:sz w:val="22"/>
        </w:rPr>
        <w:t>c</w:t>
      </w:r>
      <w:r w:rsidRPr="00BA0FBF">
        <w:rPr>
          <w:sz w:val="22"/>
        </w:rPr>
        <w:t>ompensation</w:t>
      </w:r>
    </w:p>
    <w:p w:rsidR="00FE6DA1" w:rsidRDefault="00D2548F" w:rsidP="00C407BF">
      <w:pPr>
        <w:pStyle w:val="BodyText"/>
        <w:sectPr w:rsidR="00FE6DA1" w:rsidSect="00C407BF">
          <w:pgSz w:w="11906" w:h="16838" w:code="9"/>
          <w:pgMar w:top="1361" w:right="1797" w:bottom="1474" w:left="1797" w:header="284" w:footer="454" w:gutter="0"/>
          <w:cols w:space="708"/>
          <w:docGrid w:linePitch="360"/>
        </w:sectPr>
      </w:pPr>
      <w:r w:rsidRPr="00BA0FBF">
        <w:t>Proponents of GST reform acknowledge that there would be a need to compensate lower income earners for the regressive impact of proposals.  The specific design of compensation packages is a policy question, involving consideration of a range of possible changes to the tax and transfer system.  The PBO has made no assumption on the specific form compensation packages might take.</w:t>
      </w:r>
    </w:p>
    <w:p w:rsidR="00865406" w:rsidRDefault="00865406" w:rsidP="00C407BF">
      <w:pPr>
        <w:pStyle w:val="BodyText"/>
      </w:pPr>
      <w:r>
        <w:t>I</w:t>
      </w:r>
      <w:r w:rsidR="00D2548F" w:rsidRPr="00BA0FBF">
        <w:t>gnoring compensation completely</w:t>
      </w:r>
      <w:r>
        <w:t>, however,</w:t>
      </w:r>
      <w:r w:rsidR="00D2548F" w:rsidRPr="00BA0FBF">
        <w:t xml:space="preserve"> would reduce the usefulness of this analysis.  For the purposes of this analysis, the PBO has made a technical assumption that there would be a compensation package that would have an aggregate financial impact equivalent to providing full </w:t>
      </w:r>
      <w:r w:rsidR="00D2548F" w:rsidRPr="00C407BF">
        <w:t xml:space="preserve">compensation for the impact of proposals on the bottom </w:t>
      </w:r>
      <w:r w:rsidR="004A280F" w:rsidRPr="00C407BF">
        <w:t>40</w:t>
      </w:r>
      <w:r w:rsidR="00D2548F" w:rsidRPr="00C407BF">
        <w:t xml:space="preserve"> per cent of households by disposable income.</w:t>
      </w:r>
      <w:r w:rsidR="00D2548F" w:rsidRPr="0086621F">
        <w:rPr>
          <w:rStyle w:val="FootnoteReference"/>
        </w:rPr>
        <w:footnoteReference w:id="54"/>
      </w:r>
      <w:r>
        <w:t xml:space="preserve">  Th</w:t>
      </w:r>
      <w:r w:rsidRPr="00D2548F">
        <w:t>e</w:t>
      </w:r>
      <w:r>
        <w:t xml:space="preserve"> </w:t>
      </w:r>
      <w:r w:rsidRPr="00D2548F">
        <w:t>impact of the increase in t</w:t>
      </w:r>
      <w:r>
        <w:t>he CPI on government payments is assumed to be included in this compensation.</w:t>
      </w:r>
    </w:p>
    <w:p w:rsidR="00D2548F" w:rsidRPr="00C407BF" w:rsidRDefault="00865406" w:rsidP="00A82B9D">
      <w:pPr>
        <w:pStyle w:val="BodyText"/>
      </w:pPr>
      <w:r w:rsidRPr="00A82B9D">
        <w:t xml:space="preserve">It </w:t>
      </w:r>
      <w:r w:rsidR="00A82B9D" w:rsidRPr="00A82B9D">
        <w:t>is recognised that in practice there would be challenges in targeting compensation solely to lower income groups.</w:t>
      </w:r>
      <w:r w:rsidRPr="00A82B9D">
        <w:rPr>
          <w:rStyle w:val="FootnoteReference"/>
        </w:rPr>
        <w:footnoteReference w:id="55"/>
      </w:r>
    </w:p>
    <w:p w:rsidR="005331A9" w:rsidRPr="00BA0FBF" w:rsidRDefault="005331A9" w:rsidP="005331A9">
      <w:pPr>
        <w:pStyle w:val="Heading4"/>
        <w:rPr>
          <w:sz w:val="22"/>
        </w:rPr>
      </w:pPr>
      <w:r w:rsidRPr="00BA0FBF">
        <w:rPr>
          <w:sz w:val="22"/>
        </w:rPr>
        <w:t xml:space="preserve">Consumption </w:t>
      </w:r>
      <w:r w:rsidR="001F2835">
        <w:rPr>
          <w:sz w:val="22"/>
        </w:rPr>
        <w:t>r</w:t>
      </w:r>
      <w:r w:rsidRPr="00BA0FBF">
        <w:rPr>
          <w:sz w:val="22"/>
        </w:rPr>
        <w:t xml:space="preserve">esponse to GST </w:t>
      </w:r>
      <w:r w:rsidR="001F2835">
        <w:rPr>
          <w:sz w:val="22"/>
        </w:rPr>
        <w:t>r</w:t>
      </w:r>
      <w:r w:rsidRPr="00BA0FBF">
        <w:rPr>
          <w:sz w:val="22"/>
        </w:rPr>
        <w:t xml:space="preserve">eform </w:t>
      </w:r>
      <w:r w:rsidR="001F2835">
        <w:rPr>
          <w:sz w:val="22"/>
        </w:rPr>
        <w:t>s</w:t>
      </w:r>
      <w:r w:rsidRPr="00BA0FBF">
        <w:rPr>
          <w:sz w:val="22"/>
        </w:rPr>
        <w:t>cenarios</w:t>
      </w:r>
    </w:p>
    <w:p w:rsidR="003F7589" w:rsidRPr="00BA0FBF" w:rsidRDefault="00F95381" w:rsidP="00C407BF">
      <w:pPr>
        <w:pStyle w:val="BodyText"/>
      </w:pPr>
      <w:r w:rsidRPr="00BA0FBF">
        <w:t xml:space="preserve">This </w:t>
      </w:r>
      <w:r w:rsidR="003F7589" w:rsidRPr="00BA0FBF">
        <w:t>analysis</w:t>
      </w:r>
      <w:r w:rsidRPr="00BA0FBF">
        <w:t xml:space="preserve"> does not include any changes in the </w:t>
      </w:r>
      <w:r w:rsidR="00E368C7" w:rsidRPr="00BA0FBF">
        <w:t>overall volume</w:t>
      </w:r>
      <w:r w:rsidRPr="00BA0FBF">
        <w:t xml:space="preserve"> of goods and services purchased that may result from households changing their consumption behaviour in response to GST</w:t>
      </w:r>
      <w:r w:rsidR="003F7589" w:rsidRPr="00BA0FBF">
        <w:t xml:space="preserve"> reform scenarios</w:t>
      </w:r>
      <w:r w:rsidRPr="00BA0FBF">
        <w:t>.  The impact on GST revenue from the GST reform scenarios wholly reflects the impact from price changes.</w:t>
      </w:r>
      <w:r w:rsidR="002F66E5">
        <w:rPr>
          <w:rStyle w:val="FootnoteReference"/>
        </w:rPr>
        <w:footnoteReference w:id="56"/>
      </w:r>
    </w:p>
    <w:p w:rsidR="005331A9" w:rsidRPr="00BA0FBF" w:rsidRDefault="003F7589" w:rsidP="00C407BF">
      <w:pPr>
        <w:pStyle w:val="BodyText"/>
      </w:pPr>
      <w:r w:rsidRPr="00BA0FBF">
        <w:t xml:space="preserve">This analysis incorporates </w:t>
      </w:r>
      <w:r w:rsidR="00CE32CC" w:rsidRPr="00BA0FBF">
        <w:t>an assumption to allow for a shift in consumption from taxable to non</w:t>
      </w:r>
      <w:r w:rsidR="00CE32CC" w:rsidRPr="00BA0FBF">
        <w:noBreakHyphen/>
        <w:t xml:space="preserve">taxable items in response to changes in relative prices under </w:t>
      </w:r>
      <w:r w:rsidR="006E29CD">
        <w:t xml:space="preserve">the </w:t>
      </w:r>
      <w:r w:rsidR="00CE32CC" w:rsidRPr="00BA0FBF">
        <w:t xml:space="preserve">GST reform scenarios.  This has relatively little impact on the net </w:t>
      </w:r>
      <w:r w:rsidR="00A82B9D">
        <w:t xml:space="preserve">additional </w:t>
      </w:r>
      <w:r w:rsidR="00CE32CC" w:rsidRPr="00BA0FBF">
        <w:t xml:space="preserve">revenue under </w:t>
      </w:r>
      <w:r w:rsidR="006E29CD">
        <w:t>each</w:t>
      </w:r>
      <w:r w:rsidR="00CE32CC" w:rsidRPr="00BA0FBF">
        <w:t xml:space="preserve"> scenario.</w:t>
      </w:r>
      <w:r w:rsidR="00CE32CC" w:rsidRPr="0086621F">
        <w:rPr>
          <w:rStyle w:val="FootnoteReference"/>
        </w:rPr>
        <w:footnoteReference w:id="57"/>
      </w:r>
    </w:p>
    <w:p w:rsidR="00D51D02" w:rsidRPr="00BA0FBF" w:rsidRDefault="00865406" w:rsidP="00C407BF">
      <w:pPr>
        <w:pStyle w:val="BodyText"/>
      </w:pPr>
      <w:r>
        <w:t>E</w:t>
      </w:r>
      <w:r w:rsidR="00D51D02" w:rsidRPr="00BA0FBF">
        <w:t>xperience with the introduction of the GST in 2000 suggests that increasing the GST rate and/or broadening the GST base would be likely to see some consumption brought forward from 2017</w:t>
      </w:r>
      <w:r w:rsidR="004A280F" w:rsidRPr="00BA0FBF">
        <w:t>–</w:t>
      </w:r>
      <w:r w:rsidR="00D51D02" w:rsidRPr="00BA0FBF">
        <w:t>18 to 2016</w:t>
      </w:r>
      <w:r w:rsidR="004A280F" w:rsidRPr="00BA0FBF">
        <w:t>–</w:t>
      </w:r>
      <w:r w:rsidR="00D51D02" w:rsidRPr="00BA0FBF">
        <w:t>17.  The extent of this bring forward would depend, among other things, on the timing of the announcement of any proposal, specific details of rules covering prepayments, and the response of producers to shifts in consumer demand.</w:t>
      </w:r>
    </w:p>
    <w:p w:rsidR="00FE6DA1" w:rsidRDefault="00D51D02" w:rsidP="00C407BF">
      <w:pPr>
        <w:pStyle w:val="BodyText"/>
        <w:sectPr w:rsidR="00FE6DA1" w:rsidSect="00C407BF">
          <w:pgSz w:w="11906" w:h="16838" w:code="9"/>
          <w:pgMar w:top="1361" w:right="1797" w:bottom="1474" w:left="1797" w:header="284" w:footer="454" w:gutter="0"/>
          <w:cols w:space="708"/>
          <w:docGrid w:linePitch="360"/>
        </w:sectPr>
      </w:pPr>
      <w:r w:rsidRPr="00BA0FBF">
        <w:t>The analysis in this report does not include any adjustment to reflect the impact of GST reform scenarios on the timing of consumption, reflecting its focus on the ongoing impact of GST reform scenarios rather than transitional effects.</w:t>
      </w:r>
    </w:p>
    <w:p w:rsidR="00C8109C" w:rsidRPr="00BA0FBF" w:rsidRDefault="00E368C7" w:rsidP="00C8109C">
      <w:pPr>
        <w:pStyle w:val="Heading2"/>
        <w:rPr>
          <w:sz w:val="28"/>
        </w:rPr>
      </w:pPr>
      <w:bookmarkStart w:id="130" w:name="_Toc436400336"/>
      <w:bookmarkStart w:id="131" w:name="_Toc437429852"/>
      <w:r w:rsidRPr="00BA0FBF">
        <w:rPr>
          <w:sz w:val="28"/>
        </w:rPr>
        <w:t>Scenario 1</w:t>
      </w:r>
      <w:r w:rsidR="00C8109C" w:rsidRPr="00BA0FBF">
        <w:rPr>
          <w:sz w:val="28"/>
        </w:rPr>
        <w:t xml:space="preserve">: </w:t>
      </w:r>
      <w:r w:rsidR="001F2835">
        <w:rPr>
          <w:sz w:val="28"/>
        </w:rPr>
        <w:t>b</w:t>
      </w:r>
      <w:r w:rsidRPr="00BA0FBF">
        <w:rPr>
          <w:sz w:val="28"/>
        </w:rPr>
        <w:t>asic food s</w:t>
      </w:r>
      <w:r w:rsidR="00C8109C" w:rsidRPr="00BA0FBF">
        <w:rPr>
          <w:sz w:val="28"/>
        </w:rPr>
        <w:t>ubject to GST</w:t>
      </w:r>
      <w:bookmarkEnd w:id="130"/>
      <w:bookmarkEnd w:id="131"/>
    </w:p>
    <w:p w:rsidR="00C8109C" w:rsidRPr="00BA0FBF" w:rsidRDefault="00C8109C" w:rsidP="00C8109C">
      <w:pPr>
        <w:pStyle w:val="Heading3"/>
        <w:rPr>
          <w:sz w:val="24"/>
        </w:rPr>
      </w:pPr>
      <w:bookmarkStart w:id="132" w:name="_Toc435093673"/>
      <w:bookmarkStart w:id="133" w:name="_Toc435632999"/>
      <w:bookmarkStart w:id="134" w:name="_Toc436400337"/>
      <w:r w:rsidRPr="00BA0FBF">
        <w:rPr>
          <w:sz w:val="24"/>
        </w:rPr>
        <w:t xml:space="preserve">Revenue impact of Scenario </w:t>
      </w:r>
      <w:bookmarkEnd w:id="132"/>
      <w:bookmarkEnd w:id="133"/>
      <w:r w:rsidR="00E368C7" w:rsidRPr="00BA0FBF">
        <w:rPr>
          <w:sz w:val="24"/>
        </w:rPr>
        <w:t>1</w:t>
      </w:r>
      <w:bookmarkEnd w:id="134"/>
    </w:p>
    <w:p w:rsidR="006E29CD" w:rsidRPr="00BA0FBF" w:rsidRDefault="006E29CD" w:rsidP="006E29CD">
      <w:pPr>
        <w:pStyle w:val="BodyText17ptAbove"/>
      </w:pPr>
      <w:r w:rsidRPr="00BA0FBF">
        <w:t>Removing the GST</w:t>
      </w:r>
      <w:r w:rsidRPr="00BA0FBF">
        <w:noBreakHyphen/>
        <w:t>free status of basic food would increase GST revenue (net of the assumed compensation package) by $4.8 billion (0.3 per cent of GDP) in 2017–18</w:t>
      </w:r>
      <w:r>
        <w:t xml:space="preserve"> (Table 4-1</w:t>
      </w:r>
      <w:r w:rsidR="00812EE2">
        <w:t>)</w:t>
      </w:r>
      <w:r w:rsidRPr="00BA0FBF">
        <w:t>.</w:t>
      </w:r>
    </w:p>
    <w:p w:rsidR="004A280F" w:rsidRPr="00BA0FBF" w:rsidRDefault="004A280F" w:rsidP="001F493A">
      <w:pPr>
        <w:pStyle w:val="Caption"/>
        <w:spacing w:before="240"/>
        <w:rPr>
          <w:sz w:val="20"/>
        </w:rPr>
      </w:pPr>
      <w:bookmarkStart w:id="135" w:name="_Ref436654709"/>
      <w:bookmarkStart w:id="136" w:name="_Toc436664558"/>
      <w:bookmarkStart w:id="137" w:name="_Toc436917805"/>
      <w:bookmarkStart w:id="138" w:name="_Toc437429563"/>
      <w:r w:rsidRPr="00BA0FBF">
        <w:rPr>
          <w:sz w:val="20"/>
        </w:rPr>
        <w:t xml:space="preserve">Table </w:t>
      </w:r>
      <w:r w:rsidR="009F1D24" w:rsidRPr="00BA0FBF">
        <w:rPr>
          <w:sz w:val="20"/>
        </w:rPr>
        <w:fldChar w:fldCharType="begin"/>
      </w:r>
      <w:r w:rsidR="009F1D24" w:rsidRPr="00BA0FBF">
        <w:rPr>
          <w:sz w:val="20"/>
        </w:rPr>
        <w:instrText xml:space="preserve"> STYLEREF 1 \s </w:instrText>
      </w:r>
      <w:r w:rsidR="009F1D24" w:rsidRPr="00BA0FBF">
        <w:rPr>
          <w:sz w:val="20"/>
        </w:rPr>
        <w:fldChar w:fldCharType="separate"/>
      </w:r>
      <w:r w:rsidR="00076CF9">
        <w:rPr>
          <w:noProof/>
          <w:sz w:val="20"/>
        </w:rPr>
        <w:t>4</w:t>
      </w:r>
      <w:r w:rsidR="009F1D24" w:rsidRPr="00BA0FBF">
        <w:rPr>
          <w:noProof/>
          <w:sz w:val="20"/>
        </w:rPr>
        <w:fldChar w:fldCharType="end"/>
      </w:r>
      <w:r w:rsidRPr="00BA0FBF">
        <w:rPr>
          <w:sz w:val="20"/>
        </w:rPr>
        <w:t>–</w:t>
      </w:r>
      <w:r w:rsidR="009F1D24" w:rsidRPr="00BA0FBF">
        <w:rPr>
          <w:sz w:val="20"/>
        </w:rPr>
        <w:fldChar w:fldCharType="begin"/>
      </w:r>
      <w:r w:rsidR="009F1D24" w:rsidRPr="00BA0FBF">
        <w:rPr>
          <w:sz w:val="20"/>
        </w:rPr>
        <w:instrText xml:space="preserve"> SEQ Table \* ARABIC \s 1 </w:instrText>
      </w:r>
      <w:r w:rsidR="009F1D24" w:rsidRPr="00BA0FBF">
        <w:rPr>
          <w:sz w:val="20"/>
        </w:rPr>
        <w:fldChar w:fldCharType="separate"/>
      </w:r>
      <w:r w:rsidR="00076CF9">
        <w:rPr>
          <w:noProof/>
          <w:sz w:val="20"/>
        </w:rPr>
        <w:t>1</w:t>
      </w:r>
      <w:r w:rsidR="009F1D24" w:rsidRPr="00BA0FBF">
        <w:rPr>
          <w:noProof/>
          <w:sz w:val="20"/>
        </w:rPr>
        <w:fldChar w:fldCharType="end"/>
      </w:r>
      <w:bookmarkEnd w:id="135"/>
      <w:r w:rsidRPr="00BA0FBF">
        <w:rPr>
          <w:sz w:val="20"/>
        </w:rPr>
        <w:t xml:space="preserve">: Revenue </w:t>
      </w:r>
      <w:r w:rsidR="001F2835">
        <w:rPr>
          <w:sz w:val="20"/>
        </w:rPr>
        <w:t>i</w:t>
      </w:r>
      <w:r w:rsidRPr="00BA0FBF">
        <w:rPr>
          <w:sz w:val="20"/>
        </w:rPr>
        <w:t xml:space="preserve">mpact of Scenario 1 </w:t>
      </w:r>
      <w:r w:rsidR="001F2835">
        <w:rPr>
          <w:sz w:val="20"/>
        </w:rPr>
        <w:t>(</w:t>
      </w:r>
      <w:r w:rsidRPr="00BA0FBF">
        <w:rPr>
          <w:sz w:val="20"/>
        </w:rPr>
        <w:t>basic food subject to GST</w:t>
      </w:r>
      <w:bookmarkEnd w:id="136"/>
      <w:r w:rsidR="001F2835">
        <w:rPr>
          <w:sz w:val="20"/>
        </w:rPr>
        <w:t>)</w:t>
      </w:r>
      <w:bookmarkEnd w:id="137"/>
      <w:bookmarkEnd w:id="138"/>
    </w:p>
    <w:tbl>
      <w:tblPr>
        <w:tblStyle w:val="TableGrid"/>
        <w:tblW w:w="3896" w:type="pct"/>
        <w:tblLook w:val="04A0" w:firstRow="1" w:lastRow="0" w:firstColumn="1" w:lastColumn="0" w:noHBand="0" w:noVBand="1"/>
      </w:tblPr>
      <w:tblGrid>
        <w:gridCol w:w="3923"/>
        <w:gridCol w:w="1277"/>
        <w:gridCol w:w="1277"/>
      </w:tblGrid>
      <w:tr w:rsidR="00307F11" w:rsidRPr="00BA0FBF" w:rsidTr="00A82B9D">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3028" w:type="pct"/>
            <w:vAlign w:val="center"/>
          </w:tcPr>
          <w:p w:rsidR="00307F11" w:rsidRPr="00BA0FBF" w:rsidRDefault="00307F11" w:rsidP="009B1030">
            <w:pPr>
              <w:pStyle w:val="TableHeading"/>
            </w:pPr>
          </w:p>
        </w:tc>
        <w:tc>
          <w:tcPr>
            <w:tcW w:w="986" w:type="pct"/>
            <w:vAlign w:val="center"/>
          </w:tcPr>
          <w:p w:rsidR="00307F11" w:rsidRPr="00BA0FBF" w:rsidRDefault="004A280F" w:rsidP="009B1030">
            <w:pPr>
              <w:pStyle w:val="TableHeading"/>
              <w:cnfStyle w:val="100000000000" w:firstRow="1" w:lastRow="0" w:firstColumn="0" w:lastColumn="0" w:oddVBand="0" w:evenVBand="0" w:oddHBand="0" w:evenHBand="0" w:firstRowFirstColumn="0" w:firstRowLastColumn="0" w:lastRowFirstColumn="0" w:lastRowLastColumn="0"/>
            </w:pPr>
            <w:r w:rsidRPr="00BA0FBF">
              <w:t>2017–</w:t>
            </w:r>
            <w:r w:rsidR="00307F11" w:rsidRPr="00BA0FBF">
              <w:t>18</w:t>
            </w:r>
          </w:p>
        </w:tc>
        <w:tc>
          <w:tcPr>
            <w:tcW w:w="986" w:type="pct"/>
            <w:vAlign w:val="center"/>
          </w:tcPr>
          <w:p w:rsidR="00307F11" w:rsidRPr="00BA0FBF" w:rsidRDefault="00307F11" w:rsidP="009B1030">
            <w:pPr>
              <w:pStyle w:val="TableHeading"/>
              <w:cnfStyle w:val="100000000000" w:firstRow="1" w:lastRow="0" w:firstColumn="0" w:lastColumn="0" w:oddVBand="0" w:evenVBand="0" w:oddHBand="0" w:evenHBand="0" w:firstRowFirstColumn="0" w:firstRowLastColumn="0" w:lastRowFirstColumn="0" w:lastRowLastColumn="0"/>
            </w:pPr>
            <w:r w:rsidRPr="00BA0FBF">
              <w:t>% of GDP</w:t>
            </w:r>
          </w:p>
        </w:tc>
      </w:tr>
      <w:tr w:rsidR="007A769B" w:rsidRPr="00BA0FBF" w:rsidTr="00A82B9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28" w:type="pct"/>
          </w:tcPr>
          <w:p w:rsidR="007A769B" w:rsidRPr="00BA0FBF" w:rsidRDefault="006E29CD" w:rsidP="009B1030">
            <w:pPr>
              <w:pStyle w:val="TableText"/>
            </w:pPr>
            <w:r>
              <w:t xml:space="preserve">Additional </w:t>
            </w:r>
            <w:r w:rsidR="007A769B" w:rsidRPr="00BA0FBF">
              <w:t>GST revenue</w:t>
            </w:r>
            <w:r w:rsidR="00A82B9D">
              <w:t xml:space="preserve"> ($b)</w:t>
            </w:r>
          </w:p>
        </w:tc>
        <w:tc>
          <w:tcPr>
            <w:tcW w:w="986" w:type="pct"/>
          </w:tcPr>
          <w:p w:rsidR="007A769B" w:rsidRPr="00BA0FBF" w:rsidRDefault="007A769B" w:rsidP="009B1030">
            <w:pPr>
              <w:pStyle w:val="TableTextCentred"/>
              <w:cnfStyle w:val="000000100000" w:firstRow="0" w:lastRow="0" w:firstColumn="0" w:lastColumn="0" w:oddVBand="0" w:evenVBand="0" w:oddHBand="1" w:evenHBand="0" w:firstRowFirstColumn="0" w:firstRowLastColumn="0" w:lastRowFirstColumn="0" w:lastRowLastColumn="0"/>
            </w:pPr>
            <w:r w:rsidRPr="00BA0FBF">
              <w:t>7.2</w:t>
            </w:r>
          </w:p>
        </w:tc>
        <w:tc>
          <w:tcPr>
            <w:tcW w:w="986" w:type="pct"/>
          </w:tcPr>
          <w:p w:rsidR="007A769B" w:rsidRPr="00BA0FBF" w:rsidRDefault="007A769B" w:rsidP="009B1030">
            <w:pPr>
              <w:pStyle w:val="TableTextCentred"/>
              <w:cnfStyle w:val="000000100000" w:firstRow="0" w:lastRow="0" w:firstColumn="0" w:lastColumn="0" w:oddVBand="0" w:evenVBand="0" w:oddHBand="1" w:evenHBand="0" w:firstRowFirstColumn="0" w:firstRowLastColumn="0" w:lastRowFirstColumn="0" w:lastRowLastColumn="0"/>
            </w:pPr>
            <w:r w:rsidRPr="00BA0FBF">
              <w:t>0.4%</w:t>
            </w:r>
          </w:p>
        </w:tc>
      </w:tr>
      <w:tr w:rsidR="007A769B" w:rsidRPr="00BA0FBF" w:rsidTr="00A82B9D">
        <w:trPr>
          <w:cantSplit/>
        </w:trPr>
        <w:tc>
          <w:tcPr>
            <w:cnfStyle w:val="001000000000" w:firstRow="0" w:lastRow="0" w:firstColumn="1" w:lastColumn="0" w:oddVBand="0" w:evenVBand="0" w:oddHBand="0" w:evenHBand="0" w:firstRowFirstColumn="0" w:firstRowLastColumn="0" w:lastRowFirstColumn="0" w:lastRowLastColumn="0"/>
            <w:tcW w:w="3028" w:type="pct"/>
          </w:tcPr>
          <w:p w:rsidR="007A769B" w:rsidRPr="00BA0FBF" w:rsidRDefault="007A769B" w:rsidP="009B1030">
            <w:pPr>
              <w:pStyle w:val="TableText"/>
            </w:pPr>
            <w:r w:rsidRPr="00BA0FBF">
              <w:t>Compensation: technical assumption</w:t>
            </w:r>
            <w:r w:rsidR="00A82B9D">
              <w:t xml:space="preserve"> ($b)</w:t>
            </w:r>
          </w:p>
        </w:tc>
        <w:tc>
          <w:tcPr>
            <w:tcW w:w="986" w:type="pct"/>
          </w:tcPr>
          <w:p w:rsidR="007A769B" w:rsidRPr="00BA0FBF" w:rsidRDefault="007A769B" w:rsidP="009B1030">
            <w:pPr>
              <w:pStyle w:val="TableTextCentred"/>
              <w:cnfStyle w:val="000000000000" w:firstRow="0" w:lastRow="0" w:firstColumn="0" w:lastColumn="0" w:oddVBand="0" w:evenVBand="0" w:oddHBand="0" w:evenHBand="0" w:firstRowFirstColumn="0" w:firstRowLastColumn="0" w:lastRowFirstColumn="0" w:lastRowLastColumn="0"/>
            </w:pPr>
            <w:r w:rsidRPr="00BA0FBF">
              <w:t>2.4</w:t>
            </w:r>
          </w:p>
        </w:tc>
        <w:tc>
          <w:tcPr>
            <w:tcW w:w="986" w:type="pct"/>
          </w:tcPr>
          <w:p w:rsidR="007A769B" w:rsidRPr="00BA0FBF" w:rsidRDefault="00C3659D" w:rsidP="009B1030">
            <w:pPr>
              <w:pStyle w:val="TableTextCentred"/>
              <w:cnfStyle w:val="000000000000" w:firstRow="0" w:lastRow="0" w:firstColumn="0" w:lastColumn="0" w:oddVBand="0" w:evenVBand="0" w:oddHBand="0" w:evenHBand="0" w:firstRowFirstColumn="0" w:firstRowLastColumn="0" w:lastRowFirstColumn="0" w:lastRowLastColumn="0"/>
            </w:pPr>
            <w:r>
              <w:t>0.1%</w:t>
            </w:r>
          </w:p>
        </w:tc>
      </w:tr>
      <w:tr w:rsidR="007A769B" w:rsidRPr="00BA0FBF" w:rsidTr="00A82B9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28" w:type="pct"/>
          </w:tcPr>
          <w:p w:rsidR="007A769B" w:rsidRPr="00695B37" w:rsidRDefault="007A769B" w:rsidP="009B1030">
            <w:pPr>
              <w:pStyle w:val="TableText"/>
              <w:rPr>
                <w:b/>
              </w:rPr>
            </w:pPr>
            <w:r w:rsidRPr="00695B37">
              <w:rPr>
                <w:b/>
              </w:rPr>
              <w:t xml:space="preserve">Net </w:t>
            </w:r>
            <w:r w:rsidR="006E29CD">
              <w:rPr>
                <w:b/>
              </w:rPr>
              <w:t xml:space="preserve">additional </w:t>
            </w:r>
            <w:r w:rsidRPr="00695B37">
              <w:rPr>
                <w:b/>
              </w:rPr>
              <w:t>GST revenue: Scenario 1</w:t>
            </w:r>
            <w:r w:rsidR="00A82B9D">
              <w:rPr>
                <w:b/>
              </w:rPr>
              <w:t xml:space="preserve"> ($b)</w:t>
            </w:r>
          </w:p>
        </w:tc>
        <w:tc>
          <w:tcPr>
            <w:tcW w:w="986" w:type="pct"/>
          </w:tcPr>
          <w:p w:rsidR="007A769B" w:rsidRPr="00BA0FBF" w:rsidRDefault="007A769B" w:rsidP="009B1030">
            <w:pPr>
              <w:pStyle w:val="TableTextCentred"/>
              <w:cnfStyle w:val="000000100000" w:firstRow="0" w:lastRow="0" w:firstColumn="0" w:lastColumn="0" w:oddVBand="0" w:evenVBand="0" w:oddHBand="1" w:evenHBand="0" w:firstRowFirstColumn="0" w:firstRowLastColumn="0" w:lastRowFirstColumn="0" w:lastRowLastColumn="0"/>
              <w:rPr>
                <w:b/>
              </w:rPr>
            </w:pPr>
            <w:r w:rsidRPr="00BA0FBF">
              <w:rPr>
                <w:b/>
              </w:rPr>
              <w:t>4.8</w:t>
            </w:r>
          </w:p>
        </w:tc>
        <w:tc>
          <w:tcPr>
            <w:tcW w:w="986" w:type="pct"/>
          </w:tcPr>
          <w:p w:rsidR="007A769B" w:rsidRPr="00BA0FBF" w:rsidRDefault="007A769B" w:rsidP="009B1030">
            <w:pPr>
              <w:pStyle w:val="TableTextCentred"/>
              <w:cnfStyle w:val="000000100000" w:firstRow="0" w:lastRow="0" w:firstColumn="0" w:lastColumn="0" w:oddVBand="0" w:evenVBand="0" w:oddHBand="1" w:evenHBand="0" w:firstRowFirstColumn="0" w:firstRowLastColumn="0" w:lastRowFirstColumn="0" w:lastRowLastColumn="0"/>
              <w:rPr>
                <w:b/>
              </w:rPr>
            </w:pPr>
            <w:r w:rsidRPr="00BA0FBF">
              <w:rPr>
                <w:b/>
              </w:rPr>
              <w:t>0.3%</w:t>
            </w:r>
          </w:p>
        </w:tc>
      </w:tr>
    </w:tbl>
    <w:p w:rsidR="001F493A" w:rsidRDefault="001F493A" w:rsidP="001F493A">
      <w:pPr>
        <w:pStyle w:val="Source"/>
        <w:spacing w:before="120" w:after="0"/>
      </w:pPr>
      <w:r>
        <w:t xml:space="preserve">Source: </w:t>
      </w:r>
      <w:r w:rsidR="004E109F">
        <w:t>PBO analysis based on data from the ABS and Treasury</w:t>
      </w:r>
    </w:p>
    <w:p w:rsidR="00BF2274" w:rsidRPr="00BA0FBF" w:rsidRDefault="00C8109C" w:rsidP="00C407BF">
      <w:pPr>
        <w:pStyle w:val="BodyText"/>
      </w:pPr>
      <w:r w:rsidRPr="00BA0FBF">
        <w:t>GST revenue would increase by $</w:t>
      </w:r>
      <w:r w:rsidR="00B45B40" w:rsidRPr="00BA0FBF">
        <w:t>7.</w:t>
      </w:r>
      <w:r w:rsidR="007A769B" w:rsidRPr="00BA0FBF">
        <w:t>2</w:t>
      </w:r>
      <w:r w:rsidRPr="00BA0FBF">
        <w:t xml:space="preserve"> billion (or </w:t>
      </w:r>
      <w:r w:rsidR="00B45B40" w:rsidRPr="00BA0FBF">
        <w:t>0.4</w:t>
      </w:r>
      <w:r w:rsidRPr="00BA0FBF">
        <w:t xml:space="preserve"> per cent of GDP) in 201</w:t>
      </w:r>
      <w:r w:rsidR="00E368C7" w:rsidRPr="00BA0FBF">
        <w:t>7</w:t>
      </w:r>
      <w:r w:rsidR="004A280F" w:rsidRPr="00BA0FBF">
        <w:t>–</w:t>
      </w:r>
      <w:r w:rsidRPr="00BA0FBF">
        <w:t>1</w:t>
      </w:r>
      <w:r w:rsidR="00E368C7" w:rsidRPr="00BA0FBF">
        <w:t>8</w:t>
      </w:r>
      <w:r w:rsidRPr="00BA0FBF">
        <w:t>.</w:t>
      </w:r>
      <w:r w:rsidR="004E2F14" w:rsidRPr="00BA0FBF">
        <w:t xml:space="preserve">  The technical assumption that there would be compensation sufficient to fully offset the impact of the scenario on the bottom 40 per cent of households would cost $2.4 billion in 2017</w:t>
      </w:r>
      <w:r w:rsidR="004A280F" w:rsidRPr="00BA0FBF">
        <w:t>–</w:t>
      </w:r>
      <w:r w:rsidR="004E2F14" w:rsidRPr="00BA0FBF">
        <w:t>18.</w:t>
      </w:r>
    </w:p>
    <w:p w:rsidR="00C8109C" w:rsidRPr="001F2835" w:rsidRDefault="00C8109C" w:rsidP="00C407BF">
      <w:pPr>
        <w:pStyle w:val="BodyText"/>
        <w:rPr>
          <w:szCs w:val="20"/>
        </w:rPr>
      </w:pPr>
      <w:r w:rsidRPr="00BA0FBF">
        <w:t xml:space="preserve">Additional detail on the </w:t>
      </w:r>
      <w:r w:rsidR="001C0964" w:rsidRPr="00BA0FBF">
        <w:t>revenue impact</w:t>
      </w:r>
      <w:r w:rsidR="004E2F14" w:rsidRPr="00BA0FBF">
        <w:t xml:space="preserve"> of Scenario 1</w:t>
      </w:r>
      <w:r w:rsidRPr="00BA0FBF">
        <w:t xml:space="preserve"> is provided in</w:t>
      </w:r>
      <w:r w:rsidR="00B01B6B">
        <w:t xml:space="preserve"> </w:t>
      </w:r>
      <w:r w:rsidR="009F3257">
        <w:rPr>
          <w:szCs w:val="20"/>
        </w:rPr>
        <w:t>Appendix C</w:t>
      </w:r>
      <w:r w:rsidRPr="001F2835">
        <w:rPr>
          <w:szCs w:val="20"/>
        </w:rPr>
        <w:t>.</w:t>
      </w:r>
    </w:p>
    <w:p w:rsidR="00C8109C" w:rsidRPr="00BA0FBF" w:rsidRDefault="00C8109C" w:rsidP="00C8109C">
      <w:pPr>
        <w:pStyle w:val="Heading3"/>
        <w:rPr>
          <w:sz w:val="24"/>
        </w:rPr>
      </w:pPr>
      <w:bookmarkStart w:id="139" w:name="_Toc435093674"/>
      <w:bookmarkStart w:id="140" w:name="_Toc435633000"/>
      <w:bookmarkStart w:id="141" w:name="_Toc436400338"/>
      <w:r w:rsidRPr="00BA0FBF">
        <w:rPr>
          <w:sz w:val="24"/>
        </w:rPr>
        <w:t xml:space="preserve">Distributional </w:t>
      </w:r>
      <w:r w:rsidR="00C407BF">
        <w:rPr>
          <w:sz w:val="24"/>
        </w:rPr>
        <w:t>i</w:t>
      </w:r>
      <w:r w:rsidRPr="00BA0FBF">
        <w:rPr>
          <w:sz w:val="24"/>
        </w:rPr>
        <w:t xml:space="preserve">mpact of Scenario </w:t>
      </w:r>
      <w:bookmarkEnd w:id="139"/>
      <w:bookmarkEnd w:id="140"/>
      <w:r w:rsidR="004E2F14" w:rsidRPr="00BA0FBF">
        <w:rPr>
          <w:sz w:val="24"/>
        </w:rPr>
        <w:t>1</w:t>
      </w:r>
      <w:bookmarkEnd w:id="141"/>
    </w:p>
    <w:p w:rsidR="00BF2274" w:rsidRPr="00BA0FBF" w:rsidRDefault="004A280F" w:rsidP="00C407BF">
      <w:pPr>
        <w:pStyle w:val="BodyText"/>
      </w:pPr>
      <w:r w:rsidRPr="00BA0FBF">
        <w:fldChar w:fldCharType="begin"/>
      </w:r>
      <w:r w:rsidRPr="00BA0FBF">
        <w:instrText xml:space="preserve"> REF _Ref436654866 \h </w:instrText>
      </w:r>
      <w:r w:rsidR="00BA0FBF">
        <w:instrText xml:space="preserve"> \* MERGEFORMAT </w:instrText>
      </w:r>
      <w:r w:rsidRPr="00BA0FBF">
        <w:fldChar w:fldCharType="separate"/>
      </w:r>
      <w:r w:rsidR="00076CF9" w:rsidRPr="00076CF9">
        <w:t>Figure 4–1</w:t>
      </w:r>
      <w:r w:rsidRPr="00BA0FBF">
        <w:fldChar w:fldCharType="end"/>
      </w:r>
      <w:r w:rsidR="00C8109C" w:rsidRPr="00BA0FBF">
        <w:t xml:space="preserve"> presents a distributional analysis of the relative and absolute impact</w:t>
      </w:r>
      <w:r w:rsidR="003A1E75" w:rsidRPr="00BA0FBF">
        <w:t>s</w:t>
      </w:r>
      <w:r w:rsidR="00C8109C" w:rsidRPr="00BA0FBF">
        <w:t xml:space="preserve"> of additio</w:t>
      </w:r>
      <w:r w:rsidR="004E2F14" w:rsidRPr="00BA0FBF">
        <w:t>nal GST revenue under Scenario 1</w:t>
      </w:r>
      <w:r w:rsidR="00C8109C" w:rsidRPr="00BA0FBF">
        <w:t xml:space="preserve"> on households by income decile.</w:t>
      </w:r>
    </w:p>
    <w:p w:rsidR="00BF2274" w:rsidRPr="00BA0FBF" w:rsidRDefault="00BF2274" w:rsidP="00C407BF">
      <w:pPr>
        <w:pStyle w:val="BodyText"/>
      </w:pPr>
      <w:r w:rsidRPr="00BA0FBF">
        <w:t>Removing the GST</w:t>
      </w:r>
      <w:r w:rsidRPr="00BA0FBF">
        <w:noBreakHyphen/>
        <w:t xml:space="preserve">free status of basic food </w:t>
      </w:r>
      <w:r w:rsidR="00C8109C" w:rsidRPr="00BA0FBF">
        <w:t xml:space="preserve">has a </w:t>
      </w:r>
      <w:r w:rsidRPr="00BA0FBF">
        <w:t xml:space="preserve">significantly </w:t>
      </w:r>
      <w:r w:rsidR="00C8109C" w:rsidRPr="00BA0FBF">
        <w:t>greater relative i</w:t>
      </w:r>
      <w:r w:rsidRPr="00BA0FBF">
        <w:t>mpact on lower income earners.</w:t>
      </w:r>
      <w:r w:rsidR="003F689B">
        <w:t xml:space="preserve">  </w:t>
      </w:r>
    </w:p>
    <w:p w:rsidR="00C8109C" w:rsidRPr="00BA0FBF" w:rsidRDefault="00C8109C" w:rsidP="00C407BF">
      <w:pPr>
        <w:pStyle w:val="BodyText"/>
      </w:pPr>
      <w:r w:rsidRPr="00BA0FBF">
        <w:t xml:space="preserve">In the absence of compensation arrangements targeting lower income households, those in the lowest income decile would pay an additional </w:t>
      </w:r>
      <w:r w:rsidR="00934F10">
        <w:t>1.9</w:t>
      </w:r>
      <w:r w:rsidRPr="00BA0FBF">
        <w:t xml:space="preserve"> per cent of their disposable income under this scenario, compared with </w:t>
      </w:r>
      <w:r w:rsidR="0058759E" w:rsidRPr="00BA0FBF">
        <w:t>the average of an additional 0.3</w:t>
      </w:r>
      <w:r w:rsidRPr="00BA0FBF">
        <w:t> pe</w:t>
      </w:r>
      <w:r w:rsidR="004E2F14" w:rsidRPr="00BA0FBF">
        <w:t>r cent paid by those in the highest income decile</w:t>
      </w:r>
      <w:r w:rsidRPr="00BA0FBF">
        <w:t>.</w:t>
      </w:r>
    </w:p>
    <w:p w:rsidR="004A280F" w:rsidRPr="00BA0FBF" w:rsidRDefault="004A280F" w:rsidP="004A280F">
      <w:pPr>
        <w:pStyle w:val="Caption"/>
        <w:rPr>
          <w:sz w:val="20"/>
        </w:rPr>
      </w:pPr>
      <w:bookmarkStart w:id="142" w:name="_Ref436654866"/>
      <w:bookmarkStart w:id="143" w:name="_Toc436917830"/>
      <w:bookmarkStart w:id="144" w:name="_Toc437429588"/>
      <w:r w:rsidRPr="00BA0FBF">
        <w:rPr>
          <w:sz w:val="20"/>
        </w:rPr>
        <w:t xml:space="preserve">Figure </w:t>
      </w:r>
      <w:r w:rsidR="009F1D24" w:rsidRPr="00BA0FBF">
        <w:rPr>
          <w:sz w:val="20"/>
        </w:rPr>
        <w:fldChar w:fldCharType="begin"/>
      </w:r>
      <w:r w:rsidR="009F1D24" w:rsidRPr="00BA0FBF">
        <w:rPr>
          <w:sz w:val="20"/>
        </w:rPr>
        <w:instrText xml:space="preserve"> STYLEREF 1 \s </w:instrText>
      </w:r>
      <w:r w:rsidR="009F1D24" w:rsidRPr="00BA0FBF">
        <w:rPr>
          <w:sz w:val="20"/>
        </w:rPr>
        <w:fldChar w:fldCharType="separate"/>
      </w:r>
      <w:r w:rsidR="00076CF9">
        <w:rPr>
          <w:noProof/>
          <w:sz w:val="20"/>
        </w:rPr>
        <w:t>4</w:t>
      </w:r>
      <w:r w:rsidR="009F1D24" w:rsidRPr="00BA0FBF">
        <w:rPr>
          <w:noProof/>
          <w:sz w:val="20"/>
        </w:rPr>
        <w:fldChar w:fldCharType="end"/>
      </w:r>
      <w:r w:rsidRPr="00BA0FBF">
        <w:rPr>
          <w:sz w:val="20"/>
        </w:rPr>
        <w:t>–</w:t>
      </w:r>
      <w:r w:rsidR="009F1D24" w:rsidRPr="00BA0FBF">
        <w:rPr>
          <w:sz w:val="20"/>
        </w:rPr>
        <w:fldChar w:fldCharType="begin"/>
      </w:r>
      <w:r w:rsidR="009F1D24" w:rsidRPr="00BA0FBF">
        <w:rPr>
          <w:sz w:val="20"/>
        </w:rPr>
        <w:instrText xml:space="preserve"> SEQ Figure \* ARABIC \s 1 </w:instrText>
      </w:r>
      <w:r w:rsidR="009F1D24" w:rsidRPr="00BA0FBF">
        <w:rPr>
          <w:sz w:val="20"/>
        </w:rPr>
        <w:fldChar w:fldCharType="separate"/>
      </w:r>
      <w:r w:rsidR="00076CF9">
        <w:rPr>
          <w:noProof/>
          <w:sz w:val="20"/>
        </w:rPr>
        <w:t>1</w:t>
      </w:r>
      <w:r w:rsidR="009F1D24" w:rsidRPr="00BA0FBF">
        <w:rPr>
          <w:noProof/>
          <w:sz w:val="20"/>
        </w:rPr>
        <w:fldChar w:fldCharType="end"/>
      </w:r>
      <w:bookmarkEnd w:id="142"/>
      <w:r w:rsidRPr="00BA0FBF">
        <w:rPr>
          <w:sz w:val="20"/>
        </w:rPr>
        <w:t>: Distributional impact of Scenario 1 (basic food subject to GST)</w:t>
      </w:r>
      <w:bookmarkEnd w:id="143"/>
      <w:bookmarkEnd w:id="144"/>
    </w:p>
    <w:p w:rsidR="00C8109C" w:rsidRDefault="00934F10" w:rsidP="009B1030">
      <w:pPr>
        <w:pStyle w:val="BodyText"/>
        <w:rPr>
          <w:sz w:val="20"/>
        </w:rPr>
      </w:pPr>
      <w:r>
        <w:rPr>
          <w:noProof/>
          <w:sz w:val="20"/>
          <w:lang w:eastAsia="en-AU"/>
        </w:rPr>
        <w:drawing>
          <wp:inline distT="0" distB="0" distL="0" distR="0" wp14:anchorId="0F0AB1EB" wp14:editId="28584017">
            <wp:extent cx="4707172" cy="3379305"/>
            <wp:effectExtent l="0" t="0" r="0" b="0"/>
            <wp:docPr id="29" name="Picture 29" descr="Figure 4–1 presents the relative and absolute impact of the scenario 1 (basic food subject to GST) by household disposable income decile.&#10;Households in the lowest income decile would pay an additional 1.9 per cent of disposable income in GST, falling to 1.2 per cent for the second decile and 0.3 per cent for the highest decile.&#10;Households in the lowest income decile would pay an additional $10.8 per week in GST, rising to $18.6 per week for the highest decile." title="Fig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713712" cy="3384000"/>
                    </a:xfrm>
                    <a:prstGeom prst="rect">
                      <a:avLst/>
                    </a:prstGeom>
                    <a:noFill/>
                  </pic:spPr>
                </pic:pic>
              </a:graphicData>
            </a:graphic>
          </wp:inline>
        </w:drawing>
      </w:r>
    </w:p>
    <w:p w:rsidR="001F493A" w:rsidRPr="00BA0FBF" w:rsidRDefault="001F493A" w:rsidP="001F493A">
      <w:pPr>
        <w:pStyle w:val="Source"/>
      </w:pPr>
      <w:r>
        <w:t xml:space="preserve">Source: </w:t>
      </w:r>
      <w:r w:rsidR="004E109F">
        <w:t>PBO analysis based on data from the ABS and Treasury</w:t>
      </w:r>
    </w:p>
    <w:p w:rsidR="00C8109C" w:rsidRPr="00BA0FBF" w:rsidRDefault="004A280F" w:rsidP="00C407BF">
      <w:pPr>
        <w:pStyle w:val="BodyText17ptAbove"/>
      </w:pPr>
      <w:r w:rsidRPr="00BA0FBF">
        <w:fldChar w:fldCharType="begin"/>
      </w:r>
      <w:r w:rsidRPr="00BA0FBF">
        <w:instrText xml:space="preserve"> REF _Ref436654942 \h </w:instrText>
      </w:r>
      <w:r w:rsidR="00BA0FBF">
        <w:instrText xml:space="preserve"> \* MERGEFORMAT </w:instrText>
      </w:r>
      <w:r w:rsidRPr="00BA0FBF">
        <w:fldChar w:fldCharType="separate"/>
      </w:r>
      <w:r w:rsidR="00076CF9" w:rsidRPr="00076CF9">
        <w:t>Table 4–2</w:t>
      </w:r>
      <w:r w:rsidRPr="00BA0FBF">
        <w:fldChar w:fldCharType="end"/>
      </w:r>
      <w:r w:rsidR="00C8109C" w:rsidRPr="00BA0FBF">
        <w:t xml:space="preserve"> summarises the distribution of the </w:t>
      </w:r>
      <w:r w:rsidR="00BF2274" w:rsidRPr="00BA0FBF">
        <w:t xml:space="preserve">relative impact of the </w:t>
      </w:r>
      <w:r w:rsidR="00A82B9D">
        <w:t xml:space="preserve">additional </w:t>
      </w:r>
      <w:r w:rsidR="00BF2274" w:rsidRPr="00BA0FBF">
        <w:t>GST revenue collected under</w:t>
      </w:r>
      <w:r w:rsidR="00C8109C" w:rsidRPr="00BA0FBF">
        <w:t xml:space="preserve"> Scenario </w:t>
      </w:r>
      <w:r w:rsidR="004E2F14" w:rsidRPr="00BA0FBF">
        <w:t>1</w:t>
      </w:r>
      <w:r w:rsidR="00BF2274" w:rsidRPr="00BA0FBF">
        <w:t xml:space="preserve"> </w:t>
      </w:r>
      <w:r w:rsidR="00C8109C" w:rsidRPr="00BA0FBF">
        <w:t>by decile of household disposable income</w:t>
      </w:r>
      <w:r w:rsidR="00BF2274" w:rsidRPr="00BA0FBF">
        <w:t xml:space="preserve"> before and after the assumed compensation package</w:t>
      </w:r>
      <w:r w:rsidR="00C8109C" w:rsidRPr="00BA0FBF">
        <w:t>.</w:t>
      </w:r>
    </w:p>
    <w:p w:rsidR="004A280F" w:rsidRPr="00BA0FBF" w:rsidRDefault="004A280F" w:rsidP="004A280F">
      <w:pPr>
        <w:pStyle w:val="Caption"/>
        <w:rPr>
          <w:sz w:val="20"/>
        </w:rPr>
      </w:pPr>
      <w:bookmarkStart w:id="145" w:name="_Ref436654942"/>
      <w:bookmarkStart w:id="146" w:name="_Toc436664559"/>
      <w:bookmarkStart w:id="147" w:name="_Toc436917806"/>
      <w:bookmarkStart w:id="148" w:name="_Toc437429564"/>
      <w:r w:rsidRPr="00BA0FBF">
        <w:rPr>
          <w:sz w:val="20"/>
        </w:rPr>
        <w:t xml:space="preserve">Table </w:t>
      </w:r>
      <w:r w:rsidR="009F1D24" w:rsidRPr="00BA0FBF">
        <w:rPr>
          <w:sz w:val="20"/>
        </w:rPr>
        <w:fldChar w:fldCharType="begin"/>
      </w:r>
      <w:r w:rsidR="009F1D24" w:rsidRPr="00BA0FBF">
        <w:rPr>
          <w:sz w:val="20"/>
        </w:rPr>
        <w:instrText xml:space="preserve"> STYLEREF 1 \s </w:instrText>
      </w:r>
      <w:r w:rsidR="009F1D24" w:rsidRPr="00BA0FBF">
        <w:rPr>
          <w:sz w:val="20"/>
        </w:rPr>
        <w:fldChar w:fldCharType="separate"/>
      </w:r>
      <w:r w:rsidR="00076CF9">
        <w:rPr>
          <w:noProof/>
          <w:sz w:val="20"/>
        </w:rPr>
        <w:t>4</w:t>
      </w:r>
      <w:r w:rsidR="009F1D24" w:rsidRPr="00BA0FBF">
        <w:rPr>
          <w:noProof/>
          <w:sz w:val="20"/>
        </w:rPr>
        <w:fldChar w:fldCharType="end"/>
      </w:r>
      <w:r w:rsidRPr="00BA0FBF">
        <w:rPr>
          <w:sz w:val="20"/>
        </w:rPr>
        <w:t>–</w:t>
      </w:r>
      <w:r w:rsidR="009F1D24" w:rsidRPr="00BA0FBF">
        <w:rPr>
          <w:sz w:val="20"/>
        </w:rPr>
        <w:fldChar w:fldCharType="begin"/>
      </w:r>
      <w:r w:rsidR="009F1D24" w:rsidRPr="00BA0FBF">
        <w:rPr>
          <w:sz w:val="20"/>
        </w:rPr>
        <w:instrText xml:space="preserve"> SEQ Table \* ARABIC \s 1 </w:instrText>
      </w:r>
      <w:r w:rsidR="009F1D24" w:rsidRPr="00BA0FBF">
        <w:rPr>
          <w:sz w:val="20"/>
        </w:rPr>
        <w:fldChar w:fldCharType="separate"/>
      </w:r>
      <w:r w:rsidR="00076CF9">
        <w:rPr>
          <w:noProof/>
          <w:sz w:val="20"/>
        </w:rPr>
        <w:t>2</w:t>
      </w:r>
      <w:r w:rsidR="009F1D24" w:rsidRPr="00BA0FBF">
        <w:rPr>
          <w:noProof/>
          <w:sz w:val="20"/>
        </w:rPr>
        <w:fldChar w:fldCharType="end"/>
      </w:r>
      <w:bookmarkEnd w:id="145"/>
      <w:r w:rsidRPr="00BA0FBF">
        <w:rPr>
          <w:sz w:val="20"/>
        </w:rPr>
        <w:t>: Net</w:t>
      </w:r>
      <w:r w:rsidR="00D02DAC">
        <w:rPr>
          <w:sz w:val="20"/>
        </w:rPr>
        <w:t xml:space="preserve"> additional</w:t>
      </w:r>
      <w:r w:rsidRPr="00BA0FBF">
        <w:rPr>
          <w:sz w:val="20"/>
        </w:rPr>
        <w:t xml:space="preserve"> GST revenue: relative impact</w:t>
      </w:r>
      <w:r w:rsidR="00B01B6B">
        <w:rPr>
          <w:sz w:val="20"/>
        </w:rPr>
        <w:t xml:space="preserve"> of</w:t>
      </w:r>
      <w:r w:rsidRPr="00BA0FBF">
        <w:rPr>
          <w:sz w:val="20"/>
        </w:rPr>
        <w:t xml:space="preserve"> Scenario 1</w:t>
      </w:r>
      <w:bookmarkEnd w:id="146"/>
      <w:r w:rsidR="00B01B6B">
        <w:rPr>
          <w:sz w:val="20"/>
        </w:rPr>
        <w:t xml:space="preserve"> (basic food subject to GST)</w:t>
      </w:r>
      <w:bookmarkEnd w:id="147"/>
      <w:bookmarkEnd w:id="148"/>
    </w:p>
    <w:tbl>
      <w:tblPr>
        <w:tblStyle w:val="TableGrid"/>
        <w:tblW w:w="4861" w:type="pct"/>
        <w:tblLook w:val="04A0" w:firstRow="1" w:lastRow="0" w:firstColumn="1" w:lastColumn="0" w:noHBand="0" w:noVBand="1"/>
      </w:tblPr>
      <w:tblGrid>
        <w:gridCol w:w="1848"/>
        <w:gridCol w:w="626"/>
        <w:gridCol w:w="626"/>
        <w:gridCol w:w="623"/>
        <w:gridCol w:w="626"/>
        <w:gridCol w:w="622"/>
        <w:gridCol w:w="622"/>
        <w:gridCol w:w="622"/>
        <w:gridCol w:w="622"/>
        <w:gridCol w:w="622"/>
        <w:gridCol w:w="622"/>
      </w:tblGrid>
      <w:tr w:rsidR="00307F11" w:rsidRPr="00BA0FBF" w:rsidTr="004A280F">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143" w:type="pct"/>
            <w:vAlign w:val="center"/>
          </w:tcPr>
          <w:p w:rsidR="00307F11" w:rsidRPr="00BA0FBF" w:rsidRDefault="00307F11" w:rsidP="009B1030">
            <w:pPr>
              <w:pStyle w:val="TableHeading"/>
            </w:pPr>
            <w:r w:rsidRPr="00BA0FBF">
              <w:t>2017</w:t>
            </w:r>
            <w:r w:rsidR="004A280F" w:rsidRPr="00BA0FBF">
              <w:t>–</w:t>
            </w:r>
            <w:r w:rsidRPr="00BA0FBF">
              <w:t>18</w:t>
            </w:r>
          </w:p>
        </w:tc>
        <w:tc>
          <w:tcPr>
            <w:tcW w:w="387" w:type="pct"/>
            <w:vAlign w:val="center"/>
          </w:tcPr>
          <w:p w:rsidR="00307F11" w:rsidRPr="00BA0FBF" w:rsidRDefault="00307F11" w:rsidP="009B1030">
            <w:pPr>
              <w:pStyle w:val="TableHeading"/>
              <w:cnfStyle w:val="100000000000" w:firstRow="1" w:lastRow="0" w:firstColumn="0" w:lastColumn="0" w:oddVBand="0" w:evenVBand="0" w:oddHBand="0" w:evenHBand="0" w:firstRowFirstColumn="0" w:firstRowLastColumn="0" w:lastRowFirstColumn="0" w:lastRowLastColumn="0"/>
            </w:pPr>
            <w:r w:rsidRPr="00BA0FBF">
              <w:t>D1</w:t>
            </w:r>
          </w:p>
        </w:tc>
        <w:tc>
          <w:tcPr>
            <w:tcW w:w="387" w:type="pct"/>
            <w:vAlign w:val="center"/>
          </w:tcPr>
          <w:p w:rsidR="00307F11" w:rsidRPr="00BA0FBF" w:rsidRDefault="00307F11" w:rsidP="009B1030">
            <w:pPr>
              <w:pStyle w:val="TableHeading"/>
              <w:cnfStyle w:val="100000000000" w:firstRow="1" w:lastRow="0" w:firstColumn="0" w:lastColumn="0" w:oddVBand="0" w:evenVBand="0" w:oddHBand="0" w:evenHBand="0" w:firstRowFirstColumn="0" w:firstRowLastColumn="0" w:lastRowFirstColumn="0" w:lastRowLastColumn="0"/>
            </w:pPr>
            <w:r w:rsidRPr="00BA0FBF">
              <w:t>D2</w:t>
            </w:r>
          </w:p>
        </w:tc>
        <w:tc>
          <w:tcPr>
            <w:tcW w:w="385" w:type="pct"/>
            <w:vAlign w:val="center"/>
          </w:tcPr>
          <w:p w:rsidR="00307F11" w:rsidRPr="00BA0FBF" w:rsidRDefault="00307F11" w:rsidP="009B1030">
            <w:pPr>
              <w:pStyle w:val="TableHeading"/>
              <w:cnfStyle w:val="100000000000" w:firstRow="1" w:lastRow="0" w:firstColumn="0" w:lastColumn="0" w:oddVBand="0" w:evenVBand="0" w:oddHBand="0" w:evenHBand="0" w:firstRowFirstColumn="0" w:firstRowLastColumn="0" w:lastRowFirstColumn="0" w:lastRowLastColumn="0"/>
            </w:pPr>
            <w:r w:rsidRPr="00BA0FBF">
              <w:t>D3</w:t>
            </w:r>
          </w:p>
        </w:tc>
        <w:tc>
          <w:tcPr>
            <w:tcW w:w="387" w:type="pct"/>
            <w:vAlign w:val="center"/>
          </w:tcPr>
          <w:p w:rsidR="00307F11" w:rsidRPr="00BA0FBF" w:rsidRDefault="00307F11" w:rsidP="009B1030">
            <w:pPr>
              <w:pStyle w:val="TableHeading"/>
              <w:cnfStyle w:val="100000000000" w:firstRow="1" w:lastRow="0" w:firstColumn="0" w:lastColumn="0" w:oddVBand="0" w:evenVBand="0" w:oddHBand="0" w:evenHBand="0" w:firstRowFirstColumn="0" w:firstRowLastColumn="0" w:lastRowFirstColumn="0" w:lastRowLastColumn="0"/>
            </w:pPr>
            <w:r w:rsidRPr="00BA0FBF">
              <w:t>D4</w:t>
            </w:r>
          </w:p>
        </w:tc>
        <w:tc>
          <w:tcPr>
            <w:tcW w:w="385" w:type="pct"/>
            <w:vAlign w:val="center"/>
          </w:tcPr>
          <w:p w:rsidR="00307F11" w:rsidRPr="00BA0FBF" w:rsidRDefault="00307F11" w:rsidP="009B1030">
            <w:pPr>
              <w:pStyle w:val="TableHeading"/>
              <w:cnfStyle w:val="100000000000" w:firstRow="1" w:lastRow="0" w:firstColumn="0" w:lastColumn="0" w:oddVBand="0" w:evenVBand="0" w:oddHBand="0" w:evenHBand="0" w:firstRowFirstColumn="0" w:firstRowLastColumn="0" w:lastRowFirstColumn="0" w:lastRowLastColumn="0"/>
            </w:pPr>
            <w:r w:rsidRPr="00BA0FBF">
              <w:t>D5</w:t>
            </w:r>
          </w:p>
        </w:tc>
        <w:tc>
          <w:tcPr>
            <w:tcW w:w="385" w:type="pct"/>
            <w:vAlign w:val="center"/>
          </w:tcPr>
          <w:p w:rsidR="00307F11" w:rsidRPr="00BA0FBF" w:rsidRDefault="00307F11" w:rsidP="009B1030">
            <w:pPr>
              <w:pStyle w:val="TableHeading"/>
              <w:cnfStyle w:val="100000000000" w:firstRow="1" w:lastRow="0" w:firstColumn="0" w:lastColumn="0" w:oddVBand="0" w:evenVBand="0" w:oddHBand="0" w:evenHBand="0" w:firstRowFirstColumn="0" w:firstRowLastColumn="0" w:lastRowFirstColumn="0" w:lastRowLastColumn="0"/>
            </w:pPr>
            <w:r w:rsidRPr="00BA0FBF">
              <w:t>D6</w:t>
            </w:r>
          </w:p>
        </w:tc>
        <w:tc>
          <w:tcPr>
            <w:tcW w:w="385" w:type="pct"/>
            <w:vAlign w:val="center"/>
          </w:tcPr>
          <w:p w:rsidR="00307F11" w:rsidRPr="00BA0FBF" w:rsidRDefault="00307F11" w:rsidP="009B1030">
            <w:pPr>
              <w:pStyle w:val="TableHeading"/>
              <w:cnfStyle w:val="100000000000" w:firstRow="1" w:lastRow="0" w:firstColumn="0" w:lastColumn="0" w:oddVBand="0" w:evenVBand="0" w:oddHBand="0" w:evenHBand="0" w:firstRowFirstColumn="0" w:firstRowLastColumn="0" w:lastRowFirstColumn="0" w:lastRowLastColumn="0"/>
            </w:pPr>
            <w:r w:rsidRPr="00BA0FBF">
              <w:t>D7</w:t>
            </w:r>
          </w:p>
        </w:tc>
        <w:tc>
          <w:tcPr>
            <w:tcW w:w="385" w:type="pct"/>
            <w:vAlign w:val="center"/>
          </w:tcPr>
          <w:p w:rsidR="00307F11" w:rsidRPr="00BA0FBF" w:rsidRDefault="00307F11" w:rsidP="009B1030">
            <w:pPr>
              <w:pStyle w:val="TableHeading"/>
              <w:cnfStyle w:val="100000000000" w:firstRow="1" w:lastRow="0" w:firstColumn="0" w:lastColumn="0" w:oddVBand="0" w:evenVBand="0" w:oddHBand="0" w:evenHBand="0" w:firstRowFirstColumn="0" w:firstRowLastColumn="0" w:lastRowFirstColumn="0" w:lastRowLastColumn="0"/>
            </w:pPr>
            <w:r w:rsidRPr="00BA0FBF">
              <w:t>D8</w:t>
            </w:r>
          </w:p>
        </w:tc>
        <w:tc>
          <w:tcPr>
            <w:tcW w:w="385" w:type="pct"/>
            <w:vAlign w:val="center"/>
          </w:tcPr>
          <w:p w:rsidR="00307F11" w:rsidRPr="00BA0FBF" w:rsidRDefault="00307F11" w:rsidP="009B1030">
            <w:pPr>
              <w:pStyle w:val="TableHeading"/>
              <w:cnfStyle w:val="100000000000" w:firstRow="1" w:lastRow="0" w:firstColumn="0" w:lastColumn="0" w:oddVBand="0" w:evenVBand="0" w:oddHBand="0" w:evenHBand="0" w:firstRowFirstColumn="0" w:firstRowLastColumn="0" w:lastRowFirstColumn="0" w:lastRowLastColumn="0"/>
            </w:pPr>
            <w:r w:rsidRPr="00BA0FBF">
              <w:t>D9</w:t>
            </w:r>
          </w:p>
        </w:tc>
        <w:tc>
          <w:tcPr>
            <w:tcW w:w="385" w:type="pct"/>
            <w:vAlign w:val="center"/>
          </w:tcPr>
          <w:p w:rsidR="00307F11" w:rsidRPr="00BA0FBF" w:rsidRDefault="00307F11" w:rsidP="009B1030">
            <w:pPr>
              <w:pStyle w:val="TableHeading"/>
              <w:cnfStyle w:val="100000000000" w:firstRow="1" w:lastRow="0" w:firstColumn="0" w:lastColumn="0" w:oddVBand="0" w:evenVBand="0" w:oddHBand="0" w:evenHBand="0" w:firstRowFirstColumn="0" w:firstRowLastColumn="0" w:lastRowFirstColumn="0" w:lastRowLastColumn="0"/>
            </w:pPr>
            <w:r w:rsidRPr="00BA0FBF">
              <w:t>D10</w:t>
            </w:r>
          </w:p>
        </w:tc>
      </w:tr>
      <w:tr w:rsidR="00934F10" w:rsidRPr="00BA0FBF" w:rsidTr="00934F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43" w:type="pct"/>
          </w:tcPr>
          <w:p w:rsidR="00934F10" w:rsidRPr="00BA0FBF" w:rsidRDefault="00934F10" w:rsidP="009B1030">
            <w:pPr>
              <w:pStyle w:val="TableText"/>
            </w:pPr>
            <w:r>
              <w:t>Additional GST r</w:t>
            </w:r>
            <w:r w:rsidRPr="00BA0FBF">
              <w:t>evenue</w:t>
            </w:r>
          </w:p>
        </w:tc>
        <w:tc>
          <w:tcPr>
            <w:tcW w:w="387" w:type="pct"/>
          </w:tcPr>
          <w:p w:rsidR="00934F10" w:rsidRPr="00FF2EC8" w:rsidRDefault="00934F10" w:rsidP="00934F10">
            <w:pPr>
              <w:jc w:val="center"/>
              <w:cnfStyle w:val="000000100000" w:firstRow="0" w:lastRow="0" w:firstColumn="0" w:lastColumn="0" w:oddVBand="0" w:evenVBand="0" w:oddHBand="1" w:evenHBand="0" w:firstRowFirstColumn="0" w:firstRowLastColumn="0" w:lastRowFirstColumn="0" w:lastRowLastColumn="0"/>
            </w:pPr>
            <w:r w:rsidRPr="00FF2EC8">
              <w:t>1.9</w:t>
            </w:r>
          </w:p>
        </w:tc>
        <w:tc>
          <w:tcPr>
            <w:tcW w:w="387" w:type="pct"/>
          </w:tcPr>
          <w:p w:rsidR="00934F10" w:rsidRPr="00FF2EC8" w:rsidRDefault="00934F10" w:rsidP="00934F10">
            <w:pPr>
              <w:jc w:val="center"/>
              <w:cnfStyle w:val="000000100000" w:firstRow="0" w:lastRow="0" w:firstColumn="0" w:lastColumn="0" w:oddVBand="0" w:evenVBand="0" w:oddHBand="1" w:evenHBand="0" w:firstRowFirstColumn="0" w:firstRowLastColumn="0" w:lastRowFirstColumn="0" w:lastRowLastColumn="0"/>
            </w:pPr>
            <w:r w:rsidRPr="00FF2EC8">
              <w:t>1.2</w:t>
            </w:r>
          </w:p>
        </w:tc>
        <w:tc>
          <w:tcPr>
            <w:tcW w:w="385" w:type="pct"/>
          </w:tcPr>
          <w:p w:rsidR="00934F10" w:rsidRPr="00FF2EC8" w:rsidRDefault="00934F10" w:rsidP="00934F10">
            <w:pPr>
              <w:jc w:val="center"/>
              <w:cnfStyle w:val="000000100000" w:firstRow="0" w:lastRow="0" w:firstColumn="0" w:lastColumn="0" w:oddVBand="0" w:evenVBand="0" w:oddHBand="1" w:evenHBand="0" w:firstRowFirstColumn="0" w:firstRowLastColumn="0" w:lastRowFirstColumn="0" w:lastRowLastColumn="0"/>
            </w:pPr>
            <w:r w:rsidRPr="00FF2EC8">
              <w:t>1.1</w:t>
            </w:r>
          </w:p>
        </w:tc>
        <w:tc>
          <w:tcPr>
            <w:tcW w:w="387" w:type="pct"/>
          </w:tcPr>
          <w:p w:rsidR="00934F10" w:rsidRPr="00FF2EC8" w:rsidRDefault="00934F10" w:rsidP="00934F10">
            <w:pPr>
              <w:jc w:val="center"/>
              <w:cnfStyle w:val="000000100000" w:firstRow="0" w:lastRow="0" w:firstColumn="0" w:lastColumn="0" w:oddVBand="0" w:evenVBand="0" w:oddHBand="1" w:evenHBand="0" w:firstRowFirstColumn="0" w:firstRowLastColumn="0" w:lastRowFirstColumn="0" w:lastRowLastColumn="0"/>
            </w:pPr>
            <w:r w:rsidRPr="00FF2EC8">
              <w:t>0.9</w:t>
            </w:r>
          </w:p>
        </w:tc>
        <w:tc>
          <w:tcPr>
            <w:tcW w:w="385" w:type="pct"/>
          </w:tcPr>
          <w:p w:rsidR="00934F10" w:rsidRPr="00FF2EC8" w:rsidRDefault="00934F10" w:rsidP="00934F10">
            <w:pPr>
              <w:jc w:val="center"/>
              <w:cnfStyle w:val="000000100000" w:firstRow="0" w:lastRow="0" w:firstColumn="0" w:lastColumn="0" w:oddVBand="0" w:evenVBand="0" w:oddHBand="1" w:evenHBand="0" w:firstRowFirstColumn="0" w:firstRowLastColumn="0" w:lastRowFirstColumn="0" w:lastRowLastColumn="0"/>
            </w:pPr>
            <w:r w:rsidRPr="00FF2EC8">
              <w:t>0.7</w:t>
            </w:r>
          </w:p>
        </w:tc>
        <w:tc>
          <w:tcPr>
            <w:tcW w:w="385" w:type="pct"/>
          </w:tcPr>
          <w:p w:rsidR="00934F10" w:rsidRPr="00FF2EC8" w:rsidRDefault="00934F10" w:rsidP="00934F10">
            <w:pPr>
              <w:jc w:val="center"/>
              <w:cnfStyle w:val="000000100000" w:firstRow="0" w:lastRow="0" w:firstColumn="0" w:lastColumn="0" w:oddVBand="0" w:evenVBand="0" w:oddHBand="1" w:evenHBand="0" w:firstRowFirstColumn="0" w:firstRowLastColumn="0" w:lastRowFirstColumn="0" w:lastRowLastColumn="0"/>
            </w:pPr>
            <w:r w:rsidRPr="00FF2EC8">
              <w:t>0.7</w:t>
            </w:r>
          </w:p>
        </w:tc>
        <w:tc>
          <w:tcPr>
            <w:tcW w:w="385" w:type="pct"/>
          </w:tcPr>
          <w:p w:rsidR="00934F10" w:rsidRPr="00FF2EC8" w:rsidRDefault="00934F10" w:rsidP="00934F10">
            <w:pPr>
              <w:jc w:val="center"/>
              <w:cnfStyle w:val="000000100000" w:firstRow="0" w:lastRow="0" w:firstColumn="0" w:lastColumn="0" w:oddVBand="0" w:evenVBand="0" w:oddHBand="1" w:evenHBand="0" w:firstRowFirstColumn="0" w:firstRowLastColumn="0" w:lastRowFirstColumn="0" w:lastRowLastColumn="0"/>
            </w:pPr>
            <w:r w:rsidRPr="00FF2EC8">
              <w:t>0.6</w:t>
            </w:r>
          </w:p>
        </w:tc>
        <w:tc>
          <w:tcPr>
            <w:tcW w:w="385" w:type="pct"/>
          </w:tcPr>
          <w:p w:rsidR="00934F10" w:rsidRPr="00FF2EC8" w:rsidRDefault="00934F10" w:rsidP="00934F10">
            <w:pPr>
              <w:jc w:val="center"/>
              <w:cnfStyle w:val="000000100000" w:firstRow="0" w:lastRow="0" w:firstColumn="0" w:lastColumn="0" w:oddVBand="0" w:evenVBand="0" w:oddHBand="1" w:evenHBand="0" w:firstRowFirstColumn="0" w:firstRowLastColumn="0" w:lastRowFirstColumn="0" w:lastRowLastColumn="0"/>
            </w:pPr>
            <w:r w:rsidRPr="00FF2EC8">
              <w:t>0.5</w:t>
            </w:r>
          </w:p>
        </w:tc>
        <w:tc>
          <w:tcPr>
            <w:tcW w:w="385" w:type="pct"/>
          </w:tcPr>
          <w:p w:rsidR="00934F10" w:rsidRPr="00FF2EC8" w:rsidRDefault="00934F10" w:rsidP="00934F10">
            <w:pPr>
              <w:jc w:val="center"/>
              <w:cnfStyle w:val="000000100000" w:firstRow="0" w:lastRow="0" w:firstColumn="0" w:lastColumn="0" w:oddVBand="0" w:evenVBand="0" w:oddHBand="1" w:evenHBand="0" w:firstRowFirstColumn="0" w:firstRowLastColumn="0" w:lastRowFirstColumn="0" w:lastRowLastColumn="0"/>
            </w:pPr>
            <w:r w:rsidRPr="00FF2EC8">
              <w:t>0.4</w:t>
            </w:r>
          </w:p>
        </w:tc>
        <w:tc>
          <w:tcPr>
            <w:tcW w:w="385" w:type="pct"/>
          </w:tcPr>
          <w:p w:rsidR="00934F10" w:rsidRPr="00FF2EC8" w:rsidRDefault="00934F10" w:rsidP="00934F10">
            <w:pPr>
              <w:jc w:val="center"/>
              <w:cnfStyle w:val="000000100000" w:firstRow="0" w:lastRow="0" w:firstColumn="0" w:lastColumn="0" w:oddVBand="0" w:evenVBand="0" w:oddHBand="1" w:evenHBand="0" w:firstRowFirstColumn="0" w:firstRowLastColumn="0" w:lastRowFirstColumn="0" w:lastRowLastColumn="0"/>
            </w:pPr>
            <w:r w:rsidRPr="00FF2EC8">
              <w:t>0.3</w:t>
            </w:r>
          </w:p>
        </w:tc>
      </w:tr>
      <w:tr w:rsidR="00934F10" w:rsidRPr="00BA0FBF" w:rsidTr="00934F10">
        <w:trPr>
          <w:cantSplit/>
        </w:trPr>
        <w:tc>
          <w:tcPr>
            <w:cnfStyle w:val="001000000000" w:firstRow="0" w:lastRow="0" w:firstColumn="1" w:lastColumn="0" w:oddVBand="0" w:evenVBand="0" w:oddHBand="0" w:evenHBand="0" w:firstRowFirstColumn="0" w:firstRowLastColumn="0" w:lastRowFirstColumn="0" w:lastRowLastColumn="0"/>
            <w:tcW w:w="1143" w:type="pct"/>
          </w:tcPr>
          <w:p w:rsidR="00934F10" w:rsidRPr="00BA0FBF" w:rsidRDefault="00934F10" w:rsidP="00D02DAC">
            <w:pPr>
              <w:pStyle w:val="TableText"/>
            </w:pPr>
            <w:r w:rsidRPr="00BA0FBF">
              <w:t>Compensation</w:t>
            </w:r>
          </w:p>
        </w:tc>
        <w:tc>
          <w:tcPr>
            <w:tcW w:w="387" w:type="pct"/>
          </w:tcPr>
          <w:p w:rsidR="00934F10" w:rsidRPr="00FF2EC8" w:rsidRDefault="00934F10" w:rsidP="00934F10">
            <w:pPr>
              <w:jc w:val="center"/>
              <w:cnfStyle w:val="000000000000" w:firstRow="0" w:lastRow="0" w:firstColumn="0" w:lastColumn="0" w:oddVBand="0" w:evenVBand="0" w:oddHBand="0" w:evenHBand="0" w:firstRowFirstColumn="0" w:firstRowLastColumn="0" w:lastRowFirstColumn="0" w:lastRowLastColumn="0"/>
            </w:pPr>
            <w:r w:rsidRPr="00FF2EC8">
              <w:t>1.9</w:t>
            </w:r>
          </w:p>
        </w:tc>
        <w:tc>
          <w:tcPr>
            <w:tcW w:w="387" w:type="pct"/>
          </w:tcPr>
          <w:p w:rsidR="00934F10" w:rsidRPr="00FF2EC8" w:rsidRDefault="00934F10" w:rsidP="00934F10">
            <w:pPr>
              <w:jc w:val="center"/>
              <w:cnfStyle w:val="000000000000" w:firstRow="0" w:lastRow="0" w:firstColumn="0" w:lastColumn="0" w:oddVBand="0" w:evenVBand="0" w:oddHBand="0" w:evenHBand="0" w:firstRowFirstColumn="0" w:firstRowLastColumn="0" w:lastRowFirstColumn="0" w:lastRowLastColumn="0"/>
            </w:pPr>
            <w:r w:rsidRPr="00FF2EC8">
              <w:t>1.2</w:t>
            </w:r>
          </w:p>
        </w:tc>
        <w:tc>
          <w:tcPr>
            <w:tcW w:w="385" w:type="pct"/>
          </w:tcPr>
          <w:p w:rsidR="00934F10" w:rsidRPr="00FF2EC8" w:rsidRDefault="00934F10" w:rsidP="00934F10">
            <w:pPr>
              <w:jc w:val="center"/>
              <w:cnfStyle w:val="000000000000" w:firstRow="0" w:lastRow="0" w:firstColumn="0" w:lastColumn="0" w:oddVBand="0" w:evenVBand="0" w:oddHBand="0" w:evenHBand="0" w:firstRowFirstColumn="0" w:firstRowLastColumn="0" w:lastRowFirstColumn="0" w:lastRowLastColumn="0"/>
            </w:pPr>
            <w:r w:rsidRPr="00FF2EC8">
              <w:t>1.1</w:t>
            </w:r>
          </w:p>
        </w:tc>
        <w:tc>
          <w:tcPr>
            <w:tcW w:w="387" w:type="pct"/>
          </w:tcPr>
          <w:p w:rsidR="00934F10" w:rsidRPr="00FF2EC8" w:rsidRDefault="00934F10" w:rsidP="00934F10">
            <w:pPr>
              <w:jc w:val="center"/>
              <w:cnfStyle w:val="000000000000" w:firstRow="0" w:lastRow="0" w:firstColumn="0" w:lastColumn="0" w:oddVBand="0" w:evenVBand="0" w:oddHBand="0" w:evenHBand="0" w:firstRowFirstColumn="0" w:firstRowLastColumn="0" w:lastRowFirstColumn="0" w:lastRowLastColumn="0"/>
            </w:pPr>
            <w:r w:rsidRPr="00FF2EC8">
              <w:t>0.9</w:t>
            </w:r>
          </w:p>
        </w:tc>
        <w:tc>
          <w:tcPr>
            <w:tcW w:w="385" w:type="pct"/>
          </w:tcPr>
          <w:p w:rsidR="00934F10" w:rsidRPr="00FF2EC8" w:rsidRDefault="00934F10" w:rsidP="00934F10">
            <w:pPr>
              <w:jc w:val="center"/>
              <w:cnfStyle w:val="000000000000" w:firstRow="0" w:lastRow="0" w:firstColumn="0" w:lastColumn="0" w:oddVBand="0" w:evenVBand="0" w:oddHBand="0" w:evenHBand="0" w:firstRowFirstColumn="0" w:firstRowLastColumn="0" w:lastRowFirstColumn="0" w:lastRowLastColumn="0"/>
            </w:pPr>
            <w:r w:rsidRPr="00FF2EC8">
              <w:t>0.0</w:t>
            </w:r>
          </w:p>
        </w:tc>
        <w:tc>
          <w:tcPr>
            <w:tcW w:w="385" w:type="pct"/>
          </w:tcPr>
          <w:p w:rsidR="00934F10" w:rsidRPr="00FF2EC8" w:rsidRDefault="00934F10" w:rsidP="00934F10">
            <w:pPr>
              <w:jc w:val="center"/>
              <w:cnfStyle w:val="000000000000" w:firstRow="0" w:lastRow="0" w:firstColumn="0" w:lastColumn="0" w:oddVBand="0" w:evenVBand="0" w:oddHBand="0" w:evenHBand="0" w:firstRowFirstColumn="0" w:firstRowLastColumn="0" w:lastRowFirstColumn="0" w:lastRowLastColumn="0"/>
            </w:pPr>
            <w:r w:rsidRPr="00FF2EC8">
              <w:t>0.0</w:t>
            </w:r>
          </w:p>
        </w:tc>
        <w:tc>
          <w:tcPr>
            <w:tcW w:w="385" w:type="pct"/>
          </w:tcPr>
          <w:p w:rsidR="00934F10" w:rsidRPr="00FF2EC8" w:rsidRDefault="00934F10" w:rsidP="00934F10">
            <w:pPr>
              <w:jc w:val="center"/>
              <w:cnfStyle w:val="000000000000" w:firstRow="0" w:lastRow="0" w:firstColumn="0" w:lastColumn="0" w:oddVBand="0" w:evenVBand="0" w:oddHBand="0" w:evenHBand="0" w:firstRowFirstColumn="0" w:firstRowLastColumn="0" w:lastRowFirstColumn="0" w:lastRowLastColumn="0"/>
            </w:pPr>
            <w:r w:rsidRPr="00FF2EC8">
              <w:t>0.0</w:t>
            </w:r>
          </w:p>
        </w:tc>
        <w:tc>
          <w:tcPr>
            <w:tcW w:w="385" w:type="pct"/>
          </w:tcPr>
          <w:p w:rsidR="00934F10" w:rsidRPr="00FF2EC8" w:rsidRDefault="00934F10" w:rsidP="00934F10">
            <w:pPr>
              <w:jc w:val="center"/>
              <w:cnfStyle w:val="000000000000" w:firstRow="0" w:lastRow="0" w:firstColumn="0" w:lastColumn="0" w:oddVBand="0" w:evenVBand="0" w:oddHBand="0" w:evenHBand="0" w:firstRowFirstColumn="0" w:firstRowLastColumn="0" w:lastRowFirstColumn="0" w:lastRowLastColumn="0"/>
            </w:pPr>
            <w:r w:rsidRPr="00FF2EC8">
              <w:t>0.0</w:t>
            </w:r>
          </w:p>
        </w:tc>
        <w:tc>
          <w:tcPr>
            <w:tcW w:w="385" w:type="pct"/>
          </w:tcPr>
          <w:p w:rsidR="00934F10" w:rsidRPr="00FF2EC8" w:rsidRDefault="00934F10" w:rsidP="00934F10">
            <w:pPr>
              <w:jc w:val="center"/>
              <w:cnfStyle w:val="000000000000" w:firstRow="0" w:lastRow="0" w:firstColumn="0" w:lastColumn="0" w:oddVBand="0" w:evenVBand="0" w:oddHBand="0" w:evenHBand="0" w:firstRowFirstColumn="0" w:firstRowLastColumn="0" w:lastRowFirstColumn="0" w:lastRowLastColumn="0"/>
            </w:pPr>
            <w:r w:rsidRPr="00FF2EC8">
              <w:t>0.0</w:t>
            </w:r>
          </w:p>
        </w:tc>
        <w:tc>
          <w:tcPr>
            <w:tcW w:w="385" w:type="pct"/>
          </w:tcPr>
          <w:p w:rsidR="00934F10" w:rsidRPr="00FF2EC8" w:rsidRDefault="00934F10" w:rsidP="00934F10">
            <w:pPr>
              <w:jc w:val="center"/>
              <w:cnfStyle w:val="000000000000" w:firstRow="0" w:lastRow="0" w:firstColumn="0" w:lastColumn="0" w:oddVBand="0" w:evenVBand="0" w:oddHBand="0" w:evenHBand="0" w:firstRowFirstColumn="0" w:firstRowLastColumn="0" w:lastRowFirstColumn="0" w:lastRowLastColumn="0"/>
            </w:pPr>
            <w:r w:rsidRPr="00FF2EC8">
              <w:t>0.0</w:t>
            </w:r>
          </w:p>
        </w:tc>
      </w:tr>
      <w:tr w:rsidR="00934F10" w:rsidRPr="00BA0FBF" w:rsidTr="00934F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43" w:type="pct"/>
          </w:tcPr>
          <w:p w:rsidR="00934F10" w:rsidRPr="00695B37" w:rsidRDefault="00934F10" w:rsidP="009B1030">
            <w:pPr>
              <w:pStyle w:val="TableText"/>
              <w:rPr>
                <w:b/>
              </w:rPr>
            </w:pPr>
            <w:r>
              <w:rPr>
                <w:b/>
              </w:rPr>
              <w:t>Relative i</w:t>
            </w:r>
            <w:r w:rsidRPr="00695B37">
              <w:rPr>
                <w:b/>
              </w:rPr>
              <w:t>mpact (%)</w:t>
            </w:r>
          </w:p>
        </w:tc>
        <w:tc>
          <w:tcPr>
            <w:tcW w:w="387" w:type="pct"/>
          </w:tcPr>
          <w:p w:rsidR="00934F10" w:rsidRPr="00934F10" w:rsidRDefault="00934F10" w:rsidP="00934F10">
            <w:pPr>
              <w:jc w:val="center"/>
              <w:cnfStyle w:val="000000100000" w:firstRow="0" w:lastRow="0" w:firstColumn="0" w:lastColumn="0" w:oddVBand="0" w:evenVBand="0" w:oddHBand="1" w:evenHBand="0" w:firstRowFirstColumn="0" w:firstRowLastColumn="0" w:lastRowFirstColumn="0" w:lastRowLastColumn="0"/>
              <w:rPr>
                <w:b/>
              </w:rPr>
            </w:pPr>
            <w:r w:rsidRPr="00934F10">
              <w:rPr>
                <w:b/>
              </w:rPr>
              <w:t>0.0</w:t>
            </w:r>
          </w:p>
        </w:tc>
        <w:tc>
          <w:tcPr>
            <w:tcW w:w="387" w:type="pct"/>
          </w:tcPr>
          <w:p w:rsidR="00934F10" w:rsidRPr="00934F10" w:rsidRDefault="00934F10" w:rsidP="00934F10">
            <w:pPr>
              <w:jc w:val="center"/>
              <w:cnfStyle w:val="000000100000" w:firstRow="0" w:lastRow="0" w:firstColumn="0" w:lastColumn="0" w:oddVBand="0" w:evenVBand="0" w:oddHBand="1" w:evenHBand="0" w:firstRowFirstColumn="0" w:firstRowLastColumn="0" w:lastRowFirstColumn="0" w:lastRowLastColumn="0"/>
              <w:rPr>
                <w:b/>
              </w:rPr>
            </w:pPr>
            <w:r w:rsidRPr="00934F10">
              <w:rPr>
                <w:b/>
              </w:rPr>
              <w:t>0.0</w:t>
            </w:r>
          </w:p>
        </w:tc>
        <w:tc>
          <w:tcPr>
            <w:tcW w:w="385" w:type="pct"/>
          </w:tcPr>
          <w:p w:rsidR="00934F10" w:rsidRPr="00934F10" w:rsidRDefault="00934F10" w:rsidP="00934F10">
            <w:pPr>
              <w:jc w:val="center"/>
              <w:cnfStyle w:val="000000100000" w:firstRow="0" w:lastRow="0" w:firstColumn="0" w:lastColumn="0" w:oddVBand="0" w:evenVBand="0" w:oddHBand="1" w:evenHBand="0" w:firstRowFirstColumn="0" w:firstRowLastColumn="0" w:lastRowFirstColumn="0" w:lastRowLastColumn="0"/>
              <w:rPr>
                <w:b/>
              </w:rPr>
            </w:pPr>
            <w:r w:rsidRPr="00934F10">
              <w:rPr>
                <w:b/>
              </w:rPr>
              <w:t>0.0</w:t>
            </w:r>
          </w:p>
        </w:tc>
        <w:tc>
          <w:tcPr>
            <w:tcW w:w="387" w:type="pct"/>
          </w:tcPr>
          <w:p w:rsidR="00934F10" w:rsidRPr="00934F10" w:rsidRDefault="00934F10" w:rsidP="00934F10">
            <w:pPr>
              <w:jc w:val="center"/>
              <w:cnfStyle w:val="000000100000" w:firstRow="0" w:lastRow="0" w:firstColumn="0" w:lastColumn="0" w:oddVBand="0" w:evenVBand="0" w:oddHBand="1" w:evenHBand="0" w:firstRowFirstColumn="0" w:firstRowLastColumn="0" w:lastRowFirstColumn="0" w:lastRowLastColumn="0"/>
              <w:rPr>
                <w:b/>
              </w:rPr>
            </w:pPr>
            <w:r w:rsidRPr="00934F10">
              <w:rPr>
                <w:b/>
              </w:rPr>
              <w:t>0.0</w:t>
            </w:r>
          </w:p>
        </w:tc>
        <w:tc>
          <w:tcPr>
            <w:tcW w:w="385" w:type="pct"/>
          </w:tcPr>
          <w:p w:rsidR="00934F10" w:rsidRPr="00934F10" w:rsidRDefault="00934F10" w:rsidP="00934F10">
            <w:pPr>
              <w:jc w:val="center"/>
              <w:cnfStyle w:val="000000100000" w:firstRow="0" w:lastRow="0" w:firstColumn="0" w:lastColumn="0" w:oddVBand="0" w:evenVBand="0" w:oddHBand="1" w:evenHBand="0" w:firstRowFirstColumn="0" w:firstRowLastColumn="0" w:lastRowFirstColumn="0" w:lastRowLastColumn="0"/>
              <w:rPr>
                <w:b/>
              </w:rPr>
            </w:pPr>
            <w:r w:rsidRPr="00934F10">
              <w:rPr>
                <w:b/>
              </w:rPr>
              <w:t>0.7</w:t>
            </w:r>
          </w:p>
        </w:tc>
        <w:tc>
          <w:tcPr>
            <w:tcW w:w="385" w:type="pct"/>
          </w:tcPr>
          <w:p w:rsidR="00934F10" w:rsidRPr="00934F10" w:rsidRDefault="00934F10" w:rsidP="00934F10">
            <w:pPr>
              <w:jc w:val="center"/>
              <w:cnfStyle w:val="000000100000" w:firstRow="0" w:lastRow="0" w:firstColumn="0" w:lastColumn="0" w:oddVBand="0" w:evenVBand="0" w:oddHBand="1" w:evenHBand="0" w:firstRowFirstColumn="0" w:firstRowLastColumn="0" w:lastRowFirstColumn="0" w:lastRowLastColumn="0"/>
              <w:rPr>
                <w:b/>
              </w:rPr>
            </w:pPr>
            <w:r w:rsidRPr="00934F10">
              <w:rPr>
                <w:b/>
              </w:rPr>
              <w:t>0.7</w:t>
            </w:r>
          </w:p>
        </w:tc>
        <w:tc>
          <w:tcPr>
            <w:tcW w:w="385" w:type="pct"/>
          </w:tcPr>
          <w:p w:rsidR="00934F10" w:rsidRPr="00934F10" w:rsidRDefault="00934F10" w:rsidP="00934F10">
            <w:pPr>
              <w:jc w:val="center"/>
              <w:cnfStyle w:val="000000100000" w:firstRow="0" w:lastRow="0" w:firstColumn="0" w:lastColumn="0" w:oddVBand="0" w:evenVBand="0" w:oddHBand="1" w:evenHBand="0" w:firstRowFirstColumn="0" w:firstRowLastColumn="0" w:lastRowFirstColumn="0" w:lastRowLastColumn="0"/>
              <w:rPr>
                <w:b/>
              </w:rPr>
            </w:pPr>
            <w:r w:rsidRPr="00934F10">
              <w:rPr>
                <w:b/>
              </w:rPr>
              <w:t>0.6</w:t>
            </w:r>
          </w:p>
        </w:tc>
        <w:tc>
          <w:tcPr>
            <w:tcW w:w="385" w:type="pct"/>
          </w:tcPr>
          <w:p w:rsidR="00934F10" w:rsidRPr="00934F10" w:rsidRDefault="00934F10" w:rsidP="00934F10">
            <w:pPr>
              <w:jc w:val="center"/>
              <w:cnfStyle w:val="000000100000" w:firstRow="0" w:lastRow="0" w:firstColumn="0" w:lastColumn="0" w:oddVBand="0" w:evenVBand="0" w:oddHBand="1" w:evenHBand="0" w:firstRowFirstColumn="0" w:firstRowLastColumn="0" w:lastRowFirstColumn="0" w:lastRowLastColumn="0"/>
              <w:rPr>
                <w:b/>
              </w:rPr>
            </w:pPr>
            <w:r w:rsidRPr="00934F10">
              <w:rPr>
                <w:b/>
              </w:rPr>
              <w:t>0.5</w:t>
            </w:r>
          </w:p>
        </w:tc>
        <w:tc>
          <w:tcPr>
            <w:tcW w:w="385" w:type="pct"/>
          </w:tcPr>
          <w:p w:rsidR="00934F10" w:rsidRPr="00934F10" w:rsidRDefault="00934F10" w:rsidP="00934F10">
            <w:pPr>
              <w:jc w:val="center"/>
              <w:cnfStyle w:val="000000100000" w:firstRow="0" w:lastRow="0" w:firstColumn="0" w:lastColumn="0" w:oddVBand="0" w:evenVBand="0" w:oddHBand="1" w:evenHBand="0" w:firstRowFirstColumn="0" w:firstRowLastColumn="0" w:lastRowFirstColumn="0" w:lastRowLastColumn="0"/>
              <w:rPr>
                <w:b/>
              </w:rPr>
            </w:pPr>
            <w:r w:rsidRPr="00934F10">
              <w:rPr>
                <w:b/>
              </w:rPr>
              <w:t>0.4</w:t>
            </w:r>
          </w:p>
        </w:tc>
        <w:tc>
          <w:tcPr>
            <w:tcW w:w="385" w:type="pct"/>
          </w:tcPr>
          <w:p w:rsidR="00934F10" w:rsidRPr="00934F10" w:rsidRDefault="00934F10" w:rsidP="00934F10">
            <w:pPr>
              <w:jc w:val="center"/>
              <w:cnfStyle w:val="000000100000" w:firstRow="0" w:lastRow="0" w:firstColumn="0" w:lastColumn="0" w:oddVBand="0" w:evenVBand="0" w:oddHBand="1" w:evenHBand="0" w:firstRowFirstColumn="0" w:firstRowLastColumn="0" w:lastRowFirstColumn="0" w:lastRowLastColumn="0"/>
              <w:rPr>
                <w:b/>
              </w:rPr>
            </w:pPr>
            <w:r w:rsidRPr="00934F10">
              <w:rPr>
                <w:b/>
              </w:rPr>
              <w:t>0.3</w:t>
            </w:r>
          </w:p>
        </w:tc>
      </w:tr>
    </w:tbl>
    <w:p w:rsidR="00C3659D" w:rsidRDefault="001F493A" w:rsidP="00D917EB">
      <w:pPr>
        <w:pStyle w:val="Source"/>
      </w:pPr>
      <w:r>
        <w:t xml:space="preserve">Source: </w:t>
      </w:r>
      <w:r w:rsidR="006A4F9B">
        <w:t>PBO analysis based on data from the ABS and Treasury</w:t>
      </w:r>
    </w:p>
    <w:p w:rsidR="00BF2274" w:rsidRPr="00BA0FBF" w:rsidRDefault="004A280F" w:rsidP="00742476">
      <w:pPr>
        <w:pStyle w:val="BodyText17ptAbove"/>
      </w:pPr>
      <w:r w:rsidRPr="00BA0FBF">
        <w:fldChar w:fldCharType="begin"/>
      </w:r>
      <w:r w:rsidRPr="00BA0FBF">
        <w:instrText xml:space="preserve"> REF _Ref436655005 \h </w:instrText>
      </w:r>
      <w:r w:rsidR="00BA0FBF">
        <w:instrText xml:space="preserve"> \* MERGEFORMAT </w:instrText>
      </w:r>
      <w:r w:rsidRPr="00BA0FBF">
        <w:fldChar w:fldCharType="separate"/>
      </w:r>
      <w:r w:rsidR="00076CF9" w:rsidRPr="00076CF9">
        <w:t>Table</w:t>
      </w:r>
      <w:r w:rsidR="00076CF9" w:rsidRPr="00BA0FBF">
        <w:rPr>
          <w:sz w:val="20"/>
        </w:rPr>
        <w:t xml:space="preserve"> </w:t>
      </w:r>
      <w:r w:rsidR="00076CF9">
        <w:rPr>
          <w:noProof/>
          <w:sz w:val="20"/>
        </w:rPr>
        <w:t>4</w:t>
      </w:r>
      <w:r w:rsidR="00076CF9" w:rsidRPr="00BA0FBF">
        <w:rPr>
          <w:sz w:val="20"/>
        </w:rPr>
        <w:t>–</w:t>
      </w:r>
      <w:r w:rsidR="00076CF9">
        <w:rPr>
          <w:noProof/>
          <w:sz w:val="20"/>
        </w:rPr>
        <w:t>3</w:t>
      </w:r>
      <w:r w:rsidRPr="00BA0FBF">
        <w:fldChar w:fldCharType="end"/>
      </w:r>
      <w:r w:rsidR="005E11E5">
        <w:t xml:space="preserve"> </w:t>
      </w:r>
      <w:r w:rsidR="005E11E5" w:rsidRPr="00BA0FBF">
        <w:t xml:space="preserve">summarises the distribution of the GST revenue collected under Scenario 1 by decile of household disposable income before and after the assumed compensation package. </w:t>
      </w:r>
      <w:r w:rsidR="005E11E5">
        <w:t xml:space="preserve"> It</w:t>
      </w:r>
      <w:r w:rsidR="001A0E34">
        <w:t xml:space="preserve"> shows that if</w:t>
      </w:r>
      <w:r w:rsidR="005E11E5">
        <w:t xml:space="preserve"> the</w:t>
      </w:r>
      <w:r w:rsidR="001A0E34">
        <w:t xml:space="preserve"> GST were applied to basic food</w:t>
      </w:r>
      <w:r w:rsidR="008306E7">
        <w:t xml:space="preserve"> in 2017-18</w:t>
      </w:r>
      <w:r w:rsidR="005E11E5">
        <w:t>,</w:t>
      </w:r>
      <w:r w:rsidR="001A0E34">
        <w:t xml:space="preserve"> </w:t>
      </w:r>
      <w:r w:rsidR="005E11E5">
        <w:t>t</w:t>
      </w:r>
      <w:r w:rsidR="001A0E34">
        <w:t xml:space="preserve">he bottom </w:t>
      </w:r>
      <w:r w:rsidR="005E11E5">
        <w:t xml:space="preserve">40 per cent of households </w:t>
      </w:r>
      <w:r w:rsidR="001A0E34">
        <w:t>would pay an additional $2.4 billion</w:t>
      </w:r>
      <w:r w:rsidR="00BF2274" w:rsidRPr="00BA0FBF">
        <w:t xml:space="preserve"> </w:t>
      </w:r>
      <w:r w:rsidR="001A0E34">
        <w:t>in GST</w:t>
      </w:r>
      <w:r w:rsidR="005E11E5">
        <w:t xml:space="preserve"> (or 33 per cent of the additional GST revenue), while the top 40 per cent of households would pay an additional $3.3 billion</w:t>
      </w:r>
      <w:r w:rsidR="00883C03">
        <w:t xml:space="preserve"> (</w:t>
      </w:r>
      <w:r w:rsidR="005E11E5">
        <w:t>or 46</w:t>
      </w:r>
      <w:r w:rsidR="00883C03">
        <w:t> </w:t>
      </w:r>
      <w:r w:rsidR="005E11E5">
        <w:t>per</w:t>
      </w:r>
      <w:r w:rsidR="00883C03">
        <w:t> </w:t>
      </w:r>
      <w:r w:rsidR="005E11E5">
        <w:t>cent of the additional GST revenue).</w:t>
      </w:r>
    </w:p>
    <w:p w:rsidR="004A280F" w:rsidRPr="00BA0FBF" w:rsidRDefault="004A280F" w:rsidP="004A280F">
      <w:pPr>
        <w:pStyle w:val="Caption"/>
        <w:rPr>
          <w:sz w:val="20"/>
        </w:rPr>
      </w:pPr>
      <w:bookmarkStart w:id="149" w:name="_Ref436655005"/>
      <w:bookmarkStart w:id="150" w:name="_Toc436664560"/>
      <w:bookmarkStart w:id="151" w:name="_Toc436917807"/>
      <w:bookmarkStart w:id="152" w:name="_Toc437429565"/>
      <w:r w:rsidRPr="00BA0FBF">
        <w:rPr>
          <w:sz w:val="20"/>
        </w:rPr>
        <w:t xml:space="preserve">Table </w:t>
      </w:r>
      <w:r w:rsidR="009F1D24" w:rsidRPr="00BA0FBF">
        <w:rPr>
          <w:sz w:val="20"/>
        </w:rPr>
        <w:fldChar w:fldCharType="begin"/>
      </w:r>
      <w:r w:rsidR="009F1D24" w:rsidRPr="00BA0FBF">
        <w:rPr>
          <w:sz w:val="20"/>
        </w:rPr>
        <w:instrText xml:space="preserve"> STYLEREF 1 \s </w:instrText>
      </w:r>
      <w:r w:rsidR="009F1D24" w:rsidRPr="00BA0FBF">
        <w:rPr>
          <w:sz w:val="20"/>
        </w:rPr>
        <w:fldChar w:fldCharType="separate"/>
      </w:r>
      <w:r w:rsidR="00076CF9">
        <w:rPr>
          <w:noProof/>
          <w:sz w:val="20"/>
        </w:rPr>
        <w:t>4</w:t>
      </w:r>
      <w:r w:rsidR="009F1D24" w:rsidRPr="00BA0FBF">
        <w:rPr>
          <w:noProof/>
          <w:sz w:val="20"/>
        </w:rPr>
        <w:fldChar w:fldCharType="end"/>
      </w:r>
      <w:r w:rsidRPr="00BA0FBF">
        <w:rPr>
          <w:sz w:val="20"/>
        </w:rPr>
        <w:t>–</w:t>
      </w:r>
      <w:r w:rsidR="009F1D24" w:rsidRPr="00BA0FBF">
        <w:rPr>
          <w:sz w:val="20"/>
        </w:rPr>
        <w:fldChar w:fldCharType="begin"/>
      </w:r>
      <w:r w:rsidR="009F1D24" w:rsidRPr="00BA0FBF">
        <w:rPr>
          <w:sz w:val="20"/>
        </w:rPr>
        <w:instrText xml:space="preserve"> SEQ Table \* ARABIC \s 1 </w:instrText>
      </w:r>
      <w:r w:rsidR="009F1D24" w:rsidRPr="00BA0FBF">
        <w:rPr>
          <w:sz w:val="20"/>
        </w:rPr>
        <w:fldChar w:fldCharType="separate"/>
      </w:r>
      <w:r w:rsidR="00076CF9">
        <w:rPr>
          <w:noProof/>
          <w:sz w:val="20"/>
        </w:rPr>
        <w:t>3</w:t>
      </w:r>
      <w:r w:rsidR="009F1D24" w:rsidRPr="00BA0FBF">
        <w:rPr>
          <w:noProof/>
          <w:sz w:val="20"/>
        </w:rPr>
        <w:fldChar w:fldCharType="end"/>
      </w:r>
      <w:bookmarkEnd w:id="149"/>
      <w:r w:rsidRPr="00BA0FBF">
        <w:rPr>
          <w:sz w:val="20"/>
        </w:rPr>
        <w:t xml:space="preserve">: Net </w:t>
      </w:r>
      <w:r w:rsidR="00D02DAC">
        <w:rPr>
          <w:sz w:val="20"/>
        </w:rPr>
        <w:t xml:space="preserve">additional </w:t>
      </w:r>
      <w:r w:rsidRPr="00BA0FBF">
        <w:rPr>
          <w:sz w:val="20"/>
        </w:rPr>
        <w:t xml:space="preserve">GST </w:t>
      </w:r>
      <w:r w:rsidR="00B01B6B">
        <w:rPr>
          <w:sz w:val="20"/>
        </w:rPr>
        <w:t>r</w:t>
      </w:r>
      <w:r w:rsidRPr="00BA0FBF">
        <w:rPr>
          <w:sz w:val="20"/>
        </w:rPr>
        <w:t>evenue: absolute impact</w:t>
      </w:r>
      <w:r w:rsidR="00B01B6B">
        <w:rPr>
          <w:sz w:val="20"/>
        </w:rPr>
        <w:t xml:space="preserve"> of</w:t>
      </w:r>
      <w:r w:rsidRPr="00BA0FBF">
        <w:rPr>
          <w:sz w:val="20"/>
        </w:rPr>
        <w:t xml:space="preserve"> Scenario 1</w:t>
      </w:r>
      <w:bookmarkEnd w:id="150"/>
      <w:r w:rsidR="00B01B6B">
        <w:rPr>
          <w:sz w:val="20"/>
        </w:rPr>
        <w:t xml:space="preserve"> (basic food subject to GST)</w:t>
      </w:r>
      <w:bookmarkEnd w:id="151"/>
      <w:bookmarkEnd w:id="152"/>
    </w:p>
    <w:tbl>
      <w:tblPr>
        <w:tblStyle w:val="TableGrid"/>
        <w:tblW w:w="5116" w:type="pct"/>
        <w:tblLayout w:type="fixed"/>
        <w:tblLook w:val="04A0" w:firstRow="1" w:lastRow="0" w:firstColumn="1" w:lastColumn="0" w:noHBand="0" w:noVBand="1"/>
      </w:tblPr>
      <w:tblGrid>
        <w:gridCol w:w="1418"/>
        <w:gridCol w:w="625"/>
        <w:gridCol w:w="625"/>
        <w:gridCol w:w="628"/>
        <w:gridCol w:w="628"/>
        <w:gridCol w:w="628"/>
        <w:gridCol w:w="628"/>
        <w:gridCol w:w="628"/>
        <w:gridCol w:w="628"/>
        <w:gridCol w:w="628"/>
        <w:gridCol w:w="628"/>
        <w:gridCol w:w="813"/>
      </w:tblGrid>
      <w:tr w:rsidR="001A0E34" w:rsidRPr="00BA0FBF" w:rsidTr="00C3659D">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834" w:type="pct"/>
          </w:tcPr>
          <w:p w:rsidR="001A0E34" w:rsidRPr="00BA0FBF" w:rsidRDefault="001A0E34" w:rsidP="00717BC3">
            <w:pPr>
              <w:pStyle w:val="TableHeading"/>
            </w:pPr>
            <w:r w:rsidRPr="00BA0FBF">
              <w:t>2017–18</w:t>
            </w:r>
            <w:r>
              <w:t xml:space="preserve"> ($b)</w:t>
            </w:r>
          </w:p>
        </w:tc>
        <w:tc>
          <w:tcPr>
            <w:tcW w:w="368" w:type="pct"/>
          </w:tcPr>
          <w:p w:rsidR="001A0E34" w:rsidRPr="00BA0FBF" w:rsidRDefault="001A0E34" w:rsidP="009B1030">
            <w:pPr>
              <w:pStyle w:val="TableHeading"/>
              <w:cnfStyle w:val="100000000000" w:firstRow="1" w:lastRow="0" w:firstColumn="0" w:lastColumn="0" w:oddVBand="0" w:evenVBand="0" w:oddHBand="0" w:evenHBand="0" w:firstRowFirstColumn="0" w:firstRowLastColumn="0" w:lastRowFirstColumn="0" w:lastRowLastColumn="0"/>
            </w:pPr>
            <w:r w:rsidRPr="00BA0FBF">
              <w:t>D1</w:t>
            </w:r>
          </w:p>
        </w:tc>
        <w:tc>
          <w:tcPr>
            <w:tcW w:w="368" w:type="pct"/>
          </w:tcPr>
          <w:p w:rsidR="001A0E34" w:rsidRPr="00BA0FBF" w:rsidRDefault="001A0E34" w:rsidP="009B1030">
            <w:pPr>
              <w:pStyle w:val="TableHeading"/>
              <w:cnfStyle w:val="100000000000" w:firstRow="1" w:lastRow="0" w:firstColumn="0" w:lastColumn="0" w:oddVBand="0" w:evenVBand="0" w:oddHBand="0" w:evenHBand="0" w:firstRowFirstColumn="0" w:firstRowLastColumn="0" w:lastRowFirstColumn="0" w:lastRowLastColumn="0"/>
            </w:pPr>
            <w:r w:rsidRPr="00BA0FBF">
              <w:t>D2</w:t>
            </w:r>
          </w:p>
        </w:tc>
        <w:tc>
          <w:tcPr>
            <w:tcW w:w="369" w:type="pct"/>
          </w:tcPr>
          <w:p w:rsidR="001A0E34" w:rsidRPr="00BA0FBF" w:rsidRDefault="001A0E34" w:rsidP="009B1030">
            <w:pPr>
              <w:pStyle w:val="TableHeading"/>
              <w:cnfStyle w:val="100000000000" w:firstRow="1" w:lastRow="0" w:firstColumn="0" w:lastColumn="0" w:oddVBand="0" w:evenVBand="0" w:oddHBand="0" w:evenHBand="0" w:firstRowFirstColumn="0" w:firstRowLastColumn="0" w:lastRowFirstColumn="0" w:lastRowLastColumn="0"/>
            </w:pPr>
            <w:r w:rsidRPr="00BA0FBF">
              <w:t>D3</w:t>
            </w:r>
          </w:p>
        </w:tc>
        <w:tc>
          <w:tcPr>
            <w:tcW w:w="369" w:type="pct"/>
          </w:tcPr>
          <w:p w:rsidR="001A0E34" w:rsidRPr="00BA0FBF" w:rsidRDefault="001A0E34" w:rsidP="009B1030">
            <w:pPr>
              <w:pStyle w:val="TableHeading"/>
              <w:cnfStyle w:val="100000000000" w:firstRow="1" w:lastRow="0" w:firstColumn="0" w:lastColumn="0" w:oddVBand="0" w:evenVBand="0" w:oddHBand="0" w:evenHBand="0" w:firstRowFirstColumn="0" w:firstRowLastColumn="0" w:lastRowFirstColumn="0" w:lastRowLastColumn="0"/>
            </w:pPr>
            <w:r w:rsidRPr="00BA0FBF">
              <w:t>D4</w:t>
            </w:r>
          </w:p>
        </w:tc>
        <w:tc>
          <w:tcPr>
            <w:tcW w:w="369" w:type="pct"/>
          </w:tcPr>
          <w:p w:rsidR="001A0E34" w:rsidRPr="00BA0FBF" w:rsidRDefault="001A0E34" w:rsidP="009B1030">
            <w:pPr>
              <w:pStyle w:val="TableHeading"/>
              <w:cnfStyle w:val="100000000000" w:firstRow="1" w:lastRow="0" w:firstColumn="0" w:lastColumn="0" w:oddVBand="0" w:evenVBand="0" w:oddHBand="0" w:evenHBand="0" w:firstRowFirstColumn="0" w:firstRowLastColumn="0" w:lastRowFirstColumn="0" w:lastRowLastColumn="0"/>
            </w:pPr>
            <w:r w:rsidRPr="00BA0FBF">
              <w:t>D5</w:t>
            </w:r>
          </w:p>
        </w:tc>
        <w:tc>
          <w:tcPr>
            <w:tcW w:w="369" w:type="pct"/>
          </w:tcPr>
          <w:p w:rsidR="001A0E34" w:rsidRPr="00BA0FBF" w:rsidRDefault="001A0E34" w:rsidP="009B1030">
            <w:pPr>
              <w:pStyle w:val="TableHeading"/>
              <w:cnfStyle w:val="100000000000" w:firstRow="1" w:lastRow="0" w:firstColumn="0" w:lastColumn="0" w:oddVBand="0" w:evenVBand="0" w:oddHBand="0" w:evenHBand="0" w:firstRowFirstColumn="0" w:firstRowLastColumn="0" w:lastRowFirstColumn="0" w:lastRowLastColumn="0"/>
            </w:pPr>
            <w:r w:rsidRPr="00BA0FBF">
              <w:t>D6</w:t>
            </w:r>
          </w:p>
        </w:tc>
        <w:tc>
          <w:tcPr>
            <w:tcW w:w="369" w:type="pct"/>
          </w:tcPr>
          <w:p w:rsidR="001A0E34" w:rsidRPr="00BA0FBF" w:rsidRDefault="001A0E34" w:rsidP="009B1030">
            <w:pPr>
              <w:pStyle w:val="TableHeading"/>
              <w:cnfStyle w:val="100000000000" w:firstRow="1" w:lastRow="0" w:firstColumn="0" w:lastColumn="0" w:oddVBand="0" w:evenVBand="0" w:oddHBand="0" w:evenHBand="0" w:firstRowFirstColumn="0" w:firstRowLastColumn="0" w:lastRowFirstColumn="0" w:lastRowLastColumn="0"/>
            </w:pPr>
            <w:r w:rsidRPr="00BA0FBF">
              <w:t>D7</w:t>
            </w:r>
          </w:p>
        </w:tc>
        <w:tc>
          <w:tcPr>
            <w:tcW w:w="369" w:type="pct"/>
          </w:tcPr>
          <w:p w:rsidR="001A0E34" w:rsidRPr="00BA0FBF" w:rsidRDefault="001A0E34" w:rsidP="009B1030">
            <w:pPr>
              <w:pStyle w:val="TableHeading"/>
              <w:cnfStyle w:val="100000000000" w:firstRow="1" w:lastRow="0" w:firstColumn="0" w:lastColumn="0" w:oddVBand="0" w:evenVBand="0" w:oddHBand="0" w:evenHBand="0" w:firstRowFirstColumn="0" w:firstRowLastColumn="0" w:lastRowFirstColumn="0" w:lastRowLastColumn="0"/>
            </w:pPr>
            <w:r w:rsidRPr="00BA0FBF">
              <w:t>D8</w:t>
            </w:r>
          </w:p>
        </w:tc>
        <w:tc>
          <w:tcPr>
            <w:tcW w:w="369" w:type="pct"/>
          </w:tcPr>
          <w:p w:rsidR="001A0E34" w:rsidRPr="00BA0FBF" w:rsidRDefault="001A0E34" w:rsidP="009B1030">
            <w:pPr>
              <w:pStyle w:val="TableHeading"/>
              <w:cnfStyle w:val="100000000000" w:firstRow="1" w:lastRow="0" w:firstColumn="0" w:lastColumn="0" w:oddVBand="0" w:evenVBand="0" w:oddHBand="0" w:evenHBand="0" w:firstRowFirstColumn="0" w:firstRowLastColumn="0" w:lastRowFirstColumn="0" w:lastRowLastColumn="0"/>
            </w:pPr>
            <w:r w:rsidRPr="00BA0FBF">
              <w:t>D9</w:t>
            </w:r>
          </w:p>
        </w:tc>
        <w:tc>
          <w:tcPr>
            <w:tcW w:w="369" w:type="pct"/>
          </w:tcPr>
          <w:p w:rsidR="001A0E34" w:rsidRPr="00BA0FBF" w:rsidRDefault="001A0E34" w:rsidP="009B1030">
            <w:pPr>
              <w:pStyle w:val="TableHeading"/>
              <w:cnfStyle w:val="100000000000" w:firstRow="1" w:lastRow="0" w:firstColumn="0" w:lastColumn="0" w:oddVBand="0" w:evenVBand="0" w:oddHBand="0" w:evenHBand="0" w:firstRowFirstColumn="0" w:firstRowLastColumn="0" w:lastRowFirstColumn="0" w:lastRowLastColumn="0"/>
            </w:pPr>
            <w:r w:rsidRPr="00BA0FBF">
              <w:t>D10</w:t>
            </w:r>
          </w:p>
        </w:tc>
        <w:tc>
          <w:tcPr>
            <w:tcW w:w="481" w:type="pct"/>
          </w:tcPr>
          <w:p w:rsidR="001A0E34" w:rsidRDefault="001A0E34" w:rsidP="009B1030">
            <w:pPr>
              <w:pStyle w:val="TableHeading"/>
              <w:cnfStyle w:val="100000000000" w:firstRow="1" w:lastRow="0" w:firstColumn="0" w:lastColumn="0" w:oddVBand="0" w:evenVBand="0" w:oddHBand="0" w:evenHBand="0" w:firstRowFirstColumn="0" w:firstRowLastColumn="0" w:lastRowFirstColumn="0" w:lastRowLastColumn="0"/>
            </w:pPr>
            <w:r>
              <w:t>Total</w:t>
            </w:r>
          </w:p>
          <w:p w:rsidR="001A0E34" w:rsidRPr="00BA0FBF" w:rsidRDefault="001A0E34" w:rsidP="009B1030">
            <w:pPr>
              <w:pStyle w:val="TableHeading"/>
              <w:cnfStyle w:val="100000000000" w:firstRow="1" w:lastRow="0" w:firstColumn="0" w:lastColumn="0" w:oddVBand="0" w:evenVBand="0" w:oddHBand="0" w:evenHBand="0" w:firstRowFirstColumn="0" w:firstRowLastColumn="0" w:lastRowFirstColumn="0" w:lastRowLastColumn="0"/>
            </w:pPr>
          </w:p>
        </w:tc>
      </w:tr>
      <w:tr w:rsidR="001A0E34" w:rsidRPr="00BA0FBF" w:rsidTr="00C3659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34" w:type="pct"/>
          </w:tcPr>
          <w:p w:rsidR="001A0E34" w:rsidRPr="009B1030" w:rsidRDefault="001A0E34" w:rsidP="009B1030">
            <w:pPr>
              <w:pStyle w:val="TableText"/>
            </w:pPr>
            <w:r>
              <w:t>Additional GST r</w:t>
            </w:r>
            <w:r w:rsidRPr="009B1030">
              <w:t>evenue</w:t>
            </w:r>
          </w:p>
        </w:tc>
        <w:tc>
          <w:tcPr>
            <w:tcW w:w="368" w:type="pct"/>
            <w:vAlign w:val="top"/>
          </w:tcPr>
          <w:p w:rsidR="001A0E34" w:rsidRPr="00BA0FBF" w:rsidRDefault="001A0E34" w:rsidP="00717BC3">
            <w:pPr>
              <w:pStyle w:val="TableTextCentred"/>
              <w:cnfStyle w:val="000000100000" w:firstRow="0" w:lastRow="0" w:firstColumn="0" w:lastColumn="0" w:oddVBand="0" w:evenVBand="0" w:oddHBand="1" w:evenHBand="0" w:firstRowFirstColumn="0" w:firstRowLastColumn="0" w:lastRowFirstColumn="0" w:lastRowLastColumn="0"/>
            </w:pPr>
            <w:r w:rsidRPr="00E317F8">
              <w:t>0.5</w:t>
            </w:r>
          </w:p>
        </w:tc>
        <w:tc>
          <w:tcPr>
            <w:tcW w:w="368" w:type="pct"/>
            <w:vAlign w:val="top"/>
          </w:tcPr>
          <w:p w:rsidR="001A0E34" w:rsidRPr="00BA0FBF" w:rsidRDefault="001A0E34" w:rsidP="001621E0">
            <w:pPr>
              <w:pStyle w:val="TableTextCentred"/>
              <w:cnfStyle w:val="000000100000" w:firstRow="0" w:lastRow="0" w:firstColumn="0" w:lastColumn="0" w:oddVBand="0" w:evenVBand="0" w:oddHBand="1" w:evenHBand="0" w:firstRowFirstColumn="0" w:firstRowLastColumn="0" w:lastRowFirstColumn="0" w:lastRowLastColumn="0"/>
            </w:pPr>
            <w:r w:rsidRPr="00E317F8">
              <w:t>0.5</w:t>
            </w:r>
          </w:p>
        </w:tc>
        <w:tc>
          <w:tcPr>
            <w:tcW w:w="369" w:type="pct"/>
            <w:vAlign w:val="top"/>
          </w:tcPr>
          <w:p w:rsidR="001A0E34" w:rsidRPr="00BA0FBF" w:rsidRDefault="001A0E34" w:rsidP="00471585">
            <w:pPr>
              <w:pStyle w:val="TableTextCentred"/>
              <w:cnfStyle w:val="000000100000" w:firstRow="0" w:lastRow="0" w:firstColumn="0" w:lastColumn="0" w:oddVBand="0" w:evenVBand="0" w:oddHBand="1" w:evenHBand="0" w:firstRowFirstColumn="0" w:firstRowLastColumn="0" w:lastRowFirstColumn="0" w:lastRowLastColumn="0"/>
            </w:pPr>
            <w:r w:rsidRPr="00E317F8">
              <w:t>0.6</w:t>
            </w:r>
          </w:p>
        </w:tc>
        <w:tc>
          <w:tcPr>
            <w:tcW w:w="369" w:type="pct"/>
            <w:vAlign w:val="top"/>
          </w:tcPr>
          <w:p w:rsidR="001A0E34" w:rsidRPr="00BA0FBF" w:rsidRDefault="001A0E34">
            <w:pPr>
              <w:pStyle w:val="TableTextCentred"/>
              <w:cnfStyle w:val="000000100000" w:firstRow="0" w:lastRow="0" w:firstColumn="0" w:lastColumn="0" w:oddVBand="0" w:evenVBand="0" w:oddHBand="1" w:evenHBand="0" w:firstRowFirstColumn="0" w:firstRowLastColumn="0" w:lastRowFirstColumn="0" w:lastRowLastColumn="0"/>
            </w:pPr>
            <w:r w:rsidRPr="00E317F8">
              <w:t>0.7</w:t>
            </w:r>
          </w:p>
        </w:tc>
        <w:tc>
          <w:tcPr>
            <w:tcW w:w="369" w:type="pct"/>
            <w:vAlign w:val="top"/>
          </w:tcPr>
          <w:p w:rsidR="001A0E34" w:rsidRPr="00BA0FBF" w:rsidRDefault="001A0E34">
            <w:pPr>
              <w:pStyle w:val="TableTextCentred"/>
              <w:cnfStyle w:val="000000100000" w:firstRow="0" w:lastRow="0" w:firstColumn="0" w:lastColumn="0" w:oddVBand="0" w:evenVBand="0" w:oddHBand="1" w:evenHBand="0" w:firstRowFirstColumn="0" w:firstRowLastColumn="0" w:lastRowFirstColumn="0" w:lastRowLastColumn="0"/>
            </w:pPr>
            <w:r w:rsidRPr="00E317F8">
              <w:t>0.7</w:t>
            </w:r>
          </w:p>
        </w:tc>
        <w:tc>
          <w:tcPr>
            <w:tcW w:w="369" w:type="pct"/>
            <w:vAlign w:val="top"/>
          </w:tcPr>
          <w:p w:rsidR="001A0E34" w:rsidRPr="00BA0FBF" w:rsidRDefault="001A0E34">
            <w:pPr>
              <w:pStyle w:val="TableTextCentred"/>
              <w:cnfStyle w:val="000000100000" w:firstRow="0" w:lastRow="0" w:firstColumn="0" w:lastColumn="0" w:oddVBand="0" w:evenVBand="0" w:oddHBand="1" w:evenHBand="0" w:firstRowFirstColumn="0" w:firstRowLastColumn="0" w:lastRowFirstColumn="0" w:lastRowLastColumn="0"/>
            </w:pPr>
            <w:r w:rsidRPr="00E317F8">
              <w:t>0.8</w:t>
            </w:r>
          </w:p>
        </w:tc>
        <w:tc>
          <w:tcPr>
            <w:tcW w:w="369" w:type="pct"/>
            <w:vAlign w:val="top"/>
          </w:tcPr>
          <w:p w:rsidR="001A0E34" w:rsidRPr="00BA0FBF" w:rsidRDefault="001A0E34">
            <w:pPr>
              <w:pStyle w:val="TableTextCentred"/>
              <w:cnfStyle w:val="000000100000" w:firstRow="0" w:lastRow="0" w:firstColumn="0" w:lastColumn="0" w:oddVBand="0" w:evenVBand="0" w:oddHBand="1" w:evenHBand="0" w:firstRowFirstColumn="0" w:firstRowLastColumn="0" w:lastRowFirstColumn="0" w:lastRowLastColumn="0"/>
            </w:pPr>
            <w:r w:rsidRPr="00E317F8">
              <w:t>0.8</w:t>
            </w:r>
          </w:p>
        </w:tc>
        <w:tc>
          <w:tcPr>
            <w:tcW w:w="369" w:type="pct"/>
            <w:vAlign w:val="top"/>
          </w:tcPr>
          <w:p w:rsidR="001A0E34" w:rsidRPr="00BA0FBF" w:rsidRDefault="001A0E34">
            <w:pPr>
              <w:pStyle w:val="TableTextCentred"/>
              <w:cnfStyle w:val="000000100000" w:firstRow="0" w:lastRow="0" w:firstColumn="0" w:lastColumn="0" w:oddVBand="0" w:evenVBand="0" w:oddHBand="1" w:evenHBand="0" w:firstRowFirstColumn="0" w:firstRowLastColumn="0" w:lastRowFirstColumn="0" w:lastRowLastColumn="0"/>
            </w:pPr>
            <w:r w:rsidRPr="00E317F8">
              <w:t>0.8</w:t>
            </w:r>
          </w:p>
        </w:tc>
        <w:tc>
          <w:tcPr>
            <w:tcW w:w="369" w:type="pct"/>
            <w:vAlign w:val="top"/>
          </w:tcPr>
          <w:p w:rsidR="001A0E34" w:rsidRPr="00BA0FBF" w:rsidRDefault="001A0E34">
            <w:pPr>
              <w:pStyle w:val="TableTextCentred"/>
              <w:cnfStyle w:val="000000100000" w:firstRow="0" w:lastRow="0" w:firstColumn="0" w:lastColumn="0" w:oddVBand="0" w:evenVBand="0" w:oddHBand="1" w:evenHBand="0" w:firstRowFirstColumn="0" w:firstRowLastColumn="0" w:lastRowFirstColumn="0" w:lastRowLastColumn="0"/>
            </w:pPr>
            <w:r w:rsidRPr="00E317F8">
              <w:t>0.8</w:t>
            </w:r>
          </w:p>
        </w:tc>
        <w:tc>
          <w:tcPr>
            <w:tcW w:w="369" w:type="pct"/>
            <w:vAlign w:val="top"/>
          </w:tcPr>
          <w:p w:rsidR="001A0E34" w:rsidRPr="00BA0FBF" w:rsidRDefault="001A0E34">
            <w:pPr>
              <w:pStyle w:val="TableTextCentred"/>
              <w:cnfStyle w:val="000000100000" w:firstRow="0" w:lastRow="0" w:firstColumn="0" w:lastColumn="0" w:oddVBand="0" w:evenVBand="0" w:oddHBand="1" w:evenHBand="0" w:firstRowFirstColumn="0" w:firstRowLastColumn="0" w:lastRowFirstColumn="0" w:lastRowLastColumn="0"/>
            </w:pPr>
            <w:r w:rsidRPr="00E317F8">
              <w:t>0.9</w:t>
            </w:r>
          </w:p>
        </w:tc>
        <w:tc>
          <w:tcPr>
            <w:tcW w:w="481" w:type="pct"/>
            <w:vAlign w:val="top"/>
          </w:tcPr>
          <w:p w:rsidR="001A0E34" w:rsidRPr="00FB4AEF" w:rsidRDefault="001A0E34">
            <w:pPr>
              <w:pStyle w:val="TableTextCentred"/>
              <w:cnfStyle w:val="000000100000" w:firstRow="0" w:lastRow="0" w:firstColumn="0" w:lastColumn="0" w:oddVBand="0" w:evenVBand="0" w:oddHBand="1" w:evenHBand="0" w:firstRowFirstColumn="0" w:firstRowLastColumn="0" w:lastRowFirstColumn="0" w:lastRowLastColumn="0"/>
            </w:pPr>
            <w:r w:rsidRPr="00E317F8">
              <w:t>7.2</w:t>
            </w:r>
          </w:p>
        </w:tc>
      </w:tr>
      <w:tr w:rsidR="001A0E34" w:rsidRPr="00BA0FBF" w:rsidTr="00C3659D">
        <w:trPr>
          <w:cantSplit/>
        </w:trPr>
        <w:tc>
          <w:tcPr>
            <w:cnfStyle w:val="001000000000" w:firstRow="0" w:lastRow="0" w:firstColumn="1" w:lastColumn="0" w:oddVBand="0" w:evenVBand="0" w:oddHBand="0" w:evenHBand="0" w:firstRowFirstColumn="0" w:firstRowLastColumn="0" w:lastRowFirstColumn="0" w:lastRowLastColumn="0"/>
            <w:tcW w:w="834" w:type="pct"/>
          </w:tcPr>
          <w:p w:rsidR="001A0E34" w:rsidRPr="009B1030" w:rsidRDefault="001A0E34" w:rsidP="009B1030">
            <w:pPr>
              <w:pStyle w:val="TableText"/>
            </w:pPr>
            <w:r w:rsidRPr="009B1030">
              <w:t>Compensation</w:t>
            </w:r>
          </w:p>
        </w:tc>
        <w:tc>
          <w:tcPr>
            <w:tcW w:w="368" w:type="pct"/>
            <w:vAlign w:val="top"/>
          </w:tcPr>
          <w:p w:rsidR="001A0E34" w:rsidRPr="00BA0FBF" w:rsidRDefault="001A0E34" w:rsidP="00717BC3">
            <w:pPr>
              <w:pStyle w:val="TableTextCentred"/>
              <w:cnfStyle w:val="000000000000" w:firstRow="0" w:lastRow="0" w:firstColumn="0" w:lastColumn="0" w:oddVBand="0" w:evenVBand="0" w:oddHBand="0" w:evenHBand="0" w:firstRowFirstColumn="0" w:firstRowLastColumn="0" w:lastRowFirstColumn="0" w:lastRowLastColumn="0"/>
            </w:pPr>
            <w:r w:rsidRPr="00E317F8">
              <w:t>0.5</w:t>
            </w:r>
          </w:p>
        </w:tc>
        <w:tc>
          <w:tcPr>
            <w:tcW w:w="368" w:type="pct"/>
            <w:vAlign w:val="top"/>
          </w:tcPr>
          <w:p w:rsidR="001A0E34" w:rsidRPr="00BA0FBF" w:rsidRDefault="001A0E34" w:rsidP="001621E0">
            <w:pPr>
              <w:pStyle w:val="TableTextCentred"/>
              <w:cnfStyle w:val="000000000000" w:firstRow="0" w:lastRow="0" w:firstColumn="0" w:lastColumn="0" w:oddVBand="0" w:evenVBand="0" w:oddHBand="0" w:evenHBand="0" w:firstRowFirstColumn="0" w:firstRowLastColumn="0" w:lastRowFirstColumn="0" w:lastRowLastColumn="0"/>
            </w:pPr>
            <w:r w:rsidRPr="00E317F8">
              <w:t>0.5</w:t>
            </w:r>
          </w:p>
        </w:tc>
        <w:tc>
          <w:tcPr>
            <w:tcW w:w="369" w:type="pct"/>
            <w:vAlign w:val="top"/>
          </w:tcPr>
          <w:p w:rsidR="001A0E34" w:rsidRPr="00BA0FBF" w:rsidRDefault="001A0E34" w:rsidP="00471585">
            <w:pPr>
              <w:pStyle w:val="TableTextCentred"/>
              <w:cnfStyle w:val="000000000000" w:firstRow="0" w:lastRow="0" w:firstColumn="0" w:lastColumn="0" w:oddVBand="0" w:evenVBand="0" w:oddHBand="0" w:evenHBand="0" w:firstRowFirstColumn="0" w:firstRowLastColumn="0" w:lastRowFirstColumn="0" w:lastRowLastColumn="0"/>
            </w:pPr>
            <w:r w:rsidRPr="00E317F8">
              <w:t>0.6</w:t>
            </w:r>
          </w:p>
        </w:tc>
        <w:tc>
          <w:tcPr>
            <w:tcW w:w="369" w:type="pct"/>
            <w:vAlign w:val="top"/>
          </w:tcPr>
          <w:p w:rsidR="001A0E34" w:rsidRPr="00BA0FBF" w:rsidRDefault="001A0E34">
            <w:pPr>
              <w:pStyle w:val="TableTextCentred"/>
              <w:cnfStyle w:val="000000000000" w:firstRow="0" w:lastRow="0" w:firstColumn="0" w:lastColumn="0" w:oddVBand="0" w:evenVBand="0" w:oddHBand="0" w:evenHBand="0" w:firstRowFirstColumn="0" w:firstRowLastColumn="0" w:lastRowFirstColumn="0" w:lastRowLastColumn="0"/>
            </w:pPr>
            <w:r w:rsidRPr="00E317F8">
              <w:t>0.7</w:t>
            </w:r>
          </w:p>
        </w:tc>
        <w:tc>
          <w:tcPr>
            <w:tcW w:w="369" w:type="pct"/>
            <w:vAlign w:val="top"/>
          </w:tcPr>
          <w:p w:rsidR="001A0E34" w:rsidRPr="00BA0FBF" w:rsidRDefault="001A0E34">
            <w:pPr>
              <w:pStyle w:val="TableTextCentred"/>
              <w:cnfStyle w:val="000000000000" w:firstRow="0" w:lastRow="0" w:firstColumn="0" w:lastColumn="0" w:oddVBand="0" w:evenVBand="0" w:oddHBand="0" w:evenHBand="0" w:firstRowFirstColumn="0" w:firstRowLastColumn="0" w:lastRowFirstColumn="0" w:lastRowLastColumn="0"/>
            </w:pPr>
            <w:r w:rsidRPr="00E317F8">
              <w:t>0.0</w:t>
            </w:r>
          </w:p>
        </w:tc>
        <w:tc>
          <w:tcPr>
            <w:tcW w:w="369" w:type="pct"/>
            <w:vAlign w:val="top"/>
          </w:tcPr>
          <w:p w:rsidR="001A0E34" w:rsidRPr="00BA0FBF" w:rsidRDefault="001A0E34">
            <w:pPr>
              <w:pStyle w:val="TableTextCentred"/>
              <w:cnfStyle w:val="000000000000" w:firstRow="0" w:lastRow="0" w:firstColumn="0" w:lastColumn="0" w:oddVBand="0" w:evenVBand="0" w:oddHBand="0" w:evenHBand="0" w:firstRowFirstColumn="0" w:firstRowLastColumn="0" w:lastRowFirstColumn="0" w:lastRowLastColumn="0"/>
            </w:pPr>
            <w:r w:rsidRPr="00E317F8">
              <w:t>0.0</w:t>
            </w:r>
          </w:p>
        </w:tc>
        <w:tc>
          <w:tcPr>
            <w:tcW w:w="369" w:type="pct"/>
            <w:vAlign w:val="top"/>
          </w:tcPr>
          <w:p w:rsidR="001A0E34" w:rsidRPr="00BA0FBF" w:rsidRDefault="001A0E34">
            <w:pPr>
              <w:pStyle w:val="TableTextCentred"/>
              <w:cnfStyle w:val="000000000000" w:firstRow="0" w:lastRow="0" w:firstColumn="0" w:lastColumn="0" w:oddVBand="0" w:evenVBand="0" w:oddHBand="0" w:evenHBand="0" w:firstRowFirstColumn="0" w:firstRowLastColumn="0" w:lastRowFirstColumn="0" w:lastRowLastColumn="0"/>
            </w:pPr>
            <w:r w:rsidRPr="00E317F8">
              <w:t>0.0</w:t>
            </w:r>
          </w:p>
        </w:tc>
        <w:tc>
          <w:tcPr>
            <w:tcW w:w="369" w:type="pct"/>
            <w:vAlign w:val="top"/>
          </w:tcPr>
          <w:p w:rsidR="001A0E34" w:rsidRPr="00BA0FBF" w:rsidRDefault="001A0E34">
            <w:pPr>
              <w:pStyle w:val="TableTextCentred"/>
              <w:cnfStyle w:val="000000000000" w:firstRow="0" w:lastRow="0" w:firstColumn="0" w:lastColumn="0" w:oddVBand="0" w:evenVBand="0" w:oddHBand="0" w:evenHBand="0" w:firstRowFirstColumn="0" w:firstRowLastColumn="0" w:lastRowFirstColumn="0" w:lastRowLastColumn="0"/>
            </w:pPr>
            <w:r w:rsidRPr="00E317F8">
              <w:t>0.0</w:t>
            </w:r>
          </w:p>
        </w:tc>
        <w:tc>
          <w:tcPr>
            <w:tcW w:w="369" w:type="pct"/>
            <w:vAlign w:val="top"/>
          </w:tcPr>
          <w:p w:rsidR="001A0E34" w:rsidRPr="00BA0FBF" w:rsidRDefault="001A0E34">
            <w:pPr>
              <w:pStyle w:val="TableTextCentred"/>
              <w:cnfStyle w:val="000000000000" w:firstRow="0" w:lastRow="0" w:firstColumn="0" w:lastColumn="0" w:oddVBand="0" w:evenVBand="0" w:oddHBand="0" w:evenHBand="0" w:firstRowFirstColumn="0" w:firstRowLastColumn="0" w:lastRowFirstColumn="0" w:lastRowLastColumn="0"/>
            </w:pPr>
            <w:r w:rsidRPr="00E317F8">
              <w:t>0.0</w:t>
            </w:r>
          </w:p>
        </w:tc>
        <w:tc>
          <w:tcPr>
            <w:tcW w:w="369" w:type="pct"/>
            <w:vAlign w:val="top"/>
          </w:tcPr>
          <w:p w:rsidR="001A0E34" w:rsidRPr="00BA0FBF" w:rsidRDefault="001A0E34">
            <w:pPr>
              <w:pStyle w:val="TableTextCentred"/>
              <w:cnfStyle w:val="000000000000" w:firstRow="0" w:lastRow="0" w:firstColumn="0" w:lastColumn="0" w:oddVBand="0" w:evenVBand="0" w:oddHBand="0" w:evenHBand="0" w:firstRowFirstColumn="0" w:firstRowLastColumn="0" w:lastRowFirstColumn="0" w:lastRowLastColumn="0"/>
            </w:pPr>
            <w:r w:rsidRPr="00E317F8">
              <w:t>0.0</w:t>
            </w:r>
          </w:p>
        </w:tc>
        <w:tc>
          <w:tcPr>
            <w:tcW w:w="481" w:type="pct"/>
            <w:vAlign w:val="top"/>
          </w:tcPr>
          <w:p w:rsidR="001A0E34" w:rsidRPr="00FB4AEF" w:rsidRDefault="001A0E34">
            <w:pPr>
              <w:pStyle w:val="TableTextCentred"/>
              <w:cnfStyle w:val="000000000000" w:firstRow="0" w:lastRow="0" w:firstColumn="0" w:lastColumn="0" w:oddVBand="0" w:evenVBand="0" w:oddHBand="0" w:evenHBand="0" w:firstRowFirstColumn="0" w:firstRowLastColumn="0" w:lastRowFirstColumn="0" w:lastRowLastColumn="0"/>
            </w:pPr>
            <w:r w:rsidRPr="00E317F8">
              <w:t>2.4</w:t>
            </w:r>
          </w:p>
        </w:tc>
      </w:tr>
      <w:tr w:rsidR="001A0E34" w:rsidRPr="00BA0FBF" w:rsidTr="00C3659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34" w:type="pct"/>
          </w:tcPr>
          <w:p w:rsidR="001A0E34" w:rsidRPr="009B1030" w:rsidRDefault="001A0E34" w:rsidP="009B1030">
            <w:pPr>
              <w:pStyle w:val="TableText"/>
              <w:rPr>
                <w:b/>
              </w:rPr>
            </w:pPr>
            <w:r>
              <w:rPr>
                <w:b/>
              </w:rPr>
              <w:t>Net additional GST r</w:t>
            </w:r>
            <w:r w:rsidRPr="009B1030">
              <w:rPr>
                <w:b/>
              </w:rPr>
              <w:t xml:space="preserve">evenue </w:t>
            </w:r>
          </w:p>
        </w:tc>
        <w:tc>
          <w:tcPr>
            <w:tcW w:w="368" w:type="pct"/>
            <w:vAlign w:val="top"/>
          </w:tcPr>
          <w:p w:rsidR="001A0E34" w:rsidRPr="001A0E34" w:rsidRDefault="001A0E34" w:rsidP="00717BC3">
            <w:pPr>
              <w:pStyle w:val="TableTextCentred"/>
              <w:cnfStyle w:val="000000100000" w:firstRow="0" w:lastRow="0" w:firstColumn="0" w:lastColumn="0" w:oddVBand="0" w:evenVBand="0" w:oddHBand="1" w:evenHBand="0" w:firstRowFirstColumn="0" w:firstRowLastColumn="0" w:lastRowFirstColumn="0" w:lastRowLastColumn="0"/>
              <w:rPr>
                <w:b/>
              </w:rPr>
            </w:pPr>
            <w:r w:rsidRPr="00C3659D">
              <w:rPr>
                <w:b/>
              </w:rPr>
              <w:t>0.0</w:t>
            </w:r>
          </w:p>
        </w:tc>
        <w:tc>
          <w:tcPr>
            <w:tcW w:w="368" w:type="pct"/>
            <w:vAlign w:val="top"/>
          </w:tcPr>
          <w:p w:rsidR="001A0E34" w:rsidRPr="001A0E34" w:rsidRDefault="001A0E34" w:rsidP="00717BC3">
            <w:pPr>
              <w:pStyle w:val="TableTextCentred"/>
              <w:cnfStyle w:val="000000100000" w:firstRow="0" w:lastRow="0" w:firstColumn="0" w:lastColumn="0" w:oddVBand="0" w:evenVBand="0" w:oddHBand="1" w:evenHBand="0" w:firstRowFirstColumn="0" w:firstRowLastColumn="0" w:lastRowFirstColumn="0" w:lastRowLastColumn="0"/>
              <w:rPr>
                <w:b/>
              </w:rPr>
            </w:pPr>
            <w:r w:rsidRPr="00C3659D">
              <w:rPr>
                <w:b/>
              </w:rPr>
              <w:t>0.0</w:t>
            </w:r>
          </w:p>
        </w:tc>
        <w:tc>
          <w:tcPr>
            <w:tcW w:w="369" w:type="pct"/>
            <w:vAlign w:val="top"/>
          </w:tcPr>
          <w:p w:rsidR="001A0E34" w:rsidRPr="001A0E34" w:rsidRDefault="001A0E34" w:rsidP="0045532B">
            <w:pPr>
              <w:pStyle w:val="TableTextCentred"/>
              <w:cnfStyle w:val="000000100000" w:firstRow="0" w:lastRow="0" w:firstColumn="0" w:lastColumn="0" w:oddVBand="0" w:evenVBand="0" w:oddHBand="1" w:evenHBand="0" w:firstRowFirstColumn="0" w:firstRowLastColumn="0" w:lastRowFirstColumn="0" w:lastRowLastColumn="0"/>
              <w:rPr>
                <w:b/>
              </w:rPr>
            </w:pPr>
            <w:r w:rsidRPr="00C3659D">
              <w:rPr>
                <w:b/>
              </w:rPr>
              <w:t>0.0</w:t>
            </w:r>
          </w:p>
        </w:tc>
        <w:tc>
          <w:tcPr>
            <w:tcW w:w="369" w:type="pct"/>
            <w:vAlign w:val="top"/>
          </w:tcPr>
          <w:p w:rsidR="001A0E34" w:rsidRPr="001A0E34" w:rsidRDefault="001A0E34" w:rsidP="001621E0">
            <w:pPr>
              <w:pStyle w:val="TableTextCentred"/>
              <w:cnfStyle w:val="000000100000" w:firstRow="0" w:lastRow="0" w:firstColumn="0" w:lastColumn="0" w:oddVBand="0" w:evenVBand="0" w:oddHBand="1" w:evenHBand="0" w:firstRowFirstColumn="0" w:firstRowLastColumn="0" w:lastRowFirstColumn="0" w:lastRowLastColumn="0"/>
              <w:rPr>
                <w:b/>
              </w:rPr>
            </w:pPr>
            <w:r w:rsidRPr="00C3659D">
              <w:rPr>
                <w:b/>
              </w:rPr>
              <w:t>0.0</w:t>
            </w:r>
          </w:p>
        </w:tc>
        <w:tc>
          <w:tcPr>
            <w:tcW w:w="369" w:type="pct"/>
            <w:vAlign w:val="top"/>
          </w:tcPr>
          <w:p w:rsidR="001A0E34" w:rsidRPr="001A0E34" w:rsidRDefault="001A0E34" w:rsidP="00471585">
            <w:pPr>
              <w:pStyle w:val="TableTextCentred"/>
              <w:cnfStyle w:val="000000100000" w:firstRow="0" w:lastRow="0" w:firstColumn="0" w:lastColumn="0" w:oddVBand="0" w:evenVBand="0" w:oddHBand="1" w:evenHBand="0" w:firstRowFirstColumn="0" w:firstRowLastColumn="0" w:lastRowFirstColumn="0" w:lastRowLastColumn="0"/>
              <w:rPr>
                <w:b/>
              </w:rPr>
            </w:pPr>
            <w:r w:rsidRPr="00C3659D">
              <w:rPr>
                <w:b/>
              </w:rPr>
              <w:t>0.7</w:t>
            </w:r>
          </w:p>
        </w:tc>
        <w:tc>
          <w:tcPr>
            <w:tcW w:w="369" w:type="pct"/>
            <w:vAlign w:val="top"/>
          </w:tcPr>
          <w:p w:rsidR="001A0E34" w:rsidRPr="001A0E34" w:rsidRDefault="001A0E34" w:rsidP="00471585">
            <w:pPr>
              <w:pStyle w:val="TableTextCentred"/>
              <w:cnfStyle w:val="000000100000" w:firstRow="0" w:lastRow="0" w:firstColumn="0" w:lastColumn="0" w:oddVBand="0" w:evenVBand="0" w:oddHBand="1" w:evenHBand="0" w:firstRowFirstColumn="0" w:firstRowLastColumn="0" w:lastRowFirstColumn="0" w:lastRowLastColumn="0"/>
              <w:rPr>
                <w:b/>
              </w:rPr>
            </w:pPr>
            <w:r w:rsidRPr="00C3659D">
              <w:rPr>
                <w:b/>
              </w:rPr>
              <w:t>0.8</w:t>
            </w:r>
          </w:p>
        </w:tc>
        <w:tc>
          <w:tcPr>
            <w:tcW w:w="369" w:type="pct"/>
            <w:vAlign w:val="top"/>
          </w:tcPr>
          <w:p w:rsidR="001A0E34" w:rsidRPr="001A0E34" w:rsidRDefault="001A0E34">
            <w:pPr>
              <w:pStyle w:val="TableTextCentred"/>
              <w:cnfStyle w:val="000000100000" w:firstRow="0" w:lastRow="0" w:firstColumn="0" w:lastColumn="0" w:oddVBand="0" w:evenVBand="0" w:oddHBand="1" w:evenHBand="0" w:firstRowFirstColumn="0" w:firstRowLastColumn="0" w:lastRowFirstColumn="0" w:lastRowLastColumn="0"/>
              <w:rPr>
                <w:b/>
              </w:rPr>
            </w:pPr>
            <w:r w:rsidRPr="00C3659D">
              <w:rPr>
                <w:b/>
              </w:rPr>
              <w:t>0.8</w:t>
            </w:r>
          </w:p>
        </w:tc>
        <w:tc>
          <w:tcPr>
            <w:tcW w:w="369" w:type="pct"/>
            <w:vAlign w:val="top"/>
          </w:tcPr>
          <w:p w:rsidR="001A0E34" w:rsidRPr="001A0E34" w:rsidRDefault="001A0E34">
            <w:pPr>
              <w:pStyle w:val="TableTextCentred"/>
              <w:cnfStyle w:val="000000100000" w:firstRow="0" w:lastRow="0" w:firstColumn="0" w:lastColumn="0" w:oddVBand="0" w:evenVBand="0" w:oddHBand="1" w:evenHBand="0" w:firstRowFirstColumn="0" w:firstRowLastColumn="0" w:lastRowFirstColumn="0" w:lastRowLastColumn="0"/>
              <w:rPr>
                <w:b/>
              </w:rPr>
            </w:pPr>
            <w:r w:rsidRPr="00C3659D">
              <w:rPr>
                <w:b/>
              </w:rPr>
              <w:t>0.8</w:t>
            </w:r>
          </w:p>
        </w:tc>
        <w:tc>
          <w:tcPr>
            <w:tcW w:w="369" w:type="pct"/>
            <w:vAlign w:val="top"/>
          </w:tcPr>
          <w:p w:rsidR="001A0E34" w:rsidRPr="001A0E34" w:rsidRDefault="001A0E34">
            <w:pPr>
              <w:pStyle w:val="TableTextCentred"/>
              <w:cnfStyle w:val="000000100000" w:firstRow="0" w:lastRow="0" w:firstColumn="0" w:lastColumn="0" w:oddVBand="0" w:evenVBand="0" w:oddHBand="1" w:evenHBand="0" w:firstRowFirstColumn="0" w:firstRowLastColumn="0" w:lastRowFirstColumn="0" w:lastRowLastColumn="0"/>
              <w:rPr>
                <w:b/>
              </w:rPr>
            </w:pPr>
            <w:r w:rsidRPr="00C3659D">
              <w:rPr>
                <w:b/>
              </w:rPr>
              <w:t>0.8</w:t>
            </w:r>
          </w:p>
        </w:tc>
        <w:tc>
          <w:tcPr>
            <w:tcW w:w="369" w:type="pct"/>
            <w:vAlign w:val="top"/>
          </w:tcPr>
          <w:p w:rsidR="001A0E34" w:rsidRPr="001A0E34" w:rsidRDefault="001A0E34">
            <w:pPr>
              <w:pStyle w:val="TableTextCentred"/>
              <w:cnfStyle w:val="000000100000" w:firstRow="0" w:lastRow="0" w:firstColumn="0" w:lastColumn="0" w:oddVBand="0" w:evenVBand="0" w:oddHBand="1" w:evenHBand="0" w:firstRowFirstColumn="0" w:firstRowLastColumn="0" w:lastRowFirstColumn="0" w:lastRowLastColumn="0"/>
              <w:rPr>
                <w:b/>
              </w:rPr>
            </w:pPr>
            <w:r w:rsidRPr="00C3659D">
              <w:rPr>
                <w:b/>
              </w:rPr>
              <w:t>0.9</w:t>
            </w:r>
          </w:p>
        </w:tc>
        <w:tc>
          <w:tcPr>
            <w:tcW w:w="481" w:type="pct"/>
            <w:vAlign w:val="top"/>
          </w:tcPr>
          <w:p w:rsidR="001A0E34" w:rsidRPr="005E11E5" w:rsidRDefault="001A0E34">
            <w:pPr>
              <w:pStyle w:val="TableTextCentred"/>
              <w:cnfStyle w:val="000000100000" w:firstRow="0" w:lastRow="0" w:firstColumn="0" w:lastColumn="0" w:oddVBand="0" w:evenVBand="0" w:oddHBand="1" w:evenHBand="0" w:firstRowFirstColumn="0" w:firstRowLastColumn="0" w:lastRowFirstColumn="0" w:lastRowLastColumn="0"/>
              <w:rPr>
                <w:b/>
              </w:rPr>
            </w:pPr>
            <w:r w:rsidRPr="00C3659D">
              <w:rPr>
                <w:b/>
              </w:rPr>
              <w:t>4.8</w:t>
            </w:r>
          </w:p>
        </w:tc>
      </w:tr>
    </w:tbl>
    <w:p w:rsidR="001F493A" w:rsidRDefault="001F493A" w:rsidP="001F493A">
      <w:pPr>
        <w:pStyle w:val="Source"/>
      </w:pPr>
      <w:bookmarkStart w:id="153" w:name="_Toc436400339"/>
      <w:r>
        <w:t xml:space="preserve">Source: </w:t>
      </w:r>
      <w:r w:rsidR="006A4F9B">
        <w:t>PBO analysis based on data from the ABS and Treasury</w:t>
      </w:r>
    </w:p>
    <w:p w:rsidR="00F95381" w:rsidRPr="00BA0FBF" w:rsidRDefault="004E2F14" w:rsidP="00F95381">
      <w:pPr>
        <w:pStyle w:val="Heading2"/>
        <w:rPr>
          <w:sz w:val="28"/>
        </w:rPr>
      </w:pPr>
      <w:bookmarkStart w:id="154" w:name="_Toc437429853"/>
      <w:r w:rsidRPr="00BA0FBF">
        <w:rPr>
          <w:sz w:val="28"/>
        </w:rPr>
        <w:t>Scenario 2</w:t>
      </w:r>
      <w:r w:rsidR="00F95381" w:rsidRPr="00BA0FBF">
        <w:rPr>
          <w:sz w:val="28"/>
        </w:rPr>
        <w:t xml:space="preserve">: </w:t>
      </w:r>
      <w:r w:rsidR="00B01B6B">
        <w:rPr>
          <w:sz w:val="28"/>
        </w:rPr>
        <w:t>r</w:t>
      </w:r>
      <w:r w:rsidR="00F95381" w:rsidRPr="00BA0FBF">
        <w:rPr>
          <w:sz w:val="28"/>
        </w:rPr>
        <w:t>emove concessions from GST base</w:t>
      </w:r>
      <w:bookmarkEnd w:id="153"/>
      <w:bookmarkEnd w:id="154"/>
    </w:p>
    <w:p w:rsidR="00F95381" w:rsidRPr="00BA0FBF" w:rsidRDefault="002F78A1" w:rsidP="00F95381">
      <w:pPr>
        <w:pStyle w:val="Heading3"/>
        <w:rPr>
          <w:sz w:val="24"/>
        </w:rPr>
      </w:pPr>
      <w:bookmarkStart w:id="155" w:name="_Toc435093670"/>
      <w:bookmarkStart w:id="156" w:name="_Toc435633002"/>
      <w:bookmarkStart w:id="157" w:name="_Toc436400340"/>
      <w:r w:rsidRPr="00BA0FBF">
        <w:rPr>
          <w:sz w:val="24"/>
        </w:rPr>
        <w:t>Revenue</w:t>
      </w:r>
      <w:r w:rsidR="00F95381" w:rsidRPr="00BA0FBF">
        <w:rPr>
          <w:sz w:val="24"/>
        </w:rPr>
        <w:t xml:space="preserve"> impact of Scenario </w:t>
      </w:r>
      <w:bookmarkEnd w:id="155"/>
      <w:bookmarkEnd w:id="156"/>
      <w:r w:rsidR="004E2F14" w:rsidRPr="00BA0FBF">
        <w:rPr>
          <w:sz w:val="24"/>
        </w:rPr>
        <w:t>2</w:t>
      </w:r>
      <w:bookmarkEnd w:id="157"/>
    </w:p>
    <w:p w:rsidR="007A4CFE" w:rsidRPr="00BA0FBF" w:rsidRDefault="007A4CFE" w:rsidP="007A4CFE">
      <w:pPr>
        <w:pStyle w:val="BodyText17ptAbove"/>
      </w:pPr>
      <w:r w:rsidRPr="00BA0FBF">
        <w:t>Removing the GST</w:t>
      </w:r>
      <w:r w:rsidRPr="00BA0FBF">
        <w:noBreakHyphen/>
        <w:t>free status of basic food, health and medical care, education, child care</w:t>
      </w:r>
      <w:r w:rsidR="00C3659D">
        <w:t>,</w:t>
      </w:r>
      <w:r w:rsidRPr="00BA0FBF">
        <w:t xml:space="preserve"> and water and sewerage would increase GST revenue (net of the assumed compensation package) by $16.0 billion (0.9 per cent of GDP) in 2017–18</w:t>
      </w:r>
      <w:r w:rsidR="00812EE2">
        <w:t xml:space="preserve"> (</w:t>
      </w:r>
      <w:r w:rsidR="00812EE2" w:rsidRPr="00BA0FBF">
        <w:fldChar w:fldCharType="begin"/>
      </w:r>
      <w:r w:rsidR="00812EE2" w:rsidRPr="00BA0FBF">
        <w:instrText xml:space="preserve"> REF _Ref436655142 \h </w:instrText>
      </w:r>
      <w:r w:rsidR="00812EE2">
        <w:instrText xml:space="preserve"> \* MERGEFORMAT </w:instrText>
      </w:r>
      <w:r w:rsidR="00812EE2" w:rsidRPr="00BA0FBF">
        <w:fldChar w:fldCharType="separate"/>
      </w:r>
      <w:r w:rsidR="00076CF9" w:rsidRPr="00076CF9">
        <w:t>Table 4–4</w:t>
      </w:r>
      <w:r w:rsidR="00812EE2" w:rsidRPr="00BA0FBF">
        <w:fldChar w:fldCharType="end"/>
      </w:r>
      <w:r w:rsidR="00812EE2">
        <w:t>)</w:t>
      </w:r>
      <w:r w:rsidRPr="00BA0FBF">
        <w:t>.</w:t>
      </w:r>
    </w:p>
    <w:p w:rsidR="00F60916" w:rsidRPr="00BA0FBF" w:rsidRDefault="00F60916" w:rsidP="00F60916">
      <w:pPr>
        <w:pStyle w:val="Caption"/>
        <w:rPr>
          <w:sz w:val="20"/>
        </w:rPr>
      </w:pPr>
      <w:bookmarkStart w:id="158" w:name="_Ref436655142"/>
      <w:bookmarkStart w:id="159" w:name="_Toc436664561"/>
      <w:bookmarkStart w:id="160" w:name="_Toc436917808"/>
      <w:bookmarkStart w:id="161" w:name="_Toc437429566"/>
      <w:r w:rsidRPr="00BA0FBF">
        <w:rPr>
          <w:sz w:val="20"/>
        </w:rPr>
        <w:t xml:space="preserve">Table </w:t>
      </w:r>
      <w:r w:rsidR="009F1D24" w:rsidRPr="00BA0FBF">
        <w:rPr>
          <w:sz w:val="20"/>
        </w:rPr>
        <w:fldChar w:fldCharType="begin"/>
      </w:r>
      <w:r w:rsidR="009F1D24" w:rsidRPr="00BA0FBF">
        <w:rPr>
          <w:sz w:val="20"/>
        </w:rPr>
        <w:instrText xml:space="preserve"> STYLEREF 1 \s </w:instrText>
      </w:r>
      <w:r w:rsidR="009F1D24" w:rsidRPr="00BA0FBF">
        <w:rPr>
          <w:sz w:val="20"/>
        </w:rPr>
        <w:fldChar w:fldCharType="separate"/>
      </w:r>
      <w:r w:rsidR="00076CF9">
        <w:rPr>
          <w:noProof/>
          <w:sz w:val="20"/>
        </w:rPr>
        <w:t>4</w:t>
      </w:r>
      <w:r w:rsidR="009F1D24" w:rsidRPr="00BA0FBF">
        <w:rPr>
          <w:noProof/>
          <w:sz w:val="20"/>
        </w:rPr>
        <w:fldChar w:fldCharType="end"/>
      </w:r>
      <w:r w:rsidRPr="00BA0FBF">
        <w:rPr>
          <w:sz w:val="20"/>
        </w:rPr>
        <w:t>–</w:t>
      </w:r>
      <w:r w:rsidR="009F1D24" w:rsidRPr="00BA0FBF">
        <w:rPr>
          <w:sz w:val="20"/>
        </w:rPr>
        <w:fldChar w:fldCharType="begin"/>
      </w:r>
      <w:r w:rsidR="009F1D24" w:rsidRPr="00BA0FBF">
        <w:rPr>
          <w:sz w:val="20"/>
        </w:rPr>
        <w:instrText xml:space="preserve"> SEQ Table \* ARABIC \s 1 </w:instrText>
      </w:r>
      <w:r w:rsidR="009F1D24" w:rsidRPr="00BA0FBF">
        <w:rPr>
          <w:sz w:val="20"/>
        </w:rPr>
        <w:fldChar w:fldCharType="separate"/>
      </w:r>
      <w:r w:rsidR="00076CF9">
        <w:rPr>
          <w:noProof/>
          <w:sz w:val="20"/>
        </w:rPr>
        <w:t>4</w:t>
      </w:r>
      <w:r w:rsidR="009F1D24" w:rsidRPr="00BA0FBF">
        <w:rPr>
          <w:noProof/>
          <w:sz w:val="20"/>
        </w:rPr>
        <w:fldChar w:fldCharType="end"/>
      </w:r>
      <w:bookmarkEnd w:id="158"/>
      <w:r w:rsidRPr="00BA0FBF">
        <w:rPr>
          <w:sz w:val="20"/>
        </w:rPr>
        <w:t xml:space="preserve">: Revenue impact of Scenario 2 </w:t>
      </w:r>
      <w:r w:rsidR="00B01B6B">
        <w:rPr>
          <w:sz w:val="20"/>
        </w:rPr>
        <w:t>(r</w:t>
      </w:r>
      <w:r w:rsidRPr="00BA0FBF">
        <w:rPr>
          <w:sz w:val="20"/>
        </w:rPr>
        <w:t>emove concessions from GST base</w:t>
      </w:r>
      <w:bookmarkEnd w:id="159"/>
      <w:r w:rsidR="00B01B6B">
        <w:rPr>
          <w:sz w:val="20"/>
        </w:rPr>
        <w:t>)</w:t>
      </w:r>
      <w:bookmarkEnd w:id="160"/>
      <w:bookmarkEnd w:id="161"/>
    </w:p>
    <w:tbl>
      <w:tblPr>
        <w:tblStyle w:val="TableGrid"/>
        <w:tblW w:w="3959" w:type="pct"/>
        <w:tblLook w:val="04A0" w:firstRow="1" w:lastRow="0" w:firstColumn="1" w:lastColumn="0" w:noHBand="0" w:noVBand="1"/>
      </w:tblPr>
      <w:tblGrid>
        <w:gridCol w:w="3949"/>
        <w:gridCol w:w="1275"/>
        <w:gridCol w:w="1357"/>
      </w:tblGrid>
      <w:tr w:rsidR="00E5621F" w:rsidRPr="00BA0FBF" w:rsidTr="00C3659D">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3000" w:type="pct"/>
            <w:vAlign w:val="center"/>
          </w:tcPr>
          <w:p w:rsidR="00E5621F" w:rsidRPr="00BA0FBF" w:rsidRDefault="00E5621F" w:rsidP="009B1030">
            <w:pPr>
              <w:pStyle w:val="TableHeading"/>
            </w:pPr>
          </w:p>
        </w:tc>
        <w:tc>
          <w:tcPr>
            <w:tcW w:w="969" w:type="pct"/>
            <w:vAlign w:val="center"/>
          </w:tcPr>
          <w:p w:rsidR="00E5621F" w:rsidRPr="00BA0FBF" w:rsidRDefault="00F60916" w:rsidP="009B1030">
            <w:pPr>
              <w:pStyle w:val="TableHeading"/>
              <w:cnfStyle w:val="100000000000" w:firstRow="1" w:lastRow="0" w:firstColumn="0" w:lastColumn="0" w:oddVBand="0" w:evenVBand="0" w:oddHBand="0" w:evenHBand="0" w:firstRowFirstColumn="0" w:firstRowLastColumn="0" w:lastRowFirstColumn="0" w:lastRowLastColumn="0"/>
            </w:pPr>
            <w:r w:rsidRPr="00BA0FBF">
              <w:t>2017–</w:t>
            </w:r>
            <w:r w:rsidR="00E5621F" w:rsidRPr="00BA0FBF">
              <w:t>18</w:t>
            </w:r>
          </w:p>
        </w:tc>
        <w:tc>
          <w:tcPr>
            <w:tcW w:w="1032" w:type="pct"/>
            <w:vAlign w:val="center"/>
          </w:tcPr>
          <w:p w:rsidR="00E5621F" w:rsidRPr="00BA0FBF" w:rsidRDefault="00E5621F" w:rsidP="009B1030">
            <w:pPr>
              <w:pStyle w:val="TableHeading"/>
              <w:cnfStyle w:val="100000000000" w:firstRow="1" w:lastRow="0" w:firstColumn="0" w:lastColumn="0" w:oddVBand="0" w:evenVBand="0" w:oddHBand="0" w:evenHBand="0" w:firstRowFirstColumn="0" w:firstRowLastColumn="0" w:lastRowFirstColumn="0" w:lastRowLastColumn="0"/>
            </w:pPr>
            <w:r w:rsidRPr="00BA0FBF">
              <w:t>% of GDP</w:t>
            </w:r>
          </w:p>
        </w:tc>
      </w:tr>
      <w:tr w:rsidR="007A769B" w:rsidRPr="00BA0FBF" w:rsidTr="00C3659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00" w:type="pct"/>
          </w:tcPr>
          <w:p w:rsidR="007A769B" w:rsidRPr="009B1030" w:rsidRDefault="00D02DAC" w:rsidP="009B1030">
            <w:pPr>
              <w:pStyle w:val="TableText"/>
            </w:pPr>
            <w:r>
              <w:t xml:space="preserve">Additional </w:t>
            </w:r>
            <w:r w:rsidR="007A769B" w:rsidRPr="009B1030">
              <w:t>GST revenue</w:t>
            </w:r>
            <w:r w:rsidR="00C3659D">
              <w:t xml:space="preserve"> ($b)</w:t>
            </w:r>
          </w:p>
        </w:tc>
        <w:tc>
          <w:tcPr>
            <w:tcW w:w="969" w:type="pct"/>
          </w:tcPr>
          <w:p w:rsidR="007A769B" w:rsidRPr="00BA0FBF" w:rsidRDefault="007A769B" w:rsidP="009B1030">
            <w:pPr>
              <w:pStyle w:val="TableTextCentred"/>
              <w:cnfStyle w:val="000000100000" w:firstRow="0" w:lastRow="0" w:firstColumn="0" w:lastColumn="0" w:oddVBand="0" w:evenVBand="0" w:oddHBand="1" w:evenHBand="0" w:firstRowFirstColumn="0" w:firstRowLastColumn="0" w:lastRowFirstColumn="0" w:lastRowLastColumn="0"/>
            </w:pPr>
            <w:r w:rsidRPr="00BA0FBF">
              <w:t>21.6</w:t>
            </w:r>
          </w:p>
        </w:tc>
        <w:tc>
          <w:tcPr>
            <w:tcW w:w="1032" w:type="pct"/>
          </w:tcPr>
          <w:p w:rsidR="007A769B" w:rsidRPr="00BA0FBF" w:rsidRDefault="007A769B" w:rsidP="009B1030">
            <w:pPr>
              <w:pStyle w:val="TableTextCentred"/>
              <w:cnfStyle w:val="000000100000" w:firstRow="0" w:lastRow="0" w:firstColumn="0" w:lastColumn="0" w:oddVBand="0" w:evenVBand="0" w:oddHBand="1" w:evenHBand="0" w:firstRowFirstColumn="0" w:firstRowLastColumn="0" w:lastRowFirstColumn="0" w:lastRowLastColumn="0"/>
            </w:pPr>
            <w:r w:rsidRPr="00BA0FBF">
              <w:t>1.2%</w:t>
            </w:r>
          </w:p>
        </w:tc>
      </w:tr>
      <w:tr w:rsidR="007A769B" w:rsidRPr="00BA0FBF" w:rsidTr="00C3659D">
        <w:trPr>
          <w:cantSplit/>
        </w:trPr>
        <w:tc>
          <w:tcPr>
            <w:cnfStyle w:val="001000000000" w:firstRow="0" w:lastRow="0" w:firstColumn="1" w:lastColumn="0" w:oddVBand="0" w:evenVBand="0" w:oddHBand="0" w:evenHBand="0" w:firstRowFirstColumn="0" w:firstRowLastColumn="0" w:lastRowFirstColumn="0" w:lastRowLastColumn="0"/>
            <w:tcW w:w="3000" w:type="pct"/>
          </w:tcPr>
          <w:p w:rsidR="007A769B" w:rsidRPr="009B1030" w:rsidRDefault="00D0289A" w:rsidP="009B1030">
            <w:pPr>
              <w:pStyle w:val="TableText"/>
            </w:pPr>
            <w:r>
              <w:t>Compensation: technical a</w:t>
            </w:r>
            <w:r w:rsidR="007A769B" w:rsidRPr="009B1030">
              <w:t>ssumption</w:t>
            </w:r>
            <w:r w:rsidR="00C3659D">
              <w:t xml:space="preserve"> ($b)</w:t>
            </w:r>
          </w:p>
        </w:tc>
        <w:tc>
          <w:tcPr>
            <w:tcW w:w="969" w:type="pct"/>
          </w:tcPr>
          <w:p w:rsidR="007A769B" w:rsidRPr="00BA0FBF" w:rsidRDefault="007A769B" w:rsidP="009B1030">
            <w:pPr>
              <w:pStyle w:val="TableTextCentred"/>
              <w:cnfStyle w:val="000000000000" w:firstRow="0" w:lastRow="0" w:firstColumn="0" w:lastColumn="0" w:oddVBand="0" w:evenVBand="0" w:oddHBand="0" w:evenHBand="0" w:firstRowFirstColumn="0" w:firstRowLastColumn="0" w:lastRowFirstColumn="0" w:lastRowLastColumn="0"/>
            </w:pPr>
            <w:r w:rsidRPr="00BA0FBF">
              <w:t>5.6</w:t>
            </w:r>
          </w:p>
        </w:tc>
        <w:tc>
          <w:tcPr>
            <w:tcW w:w="1032" w:type="pct"/>
          </w:tcPr>
          <w:p w:rsidR="007A769B" w:rsidRPr="00BA0FBF" w:rsidRDefault="00C3659D" w:rsidP="009B1030">
            <w:pPr>
              <w:pStyle w:val="TableTextCentred"/>
              <w:cnfStyle w:val="000000000000" w:firstRow="0" w:lastRow="0" w:firstColumn="0" w:lastColumn="0" w:oddVBand="0" w:evenVBand="0" w:oddHBand="0" w:evenHBand="0" w:firstRowFirstColumn="0" w:firstRowLastColumn="0" w:lastRowFirstColumn="0" w:lastRowLastColumn="0"/>
            </w:pPr>
            <w:r>
              <w:t>0.3%</w:t>
            </w:r>
          </w:p>
        </w:tc>
      </w:tr>
      <w:tr w:rsidR="007A769B" w:rsidRPr="00BA0FBF" w:rsidTr="00C3659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00" w:type="pct"/>
          </w:tcPr>
          <w:p w:rsidR="007A769B" w:rsidRPr="009B1030" w:rsidRDefault="00D0289A" w:rsidP="009B1030">
            <w:pPr>
              <w:pStyle w:val="TableText"/>
              <w:rPr>
                <w:b/>
              </w:rPr>
            </w:pPr>
            <w:r>
              <w:rPr>
                <w:b/>
              </w:rPr>
              <w:t>Net</w:t>
            </w:r>
            <w:r w:rsidR="00D02DAC">
              <w:rPr>
                <w:b/>
              </w:rPr>
              <w:t xml:space="preserve"> additional</w:t>
            </w:r>
            <w:r>
              <w:rPr>
                <w:b/>
              </w:rPr>
              <w:t xml:space="preserve"> GST revenue: Scenario 2</w:t>
            </w:r>
            <w:r w:rsidR="00C3659D">
              <w:rPr>
                <w:b/>
              </w:rPr>
              <w:t xml:space="preserve"> ($b)</w:t>
            </w:r>
          </w:p>
        </w:tc>
        <w:tc>
          <w:tcPr>
            <w:tcW w:w="969" w:type="pct"/>
          </w:tcPr>
          <w:p w:rsidR="007A769B" w:rsidRPr="00BA0FBF" w:rsidRDefault="007A769B" w:rsidP="009B1030">
            <w:pPr>
              <w:pStyle w:val="TableTextCentred"/>
              <w:cnfStyle w:val="000000100000" w:firstRow="0" w:lastRow="0" w:firstColumn="0" w:lastColumn="0" w:oddVBand="0" w:evenVBand="0" w:oddHBand="1" w:evenHBand="0" w:firstRowFirstColumn="0" w:firstRowLastColumn="0" w:lastRowFirstColumn="0" w:lastRowLastColumn="0"/>
              <w:rPr>
                <w:b/>
              </w:rPr>
            </w:pPr>
            <w:r w:rsidRPr="00BA0FBF">
              <w:rPr>
                <w:b/>
              </w:rPr>
              <w:t>16.0</w:t>
            </w:r>
          </w:p>
        </w:tc>
        <w:tc>
          <w:tcPr>
            <w:tcW w:w="1032" w:type="pct"/>
          </w:tcPr>
          <w:p w:rsidR="007A769B" w:rsidRPr="00BA0FBF" w:rsidRDefault="007A769B" w:rsidP="009B1030">
            <w:pPr>
              <w:pStyle w:val="TableTextCentred"/>
              <w:cnfStyle w:val="000000100000" w:firstRow="0" w:lastRow="0" w:firstColumn="0" w:lastColumn="0" w:oddVBand="0" w:evenVBand="0" w:oddHBand="1" w:evenHBand="0" w:firstRowFirstColumn="0" w:firstRowLastColumn="0" w:lastRowFirstColumn="0" w:lastRowLastColumn="0"/>
              <w:rPr>
                <w:b/>
              </w:rPr>
            </w:pPr>
            <w:r w:rsidRPr="00BA0FBF">
              <w:rPr>
                <w:b/>
              </w:rPr>
              <w:t>0.9%</w:t>
            </w:r>
          </w:p>
        </w:tc>
      </w:tr>
    </w:tbl>
    <w:p w:rsidR="001F493A" w:rsidRDefault="001F493A" w:rsidP="00C3659D">
      <w:pPr>
        <w:pStyle w:val="Source"/>
      </w:pPr>
      <w:r>
        <w:t xml:space="preserve">Source: </w:t>
      </w:r>
      <w:r w:rsidR="006A4F9B">
        <w:t>PBO analysis based on data from the ABS and Treasury</w:t>
      </w:r>
    </w:p>
    <w:p w:rsidR="0036275A" w:rsidRPr="00BA0FBF" w:rsidRDefault="0036275A" w:rsidP="00C407BF">
      <w:pPr>
        <w:pStyle w:val="BodyText"/>
      </w:pPr>
      <w:r w:rsidRPr="00BA0FBF">
        <w:t>GST revenue would increase by $</w:t>
      </w:r>
      <w:r w:rsidR="0058759E" w:rsidRPr="00BA0FBF">
        <w:t>2</w:t>
      </w:r>
      <w:r w:rsidR="007A769B" w:rsidRPr="00BA0FBF">
        <w:t>1</w:t>
      </w:r>
      <w:r w:rsidR="004E2F14" w:rsidRPr="00BA0FBF">
        <w:t>.</w:t>
      </w:r>
      <w:r w:rsidR="007A769B" w:rsidRPr="00BA0FBF">
        <w:t>6</w:t>
      </w:r>
      <w:r w:rsidRPr="00BA0FBF">
        <w:t xml:space="preserve"> billion (or </w:t>
      </w:r>
      <w:r w:rsidR="0058759E" w:rsidRPr="00BA0FBF">
        <w:t>1.2</w:t>
      </w:r>
      <w:r w:rsidRPr="00BA0FBF">
        <w:t xml:space="preserve"> per cent of GDP) in 201</w:t>
      </w:r>
      <w:r w:rsidR="004E2F14" w:rsidRPr="00BA0FBF">
        <w:t>7</w:t>
      </w:r>
      <w:r w:rsidR="00F60916" w:rsidRPr="00BA0FBF">
        <w:t>–</w:t>
      </w:r>
      <w:r w:rsidR="004E2F14" w:rsidRPr="00BA0FBF">
        <w:t>1</w:t>
      </w:r>
      <w:r w:rsidRPr="00BA0FBF">
        <w:t>8.</w:t>
      </w:r>
      <w:r w:rsidR="004E2F14" w:rsidRPr="00BA0FBF">
        <w:t xml:space="preserve">  The technical assumption that there would be compensation sufficient to fully offset the impact of the scenario on the bottom </w:t>
      </w:r>
      <w:r w:rsidR="00F60916" w:rsidRPr="00BA0FBF">
        <w:t>40</w:t>
      </w:r>
      <w:r w:rsidR="004E2F14" w:rsidRPr="00BA0FBF">
        <w:t xml:space="preserve"> per cent of households </w:t>
      </w:r>
      <w:r w:rsidR="00E5621F" w:rsidRPr="00BA0FBF">
        <w:t>would cost $5.</w:t>
      </w:r>
      <w:r w:rsidR="007A769B" w:rsidRPr="00BA0FBF">
        <w:t>6</w:t>
      </w:r>
      <w:r w:rsidR="00F60916" w:rsidRPr="00BA0FBF">
        <w:t> billion in 2017–</w:t>
      </w:r>
      <w:r w:rsidR="004E2F14" w:rsidRPr="00BA0FBF">
        <w:t>18.</w:t>
      </w:r>
    </w:p>
    <w:p w:rsidR="00E07347" w:rsidRPr="00B01B6B" w:rsidRDefault="0036275A" w:rsidP="00C407BF">
      <w:pPr>
        <w:pStyle w:val="BodyText"/>
        <w:rPr>
          <w:szCs w:val="20"/>
        </w:rPr>
      </w:pPr>
      <w:r w:rsidRPr="00B01B6B">
        <w:rPr>
          <w:szCs w:val="20"/>
        </w:rPr>
        <w:t xml:space="preserve">Additional detail on the </w:t>
      </w:r>
      <w:r w:rsidR="001C0964" w:rsidRPr="00B01B6B">
        <w:rPr>
          <w:szCs w:val="20"/>
        </w:rPr>
        <w:t>revenue impact</w:t>
      </w:r>
      <w:r w:rsidR="004E2F14" w:rsidRPr="00B01B6B">
        <w:rPr>
          <w:szCs w:val="20"/>
        </w:rPr>
        <w:t xml:space="preserve"> of Scenario 2</w:t>
      </w:r>
      <w:r w:rsidRPr="00B01B6B">
        <w:rPr>
          <w:szCs w:val="20"/>
        </w:rPr>
        <w:t xml:space="preserve"> is provided in</w:t>
      </w:r>
      <w:r w:rsidR="00B01B6B" w:rsidRPr="00B01B6B">
        <w:rPr>
          <w:szCs w:val="20"/>
        </w:rPr>
        <w:t xml:space="preserve"> </w:t>
      </w:r>
      <w:r w:rsidR="006A4F9B">
        <w:rPr>
          <w:szCs w:val="20"/>
        </w:rPr>
        <w:t>Appendix C.</w:t>
      </w:r>
    </w:p>
    <w:p w:rsidR="00F95381" w:rsidRPr="00BA0FBF" w:rsidRDefault="00F60916" w:rsidP="00F95381">
      <w:pPr>
        <w:pStyle w:val="Heading3"/>
        <w:rPr>
          <w:sz w:val="24"/>
        </w:rPr>
      </w:pPr>
      <w:bookmarkStart w:id="162" w:name="_Toc435093671"/>
      <w:bookmarkStart w:id="163" w:name="_Toc435633003"/>
      <w:bookmarkStart w:id="164" w:name="_Toc436400341"/>
      <w:r w:rsidRPr="00BA0FBF">
        <w:rPr>
          <w:sz w:val="24"/>
        </w:rPr>
        <w:t>Distributional i</w:t>
      </w:r>
      <w:r w:rsidR="00F95381" w:rsidRPr="00BA0FBF">
        <w:rPr>
          <w:sz w:val="24"/>
        </w:rPr>
        <w:t xml:space="preserve">mpact of Scenario </w:t>
      </w:r>
      <w:bookmarkEnd w:id="162"/>
      <w:bookmarkEnd w:id="163"/>
      <w:r w:rsidR="004E2F14" w:rsidRPr="00BA0FBF">
        <w:rPr>
          <w:sz w:val="24"/>
        </w:rPr>
        <w:t>2</w:t>
      </w:r>
      <w:bookmarkEnd w:id="164"/>
    </w:p>
    <w:p w:rsidR="0036275A" w:rsidRPr="00BA0FBF" w:rsidRDefault="00F60916" w:rsidP="00744A84">
      <w:pPr>
        <w:pStyle w:val="BodyText"/>
      </w:pPr>
      <w:r w:rsidRPr="00BA0FBF">
        <w:fldChar w:fldCharType="begin"/>
      </w:r>
      <w:r w:rsidRPr="00BA0FBF">
        <w:instrText xml:space="preserve"> REF _Ref436655326 \h </w:instrText>
      </w:r>
      <w:r w:rsidR="00BA0FBF">
        <w:instrText xml:space="preserve"> \* MERGEFORMAT </w:instrText>
      </w:r>
      <w:r w:rsidRPr="00BA0FBF">
        <w:fldChar w:fldCharType="separate"/>
      </w:r>
      <w:r w:rsidR="00076CF9" w:rsidRPr="00076CF9">
        <w:t>Figure 4–2</w:t>
      </w:r>
      <w:r w:rsidRPr="00BA0FBF">
        <w:fldChar w:fldCharType="end"/>
      </w:r>
      <w:r w:rsidR="0036275A" w:rsidRPr="00BA0FBF">
        <w:t xml:space="preserve"> presents a distributional analysis of the relative and absolute impact</w:t>
      </w:r>
      <w:r w:rsidR="003A1E75" w:rsidRPr="00BA0FBF">
        <w:t>s</w:t>
      </w:r>
      <w:r w:rsidR="0036275A" w:rsidRPr="00BA0FBF">
        <w:t xml:space="preserve"> of additional GST revenue under Scenario </w:t>
      </w:r>
      <w:r w:rsidR="000A3CB8" w:rsidRPr="00BA0FBF">
        <w:t>2</w:t>
      </w:r>
      <w:r w:rsidR="0036275A" w:rsidRPr="00BA0FBF">
        <w:t xml:space="preserve"> on households by income decile.</w:t>
      </w:r>
    </w:p>
    <w:p w:rsidR="0036275A" w:rsidRPr="00BA0FBF" w:rsidRDefault="0036275A" w:rsidP="00744A84">
      <w:pPr>
        <w:pStyle w:val="BodyText"/>
      </w:pPr>
      <w:r w:rsidRPr="00BA0FBF">
        <w:t xml:space="preserve">Expanding the GST base has a greater relative impact on lower </w:t>
      </w:r>
      <w:r w:rsidR="00F60916" w:rsidRPr="00BA0FBF">
        <w:t>income earners.</w:t>
      </w:r>
    </w:p>
    <w:p w:rsidR="0036275A" w:rsidRPr="00BA0FBF" w:rsidRDefault="0036275A" w:rsidP="00744A84">
      <w:pPr>
        <w:pStyle w:val="BodyText"/>
      </w:pPr>
      <w:r w:rsidRPr="00BA0FBF">
        <w:t>In the absence of compensation arrangements targeting lower income households, those in the lowest income dec</w:t>
      </w:r>
      <w:r w:rsidR="007A769B" w:rsidRPr="00BA0FBF">
        <w:t xml:space="preserve">ile would pay an additional </w:t>
      </w:r>
      <w:r w:rsidR="00AB1989">
        <w:t>5.2</w:t>
      </w:r>
      <w:r w:rsidRPr="00BA0FBF">
        <w:t xml:space="preserve"> per cent of their disposable income under this scenario, compared with the average of an additional </w:t>
      </w:r>
      <w:r w:rsidR="0058759E" w:rsidRPr="00BA0FBF">
        <w:t>1.</w:t>
      </w:r>
      <w:r w:rsidR="00AB1989">
        <w:t>3</w:t>
      </w:r>
      <w:r w:rsidRPr="00BA0FBF">
        <w:t xml:space="preserve"> per cent paid by those in the </w:t>
      </w:r>
      <w:r w:rsidR="000A3CB8" w:rsidRPr="00BA0FBF">
        <w:t>highest income decile</w:t>
      </w:r>
      <w:r w:rsidRPr="00BA0FBF">
        <w:t>.</w:t>
      </w:r>
    </w:p>
    <w:p w:rsidR="00F60916" w:rsidRPr="00BA0FBF" w:rsidRDefault="00F60916" w:rsidP="00F60916">
      <w:pPr>
        <w:pStyle w:val="Caption"/>
        <w:rPr>
          <w:sz w:val="20"/>
        </w:rPr>
      </w:pPr>
      <w:bookmarkStart w:id="165" w:name="_Ref436655326"/>
      <w:bookmarkStart w:id="166" w:name="_Toc436917831"/>
      <w:bookmarkStart w:id="167" w:name="_Toc437429589"/>
      <w:r w:rsidRPr="00BA0FBF">
        <w:rPr>
          <w:sz w:val="20"/>
        </w:rPr>
        <w:t xml:space="preserve">Figure </w:t>
      </w:r>
      <w:r w:rsidR="009F1D24" w:rsidRPr="00BA0FBF">
        <w:rPr>
          <w:sz w:val="20"/>
        </w:rPr>
        <w:fldChar w:fldCharType="begin"/>
      </w:r>
      <w:r w:rsidR="009F1D24" w:rsidRPr="00BA0FBF">
        <w:rPr>
          <w:sz w:val="20"/>
        </w:rPr>
        <w:instrText xml:space="preserve"> STYLEREF 1 \s </w:instrText>
      </w:r>
      <w:r w:rsidR="009F1D24" w:rsidRPr="00BA0FBF">
        <w:rPr>
          <w:sz w:val="20"/>
        </w:rPr>
        <w:fldChar w:fldCharType="separate"/>
      </w:r>
      <w:r w:rsidR="00076CF9">
        <w:rPr>
          <w:noProof/>
          <w:sz w:val="20"/>
        </w:rPr>
        <w:t>4</w:t>
      </w:r>
      <w:r w:rsidR="009F1D24" w:rsidRPr="00BA0FBF">
        <w:rPr>
          <w:noProof/>
          <w:sz w:val="20"/>
        </w:rPr>
        <w:fldChar w:fldCharType="end"/>
      </w:r>
      <w:r w:rsidRPr="00BA0FBF">
        <w:rPr>
          <w:sz w:val="20"/>
        </w:rPr>
        <w:t>–</w:t>
      </w:r>
      <w:r w:rsidR="009F1D24" w:rsidRPr="00BA0FBF">
        <w:rPr>
          <w:sz w:val="20"/>
        </w:rPr>
        <w:fldChar w:fldCharType="begin"/>
      </w:r>
      <w:r w:rsidR="009F1D24" w:rsidRPr="00BA0FBF">
        <w:rPr>
          <w:sz w:val="20"/>
        </w:rPr>
        <w:instrText xml:space="preserve"> SEQ Figure \* ARABIC \s 1 </w:instrText>
      </w:r>
      <w:r w:rsidR="009F1D24" w:rsidRPr="00BA0FBF">
        <w:rPr>
          <w:sz w:val="20"/>
        </w:rPr>
        <w:fldChar w:fldCharType="separate"/>
      </w:r>
      <w:r w:rsidR="00076CF9">
        <w:rPr>
          <w:noProof/>
          <w:sz w:val="20"/>
        </w:rPr>
        <w:t>2</w:t>
      </w:r>
      <w:r w:rsidR="009F1D24" w:rsidRPr="00BA0FBF">
        <w:rPr>
          <w:noProof/>
          <w:sz w:val="20"/>
        </w:rPr>
        <w:fldChar w:fldCharType="end"/>
      </w:r>
      <w:bookmarkEnd w:id="165"/>
      <w:r w:rsidRPr="00BA0FBF">
        <w:rPr>
          <w:sz w:val="20"/>
        </w:rPr>
        <w:t>: Distributional impact of Scenario 2 (remove concessions from GST base)</w:t>
      </w:r>
      <w:bookmarkEnd w:id="166"/>
      <w:bookmarkEnd w:id="167"/>
    </w:p>
    <w:p w:rsidR="00F95381" w:rsidRPr="00BA0FBF" w:rsidRDefault="00934F10" w:rsidP="00F60916">
      <w:pPr>
        <w:pStyle w:val="BodyText"/>
        <w:rPr>
          <w:sz w:val="20"/>
        </w:rPr>
      </w:pPr>
      <w:r>
        <w:rPr>
          <w:noProof/>
          <w:sz w:val="20"/>
          <w:lang w:eastAsia="en-AU"/>
        </w:rPr>
        <w:drawing>
          <wp:inline distT="0" distB="0" distL="0" distR="0" wp14:anchorId="5C9F8347" wp14:editId="6E7C1B39">
            <wp:extent cx="4705751" cy="3384000"/>
            <wp:effectExtent l="0" t="0" r="0" b="6985"/>
            <wp:docPr id="30" name="Picture 30" descr="Figure 4–2 presents the relative and absolute impact of the scenario 2 (remove concessions from the GST base) by household disposable income decile.&#10;Households in the lowest income decile would pay an additional 5.16 per cent of disposable income in GST, falling to 2.48 per cent for the second decile and 1.27 per cent for the highest decile.&#10;Households in the lowest income decile would pay an additional $28.7 per week in GST, falling to $21.7 per week in the second decile and rising to $77.9 per week for the highest decile." title="Fig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705751" cy="3384000"/>
                    </a:xfrm>
                    <a:prstGeom prst="rect">
                      <a:avLst/>
                    </a:prstGeom>
                    <a:noFill/>
                  </pic:spPr>
                </pic:pic>
              </a:graphicData>
            </a:graphic>
          </wp:inline>
        </w:drawing>
      </w:r>
    </w:p>
    <w:p w:rsidR="001F493A" w:rsidRPr="001F493A" w:rsidRDefault="001F493A" w:rsidP="001F493A">
      <w:pPr>
        <w:pStyle w:val="Source"/>
      </w:pPr>
      <w:r>
        <w:t xml:space="preserve">Source: </w:t>
      </w:r>
      <w:r w:rsidR="004E109F">
        <w:t>PBO analysis based on data from the ABS and Treasury</w:t>
      </w:r>
    </w:p>
    <w:p w:rsidR="0036275A" w:rsidRPr="00BA0FBF" w:rsidRDefault="00F60916" w:rsidP="00744A84">
      <w:pPr>
        <w:pStyle w:val="BodyText17ptAbove"/>
      </w:pPr>
      <w:r w:rsidRPr="00BA0FBF">
        <w:fldChar w:fldCharType="begin"/>
      </w:r>
      <w:r w:rsidRPr="00BA0FBF">
        <w:instrText xml:space="preserve"> REF _Ref436655382 \h </w:instrText>
      </w:r>
      <w:r w:rsidR="00BA0FBF">
        <w:instrText xml:space="preserve"> \* MERGEFORMAT </w:instrText>
      </w:r>
      <w:r w:rsidRPr="00BA0FBF">
        <w:fldChar w:fldCharType="separate"/>
      </w:r>
      <w:r w:rsidR="00076CF9" w:rsidRPr="00076CF9">
        <w:t>Table 4–5</w:t>
      </w:r>
      <w:r w:rsidRPr="00BA0FBF">
        <w:fldChar w:fldCharType="end"/>
      </w:r>
      <w:r w:rsidR="0036275A" w:rsidRPr="00BA0FBF">
        <w:t xml:space="preserve"> summarises the distribution of the relative impact of the GST revenue collected under Scenario </w:t>
      </w:r>
      <w:r w:rsidR="000A3CB8" w:rsidRPr="00BA0FBF">
        <w:t>2</w:t>
      </w:r>
      <w:r w:rsidR="0036275A" w:rsidRPr="00BA0FBF">
        <w:t xml:space="preserve"> by decile of household disposable income before and after the assumed compensation package.</w:t>
      </w:r>
    </w:p>
    <w:p w:rsidR="00F60916" w:rsidRPr="00BA0FBF" w:rsidRDefault="00F60916" w:rsidP="00F60916">
      <w:pPr>
        <w:pStyle w:val="Caption"/>
        <w:rPr>
          <w:sz w:val="20"/>
        </w:rPr>
      </w:pPr>
      <w:bookmarkStart w:id="168" w:name="_Ref436655382"/>
      <w:bookmarkStart w:id="169" w:name="_Toc436664562"/>
      <w:bookmarkStart w:id="170" w:name="_Toc436917809"/>
      <w:bookmarkStart w:id="171" w:name="_Toc437429567"/>
      <w:r w:rsidRPr="00BA0FBF">
        <w:rPr>
          <w:sz w:val="20"/>
        </w:rPr>
        <w:t xml:space="preserve">Table </w:t>
      </w:r>
      <w:r w:rsidR="009F1D24" w:rsidRPr="00BA0FBF">
        <w:rPr>
          <w:sz w:val="20"/>
        </w:rPr>
        <w:fldChar w:fldCharType="begin"/>
      </w:r>
      <w:r w:rsidR="009F1D24" w:rsidRPr="00BA0FBF">
        <w:rPr>
          <w:sz w:val="20"/>
        </w:rPr>
        <w:instrText xml:space="preserve"> STYLEREF 1 \s </w:instrText>
      </w:r>
      <w:r w:rsidR="009F1D24" w:rsidRPr="00BA0FBF">
        <w:rPr>
          <w:sz w:val="20"/>
        </w:rPr>
        <w:fldChar w:fldCharType="separate"/>
      </w:r>
      <w:r w:rsidR="00076CF9">
        <w:rPr>
          <w:noProof/>
          <w:sz w:val="20"/>
        </w:rPr>
        <w:t>4</w:t>
      </w:r>
      <w:r w:rsidR="009F1D24" w:rsidRPr="00BA0FBF">
        <w:rPr>
          <w:noProof/>
          <w:sz w:val="20"/>
        </w:rPr>
        <w:fldChar w:fldCharType="end"/>
      </w:r>
      <w:r w:rsidRPr="00BA0FBF">
        <w:rPr>
          <w:sz w:val="20"/>
        </w:rPr>
        <w:t>–</w:t>
      </w:r>
      <w:r w:rsidR="009F1D24" w:rsidRPr="00BA0FBF">
        <w:rPr>
          <w:sz w:val="20"/>
        </w:rPr>
        <w:fldChar w:fldCharType="begin"/>
      </w:r>
      <w:r w:rsidR="009F1D24" w:rsidRPr="00BA0FBF">
        <w:rPr>
          <w:sz w:val="20"/>
        </w:rPr>
        <w:instrText xml:space="preserve"> SEQ Table \* ARABIC \s 1 </w:instrText>
      </w:r>
      <w:r w:rsidR="009F1D24" w:rsidRPr="00BA0FBF">
        <w:rPr>
          <w:sz w:val="20"/>
        </w:rPr>
        <w:fldChar w:fldCharType="separate"/>
      </w:r>
      <w:r w:rsidR="00076CF9">
        <w:rPr>
          <w:noProof/>
          <w:sz w:val="20"/>
        </w:rPr>
        <w:t>5</w:t>
      </w:r>
      <w:r w:rsidR="009F1D24" w:rsidRPr="00BA0FBF">
        <w:rPr>
          <w:noProof/>
          <w:sz w:val="20"/>
        </w:rPr>
        <w:fldChar w:fldCharType="end"/>
      </w:r>
      <w:bookmarkEnd w:id="168"/>
      <w:r w:rsidRPr="00BA0FBF">
        <w:rPr>
          <w:sz w:val="20"/>
        </w:rPr>
        <w:t>: Net</w:t>
      </w:r>
      <w:r w:rsidR="00D02DAC">
        <w:rPr>
          <w:sz w:val="20"/>
        </w:rPr>
        <w:t xml:space="preserve"> additional</w:t>
      </w:r>
      <w:r w:rsidRPr="00BA0FBF">
        <w:rPr>
          <w:sz w:val="20"/>
        </w:rPr>
        <w:t xml:space="preserve"> GST revenue: relative impact </w:t>
      </w:r>
      <w:r w:rsidR="00B01B6B">
        <w:rPr>
          <w:sz w:val="20"/>
        </w:rPr>
        <w:t xml:space="preserve">of </w:t>
      </w:r>
      <w:r w:rsidRPr="00BA0FBF">
        <w:rPr>
          <w:sz w:val="20"/>
        </w:rPr>
        <w:t>Scenario 2</w:t>
      </w:r>
      <w:bookmarkEnd w:id="169"/>
      <w:r w:rsidR="00B01B6B">
        <w:rPr>
          <w:sz w:val="20"/>
        </w:rPr>
        <w:t xml:space="preserve"> (remove concessions from GST base)</w:t>
      </w:r>
      <w:bookmarkEnd w:id="170"/>
      <w:bookmarkEnd w:id="171"/>
    </w:p>
    <w:tbl>
      <w:tblPr>
        <w:tblStyle w:val="TableGrid"/>
        <w:tblW w:w="4861" w:type="pct"/>
        <w:tblLook w:val="04A0" w:firstRow="1" w:lastRow="0" w:firstColumn="1" w:lastColumn="0" w:noHBand="0" w:noVBand="1"/>
      </w:tblPr>
      <w:tblGrid>
        <w:gridCol w:w="1848"/>
        <w:gridCol w:w="626"/>
        <w:gridCol w:w="626"/>
        <w:gridCol w:w="623"/>
        <w:gridCol w:w="626"/>
        <w:gridCol w:w="622"/>
        <w:gridCol w:w="622"/>
        <w:gridCol w:w="622"/>
        <w:gridCol w:w="622"/>
        <w:gridCol w:w="622"/>
        <w:gridCol w:w="622"/>
      </w:tblGrid>
      <w:tr w:rsidR="006822EC" w:rsidRPr="00BA0FBF" w:rsidTr="00F60916">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143" w:type="pct"/>
            <w:vAlign w:val="center"/>
          </w:tcPr>
          <w:p w:rsidR="006822EC" w:rsidRPr="00BA0FBF" w:rsidRDefault="00F60916" w:rsidP="009B1030">
            <w:pPr>
              <w:pStyle w:val="TableHeading"/>
            </w:pPr>
            <w:r w:rsidRPr="00BA0FBF">
              <w:t>2017–</w:t>
            </w:r>
            <w:r w:rsidR="006822EC" w:rsidRPr="00BA0FBF">
              <w:t>18</w:t>
            </w:r>
          </w:p>
        </w:tc>
        <w:tc>
          <w:tcPr>
            <w:tcW w:w="387" w:type="pct"/>
            <w:vAlign w:val="center"/>
          </w:tcPr>
          <w:p w:rsidR="006822EC" w:rsidRPr="00BA0FBF" w:rsidRDefault="006822EC" w:rsidP="009B1030">
            <w:pPr>
              <w:pStyle w:val="TableHeading"/>
              <w:cnfStyle w:val="100000000000" w:firstRow="1" w:lastRow="0" w:firstColumn="0" w:lastColumn="0" w:oddVBand="0" w:evenVBand="0" w:oddHBand="0" w:evenHBand="0" w:firstRowFirstColumn="0" w:firstRowLastColumn="0" w:lastRowFirstColumn="0" w:lastRowLastColumn="0"/>
            </w:pPr>
            <w:r w:rsidRPr="00BA0FBF">
              <w:t>D1</w:t>
            </w:r>
          </w:p>
        </w:tc>
        <w:tc>
          <w:tcPr>
            <w:tcW w:w="387" w:type="pct"/>
            <w:vAlign w:val="center"/>
          </w:tcPr>
          <w:p w:rsidR="006822EC" w:rsidRPr="00BA0FBF" w:rsidRDefault="006822EC" w:rsidP="009B1030">
            <w:pPr>
              <w:pStyle w:val="TableHeading"/>
              <w:cnfStyle w:val="100000000000" w:firstRow="1" w:lastRow="0" w:firstColumn="0" w:lastColumn="0" w:oddVBand="0" w:evenVBand="0" w:oddHBand="0" w:evenHBand="0" w:firstRowFirstColumn="0" w:firstRowLastColumn="0" w:lastRowFirstColumn="0" w:lastRowLastColumn="0"/>
            </w:pPr>
            <w:r w:rsidRPr="00BA0FBF">
              <w:t>D2</w:t>
            </w:r>
          </w:p>
        </w:tc>
        <w:tc>
          <w:tcPr>
            <w:tcW w:w="385" w:type="pct"/>
            <w:vAlign w:val="center"/>
          </w:tcPr>
          <w:p w:rsidR="006822EC" w:rsidRPr="00BA0FBF" w:rsidRDefault="006822EC" w:rsidP="009B1030">
            <w:pPr>
              <w:pStyle w:val="TableHeading"/>
              <w:cnfStyle w:val="100000000000" w:firstRow="1" w:lastRow="0" w:firstColumn="0" w:lastColumn="0" w:oddVBand="0" w:evenVBand="0" w:oddHBand="0" w:evenHBand="0" w:firstRowFirstColumn="0" w:firstRowLastColumn="0" w:lastRowFirstColumn="0" w:lastRowLastColumn="0"/>
            </w:pPr>
            <w:r w:rsidRPr="00BA0FBF">
              <w:t>D3</w:t>
            </w:r>
          </w:p>
        </w:tc>
        <w:tc>
          <w:tcPr>
            <w:tcW w:w="387" w:type="pct"/>
            <w:vAlign w:val="center"/>
          </w:tcPr>
          <w:p w:rsidR="006822EC" w:rsidRPr="00BA0FBF" w:rsidRDefault="006822EC" w:rsidP="009B1030">
            <w:pPr>
              <w:pStyle w:val="TableHeading"/>
              <w:cnfStyle w:val="100000000000" w:firstRow="1" w:lastRow="0" w:firstColumn="0" w:lastColumn="0" w:oddVBand="0" w:evenVBand="0" w:oddHBand="0" w:evenHBand="0" w:firstRowFirstColumn="0" w:firstRowLastColumn="0" w:lastRowFirstColumn="0" w:lastRowLastColumn="0"/>
            </w:pPr>
            <w:r w:rsidRPr="00BA0FBF">
              <w:t>D4</w:t>
            </w:r>
          </w:p>
        </w:tc>
        <w:tc>
          <w:tcPr>
            <w:tcW w:w="385" w:type="pct"/>
            <w:vAlign w:val="center"/>
          </w:tcPr>
          <w:p w:rsidR="006822EC" w:rsidRPr="00BA0FBF" w:rsidRDefault="006822EC" w:rsidP="009B1030">
            <w:pPr>
              <w:pStyle w:val="TableHeading"/>
              <w:cnfStyle w:val="100000000000" w:firstRow="1" w:lastRow="0" w:firstColumn="0" w:lastColumn="0" w:oddVBand="0" w:evenVBand="0" w:oddHBand="0" w:evenHBand="0" w:firstRowFirstColumn="0" w:firstRowLastColumn="0" w:lastRowFirstColumn="0" w:lastRowLastColumn="0"/>
            </w:pPr>
            <w:r w:rsidRPr="00BA0FBF">
              <w:t>D5</w:t>
            </w:r>
          </w:p>
        </w:tc>
        <w:tc>
          <w:tcPr>
            <w:tcW w:w="385" w:type="pct"/>
            <w:vAlign w:val="center"/>
          </w:tcPr>
          <w:p w:rsidR="006822EC" w:rsidRPr="00BA0FBF" w:rsidRDefault="006822EC" w:rsidP="009B1030">
            <w:pPr>
              <w:pStyle w:val="TableHeading"/>
              <w:cnfStyle w:val="100000000000" w:firstRow="1" w:lastRow="0" w:firstColumn="0" w:lastColumn="0" w:oddVBand="0" w:evenVBand="0" w:oddHBand="0" w:evenHBand="0" w:firstRowFirstColumn="0" w:firstRowLastColumn="0" w:lastRowFirstColumn="0" w:lastRowLastColumn="0"/>
            </w:pPr>
            <w:r w:rsidRPr="00BA0FBF">
              <w:t>D6</w:t>
            </w:r>
          </w:p>
        </w:tc>
        <w:tc>
          <w:tcPr>
            <w:tcW w:w="385" w:type="pct"/>
            <w:vAlign w:val="center"/>
          </w:tcPr>
          <w:p w:rsidR="006822EC" w:rsidRPr="00BA0FBF" w:rsidRDefault="006822EC" w:rsidP="009B1030">
            <w:pPr>
              <w:pStyle w:val="TableHeading"/>
              <w:cnfStyle w:val="100000000000" w:firstRow="1" w:lastRow="0" w:firstColumn="0" w:lastColumn="0" w:oddVBand="0" w:evenVBand="0" w:oddHBand="0" w:evenHBand="0" w:firstRowFirstColumn="0" w:firstRowLastColumn="0" w:lastRowFirstColumn="0" w:lastRowLastColumn="0"/>
            </w:pPr>
            <w:r w:rsidRPr="00BA0FBF">
              <w:t>D7</w:t>
            </w:r>
          </w:p>
        </w:tc>
        <w:tc>
          <w:tcPr>
            <w:tcW w:w="385" w:type="pct"/>
            <w:vAlign w:val="center"/>
          </w:tcPr>
          <w:p w:rsidR="006822EC" w:rsidRPr="00BA0FBF" w:rsidRDefault="006822EC" w:rsidP="009B1030">
            <w:pPr>
              <w:pStyle w:val="TableHeading"/>
              <w:cnfStyle w:val="100000000000" w:firstRow="1" w:lastRow="0" w:firstColumn="0" w:lastColumn="0" w:oddVBand="0" w:evenVBand="0" w:oddHBand="0" w:evenHBand="0" w:firstRowFirstColumn="0" w:firstRowLastColumn="0" w:lastRowFirstColumn="0" w:lastRowLastColumn="0"/>
            </w:pPr>
            <w:r w:rsidRPr="00BA0FBF">
              <w:t>D8</w:t>
            </w:r>
          </w:p>
        </w:tc>
        <w:tc>
          <w:tcPr>
            <w:tcW w:w="385" w:type="pct"/>
            <w:vAlign w:val="center"/>
          </w:tcPr>
          <w:p w:rsidR="006822EC" w:rsidRPr="00BA0FBF" w:rsidRDefault="006822EC" w:rsidP="009B1030">
            <w:pPr>
              <w:pStyle w:val="TableHeading"/>
              <w:cnfStyle w:val="100000000000" w:firstRow="1" w:lastRow="0" w:firstColumn="0" w:lastColumn="0" w:oddVBand="0" w:evenVBand="0" w:oddHBand="0" w:evenHBand="0" w:firstRowFirstColumn="0" w:firstRowLastColumn="0" w:lastRowFirstColumn="0" w:lastRowLastColumn="0"/>
            </w:pPr>
            <w:r w:rsidRPr="00BA0FBF">
              <w:t>D9</w:t>
            </w:r>
          </w:p>
        </w:tc>
        <w:tc>
          <w:tcPr>
            <w:tcW w:w="385" w:type="pct"/>
            <w:vAlign w:val="center"/>
          </w:tcPr>
          <w:p w:rsidR="006822EC" w:rsidRPr="00BA0FBF" w:rsidRDefault="006822EC" w:rsidP="009B1030">
            <w:pPr>
              <w:pStyle w:val="TableHeading"/>
              <w:cnfStyle w:val="100000000000" w:firstRow="1" w:lastRow="0" w:firstColumn="0" w:lastColumn="0" w:oddVBand="0" w:evenVBand="0" w:oddHBand="0" w:evenHBand="0" w:firstRowFirstColumn="0" w:firstRowLastColumn="0" w:lastRowFirstColumn="0" w:lastRowLastColumn="0"/>
            </w:pPr>
            <w:r w:rsidRPr="00BA0FBF">
              <w:t>D10</w:t>
            </w:r>
          </w:p>
        </w:tc>
      </w:tr>
      <w:tr w:rsidR="00AB1989" w:rsidRPr="00BA0FBF" w:rsidTr="00AB198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43" w:type="pct"/>
          </w:tcPr>
          <w:p w:rsidR="00AB1989" w:rsidRPr="009B1030" w:rsidRDefault="00AB1989" w:rsidP="009B1030">
            <w:pPr>
              <w:pStyle w:val="TableText"/>
            </w:pPr>
            <w:r>
              <w:t xml:space="preserve">Additional </w:t>
            </w:r>
            <w:r w:rsidRPr="009B1030">
              <w:t>GST revenue</w:t>
            </w:r>
          </w:p>
        </w:tc>
        <w:tc>
          <w:tcPr>
            <w:tcW w:w="387" w:type="pct"/>
          </w:tcPr>
          <w:p w:rsidR="00AB1989" w:rsidRPr="00BB05EF" w:rsidRDefault="00AB1989" w:rsidP="00AB1989">
            <w:pPr>
              <w:jc w:val="center"/>
              <w:cnfStyle w:val="000000100000" w:firstRow="0" w:lastRow="0" w:firstColumn="0" w:lastColumn="0" w:oddVBand="0" w:evenVBand="0" w:oddHBand="1" w:evenHBand="0" w:firstRowFirstColumn="0" w:firstRowLastColumn="0" w:lastRowFirstColumn="0" w:lastRowLastColumn="0"/>
            </w:pPr>
            <w:r w:rsidRPr="00BB05EF">
              <w:t>5.2</w:t>
            </w:r>
          </w:p>
        </w:tc>
        <w:tc>
          <w:tcPr>
            <w:tcW w:w="387" w:type="pct"/>
          </w:tcPr>
          <w:p w:rsidR="00AB1989" w:rsidRPr="00BB05EF" w:rsidRDefault="00AB1989" w:rsidP="00AB1989">
            <w:pPr>
              <w:jc w:val="center"/>
              <w:cnfStyle w:val="000000100000" w:firstRow="0" w:lastRow="0" w:firstColumn="0" w:lastColumn="0" w:oddVBand="0" w:evenVBand="0" w:oddHBand="1" w:evenHBand="0" w:firstRowFirstColumn="0" w:firstRowLastColumn="0" w:lastRowFirstColumn="0" w:lastRowLastColumn="0"/>
            </w:pPr>
            <w:r w:rsidRPr="00BB05EF">
              <w:t>2.5</w:t>
            </w:r>
          </w:p>
        </w:tc>
        <w:tc>
          <w:tcPr>
            <w:tcW w:w="385" w:type="pct"/>
          </w:tcPr>
          <w:p w:rsidR="00AB1989" w:rsidRPr="00BB05EF" w:rsidRDefault="00AB1989" w:rsidP="00AB1989">
            <w:pPr>
              <w:jc w:val="center"/>
              <w:cnfStyle w:val="000000100000" w:firstRow="0" w:lastRow="0" w:firstColumn="0" w:lastColumn="0" w:oddVBand="0" w:evenVBand="0" w:oddHBand="1" w:evenHBand="0" w:firstRowFirstColumn="0" w:firstRowLastColumn="0" w:lastRowFirstColumn="0" w:lastRowLastColumn="0"/>
            </w:pPr>
            <w:r w:rsidRPr="00BB05EF">
              <w:t>2.3</w:t>
            </w:r>
          </w:p>
        </w:tc>
        <w:tc>
          <w:tcPr>
            <w:tcW w:w="387" w:type="pct"/>
          </w:tcPr>
          <w:p w:rsidR="00AB1989" w:rsidRPr="00BB05EF" w:rsidRDefault="00AB1989" w:rsidP="00AB1989">
            <w:pPr>
              <w:jc w:val="center"/>
              <w:cnfStyle w:val="000000100000" w:firstRow="0" w:lastRow="0" w:firstColumn="0" w:lastColumn="0" w:oddVBand="0" w:evenVBand="0" w:oddHBand="1" w:evenHBand="0" w:firstRowFirstColumn="0" w:firstRowLastColumn="0" w:lastRowFirstColumn="0" w:lastRowLastColumn="0"/>
            </w:pPr>
            <w:r w:rsidRPr="00BB05EF">
              <w:t>2.3</w:t>
            </w:r>
          </w:p>
        </w:tc>
        <w:tc>
          <w:tcPr>
            <w:tcW w:w="385" w:type="pct"/>
          </w:tcPr>
          <w:p w:rsidR="00AB1989" w:rsidRPr="00BB05EF" w:rsidRDefault="00AB1989" w:rsidP="00AB1989">
            <w:pPr>
              <w:jc w:val="center"/>
              <w:cnfStyle w:val="000000100000" w:firstRow="0" w:lastRow="0" w:firstColumn="0" w:lastColumn="0" w:oddVBand="0" w:evenVBand="0" w:oddHBand="1" w:evenHBand="0" w:firstRowFirstColumn="0" w:firstRowLastColumn="0" w:lastRowFirstColumn="0" w:lastRowLastColumn="0"/>
            </w:pPr>
            <w:r w:rsidRPr="00BB05EF">
              <w:t>1.9</w:t>
            </w:r>
          </w:p>
        </w:tc>
        <w:tc>
          <w:tcPr>
            <w:tcW w:w="385" w:type="pct"/>
          </w:tcPr>
          <w:p w:rsidR="00AB1989" w:rsidRPr="00BB05EF" w:rsidRDefault="00AB1989" w:rsidP="00AB1989">
            <w:pPr>
              <w:jc w:val="center"/>
              <w:cnfStyle w:val="000000100000" w:firstRow="0" w:lastRow="0" w:firstColumn="0" w:lastColumn="0" w:oddVBand="0" w:evenVBand="0" w:oddHBand="1" w:evenHBand="0" w:firstRowFirstColumn="0" w:firstRowLastColumn="0" w:lastRowFirstColumn="0" w:lastRowLastColumn="0"/>
            </w:pPr>
            <w:r w:rsidRPr="00BB05EF">
              <w:t>2.1</w:t>
            </w:r>
          </w:p>
        </w:tc>
        <w:tc>
          <w:tcPr>
            <w:tcW w:w="385" w:type="pct"/>
          </w:tcPr>
          <w:p w:rsidR="00AB1989" w:rsidRPr="00BB05EF" w:rsidRDefault="00AB1989" w:rsidP="00AB1989">
            <w:pPr>
              <w:jc w:val="center"/>
              <w:cnfStyle w:val="000000100000" w:firstRow="0" w:lastRow="0" w:firstColumn="0" w:lastColumn="0" w:oddVBand="0" w:evenVBand="0" w:oddHBand="1" w:evenHBand="0" w:firstRowFirstColumn="0" w:firstRowLastColumn="0" w:lastRowFirstColumn="0" w:lastRowLastColumn="0"/>
            </w:pPr>
            <w:r w:rsidRPr="00BB05EF">
              <w:t>1.9</w:t>
            </w:r>
          </w:p>
        </w:tc>
        <w:tc>
          <w:tcPr>
            <w:tcW w:w="385" w:type="pct"/>
          </w:tcPr>
          <w:p w:rsidR="00AB1989" w:rsidRPr="00BB05EF" w:rsidRDefault="00AB1989" w:rsidP="00AB1989">
            <w:pPr>
              <w:jc w:val="center"/>
              <w:cnfStyle w:val="000000100000" w:firstRow="0" w:lastRow="0" w:firstColumn="0" w:lastColumn="0" w:oddVBand="0" w:evenVBand="0" w:oddHBand="1" w:evenHBand="0" w:firstRowFirstColumn="0" w:firstRowLastColumn="0" w:lastRowFirstColumn="0" w:lastRowLastColumn="0"/>
            </w:pPr>
            <w:r w:rsidRPr="00BB05EF">
              <w:t>1.8</w:t>
            </w:r>
          </w:p>
        </w:tc>
        <w:tc>
          <w:tcPr>
            <w:tcW w:w="385" w:type="pct"/>
          </w:tcPr>
          <w:p w:rsidR="00AB1989" w:rsidRPr="00BB05EF" w:rsidRDefault="00AB1989" w:rsidP="00AB1989">
            <w:pPr>
              <w:jc w:val="center"/>
              <w:cnfStyle w:val="000000100000" w:firstRow="0" w:lastRow="0" w:firstColumn="0" w:lastColumn="0" w:oddVBand="0" w:evenVBand="0" w:oddHBand="1" w:evenHBand="0" w:firstRowFirstColumn="0" w:firstRowLastColumn="0" w:lastRowFirstColumn="0" w:lastRowLastColumn="0"/>
            </w:pPr>
            <w:r w:rsidRPr="00BB05EF">
              <w:t>1.5</w:t>
            </w:r>
          </w:p>
        </w:tc>
        <w:tc>
          <w:tcPr>
            <w:tcW w:w="385" w:type="pct"/>
          </w:tcPr>
          <w:p w:rsidR="00AB1989" w:rsidRPr="00BB05EF" w:rsidRDefault="00AB1989" w:rsidP="00AB1989">
            <w:pPr>
              <w:jc w:val="center"/>
              <w:cnfStyle w:val="000000100000" w:firstRow="0" w:lastRow="0" w:firstColumn="0" w:lastColumn="0" w:oddVBand="0" w:evenVBand="0" w:oddHBand="1" w:evenHBand="0" w:firstRowFirstColumn="0" w:firstRowLastColumn="0" w:lastRowFirstColumn="0" w:lastRowLastColumn="0"/>
            </w:pPr>
            <w:r w:rsidRPr="00BB05EF">
              <w:t>1.3</w:t>
            </w:r>
          </w:p>
        </w:tc>
      </w:tr>
      <w:tr w:rsidR="00AB1989" w:rsidRPr="00BA0FBF" w:rsidTr="00AB1989">
        <w:trPr>
          <w:cantSplit/>
        </w:trPr>
        <w:tc>
          <w:tcPr>
            <w:cnfStyle w:val="001000000000" w:firstRow="0" w:lastRow="0" w:firstColumn="1" w:lastColumn="0" w:oddVBand="0" w:evenVBand="0" w:oddHBand="0" w:evenHBand="0" w:firstRowFirstColumn="0" w:firstRowLastColumn="0" w:lastRowFirstColumn="0" w:lastRowLastColumn="0"/>
            <w:tcW w:w="1143" w:type="pct"/>
          </w:tcPr>
          <w:p w:rsidR="00AB1989" w:rsidRPr="009B1030" w:rsidRDefault="00AB1989" w:rsidP="009B1030">
            <w:pPr>
              <w:pStyle w:val="TableText"/>
            </w:pPr>
            <w:r w:rsidRPr="009B1030">
              <w:t>Compensation</w:t>
            </w:r>
          </w:p>
        </w:tc>
        <w:tc>
          <w:tcPr>
            <w:tcW w:w="387" w:type="pct"/>
          </w:tcPr>
          <w:p w:rsidR="00AB1989" w:rsidRPr="00BB05EF" w:rsidRDefault="00AB1989" w:rsidP="00AB1989">
            <w:pPr>
              <w:jc w:val="center"/>
              <w:cnfStyle w:val="000000000000" w:firstRow="0" w:lastRow="0" w:firstColumn="0" w:lastColumn="0" w:oddVBand="0" w:evenVBand="0" w:oddHBand="0" w:evenHBand="0" w:firstRowFirstColumn="0" w:firstRowLastColumn="0" w:lastRowFirstColumn="0" w:lastRowLastColumn="0"/>
            </w:pPr>
            <w:r w:rsidRPr="00BB05EF">
              <w:t>5.2</w:t>
            </w:r>
          </w:p>
        </w:tc>
        <w:tc>
          <w:tcPr>
            <w:tcW w:w="387" w:type="pct"/>
          </w:tcPr>
          <w:p w:rsidR="00AB1989" w:rsidRPr="00BB05EF" w:rsidRDefault="00AB1989" w:rsidP="00AB1989">
            <w:pPr>
              <w:jc w:val="center"/>
              <w:cnfStyle w:val="000000000000" w:firstRow="0" w:lastRow="0" w:firstColumn="0" w:lastColumn="0" w:oddVBand="0" w:evenVBand="0" w:oddHBand="0" w:evenHBand="0" w:firstRowFirstColumn="0" w:firstRowLastColumn="0" w:lastRowFirstColumn="0" w:lastRowLastColumn="0"/>
            </w:pPr>
            <w:r w:rsidRPr="00BB05EF">
              <w:t>2.5</w:t>
            </w:r>
          </w:p>
        </w:tc>
        <w:tc>
          <w:tcPr>
            <w:tcW w:w="385" w:type="pct"/>
          </w:tcPr>
          <w:p w:rsidR="00AB1989" w:rsidRPr="00BB05EF" w:rsidRDefault="00AB1989" w:rsidP="00AB1989">
            <w:pPr>
              <w:jc w:val="center"/>
              <w:cnfStyle w:val="000000000000" w:firstRow="0" w:lastRow="0" w:firstColumn="0" w:lastColumn="0" w:oddVBand="0" w:evenVBand="0" w:oddHBand="0" w:evenHBand="0" w:firstRowFirstColumn="0" w:firstRowLastColumn="0" w:lastRowFirstColumn="0" w:lastRowLastColumn="0"/>
            </w:pPr>
            <w:r w:rsidRPr="00BB05EF">
              <w:t>2.3</w:t>
            </w:r>
          </w:p>
        </w:tc>
        <w:tc>
          <w:tcPr>
            <w:tcW w:w="387" w:type="pct"/>
          </w:tcPr>
          <w:p w:rsidR="00AB1989" w:rsidRPr="00BB05EF" w:rsidRDefault="00AB1989" w:rsidP="00AB1989">
            <w:pPr>
              <w:jc w:val="center"/>
              <w:cnfStyle w:val="000000000000" w:firstRow="0" w:lastRow="0" w:firstColumn="0" w:lastColumn="0" w:oddVBand="0" w:evenVBand="0" w:oddHBand="0" w:evenHBand="0" w:firstRowFirstColumn="0" w:firstRowLastColumn="0" w:lastRowFirstColumn="0" w:lastRowLastColumn="0"/>
            </w:pPr>
            <w:r w:rsidRPr="00BB05EF">
              <w:t>2.3</w:t>
            </w:r>
          </w:p>
        </w:tc>
        <w:tc>
          <w:tcPr>
            <w:tcW w:w="385" w:type="pct"/>
          </w:tcPr>
          <w:p w:rsidR="00AB1989" w:rsidRPr="00BB05EF" w:rsidRDefault="00AB1989" w:rsidP="00AB1989">
            <w:pPr>
              <w:jc w:val="center"/>
              <w:cnfStyle w:val="000000000000" w:firstRow="0" w:lastRow="0" w:firstColumn="0" w:lastColumn="0" w:oddVBand="0" w:evenVBand="0" w:oddHBand="0" w:evenHBand="0" w:firstRowFirstColumn="0" w:firstRowLastColumn="0" w:lastRowFirstColumn="0" w:lastRowLastColumn="0"/>
            </w:pPr>
            <w:r w:rsidRPr="00BB05EF">
              <w:t>0.0</w:t>
            </w:r>
          </w:p>
        </w:tc>
        <w:tc>
          <w:tcPr>
            <w:tcW w:w="385" w:type="pct"/>
          </w:tcPr>
          <w:p w:rsidR="00AB1989" w:rsidRPr="00BB05EF" w:rsidRDefault="00AB1989" w:rsidP="00AB1989">
            <w:pPr>
              <w:jc w:val="center"/>
              <w:cnfStyle w:val="000000000000" w:firstRow="0" w:lastRow="0" w:firstColumn="0" w:lastColumn="0" w:oddVBand="0" w:evenVBand="0" w:oddHBand="0" w:evenHBand="0" w:firstRowFirstColumn="0" w:firstRowLastColumn="0" w:lastRowFirstColumn="0" w:lastRowLastColumn="0"/>
            </w:pPr>
            <w:r w:rsidRPr="00BB05EF">
              <w:t>0.0</w:t>
            </w:r>
          </w:p>
        </w:tc>
        <w:tc>
          <w:tcPr>
            <w:tcW w:w="385" w:type="pct"/>
          </w:tcPr>
          <w:p w:rsidR="00AB1989" w:rsidRPr="00BB05EF" w:rsidRDefault="00AB1989" w:rsidP="00AB1989">
            <w:pPr>
              <w:jc w:val="center"/>
              <w:cnfStyle w:val="000000000000" w:firstRow="0" w:lastRow="0" w:firstColumn="0" w:lastColumn="0" w:oddVBand="0" w:evenVBand="0" w:oddHBand="0" w:evenHBand="0" w:firstRowFirstColumn="0" w:firstRowLastColumn="0" w:lastRowFirstColumn="0" w:lastRowLastColumn="0"/>
            </w:pPr>
            <w:r w:rsidRPr="00BB05EF">
              <w:t>0.0</w:t>
            </w:r>
          </w:p>
        </w:tc>
        <w:tc>
          <w:tcPr>
            <w:tcW w:w="385" w:type="pct"/>
          </w:tcPr>
          <w:p w:rsidR="00AB1989" w:rsidRPr="00BB05EF" w:rsidRDefault="00AB1989" w:rsidP="00AB1989">
            <w:pPr>
              <w:jc w:val="center"/>
              <w:cnfStyle w:val="000000000000" w:firstRow="0" w:lastRow="0" w:firstColumn="0" w:lastColumn="0" w:oddVBand="0" w:evenVBand="0" w:oddHBand="0" w:evenHBand="0" w:firstRowFirstColumn="0" w:firstRowLastColumn="0" w:lastRowFirstColumn="0" w:lastRowLastColumn="0"/>
            </w:pPr>
            <w:r w:rsidRPr="00BB05EF">
              <w:t>0.0</w:t>
            </w:r>
          </w:p>
        </w:tc>
        <w:tc>
          <w:tcPr>
            <w:tcW w:w="385" w:type="pct"/>
          </w:tcPr>
          <w:p w:rsidR="00AB1989" w:rsidRPr="00BB05EF" w:rsidRDefault="00AB1989" w:rsidP="00AB1989">
            <w:pPr>
              <w:jc w:val="center"/>
              <w:cnfStyle w:val="000000000000" w:firstRow="0" w:lastRow="0" w:firstColumn="0" w:lastColumn="0" w:oddVBand="0" w:evenVBand="0" w:oddHBand="0" w:evenHBand="0" w:firstRowFirstColumn="0" w:firstRowLastColumn="0" w:lastRowFirstColumn="0" w:lastRowLastColumn="0"/>
            </w:pPr>
            <w:r w:rsidRPr="00BB05EF">
              <w:t>0.0</w:t>
            </w:r>
          </w:p>
        </w:tc>
        <w:tc>
          <w:tcPr>
            <w:tcW w:w="385" w:type="pct"/>
          </w:tcPr>
          <w:p w:rsidR="00AB1989" w:rsidRPr="00BB05EF" w:rsidRDefault="00AB1989" w:rsidP="00AB1989">
            <w:pPr>
              <w:jc w:val="center"/>
              <w:cnfStyle w:val="000000000000" w:firstRow="0" w:lastRow="0" w:firstColumn="0" w:lastColumn="0" w:oddVBand="0" w:evenVBand="0" w:oddHBand="0" w:evenHBand="0" w:firstRowFirstColumn="0" w:firstRowLastColumn="0" w:lastRowFirstColumn="0" w:lastRowLastColumn="0"/>
            </w:pPr>
            <w:r w:rsidRPr="00BB05EF">
              <w:t>0.0</w:t>
            </w:r>
          </w:p>
        </w:tc>
      </w:tr>
      <w:tr w:rsidR="00AB1989" w:rsidRPr="00BA0FBF" w:rsidTr="00AB198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43" w:type="pct"/>
          </w:tcPr>
          <w:p w:rsidR="00AB1989" w:rsidRPr="009B1030" w:rsidRDefault="00AB1989" w:rsidP="009B1030">
            <w:pPr>
              <w:pStyle w:val="TableText"/>
              <w:rPr>
                <w:b/>
              </w:rPr>
            </w:pPr>
            <w:r w:rsidRPr="009B1030">
              <w:rPr>
                <w:b/>
              </w:rPr>
              <w:t>Relative impact (%)</w:t>
            </w:r>
          </w:p>
        </w:tc>
        <w:tc>
          <w:tcPr>
            <w:tcW w:w="387" w:type="pct"/>
          </w:tcPr>
          <w:p w:rsidR="00AB1989" w:rsidRPr="00AB1989" w:rsidRDefault="00AB1989" w:rsidP="00AB1989">
            <w:pPr>
              <w:jc w:val="center"/>
              <w:cnfStyle w:val="000000100000" w:firstRow="0" w:lastRow="0" w:firstColumn="0" w:lastColumn="0" w:oddVBand="0" w:evenVBand="0" w:oddHBand="1" w:evenHBand="0" w:firstRowFirstColumn="0" w:firstRowLastColumn="0" w:lastRowFirstColumn="0" w:lastRowLastColumn="0"/>
              <w:rPr>
                <w:b/>
              </w:rPr>
            </w:pPr>
            <w:r w:rsidRPr="00AB1989">
              <w:rPr>
                <w:b/>
              </w:rPr>
              <w:t>0.0</w:t>
            </w:r>
          </w:p>
        </w:tc>
        <w:tc>
          <w:tcPr>
            <w:tcW w:w="387" w:type="pct"/>
          </w:tcPr>
          <w:p w:rsidR="00AB1989" w:rsidRPr="00AB1989" w:rsidRDefault="00AB1989" w:rsidP="00AB1989">
            <w:pPr>
              <w:jc w:val="center"/>
              <w:cnfStyle w:val="000000100000" w:firstRow="0" w:lastRow="0" w:firstColumn="0" w:lastColumn="0" w:oddVBand="0" w:evenVBand="0" w:oddHBand="1" w:evenHBand="0" w:firstRowFirstColumn="0" w:firstRowLastColumn="0" w:lastRowFirstColumn="0" w:lastRowLastColumn="0"/>
              <w:rPr>
                <w:b/>
              </w:rPr>
            </w:pPr>
            <w:r w:rsidRPr="00AB1989">
              <w:rPr>
                <w:b/>
              </w:rPr>
              <w:t>0.0</w:t>
            </w:r>
          </w:p>
        </w:tc>
        <w:tc>
          <w:tcPr>
            <w:tcW w:w="385" w:type="pct"/>
          </w:tcPr>
          <w:p w:rsidR="00AB1989" w:rsidRPr="00AB1989" w:rsidRDefault="00AB1989" w:rsidP="00AB1989">
            <w:pPr>
              <w:jc w:val="center"/>
              <w:cnfStyle w:val="000000100000" w:firstRow="0" w:lastRow="0" w:firstColumn="0" w:lastColumn="0" w:oddVBand="0" w:evenVBand="0" w:oddHBand="1" w:evenHBand="0" w:firstRowFirstColumn="0" w:firstRowLastColumn="0" w:lastRowFirstColumn="0" w:lastRowLastColumn="0"/>
              <w:rPr>
                <w:b/>
              </w:rPr>
            </w:pPr>
            <w:r w:rsidRPr="00AB1989">
              <w:rPr>
                <w:b/>
              </w:rPr>
              <w:t>0.0</w:t>
            </w:r>
          </w:p>
        </w:tc>
        <w:tc>
          <w:tcPr>
            <w:tcW w:w="387" w:type="pct"/>
          </w:tcPr>
          <w:p w:rsidR="00AB1989" w:rsidRPr="00AB1989" w:rsidRDefault="00AB1989" w:rsidP="00AB1989">
            <w:pPr>
              <w:jc w:val="center"/>
              <w:cnfStyle w:val="000000100000" w:firstRow="0" w:lastRow="0" w:firstColumn="0" w:lastColumn="0" w:oddVBand="0" w:evenVBand="0" w:oddHBand="1" w:evenHBand="0" w:firstRowFirstColumn="0" w:firstRowLastColumn="0" w:lastRowFirstColumn="0" w:lastRowLastColumn="0"/>
              <w:rPr>
                <w:b/>
              </w:rPr>
            </w:pPr>
            <w:r w:rsidRPr="00AB1989">
              <w:rPr>
                <w:b/>
              </w:rPr>
              <w:t>0.0</w:t>
            </w:r>
          </w:p>
        </w:tc>
        <w:tc>
          <w:tcPr>
            <w:tcW w:w="385" w:type="pct"/>
          </w:tcPr>
          <w:p w:rsidR="00AB1989" w:rsidRPr="00AB1989" w:rsidRDefault="00AB1989" w:rsidP="00AB1989">
            <w:pPr>
              <w:jc w:val="center"/>
              <w:cnfStyle w:val="000000100000" w:firstRow="0" w:lastRow="0" w:firstColumn="0" w:lastColumn="0" w:oddVBand="0" w:evenVBand="0" w:oddHBand="1" w:evenHBand="0" w:firstRowFirstColumn="0" w:firstRowLastColumn="0" w:lastRowFirstColumn="0" w:lastRowLastColumn="0"/>
              <w:rPr>
                <w:b/>
              </w:rPr>
            </w:pPr>
            <w:r w:rsidRPr="00AB1989">
              <w:rPr>
                <w:b/>
              </w:rPr>
              <w:t>1.9</w:t>
            </w:r>
          </w:p>
        </w:tc>
        <w:tc>
          <w:tcPr>
            <w:tcW w:w="385" w:type="pct"/>
          </w:tcPr>
          <w:p w:rsidR="00AB1989" w:rsidRPr="00AB1989" w:rsidRDefault="00AB1989" w:rsidP="00AB1989">
            <w:pPr>
              <w:jc w:val="center"/>
              <w:cnfStyle w:val="000000100000" w:firstRow="0" w:lastRow="0" w:firstColumn="0" w:lastColumn="0" w:oddVBand="0" w:evenVBand="0" w:oddHBand="1" w:evenHBand="0" w:firstRowFirstColumn="0" w:firstRowLastColumn="0" w:lastRowFirstColumn="0" w:lastRowLastColumn="0"/>
              <w:rPr>
                <w:b/>
              </w:rPr>
            </w:pPr>
            <w:r w:rsidRPr="00AB1989">
              <w:rPr>
                <w:b/>
              </w:rPr>
              <w:t>2.1</w:t>
            </w:r>
          </w:p>
        </w:tc>
        <w:tc>
          <w:tcPr>
            <w:tcW w:w="385" w:type="pct"/>
          </w:tcPr>
          <w:p w:rsidR="00AB1989" w:rsidRPr="00AB1989" w:rsidRDefault="00AB1989" w:rsidP="00AB1989">
            <w:pPr>
              <w:jc w:val="center"/>
              <w:cnfStyle w:val="000000100000" w:firstRow="0" w:lastRow="0" w:firstColumn="0" w:lastColumn="0" w:oddVBand="0" w:evenVBand="0" w:oddHBand="1" w:evenHBand="0" w:firstRowFirstColumn="0" w:firstRowLastColumn="0" w:lastRowFirstColumn="0" w:lastRowLastColumn="0"/>
              <w:rPr>
                <w:b/>
              </w:rPr>
            </w:pPr>
            <w:r w:rsidRPr="00AB1989">
              <w:rPr>
                <w:b/>
              </w:rPr>
              <w:t>1.9</w:t>
            </w:r>
          </w:p>
        </w:tc>
        <w:tc>
          <w:tcPr>
            <w:tcW w:w="385" w:type="pct"/>
          </w:tcPr>
          <w:p w:rsidR="00AB1989" w:rsidRPr="00AB1989" w:rsidRDefault="00AB1989" w:rsidP="00AB1989">
            <w:pPr>
              <w:jc w:val="center"/>
              <w:cnfStyle w:val="000000100000" w:firstRow="0" w:lastRow="0" w:firstColumn="0" w:lastColumn="0" w:oddVBand="0" w:evenVBand="0" w:oddHBand="1" w:evenHBand="0" w:firstRowFirstColumn="0" w:firstRowLastColumn="0" w:lastRowFirstColumn="0" w:lastRowLastColumn="0"/>
              <w:rPr>
                <w:b/>
              </w:rPr>
            </w:pPr>
            <w:r w:rsidRPr="00AB1989">
              <w:rPr>
                <w:b/>
              </w:rPr>
              <w:t>1.8</w:t>
            </w:r>
          </w:p>
        </w:tc>
        <w:tc>
          <w:tcPr>
            <w:tcW w:w="385" w:type="pct"/>
          </w:tcPr>
          <w:p w:rsidR="00AB1989" w:rsidRPr="00AB1989" w:rsidRDefault="00AB1989" w:rsidP="00AB1989">
            <w:pPr>
              <w:jc w:val="center"/>
              <w:cnfStyle w:val="000000100000" w:firstRow="0" w:lastRow="0" w:firstColumn="0" w:lastColumn="0" w:oddVBand="0" w:evenVBand="0" w:oddHBand="1" w:evenHBand="0" w:firstRowFirstColumn="0" w:firstRowLastColumn="0" w:lastRowFirstColumn="0" w:lastRowLastColumn="0"/>
              <w:rPr>
                <w:b/>
              </w:rPr>
            </w:pPr>
            <w:r w:rsidRPr="00AB1989">
              <w:rPr>
                <w:b/>
              </w:rPr>
              <w:t>1.5</w:t>
            </w:r>
          </w:p>
        </w:tc>
        <w:tc>
          <w:tcPr>
            <w:tcW w:w="385" w:type="pct"/>
          </w:tcPr>
          <w:p w:rsidR="00AB1989" w:rsidRPr="00AB1989" w:rsidRDefault="00AB1989" w:rsidP="00AB1989">
            <w:pPr>
              <w:jc w:val="center"/>
              <w:cnfStyle w:val="000000100000" w:firstRow="0" w:lastRow="0" w:firstColumn="0" w:lastColumn="0" w:oddVBand="0" w:evenVBand="0" w:oddHBand="1" w:evenHBand="0" w:firstRowFirstColumn="0" w:firstRowLastColumn="0" w:lastRowFirstColumn="0" w:lastRowLastColumn="0"/>
              <w:rPr>
                <w:b/>
              </w:rPr>
            </w:pPr>
            <w:r w:rsidRPr="00AB1989">
              <w:rPr>
                <w:b/>
              </w:rPr>
              <w:t>1.3</w:t>
            </w:r>
          </w:p>
        </w:tc>
      </w:tr>
    </w:tbl>
    <w:p w:rsidR="00361BEC" w:rsidRPr="00BA0FBF" w:rsidRDefault="001F493A" w:rsidP="00361BEC">
      <w:pPr>
        <w:pStyle w:val="Source"/>
      </w:pPr>
      <w:r>
        <w:t xml:space="preserve">Source: </w:t>
      </w:r>
      <w:r w:rsidR="006A4F9B">
        <w:t>PBO analysis based on data from the ABS and Treasur</w:t>
      </w:r>
      <w:r w:rsidR="00F3364E">
        <w:t>y.</w:t>
      </w:r>
    </w:p>
    <w:p w:rsidR="002636CD" w:rsidRDefault="00361BEC" w:rsidP="00C3659D">
      <w:pPr>
        <w:pStyle w:val="BodyText17ptAbove"/>
        <w:rPr>
          <w:b/>
          <w:bCs/>
          <w:color w:val="2B3B5F" w:themeColor="text2"/>
          <w:spacing w:val="-4"/>
          <w:sz w:val="20"/>
        </w:rPr>
      </w:pPr>
      <w:r>
        <w:fldChar w:fldCharType="begin"/>
      </w:r>
      <w:r>
        <w:instrText xml:space="preserve"> REF _Ref438122470 \h </w:instrText>
      </w:r>
      <w:r>
        <w:fldChar w:fldCharType="separate"/>
      </w:r>
      <w:r w:rsidR="00076CF9" w:rsidRPr="00BA0FBF">
        <w:rPr>
          <w:sz w:val="20"/>
        </w:rPr>
        <w:t xml:space="preserve">Table </w:t>
      </w:r>
      <w:r w:rsidR="00076CF9">
        <w:rPr>
          <w:noProof/>
          <w:sz w:val="20"/>
        </w:rPr>
        <w:t>4</w:t>
      </w:r>
      <w:r w:rsidR="00076CF9" w:rsidRPr="00BA0FBF">
        <w:rPr>
          <w:sz w:val="20"/>
        </w:rPr>
        <w:t>–</w:t>
      </w:r>
      <w:r w:rsidR="00076CF9">
        <w:rPr>
          <w:noProof/>
          <w:sz w:val="20"/>
        </w:rPr>
        <w:t>6</w:t>
      </w:r>
      <w:r>
        <w:fldChar w:fldCharType="end"/>
      </w:r>
      <w:r>
        <w:t xml:space="preserve"> </w:t>
      </w:r>
      <w:r w:rsidR="008306E7" w:rsidRPr="00BA0FBF">
        <w:t xml:space="preserve">summarises the distribution of the GST revenue collected under Scenario </w:t>
      </w:r>
      <w:r w:rsidR="008306E7">
        <w:t>2</w:t>
      </w:r>
      <w:r w:rsidR="008306E7" w:rsidRPr="00BA0FBF">
        <w:t xml:space="preserve"> by decile of household disposable income before and after the assumed compensation package. </w:t>
      </w:r>
      <w:r w:rsidR="008306E7">
        <w:t xml:space="preserve"> It shows that if GST concessions </w:t>
      </w:r>
      <w:r w:rsidR="00C3659D">
        <w:t xml:space="preserve">on </w:t>
      </w:r>
      <w:r w:rsidR="00C3659D" w:rsidRPr="00BA0FBF">
        <w:t>basic food, health and medical care, education, child care</w:t>
      </w:r>
      <w:r w:rsidR="00C3659D">
        <w:t>,</w:t>
      </w:r>
      <w:r w:rsidR="00C3659D" w:rsidRPr="00BA0FBF">
        <w:t xml:space="preserve"> and water and sewerage</w:t>
      </w:r>
      <w:r w:rsidR="00C3659D">
        <w:t xml:space="preserve"> </w:t>
      </w:r>
      <w:r w:rsidR="008306E7">
        <w:t>were removed in 2017-18, the bottom 40 per cent of households would pay an additional $5.6 billion</w:t>
      </w:r>
      <w:r w:rsidR="008306E7" w:rsidRPr="00BA0FBF">
        <w:t xml:space="preserve"> </w:t>
      </w:r>
      <w:r w:rsidR="00883C03">
        <w:t>in GST (or 26</w:t>
      </w:r>
      <w:r w:rsidR="008306E7">
        <w:t xml:space="preserve"> per cent of the additional GST revenue), while the top 40 per cent of househ</w:t>
      </w:r>
      <w:r w:rsidR="00883C03">
        <w:t>olds would pay an additional $11</w:t>
      </w:r>
      <w:r w:rsidR="008306E7">
        <w:t>.</w:t>
      </w:r>
      <w:r w:rsidR="00883C03">
        <w:t>8</w:t>
      </w:r>
      <w:r w:rsidR="008306E7">
        <w:t xml:space="preserve"> billion</w:t>
      </w:r>
      <w:r w:rsidR="00883C03">
        <w:t xml:space="preserve"> </w:t>
      </w:r>
      <w:r w:rsidR="008306E7">
        <w:t xml:space="preserve">(or </w:t>
      </w:r>
      <w:r w:rsidR="00883C03">
        <w:t>55 </w:t>
      </w:r>
      <w:r w:rsidR="008306E7">
        <w:t>per</w:t>
      </w:r>
      <w:r w:rsidR="00883C03">
        <w:t> </w:t>
      </w:r>
      <w:r w:rsidR="008306E7">
        <w:t xml:space="preserve">cent </w:t>
      </w:r>
      <w:bookmarkStart w:id="172" w:name="_Ref436655488"/>
      <w:bookmarkStart w:id="173" w:name="_Toc436664563"/>
      <w:bookmarkStart w:id="174" w:name="_Toc436917810"/>
      <w:r w:rsidR="00C3659D">
        <w:t>of the additional GST revenue).</w:t>
      </w:r>
    </w:p>
    <w:p w:rsidR="00F60916" w:rsidRPr="00BA0FBF" w:rsidRDefault="00F60916" w:rsidP="00F60916">
      <w:pPr>
        <w:pStyle w:val="Caption"/>
        <w:rPr>
          <w:sz w:val="20"/>
        </w:rPr>
      </w:pPr>
      <w:bookmarkStart w:id="175" w:name="_Ref438122470"/>
      <w:bookmarkStart w:id="176" w:name="_Toc437429568"/>
      <w:r w:rsidRPr="00BA0FBF">
        <w:rPr>
          <w:sz w:val="20"/>
        </w:rPr>
        <w:t xml:space="preserve">Table </w:t>
      </w:r>
      <w:r w:rsidR="009F1D24" w:rsidRPr="00BA0FBF">
        <w:rPr>
          <w:sz w:val="20"/>
        </w:rPr>
        <w:fldChar w:fldCharType="begin"/>
      </w:r>
      <w:r w:rsidR="009F1D24" w:rsidRPr="00BA0FBF">
        <w:rPr>
          <w:sz w:val="20"/>
        </w:rPr>
        <w:instrText xml:space="preserve"> STYLEREF 1 \s </w:instrText>
      </w:r>
      <w:r w:rsidR="009F1D24" w:rsidRPr="00BA0FBF">
        <w:rPr>
          <w:sz w:val="20"/>
        </w:rPr>
        <w:fldChar w:fldCharType="separate"/>
      </w:r>
      <w:r w:rsidR="00076CF9">
        <w:rPr>
          <w:noProof/>
          <w:sz w:val="20"/>
        </w:rPr>
        <w:t>4</w:t>
      </w:r>
      <w:r w:rsidR="009F1D24" w:rsidRPr="00BA0FBF">
        <w:rPr>
          <w:noProof/>
          <w:sz w:val="20"/>
        </w:rPr>
        <w:fldChar w:fldCharType="end"/>
      </w:r>
      <w:r w:rsidRPr="00BA0FBF">
        <w:rPr>
          <w:sz w:val="20"/>
        </w:rPr>
        <w:t>–</w:t>
      </w:r>
      <w:r w:rsidR="009F1D24" w:rsidRPr="00BA0FBF">
        <w:rPr>
          <w:sz w:val="20"/>
        </w:rPr>
        <w:fldChar w:fldCharType="begin"/>
      </w:r>
      <w:r w:rsidR="009F1D24" w:rsidRPr="00BA0FBF">
        <w:rPr>
          <w:sz w:val="20"/>
        </w:rPr>
        <w:instrText xml:space="preserve"> SEQ Table \* ARABIC \s 1 </w:instrText>
      </w:r>
      <w:r w:rsidR="009F1D24" w:rsidRPr="00BA0FBF">
        <w:rPr>
          <w:sz w:val="20"/>
        </w:rPr>
        <w:fldChar w:fldCharType="separate"/>
      </w:r>
      <w:r w:rsidR="00076CF9">
        <w:rPr>
          <w:noProof/>
          <w:sz w:val="20"/>
        </w:rPr>
        <w:t>6</w:t>
      </w:r>
      <w:r w:rsidR="009F1D24" w:rsidRPr="00BA0FBF">
        <w:rPr>
          <w:noProof/>
          <w:sz w:val="20"/>
        </w:rPr>
        <w:fldChar w:fldCharType="end"/>
      </w:r>
      <w:bookmarkEnd w:id="172"/>
      <w:bookmarkEnd w:id="175"/>
      <w:r w:rsidRPr="00BA0FBF">
        <w:rPr>
          <w:sz w:val="20"/>
        </w:rPr>
        <w:t>: Net</w:t>
      </w:r>
      <w:r w:rsidR="00D02DAC">
        <w:rPr>
          <w:sz w:val="20"/>
        </w:rPr>
        <w:t xml:space="preserve"> additional</w:t>
      </w:r>
      <w:r w:rsidRPr="00BA0FBF">
        <w:rPr>
          <w:sz w:val="20"/>
        </w:rPr>
        <w:t xml:space="preserve"> GST revenue: absolute impact </w:t>
      </w:r>
      <w:r w:rsidR="00B01B6B">
        <w:rPr>
          <w:sz w:val="20"/>
        </w:rPr>
        <w:t xml:space="preserve">of </w:t>
      </w:r>
      <w:r w:rsidRPr="00BA0FBF">
        <w:rPr>
          <w:sz w:val="20"/>
        </w:rPr>
        <w:t>Scenario 2</w:t>
      </w:r>
      <w:bookmarkEnd w:id="173"/>
      <w:r w:rsidR="00B01B6B">
        <w:rPr>
          <w:sz w:val="20"/>
        </w:rPr>
        <w:t xml:space="preserve"> (remove concessions from GST base)</w:t>
      </w:r>
      <w:bookmarkEnd w:id="174"/>
      <w:bookmarkEnd w:id="176"/>
    </w:p>
    <w:tbl>
      <w:tblPr>
        <w:tblStyle w:val="TableGrid"/>
        <w:tblW w:w="5372" w:type="pct"/>
        <w:tblLayout w:type="fixed"/>
        <w:tblLook w:val="04A0" w:firstRow="1" w:lastRow="0" w:firstColumn="1" w:lastColumn="0" w:noHBand="0" w:noVBand="1"/>
      </w:tblPr>
      <w:tblGrid>
        <w:gridCol w:w="1423"/>
        <w:gridCol w:w="683"/>
        <w:gridCol w:w="683"/>
        <w:gridCol w:w="683"/>
        <w:gridCol w:w="683"/>
        <w:gridCol w:w="683"/>
        <w:gridCol w:w="682"/>
        <w:gridCol w:w="682"/>
        <w:gridCol w:w="682"/>
        <w:gridCol w:w="682"/>
        <w:gridCol w:w="682"/>
        <w:gridCol w:w="682"/>
      </w:tblGrid>
      <w:tr w:rsidR="00883C03" w:rsidRPr="00BA0FBF" w:rsidTr="00883C03">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796" w:type="pct"/>
          </w:tcPr>
          <w:p w:rsidR="00883C03" w:rsidRPr="00BA0FBF" w:rsidRDefault="00883C03" w:rsidP="00717BC3">
            <w:pPr>
              <w:pStyle w:val="TableHeading"/>
            </w:pPr>
            <w:r w:rsidRPr="00BA0FBF">
              <w:t>2017–18</w:t>
            </w:r>
            <w:r>
              <w:t xml:space="preserve"> ($b)</w:t>
            </w:r>
          </w:p>
        </w:tc>
        <w:tc>
          <w:tcPr>
            <w:tcW w:w="382" w:type="pct"/>
          </w:tcPr>
          <w:p w:rsidR="00883C03" w:rsidRPr="00BA0FBF" w:rsidRDefault="00883C03" w:rsidP="009B1030">
            <w:pPr>
              <w:pStyle w:val="TableHeading"/>
              <w:cnfStyle w:val="100000000000" w:firstRow="1" w:lastRow="0" w:firstColumn="0" w:lastColumn="0" w:oddVBand="0" w:evenVBand="0" w:oddHBand="0" w:evenHBand="0" w:firstRowFirstColumn="0" w:firstRowLastColumn="0" w:lastRowFirstColumn="0" w:lastRowLastColumn="0"/>
            </w:pPr>
            <w:r w:rsidRPr="00BA0FBF">
              <w:t>D1</w:t>
            </w:r>
          </w:p>
        </w:tc>
        <w:tc>
          <w:tcPr>
            <w:tcW w:w="382" w:type="pct"/>
          </w:tcPr>
          <w:p w:rsidR="00883C03" w:rsidRPr="00BA0FBF" w:rsidRDefault="00883C03" w:rsidP="009B1030">
            <w:pPr>
              <w:pStyle w:val="TableHeading"/>
              <w:cnfStyle w:val="100000000000" w:firstRow="1" w:lastRow="0" w:firstColumn="0" w:lastColumn="0" w:oddVBand="0" w:evenVBand="0" w:oddHBand="0" w:evenHBand="0" w:firstRowFirstColumn="0" w:firstRowLastColumn="0" w:lastRowFirstColumn="0" w:lastRowLastColumn="0"/>
            </w:pPr>
            <w:r w:rsidRPr="00BA0FBF">
              <w:t>D2</w:t>
            </w:r>
          </w:p>
        </w:tc>
        <w:tc>
          <w:tcPr>
            <w:tcW w:w="382" w:type="pct"/>
          </w:tcPr>
          <w:p w:rsidR="00883C03" w:rsidRPr="00BA0FBF" w:rsidRDefault="00883C03" w:rsidP="009B1030">
            <w:pPr>
              <w:pStyle w:val="TableHeading"/>
              <w:cnfStyle w:val="100000000000" w:firstRow="1" w:lastRow="0" w:firstColumn="0" w:lastColumn="0" w:oddVBand="0" w:evenVBand="0" w:oddHBand="0" w:evenHBand="0" w:firstRowFirstColumn="0" w:firstRowLastColumn="0" w:lastRowFirstColumn="0" w:lastRowLastColumn="0"/>
            </w:pPr>
            <w:r w:rsidRPr="00BA0FBF">
              <w:t>D3</w:t>
            </w:r>
          </w:p>
        </w:tc>
        <w:tc>
          <w:tcPr>
            <w:tcW w:w="382" w:type="pct"/>
          </w:tcPr>
          <w:p w:rsidR="00883C03" w:rsidRPr="00BA0FBF" w:rsidRDefault="00883C03" w:rsidP="009B1030">
            <w:pPr>
              <w:pStyle w:val="TableHeading"/>
              <w:cnfStyle w:val="100000000000" w:firstRow="1" w:lastRow="0" w:firstColumn="0" w:lastColumn="0" w:oddVBand="0" w:evenVBand="0" w:oddHBand="0" w:evenHBand="0" w:firstRowFirstColumn="0" w:firstRowLastColumn="0" w:lastRowFirstColumn="0" w:lastRowLastColumn="0"/>
            </w:pPr>
            <w:r w:rsidRPr="00BA0FBF">
              <w:t>D4</w:t>
            </w:r>
          </w:p>
        </w:tc>
        <w:tc>
          <w:tcPr>
            <w:tcW w:w="382" w:type="pct"/>
          </w:tcPr>
          <w:p w:rsidR="00883C03" w:rsidRPr="00BA0FBF" w:rsidRDefault="00883C03" w:rsidP="009B1030">
            <w:pPr>
              <w:pStyle w:val="TableHeading"/>
              <w:cnfStyle w:val="100000000000" w:firstRow="1" w:lastRow="0" w:firstColumn="0" w:lastColumn="0" w:oddVBand="0" w:evenVBand="0" w:oddHBand="0" w:evenHBand="0" w:firstRowFirstColumn="0" w:firstRowLastColumn="0" w:lastRowFirstColumn="0" w:lastRowLastColumn="0"/>
            </w:pPr>
            <w:r w:rsidRPr="00BA0FBF">
              <w:t>D5</w:t>
            </w:r>
          </w:p>
        </w:tc>
        <w:tc>
          <w:tcPr>
            <w:tcW w:w="382" w:type="pct"/>
          </w:tcPr>
          <w:p w:rsidR="00883C03" w:rsidRPr="00BA0FBF" w:rsidRDefault="00883C03" w:rsidP="009B1030">
            <w:pPr>
              <w:pStyle w:val="TableHeading"/>
              <w:cnfStyle w:val="100000000000" w:firstRow="1" w:lastRow="0" w:firstColumn="0" w:lastColumn="0" w:oddVBand="0" w:evenVBand="0" w:oddHBand="0" w:evenHBand="0" w:firstRowFirstColumn="0" w:firstRowLastColumn="0" w:lastRowFirstColumn="0" w:lastRowLastColumn="0"/>
            </w:pPr>
            <w:r w:rsidRPr="00BA0FBF">
              <w:t>D6</w:t>
            </w:r>
          </w:p>
        </w:tc>
        <w:tc>
          <w:tcPr>
            <w:tcW w:w="382" w:type="pct"/>
          </w:tcPr>
          <w:p w:rsidR="00883C03" w:rsidRPr="00BA0FBF" w:rsidRDefault="00883C03" w:rsidP="009B1030">
            <w:pPr>
              <w:pStyle w:val="TableHeading"/>
              <w:cnfStyle w:val="100000000000" w:firstRow="1" w:lastRow="0" w:firstColumn="0" w:lastColumn="0" w:oddVBand="0" w:evenVBand="0" w:oddHBand="0" w:evenHBand="0" w:firstRowFirstColumn="0" w:firstRowLastColumn="0" w:lastRowFirstColumn="0" w:lastRowLastColumn="0"/>
            </w:pPr>
            <w:r w:rsidRPr="00BA0FBF">
              <w:t>D7</w:t>
            </w:r>
          </w:p>
        </w:tc>
        <w:tc>
          <w:tcPr>
            <w:tcW w:w="382" w:type="pct"/>
          </w:tcPr>
          <w:p w:rsidR="00883C03" w:rsidRPr="00BA0FBF" w:rsidRDefault="00883C03" w:rsidP="009B1030">
            <w:pPr>
              <w:pStyle w:val="TableHeading"/>
              <w:cnfStyle w:val="100000000000" w:firstRow="1" w:lastRow="0" w:firstColumn="0" w:lastColumn="0" w:oddVBand="0" w:evenVBand="0" w:oddHBand="0" w:evenHBand="0" w:firstRowFirstColumn="0" w:firstRowLastColumn="0" w:lastRowFirstColumn="0" w:lastRowLastColumn="0"/>
            </w:pPr>
            <w:r w:rsidRPr="00BA0FBF">
              <w:t>D8</w:t>
            </w:r>
          </w:p>
        </w:tc>
        <w:tc>
          <w:tcPr>
            <w:tcW w:w="382" w:type="pct"/>
          </w:tcPr>
          <w:p w:rsidR="00883C03" w:rsidRPr="00BA0FBF" w:rsidRDefault="00883C03" w:rsidP="009B1030">
            <w:pPr>
              <w:pStyle w:val="TableHeading"/>
              <w:cnfStyle w:val="100000000000" w:firstRow="1" w:lastRow="0" w:firstColumn="0" w:lastColumn="0" w:oddVBand="0" w:evenVBand="0" w:oddHBand="0" w:evenHBand="0" w:firstRowFirstColumn="0" w:firstRowLastColumn="0" w:lastRowFirstColumn="0" w:lastRowLastColumn="0"/>
            </w:pPr>
            <w:r w:rsidRPr="00BA0FBF">
              <w:t>D9</w:t>
            </w:r>
          </w:p>
        </w:tc>
        <w:tc>
          <w:tcPr>
            <w:tcW w:w="382" w:type="pct"/>
          </w:tcPr>
          <w:p w:rsidR="00883C03" w:rsidRPr="00BA0FBF" w:rsidRDefault="00883C03" w:rsidP="009B1030">
            <w:pPr>
              <w:pStyle w:val="TableHeading"/>
              <w:cnfStyle w:val="100000000000" w:firstRow="1" w:lastRow="0" w:firstColumn="0" w:lastColumn="0" w:oddVBand="0" w:evenVBand="0" w:oddHBand="0" w:evenHBand="0" w:firstRowFirstColumn="0" w:firstRowLastColumn="0" w:lastRowFirstColumn="0" w:lastRowLastColumn="0"/>
            </w:pPr>
            <w:r w:rsidRPr="00BA0FBF">
              <w:t>D10</w:t>
            </w:r>
          </w:p>
        </w:tc>
        <w:tc>
          <w:tcPr>
            <w:tcW w:w="382" w:type="pct"/>
          </w:tcPr>
          <w:p w:rsidR="00883C03" w:rsidRPr="00BA0FBF" w:rsidRDefault="00883C03" w:rsidP="009B1030">
            <w:pPr>
              <w:pStyle w:val="TableHeading"/>
              <w:cnfStyle w:val="100000000000" w:firstRow="1" w:lastRow="0" w:firstColumn="0" w:lastColumn="0" w:oddVBand="0" w:evenVBand="0" w:oddHBand="0" w:evenHBand="0" w:firstRowFirstColumn="0" w:firstRowLastColumn="0" w:lastRowFirstColumn="0" w:lastRowLastColumn="0"/>
            </w:pPr>
            <w:r>
              <w:t>Total</w:t>
            </w:r>
          </w:p>
        </w:tc>
      </w:tr>
      <w:tr w:rsidR="00883C03" w:rsidRPr="00BA0FBF" w:rsidTr="00C3659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6" w:type="pct"/>
          </w:tcPr>
          <w:p w:rsidR="00883C03" w:rsidRPr="009B1030" w:rsidRDefault="00883C03" w:rsidP="009B1030">
            <w:pPr>
              <w:pStyle w:val="TableText"/>
            </w:pPr>
            <w:r>
              <w:t xml:space="preserve">Additional </w:t>
            </w:r>
            <w:r w:rsidRPr="009B1030">
              <w:t>GST revenue</w:t>
            </w:r>
          </w:p>
        </w:tc>
        <w:tc>
          <w:tcPr>
            <w:tcW w:w="382" w:type="pct"/>
          </w:tcPr>
          <w:p w:rsidR="00883C03" w:rsidRPr="00BA0FBF" w:rsidRDefault="00883C03">
            <w:pPr>
              <w:pStyle w:val="TableTextCentred"/>
              <w:cnfStyle w:val="000000100000" w:firstRow="0" w:lastRow="0" w:firstColumn="0" w:lastColumn="0" w:oddVBand="0" w:evenVBand="0" w:oddHBand="1" w:evenHBand="0" w:firstRowFirstColumn="0" w:firstRowLastColumn="0" w:lastRowFirstColumn="0" w:lastRowLastColumn="0"/>
            </w:pPr>
            <w:r w:rsidRPr="008F69AC">
              <w:t>1.4</w:t>
            </w:r>
          </w:p>
        </w:tc>
        <w:tc>
          <w:tcPr>
            <w:tcW w:w="382" w:type="pct"/>
          </w:tcPr>
          <w:p w:rsidR="00883C03" w:rsidRPr="00BA0FBF" w:rsidRDefault="00883C03">
            <w:pPr>
              <w:pStyle w:val="TableTextCentred"/>
              <w:cnfStyle w:val="000000100000" w:firstRow="0" w:lastRow="0" w:firstColumn="0" w:lastColumn="0" w:oddVBand="0" w:evenVBand="0" w:oddHBand="1" w:evenHBand="0" w:firstRowFirstColumn="0" w:firstRowLastColumn="0" w:lastRowFirstColumn="0" w:lastRowLastColumn="0"/>
            </w:pPr>
            <w:r w:rsidRPr="008F69AC">
              <w:t>1.1</w:t>
            </w:r>
          </w:p>
        </w:tc>
        <w:tc>
          <w:tcPr>
            <w:tcW w:w="382" w:type="pct"/>
          </w:tcPr>
          <w:p w:rsidR="00883C03" w:rsidRPr="00BA0FBF" w:rsidRDefault="00883C03">
            <w:pPr>
              <w:pStyle w:val="TableTextCentred"/>
              <w:cnfStyle w:val="000000100000" w:firstRow="0" w:lastRow="0" w:firstColumn="0" w:lastColumn="0" w:oddVBand="0" w:evenVBand="0" w:oddHBand="1" w:evenHBand="0" w:firstRowFirstColumn="0" w:firstRowLastColumn="0" w:lastRowFirstColumn="0" w:lastRowLastColumn="0"/>
            </w:pPr>
            <w:r w:rsidRPr="008F69AC">
              <w:t>1.3</w:t>
            </w:r>
          </w:p>
        </w:tc>
        <w:tc>
          <w:tcPr>
            <w:tcW w:w="382" w:type="pct"/>
          </w:tcPr>
          <w:p w:rsidR="00883C03" w:rsidRPr="00BA0FBF" w:rsidRDefault="00883C03">
            <w:pPr>
              <w:pStyle w:val="TableTextCentred"/>
              <w:cnfStyle w:val="000000100000" w:firstRow="0" w:lastRow="0" w:firstColumn="0" w:lastColumn="0" w:oddVBand="0" w:evenVBand="0" w:oddHBand="1" w:evenHBand="0" w:firstRowFirstColumn="0" w:firstRowLastColumn="0" w:lastRowFirstColumn="0" w:lastRowLastColumn="0"/>
            </w:pPr>
            <w:r w:rsidRPr="008F69AC">
              <w:t>1.8</w:t>
            </w:r>
          </w:p>
        </w:tc>
        <w:tc>
          <w:tcPr>
            <w:tcW w:w="382" w:type="pct"/>
          </w:tcPr>
          <w:p w:rsidR="00883C03" w:rsidRPr="00BA0FBF" w:rsidRDefault="00883C03">
            <w:pPr>
              <w:pStyle w:val="TableTextCentred"/>
              <w:cnfStyle w:val="000000100000" w:firstRow="0" w:lastRow="0" w:firstColumn="0" w:lastColumn="0" w:oddVBand="0" w:evenVBand="0" w:oddHBand="1" w:evenHBand="0" w:firstRowFirstColumn="0" w:firstRowLastColumn="0" w:lastRowFirstColumn="0" w:lastRowLastColumn="0"/>
            </w:pPr>
            <w:r w:rsidRPr="008F69AC">
              <w:t>1.8</w:t>
            </w:r>
          </w:p>
        </w:tc>
        <w:tc>
          <w:tcPr>
            <w:tcW w:w="382" w:type="pct"/>
          </w:tcPr>
          <w:p w:rsidR="00883C03" w:rsidRPr="00BA0FBF" w:rsidRDefault="00883C03">
            <w:pPr>
              <w:pStyle w:val="TableTextCentred"/>
              <w:cnfStyle w:val="000000100000" w:firstRow="0" w:lastRow="0" w:firstColumn="0" w:lastColumn="0" w:oddVBand="0" w:evenVBand="0" w:oddHBand="1" w:evenHBand="0" w:firstRowFirstColumn="0" w:firstRowLastColumn="0" w:lastRowFirstColumn="0" w:lastRowLastColumn="0"/>
            </w:pPr>
            <w:r w:rsidRPr="008F69AC">
              <w:t>2.4</w:t>
            </w:r>
          </w:p>
        </w:tc>
        <w:tc>
          <w:tcPr>
            <w:tcW w:w="382" w:type="pct"/>
          </w:tcPr>
          <w:p w:rsidR="00883C03" w:rsidRPr="00BA0FBF" w:rsidRDefault="00883C03">
            <w:pPr>
              <w:pStyle w:val="TableTextCentred"/>
              <w:cnfStyle w:val="000000100000" w:firstRow="0" w:lastRow="0" w:firstColumn="0" w:lastColumn="0" w:oddVBand="0" w:evenVBand="0" w:oddHBand="1" w:evenHBand="0" w:firstRowFirstColumn="0" w:firstRowLastColumn="0" w:lastRowFirstColumn="0" w:lastRowLastColumn="0"/>
            </w:pPr>
            <w:r w:rsidRPr="008F69AC">
              <w:t>2.5</w:t>
            </w:r>
          </w:p>
        </w:tc>
        <w:tc>
          <w:tcPr>
            <w:tcW w:w="382" w:type="pct"/>
          </w:tcPr>
          <w:p w:rsidR="00883C03" w:rsidRPr="00BA0FBF" w:rsidRDefault="00883C03">
            <w:pPr>
              <w:pStyle w:val="TableTextCentred"/>
              <w:cnfStyle w:val="000000100000" w:firstRow="0" w:lastRow="0" w:firstColumn="0" w:lastColumn="0" w:oddVBand="0" w:evenVBand="0" w:oddHBand="1" w:evenHBand="0" w:firstRowFirstColumn="0" w:firstRowLastColumn="0" w:lastRowFirstColumn="0" w:lastRowLastColumn="0"/>
            </w:pPr>
            <w:r w:rsidRPr="008F69AC">
              <w:t>2.8</w:t>
            </w:r>
          </w:p>
        </w:tc>
        <w:tc>
          <w:tcPr>
            <w:tcW w:w="382" w:type="pct"/>
          </w:tcPr>
          <w:p w:rsidR="00883C03" w:rsidRPr="00BA0FBF" w:rsidRDefault="00883C03">
            <w:pPr>
              <w:pStyle w:val="TableTextCentred"/>
              <w:cnfStyle w:val="000000100000" w:firstRow="0" w:lastRow="0" w:firstColumn="0" w:lastColumn="0" w:oddVBand="0" w:evenVBand="0" w:oddHBand="1" w:evenHBand="0" w:firstRowFirstColumn="0" w:firstRowLastColumn="0" w:lastRowFirstColumn="0" w:lastRowLastColumn="0"/>
            </w:pPr>
            <w:r w:rsidRPr="008F69AC">
              <w:t>2.7</w:t>
            </w:r>
          </w:p>
        </w:tc>
        <w:tc>
          <w:tcPr>
            <w:tcW w:w="382" w:type="pct"/>
          </w:tcPr>
          <w:p w:rsidR="00883C03" w:rsidRPr="00BA0FBF" w:rsidRDefault="00883C03">
            <w:pPr>
              <w:pStyle w:val="TableTextCentred"/>
              <w:cnfStyle w:val="000000100000" w:firstRow="0" w:lastRow="0" w:firstColumn="0" w:lastColumn="0" w:oddVBand="0" w:evenVBand="0" w:oddHBand="1" w:evenHBand="0" w:firstRowFirstColumn="0" w:firstRowLastColumn="0" w:lastRowFirstColumn="0" w:lastRowLastColumn="0"/>
            </w:pPr>
            <w:r w:rsidRPr="008F69AC">
              <w:t>3.8</w:t>
            </w:r>
          </w:p>
        </w:tc>
        <w:tc>
          <w:tcPr>
            <w:tcW w:w="382" w:type="pct"/>
          </w:tcPr>
          <w:p w:rsidR="00883C03" w:rsidRPr="00815113" w:rsidRDefault="00883C03">
            <w:pPr>
              <w:pStyle w:val="TableTextCentred"/>
              <w:cnfStyle w:val="000000100000" w:firstRow="0" w:lastRow="0" w:firstColumn="0" w:lastColumn="0" w:oddVBand="0" w:evenVBand="0" w:oddHBand="1" w:evenHBand="0" w:firstRowFirstColumn="0" w:firstRowLastColumn="0" w:lastRowFirstColumn="0" w:lastRowLastColumn="0"/>
            </w:pPr>
            <w:r w:rsidRPr="008F69AC">
              <w:t>21.6</w:t>
            </w:r>
          </w:p>
        </w:tc>
      </w:tr>
      <w:tr w:rsidR="00883C03" w:rsidRPr="00BA0FBF" w:rsidTr="00C3659D">
        <w:trPr>
          <w:cantSplit/>
        </w:trPr>
        <w:tc>
          <w:tcPr>
            <w:cnfStyle w:val="001000000000" w:firstRow="0" w:lastRow="0" w:firstColumn="1" w:lastColumn="0" w:oddVBand="0" w:evenVBand="0" w:oddHBand="0" w:evenHBand="0" w:firstRowFirstColumn="0" w:firstRowLastColumn="0" w:lastRowFirstColumn="0" w:lastRowLastColumn="0"/>
            <w:tcW w:w="796" w:type="pct"/>
          </w:tcPr>
          <w:p w:rsidR="00883C03" w:rsidRPr="009B1030" w:rsidRDefault="00883C03" w:rsidP="009B1030">
            <w:pPr>
              <w:pStyle w:val="TableText"/>
            </w:pPr>
            <w:r w:rsidRPr="009B1030">
              <w:t>Compensation</w:t>
            </w:r>
          </w:p>
        </w:tc>
        <w:tc>
          <w:tcPr>
            <w:tcW w:w="382" w:type="pct"/>
          </w:tcPr>
          <w:p w:rsidR="00883C03" w:rsidRPr="00BA0FBF" w:rsidRDefault="00883C03">
            <w:pPr>
              <w:pStyle w:val="TableTextCentred"/>
              <w:cnfStyle w:val="000000000000" w:firstRow="0" w:lastRow="0" w:firstColumn="0" w:lastColumn="0" w:oddVBand="0" w:evenVBand="0" w:oddHBand="0" w:evenHBand="0" w:firstRowFirstColumn="0" w:firstRowLastColumn="0" w:lastRowFirstColumn="0" w:lastRowLastColumn="0"/>
            </w:pPr>
            <w:r w:rsidRPr="008F69AC">
              <w:t>1.4</w:t>
            </w:r>
          </w:p>
        </w:tc>
        <w:tc>
          <w:tcPr>
            <w:tcW w:w="382" w:type="pct"/>
          </w:tcPr>
          <w:p w:rsidR="00883C03" w:rsidRPr="00BA0FBF" w:rsidRDefault="00883C03">
            <w:pPr>
              <w:pStyle w:val="TableTextCentred"/>
              <w:cnfStyle w:val="000000000000" w:firstRow="0" w:lastRow="0" w:firstColumn="0" w:lastColumn="0" w:oddVBand="0" w:evenVBand="0" w:oddHBand="0" w:evenHBand="0" w:firstRowFirstColumn="0" w:firstRowLastColumn="0" w:lastRowFirstColumn="0" w:lastRowLastColumn="0"/>
            </w:pPr>
            <w:r w:rsidRPr="008F69AC">
              <w:t>1.1</w:t>
            </w:r>
          </w:p>
        </w:tc>
        <w:tc>
          <w:tcPr>
            <w:tcW w:w="382" w:type="pct"/>
          </w:tcPr>
          <w:p w:rsidR="00883C03" w:rsidRPr="00BA0FBF" w:rsidRDefault="00883C03">
            <w:pPr>
              <w:pStyle w:val="TableTextCentred"/>
              <w:cnfStyle w:val="000000000000" w:firstRow="0" w:lastRow="0" w:firstColumn="0" w:lastColumn="0" w:oddVBand="0" w:evenVBand="0" w:oddHBand="0" w:evenHBand="0" w:firstRowFirstColumn="0" w:firstRowLastColumn="0" w:lastRowFirstColumn="0" w:lastRowLastColumn="0"/>
            </w:pPr>
            <w:r w:rsidRPr="008F69AC">
              <w:t>1.3</w:t>
            </w:r>
          </w:p>
        </w:tc>
        <w:tc>
          <w:tcPr>
            <w:tcW w:w="382" w:type="pct"/>
          </w:tcPr>
          <w:p w:rsidR="00883C03" w:rsidRPr="00BA0FBF" w:rsidRDefault="00883C03">
            <w:pPr>
              <w:pStyle w:val="TableTextCentred"/>
              <w:cnfStyle w:val="000000000000" w:firstRow="0" w:lastRow="0" w:firstColumn="0" w:lastColumn="0" w:oddVBand="0" w:evenVBand="0" w:oddHBand="0" w:evenHBand="0" w:firstRowFirstColumn="0" w:firstRowLastColumn="0" w:lastRowFirstColumn="0" w:lastRowLastColumn="0"/>
            </w:pPr>
            <w:r w:rsidRPr="008F69AC">
              <w:t>1.8</w:t>
            </w:r>
          </w:p>
        </w:tc>
        <w:tc>
          <w:tcPr>
            <w:tcW w:w="382" w:type="pct"/>
          </w:tcPr>
          <w:p w:rsidR="00883C03" w:rsidRPr="00BA0FBF" w:rsidRDefault="00883C03">
            <w:pPr>
              <w:pStyle w:val="TableTextCentred"/>
              <w:cnfStyle w:val="000000000000" w:firstRow="0" w:lastRow="0" w:firstColumn="0" w:lastColumn="0" w:oddVBand="0" w:evenVBand="0" w:oddHBand="0" w:evenHBand="0" w:firstRowFirstColumn="0" w:firstRowLastColumn="0" w:lastRowFirstColumn="0" w:lastRowLastColumn="0"/>
            </w:pPr>
            <w:r w:rsidRPr="008F69AC">
              <w:t>0.0</w:t>
            </w:r>
          </w:p>
        </w:tc>
        <w:tc>
          <w:tcPr>
            <w:tcW w:w="382" w:type="pct"/>
          </w:tcPr>
          <w:p w:rsidR="00883C03" w:rsidRPr="00BA0FBF" w:rsidRDefault="00883C03">
            <w:pPr>
              <w:pStyle w:val="TableTextCentred"/>
              <w:cnfStyle w:val="000000000000" w:firstRow="0" w:lastRow="0" w:firstColumn="0" w:lastColumn="0" w:oddVBand="0" w:evenVBand="0" w:oddHBand="0" w:evenHBand="0" w:firstRowFirstColumn="0" w:firstRowLastColumn="0" w:lastRowFirstColumn="0" w:lastRowLastColumn="0"/>
            </w:pPr>
            <w:r w:rsidRPr="008F69AC">
              <w:t>0.0</w:t>
            </w:r>
          </w:p>
        </w:tc>
        <w:tc>
          <w:tcPr>
            <w:tcW w:w="382" w:type="pct"/>
          </w:tcPr>
          <w:p w:rsidR="00883C03" w:rsidRPr="00BA0FBF" w:rsidRDefault="00883C03">
            <w:pPr>
              <w:pStyle w:val="TableTextCentred"/>
              <w:cnfStyle w:val="000000000000" w:firstRow="0" w:lastRow="0" w:firstColumn="0" w:lastColumn="0" w:oddVBand="0" w:evenVBand="0" w:oddHBand="0" w:evenHBand="0" w:firstRowFirstColumn="0" w:firstRowLastColumn="0" w:lastRowFirstColumn="0" w:lastRowLastColumn="0"/>
            </w:pPr>
            <w:r w:rsidRPr="008F69AC">
              <w:t>0.0</w:t>
            </w:r>
          </w:p>
        </w:tc>
        <w:tc>
          <w:tcPr>
            <w:tcW w:w="382" w:type="pct"/>
          </w:tcPr>
          <w:p w:rsidR="00883C03" w:rsidRPr="00BA0FBF" w:rsidRDefault="00883C03">
            <w:pPr>
              <w:pStyle w:val="TableTextCentred"/>
              <w:cnfStyle w:val="000000000000" w:firstRow="0" w:lastRow="0" w:firstColumn="0" w:lastColumn="0" w:oddVBand="0" w:evenVBand="0" w:oddHBand="0" w:evenHBand="0" w:firstRowFirstColumn="0" w:firstRowLastColumn="0" w:lastRowFirstColumn="0" w:lastRowLastColumn="0"/>
            </w:pPr>
            <w:r w:rsidRPr="008F69AC">
              <w:t>0.0</w:t>
            </w:r>
          </w:p>
        </w:tc>
        <w:tc>
          <w:tcPr>
            <w:tcW w:w="382" w:type="pct"/>
          </w:tcPr>
          <w:p w:rsidR="00883C03" w:rsidRPr="00BA0FBF" w:rsidRDefault="00883C03">
            <w:pPr>
              <w:pStyle w:val="TableTextCentred"/>
              <w:cnfStyle w:val="000000000000" w:firstRow="0" w:lastRow="0" w:firstColumn="0" w:lastColumn="0" w:oddVBand="0" w:evenVBand="0" w:oddHBand="0" w:evenHBand="0" w:firstRowFirstColumn="0" w:firstRowLastColumn="0" w:lastRowFirstColumn="0" w:lastRowLastColumn="0"/>
            </w:pPr>
            <w:r w:rsidRPr="008F69AC">
              <w:t>0.0</w:t>
            </w:r>
          </w:p>
        </w:tc>
        <w:tc>
          <w:tcPr>
            <w:tcW w:w="382" w:type="pct"/>
          </w:tcPr>
          <w:p w:rsidR="00883C03" w:rsidRPr="00BA0FBF" w:rsidRDefault="00883C03">
            <w:pPr>
              <w:pStyle w:val="TableTextCentred"/>
              <w:cnfStyle w:val="000000000000" w:firstRow="0" w:lastRow="0" w:firstColumn="0" w:lastColumn="0" w:oddVBand="0" w:evenVBand="0" w:oddHBand="0" w:evenHBand="0" w:firstRowFirstColumn="0" w:firstRowLastColumn="0" w:lastRowFirstColumn="0" w:lastRowLastColumn="0"/>
            </w:pPr>
            <w:r w:rsidRPr="008F69AC">
              <w:t>0.0</w:t>
            </w:r>
          </w:p>
        </w:tc>
        <w:tc>
          <w:tcPr>
            <w:tcW w:w="382" w:type="pct"/>
          </w:tcPr>
          <w:p w:rsidR="00883C03" w:rsidRPr="00815113" w:rsidRDefault="00883C03">
            <w:pPr>
              <w:pStyle w:val="TableTextCentred"/>
              <w:cnfStyle w:val="000000000000" w:firstRow="0" w:lastRow="0" w:firstColumn="0" w:lastColumn="0" w:oddVBand="0" w:evenVBand="0" w:oddHBand="0" w:evenHBand="0" w:firstRowFirstColumn="0" w:firstRowLastColumn="0" w:lastRowFirstColumn="0" w:lastRowLastColumn="0"/>
            </w:pPr>
            <w:r w:rsidRPr="008F69AC">
              <w:t>5.6</w:t>
            </w:r>
          </w:p>
        </w:tc>
      </w:tr>
      <w:tr w:rsidR="00883C03" w:rsidRPr="00BA0FBF" w:rsidTr="00C3659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6" w:type="pct"/>
          </w:tcPr>
          <w:p w:rsidR="00883C03" w:rsidRPr="009B1030" w:rsidRDefault="00883C03" w:rsidP="009B1030">
            <w:pPr>
              <w:pStyle w:val="TableText"/>
              <w:rPr>
                <w:b/>
              </w:rPr>
            </w:pPr>
            <w:r w:rsidRPr="009B1030">
              <w:rPr>
                <w:b/>
              </w:rPr>
              <w:t>Net</w:t>
            </w:r>
            <w:r>
              <w:rPr>
                <w:b/>
              </w:rPr>
              <w:t xml:space="preserve"> additional</w:t>
            </w:r>
            <w:r w:rsidRPr="009B1030">
              <w:rPr>
                <w:b/>
              </w:rPr>
              <w:t xml:space="preserve"> GST revenue</w:t>
            </w:r>
          </w:p>
        </w:tc>
        <w:tc>
          <w:tcPr>
            <w:tcW w:w="382" w:type="pct"/>
          </w:tcPr>
          <w:p w:rsidR="00883C03" w:rsidRPr="00883C03" w:rsidRDefault="00883C03">
            <w:pPr>
              <w:pStyle w:val="TableTextCentred"/>
              <w:cnfStyle w:val="000000100000" w:firstRow="0" w:lastRow="0" w:firstColumn="0" w:lastColumn="0" w:oddVBand="0" w:evenVBand="0" w:oddHBand="1" w:evenHBand="0" w:firstRowFirstColumn="0" w:firstRowLastColumn="0" w:lastRowFirstColumn="0" w:lastRowLastColumn="0"/>
              <w:rPr>
                <w:b/>
              </w:rPr>
            </w:pPr>
            <w:r w:rsidRPr="00C3659D">
              <w:rPr>
                <w:b/>
              </w:rPr>
              <w:t>0.0</w:t>
            </w:r>
          </w:p>
        </w:tc>
        <w:tc>
          <w:tcPr>
            <w:tcW w:w="382" w:type="pct"/>
          </w:tcPr>
          <w:p w:rsidR="00883C03" w:rsidRPr="00883C03" w:rsidRDefault="00883C03">
            <w:pPr>
              <w:pStyle w:val="TableTextCentred"/>
              <w:cnfStyle w:val="000000100000" w:firstRow="0" w:lastRow="0" w:firstColumn="0" w:lastColumn="0" w:oddVBand="0" w:evenVBand="0" w:oddHBand="1" w:evenHBand="0" w:firstRowFirstColumn="0" w:firstRowLastColumn="0" w:lastRowFirstColumn="0" w:lastRowLastColumn="0"/>
              <w:rPr>
                <w:b/>
              </w:rPr>
            </w:pPr>
            <w:r w:rsidRPr="00C3659D">
              <w:rPr>
                <w:b/>
              </w:rPr>
              <w:t>0.0</w:t>
            </w:r>
          </w:p>
        </w:tc>
        <w:tc>
          <w:tcPr>
            <w:tcW w:w="382" w:type="pct"/>
          </w:tcPr>
          <w:p w:rsidR="00883C03" w:rsidRPr="00883C03" w:rsidRDefault="00883C03">
            <w:pPr>
              <w:pStyle w:val="TableTextCentred"/>
              <w:cnfStyle w:val="000000100000" w:firstRow="0" w:lastRow="0" w:firstColumn="0" w:lastColumn="0" w:oddVBand="0" w:evenVBand="0" w:oddHBand="1" w:evenHBand="0" w:firstRowFirstColumn="0" w:firstRowLastColumn="0" w:lastRowFirstColumn="0" w:lastRowLastColumn="0"/>
              <w:rPr>
                <w:b/>
              </w:rPr>
            </w:pPr>
            <w:r w:rsidRPr="00C3659D">
              <w:rPr>
                <w:b/>
              </w:rPr>
              <w:t>0.0</w:t>
            </w:r>
          </w:p>
        </w:tc>
        <w:tc>
          <w:tcPr>
            <w:tcW w:w="382" w:type="pct"/>
          </w:tcPr>
          <w:p w:rsidR="00883C03" w:rsidRPr="00883C03" w:rsidRDefault="00883C03">
            <w:pPr>
              <w:pStyle w:val="TableTextCentred"/>
              <w:cnfStyle w:val="000000100000" w:firstRow="0" w:lastRow="0" w:firstColumn="0" w:lastColumn="0" w:oddVBand="0" w:evenVBand="0" w:oddHBand="1" w:evenHBand="0" w:firstRowFirstColumn="0" w:firstRowLastColumn="0" w:lastRowFirstColumn="0" w:lastRowLastColumn="0"/>
              <w:rPr>
                <w:b/>
              </w:rPr>
            </w:pPr>
            <w:r w:rsidRPr="00C3659D">
              <w:rPr>
                <w:b/>
              </w:rPr>
              <w:t>0.0</w:t>
            </w:r>
          </w:p>
        </w:tc>
        <w:tc>
          <w:tcPr>
            <w:tcW w:w="382" w:type="pct"/>
          </w:tcPr>
          <w:p w:rsidR="00883C03" w:rsidRPr="00883C03" w:rsidRDefault="00883C03">
            <w:pPr>
              <w:pStyle w:val="TableTextCentred"/>
              <w:cnfStyle w:val="000000100000" w:firstRow="0" w:lastRow="0" w:firstColumn="0" w:lastColumn="0" w:oddVBand="0" w:evenVBand="0" w:oddHBand="1" w:evenHBand="0" w:firstRowFirstColumn="0" w:firstRowLastColumn="0" w:lastRowFirstColumn="0" w:lastRowLastColumn="0"/>
              <w:rPr>
                <w:b/>
              </w:rPr>
            </w:pPr>
            <w:r w:rsidRPr="00C3659D">
              <w:rPr>
                <w:b/>
              </w:rPr>
              <w:t>1.8</w:t>
            </w:r>
          </w:p>
        </w:tc>
        <w:tc>
          <w:tcPr>
            <w:tcW w:w="382" w:type="pct"/>
          </w:tcPr>
          <w:p w:rsidR="00883C03" w:rsidRPr="00883C03" w:rsidRDefault="00883C03">
            <w:pPr>
              <w:pStyle w:val="TableTextCentred"/>
              <w:cnfStyle w:val="000000100000" w:firstRow="0" w:lastRow="0" w:firstColumn="0" w:lastColumn="0" w:oddVBand="0" w:evenVBand="0" w:oddHBand="1" w:evenHBand="0" w:firstRowFirstColumn="0" w:firstRowLastColumn="0" w:lastRowFirstColumn="0" w:lastRowLastColumn="0"/>
              <w:rPr>
                <w:b/>
              </w:rPr>
            </w:pPr>
            <w:r w:rsidRPr="00C3659D">
              <w:rPr>
                <w:b/>
              </w:rPr>
              <w:t>2.4</w:t>
            </w:r>
          </w:p>
        </w:tc>
        <w:tc>
          <w:tcPr>
            <w:tcW w:w="382" w:type="pct"/>
          </w:tcPr>
          <w:p w:rsidR="00883C03" w:rsidRPr="00883C03" w:rsidRDefault="00883C03">
            <w:pPr>
              <w:pStyle w:val="TableTextCentred"/>
              <w:cnfStyle w:val="000000100000" w:firstRow="0" w:lastRow="0" w:firstColumn="0" w:lastColumn="0" w:oddVBand="0" w:evenVBand="0" w:oddHBand="1" w:evenHBand="0" w:firstRowFirstColumn="0" w:firstRowLastColumn="0" w:lastRowFirstColumn="0" w:lastRowLastColumn="0"/>
              <w:rPr>
                <w:b/>
              </w:rPr>
            </w:pPr>
            <w:r w:rsidRPr="00C3659D">
              <w:rPr>
                <w:b/>
              </w:rPr>
              <w:t>2.5</w:t>
            </w:r>
          </w:p>
        </w:tc>
        <w:tc>
          <w:tcPr>
            <w:tcW w:w="382" w:type="pct"/>
          </w:tcPr>
          <w:p w:rsidR="00883C03" w:rsidRPr="00883C03" w:rsidRDefault="00883C03">
            <w:pPr>
              <w:pStyle w:val="TableTextCentred"/>
              <w:cnfStyle w:val="000000100000" w:firstRow="0" w:lastRow="0" w:firstColumn="0" w:lastColumn="0" w:oddVBand="0" w:evenVBand="0" w:oddHBand="1" w:evenHBand="0" w:firstRowFirstColumn="0" w:firstRowLastColumn="0" w:lastRowFirstColumn="0" w:lastRowLastColumn="0"/>
              <w:rPr>
                <w:b/>
              </w:rPr>
            </w:pPr>
            <w:r w:rsidRPr="00C3659D">
              <w:rPr>
                <w:b/>
              </w:rPr>
              <w:t>2.8</w:t>
            </w:r>
          </w:p>
        </w:tc>
        <w:tc>
          <w:tcPr>
            <w:tcW w:w="382" w:type="pct"/>
          </w:tcPr>
          <w:p w:rsidR="00883C03" w:rsidRPr="00883C03" w:rsidRDefault="00883C03">
            <w:pPr>
              <w:pStyle w:val="TableTextCentred"/>
              <w:cnfStyle w:val="000000100000" w:firstRow="0" w:lastRow="0" w:firstColumn="0" w:lastColumn="0" w:oddVBand="0" w:evenVBand="0" w:oddHBand="1" w:evenHBand="0" w:firstRowFirstColumn="0" w:firstRowLastColumn="0" w:lastRowFirstColumn="0" w:lastRowLastColumn="0"/>
              <w:rPr>
                <w:b/>
              </w:rPr>
            </w:pPr>
            <w:r w:rsidRPr="00C3659D">
              <w:rPr>
                <w:b/>
              </w:rPr>
              <w:t>2.7</w:t>
            </w:r>
          </w:p>
        </w:tc>
        <w:tc>
          <w:tcPr>
            <w:tcW w:w="382" w:type="pct"/>
          </w:tcPr>
          <w:p w:rsidR="00883C03" w:rsidRPr="00883C03" w:rsidRDefault="00883C03">
            <w:pPr>
              <w:pStyle w:val="TableTextCentred"/>
              <w:cnfStyle w:val="000000100000" w:firstRow="0" w:lastRow="0" w:firstColumn="0" w:lastColumn="0" w:oddVBand="0" w:evenVBand="0" w:oddHBand="1" w:evenHBand="0" w:firstRowFirstColumn="0" w:firstRowLastColumn="0" w:lastRowFirstColumn="0" w:lastRowLastColumn="0"/>
              <w:rPr>
                <w:b/>
              </w:rPr>
            </w:pPr>
            <w:r w:rsidRPr="00C3659D">
              <w:rPr>
                <w:b/>
              </w:rPr>
              <w:t>3.8</w:t>
            </w:r>
          </w:p>
        </w:tc>
        <w:tc>
          <w:tcPr>
            <w:tcW w:w="382" w:type="pct"/>
          </w:tcPr>
          <w:p w:rsidR="00883C03" w:rsidRPr="00883C03" w:rsidRDefault="00883C03">
            <w:pPr>
              <w:pStyle w:val="TableTextCentred"/>
              <w:cnfStyle w:val="000000100000" w:firstRow="0" w:lastRow="0" w:firstColumn="0" w:lastColumn="0" w:oddVBand="0" w:evenVBand="0" w:oddHBand="1" w:evenHBand="0" w:firstRowFirstColumn="0" w:firstRowLastColumn="0" w:lastRowFirstColumn="0" w:lastRowLastColumn="0"/>
              <w:rPr>
                <w:b/>
              </w:rPr>
            </w:pPr>
            <w:r w:rsidRPr="00C3659D">
              <w:rPr>
                <w:b/>
              </w:rPr>
              <w:t>16.0</w:t>
            </w:r>
          </w:p>
        </w:tc>
      </w:tr>
    </w:tbl>
    <w:p w:rsidR="003C58BB" w:rsidRDefault="003C58BB" w:rsidP="003C58BB">
      <w:pPr>
        <w:pStyle w:val="Source"/>
      </w:pPr>
      <w:bookmarkStart w:id="177" w:name="_Toc436400342"/>
      <w:r>
        <w:t xml:space="preserve">Source: </w:t>
      </w:r>
      <w:r w:rsidR="006A4F9B">
        <w:t>PBO analysis based on data from the ABS and Treasury</w:t>
      </w:r>
    </w:p>
    <w:p w:rsidR="00E368C7" w:rsidRPr="00BA0FBF" w:rsidRDefault="000A3CB8" w:rsidP="00E368C7">
      <w:pPr>
        <w:pStyle w:val="Heading2"/>
        <w:rPr>
          <w:sz w:val="28"/>
        </w:rPr>
      </w:pPr>
      <w:bookmarkStart w:id="178" w:name="_Toc437429854"/>
      <w:r w:rsidRPr="00BA0FBF">
        <w:rPr>
          <w:sz w:val="28"/>
        </w:rPr>
        <w:t>Scenario 3</w:t>
      </w:r>
      <w:r w:rsidR="00E368C7" w:rsidRPr="00BA0FBF">
        <w:rPr>
          <w:sz w:val="28"/>
        </w:rPr>
        <w:t xml:space="preserve">: </w:t>
      </w:r>
      <w:r w:rsidR="00B01B6B">
        <w:rPr>
          <w:sz w:val="28"/>
        </w:rPr>
        <w:t>i</w:t>
      </w:r>
      <w:r w:rsidR="00E368C7" w:rsidRPr="00BA0FBF">
        <w:rPr>
          <w:sz w:val="28"/>
        </w:rPr>
        <w:t>ncrease the GST rate to 15 per cent</w:t>
      </w:r>
      <w:bookmarkEnd w:id="177"/>
      <w:bookmarkEnd w:id="178"/>
    </w:p>
    <w:p w:rsidR="00E368C7" w:rsidRPr="00BA0FBF" w:rsidRDefault="00E368C7" w:rsidP="00E368C7">
      <w:pPr>
        <w:pStyle w:val="Heading3"/>
        <w:rPr>
          <w:sz w:val="24"/>
        </w:rPr>
      </w:pPr>
      <w:bookmarkStart w:id="179" w:name="_Toc435093667"/>
      <w:bookmarkStart w:id="180" w:name="_Toc435632996"/>
      <w:bookmarkStart w:id="181" w:name="_Toc436400343"/>
      <w:r w:rsidRPr="00BA0FBF">
        <w:rPr>
          <w:sz w:val="24"/>
        </w:rPr>
        <w:t xml:space="preserve">Revenue impact of Scenario </w:t>
      </w:r>
      <w:bookmarkEnd w:id="179"/>
      <w:bookmarkEnd w:id="180"/>
      <w:r w:rsidR="000A3CB8" w:rsidRPr="00BA0FBF">
        <w:rPr>
          <w:sz w:val="24"/>
        </w:rPr>
        <w:t>3</w:t>
      </w:r>
      <w:bookmarkEnd w:id="181"/>
    </w:p>
    <w:p w:rsidR="00471585" w:rsidRPr="00BA0FBF" w:rsidRDefault="00471585" w:rsidP="00471585">
      <w:pPr>
        <w:pStyle w:val="BodyText17ptAbove"/>
      </w:pPr>
      <w:r w:rsidRPr="00BA0FBF">
        <w:t>Increasing the GST to 15 per cent would increase GST revenue (net of the assumed compensation package) by $24.</w:t>
      </w:r>
      <w:r>
        <w:t>6</w:t>
      </w:r>
      <w:r w:rsidRPr="00BA0FBF">
        <w:t> billion (</w:t>
      </w:r>
      <w:r w:rsidR="0034643D">
        <w:t>1.4 per cent of GDP) in 2017–18 (</w:t>
      </w:r>
      <w:r w:rsidR="0034643D" w:rsidRPr="00BA0FBF">
        <w:fldChar w:fldCharType="begin"/>
      </w:r>
      <w:r w:rsidR="0034643D" w:rsidRPr="00BA0FBF">
        <w:instrText xml:space="preserve"> REF _Ref436655142 \h </w:instrText>
      </w:r>
      <w:r w:rsidR="0034643D">
        <w:instrText xml:space="preserve"> \* MERGEFORMAT </w:instrText>
      </w:r>
      <w:r w:rsidR="0034643D" w:rsidRPr="00BA0FBF">
        <w:fldChar w:fldCharType="separate"/>
      </w:r>
      <w:r w:rsidR="00076CF9" w:rsidRPr="00076CF9">
        <w:t>Table 4–4</w:t>
      </w:r>
      <w:r w:rsidR="0034643D" w:rsidRPr="00BA0FBF">
        <w:fldChar w:fldCharType="end"/>
      </w:r>
      <w:r w:rsidR="0034643D">
        <w:t>).</w:t>
      </w:r>
    </w:p>
    <w:p w:rsidR="00F60916" w:rsidRPr="00BA0FBF" w:rsidRDefault="00F60916" w:rsidP="00F60916">
      <w:pPr>
        <w:pStyle w:val="Caption"/>
        <w:rPr>
          <w:sz w:val="20"/>
        </w:rPr>
      </w:pPr>
      <w:bookmarkStart w:id="182" w:name="_Ref436655547"/>
      <w:bookmarkStart w:id="183" w:name="_Toc436664564"/>
      <w:bookmarkStart w:id="184" w:name="_Toc436917811"/>
      <w:bookmarkStart w:id="185" w:name="_Toc437429569"/>
      <w:r w:rsidRPr="00BA0FBF">
        <w:rPr>
          <w:sz w:val="20"/>
        </w:rPr>
        <w:t xml:space="preserve">Table </w:t>
      </w:r>
      <w:r w:rsidR="009F1D24" w:rsidRPr="00BA0FBF">
        <w:rPr>
          <w:sz w:val="20"/>
        </w:rPr>
        <w:fldChar w:fldCharType="begin"/>
      </w:r>
      <w:r w:rsidR="009F1D24" w:rsidRPr="00BA0FBF">
        <w:rPr>
          <w:sz w:val="20"/>
        </w:rPr>
        <w:instrText xml:space="preserve"> STYLEREF 1 \s </w:instrText>
      </w:r>
      <w:r w:rsidR="009F1D24" w:rsidRPr="00BA0FBF">
        <w:rPr>
          <w:sz w:val="20"/>
        </w:rPr>
        <w:fldChar w:fldCharType="separate"/>
      </w:r>
      <w:r w:rsidR="00076CF9">
        <w:rPr>
          <w:noProof/>
          <w:sz w:val="20"/>
        </w:rPr>
        <w:t>4</w:t>
      </w:r>
      <w:r w:rsidR="009F1D24" w:rsidRPr="00BA0FBF">
        <w:rPr>
          <w:noProof/>
          <w:sz w:val="20"/>
        </w:rPr>
        <w:fldChar w:fldCharType="end"/>
      </w:r>
      <w:r w:rsidRPr="00BA0FBF">
        <w:rPr>
          <w:sz w:val="20"/>
        </w:rPr>
        <w:t>–</w:t>
      </w:r>
      <w:r w:rsidR="009F1D24" w:rsidRPr="00BA0FBF">
        <w:rPr>
          <w:sz w:val="20"/>
        </w:rPr>
        <w:fldChar w:fldCharType="begin"/>
      </w:r>
      <w:r w:rsidR="009F1D24" w:rsidRPr="00BA0FBF">
        <w:rPr>
          <w:sz w:val="20"/>
        </w:rPr>
        <w:instrText xml:space="preserve"> SEQ Table \* ARABIC \s 1 </w:instrText>
      </w:r>
      <w:r w:rsidR="009F1D24" w:rsidRPr="00BA0FBF">
        <w:rPr>
          <w:sz w:val="20"/>
        </w:rPr>
        <w:fldChar w:fldCharType="separate"/>
      </w:r>
      <w:r w:rsidR="00076CF9">
        <w:rPr>
          <w:noProof/>
          <w:sz w:val="20"/>
        </w:rPr>
        <w:t>7</w:t>
      </w:r>
      <w:r w:rsidR="009F1D24" w:rsidRPr="00BA0FBF">
        <w:rPr>
          <w:noProof/>
          <w:sz w:val="20"/>
        </w:rPr>
        <w:fldChar w:fldCharType="end"/>
      </w:r>
      <w:bookmarkEnd w:id="182"/>
      <w:r w:rsidRPr="00BA0FBF">
        <w:rPr>
          <w:sz w:val="20"/>
        </w:rPr>
        <w:t xml:space="preserve">: Revenue impact of Scenario 3 </w:t>
      </w:r>
      <w:r w:rsidR="00B01B6B">
        <w:rPr>
          <w:sz w:val="20"/>
        </w:rPr>
        <w:t>(</w:t>
      </w:r>
      <w:r w:rsidRPr="00BA0FBF">
        <w:rPr>
          <w:sz w:val="20"/>
        </w:rPr>
        <w:t>15 per cent GST</w:t>
      </w:r>
      <w:bookmarkEnd w:id="183"/>
      <w:r w:rsidR="00B01B6B">
        <w:rPr>
          <w:sz w:val="20"/>
        </w:rPr>
        <w:t>)</w:t>
      </w:r>
      <w:bookmarkEnd w:id="184"/>
      <w:bookmarkEnd w:id="185"/>
    </w:p>
    <w:tbl>
      <w:tblPr>
        <w:tblStyle w:val="TableGrid"/>
        <w:tblW w:w="3774" w:type="pct"/>
        <w:tblLook w:val="04A0" w:firstRow="1" w:lastRow="0" w:firstColumn="1" w:lastColumn="0" w:noHBand="0" w:noVBand="1"/>
      </w:tblPr>
      <w:tblGrid>
        <w:gridCol w:w="3641"/>
        <w:gridCol w:w="1275"/>
        <w:gridCol w:w="1358"/>
      </w:tblGrid>
      <w:tr w:rsidR="00D8424B" w:rsidRPr="00BA0FBF" w:rsidTr="00F60916">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2902" w:type="pct"/>
            <w:vAlign w:val="center"/>
          </w:tcPr>
          <w:p w:rsidR="00D8424B" w:rsidRPr="00BA0FBF" w:rsidRDefault="00D8424B" w:rsidP="009B1030">
            <w:pPr>
              <w:pStyle w:val="TableHeading"/>
            </w:pPr>
          </w:p>
        </w:tc>
        <w:tc>
          <w:tcPr>
            <w:tcW w:w="1016" w:type="pct"/>
            <w:vAlign w:val="center"/>
          </w:tcPr>
          <w:p w:rsidR="00D8424B" w:rsidRPr="00BA0FBF" w:rsidRDefault="00D8424B" w:rsidP="009B1030">
            <w:pPr>
              <w:pStyle w:val="TableHeading"/>
              <w:cnfStyle w:val="100000000000" w:firstRow="1" w:lastRow="0" w:firstColumn="0" w:lastColumn="0" w:oddVBand="0" w:evenVBand="0" w:oddHBand="0" w:evenHBand="0" w:firstRowFirstColumn="0" w:firstRowLastColumn="0" w:lastRowFirstColumn="0" w:lastRowLastColumn="0"/>
            </w:pPr>
            <w:r w:rsidRPr="00BA0FBF">
              <w:t>2017</w:t>
            </w:r>
            <w:r w:rsidR="00F60916" w:rsidRPr="00BA0FBF">
              <w:t>–</w:t>
            </w:r>
            <w:r w:rsidRPr="00BA0FBF">
              <w:t>18</w:t>
            </w:r>
          </w:p>
        </w:tc>
        <w:tc>
          <w:tcPr>
            <w:tcW w:w="1082" w:type="pct"/>
            <w:vAlign w:val="center"/>
          </w:tcPr>
          <w:p w:rsidR="00D8424B" w:rsidRPr="00BA0FBF" w:rsidRDefault="00D8424B" w:rsidP="009B1030">
            <w:pPr>
              <w:pStyle w:val="TableHeading"/>
              <w:cnfStyle w:val="100000000000" w:firstRow="1" w:lastRow="0" w:firstColumn="0" w:lastColumn="0" w:oddVBand="0" w:evenVBand="0" w:oddHBand="0" w:evenHBand="0" w:firstRowFirstColumn="0" w:firstRowLastColumn="0" w:lastRowFirstColumn="0" w:lastRowLastColumn="0"/>
            </w:pPr>
            <w:r w:rsidRPr="00BA0FBF">
              <w:t>% of GDP</w:t>
            </w:r>
          </w:p>
        </w:tc>
      </w:tr>
      <w:tr w:rsidR="00740FBF" w:rsidRPr="00BA0FBF" w:rsidTr="00740FB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02" w:type="pct"/>
          </w:tcPr>
          <w:p w:rsidR="00740FBF" w:rsidRPr="009B1030" w:rsidRDefault="00D02DAC" w:rsidP="009B1030">
            <w:pPr>
              <w:pStyle w:val="TableText"/>
            </w:pPr>
            <w:r>
              <w:t xml:space="preserve">Additional </w:t>
            </w:r>
            <w:r w:rsidR="00740FBF" w:rsidRPr="009B1030">
              <w:t>GST revenue</w:t>
            </w:r>
          </w:p>
        </w:tc>
        <w:tc>
          <w:tcPr>
            <w:tcW w:w="1016" w:type="pct"/>
          </w:tcPr>
          <w:p w:rsidR="00740FBF" w:rsidRPr="00C35E12" w:rsidRDefault="00740FBF" w:rsidP="00740FBF">
            <w:pPr>
              <w:jc w:val="center"/>
              <w:cnfStyle w:val="000000100000" w:firstRow="0" w:lastRow="0" w:firstColumn="0" w:lastColumn="0" w:oddVBand="0" w:evenVBand="0" w:oddHBand="1" w:evenHBand="0" w:firstRowFirstColumn="0" w:firstRowLastColumn="0" w:lastRowFirstColumn="0" w:lastRowLastColumn="0"/>
            </w:pPr>
            <w:r w:rsidRPr="00C35E12">
              <w:t>32.5</w:t>
            </w:r>
          </w:p>
        </w:tc>
        <w:tc>
          <w:tcPr>
            <w:tcW w:w="1082" w:type="pct"/>
          </w:tcPr>
          <w:p w:rsidR="00740FBF" w:rsidRPr="00C35E12" w:rsidRDefault="00740FBF" w:rsidP="00740FBF">
            <w:pPr>
              <w:jc w:val="center"/>
              <w:cnfStyle w:val="000000100000" w:firstRow="0" w:lastRow="0" w:firstColumn="0" w:lastColumn="0" w:oddVBand="0" w:evenVBand="0" w:oddHBand="1" w:evenHBand="0" w:firstRowFirstColumn="0" w:firstRowLastColumn="0" w:lastRowFirstColumn="0" w:lastRowLastColumn="0"/>
            </w:pPr>
            <w:r w:rsidRPr="00C35E12">
              <w:t>1.8%</w:t>
            </w:r>
          </w:p>
        </w:tc>
      </w:tr>
      <w:tr w:rsidR="00740FBF" w:rsidRPr="00BA0FBF" w:rsidTr="00740FBF">
        <w:trPr>
          <w:cantSplit/>
        </w:trPr>
        <w:tc>
          <w:tcPr>
            <w:cnfStyle w:val="001000000000" w:firstRow="0" w:lastRow="0" w:firstColumn="1" w:lastColumn="0" w:oddVBand="0" w:evenVBand="0" w:oddHBand="0" w:evenHBand="0" w:firstRowFirstColumn="0" w:firstRowLastColumn="0" w:lastRowFirstColumn="0" w:lastRowLastColumn="0"/>
            <w:tcW w:w="2902" w:type="pct"/>
          </w:tcPr>
          <w:p w:rsidR="00740FBF" w:rsidRPr="009B1030" w:rsidRDefault="00740FBF" w:rsidP="009B1030">
            <w:pPr>
              <w:pStyle w:val="TableText"/>
            </w:pPr>
            <w:r w:rsidRPr="009B1030">
              <w:t>Compensation: technical assumption</w:t>
            </w:r>
          </w:p>
        </w:tc>
        <w:tc>
          <w:tcPr>
            <w:tcW w:w="1016" w:type="pct"/>
          </w:tcPr>
          <w:p w:rsidR="00740FBF" w:rsidRPr="00C35E12" w:rsidRDefault="00740FBF" w:rsidP="00740FBF">
            <w:pPr>
              <w:jc w:val="center"/>
              <w:cnfStyle w:val="000000000000" w:firstRow="0" w:lastRow="0" w:firstColumn="0" w:lastColumn="0" w:oddVBand="0" w:evenVBand="0" w:oddHBand="0" w:evenHBand="0" w:firstRowFirstColumn="0" w:firstRowLastColumn="0" w:lastRowFirstColumn="0" w:lastRowLastColumn="0"/>
            </w:pPr>
            <w:r w:rsidRPr="00C35E12">
              <w:t>7.9</w:t>
            </w:r>
          </w:p>
        </w:tc>
        <w:tc>
          <w:tcPr>
            <w:tcW w:w="1082" w:type="pct"/>
          </w:tcPr>
          <w:p w:rsidR="00740FBF" w:rsidRPr="00C35E12" w:rsidRDefault="00AB1989" w:rsidP="00740FBF">
            <w:pPr>
              <w:jc w:val="center"/>
              <w:cnfStyle w:val="000000000000" w:firstRow="0" w:lastRow="0" w:firstColumn="0" w:lastColumn="0" w:oddVBand="0" w:evenVBand="0" w:oddHBand="0" w:evenHBand="0" w:firstRowFirstColumn="0" w:firstRowLastColumn="0" w:lastRowFirstColumn="0" w:lastRowLastColumn="0"/>
            </w:pPr>
            <w:r>
              <w:t>0.4%</w:t>
            </w:r>
          </w:p>
        </w:tc>
      </w:tr>
      <w:tr w:rsidR="00740FBF" w:rsidRPr="00BA0FBF" w:rsidTr="00740FB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02" w:type="pct"/>
          </w:tcPr>
          <w:p w:rsidR="00740FBF" w:rsidRPr="009B1030" w:rsidRDefault="00740FBF" w:rsidP="009B1030">
            <w:pPr>
              <w:pStyle w:val="TableText"/>
              <w:rPr>
                <w:b/>
              </w:rPr>
            </w:pPr>
            <w:r>
              <w:rPr>
                <w:b/>
              </w:rPr>
              <w:t xml:space="preserve">Net </w:t>
            </w:r>
            <w:r w:rsidR="008954DF">
              <w:rPr>
                <w:b/>
              </w:rPr>
              <w:t xml:space="preserve">additional </w:t>
            </w:r>
            <w:r>
              <w:rPr>
                <w:b/>
              </w:rPr>
              <w:t>GST revenue: Scenario 3</w:t>
            </w:r>
          </w:p>
        </w:tc>
        <w:tc>
          <w:tcPr>
            <w:tcW w:w="1016" w:type="pct"/>
          </w:tcPr>
          <w:p w:rsidR="00740FBF" w:rsidRPr="00740FBF" w:rsidRDefault="00740FBF" w:rsidP="00740FBF">
            <w:pPr>
              <w:jc w:val="center"/>
              <w:cnfStyle w:val="000000100000" w:firstRow="0" w:lastRow="0" w:firstColumn="0" w:lastColumn="0" w:oddVBand="0" w:evenVBand="0" w:oddHBand="1" w:evenHBand="0" w:firstRowFirstColumn="0" w:firstRowLastColumn="0" w:lastRowFirstColumn="0" w:lastRowLastColumn="0"/>
              <w:rPr>
                <w:b/>
              </w:rPr>
            </w:pPr>
            <w:r w:rsidRPr="00740FBF">
              <w:rPr>
                <w:b/>
              </w:rPr>
              <w:t>24.6</w:t>
            </w:r>
          </w:p>
        </w:tc>
        <w:tc>
          <w:tcPr>
            <w:tcW w:w="1082" w:type="pct"/>
          </w:tcPr>
          <w:p w:rsidR="00740FBF" w:rsidRPr="00740FBF" w:rsidRDefault="00740FBF" w:rsidP="00740FBF">
            <w:pPr>
              <w:jc w:val="center"/>
              <w:cnfStyle w:val="000000100000" w:firstRow="0" w:lastRow="0" w:firstColumn="0" w:lastColumn="0" w:oddVBand="0" w:evenVBand="0" w:oddHBand="1" w:evenHBand="0" w:firstRowFirstColumn="0" w:firstRowLastColumn="0" w:lastRowFirstColumn="0" w:lastRowLastColumn="0"/>
              <w:rPr>
                <w:b/>
              </w:rPr>
            </w:pPr>
            <w:r w:rsidRPr="00740FBF">
              <w:rPr>
                <w:b/>
              </w:rPr>
              <w:t>1.4%</w:t>
            </w:r>
          </w:p>
        </w:tc>
      </w:tr>
    </w:tbl>
    <w:p w:rsidR="003C58BB" w:rsidRDefault="003C58BB" w:rsidP="003C58BB">
      <w:pPr>
        <w:pStyle w:val="Source"/>
      </w:pPr>
      <w:r>
        <w:t xml:space="preserve">Source: </w:t>
      </w:r>
      <w:r w:rsidR="006A4F9B">
        <w:t>PBO analysis based on data from the ABS and Treasury</w:t>
      </w:r>
    </w:p>
    <w:p w:rsidR="00E368C7" w:rsidRPr="00BA0FBF" w:rsidRDefault="00E368C7" w:rsidP="00744A84">
      <w:pPr>
        <w:pStyle w:val="BodyText"/>
      </w:pPr>
      <w:r w:rsidRPr="00BA0FBF">
        <w:t>GST revenue would increase by $3</w:t>
      </w:r>
      <w:r w:rsidR="005864EC" w:rsidRPr="00BA0FBF">
        <w:t>2</w:t>
      </w:r>
      <w:r w:rsidR="000A3CB8" w:rsidRPr="00BA0FBF">
        <w:t>.</w:t>
      </w:r>
      <w:r w:rsidR="00740FBF">
        <w:t>5</w:t>
      </w:r>
      <w:r w:rsidRPr="00BA0FBF">
        <w:t> billion (or 1.8 per cent of GDP) in 201</w:t>
      </w:r>
      <w:r w:rsidR="00776087" w:rsidRPr="00BA0FBF">
        <w:t>7–</w:t>
      </w:r>
      <w:r w:rsidR="000A3CB8" w:rsidRPr="00BA0FBF">
        <w:t>18</w:t>
      </w:r>
      <w:r w:rsidRPr="00BA0FBF">
        <w:t>.</w:t>
      </w:r>
      <w:r w:rsidR="000A3CB8" w:rsidRPr="00BA0FBF">
        <w:t xml:space="preserve">  The technical assumption that</w:t>
      </w:r>
      <w:r w:rsidR="00D0289A">
        <w:t xml:space="preserve"> </w:t>
      </w:r>
      <w:r w:rsidR="000A3CB8" w:rsidRPr="00BA0FBF">
        <w:t xml:space="preserve">there would be compensation sufficient to fully offset the impact of the scenario on the bottom </w:t>
      </w:r>
      <w:r w:rsidR="00776087" w:rsidRPr="00BA0FBF">
        <w:t>40</w:t>
      </w:r>
      <w:r w:rsidR="000A3CB8" w:rsidRPr="00BA0FBF">
        <w:t xml:space="preserve"> per cent of households </w:t>
      </w:r>
      <w:r w:rsidR="005864EC" w:rsidRPr="00BA0FBF">
        <w:t>would cost $</w:t>
      </w:r>
      <w:r w:rsidR="00740FBF">
        <w:t>7.9</w:t>
      </w:r>
      <w:r w:rsidR="000A3CB8" w:rsidRPr="00BA0FBF">
        <w:t> billion in 2017</w:t>
      </w:r>
      <w:r w:rsidR="00776087" w:rsidRPr="00BA0FBF">
        <w:t>–</w:t>
      </w:r>
      <w:r w:rsidR="000A3CB8" w:rsidRPr="00BA0FBF">
        <w:t>18.</w:t>
      </w:r>
    </w:p>
    <w:p w:rsidR="00E368C7" w:rsidRPr="00B01B6B" w:rsidRDefault="00E368C7" w:rsidP="00744A84">
      <w:pPr>
        <w:pStyle w:val="BodyText"/>
        <w:rPr>
          <w:szCs w:val="20"/>
        </w:rPr>
      </w:pPr>
      <w:r w:rsidRPr="00BA0FBF">
        <w:t xml:space="preserve">Additional detail on the revenue impact of Scenario </w:t>
      </w:r>
      <w:r w:rsidR="000A3CB8" w:rsidRPr="00BA0FBF">
        <w:t>3</w:t>
      </w:r>
      <w:r w:rsidRPr="00BA0FBF">
        <w:t xml:space="preserve"> is provided in</w:t>
      </w:r>
      <w:r w:rsidR="00B01B6B">
        <w:t xml:space="preserve"> </w:t>
      </w:r>
      <w:fldSimple w:instr=" REF _Ref436925051 \r ">
        <w:r w:rsidR="00076CF9">
          <w:t>Appendix C</w:t>
        </w:r>
      </w:fldSimple>
      <w:r w:rsidR="00B01B6B" w:rsidRPr="00B01B6B">
        <w:rPr>
          <w:szCs w:val="20"/>
        </w:rPr>
        <w:t>.</w:t>
      </w:r>
    </w:p>
    <w:p w:rsidR="00E368C7" w:rsidRPr="00BA0FBF" w:rsidRDefault="00E368C7" w:rsidP="00E368C7">
      <w:pPr>
        <w:pStyle w:val="Heading3"/>
        <w:rPr>
          <w:sz w:val="24"/>
        </w:rPr>
      </w:pPr>
      <w:bookmarkStart w:id="186" w:name="_Toc435093668"/>
      <w:bookmarkStart w:id="187" w:name="_Toc435632997"/>
      <w:bookmarkStart w:id="188" w:name="_Toc436400344"/>
      <w:r w:rsidRPr="00BA0FBF">
        <w:rPr>
          <w:sz w:val="24"/>
        </w:rPr>
        <w:t xml:space="preserve">Distributional </w:t>
      </w:r>
      <w:r w:rsidR="00D0289A">
        <w:rPr>
          <w:sz w:val="24"/>
        </w:rPr>
        <w:t>i</w:t>
      </w:r>
      <w:r w:rsidRPr="00BA0FBF">
        <w:rPr>
          <w:sz w:val="24"/>
        </w:rPr>
        <w:t xml:space="preserve">mpact of Scenario </w:t>
      </w:r>
      <w:bookmarkEnd w:id="186"/>
      <w:bookmarkEnd w:id="187"/>
      <w:r w:rsidR="003A1E75" w:rsidRPr="00BA0FBF">
        <w:rPr>
          <w:sz w:val="24"/>
        </w:rPr>
        <w:t>3</w:t>
      </w:r>
      <w:bookmarkEnd w:id="188"/>
    </w:p>
    <w:p w:rsidR="00E368C7" w:rsidRPr="00BA0FBF" w:rsidRDefault="008F25AA" w:rsidP="00744A84">
      <w:pPr>
        <w:pStyle w:val="BodyText"/>
      </w:pPr>
      <w:r w:rsidRPr="00BA0FBF">
        <w:fldChar w:fldCharType="begin"/>
      </w:r>
      <w:r w:rsidRPr="00BA0FBF">
        <w:instrText xml:space="preserve"> REF _Ref436655005 \h </w:instrText>
      </w:r>
      <w:r w:rsidR="00BA0FBF">
        <w:instrText xml:space="preserve"> \* MERGEFORMAT </w:instrText>
      </w:r>
      <w:r w:rsidRPr="00BA0FBF">
        <w:fldChar w:fldCharType="separate"/>
      </w:r>
      <w:r w:rsidR="00076CF9" w:rsidRPr="00076CF9">
        <w:t>Table</w:t>
      </w:r>
      <w:r w:rsidR="00076CF9" w:rsidRPr="00BA0FBF">
        <w:rPr>
          <w:sz w:val="20"/>
        </w:rPr>
        <w:t xml:space="preserve"> </w:t>
      </w:r>
      <w:r w:rsidR="00076CF9">
        <w:rPr>
          <w:noProof/>
          <w:sz w:val="20"/>
        </w:rPr>
        <w:t>4</w:t>
      </w:r>
      <w:r w:rsidR="00076CF9" w:rsidRPr="00BA0FBF">
        <w:rPr>
          <w:sz w:val="20"/>
        </w:rPr>
        <w:t>–</w:t>
      </w:r>
      <w:r w:rsidR="00076CF9">
        <w:rPr>
          <w:noProof/>
          <w:sz w:val="20"/>
        </w:rPr>
        <w:t>3</w:t>
      </w:r>
      <w:r w:rsidRPr="00BA0FBF">
        <w:fldChar w:fldCharType="end"/>
      </w:r>
      <w:r w:rsidR="00E368C7" w:rsidRPr="00BA0FBF">
        <w:t xml:space="preserve"> presents a distributional analysis of the relative and absolute impacts of additio</w:t>
      </w:r>
      <w:r w:rsidR="003A1E75" w:rsidRPr="00BA0FBF">
        <w:t>nal GST revenue under Scenario 3</w:t>
      </w:r>
      <w:r w:rsidR="00E368C7" w:rsidRPr="00BA0FBF">
        <w:t xml:space="preserve"> on households by income decile.</w:t>
      </w:r>
    </w:p>
    <w:p w:rsidR="00E368C7" w:rsidRPr="00BA0FBF" w:rsidRDefault="00E368C7" w:rsidP="00744A84">
      <w:pPr>
        <w:pStyle w:val="BodyText"/>
      </w:pPr>
      <w:r w:rsidRPr="00BA0FBF">
        <w:t>Increasing the GST to 15 per cent has a greater relative i</w:t>
      </w:r>
      <w:r w:rsidR="008F25AA" w:rsidRPr="00BA0FBF">
        <w:t>mpact on lower income earners.</w:t>
      </w:r>
    </w:p>
    <w:p w:rsidR="00E368C7" w:rsidRPr="00BA0FBF" w:rsidRDefault="00E368C7" w:rsidP="00744A84">
      <w:pPr>
        <w:pStyle w:val="BodyText"/>
      </w:pPr>
      <w:r w:rsidRPr="00BA0FBF">
        <w:t xml:space="preserve">In the absence of compensation arrangements targeting lower income households, those in the lowest income decile would pay an additional </w:t>
      </w:r>
      <w:r w:rsidR="00AB1989">
        <w:t>6.3</w:t>
      </w:r>
      <w:r w:rsidRPr="00BA0FBF">
        <w:t xml:space="preserve"> per cent of their disposable income under this scenario, compared with the average of an additional 2.</w:t>
      </w:r>
      <w:r w:rsidR="00AB1989">
        <w:t>1</w:t>
      </w:r>
      <w:r w:rsidRPr="00BA0FBF">
        <w:t xml:space="preserve"> per cent paid by those in the </w:t>
      </w:r>
      <w:r w:rsidR="003A1E75" w:rsidRPr="00BA0FBF">
        <w:t xml:space="preserve">highest income </w:t>
      </w:r>
      <w:r w:rsidR="00D8424B" w:rsidRPr="00BA0FBF">
        <w:t>decile</w:t>
      </w:r>
      <w:r w:rsidRPr="00BA0FBF">
        <w:t>.</w:t>
      </w:r>
    </w:p>
    <w:p w:rsidR="008F25AA" w:rsidRPr="00BA0FBF" w:rsidRDefault="008F25AA" w:rsidP="008F25AA">
      <w:pPr>
        <w:pStyle w:val="Caption"/>
        <w:rPr>
          <w:sz w:val="20"/>
        </w:rPr>
      </w:pPr>
      <w:bookmarkStart w:id="189" w:name="_Toc436917832"/>
      <w:bookmarkStart w:id="190" w:name="_Toc437429590"/>
      <w:r w:rsidRPr="00BA0FBF">
        <w:rPr>
          <w:sz w:val="20"/>
        </w:rPr>
        <w:t xml:space="preserve">Figure </w:t>
      </w:r>
      <w:r w:rsidR="009F1D24" w:rsidRPr="00BA0FBF">
        <w:rPr>
          <w:sz w:val="20"/>
        </w:rPr>
        <w:fldChar w:fldCharType="begin"/>
      </w:r>
      <w:r w:rsidR="009F1D24" w:rsidRPr="00BA0FBF">
        <w:rPr>
          <w:sz w:val="20"/>
        </w:rPr>
        <w:instrText xml:space="preserve"> STYLEREF 1 \s </w:instrText>
      </w:r>
      <w:r w:rsidR="009F1D24" w:rsidRPr="00BA0FBF">
        <w:rPr>
          <w:sz w:val="20"/>
        </w:rPr>
        <w:fldChar w:fldCharType="separate"/>
      </w:r>
      <w:r w:rsidR="00076CF9">
        <w:rPr>
          <w:noProof/>
          <w:sz w:val="20"/>
        </w:rPr>
        <w:t>4</w:t>
      </w:r>
      <w:r w:rsidR="009F1D24" w:rsidRPr="00BA0FBF">
        <w:rPr>
          <w:noProof/>
          <w:sz w:val="20"/>
        </w:rPr>
        <w:fldChar w:fldCharType="end"/>
      </w:r>
      <w:r w:rsidRPr="00BA0FBF">
        <w:rPr>
          <w:sz w:val="20"/>
        </w:rPr>
        <w:t>–</w:t>
      </w:r>
      <w:r w:rsidR="009F1D24" w:rsidRPr="00BA0FBF">
        <w:rPr>
          <w:sz w:val="20"/>
        </w:rPr>
        <w:fldChar w:fldCharType="begin"/>
      </w:r>
      <w:r w:rsidR="009F1D24" w:rsidRPr="00BA0FBF">
        <w:rPr>
          <w:sz w:val="20"/>
        </w:rPr>
        <w:instrText xml:space="preserve"> SEQ Figure \* ARABIC \s 1 </w:instrText>
      </w:r>
      <w:r w:rsidR="009F1D24" w:rsidRPr="00BA0FBF">
        <w:rPr>
          <w:sz w:val="20"/>
        </w:rPr>
        <w:fldChar w:fldCharType="separate"/>
      </w:r>
      <w:r w:rsidR="00076CF9">
        <w:rPr>
          <w:noProof/>
          <w:sz w:val="20"/>
        </w:rPr>
        <w:t>3</w:t>
      </w:r>
      <w:r w:rsidR="009F1D24" w:rsidRPr="00BA0FBF">
        <w:rPr>
          <w:noProof/>
          <w:sz w:val="20"/>
        </w:rPr>
        <w:fldChar w:fldCharType="end"/>
      </w:r>
      <w:r w:rsidRPr="00BA0FBF">
        <w:rPr>
          <w:sz w:val="20"/>
        </w:rPr>
        <w:t>: Distributional impact of Scenario 3 (15 per cent GST)</w:t>
      </w:r>
      <w:bookmarkEnd w:id="189"/>
      <w:bookmarkEnd w:id="190"/>
    </w:p>
    <w:p w:rsidR="00E368C7" w:rsidRPr="00BA0FBF" w:rsidRDefault="00AB1989" w:rsidP="00846FA0">
      <w:pPr>
        <w:pStyle w:val="BodyText"/>
        <w:spacing w:before="120"/>
        <w:rPr>
          <w:sz w:val="20"/>
        </w:rPr>
      </w:pPr>
      <w:r>
        <w:rPr>
          <w:noProof/>
          <w:sz w:val="20"/>
          <w:lang w:eastAsia="en-AU"/>
        </w:rPr>
        <w:drawing>
          <wp:inline distT="0" distB="0" distL="0" distR="0" wp14:anchorId="2A2D5125" wp14:editId="278EC073">
            <wp:extent cx="4708310" cy="3384000"/>
            <wp:effectExtent l="0" t="0" r="0" b="6985"/>
            <wp:docPr id="34" name="Picture 34" descr="Figure 4–3 presents the relative and absolute impact of the scenario 3 (increase the GST rate from 10 per cent to 15 per cent) by household disposable income decile.&#10;Households in the lowest income decile would pay an additional 6.32 per cent of disposable income in GST, falling to 3.67 per cent for the second decile and 2.09 per cent for the highest decile.&#10;Households in the lowest income decile would pay an additional $35.2 per week in GST, falling to $32.3 per week in the second decile and rising to $127.5 per week for the highest decile.&#10;" title="Figure 4–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708310" cy="3384000"/>
                    </a:xfrm>
                    <a:prstGeom prst="rect">
                      <a:avLst/>
                    </a:prstGeom>
                    <a:noFill/>
                  </pic:spPr>
                </pic:pic>
              </a:graphicData>
            </a:graphic>
          </wp:inline>
        </w:drawing>
      </w:r>
    </w:p>
    <w:p w:rsidR="003C58BB" w:rsidRDefault="003C58BB" w:rsidP="003C58BB">
      <w:pPr>
        <w:pStyle w:val="Source"/>
      </w:pPr>
      <w:r>
        <w:t xml:space="preserve">Source: </w:t>
      </w:r>
      <w:r w:rsidR="004E109F">
        <w:t>PBO analysis based on data from the ABS and Treasury</w:t>
      </w:r>
    </w:p>
    <w:p w:rsidR="00E368C7" w:rsidRPr="00BA0FBF" w:rsidRDefault="008F25AA" w:rsidP="00744A84">
      <w:pPr>
        <w:pStyle w:val="BodyText17ptAbove"/>
      </w:pPr>
      <w:r w:rsidRPr="00BA0FBF">
        <w:fldChar w:fldCharType="begin"/>
      </w:r>
      <w:r w:rsidRPr="00BA0FBF">
        <w:instrText xml:space="preserve"> REF _Ref436655807 \h </w:instrText>
      </w:r>
      <w:r w:rsidR="00BA0FBF">
        <w:instrText xml:space="preserve"> \* MERGEFORMAT </w:instrText>
      </w:r>
      <w:r w:rsidRPr="00BA0FBF">
        <w:fldChar w:fldCharType="separate"/>
      </w:r>
      <w:r w:rsidR="00076CF9" w:rsidRPr="00076CF9">
        <w:t>Table 4–8</w:t>
      </w:r>
      <w:r w:rsidRPr="00BA0FBF">
        <w:fldChar w:fldCharType="end"/>
      </w:r>
      <w:r w:rsidR="005864EC" w:rsidRPr="00BA0FBF">
        <w:t xml:space="preserve"> </w:t>
      </w:r>
      <w:r w:rsidR="00E368C7" w:rsidRPr="00BA0FBF">
        <w:t xml:space="preserve">summarises the distribution of the relative impact of the GST revenue collected under Scenario </w:t>
      </w:r>
      <w:r w:rsidR="003A1E75" w:rsidRPr="00BA0FBF">
        <w:t>3</w:t>
      </w:r>
      <w:r w:rsidR="00E368C7" w:rsidRPr="00BA0FBF">
        <w:t xml:space="preserve"> by decile of household disposable income before and after the</w:t>
      </w:r>
      <w:r w:rsidR="004B6DDF" w:rsidRPr="00BA0FBF">
        <w:t xml:space="preserve"> assumed compensation package.</w:t>
      </w:r>
    </w:p>
    <w:p w:rsidR="008F25AA" w:rsidRPr="00BA0FBF" w:rsidRDefault="008F25AA" w:rsidP="008F25AA">
      <w:pPr>
        <w:pStyle w:val="Caption"/>
        <w:rPr>
          <w:sz w:val="20"/>
        </w:rPr>
      </w:pPr>
      <w:bookmarkStart w:id="191" w:name="_Ref436655807"/>
      <w:bookmarkStart w:id="192" w:name="_Toc436664565"/>
      <w:bookmarkStart w:id="193" w:name="_Toc436917812"/>
      <w:bookmarkStart w:id="194" w:name="_Toc437429570"/>
      <w:r w:rsidRPr="00BA0FBF">
        <w:rPr>
          <w:sz w:val="20"/>
        </w:rPr>
        <w:t xml:space="preserve">Table </w:t>
      </w:r>
      <w:r w:rsidR="009F1D24" w:rsidRPr="00BA0FBF">
        <w:rPr>
          <w:sz w:val="20"/>
        </w:rPr>
        <w:fldChar w:fldCharType="begin"/>
      </w:r>
      <w:r w:rsidR="009F1D24" w:rsidRPr="00BA0FBF">
        <w:rPr>
          <w:sz w:val="20"/>
        </w:rPr>
        <w:instrText xml:space="preserve"> STYLEREF 1 \s </w:instrText>
      </w:r>
      <w:r w:rsidR="009F1D24" w:rsidRPr="00BA0FBF">
        <w:rPr>
          <w:sz w:val="20"/>
        </w:rPr>
        <w:fldChar w:fldCharType="separate"/>
      </w:r>
      <w:r w:rsidR="00076CF9">
        <w:rPr>
          <w:noProof/>
          <w:sz w:val="20"/>
        </w:rPr>
        <w:t>4</w:t>
      </w:r>
      <w:r w:rsidR="009F1D24" w:rsidRPr="00BA0FBF">
        <w:rPr>
          <w:noProof/>
          <w:sz w:val="20"/>
        </w:rPr>
        <w:fldChar w:fldCharType="end"/>
      </w:r>
      <w:r w:rsidRPr="00BA0FBF">
        <w:rPr>
          <w:sz w:val="20"/>
        </w:rPr>
        <w:t>–</w:t>
      </w:r>
      <w:r w:rsidR="009F1D24" w:rsidRPr="00BA0FBF">
        <w:rPr>
          <w:sz w:val="20"/>
        </w:rPr>
        <w:fldChar w:fldCharType="begin"/>
      </w:r>
      <w:r w:rsidR="009F1D24" w:rsidRPr="00BA0FBF">
        <w:rPr>
          <w:sz w:val="20"/>
        </w:rPr>
        <w:instrText xml:space="preserve"> SEQ Table \* ARABIC \s 1 </w:instrText>
      </w:r>
      <w:r w:rsidR="009F1D24" w:rsidRPr="00BA0FBF">
        <w:rPr>
          <w:sz w:val="20"/>
        </w:rPr>
        <w:fldChar w:fldCharType="separate"/>
      </w:r>
      <w:r w:rsidR="00076CF9">
        <w:rPr>
          <w:noProof/>
          <w:sz w:val="20"/>
        </w:rPr>
        <w:t>8</w:t>
      </w:r>
      <w:r w:rsidR="009F1D24" w:rsidRPr="00BA0FBF">
        <w:rPr>
          <w:noProof/>
          <w:sz w:val="20"/>
        </w:rPr>
        <w:fldChar w:fldCharType="end"/>
      </w:r>
      <w:bookmarkEnd w:id="191"/>
      <w:r w:rsidRPr="00BA0FBF">
        <w:rPr>
          <w:sz w:val="20"/>
        </w:rPr>
        <w:t>: Net</w:t>
      </w:r>
      <w:r w:rsidR="00D02DAC">
        <w:rPr>
          <w:sz w:val="20"/>
        </w:rPr>
        <w:t xml:space="preserve"> additional</w:t>
      </w:r>
      <w:r w:rsidRPr="00BA0FBF">
        <w:rPr>
          <w:sz w:val="20"/>
        </w:rPr>
        <w:t xml:space="preserve"> GST revenue: relative impact </w:t>
      </w:r>
      <w:r w:rsidR="00587687">
        <w:rPr>
          <w:sz w:val="20"/>
        </w:rPr>
        <w:t xml:space="preserve">of </w:t>
      </w:r>
      <w:r w:rsidRPr="00BA0FBF">
        <w:rPr>
          <w:sz w:val="20"/>
        </w:rPr>
        <w:t>Scenario 3</w:t>
      </w:r>
      <w:bookmarkEnd w:id="192"/>
      <w:r w:rsidR="003D4F20">
        <w:rPr>
          <w:sz w:val="20"/>
        </w:rPr>
        <w:t xml:space="preserve"> (15 per cent GST)</w:t>
      </w:r>
      <w:bookmarkEnd w:id="193"/>
      <w:bookmarkEnd w:id="194"/>
    </w:p>
    <w:tbl>
      <w:tblPr>
        <w:tblStyle w:val="TableGrid"/>
        <w:tblW w:w="5000" w:type="pct"/>
        <w:tblLayout w:type="fixed"/>
        <w:tblLook w:val="04A0" w:firstRow="1" w:lastRow="0" w:firstColumn="1" w:lastColumn="0" w:noHBand="0" w:noVBand="1"/>
      </w:tblPr>
      <w:tblGrid>
        <w:gridCol w:w="1843"/>
        <w:gridCol w:w="646"/>
        <w:gridCol w:w="647"/>
        <w:gridCol w:w="647"/>
        <w:gridCol w:w="647"/>
        <w:gridCol w:w="647"/>
        <w:gridCol w:w="647"/>
        <w:gridCol w:w="647"/>
        <w:gridCol w:w="647"/>
        <w:gridCol w:w="647"/>
        <w:gridCol w:w="647"/>
      </w:tblGrid>
      <w:tr w:rsidR="00633CB6" w:rsidRPr="00BA0FBF" w:rsidTr="00633CB6">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109" w:type="pct"/>
          </w:tcPr>
          <w:p w:rsidR="00D8424B" w:rsidRPr="00BA0FBF" w:rsidRDefault="00D8424B" w:rsidP="00717BC3">
            <w:pPr>
              <w:pStyle w:val="TableHeading"/>
            </w:pPr>
            <w:r w:rsidRPr="00BA0FBF">
              <w:t>2017</w:t>
            </w:r>
            <w:r w:rsidR="004B6DDF" w:rsidRPr="00BA0FBF">
              <w:t>–</w:t>
            </w:r>
            <w:r w:rsidRPr="00BA0FBF">
              <w:t>18</w:t>
            </w:r>
          </w:p>
        </w:tc>
        <w:tc>
          <w:tcPr>
            <w:tcW w:w="389" w:type="pct"/>
          </w:tcPr>
          <w:p w:rsidR="00D8424B" w:rsidRPr="00BA0FBF" w:rsidRDefault="00D8424B" w:rsidP="009B1030">
            <w:pPr>
              <w:pStyle w:val="TableHeading"/>
              <w:cnfStyle w:val="100000000000" w:firstRow="1" w:lastRow="0" w:firstColumn="0" w:lastColumn="0" w:oddVBand="0" w:evenVBand="0" w:oddHBand="0" w:evenHBand="0" w:firstRowFirstColumn="0" w:firstRowLastColumn="0" w:lastRowFirstColumn="0" w:lastRowLastColumn="0"/>
            </w:pPr>
            <w:r w:rsidRPr="00BA0FBF">
              <w:t>D1</w:t>
            </w:r>
          </w:p>
        </w:tc>
        <w:tc>
          <w:tcPr>
            <w:tcW w:w="389" w:type="pct"/>
          </w:tcPr>
          <w:p w:rsidR="00D8424B" w:rsidRPr="00BA0FBF" w:rsidRDefault="00D8424B" w:rsidP="009B1030">
            <w:pPr>
              <w:pStyle w:val="TableHeading"/>
              <w:cnfStyle w:val="100000000000" w:firstRow="1" w:lastRow="0" w:firstColumn="0" w:lastColumn="0" w:oddVBand="0" w:evenVBand="0" w:oddHBand="0" w:evenHBand="0" w:firstRowFirstColumn="0" w:firstRowLastColumn="0" w:lastRowFirstColumn="0" w:lastRowLastColumn="0"/>
            </w:pPr>
            <w:r w:rsidRPr="00BA0FBF">
              <w:t>D2</w:t>
            </w:r>
          </w:p>
        </w:tc>
        <w:tc>
          <w:tcPr>
            <w:tcW w:w="389" w:type="pct"/>
          </w:tcPr>
          <w:p w:rsidR="00D8424B" w:rsidRPr="00BA0FBF" w:rsidRDefault="00D8424B" w:rsidP="009B1030">
            <w:pPr>
              <w:pStyle w:val="TableHeading"/>
              <w:cnfStyle w:val="100000000000" w:firstRow="1" w:lastRow="0" w:firstColumn="0" w:lastColumn="0" w:oddVBand="0" w:evenVBand="0" w:oddHBand="0" w:evenHBand="0" w:firstRowFirstColumn="0" w:firstRowLastColumn="0" w:lastRowFirstColumn="0" w:lastRowLastColumn="0"/>
            </w:pPr>
            <w:r w:rsidRPr="00BA0FBF">
              <w:t>D3</w:t>
            </w:r>
          </w:p>
        </w:tc>
        <w:tc>
          <w:tcPr>
            <w:tcW w:w="389" w:type="pct"/>
          </w:tcPr>
          <w:p w:rsidR="00D8424B" w:rsidRPr="00BA0FBF" w:rsidRDefault="00D8424B" w:rsidP="009B1030">
            <w:pPr>
              <w:pStyle w:val="TableHeading"/>
              <w:cnfStyle w:val="100000000000" w:firstRow="1" w:lastRow="0" w:firstColumn="0" w:lastColumn="0" w:oddVBand="0" w:evenVBand="0" w:oddHBand="0" w:evenHBand="0" w:firstRowFirstColumn="0" w:firstRowLastColumn="0" w:lastRowFirstColumn="0" w:lastRowLastColumn="0"/>
            </w:pPr>
            <w:r w:rsidRPr="00BA0FBF">
              <w:t>D4</w:t>
            </w:r>
          </w:p>
        </w:tc>
        <w:tc>
          <w:tcPr>
            <w:tcW w:w="389" w:type="pct"/>
          </w:tcPr>
          <w:p w:rsidR="00D8424B" w:rsidRPr="00BA0FBF" w:rsidRDefault="00D8424B" w:rsidP="009B1030">
            <w:pPr>
              <w:pStyle w:val="TableHeading"/>
              <w:cnfStyle w:val="100000000000" w:firstRow="1" w:lastRow="0" w:firstColumn="0" w:lastColumn="0" w:oddVBand="0" w:evenVBand="0" w:oddHBand="0" w:evenHBand="0" w:firstRowFirstColumn="0" w:firstRowLastColumn="0" w:lastRowFirstColumn="0" w:lastRowLastColumn="0"/>
            </w:pPr>
            <w:r w:rsidRPr="00BA0FBF">
              <w:t>D5</w:t>
            </w:r>
          </w:p>
        </w:tc>
        <w:tc>
          <w:tcPr>
            <w:tcW w:w="389" w:type="pct"/>
          </w:tcPr>
          <w:p w:rsidR="00D8424B" w:rsidRPr="00BA0FBF" w:rsidRDefault="00D8424B" w:rsidP="009B1030">
            <w:pPr>
              <w:pStyle w:val="TableHeading"/>
              <w:cnfStyle w:val="100000000000" w:firstRow="1" w:lastRow="0" w:firstColumn="0" w:lastColumn="0" w:oddVBand="0" w:evenVBand="0" w:oddHBand="0" w:evenHBand="0" w:firstRowFirstColumn="0" w:firstRowLastColumn="0" w:lastRowFirstColumn="0" w:lastRowLastColumn="0"/>
            </w:pPr>
            <w:r w:rsidRPr="00BA0FBF">
              <w:t>D6</w:t>
            </w:r>
          </w:p>
        </w:tc>
        <w:tc>
          <w:tcPr>
            <w:tcW w:w="389" w:type="pct"/>
          </w:tcPr>
          <w:p w:rsidR="00D8424B" w:rsidRPr="00BA0FBF" w:rsidRDefault="00D8424B" w:rsidP="009B1030">
            <w:pPr>
              <w:pStyle w:val="TableHeading"/>
              <w:cnfStyle w:val="100000000000" w:firstRow="1" w:lastRow="0" w:firstColumn="0" w:lastColumn="0" w:oddVBand="0" w:evenVBand="0" w:oddHBand="0" w:evenHBand="0" w:firstRowFirstColumn="0" w:firstRowLastColumn="0" w:lastRowFirstColumn="0" w:lastRowLastColumn="0"/>
            </w:pPr>
            <w:r w:rsidRPr="00BA0FBF">
              <w:t>D7</w:t>
            </w:r>
          </w:p>
        </w:tc>
        <w:tc>
          <w:tcPr>
            <w:tcW w:w="389" w:type="pct"/>
          </w:tcPr>
          <w:p w:rsidR="00D8424B" w:rsidRPr="00BA0FBF" w:rsidRDefault="00D8424B" w:rsidP="009B1030">
            <w:pPr>
              <w:pStyle w:val="TableHeading"/>
              <w:cnfStyle w:val="100000000000" w:firstRow="1" w:lastRow="0" w:firstColumn="0" w:lastColumn="0" w:oddVBand="0" w:evenVBand="0" w:oddHBand="0" w:evenHBand="0" w:firstRowFirstColumn="0" w:firstRowLastColumn="0" w:lastRowFirstColumn="0" w:lastRowLastColumn="0"/>
            </w:pPr>
            <w:r w:rsidRPr="00BA0FBF">
              <w:t>D8</w:t>
            </w:r>
          </w:p>
        </w:tc>
        <w:tc>
          <w:tcPr>
            <w:tcW w:w="389" w:type="pct"/>
          </w:tcPr>
          <w:p w:rsidR="00D8424B" w:rsidRPr="00BA0FBF" w:rsidRDefault="00D8424B" w:rsidP="009B1030">
            <w:pPr>
              <w:pStyle w:val="TableHeading"/>
              <w:cnfStyle w:val="100000000000" w:firstRow="1" w:lastRow="0" w:firstColumn="0" w:lastColumn="0" w:oddVBand="0" w:evenVBand="0" w:oddHBand="0" w:evenHBand="0" w:firstRowFirstColumn="0" w:firstRowLastColumn="0" w:lastRowFirstColumn="0" w:lastRowLastColumn="0"/>
            </w:pPr>
            <w:r w:rsidRPr="00BA0FBF">
              <w:t>D9</w:t>
            </w:r>
          </w:p>
        </w:tc>
        <w:tc>
          <w:tcPr>
            <w:tcW w:w="389" w:type="pct"/>
          </w:tcPr>
          <w:p w:rsidR="00D8424B" w:rsidRPr="00BA0FBF" w:rsidRDefault="00D8424B" w:rsidP="009B1030">
            <w:pPr>
              <w:pStyle w:val="TableHeading"/>
              <w:cnfStyle w:val="100000000000" w:firstRow="1" w:lastRow="0" w:firstColumn="0" w:lastColumn="0" w:oddVBand="0" w:evenVBand="0" w:oddHBand="0" w:evenHBand="0" w:firstRowFirstColumn="0" w:firstRowLastColumn="0" w:lastRowFirstColumn="0" w:lastRowLastColumn="0"/>
            </w:pPr>
            <w:r w:rsidRPr="00BA0FBF">
              <w:t>D10</w:t>
            </w:r>
          </w:p>
        </w:tc>
      </w:tr>
      <w:tr w:rsidR="00AB1989" w:rsidRPr="00BA0FBF" w:rsidTr="00AB198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09" w:type="pct"/>
          </w:tcPr>
          <w:p w:rsidR="00AB1989" w:rsidRPr="009B1030" w:rsidRDefault="00AB1989" w:rsidP="009B1030">
            <w:pPr>
              <w:pStyle w:val="TableText"/>
            </w:pPr>
            <w:r>
              <w:t xml:space="preserve">Additional </w:t>
            </w:r>
            <w:r w:rsidRPr="009B1030">
              <w:t>GST revenue</w:t>
            </w:r>
          </w:p>
        </w:tc>
        <w:tc>
          <w:tcPr>
            <w:tcW w:w="389" w:type="pct"/>
          </w:tcPr>
          <w:p w:rsidR="00AB1989" w:rsidRPr="000C2ED4" w:rsidRDefault="00AB1989" w:rsidP="00AB1989">
            <w:pPr>
              <w:jc w:val="center"/>
              <w:cnfStyle w:val="000000100000" w:firstRow="0" w:lastRow="0" w:firstColumn="0" w:lastColumn="0" w:oddVBand="0" w:evenVBand="0" w:oddHBand="1" w:evenHBand="0" w:firstRowFirstColumn="0" w:firstRowLastColumn="0" w:lastRowFirstColumn="0" w:lastRowLastColumn="0"/>
            </w:pPr>
            <w:r w:rsidRPr="000C2ED4">
              <w:t>6.3</w:t>
            </w:r>
          </w:p>
        </w:tc>
        <w:tc>
          <w:tcPr>
            <w:tcW w:w="389" w:type="pct"/>
          </w:tcPr>
          <w:p w:rsidR="00AB1989" w:rsidRPr="000C2ED4" w:rsidRDefault="00AB1989" w:rsidP="00AB1989">
            <w:pPr>
              <w:jc w:val="center"/>
              <w:cnfStyle w:val="000000100000" w:firstRow="0" w:lastRow="0" w:firstColumn="0" w:lastColumn="0" w:oddVBand="0" w:evenVBand="0" w:oddHBand="1" w:evenHBand="0" w:firstRowFirstColumn="0" w:firstRowLastColumn="0" w:lastRowFirstColumn="0" w:lastRowLastColumn="0"/>
            </w:pPr>
            <w:r w:rsidRPr="000C2ED4">
              <w:t>3.7</w:t>
            </w:r>
          </w:p>
        </w:tc>
        <w:tc>
          <w:tcPr>
            <w:tcW w:w="389" w:type="pct"/>
          </w:tcPr>
          <w:p w:rsidR="00AB1989" w:rsidRPr="000C2ED4" w:rsidRDefault="00AB1989" w:rsidP="00AB1989">
            <w:pPr>
              <w:jc w:val="center"/>
              <w:cnfStyle w:val="000000100000" w:firstRow="0" w:lastRow="0" w:firstColumn="0" w:lastColumn="0" w:oddVBand="0" w:evenVBand="0" w:oddHBand="1" w:evenHBand="0" w:firstRowFirstColumn="0" w:firstRowLastColumn="0" w:lastRowFirstColumn="0" w:lastRowLastColumn="0"/>
            </w:pPr>
            <w:r w:rsidRPr="000C2ED4">
              <w:t>3.3</w:t>
            </w:r>
          </w:p>
        </w:tc>
        <w:tc>
          <w:tcPr>
            <w:tcW w:w="389" w:type="pct"/>
          </w:tcPr>
          <w:p w:rsidR="00AB1989" w:rsidRPr="000C2ED4" w:rsidRDefault="00AB1989" w:rsidP="00AB1989">
            <w:pPr>
              <w:jc w:val="center"/>
              <w:cnfStyle w:val="000000100000" w:firstRow="0" w:lastRow="0" w:firstColumn="0" w:lastColumn="0" w:oddVBand="0" w:evenVBand="0" w:oddHBand="1" w:evenHBand="0" w:firstRowFirstColumn="0" w:firstRowLastColumn="0" w:lastRowFirstColumn="0" w:lastRowLastColumn="0"/>
            </w:pPr>
            <w:r w:rsidRPr="000C2ED4">
              <w:t>3.4</w:t>
            </w:r>
          </w:p>
        </w:tc>
        <w:tc>
          <w:tcPr>
            <w:tcW w:w="389" w:type="pct"/>
          </w:tcPr>
          <w:p w:rsidR="00AB1989" w:rsidRPr="000C2ED4" w:rsidRDefault="00AB1989" w:rsidP="00AB1989">
            <w:pPr>
              <w:jc w:val="center"/>
              <w:cnfStyle w:val="000000100000" w:firstRow="0" w:lastRow="0" w:firstColumn="0" w:lastColumn="0" w:oddVBand="0" w:evenVBand="0" w:oddHBand="1" w:evenHBand="0" w:firstRowFirstColumn="0" w:firstRowLastColumn="0" w:lastRowFirstColumn="0" w:lastRowLastColumn="0"/>
            </w:pPr>
            <w:r w:rsidRPr="000C2ED4">
              <w:t>3.0</w:t>
            </w:r>
          </w:p>
        </w:tc>
        <w:tc>
          <w:tcPr>
            <w:tcW w:w="389" w:type="pct"/>
          </w:tcPr>
          <w:p w:rsidR="00AB1989" w:rsidRPr="000C2ED4" w:rsidRDefault="00AB1989" w:rsidP="00AB1989">
            <w:pPr>
              <w:jc w:val="center"/>
              <w:cnfStyle w:val="000000100000" w:firstRow="0" w:lastRow="0" w:firstColumn="0" w:lastColumn="0" w:oddVBand="0" w:evenVBand="0" w:oddHBand="1" w:evenHBand="0" w:firstRowFirstColumn="0" w:firstRowLastColumn="0" w:lastRowFirstColumn="0" w:lastRowLastColumn="0"/>
            </w:pPr>
            <w:r w:rsidRPr="000C2ED4">
              <w:t>2.9</w:t>
            </w:r>
          </w:p>
        </w:tc>
        <w:tc>
          <w:tcPr>
            <w:tcW w:w="389" w:type="pct"/>
          </w:tcPr>
          <w:p w:rsidR="00AB1989" w:rsidRPr="000C2ED4" w:rsidRDefault="00AB1989" w:rsidP="00AB1989">
            <w:pPr>
              <w:jc w:val="center"/>
              <w:cnfStyle w:val="000000100000" w:firstRow="0" w:lastRow="0" w:firstColumn="0" w:lastColumn="0" w:oddVBand="0" w:evenVBand="0" w:oddHBand="1" w:evenHBand="0" w:firstRowFirstColumn="0" w:firstRowLastColumn="0" w:lastRowFirstColumn="0" w:lastRowLastColumn="0"/>
            </w:pPr>
            <w:r w:rsidRPr="000C2ED4">
              <w:t>2.7</w:t>
            </w:r>
          </w:p>
        </w:tc>
        <w:tc>
          <w:tcPr>
            <w:tcW w:w="389" w:type="pct"/>
          </w:tcPr>
          <w:p w:rsidR="00AB1989" w:rsidRPr="000C2ED4" w:rsidRDefault="00AB1989" w:rsidP="00AB1989">
            <w:pPr>
              <w:jc w:val="center"/>
              <w:cnfStyle w:val="000000100000" w:firstRow="0" w:lastRow="0" w:firstColumn="0" w:lastColumn="0" w:oddVBand="0" w:evenVBand="0" w:oddHBand="1" w:evenHBand="0" w:firstRowFirstColumn="0" w:firstRowLastColumn="0" w:lastRowFirstColumn="0" w:lastRowLastColumn="0"/>
            </w:pPr>
            <w:r w:rsidRPr="000C2ED4">
              <w:t>2.6</w:t>
            </w:r>
          </w:p>
        </w:tc>
        <w:tc>
          <w:tcPr>
            <w:tcW w:w="389" w:type="pct"/>
          </w:tcPr>
          <w:p w:rsidR="00AB1989" w:rsidRPr="000C2ED4" w:rsidRDefault="00AB1989" w:rsidP="00AB1989">
            <w:pPr>
              <w:jc w:val="center"/>
              <w:cnfStyle w:val="000000100000" w:firstRow="0" w:lastRow="0" w:firstColumn="0" w:lastColumn="0" w:oddVBand="0" w:evenVBand="0" w:oddHBand="1" w:evenHBand="0" w:firstRowFirstColumn="0" w:firstRowLastColumn="0" w:lastRowFirstColumn="0" w:lastRowLastColumn="0"/>
            </w:pPr>
            <w:r w:rsidRPr="000C2ED4">
              <w:t>2.5</w:t>
            </w:r>
          </w:p>
        </w:tc>
        <w:tc>
          <w:tcPr>
            <w:tcW w:w="389" w:type="pct"/>
          </w:tcPr>
          <w:p w:rsidR="00AB1989" w:rsidRPr="000C2ED4" w:rsidRDefault="00AB1989" w:rsidP="00AB1989">
            <w:pPr>
              <w:jc w:val="center"/>
              <w:cnfStyle w:val="000000100000" w:firstRow="0" w:lastRow="0" w:firstColumn="0" w:lastColumn="0" w:oddVBand="0" w:evenVBand="0" w:oddHBand="1" w:evenHBand="0" w:firstRowFirstColumn="0" w:firstRowLastColumn="0" w:lastRowFirstColumn="0" w:lastRowLastColumn="0"/>
            </w:pPr>
            <w:r w:rsidRPr="000C2ED4">
              <w:t>2.1</w:t>
            </w:r>
          </w:p>
        </w:tc>
      </w:tr>
      <w:tr w:rsidR="00AB1989" w:rsidRPr="00BA0FBF" w:rsidTr="00AB1989">
        <w:trPr>
          <w:cantSplit/>
        </w:trPr>
        <w:tc>
          <w:tcPr>
            <w:cnfStyle w:val="001000000000" w:firstRow="0" w:lastRow="0" w:firstColumn="1" w:lastColumn="0" w:oddVBand="0" w:evenVBand="0" w:oddHBand="0" w:evenHBand="0" w:firstRowFirstColumn="0" w:firstRowLastColumn="0" w:lastRowFirstColumn="0" w:lastRowLastColumn="0"/>
            <w:tcW w:w="1109" w:type="pct"/>
          </w:tcPr>
          <w:p w:rsidR="00AB1989" w:rsidRPr="009B1030" w:rsidRDefault="00AB1989" w:rsidP="009B1030">
            <w:pPr>
              <w:pStyle w:val="TableText"/>
            </w:pPr>
            <w:r w:rsidRPr="009B1030">
              <w:t>Compensation</w:t>
            </w:r>
          </w:p>
        </w:tc>
        <w:tc>
          <w:tcPr>
            <w:tcW w:w="389" w:type="pct"/>
          </w:tcPr>
          <w:p w:rsidR="00AB1989" w:rsidRPr="000C2ED4" w:rsidRDefault="00AB1989" w:rsidP="00AB1989">
            <w:pPr>
              <w:jc w:val="center"/>
              <w:cnfStyle w:val="000000000000" w:firstRow="0" w:lastRow="0" w:firstColumn="0" w:lastColumn="0" w:oddVBand="0" w:evenVBand="0" w:oddHBand="0" w:evenHBand="0" w:firstRowFirstColumn="0" w:firstRowLastColumn="0" w:lastRowFirstColumn="0" w:lastRowLastColumn="0"/>
            </w:pPr>
            <w:r w:rsidRPr="000C2ED4">
              <w:t>6.3</w:t>
            </w:r>
          </w:p>
        </w:tc>
        <w:tc>
          <w:tcPr>
            <w:tcW w:w="389" w:type="pct"/>
          </w:tcPr>
          <w:p w:rsidR="00AB1989" w:rsidRPr="000C2ED4" w:rsidRDefault="00AB1989" w:rsidP="00AB1989">
            <w:pPr>
              <w:jc w:val="center"/>
              <w:cnfStyle w:val="000000000000" w:firstRow="0" w:lastRow="0" w:firstColumn="0" w:lastColumn="0" w:oddVBand="0" w:evenVBand="0" w:oddHBand="0" w:evenHBand="0" w:firstRowFirstColumn="0" w:firstRowLastColumn="0" w:lastRowFirstColumn="0" w:lastRowLastColumn="0"/>
            </w:pPr>
            <w:r w:rsidRPr="000C2ED4">
              <w:t>3.7</w:t>
            </w:r>
          </w:p>
        </w:tc>
        <w:tc>
          <w:tcPr>
            <w:tcW w:w="389" w:type="pct"/>
          </w:tcPr>
          <w:p w:rsidR="00AB1989" w:rsidRPr="000C2ED4" w:rsidRDefault="00AB1989" w:rsidP="00AB1989">
            <w:pPr>
              <w:jc w:val="center"/>
              <w:cnfStyle w:val="000000000000" w:firstRow="0" w:lastRow="0" w:firstColumn="0" w:lastColumn="0" w:oddVBand="0" w:evenVBand="0" w:oddHBand="0" w:evenHBand="0" w:firstRowFirstColumn="0" w:firstRowLastColumn="0" w:lastRowFirstColumn="0" w:lastRowLastColumn="0"/>
            </w:pPr>
            <w:r w:rsidRPr="000C2ED4">
              <w:t>3.3</w:t>
            </w:r>
          </w:p>
        </w:tc>
        <w:tc>
          <w:tcPr>
            <w:tcW w:w="389" w:type="pct"/>
          </w:tcPr>
          <w:p w:rsidR="00AB1989" w:rsidRPr="000C2ED4" w:rsidRDefault="00AB1989" w:rsidP="00AB1989">
            <w:pPr>
              <w:jc w:val="center"/>
              <w:cnfStyle w:val="000000000000" w:firstRow="0" w:lastRow="0" w:firstColumn="0" w:lastColumn="0" w:oddVBand="0" w:evenVBand="0" w:oddHBand="0" w:evenHBand="0" w:firstRowFirstColumn="0" w:firstRowLastColumn="0" w:lastRowFirstColumn="0" w:lastRowLastColumn="0"/>
            </w:pPr>
            <w:r w:rsidRPr="000C2ED4">
              <w:t>3.4</w:t>
            </w:r>
          </w:p>
        </w:tc>
        <w:tc>
          <w:tcPr>
            <w:tcW w:w="389" w:type="pct"/>
          </w:tcPr>
          <w:p w:rsidR="00AB1989" w:rsidRPr="000C2ED4" w:rsidRDefault="00AB1989" w:rsidP="00AB1989">
            <w:pPr>
              <w:jc w:val="center"/>
              <w:cnfStyle w:val="000000000000" w:firstRow="0" w:lastRow="0" w:firstColumn="0" w:lastColumn="0" w:oddVBand="0" w:evenVBand="0" w:oddHBand="0" w:evenHBand="0" w:firstRowFirstColumn="0" w:firstRowLastColumn="0" w:lastRowFirstColumn="0" w:lastRowLastColumn="0"/>
            </w:pPr>
            <w:r w:rsidRPr="000C2ED4">
              <w:t>0.0</w:t>
            </w:r>
          </w:p>
        </w:tc>
        <w:tc>
          <w:tcPr>
            <w:tcW w:w="389" w:type="pct"/>
          </w:tcPr>
          <w:p w:rsidR="00AB1989" w:rsidRPr="000C2ED4" w:rsidRDefault="00AB1989" w:rsidP="00AB1989">
            <w:pPr>
              <w:jc w:val="center"/>
              <w:cnfStyle w:val="000000000000" w:firstRow="0" w:lastRow="0" w:firstColumn="0" w:lastColumn="0" w:oddVBand="0" w:evenVBand="0" w:oddHBand="0" w:evenHBand="0" w:firstRowFirstColumn="0" w:firstRowLastColumn="0" w:lastRowFirstColumn="0" w:lastRowLastColumn="0"/>
            </w:pPr>
            <w:r w:rsidRPr="000C2ED4">
              <w:t>0.0</w:t>
            </w:r>
          </w:p>
        </w:tc>
        <w:tc>
          <w:tcPr>
            <w:tcW w:w="389" w:type="pct"/>
          </w:tcPr>
          <w:p w:rsidR="00AB1989" w:rsidRPr="000C2ED4" w:rsidRDefault="00AB1989" w:rsidP="00AB1989">
            <w:pPr>
              <w:jc w:val="center"/>
              <w:cnfStyle w:val="000000000000" w:firstRow="0" w:lastRow="0" w:firstColumn="0" w:lastColumn="0" w:oddVBand="0" w:evenVBand="0" w:oddHBand="0" w:evenHBand="0" w:firstRowFirstColumn="0" w:firstRowLastColumn="0" w:lastRowFirstColumn="0" w:lastRowLastColumn="0"/>
            </w:pPr>
            <w:r w:rsidRPr="000C2ED4">
              <w:t>0.0</w:t>
            </w:r>
          </w:p>
        </w:tc>
        <w:tc>
          <w:tcPr>
            <w:tcW w:w="389" w:type="pct"/>
          </w:tcPr>
          <w:p w:rsidR="00AB1989" w:rsidRPr="000C2ED4" w:rsidRDefault="00AB1989" w:rsidP="00AB1989">
            <w:pPr>
              <w:jc w:val="center"/>
              <w:cnfStyle w:val="000000000000" w:firstRow="0" w:lastRow="0" w:firstColumn="0" w:lastColumn="0" w:oddVBand="0" w:evenVBand="0" w:oddHBand="0" w:evenHBand="0" w:firstRowFirstColumn="0" w:firstRowLastColumn="0" w:lastRowFirstColumn="0" w:lastRowLastColumn="0"/>
            </w:pPr>
            <w:r w:rsidRPr="000C2ED4">
              <w:t>0.0</w:t>
            </w:r>
          </w:p>
        </w:tc>
        <w:tc>
          <w:tcPr>
            <w:tcW w:w="389" w:type="pct"/>
          </w:tcPr>
          <w:p w:rsidR="00AB1989" w:rsidRPr="000C2ED4" w:rsidRDefault="00AB1989" w:rsidP="00AB1989">
            <w:pPr>
              <w:jc w:val="center"/>
              <w:cnfStyle w:val="000000000000" w:firstRow="0" w:lastRow="0" w:firstColumn="0" w:lastColumn="0" w:oddVBand="0" w:evenVBand="0" w:oddHBand="0" w:evenHBand="0" w:firstRowFirstColumn="0" w:firstRowLastColumn="0" w:lastRowFirstColumn="0" w:lastRowLastColumn="0"/>
            </w:pPr>
            <w:r w:rsidRPr="000C2ED4">
              <w:t>0.0</w:t>
            </w:r>
          </w:p>
        </w:tc>
        <w:tc>
          <w:tcPr>
            <w:tcW w:w="389" w:type="pct"/>
          </w:tcPr>
          <w:p w:rsidR="00AB1989" w:rsidRPr="000C2ED4" w:rsidRDefault="00AB1989" w:rsidP="00AB1989">
            <w:pPr>
              <w:jc w:val="center"/>
              <w:cnfStyle w:val="000000000000" w:firstRow="0" w:lastRow="0" w:firstColumn="0" w:lastColumn="0" w:oddVBand="0" w:evenVBand="0" w:oddHBand="0" w:evenHBand="0" w:firstRowFirstColumn="0" w:firstRowLastColumn="0" w:lastRowFirstColumn="0" w:lastRowLastColumn="0"/>
            </w:pPr>
            <w:r w:rsidRPr="000C2ED4">
              <w:t>0.0</w:t>
            </w:r>
          </w:p>
        </w:tc>
      </w:tr>
      <w:tr w:rsidR="00AB1989" w:rsidRPr="00BA0FBF" w:rsidTr="00AB198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09" w:type="pct"/>
          </w:tcPr>
          <w:p w:rsidR="00AB1989" w:rsidRPr="009B1030" w:rsidRDefault="00AB1989" w:rsidP="009B1030">
            <w:pPr>
              <w:pStyle w:val="TableText"/>
              <w:rPr>
                <w:b/>
              </w:rPr>
            </w:pPr>
            <w:r w:rsidRPr="009B1030">
              <w:rPr>
                <w:b/>
              </w:rPr>
              <w:t>Relative impact (%)</w:t>
            </w:r>
          </w:p>
        </w:tc>
        <w:tc>
          <w:tcPr>
            <w:tcW w:w="389" w:type="pct"/>
          </w:tcPr>
          <w:p w:rsidR="00AB1989" w:rsidRPr="00AB1989" w:rsidRDefault="00AB1989" w:rsidP="00AB1989">
            <w:pPr>
              <w:jc w:val="center"/>
              <w:cnfStyle w:val="000000100000" w:firstRow="0" w:lastRow="0" w:firstColumn="0" w:lastColumn="0" w:oddVBand="0" w:evenVBand="0" w:oddHBand="1" w:evenHBand="0" w:firstRowFirstColumn="0" w:firstRowLastColumn="0" w:lastRowFirstColumn="0" w:lastRowLastColumn="0"/>
              <w:rPr>
                <w:b/>
              </w:rPr>
            </w:pPr>
            <w:r w:rsidRPr="00AB1989">
              <w:rPr>
                <w:b/>
              </w:rPr>
              <w:t>0.0</w:t>
            </w:r>
          </w:p>
        </w:tc>
        <w:tc>
          <w:tcPr>
            <w:tcW w:w="389" w:type="pct"/>
          </w:tcPr>
          <w:p w:rsidR="00AB1989" w:rsidRPr="00AB1989" w:rsidRDefault="00AB1989" w:rsidP="00AB1989">
            <w:pPr>
              <w:jc w:val="center"/>
              <w:cnfStyle w:val="000000100000" w:firstRow="0" w:lastRow="0" w:firstColumn="0" w:lastColumn="0" w:oddVBand="0" w:evenVBand="0" w:oddHBand="1" w:evenHBand="0" w:firstRowFirstColumn="0" w:firstRowLastColumn="0" w:lastRowFirstColumn="0" w:lastRowLastColumn="0"/>
              <w:rPr>
                <w:b/>
              </w:rPr>
            </w:pPr>
            <w:r w:rsidRPr="00AB1989">
              <w:rPr>
                <w:b/>
              </w:rPr>
              <w:t>0.0</w:t>
            </w:r>
          </w:p>
        </w:tc>
        <w:tc>
          <w:tcPr>
            <w:tcW w:w="389" w:type="pct"/>
          </w:tcPr>
          <w:p w:rsidR="00AB1989" w:rsidRPr="00AB1989" w:rsidRDefault="00AB1989" w:rsidP="00AB1989">
            <w:pPr>
              <w:jc w:val="center"/>
              <w:cnfStyle w:val="000000100000" w:firstRow="0" w:lastRow="0" w:firstColumn="0" w:lastColumn="0" w:oddVBand="0" w:evenVBand="0" w:oddHBand="1" w:evenHBand="0" w:firstRowFirstColumn="0" w:firstRowLastColumn="0" w:lastRowFirstColumn="0" w:lastRowLastColumn="0"/>
              <w:rPr>
                <w:b/>
              </w:rPr>
            </w:pPr>
            <w:r w:rsidRPr="00AB1989">
              <w:rPr>
                <w:b/>
              </w:rPr>
              <w:t>0.0</w:t>
            </w:r>
          </w:p>
        </w:tc>
        <w:tc>
          <w:tcPr>
            <w:tcW w:w="389" w:type="pct"/>
          </w:tcPr>
          <w:p w:rsidR="00AB1989" w:rsidRPr="00AB1989" w:rsidRDefault="00AB1989" w:rsidP="00AB1989">
            <w:pPr>
              <w:jc w:val="center"/>
              <w:cnfStyle w:val="000000100000" w:firstRow="0" w:lastRow="0" w:firstColumn="0" w:lastColumn="0" w:oddVBand="0" w:evenVBand="0" w:oddHBand="1" w:evenHBand="0" w:firstRowFirstColumn="0" w:firstRowLastColumn="0" w:lastRowFirstColumn="0" w:lastRowLastColumn="0"/>
              <w:rPr>
                <w:b/>
              </w:rPr>
            </w:pPr>
            <w:r w:rsidRPr="00AB1989">
              <w:rPr>
                <w:b/>
              </w:rPr>
              <w:t>0.0</w:t>
            </w:r>
          </w:p>
        </w:tc>
        <w:tc>
          <w:tcPr>
            <w:tcW w:w="389" w:type="pct"/>
          </w:tcPr>
          <w:p w:rsidR="00AB1989" w:rsidRPr="00AB1989" w:rsidRDefault="00AB1989" w:rsidP="00AB1989">
            <w:pPr>
              <w:jc w:val="center"/>
              <w:cnfStyle w:val="000000100000" w:firstRow="0" w:lastRow="0" w:firstColumn="0" w:lastColumn="0" w:oddVBand="0" w:evenVBand="0" w:oddHBand="1" w:evenHBand="0" w:firstRowFirstColumn="0" w:firstRowLastColumn="0" w:lastRowFirstColumn="0" w:lastRowLastColumn="0"/>
              <w:rPr>
                <w:b/>
              </w:rPr>
            </w:pPr>
            <w:r w:rsidRPr="00AB1989">
              <w:rPr>
                <w:b/>
              </w:rPr>
              <w:t>3.0</w:t>
            </w:r>
          </w:p>
        </w:tc>
        <w:tc>
          <w:tcPr>
            <w:tcW w:w="389" w:type="pct"/>
          </w:tcPr>
          <w:p w:rsidR="00AB1989" w:rsidRPr="00AB1989" w:rsidRDefault="00AB1989" w:rsidP="00AB1989">
            <w:pPr>
              <w:jc w:val="center"/>
              <w:cnfStyle w:val="000000100000" w:firstRow="0" w:lastRow="0" w:firstColumn="0" w:lastColumn="0" w:oddVBand="0" w:evenVBand="0" w:oddHBand="1" w:evenHBand="0" w:firstRowFirstColumn="0" w:firstRowLastColumn="0" w:lastRowFirstColumn="0" w:lastRowLastColumn="0"/>
              <w:rPr>
                <w:b/>
              </w:rPr>
            </w:pPr>
            <w:r w:rsidRPr="00AB1989">
              <w:rPr>
                <w:b/>
              </w:rPr>
              <w:t>2.9</w:t>
            </w:r>
          </w:p>
        </w:tc>
        <w:tc>
          <w:tcPr>
            <w:tcW w:w="389" w:type="pct"/>
          </w:tcPr>
          <w:p w:rsidR="00AB1989" w:rsidRPr="00AB1989" w:rsidRDefault="00AB1989" w:rsidP="00AB1989">
            <w:pPr>
              <w:jc w:val="center"/>
              <w:cnfStyle w:val="000000100000" w:firstRow="0" w:lastRow="0" w:firstColumn="0" w:lastColumn="0" w:oddVBand="0" w:evenVBand="0" w:oddHBand="1" w:evenHBand="0" w:firstRowFirstColumn="0" w:firstRowLastColumn="0" w:lastRowFirstColumn="0" w:lastRowLastColumn="0"/>
              <w:rPr>
                <w:b/>
              </w:rPr>
            </w:pPr>
            <w:r w:rsidRPr="00AB1989">
              <w:rPr>
                <w:b/>
              </w:rPr>
              <w:t>2.7</w:t>
            </w:r>
          </w:p>
        </w:tc>
        <w:tc>
          <w:tcPr>
            <w:tcW w:w="389" w:type="pct"/>
          </w:tcPr>
          <w:p w:rsidR="00AB1989" w:rsidRPr="00AB1989" w:rsidRDefault="00AB1989" w:rsidP="00AB1989">
            <w:pPr>
              <w:jc w:val="center"/>
              <w:cnfStyle w:val="000000100000" w:firstRow="0" w:lastRow="0" w:firstColumn="0" w:lastColumn="0" w:oddVBand="0" w:evenVBand="0" w:oddHBand="1" w:evenHBand="0" w:firstRowFirstColumn="0" w:firstRowLastColumn="0" w:lastRowFirstColumn="0" w:lastRowLastColumn="0"/>
              <w:rPr>
                <w:b/>
              </w:rPr>
            </w:pPr>
            <w:r w:rsidRPr="00AB1989">
              <w:rPr>
                <w:b/>
              </w:rPr>
              <w:t>2.6</w:t>
            </w:r>
          </w:p>
        </w:tc>
        <w:tc>
          <w:tcPr>
            <w:tcW w:w="389" w:type="pct"/>
          </w:tcPr>
          <w:p w:rsidR="00AB1989" w:rsidRPr="00AB1989" w:rsidRDefault="00AB1989" w:rsidP="00AB1989">
            <w:pPr>
              <w:jc w:val="center"/>
              <w:cnfStyle w:val="000000100000" w:firstRow="0" w:lastRow="0" w:firstColumn="0" w:lastColumn="0" w:oddVBand="0" w:evenVBand="0" w:oddHBand="1" w:evenHBand="0" w:firstRowFirstColumn="0" w:firstRowLastColumn="0" w:lastRowFirstColumn="0" w:lastRowLastColumn="0"/>
              <w:rPr>
                <w:b/>
              </w:rPr>
            </w:pPr>
            <w:r w:rsidRPr="00AB1989">
              <w:rPr>
                <w:b/>
              </w:rPr>
              <w:t>2.5</w:t>
            </w:r>
          </w:p>
        </w:tc>
        <w:tc>
          <w:tcPr>
            <w:tcW w:w="389" w:type="pct"/>
          </w:tcPr>
          <w:p w:rsidR="00AB1989" w:rsidRPr="00AB1989" w:rsidRDefault="00AB1989" w:rsidP="00AB1989">
            <w:pPr>
              <w:jc w:val="center"/>
              <w:cnfStyle w:val="000000100000" w:firstRow="0" w:lastRow="0" w:firstColumn="0" w:lastColumn="0" w:oddVBand="0" w:evenVBand="0" w:oddHBand="1" w:evenHBand="0" w:firstRowFirstColumn="0" w:firstRowLastColumn="0" w:lastRowFirstColumn="0" w:lastRowLastColumn="0"/>
              <w:rPr>
                <w:b/>
              </w:rPr>
            </w:pPr>
            <w:r w:rsidRPr="00AB1989">
              <w:rPr>
                <w:b/>
              </w:rPr>
              <w:t>2.1</w:t>
            </w:r>
          </w:p>
        </w:tc>
      </w:tr>
    </w:tbl>
    <w:p w:rsidR="003C58BB" w:rsidRDefault="003C58BB" w:rsidP="003C58BB">
      <w:pPr>
        <w:pStyle w:val="Source"/>
      </w:pPr>
      <w:r>
        <w:t xml:space="preserve">Source: </w:t>
      </w:r>
      <w:r w:rsidR="006A4F9B">
        <w:t>PBO analysis based on data from the ABS and Treasury</w:t>
      </w:r>
    </w:p>
    <w:p w:rsidR="002636CD" w:rsidRDefault="00E368C7" w:rsidP="0034643D">
      <w:pPr>
        <w:pStyle w:val="BodyText17ptAbove"/>
        <w:rPr>
          <w:b/>
          <w:bCs/>
          <w:color w:val="2B3B5F" w:themeColor="text2"/>
          <w:spacing w:val="-4"/>
          <w:sz w:val="20"/>
        </w:rPr>
      </w:pPr>
      <w:r w:rsidRPr="00BA0FBF">
        <w:t>Table 4-</w:t>
      </w:r>
      <w:r w:rsidR="009F3257">
        <w:t>9</w:t>
      </w:r>
      <w:r w:rsidRPr="00BA0FBF">
        <w:t xml:space="preserve"> </w:t>
      </w:r>
      <w:r w:rsidR="00883C03" w:rsidRPr="00BA0FBF">
        <w:t xml:space="preserve">summarises the distribution of the GST revenue collected under Scenario </w:t>
      </w:r>
      <w:r w:rsidR="00883C03">
        <w:t>3</w:t>
      </w:r>
      <w:r w:rsidR="00883C03" w:rsidRPr="00BA0FBF">
        <w:t xml:space="preserve"> by decile of household disposable income before and after the assumed compensation package. </w:t>
      </w:r>
      <w:r w:rsidR="00883C03">
        <w:t xml:space="preserve"> It shows that if the GST were increased to 15 per cent in 2017-18, the bottom 40 per cent of households would pay an additional $7.9 billion</w:t>
      </w:r>
      <w:r w:rsidR="00883C03" w:rsidRPr="00BA0FBF">
        <w:t xml:space="preserve"> </w:t>
      </w:r>
      <w:r w:rsidR="00883C03">
        <w:t xml:space="preserve">in GST (or 24 per cent of the additional GST revenue), while the top 40 per cent of households would pay an additional $18.4 billion (or 57 per cent </w:t>
      </w:r>
      <w:bookmarkStart w:id="195" w:name="_Toc436664566"/>
      <w:bookmarkStart w:id="196" w:name="_Toc436917813"/>
      <w:r w:rsidR="00FE6DA1">
        <w:t>of the additional GST revenue).</w:t>
      </w:r>
    </w:p>
    <w:p w:rsidR="006E213B" w:rsidRPr="00BA0FBF" w:rsidRDefault="006E213B" w:rsidP="006E213B">
      <w:pPr>
        <w:pStyle w:val="Caption"/>
        <w:rPr>
          <w:sz w:val="20"/>
        </w:rPr>
      </w:pPr>
      <w:bookmarkStart w:id="197" w:name="_Toc437429571"/>
      <w:r w:rsidRPr="00BA0FBF">
        <w:rPr>
          <w:sz w:val="20"/>
        </w:rPr>
        <w:t xml:space="preserve">Table </w:t>
      </w:r>
      <w:r w:rsidR="009F1D24" w:rsidRPr="00BA0FBF">
        <w:rPr>
          <w:sz w:val="20"/>
        </w:rPr>
        <w:fldChar w:fldCharType="begin"/>
      </w:r>
      <w:r w:rsidR="009F1D24" w:rsidRPr="00BA0FBF">
        <w:rPr>
          <w:sz w:val="20"/>
        </w:rPr>
        <w:instrText xml:space="preserve"> STYLEREF 1 \s </w:instrText>
      </w:r>
      <w:r w:rsidR="009F1D24" w:rsidRPr="00BA0FBF">
        <w:rPr>
          <w:sz w:val="20"/>
        </w:rPr>
        <w:fldChar w:fldCharType="separate"/>
      </w:r>
      <w:r w:rsidR="00076CF9">
        <w:rPr>
          <w:noProof/>
          <w:sz w:val="20"/>
        </w:rPr>
        <w:t>4</w:t>
      </w:r>
      <w:r w:rsidR="009F1D24" w:rsidRPr="00BA0FBF">
        <w:rPr>
          <w:noProof/>
          <w:sz w:val="20"/>
        </w:rPr>
        <w:fldChar w:fldCharType="end"/>
      </w:r>
      <w:r w:rsidRPr="00BA0FBF">
        <w:rPr>
          <w:sz w:val="20"/>
        </w:rPr>
        <w:t>–</w:t>
      </w:r>
      <w:r w:rsidR="009F1D24" w:rsidRPr="00BA0FBF">
        <w:rPr>
          <w:sz w:val="20"/>
        </w:rPr>
        <w:fldChar w:fldCharType="begin"/>
      </w:r>
      <w:r w:rsidR="009F1D24" w:rsidRPr="00BA0FBF">
        <w:rPr>
          <w:sz w:val="20"/>
        </w:rPr>
        <w:instrText xml:space="preserve"> SEQ Table \* ARABIC \s 1 </w:instrText>
      </w:r>
      <w:r w:rsidR="009F1D24" w:rsidRPr="00BA0FBF">
        <w:rPr>
          <w:sz w:val="20"/>
        </w:rPr>
        <w:fldChar w:fldCharType="separate"/>
      </w:r>
      <w:r w:rsidR="00076CF9">
        <w:rPr>
          <w:noProof/>
          <w:sz w:val="20"/>
        </w:rPr>
        <w:t>9</w:t>
      </w:r>
      <w:r w:rsidR="009F1D24" w:rsidRPr="00BA0FBF">
        <w:rPr>
          <w:noProof/>
          <w:sz w:val="20"/>
        </w:rPr>
        <w:fldChar w:fldCharType="end"/>
      </w:r>
      <w:r w:rsidRPr="00BA0FBF">
        <w:rPr>
          <w:sz w:val="20"/>
        </w:rPr>
        <w:t>: Net GST revenue: absolute impact</w:t>
      </w:r>
      <w:r w:rsidR="00587687">
        <w:rPr>
          <w:sz w:val="20"/>
        </w:rPr>
        <w:t xml:space="preserve"> of</w:t>
      </w:r>
      <w:r w:rsidRPr="00BA0FBF">
        <w:rPr>
          <w:sz w:val="20"/>
        </w:rPr>
        <w:t xml:space="preserve"> Scenario 3</w:t>
      </w:r>
      <w:bookmarkEnd w:id="195"/>
      <w:r w:rsidR="00111E83">
        <w:rPr>
          <w:sz w:val="20"/>
        </w:rPr>
        <w:t xml:space="preserve"> (15 per cent GST)</w:t>
      </w:r>
      <w:bookmarkEnd w:id="196"/>
      <w:bookmarkEnd w:id="197"/>
    </w:p>
    <w:tbl>
      <w:tblPr>
        <w:tblStyle w:val="TableGrid"/>
        <w:tblW w:w="5202" w:type="pct"/>
        <w:tblLayout w:type="fixed"/>
        <w:tblLook w:val="04A0" w:firstRow="1" w:lastRow="0" w:firstColumn="1" w:lastColumn="0" w:noHBand="0" w:noVBand="1"/>
      </w:tblPr>
      <w:tblGrid>
        <w:gridCol w:w="1424"/>
        <w:gridCol w:w="656"/>
        <w:gridCol w:w="657"/>
        <w:gridCol w:w="657"/>
        <w:gridCol w:w="657"/>
        <w:gridCol w:w="657"/>
        <w:gridCol w:w="656"/>
        <w:gridCol w:w="657"/>
        <w:gridCol w:w="657"/>
        <w:gridCol w:w="657"/>
        <w:gridCol w:w="657"/>
        <w:gridCol w:w="656"/>
      </w:tblGrid>
      <w:tr w:rsidR="00883C03" w:rsidRPr="00BA0FBF" w:rsidTr="0034643D">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823" w:type="pct"/>
          </w:tcPr>
          <w:p w:rsidR="00883C03" w:rsidRPr="00BA0FBF" w:rsidRDefault="00883C03" w:rsidP="009B1030">
            <w:pPr>
              <w:pStyle w:val="TableHeading"/>
            </w:pPr>
            <w:r w:rsidRPr="00BA0FBF">
              <w:t>2017–18</w:t>
            </w:r>
            <w:r>
              <w:t xml:space="preserve"> ($b)</w:t>
            </w:r>
          </w:p>
        </w:tc>
        <w:tc>
          <w:tcPr>
            <w:tcW w:w="379" w:type="pct"/>
          </w:tcPr>
          <w:p w:rsidR="00883C03" w:rsidRPr="00BA0FBF" w:rsidRDefault="00883C03" w:rsidP="00717BC3">
            <w:pPr>
              <w:pStyle w:val="TableHeading"/>
              <w:cnfStyle w:val="100000000000" w:firstRow="1" w:lastRow="0" w:firstColumn="0" w:lastColumn="0" w:oddVBand="0" w:evenVBand="0" w:oddHBand="0" w:evenHBand="0" w:firstRowFirstColumn="0" w:firstRowLastColumn="0" w:lastRowFirstColumn="0" w:lastRowLastColumn="0"/>
            </w:pPr>
            <w:r w:rsidRPr="00BA0FBF">
              <w:t>D1</w:t>
            </w:r>
          </w:p>
        </w:tc>
        <w:tc>
          <w:tcPr>
            <w:tcW w:w="380" w:type="pct"/>
          </w:tcPr>
          <w:p w:rsidR="00883C03" w:rsidRPr="00BA0FBF" w:rsidRDefault="00883C03" w:rsidP="001621E0">
            <w:pPr>
              <w:pStyle w:val="TableHeading"/>
              <w:cnfStyle w:val="100000000000" w:firstRow="1" w:lastRow="0" w:firstColumn="0" w:lastColumn="0" w:oddVBand="0" w:evenVBand="0" w:oddHBand="0" w:evenHBand="0" w:firstRowFirstColumn="0" w:firstRowLastColumn="0" w:lastRowFirstColumn="0" w:lastRowLastColumn="0"/>
            </w:pPr>
            <w:r w:rsidRPr="00BA0FBF">
              <w:t>D2</w:t>
            </w:r>
          </w:p>
        </w:tc>
        <w:tc>
          <w:tcPr>
            <w:tcW w:w="380" w:type="pct"/>
          </w:tcPr>
          <w:p w:rsidR="00883C03" w:rsidRPr="00BA0FBF" w:rsidRDefault="00883C03" w:rsidP="00471585">
            <w:pPr>
              <w:pStyle w:val="TableHeading"/>
              <w:cnfStyle w:val="100000000000" w:firstRow="1" w:lastRow="0" w:firstColumn="0" w:lastColumn="0" w:oddVBand="0" w:evenVBand="0" w:oddHBand="0" w:evenHBand="0" w:firstRowFirstColumn="0" w:firstRowLastColumn="0" w:lastRowFirstColumn="0" w:lastRowLastColumn="0"/>
            </w:pPr>
            <w:r w:rsidRPr="00BA0FBF">
              <w:t>D3</w:t>
            </w:r>
          </w:p>
        </w:tc>
        <w:tc>
          <w:tcPr>
            <w:tcW w:w="380" w:type="pct"/>
          </w:tcPr>
          <w:p w:rsidR="00883C03" w:rsidRPr="00BA0FBF" w:rsidRDefault="00883C03">
            <w:pPr>
              <w:pStyle w:val="TableHeading"/>
              <w:cnfStyle w:val="100000000000" w:firstRow="1" w:lastRow="0" w:firstColumn="0" w:lastColumn="0" w:oddVBand="0" w:evenVBand="0" w:oddHBand="0" w:evenHBand="0" w:firstRowFirstColumn="0" w:firstRowLastColumn="0" w:lastRowFirstColumn="0" w:lastRowLastColumn="0"/>
            </w:pPr>
            <w:r w:rsidRPr="00BA0FBF">
              <w:t>D4</w:t>
            </w:r>
          </w:p>
        </w:tc>
        <w:tc>
          <w:tcPr>
            <w:tcW w:w="380" w:type="pct"/>
          </w:tcPr>
          <w:p w:rsidR="00883C03" w:rsidRPr="00BA0FBF" w:rsidRDefault="00883C03">
            <w:pPr>
              <w:pStyle w:val="TableHeading"/>
              <w:cnfStyle w:val="100000000000" w:firstRow="1" w:lastRow="0" w:firstColumn="0" w:lastColumn="0" w:oddVBand="0" w:evenVBand="0" w:oddHBand="0" w:evenHBand="0" w:firstRowFirstColumn="0" w:firstRowLastColumn="0" w:lastRowFirstColumn="0" w:lastRowLastColumn="0"/>
            </w:pPr>
            <w:r w:rsidRPr="00BA0FBF">
              <w:t>D5</w:t>
            </w:r>
          </w:p>
        </w:tc>
        <w:tc>
          <w:tcPr>
            <w:tcW w:w="379" w:type="pct"/>
          </w:tcPr>
          <w:p w:rsidR="00883C03" w:rsidRPr="00BA0FBF" w:rsidRDefault="00883C03">
            <w:pPr>
              <w:pStyle w:val="TableHeading"/>
              <w:cnfStyle w:val="100000000000" w:firstRow="1" w:lastRow="0" w:firstColumn="0" w:lastColumn="0" w:oddVBand="0" w:evenVBand="0" w:oddHBand="0" w:evenHBand="0" w:firstRowFirstColumn="0" w:firstRowLastColumn="0" w:lastRowFirstColumn="0" w:lastRowLastColumn="0"/>
            </w:pPr>
            <w:r w:rsidRPr="00BA0FBF">
              <w:t>D6</w:t>
            </w:r>
          </w:p>
        </w:tc>
        <w:tc>
          <w:tcPr>
            <w:tcW w:w="380" w:type="pct"/>
          </w:tcPr>
          <w:p w:rsidR="00883C03" w:rsidRPr="00BA0FBF" w:rsidRDefault="00883C03">
            <w:pPr>
              <w:pStyle w:val="TableHeading"/>
              <w:cnfStyle w:val="100000000000" w:firstRow="1" w:lastRow="0" w:firstColumn="0" w:lastColumn="0" w:oddVBand="0" w:evenVBand="0" w:oddHBand="0" w:evenHBand="0" w:firstRowFirstColumn="0" w:firstRowLastColumn="0" w:lastRowFirstColumn="0" w:lastRowLastColumn="0"/>
            </w:pPr>
            <w:r w:rsidRPr="00BA0FBF">
              <w:t>D7</w:t>
            </w:r>
          </w:p>
        </w:tc>
        <w:tc>
          <w:tcPr>
            <w:tcW w:w="380" w:type="pct"/>
          </w:tcPr>
          <w:p w:rsidR="00883C03" w:rsidRPr="00BA0FBF" w:rsidRDefault="00883C03">
            <w:pPr>
              <w:pStyle w:val="TableHeading"/>
              <w:cnfStyle w:val="100000000000" w:firstRow="1" w:lastRow="0" w:firstColumn="0" w:lastColumn="0" w:oddVBand="0" w:evenVBand="0" w:oddHBand="0" w:evenHBand="0" w:firstRowFirstColumn="0" w:firstRowLastColumn="0" w:lastRowFirstColumn="0" w:lastRowLastColumn="0"/>
            </w:pPr>
            <w:r w:rsidRPr="00BA0FBF">
              <w:t>D8</w:t>
            </w:r>
          </w:p>
        </w:tc>
        <w:tc>
          <w:tcPr>
            <w:tcW w:w="380" w:type="pct"/>
          </w:tcPr>
          <w:p w:rsidR="00883C03" w:rsidRPr="00BA0FBF" w:rsidRDefault="00883C03">
            <w:pPr>
              <w:pStyle w:val="TableHeading"/>
              <w:cnfStyle w:val="100000000000" w:firstRow="1" w:lastRow="0" w:firstColumn="0" w:lastColumn="0" w:oddVBand="0" w:evenVBand="0" w:oddHBand="0" w:evenHBand="0" w:firstRowFirstColumn="0" w:firstRowLastColumn="0" w:lastRowFirstColumn="0" w:lastRowLastColumn="0"/>
            </w:pPr>
            <w:r w:rsidRPr="00BA0FBF">
              <w:t>D9</w:t>
            </w:r>
          </w:p>
        </w:tc>
        <w:tc>
          <w:tcPr>
            <w:tcW w:w="380" w:type="pct"/>
          </w:tcPr>
          <w:p w:rsidR="00883C03" w:rsidRPr="00BA0FBF" w:rsidRDefault="00883C03">
            <w:pPr>
              <w:pStyle w:val="TableHeading"/>
              <w:cnfStyle w:val="100000000000" w:firstRow="1" w:lastRow="0" w:firstColumn="0" w:lastColumn="0" w:oddVBand="0" w:evenVBand="0" w:oddHBand="0" w:evenHBand="0" w:firstRowFirstColumn="0" w:firstRowLastColumn="0" w:lastRowFirstColumn="0" w:lastRowLastColumn="0"/>
            </w:pPr>
            <w:r w:rsidRPr="00BA0FBF">
              <w:t>D10</w:t>
            </w:r>
          </w:p>
        </w:tc>
        <w:tc>
          <w:tcPr>
            <w:tcW w:w="380" w:type="pct"/>
          </w:tcPr>
          <w:p w:rsidR="00883C03" w:rsidRPr="00BA0FBF" w:rsidRDefault="00883C03">
            <w:pPr>
              <w:pStyle w:val="TableHeading"/>
              <w:cnfStyle w:val="100000000000" w:firstRow="1" w:lastRow="0" w:firstColumn="0" w:lastColumn="0" w:oddVBand="0" w:evenVBand="0" w:oddHBand="0" w:evenHBand="0" w:firstRowFirstColumn="0" w:firstRowLastColumn="0" w:lastRowFirstColumn="0" w:lastRowLastColumn="0"/>
            </w:pPr>
            <w:r>
              <w:t>Total</w:t>
            </w:r>
          </w:p>
        </w:tc>
      </w:tr>
      <w:tr w:rsidR="00883C03" w:rsidRPr="00BA0FBF" w:rsidTr="0034643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23" w:type="pct"/>
          </w:tcPr>
          <w:p w:rsidR="00883C03" w:rsidRPr="009B1030" w:rsidRDefault="00883C03" w:rsidP="009B1030">
            <w:pPr>
              <w:pStyle w:val="TableText"/>
            </w:pPr>
            <w:r>
              <w:t xml:space="preserve">Additional </w:t>
            </w:r>
            <w:r w:rsidRPr="009B1030">
              <w:t>GST revenue</w:t>
            </w:r>
          </w:p>
        </w:tc>
        <w:tc>
          <w:tcPr>
            <w:tcW w:w="379" w:type="pct"/>
          </w:tcPr>
          <w:p w:rsidR="00883C03" w:rsidRPr="00414A3D" w:rsidRDefault="00883C03" w:rsidP="0034643D">
            <w:pPr>
              <w:pStyle w:val="TableTextCentred"/>
              <w:cnfStyle w:val="000000100000" w:firstRow="0" w:lastRow="0" w:firstColumn="0" w:lastColumn="0" w:oddVBand="0" w:evenVBand="0" w:oddHBand="1" w:evenHBand="0" w:firstRowFirstColumn="0" w:firstRowLastColumn="0" w:lastRowFirstColumn="0" w:lastRowLastColumn="0"/>
            </w:pPr>
            <w:r w:rsidRPr="00EF1CFA">
              <w:t>1.7</w:t>
            </w:r>
          </w:p>
        </w:tc>
        <w:tc>
          <w:tcPr>
            <w:tcW w:w="380" w:type="pct"/>
          </w:tcPr>
          <w:p w:rsidR="00883C03" w:rsidRPr="00414A3D" w:rsidRDefault="00883C03" w:rsidP="0034643D">
            <w:pPr>
              <w:pStyle w:val="TableTextCentred"/>
              <w:cnfStyle w:val="000000100000" w:firstRow="0" w:lastRow="0" w:firstColumn="0" w:lastColumn="0" w:oddVBand="0" w:evenVBand="0" w:oddHBand="1" w:evenHBand="0" w:firstRowFirstColumn="0" w:firstRowLastColumn="0" w:lastRowFirstColumn="0" w:lastRowLastColumn="0"/>
            </w:pPr>
            <w:r w:rsidRPr="00EF1CFA">
              <w:t>1.6</w:t>
            </w:r>
          </w:p>
        </w:tc>
        <w:tc>
          <w:tcPr>
            <w:tcW w:w="380" w:type="pct"/>
          </w:tcPr>
          <w:p w:rsidR="00883C03" w:rsidRPr="00414A3D" w:rsidRDefault="00883C03" w:rsidP="0034643D">
            <w:pPr>
              <w:pStyle w:val="TableTextCentred"/>
              <w:cnfStyle w:val="000000100000" w:firstRow="0" w:lastRow="0" w:firstColumn="0" w:lastColumn="0" w:oddVBand="0" w:evenVBand="0" w:oddHBand="1" w:evenHBand="0" w:firstRowFirstColumn="0" w:firstRowLastColumn="0" w:lastRowFirstColumn="0" w:lastRowLastColumn="0"/>
            </w:pPr>
            <w:r w:rsidRPr="00EF1CFA">
              <w:t>1.9</w:t>
            </w:r>
          </w:p>
        </w:tc>
        <w:tc>
          <w:tcPr>
            <w:tcW w:w="380" w:type="pct"/>
          </w:tcPr>
          <w:p w:rsidR="00883C03" w:rsidRPr="00414A3D" w:rsidRDefault="00883C03" w:rsidP="0034643D">
            <w:pPr>
              <w:pStyle w:val="TableTextCentred"/>
              <w:cnfStyle w:val="000000100000" w:firstRow="0" w:lastRow="0" w:firstColumn="0" w:lastColumn="0" w:oddVBand="0" w:evenVBand="0" w:oddHBand="1" w:evenHBand="0" w:firstRowFirstColumn="0" w:firstRowLastColumn="0" w:lastRowFirstColumn="0" w:lastRowLastColumn="0"/>
            </w:pPr>
            <w:r w:rsidRPr="00EF1CFA">
              <w:t>2.7</w:t>
            </w:r>
          </w:p>
        </w:tc>
        <w:tc>
          <w:tcPr>
            <w:tcW w:w="380" w:type="pct"/>
          </w:tcPr>
          <w:p w:rsidR="00883C03" w:rsidRPr="00414A3D" w:rsidRDefault="00883C03" w:rsidP="0034643D">
            <w:pPr>
              <w:pStyle w:val="TableTextCentred"/>
              <w:cnfStyle w:val="000000100000" w:firstRow="0" w:lastRow="0" w:firstColumn="0" w:lastColumn="0" w:oddVBand="0" w:evenVBand="0" w:oddHBand="1" w:evenHBand="0" w:firstRowFirstColumn="0" w:firstRowLastColumn="0" w:lastRowFirstColumn="0" w:lastRowLastColumn="0"/>
            </w:pPr>
            <w:r w:rsidRPr="00EF1CFA">
              <w:t>2.9</w:t>
            </w:r>
          </w:p>
        </w:tc>
        <w:tc>
          <w:tcPr>
            <w:tcW w:w="379" w:type="pct"/>
          </w:tcPr>
          <w:p w:rsidR="00883C03" w:rsidRPr="00414A3D" w:rsidRDefault="00883C03" w:rsidP="0034643D">
            <w:pPr>
              <w:pStyle w:val="TableTextCentred"/>
              <w:cnfStyle w:val="000000100000" w:firstRow="0" w:lastRow="0" w:firstColumn="0" w:lastColumn="0" w:oddVBand="0" w:evenVBand="0" w:oddHBand="1" w:evenHBand="0" w:firstRowFirstColumn="0" w:firstRowLastColumn="0" w:lastRowFirstColumn="0" w:lastRowLastColumn="0"/>
            </w:pPr>
            <w:r w:rsidRPr="00EF1CFA">
              <w:t>3.3</w:t>
            </w:r>
          </w:p>
        </w:tc>
        <w:tc>
          <w:tcPr>
            <w:tcW w:w="380" w:type="pct"/>
          </w:tcPr>
          <w:p w:rsidR="00883C03" w:rsidRPr="00414A3D" w:rsidRDefault="00883C03" w:rsidP="0034643D">
            <w:pPr>
              <w:pStyle w:val="TableTextCentred"/>
              <w:cnfStyle w:val="000000100000" w:firstRow="0" w:lastRow="0" w:firstColumn="0" w:lastColumn="0" w:oddVBand="0" w:evenVBand="0" w:oddHBand="1" w:evenHBand="0" w:firstRowFirstColumn="0" w:firstRowLastColumn="0" w:lastRowFirstColumn="0" w:lastRowLastColumn="0"/>
            </w:pPr>
            <w:r w:rsidRPr="00EF1CFA">
              <w:t>3.6</w:t>
            </w:r>
          </w:p>
        </w:tc>
        <w:tc>
          <w:tcPr>
            <w:tcW w:w="380" w:type="pct"/>
          </w:tcPr>
          <w:p w:rsidR="00883C03" w:rsidRPr="00414A3D" w:rsidRDefault="00883C03" w:rsidP="0034643D">
            <w:pPr>
              <w:pStyle w:val="TableTextCentred"/>
              <w:cnfStyle w:val="000000100000" w:firstRow="0" w:lastRow="0" w:firstColumn="0" w:lastColumn="0" w:oddVBand="0" w:evenVBand="0" w:oddHBand="1" w:evenHBand="0" w:firstRowFirstColumn="0" w:firstRowLastColumn="0" w:lastRowFirstColumn="0" w:lastRowLastColumn="0"/>
            </w:pPr>
            <w:r w:rsidRPr="00EF1CFA">
              <w:t>4.0</w:t>
            </w:r>
          </w:p>
        </w:tc>
        <w:tc>
          <w:tcPr>
            <w:tcW w:w="380" w:type="pct"/>
          </w:tcPr>
          <w:p w:rsidR="00883C03" w:rsidRPr="00414A3D" w:rsidRDefault="00883C03" w:rsidP="0034643D">
            <w:pPr>
              <w:pStyle w:val="TableTextCentred"/>
              <w:cnfStyle w:val="000000100000" w:firstRow="0" w:lastRow="0" w:firstColumn="0" w:lastColumn="0" w:oddVBand="0" w:evenVBand="0" w:oddHBand="1" w:evenHBand="0" w:firstRowFirstColumn="0" w:firstRowLastColumn="0" w:lastRowFirstColumn="0" w:lastRowLastColumn="0"/>
            </w:pPr>
            <w:r w:rsidRPr="00EF1CFA">
              <w:t>4.6</w:t>
            </w:r>
          </w:p>
        </w:tc>
        <w:tc>
          <w:tcPr>
            <w:tcW w:w="380" w:type="pct"/>
          </w:tcPr>
          <w:p w:rsidR="00883C03" w:rsidRPr="00414A3D" w:rsidRDefault="00883C03" w:rsidP="0034643D">
            <w:pPr>
              <w:pStyle w:val="TableTextCentred"/>
              <w:cnfStyle w:val="000000100000" w:firstRow="0" w:lastRow="0" w:firstColumn="0" w:lastColumn="0" w:oddVBand="0" w:evenVBand="0" w:oddHBand="1" w:evenHBand="0" w:firstRowFirstColumn="0" w:firstRowLastColumn="0" w:lastRowFirstColumn="0" w:lastRowLastColumn="0"/>
            </w:pPr>
            <w:r w:rsidRPr="00EF1CFA">
              <w:t>6.2</w:t>
            </w:r>
          </w:p>
        </w:tc>
        <w:tc>
          <w:tcPr>
            <w:tcW w:w="380" w:type="pct"/>
          </w:tcPr>
          <w:p w:rsidR="00883C03" w:rsidRPr="00795274" w:rsidRDefault="00883C03" w:rsidP="0034643D">
            <w:pPr>
              <w:pStyle w:val="TableTextCentred"/>
              <w:cnfStyle w:val="000000100000" w:firstRow="0" w:lastRow="0" w:firstColumn="0" w:lastColumn="0" w:oddVBand="0" w:evenVBand="0" w:oddHBand="1" w:evenHBand="0" w:firstRowFirstColumn="0" w:firstRowLastColumn="0" w:lastRowFirstColumn="0" w:lastRowLastColumn="0"/>
            </w:pPr>
            <w:r w:rsidRPr="00EF1CFA">
              <w:t>32.5</w:t>
            </w:r>
          </w:p>
        </w:tc>
      </w:tr>
      <w:tr w:rsidR="00883C03" w:rsidRPr="00BA0FBF" w:rsidTr="0034643D">
        <w:trPr>
          <w:cantSplit/>
        </w:trPr>
        <w:tc>
          <w:tcPr>
            <w:cnfStyle w:val="001000000000" w:firstRow="0" w:lastRow="0" w:firstColumn="1" w:lastColumn="0" w:oddVBand="0" w:evenVBand="0" w:oddHBand="0" w:evenHBand="0" w:firstRowFirstColumn="0" w:firstRowLastColumn="0" w:lastRowFirstColumn="0" w:lastRowLastColumn="0"/>
            <w:tcW w:w="823" w:type="pct"/>
          </w:tcPr>
          <w:p w:rsidR="00883C03" w:rsidRPr="009B1030" w:rsidRDefault="00883C03" w:rsidP="009B1030">
            <w:pPr>
              <w:pStyle w:val="TableText"/>
            </w:pPr>
            <w:r w:rsidRPr="009B1030">
              <w:t>Compensation</w:t>
            </w:r>
          </w:p>
        </w:tc>
        <w:tc>
          <w:tcPr>
            <w:tcW w:w="379" w:type="pct"/>
          </w:tcPr>
          <w:p w:rsidR="00883C03" w:rsidRPr="00414A3D" w:rsidRDefault="00883C03" w:rsidP="0034643D">
            <w:pPr>
              <w:pStyle w:val="TableTextCentred"/>
              <w:cnfStyle w:val="000000000000" w:firstRow="0" w:lastRow="0" w:firstColumn="0" w:lastColumn="0" w:oddVBand="0" w:evenVBand="0" w:oddHBand="0" w:evenHBand="0" w:firstRowFirstColumn="0" w:firstRowLastColumn="0" w:lastRowFirstColumn="0" w:lastRowLastColumn="0"/>
            </w:pPr>
            <w:r w:rsidRPr="00EF1CFA">
              <w:t>1.7</w:t>
            </w:r>
          </w:p>
        </w:tc>
        <w:tc>
          <w:tcPr>
            <w:tcW w:w="380" w:type="pct"/>
          </w:tcPr>
          <w:p w:rsidR="00883C03" w:rsidRPr="00414A3D" w:rsidRDefault="00883C03" w:rsidP="0034643D">
            <w:pPr>
              <w:pStyle w:val="TableTextCentred"/>
              <w:cnfStyle w:val="000000000000" w:firstRow="0" w:lastRow="0" w:firstColumn="0" w:lastColumn="0" w:oddVBand="0" w:evenVBand="0" w:oddHBand="0" w:evenHBand="0" w:firstRowFirstColumn="0" w:firstRowLastColumn="0" w:lastRowFirstColumn="0" w:lastRowLastColumn="0"/>
            </w:pPr>
            <w:r w:rsidRPr="00EF1CFA">
              <w:t>1.6</w:t>
            </w:r>
          </w:p>
        </w:tc>
        <w:tc>
          <w:tcPr>
            <w:tcW w:w="380" w:type="pct"/>
          </w:tcPr>
          <w:p w:rsidR="00883C03" w:rsidRPr="00414A3D" w:rsidRDefault="00883C03" w:rsidP="0034643D">
            <w:pPr>
              <w:pStyle w:val="TableTextCentred"/>
              <w:cnfStyle w:val="000000000000" w:firstRow="0" w:lastRow="0" w:firstColumn="0" w:lastColumn="0" w:oddVBand="0" w:evenVBand="0" w:oddHBand="0" w:evenHBand="0" w:firstRowFirstColumn="0" w:firstRowLastColumn="0" w:lastRowFirstColumn="0" w:lastRowLastColumn="0"/>
            </w:pPr>
            <w:r w:rsidRPr="00EF1CFA">
              <w:t>1.9</w:t>
            </w:r>
          </w:p>
        </w:tc>
        <w:tc>
          <w:tcPr>
            <w:tcW w:w="380" w:type="pct"/>
          </w:tcPr>
          <w:p w:rsidR="00883C03" w:rsidRPr="00414A3D" w:rsidRDefault="00883C03" w:rsidP="0034643D">
            <w:pPr>
              <w:pStyle w:val="TableTextCentred"/>
              <w:cnfStyle w:val="000000000000" w:firstRow="0" w:lastRow="0" w:firstColumn="0" w:lastColumn="0" w:oddVBand="0" w:evenVBand="0" w:oddHBand="0" w:evenHBand="0" w:firstRowFirstColumn="0" w:firstRowLastColumn="0" w:lastRowFirstColumn="0" w:lastRowLastColumn="0"/>
            </w:pPr>
            <w:r w:rsidRPr="00EF1CFA">
              <w:t>2.7</w:t>
            </w:r>
          </w:p>
        </w:tc>
        <w:tc>
          <w:tcPr>
            <w:tcW w:w="380" w:type="pct"/>
          </w:tcPr>
          <w:p w:rsidR="00883C03" w:rsidRPr="00414A3D" w:rsidRDefault="00883C03" w:rsidP="0034643D">
            <w:pPr>
              <w:pStyle w:val="TableTextCentred"/>
              <w:cnfStyle w:val="000000000000" w:firstRow="0" w:lastRow="0" w:firstColumn="0" w:lastColumn="0" w:oddVBand="0" w:evenVBand="0" w:oddHBand="0" w:evenHBand="0" w:firstRowFirstColumn="0" w:firstRowLastColumn="0" w:lastRowFirstColumn="0" w:lastRowLastColumn="0"/>
            </w:pPr>
            <w:r w:rsidRPr="00EF1CFA">
              <w:t>0.0</w:t>
            </w:r>
          </w:p>
        </w:tc>
        <w:tc>
          <w:tcPr>
            <w:tcW w:w="379" w:type="pct"/>
          </w:tcPr>
          <w:p w:rsidR="00883C03" w:rsidRPr="00414A3D" w:rsidRDefault="00883C03" w:rsidP="0034643D">
            <w:pPr>
              <w:pStyle w:val="TableTextCentred"/>
              <w:cnfStyle w:val="000000000000" w:firstRow="0" w:lastRow="0" w:firstColumn="0" w:lastColumn="0" w:oddVBand="0" w:evenVBand="0" w:oddHBand="0" w:evenHBand="0" w:firstRowFirstColumn="0" w:firstRowLastColumn="0" w:lastRowFirstColumn="0" w:lastRowLastColumn="0"/>
            </w:pPr>
            <w:r w:rsidRPr="00EF1CFA">
              <w:t>0.0</w:t>
            </w:r>
          </w:p>
        </w:tc>
        <w:tc>
          <w:tcPr>
            <w:tcW w:w="380" w:type="pct"/>
          </w:tcPr>
          <w:p w:rsidR="00883C03" w:rsidRPr="00414A3D" w:rsidRDefault="00883C03" w:rsidP="0034643D">
            <w:pPr>
              <w:pStyle w:val="TableTextCentred"/>
              <w:cnfStyle w:val="000000000000" w:firstRow="0" w:lastRow="0" w:firstColumn="0" w:lastColumn="0" w:oddVBand="0" w:evenVBand="0" w:oddHBand="0" w:evenHBand="0" w:firstRowFirstColumn="0" w:firstRowLastColumn="0" w:lastRowFirstColumn="0" w:lastRowLastColumn="0"/>
            </w:pPr>
            <w:r w:rsidRPr="00EF1CFA">
              <w:t>0.0</w:t>
            </w:r>
          </w:p>
        </w:tc>
        <w:tc>
          <w:tcPr>
            <w:tcW w:w="380" w:type="pct"/>
          </w:tcPr>
          <w:p w:rsidR="00883C03" w:rsidRPr="00414A3D" w:rsidRDefault="00883C03" w:rsidP="0034643D">
            <w:pPr>
              <w:pStyle w:val="TableTextCentred"/>
              <w:cnfStyle w:val="000000000000" w:firstRow="0" w:lastRow="0" w:firstColumn="0" w:lastColumn="0" w:oddVBand="0" w:evenVBand="0" w:oddHBand="0" w:evenHBand="0" w:firstRowFirstColumn="0" w:firstRowLastColumn="0" w:lastRowFirstColumn="0" w:lastRowLastColumn="0"/>
            </w:pPr>
            <w:r w:rsidRPr="00EF1CFA">
              <w:t>0.0</w:t>
            </w:r>
          </w:p>
        </w:tc>
        <w:tc>
          <w:tcPr>
            <w:tcW w:w="380" w:type="pct"/>
          </w:tcPr>
          <w:p w:rsidR="00883C03" w:rsidRPr="00414A3D" w:rsidRDefault="00883C03" w:rsidP="0034643D">
            <w:pPr>
              <w:pStyle w:val="TableTextCentred"/>
              <w:cnfStyle w:val="000000000000" w:firstRow="0" w:lastRow="0" w:firstColumn="0" w:lastColumn="0" w:oddVBand="0" w:evenVBand="0" w:oddHBand="0" w:evenHBand="0" w:firstRowFirstColumn="0" w:firstRowLastColumn="0" w:lastRowFirstColumn="0" w:lastRowLastColumn="0"/>
            </w:pPr>
            <w:r w:rsidRPr="00EF1CFA">
              <w:t>0.0</w:t>
            </w:r>
          </w:p>
        </w:tc>
        <w:tc>
          <w:tcPr>
            <w:tcW w:w="380" w:type="pct"/>
          </w:tcPr>
          <w:p w:rsidR="00883C03" w:rsidRPr="00414A3D" w:rsidRDefault="00883C03" w:rsidP="0034643D">
            <w:pPr>
              <w:pStyle w:val="TableTextCentred"/>
              <w:cnfStyle w:val="000000000000" w:firstRow="0" w:lastRow="0" w:firstColumn="0" w:lastColumn="0" w:oddVBand="0" w:evenVBand="0" w:oddHBand="0" w:evenHBand="0" w:firstRowFirstColumn="0" w:firstRowLastColumn="0" w:lastRowFirstColumn="0" w:lastRowLastColumn="0"/>
            </w:pPr>
            <w:r w:rsidRPr="00EF1CFA">
              <w:t>0.0</w:t>
            </w:r>
          </w:p>
        </w:tc>
        <w:tc>
          <w:tcPr>
            <w:tcW w:w="380" w:type="pct"/>
          </w:tcPr>
          <w:p w:rsidR="00883C03" w:rsidRPr="00795274" w:rsidRDefault="00883C03" w:rsidP="0034643D">
            <w:pPr>
              <w:pStyle w:val="TableTextCentred"/>
              <w:cnfStyle w:val="000000000000" w:firstRow="0" w:lastRow="0" w:firstColumn="0" w:lastColumn="0" w:oddVBand="0" w:evenVBand="0" w:oddHBand="0" w:evenHBand="0" w:firstRowFirstColumn="0" w:firstRowLastColumn="0" w:lastRowFirstColumn="0" w:lastRowLastColumn="0"/>
            </w:pPr>
            <w:r w:rsidRPr="00EF1CFA">
              <w:t>7.9</w:t>
            </w:r>
          </w:p>
        </w:tc>
      </w:tr>
      <w:tr w:rsidR="00883C03" w:rsidRPr="00BA0FBF" w:rsidTr="0034643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23" w:type="pct"/>
          </w:tcPr>
          <w:p w:rsidR="00883C03" w:rsidRPr="009B1030" w:rsidRDefault="00883C03" w:rsidP="009B1030">
            <w:pPr>
              <w:pStyle w:val="TableText"/>
              <w:rPr>
                <w:b/>
              </w:rPr>
            </w:pPr>
            <w:r w:rsidRPr="009B1030">
              <w:rPr>
                <w:b/>
              </w:rPr>
              <w:t>Net</w:t>
            </w:r>
            <w:r>
              <w:rPr>
                <w:b/>
              </w:rPr>
              <w:t xml:space="preserve"> additional</w:t>
            </w:r>
            <w:r w:rsidRPr="009B1030">
              <w:rPr>
                <w:b/>
              </w:rPr>
              <w:t xml:space="preserve"> GST revenue </w:t>
            </w:r>
          </w:p>
        </w:tc>
        <w:tc>
          <w:tcPr>
            <w:tcW w:w="379" w:type="pct"/>
          </w:tcPr>
          <w:p w:rsidR="00883C03" w:rsidRPr="00883C03" w:rsidRDefault="00883C03" w:rsidP="0034643D">
            <w:pPr>
              <w:pStyle w:val="TableTextCentred"/>
              <w:cnfStyle w:val="000000100000" w:firstRow="0" w:lastRow="0" w:firstColumn="0" w:lastColumn="0" w:oddVBand="0" w:evenVBand="0" w:oddHBand="1" w:evenHBand="0" w:firstRowFirstColumn="0" w:firstRowLastColumn="0" w:lastRowFirstColumn="0" w:lastRowLastColumn="0"/>
              <w:rPr>
                <w:b/>
              </w:rPr>
            </w:pPr>
            <w:r w:rsidRPr="0034643D">
              <w:rPr>
                <w:b/>
              </w:rPr>
              <w:t>0.0</w:t>
            </w:r>
          </w:p>
        </w:tc>
        <w:tc>
          <w:tcPr>
            <w:tcW w:w="380" w:type="pct"/>
          </w:tcPr>
          <w:p w:rsidR="00883C03" w:rsidRPr="00883C03" w:rsidRDefault="00883C03" w:rsidP="0034643D">
            <w:pPr>
              <w:pStyle w:val="TableTextCentred"/>
              <w:cnfStyle w:val="000000100000" w:firstRow="0" w:lastRow="0" w:firstColumn="0" w:lastColumn="0" w:oddVBand="0" w:evenVBand="0" w:oddHBand="1" w:evenHBand="0" w:firstRowFirstColumn="0" w:firstRowLastColumn="0" w:lastRowFirstColumn="0" w:lastRowLastColumn="0"/>
              <w:rPr>
                <w:b/>
              </w:rPr>
            </w:pPr>
            <w:r w:rsidRPr="0034643D">
              <w:rPr>
                <w:b/>
              </w:rPr>
              <w:t>0.0</w:t>
            </w:r>
          </w:p>
        </w:tc>
        <w:tc>
          <w:tcPr>
            <w:tcW w:w="380" w:type="pct"/>
          </w:tcPr>
          <w:p w:rsidR="00883C03" w:rsidRPr="00883C03" w:rsidRDefault="00883C03" w:rsidP="0034643D">
            <w:pPr>
              <w:pStyle w:val="TableTextCentred"/>
              <w:cnfStyle w:val="000000100000" w:firstRow="0" w:lastRow="0" w:firstColumn="0" w:lastColumn="0" w:oddVBand="0" w:evenVBand="0" w:oddHBand="1" w:evenHBand="0" w:firstRowFirstColumn="0" w:firstRowLastColumn="0" w:lastRowFirstColumn="0" w:lastRowLastColumn="0"/>
              <w:rPr>
                <w:b/>
              </w:rPr>
            </w:pPr>
            <w:r w:rsidRPr="0034643D">
              <w:rPr>
                <w:b/>
              </w:rPr>
              <w:t>0.0</w:t>
            </w:r>
          </w:p>
        </w:tc>
        <w:tc>
          <w:tcPr>
            <w:tcW w:w="380" w:type="pct"/>
          </w:tcPr>
          <w:p w:rsidR="00883C03" w:rsidRPr="00883C03" w:rsidRDefault="00883C03" w:rsidP="0034643D">
            <w:pPr>
              <w:pStyle w:val="TableTextCentred"/>
              <w:cnfStyle w:val="000000100000" w:firstRow="0" w:lastRow="0" w:firstColumn="0" w:lastColumn="0" w:oddVBand="0" w:evenVBand="0" w:oddHBand="1" w:evenHBand="0" w:firstRowFirstColumn="0" w:firstRowLastColumn="0" w:lastRowFirstColumn="0" w:lastRowLastColumn="0"/>
              <w:rPr>
                <w:b/>
              </w:rPr>
            </w:pPr>
            <w:r w:rsidRPr="0034643D">
              <w:rPr>
                <w:b/>
              </w:rPr>
              <w:t>0.0</w:t>
            </w:r>
          </w:p>
        </w:tc>
        <w:tc>
          <w:tcPr>
            <w:tcW w:w="380" w:type="pct"/>
          </w:tcPr>
          <w:p w:rsidR="00883C03" w:rsidRPr="00883C03" w:rsidRDefault="00883C03" w:rsidP="0034643D">
            <w:pPr>
              <w:pStyle w:val="TableTextCentred"/>
              <w:cnfStyle w:val="000000100000" w:firstRow="0" w:lastRow="0" w:firstColumn="0" w:lastColumn="0" w:oddVBand="0" w:evenVBand="0" w:oddHBand="1" w:evenHBand="0" w:firstRowFirstColumn="0" w:firstRowLastColumn="0" w:lastRowFirstColumn="0" w:lastRowLastColumn="0"/>
              <w:rPr>
                <w:b/>
              </w:rPr>
            </w:pPr>
            <w:r w:rsidRPr="0034643D">
              <w:rPr>
                <w:b/>
              </w:rPr>
              <w:t>2.9</w:t>
            </w:r>
          </w:p>
        </w:tc>
        <w:tc>
          <w:tcPr>
            <w:tcW w:w="379" w:type="pct"/>
          </w:tcPr>
          <w:p w:rsidR="00883C03" w:rsidRPr="00883C03" w:rsidRDefault="00883C03" w:rsidP="0034643D">
            <w:pPr>
              <w:pStyle w:val="TableTextCentred"/>
              <w:cnfStyle w:val="000000100000" w:firstRow="0" w:lastRow="0" w:firstColumn="0" w:lastColumn="0" w:oddVBand="0" w:evenVBand="0" w:oddHBand="1" w:evenHBand="0" w:firstRowFirstColumn="0" w:firstRowLastColumn="0" w:lastRowFirstColumn="0" w:lastRowLastColumn="0"/>
              <w:rPr>
                <w:b/>
              </w:rPr>
            </w:pPr>
            <w:r w:rsidRPr="0034643D">
              <w:rPr>
                <w:b/>
              </w:rPr>
              <w:t>3.3</w:t>
            </w:r>
          </w:p>
        </w:tc>
        <w:tc>
          <w:tcPr>
            <w:tcW w:w="380" w:type="pct"/>
          </w:tcPr>
          <w:p w:rsidR="00883C03" w:rsidRPr="00883C03" w:rsidRDefault="00883C03" w:rsidP="0034643D">
            <w:pPr>
              <w:pStyle w:val="TableTextCentred"/>
              <w:cnfStyle w:val="000000100000" w:firstRow="0" w:lastRow="0" w:firstColumn="0" w:lastColumn="0" w:oddVBand="0" w:evenVBand="0" w:oddHBand="1" w:evenHBand="0" w:firstRowFirstColumn="0" w:firstRowLastColumn="0" w:lastRowFirstColumn="0" w:lastRowLastColumn="0"/>
              <w:rPr>
                <w:b/>
              </w:rPr>
            </w:pPr>
            <w:r w:rsidRPr="0034643D">
              <w:rPr>
                <w:b/>
              </w:rPr>
              <w:t>3.6</w:t>
            </w:r>
          </w:p>
        </w:tc>
        <w:tc>
          <w:tcPr>
            <w:tcW w:w="380" w:type="pct"/>
          </w:tcPr>
          <w:p w:rsidR="00883C03" w:rsidRPr="00883C03" w:rsidRDefault="00883C03" w:rsidP="0034643D">
            <w:pPr>
              <w:pStyle w:val="TableTextCentred"/>
              <w:cnfStyle w:val="000000100000" w:firstRow="0" w:lastRow="0" w:firstColumn="0" w:lastColumn="0" w:oddVBand="0" w:evenVBand="0" w:oddHBand="1" w:evenHBand="0" w:firstRowFirstColumn="0" w:firstRowLastColumn="0" w:lastRowFirstColumn="0" w:lastRowLastColumn="0"/>
              <w:rPr>
                <w:b/>
              </w:rPr>
            </w:pPr>
            <w:r w:rsidRPr="0034643D">
              <w:rPr>
                <w:b/>
              </w:rPr>
              <w:t>4.0</w:t>
            </w:r>
          </w:p>
        </w:tc>
        <w:tc>
          <w:tcPr>
            <w:tcW w:w="380" w:type="pct"/>
          </w:tcPr>
          <w:p w:rsidR="00883C03" w:rsidRPr="00883C03" w:rsidRDefault="00883C03" w:rsidP="0034643D">
            <w:pPr>
              <w:pStyle w:val="TableTextCentred"/>
              <w:cnfStyle w:val="000000100000" w:firstRow="0" w:lastRow="0" w:firstColumn="0" w:lastColumn="0" w:oddVBand="0" w:evenVBand="0" w:oddHBand="1" w:evenHBand="0" w:firstRowFirstColumn="0" w:firstRowLastColumn="0" w:lastRowFirstColumn="0" w:lastRowLastColumn="0"/>
              <w:rPr>
                <w:b/>
              </w:rPr>
            </w:pPr>
            <w:r w:rsidRPr="0034643D">
              <w:rPr>
                <w:b/>
              </w:rPr>
              <w:t>4.6</w:t>
            </w:r>
          </w:p>
        </w:tc>
        <w:tc>
          <w:tcPr>
            <w:tcW w:w="380" w:type="pct"/>
          </w:tcPr>
          <w:p w:rsidR="00883C03" w:rsidRPr="00883C03" w:rsidRDefault="00883C03" w:rsidP="0034643D">
            <w:pPr>
              <w:pStyle w:val="TableTextCentred"/>
              <w:cnfStyle w:val="000000100000" w:firstRow="0" w:lastRow="0" w:firstColumn="0" w:lastColumn="0" w:oddVBand="0" w:evenVBand="0" w:oddHBand="1" w:evenHBand="0" w:firstRowFirstColumn="0" w:firstRowLastColumn="0" w:lastRowFirstColumn="0" w:lastRowLastColumn="0"/>
              <w:rPr>
                <w:b/>
              </w:rPr>
            </w:pPr>
            <w:r w:rsidRPr="0034643D">
              <w:rPr>
                <w:b/>
              </w:rPr>
              <w:t>6.2</w:t>
            </w:r>
          </w:p>
        </w:tc>
        <w:tc>
          <w:tcPr>
            <w:tcW w:w="380" w:type="pct"/>
          </w:tcPr>
          <w:p w:rsidR="00883C03" w:rsidRPr="00883C03" w:rsidRDefault="00883C03" w:rsidP="0034643D">
            <w:pPr>
              <w:pStyle w:val="TableTextCentred"/>
              <w:cnfStyle w:val="000000100000" w:firstRow="0" w:lastRow="0" w:firstColumn="0" w:lastColumn="0" w:oddVBand="0" w:evenVBand="0" w:oddHBand="1" w:evenHBand="0" w:firstRowFirstColumn="0" w:firstRowLastColumn="0" w:lastRowFirstColumn="0" w:lastRowLastColumn="0"/>
              <w:rPr>
                <w:b/>
              </w:rPr>
            </w:pPr>
            <w:r w:rsidRPr="0034643D">
              <w:rPr>
                <w:b/>
              </w:rPr>
              <w:t>24.6</w:t>
            </w:r>
          </w:p>
        </w:tc>
      </w:tr>
    </w:tbl>
    <w:p w:rsidR="003C58BB" w:rsidRDefault="003C58BB" w:rsidP="003C58BB">
      <w:pPr>
        <w:pStyle w:val="Source"/>
      </w:pPr>
      <w:bookmarkStart w:id="198" w:name="_Toc436400345"/>
      <w:r>
        <w:t xml:space="preserve">Source: </w:t>
      </w:r>
      <w:r w:rsidR="006A4F9B">
        <w:t>PBO analysis based on data from the ABS and Treasury</w:t>
      </w:r>
    </w:p>
    <w:p w:rsidR="002F78A1" w:rsidRPr="00BA0FBF" w:rsidRDefault="002F78A1" w:rsidP="002F78A1">
      <w:pPr>
        <w:pStyle w:val="Heading2"/>
        <w:rPr>
          <w:sz w:val="28"/>
        </w:rPr>
      </w:pPr>
      <w:bookmarkStart w:id="199" w:name="_Toc437429855"/>
      <w:r w:rsidRPr="00BA0FBF">
        <w:rPr>
          <w:sz w:val="28"/>
        </w:rPr>
        <w:t>Scenario 4: 15 per cent</w:t>
      </w:r>
      <w:r w:rsidR="009F3257">
        <w:rPr>
          <w:sz w:val="28"/>
        </w:rPr>
        <w:t xml:space="preserve"> GST</w:t>
      </w:r>
      <w:r w:rsidRPr="00BA0FBF">
        <w:rPr>
          <w:sz w:val="28"/>
        </w:rPr>
        <w:t xml:space="preserve">; basic food </w:t>
      </w:r>
      <w:r w:rsidR="003A1E75" w:rsidRPr="00BA0FBF">
        <w:rPr>
          <w:sz w:val="28"/>
        </w:rPr>
        <w:t>subject to GST</w:t>
      </w:r>
      <w:bookmarkEnd w:id="198"/>
      <w:bookmarkEnd w:id="199"/>
    </w:p>
    <w:p w:rsidR="002F78A1" w:rsidRPr="00BA0FBF" w:rsidRDefault="002F78A1" w:rsidP="002F78A1">
      <w:pPr>
        <w:pStyle w:val="Heading3"/>
        <w:rPr>
          <w:sz w:val="24"/>
        </w:rPr>
      </w:pPr>
      <w:bookmarkStart w:id="200" w:name="_Toc435093679"/>
      <w:bookmarkStart w:id="201" w:name="_Toc435633005"/>
      <w:bookmarkStart w:id="202" w:name="_Toc436400346"/>
      <w:r w:rsidRPr="00BA0FBF">
        <w:rPr>
          <w:sz w:val="24"/>
        </w:rPr>
        <w:t xml:space="preserve">Revenue impact of Scenario </w:t>
      </w:r>
      <w:bookmarkEnd w:id="200"/>
      <w:r w:rsidRPr="00BA0FBF">
        <w:rPr>
          <w:sz w:val="24"/>
        </w:rPr>
        <w:t>4</w:t>
      </w:r>
      <w:bookmarkEnd w:id="201"/>
      <w:bookmarkEnd w:id="202"/>
    </w:p>
    <w:p w:rsidR="00471585" w:rsidRDefault="00471585" w:rsidP="00471585">
      <w:pPr>
        <w:pStyle w:val="BodyText17ptAbove"/>
      </w:pPr>
      <w:r w:rsidRPr="00BA0FBF">
        <w:t>Increasing the GST to 15 per cent and removing the GST</w:t>
      </w:r>
      <w:r w:rsidRPr="00BA0FBF">
        <w:noBreakHyphen/>
        <w:t>free status of basic food would increase GST revenue (net of the assumed compensation package) by $31.</w:t>
      </w:r>
      <w:r>
        <w:t>4</w:t>
      </w:r>
      <w:r w:rsidRPr="00BA0FBF">
        <w:t> billion (1.</w:t>
      </w:r>
      <w:r>
        <w:t>7</w:t>
      </w:r>
      <w:r w:rsidR="0034643D">
        <w:t> per cent of GDP) in 2017–18 (</w:t>
      </w:r>
      <w:r w:rsidR="0034643D" w:rsidRPr="00BA0FBF">
        <w:fldChar w:fldCharType="begin"/>
      </w:r>
      <w:r w:rsidR="0034643D" w:rsidRPr="00BA0FBF">
        <w:instrText xml:space="preserve"> REF _Ref436655142 \h </w:instrText>
      </w:r>
      <w:r w:rsidR="0034643D">
        <w:instrText xml:space="preserve"> \* MERGEFORMAT </w:instrText>
      </w:r>
      <w:r w:rsidR="0034643D" w:rsidRPr="00BA0FBF">
        <w:fldChar w:fldCharType="separate"/>
      </w:r>
      <w:r w:rsidR="00076CF9" w:rsidRPr="00076CF9">
        <w:t>Table 4–4</w:t>
      </w:r>
      <w:r w:rsidR="0034643D" w:rsidRPr="00BA0FBF">
        <w:fldChar w:fldCharType="end"/>
      </w:r>
      <w:r w:rsidR="0034643D">
        <w:t>).</w:t>
      </w:r>
    </w:p>
    <w:p w:rsidR="009F1D24" w:rsidRPr="00BA0FBF" w:rsidRDefault="009F1D24" w:rsidP="009F1D24">
      <w:pPr>
        <w:pStyle w:val="Caption"/>
        <w:rPr>
          <w:sz w:val="20"/>
        </w:rPr>
      </w:pPr>
      <w:bookmarkStart w:id="203" w:name="_Ref436657373"/>
      <w:bookmarkStart w:id="204" w:name="_Toc436664567"/>
      <w:bookmarkStart w:id="205" w:name="_Toc436917814"/>
      <w:bookmarkStart w:id="206" w:name="_Toc437429572"/>
      <w:r w:rsidRPr="00BA0FBF">
        <w:rPr>
          <w:sz w:val="20"/>
        </w:rPr>
        <w:t xml:space="preserve">Table </w:t>
      </w:r>
      <w:r w:rsidR="00AC39A2" w:rsidRPr="00BA0FBF">
        <w:rPr>
          <w:sz w:val="20"/>
        </w:rPr>
        <w:fldChar w:fldCharType="begin"/>
      </w:r>
      <w:r w:rsidR="00AC39A2" w:rsidRPr="00BA0FBF">
        <w:rPr>
          <w:sz w:val="20"/>
        </w:rPr>
        <w:instrText xml:space="preserve"> STYLEREF 1 \s </w:instrText>
      </w:r>
      <w:r w:rsidR="00AC39A2" w:rsidRPr="00BA0FBF">
        <w:rPr>
          <w:sz w:val="20"/>
        </w:rPr>
        <w:fldChar w:fldCharType="separate"/>
      </w:r>
      <w:r w:rsidR="00076CF9">
        <w:rPr>
          <w:noProof/>
          <w:sz w:val="20"/>
        </w:rPr>
        <w:t>4</w:t>
      </w:r>
      <w:r w:rsidR="00AC39A2" w:rsidRPr="00BA0FBF">
        <w:rPr>
          <w:noProof/>
          <w:sz w:val="20"/>
        </w:rPr>
        <w:fldChar w:fldCharType="end"/>
      </w:r>
      <w:r w:rsidRPr="00BA0FBF">
        <w:rPr>
          <w:sz w:val="20"/>
        </w:rPr>
        <w:t>–</w:t>
      </w:r>
      <w:r w:rsidR="00AC39A2" w:rsidRPr="00BA0FBF">
        <w:rPr>
          <w:sz w:val="20"/>
        </w:rPr>
        <w:fldChar w:fldCharType="begin"/>
      </w:r>
      <w:r w:rsidR="00AC39A2" w:rsidRPr="00BA0FBF">
        <w:rPr>
          <w:sz w:val="20"/>
        </w:rPr>
        <w:instrText xml:space="preserve"> SEQ Table \* ARABIC \s 1 </w:instrText>
      </w:r>
      <w:r w:rsidR="00AC39A2" w:rsidRPr="00BA0FBF">
        <w:rPr>
          <w:sz w:val="20"/>
        </w:rPr>
        <w:fldChar w:fldCharType="separate"/>
      </w:r>
      <w:r w:rsidR="00076CF9">
        <w:rPr>
          <w:noProof/>
          <w:sz w:val="20"/>
        </w:rPr>
        <w:t>10</w:t>
      </w:r>
      <w:r w:rsidR="00AC39A2" w:rsidRPr="00BA0FBF">
        <w:rPr>
          <w:noProof/>
          <w:sz w:val="20"/>
        </w:rPr>
        <w:fldChar w:fldCharType="end"/>
      </w:r>
      <w:bookmarkEnd w:id="203"/>
      <w:r w:rsidRPr="00BA0FBF">
        <w:rPr>
          <w:sz w:val="20"/>
        </w:rPr>
        <w:t xml:space="preserve">: Revenue impact of Scenario 4 </w:t>
      </w:r>
      <w:r w:rsidR="00111E83">
        <w:rPr>
          <w:sz w:val="20"/>
        </w:rPr>
        <w:t>(</w:t>
      </w:r>
      <w:r w:rsidRPr="00BA0FBF">
        <w:rPr>
          <w:sz w:val="20"/>
        </w:rPr>
        <w:t>15 per cent</w:t>
      </w:r>
      <w:r w:rsidR="009F3257">
        <w:rPr>
          <w:sz w:val="20"/>
        </w:rPr>
        <w:t xml:space="preserve"> GST</w:t>
      </w:r>
      <w:r w:rsidRPr="00BA0FBF">
        <w:rPr>
          <w:sz w:val="20"/>
        </w:rPr>
        <w:t>; basic food subject to GST</w:t>
      </w:r>
      <w:bookmarkEnd w:id="204"/>
      <w:r w:rsidR="00111E83">
        <w:rPr>
          <w:sz w:val="20"/>
        </w:rPr>
        <w:t>)</w:t>
      </w:r>
      <w:bookmarkEnd w:id="205"/>
      <w:bookmarkEnd w:id="206"/>
    </w:p>
    <w:tbl>
      <w:tblPr>
        <w:tblStyle w:val="TableGrid"/>
        <w:tblW w:w="3774" w:type="pct"/>
        <w:tblLook w:val="04A0" w:firstRow="1" w:lastRow="0" w:firstColumn="1" w:lastColumn="0" w:noHBand="0" w:noVBand="1"/>
      </w:tblPr>
      <w:tblGrid>
        <w:gridCol w:w="3641"/>
        <w:gridCol w:w="1275"/>
        <w:gridCol w:w="1358"/>
      </w:tblGrid>
      <w:tr w:rsidR="00E60AB0" w:rsidRPr="00BA0FBF" w:rsidTr="009F1D24">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2902" w:type="pct"/>
            <w:vAlign w:val="center"/>
          </w:tcPr>
          <w:p w:rsidR="00E60AB0" w:rsidRPr="00BA0FBF" w:rsidRDefault="00E60AB0" w:rsidP="00D02DAC">
            <w:pPr>
              <w:pStyle w:val="TableHeading"/>
            </w:pPr>
          </w:p>
        </w:tc>
        <w:tc>
          <w:tcPr>
            <w:tcW w:w="1016" w:type="pct"/>
            <w:vAlign w:val="center"/>
          </w:tcPr>
          <w:p w:rsidR="00E60AB0" w:rsidRPr="00BA0FBF" w:rsidRDefault="00E60AB0" w:rsidP="009B1030">
            <w:pPr>
              <w:pStyle w:val="TableHeading"/>
              <w:cnfStyle w:val="100000000000" w:firstRow="1" w:lastRow="0" w:firstColumn="0" w:lastColumn="0" w:oddVBand="0" w:evenVBand="0" w:oddHBand="0" w:evenHBand="0" w:firstRowFirstColumn="0" w:firstRowLastColumn="0" w:lastRowFirstColumn="0" w:lastRowLastColumn="0"/>
            </w:pPr>
            <w:r w:rsidRPr="00BA0FBF">
              <w:t>2017</w:t>
            </w:r>
            <w:r w:rsidR="009F1D24" w:rsidRPr="00BA0FBF">
              <w:t>–</w:t>
            </w:r>
            <w:r w:rsidRPr="00BA0FBF">
              <w:t>18</w:t>
            </w:r>
            <w:r w:rsidR="00D02DAC">
              <w:t xml:space="preserve"> ($b)</w:t>
            </w:r>
          </w:p>
        </w:tc>
        <w:tc>
          <w:tcPr>
            <w:tcW w:w="1082" w:type="pct"/>
            <w:vAlign w:val="center"/>
          </w:tcPr>
          <w:p w:rsidR="00E60AB0" w:rsidRPr="00BA0FBF" w:rsidRDefault="00E60AB0" w:rsidP="009B1030">
            <w:pPr>
              <w:pStyle w:val="TableHeading"/>
              <w:cnfStyle w:val="100000000000" w:firstRow="1" w:lastRow="0" w:firstColumn="0" w:lastColumn="0" w:oddVBand="0" w:evenVBand="0" w:oddHBand="0" w:evenHBand="0" w:firstRowFirstColumn="0" w:firstRowLastColumn="0" w:lastRowFirstColumn="0" w:lastRowLastColumn="0"/>
            </w:pPr>
            <w:r w:rsidRPr="00BA0FBF">
              <w:t>% of GDP</w:t>
            </w:r>
          </w:p>
        </w:tc>
      </w:tr>
      <w:tr w:rsidR="002636CD" w:rsidRPr="00BA0FBF" w:rsidTr="002636C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02" w:type="pct"/>
          </w:tcPr>
          <w:p w:rsidR="002636CD" w:rsidRPr="00BA0FBF" w:rsidRDefault="00D02DAC" w:rsidP="009B1030">
            <w:pPr>
              <w:pStyle w:val="TableText"/>
            </w:pPr>
            <w:r>
              <w:t xml:space="preserve">Additional </w:t>
            </w:r>
            <w:r w:rsidR="002636CD" w:rsidRPr="00BA0FBF">
              <w:t>GST revenue</w:t>
            </w:r>
            <w:r>
              <w:t xml:space="preserve"> </w:t>
            </w:r>
          </w:p>
        </w:tc>
        <w:tc>
          <w:tcPr>
            <w:tcW w:w="1016" w:type="pct"/>
          </w:tcPr>
          <w:p w:rsidR="002636CD" w:rsidRPr="009E0067" w:rsidRDefault="002636CD" w:rsidP="002636CD">
            <w:pPr>
              <w:jc w:val="center"/>
              <w:cnfStyle w:val="000000100000" w:firstRow="0" w:lastRow="0" w:firstColumn="0" w:lastColumn="0" w:oddVBand="0" w:evenVBand="0" w:oddHBand="1" w:evenHBand="0" w:firstRowFirstColumn="0" w:firstRowLastColumn="0" w:lastRowFirstColumn="0" w:lastRowLastColumn="0"/>
            </w:pPr>
            <w:r w:rsidRPr="009E0067">
              <w:t>42.7</w:t>
            </w:r>
          </w:p>
        </w:tc>
        <w:tc>
          <w:tcPr>
            <w:tcW w:w="1082" w:type="pct"/>
          </w:tcPr>
          <w:p w:rsidR="002636CD" w:rsidRPr="009E0067" w:rsidRDefault="002636CD" w:rsidP="002636CD">
            <w:pPr>
              <w:jc w:val="center"/>
              <w:cnfStyle w:val="000000100000" w:firstRow="0" w:lastRow="0" w:firstColumn="0" w:lastColumn="0" w:oddVBand="0" w:evenVBand="0" w:oddHBand="1" w:evenHBand="0" w:firstRowFirstColumn="0" w:firstRowLastColumn="0" w:lastRowFirstColumn="0" w:lastRowLastColumn="0"/>
            </w:pPr>
            <w:r w:rsidRPr="009E0067">
              <w:t>2.4%</w:t>
            </w:r>
          </w:p>
        </w:tc>
      </w:tr>
      <w:tr w:rsidR="002636CD" w:rsidRPr="00BA0FBF" w:rsidTr="002636CD">
        <w:trPr>
          <w:cantSplit/>
        </w:trPr>
        <w:tc>
          <w:tcPr>
            <w:cnfStyle w:val="001000000000" w:firstRow="0" w:lastRow="0" w:firstColumn="1" w:lastColumn="0" w:oddVBand="0" w:evenVBand="0" w:oddHBand="0" w:evenHBand="0" w:firstRowFirstColumn="0" w:firstRowLastColumn="0" w:lastRowFirstColumn="0" w:lastRowLastColumn="0"/>
            <w:tcW w:w="2902" w:type="pct"/>
          </w:tcPr>
          <w:p w:rsidR="002636CD" w:rsidRPr="00BA0FBF" w:rsidRDefault="002636CD" w:rsidP="009B1030">
            <w:pPr>
              <w:pStyle w:val="TableText"/>
            </w:pPr>
            <w:r>
              <w:t>Compensation: technical a</w:t>
            </w:r>
            <w:r w:rsidRPr="00BA0FBF">
              <w:t>ssumption</w:t>
            </w:r>
          </w:p>
        </w:tc>
        <w:tc>
          <w:tcPr>
            <w:tcW w:w="1016" w:type="pct"/>
          </w:tcPr>
          <w:p w:rsidR="002636CD" w:rsidRPr="009E0067" w:rsidRDefault="002636CD" w:rsidP="002636CD">
            <w:pPr>
              <w:jc w:val="center"/>
              <w:cnfStyle w:val="000000000000" w:firstRow="0" w:lastRow="0" w:firstColumn="0" w:lastColumn="0" w:oddVBand="0" w:evenVBand="0" w:oddHBand="0" w:evenHBand="0" w:firstRowFirstColumn="0" w:firstRowLastColumn="0" w:lastRowFirstColumn="0" w:lastRowLastColumn="0"/>
            </w:pPr>
            <w:r w:rsidRPr="009E0067">
              <w:t>11.3</w:t>
            </w:r>
          </w:p>
        </w:tc>
        <w:tc>
          <w:tcPr>
            <w:tcW w:w="1082" w:type="pct"/>
          </w:tcPr>
          <w:p w:rsidR="002636CD" w:rsidRPr="009E0067" w:rsidRDefault="00AB1989" w:rsidP="002636CD">
            <w:pPr>
              <w:jc w:val="center"/>
              <w:cnfStyle w:val="000000000000" w:firstRow="0" w:lastRow="0" w:firstColumn="0" w:lastColumn="0" w:oddVBand="0" w:evenVBand="0" w:oddHBand="0" w:evenHBand="0" w:firstRowFirstColumn="0" w:firstRowLastColumn="0" w:lastRowFirstColumn="0" w:lastRowLastColumn="0"/>
            </w:pPr>
            <w:r>
              <w:t>0.6%</w:t>
            </w:r>
          </w:p>
        </w:tc>
      </w:tr>
      <w:tr w:rsidR="002636CD" w:rsidRPr="00BA0FBF" w:rsidTr="002636C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02" w:type="pct"/>
          </w:tcPr>
          <w:p w:rsidR="002636CD" w:rsidRPr="002636CD" w:rsidRDefault="002636CD" w:rsidP="009B1030">
            <w:pPr>
              <w:pStyle w:val="TableText"/>
              <w:rPr>
                <w:b/>
              </w:rPr>
            </w:pPr>
            <w:r w:rsidRPr="002636CD">
              <w:rPr>
                <w:b/>
              </w:rPr>
              <w:t>Net</w:t>
            </w:r>
            <w:r w:rsidR="00AC671F">
              <w:rPr>
                <w:b/>
              </w:rPr>
              <w:t xml:space="preserve"> additional</w:t>
            </w:r>
            <w:r w:rsidRPr="002636CD">
              <w:rPr>
                <w:b/>
              </w:rPr>
              <w:t xml:space="preserve"> GST revenue: Scenario 4</w:t>
            </w:r>
          </w:p>
        </w:tc>
        <w:tc>
          <w:tcPr>
            <w:tcW w:w="1016" w:type="pct"/>
          </w:tcPr>
          <w:p w:rsidR="002636CD" w:rsidRPr="002636CD" w:rsidRDefault="002636CD" w:rsidP="002636CD">
            <w:pPr>
              <w:jc w:val="center"/>
              <w:cnfStyle w:val="000000100000" w:firstRow="0" w:lastRow="0" w:firstColumn="0" w:lastColumn="0" w:oddVBand="0" w:evenVBand="0" w:oddHBand="1" w:evenHBand="0" w:firstRowFirstColumn="0" w:firstRowLastColumn="0" w:lastRowFirstColumn="0" w:lastRowLastColumn="0"/>
              <w:rPr>
                <w:b/>
              </w:rPr>
            </w:pPr>
            <w:r w:rsidRPr="002636CD">
              <w:rPr>
                <w:b/>
              </w:rPr>
              <w:t>31.4</w:t>
            </w:r>
          </w:p>
        </w:tc>
        <w:tc>
          <w:tcPr>
            <w:tcW w:w="1082" w:type="pct"/>
          </w:tcPr>
          <w:p w:rsidR="002636CD" w:rsidRPr="002636CD" w:rsidRDefault="002636CD" w:rsidP="002636CD">
            <w:pPr>
              <w:jc w:val="center"/>
              <w:cnfStyle w:val="000000100000" w:firstRow="0" w:lastRow="0" w:firstColumn="0" w:lastColumn="0" w:oddVBand="0" w:evenVBand="0" w:oddHBand="1" w:evenHBand="0" w:firstRowFirstColumn="0" w:firstRowLastColumn="0" w:lastRowFirstColumn="0" w:lastRowLastColumn="0"/>
              <w:rPr>
                <w:b/>
              </w:rPr>
            </w:pPr>
            <w:r w:rsidRPr="002636CD">
              <w:rPr>
                <w:b/>
              </w:rPr>
              <w:t>1.7%</w:t>
            </w:r>
          </w:p>
        </w:tc>
      </w:tr>
    </w:tbl>
    <w:p w:rsidR="003C58BB" w:rsidRDefault="003C58BB" w:rsidP="003C58BB">
      <w:pPr>
        <w:pStyle w:val="Source"/>
      </w:pPr>
      <w:r>
        <w:t xml:space="preserve">Source: </w:t>
      </w:r>
      <w:r w:rsidR="006A4F9B">
        <w:t>PBO analysis based on data from the ABS and Treasury</w:t>
      </w:r>
    </w:p>
    <w:p w:rsidR="002F78A1" w:rsidRPr="00BA0FBF" w:rsidRDefault="002F78A1" w:rsidP="00744A84">
      <w:pPr>
        <w:pStyle w:val="BodyText"/>
      </w:pPr>
      <w:r w:rsidRPr="00BA0FBF">
        <w:t xml:space="preserve">GST revenue would </w:t>
      </w:r>
      <w:r w:rsidR="00E60AB0" w:rsidRPr="00BA0FBF">
        <w:t>increase by $4</w:t>
      </w:r>
      <w:r w:rsidR="002636CD">
        <w:t>2</w:t>
      </w:r>
      <w:r w:rsidR="00E60AB0" w:rsidRPr="00BA0FBF">
        <w:t>.</w:t>
      </w:r>
      <w:r w:rsidR="002636CD">
        <w:t>7</w:t>
      </w:r>
      <w:r w:rsidRPr="00BA0FBF">
        <w:t xml:space="preserve"> billion (or </w:t>
      </w:r>
      <w:r w:rsidR="0073524F" w:rsidRPr="00BA0FBF">
        <w:t>2.4</w:t>
      </w:r>
      <w:r w:rsidRPr="00BA0FBF">
        <w:t xml:space="preserve"> per cent of GDP) in 201</w:t>
      </w:r>
      <w:r w:rsidR="00E60AB0" w:rsidRPr="00BA0FBF">
        <w:t>7</w:t>
      </w:r>
      <w:r w:rsidR="00C97F16" w:rsidRPr="00BA0FBF">
        <w:t>–</w:t>
      </w:r>
      <w:r w:rsidRPr="00BA0FBF">
        <w:t>1</w:t>
      </w:r>
      <w:r w:rsidR="00E60AB0" w:rsidRPr="00BA0FBF">
        <w:t>8</w:t>
      </w:r>
      <w:r w:rsidRPr="00BA0FBF">
        <w:t>.</w:t>
      </w:r>
      <w:r w:rsidR="00282751" w:rsidRPr="00BA0FBF">
        <w:t xml:space="preserve">  The technical assumption that there would be compensation sufficient to fully offset the impact of the scenario on the bottom </w:t>
      </w:r>
      <w:r w:rsidR="00111E83">
        <w:t>40</w:t>
      </w:r>
      <w:r w:rsidR="00111E83" w:rsidRPr="00BA0FBF">
        <w:t xml:space="preserve"> </w:t>
      </w:r>
      <w:r w:rsidR="00282751" w:rsidRPr="00BA0FBF">
        <w:t>per cent of households would cost $11.</w:t>
      </w:r>
      <w:r w:rsidR="002636CD">
        <w:t>3</w:t>
      </w:r>
      <w:r w:rsidR="00C97F16" w:rsidRPr="00BA0FBF">
        <w:t> billion in 2017–</w:t>
      </w:r>
      <w:r w:rsidR="00282751" w:rsidRPr="00BA0FBF">
        <w:t>18.</w:t>
      </w:r>
    </w:p>
    <w:p w:rsidR="002F78A1" w:rsidRPr="003D4F20" w:rsidRDefault="002F78A1" w:rsidP="00744A84">
      <w:pPr>
        <w:pStyle w:val="BodyText"/>
        <w:rPr>
          <w:szCs w:val="20"/>
        </w:rPr>
      </w:pPr>
      <w:r w:rsidRPr="00BA0FBF">
        <w:t xml:space="preserve">Additional detail on the </w:t>
      </w:r>
      <w:r w:rsidR="001C0964" w:rsidRPr="00BA0FBF">
        <w:t>revenue impact</w:t>
      </w:r>
      <w:r w:rsidRPr="00BA0FBF">
        <w:t xml:space="preserve"> of Scenario </w:t>
      </w:r>
      <w:r w:rsidR="00206DAB" w:rsidRPr="00BA0FBF">
        <w:t>4</w:t>
      </w:r>
      <w:r w:rsidRPr="00BA0FBF">
        <w:t xml:space="preserve"> is provided in </w:t>
      </w:r>
      <w:fldSimple w:instr=" REF _Ref436925051 \r ">
        <w:r w:rsidR="00076CF9">
          <w:t>Appendix C</w:t>
        </w:r>
      </w:fldSimple>
      <w:r w:rsidR="003D4F20" w:rsidRPr="003D4F20">
        <w:rPr>
          <w:szCs w:val="20"/>
        </w:rPr>
        <w:t>.</w:t>
      </w:r>
    </w:p>
    <w:p w:rsidR="002F78A1" w:rsidRPr="00BA0FBF" w:rsidRDefault="002F78A1" w:rsidP="002F78A1">
      <w:pPr>
        <w:pStyle w:val="Heading3"/>
        <w:rPr>
          <w:sz w:val="24"/>
        </w:rPr>
      </w:pPr>
      <w:bookmarkStart w:id="207" w:name="_Toc435633006"/>
      <w:bookmarkStart w:id="208" w:name="_Toc436400347"/>
      <w:r w:rsidRPr="00BA0FBF">
        <w:rPr>
          <w:sz w:val="24"/>
        </w:rPr>
        <w:t xml:space="preserve">Distributional </w:t>
      </w:r>
      <w:r w:rsidR="00111E83">
        <w:rPr>
          <w:sz w:val="24"/>
        </w:rPr>
        <w:t>i</w:t>
      </w:r>
      <w:r w:rsidRPr="00BA0FBF">
        <w:rPr>
          <w:sz w:val="24"/>
        </w:rPr>
        <w:t xml:space="preserve">mpact of Scenario </w:t>
      </w:r>
      <w:r w:rsidR="00206DAB" w:rsidRPr="00BA0FBF">
        <w:rPr>
          <w:sz w:val="24"/>
        </w:rPr>
        <w:t>4</w:t>
      </w:r>
      <w:bookmarkEnd w:id="207"/>
      <w:bookmarkEnd w:id="208"/>
    </w:p>
    <w:p w:rsidR="002F78A1" w:rsidRPr="00BA0FBF" w:rsidRDefault="00C97F16" w:rsidP="00742476">
      <w:pPr>
        <w:pStyle w:val="BodyText"/>
      </w:pPr>
      <w:r w:rsidRPr="00BA0FBF">
        <w:fldChar w:fldCharType="begin"/>
      </w:r>
      <w:r w:rsidRPr="00BA0FBF">
        <w:instrText xml:space="preserve"> REF _Ref436662332 \h </w:instrText>
      </w:r>
      <w:r w:rsidR="00BA0FBF">
        <w:instrText xml:space="preserve"> \* MERGEFORMAT </w:instrText>
      </w:r>
      <w:r w:rsidRPr="00BA0FBF">
        <w:fldChar w:fldCharType="separate"/>
      </w:r>
      <w:r w:rsidR="00076CF9" w:rsidRPr="00076CF9">
        <w:t>Figure 4–4</w:t>
      </w:r>
      <w:r w:rsidRPr="00BA0FBF">
        <w:fldChar w:fldCharType="end"/>
      </w:r>
      <w:r w:rsidR="002F78A1" w:rsidRPr="00BA0FBF">
        <w:t xml:space="preserve"> presents a distributional analysis of the relative and absolute impact</w:t>
      </w:r>
      <w:r w:rsidR="00B900FF" w:rsidRPr="00BA0FBF">
        <w:t>s</w:t>
      </w:r>
      <w:r w:rsidR="002F78A1" w:rsidRPr="00BA0FBF">
        <w:t xml:space="preserve"> of additional GST revenue under Scenario </w:t>
      </w:r>
      <w:r w:rsidR="00206DAB" w:rsidRPr="00BA0FBF">
        <w:t>4</w:t>
      </w:r>
      <w:r w:rsidR="002F78A1" w:rsidRPr="00BA0FBF">
        <w:t xml:space="preserve"> on households by income decile.</w:t>
      </w:r>
    </w:p>
    <w:p w:rsidR="002F78A1" w:rsidRPr="00BA0FBF" w:rsidRDefault="00206DAB" w:rsidP="00742476">
      <w:pPr>
        <w:pStyle w:val="BodyText"/>
      </w:pPr>
      <w:r w:rsidRPr="00BA0FBF">
        <w:t>Increasing the GST to 15 per cent and removing the GST</w:t>
      </w:r>
      <w:r w:rsidRPr="00BA0FBF">
        <w:noBreakHyphen/>
        <w:t xml:space="preserve">free status of basic food </w:t>
      </w:r>
      <w:r w:rsidR="002F78A1" w:rsidRPr="00BA0FBF">
        <w:t>has a greater relative i</w:t>
      </w:r>
      <w:r w:rsidR="00C97F16" w:rsidRPr="00BA0FBF">
        <w:t>mpact on lower income earners.</w:t>
      </w:r>
    </w:p>
    <w:p w:rsidR="002F78A1" w:rsidRPr="00BA0FBF" w:rsidRDefault="002F78A1" w:rsidP="00742476">
      <w:pPr>
        <w:pStyle w:val="BodyText"/>
      </w:pPr>
      <w:r w:rsidRPr="00BA0FBF">
        <w:t>In the absence of compensation arrangements targeting lower income households, those in the lowest income dec</w:t>
      </w:r>
      <w:r w:rsidR="005864EC" w:rsidRPr="00BA0FBF">
        <w:t>ile would pay an addition</w:t>
      </w:r>
      <w:r w:rsidR="002636CD">
        <w:t xml:space="preserve">al </w:t>
      </w:r>
      <w:r w:rsidR="00AB1989">
        <w:t>9</w:t>
      </w:r>
      <w:r w:rsidR="002636CD">
        <w:t>.</w:t>
      </w:r>
      <w:r w:rsidR="00AB1989">
        <w:t>1</w:t>
      </w:r>
      <w:r w:rsidRPr="00BA0FBF">
        <w:t xml:space="preserve"> per cent of their disposable income under this scenario, compared with </w:t>
      </w:r>
      <w:r w:rsidR="0073524F" w:rsidRPr="00BA0FBF">
        <w:t>the average of</w:t>
      </w:r>
      <w:r w:rsidR="00962A36" w:rsidRPr="00BA0FBF">
        <w:t xml:space="preserve"> an additional 2.</w:t>
      </w:r>
      <w:r w:rsidR="00AB1989">
        <w:t>5</w:t>
      </w:r>
      <w:r w:rsidRPr="00BA0FBF">
        <w:t> p</w:t>
      </w:r>
      <w:r w:rsidR="00E60AB0" w:rsidRPr="00BA0FBF">
        <w:t>er cent paid by those in the highest</w:t>
      </w:r>
      <w:r w:rsidRPr="00BA0FBF">
        <w:t xml:space="preserve"> </w:t>
      </w:r>
      <w:r w:rsidR="00282751" w:rsidRPr="00BA0FBF">
        <w:t xml:space="preserve">income </w:t>
      </w:r>
      <w:r w:rsidR="00E60AB0" w:rsidRPr="00BA0FBF">
        <w:t>decile</w:t>
      </w:r>
      <w:r w:rsidRPr="00BA0FBF">
        <w:t>.</w:t>
      </w:r>
    </w:p>
    <w:p w:rsidR="00C97F16" w:rsidRPr="00BA0FBF" w:rsidRDefault="00C97F16" w:rsidP="00C97F16">
      <w:pPr>
        <w:pStyle w:val="Caption"/>
        <w:rPr>
          <w:sz w:val="20"/>
        </w:rPr>
      </w:pPr>
      <w:bookmarkStart w:id="209" w:name="_Ref436662332"/>
      <w:bookmarkStart w:id="210" w:name="_Toc436917833"/>
      <w:bookmarkStart w:id="211" w:name="_Toc437429591"/>
      <w:r w:rsidRPr="00BA0FBF">
        <w:rPr>
          <w:sz w:val="20"/>
        </w:rPr>
        <w:t xml:space="preserve">Figure </w:t>
      </w:r>
      <w:r w:rsidRPr="00BA0FBF">
        <w:rPr>
          <w:sz w:val="20"/>
        </w:rPr>
        <w:fldChar w:fldCharType="begin"/>
      </w:r>
      <w:r w:rsidRPr="00BA0FBF">
        <w:rPr>
          <w:sz w:val="20"/>
        </w:rPr>
        <w:instrText xml:space="preserve"> STYLEREF 1 \s </w:instrText>
      </w:r>
      <w:r w:rsidRPr="00BA0FBF">
        <w:rPr>
          <w:sz w:val="20"/>
        </w:rPr>
        <w:fldChar w:fldCharType="separate"/>
      </w:r>
      <w:r w:rsidR="00076CF9">
        <w:rPr>
          <w:noProof/>
          <w:sz w:val="20"/>
        </w:rPr>
        <w:t>4</w:t>
      </w:r>
      <w:r w:rsidRPr="00BA0FBF">
        <w:rPr>
          <w:sz w:val="20"/>
        </w:rPr>
        <w:fldChar w:fldCharType="end"/>
      </w:r>
      <w:r w:rsidRPr="00BA0FBF">
        <w:rPr>
          <w:sz w:val="20"/>
        </w:rPr>
        <w:t>–</w:t>
      </w:r>
      <w:r w:rsidRPr="00BA0FBF">
        <w:rPr>
          <w:sz w:val="20"/>
        </w:rPr>
        <w:fldChar w:fldCharType="begin"/>
      </w:r>
      <w:r w:rsidRPr="00BA0FBF">
        <w:rPr>
          <w:sz w:val="20"/>
        </w:rPr>
        <w:instrText xml:space="preserve"> SEQ Figure \* ARABIC \s 1 </w:instrText>
      </w:r>
      <w:r w:rsidRPr="00BA0FBF">
        <w:rPr>
          <w:sz w:val="20"/>
        </w:rPr>
        <w:fldChar w:fldCharType="separate"/>
      </w:r>
      <w:r w:rsidR="00076CF9">
        <w:rPr>
          <w:noProof/>
          <w:sz w:val="20"/>
        </w:rPr>
        <w:t>4</w:t>
      </w:r>
      <w:r w:rsidRPr="00BA0FBF">
        <w:rPr>
          <w:sz w:val="20"/>
        </w:rPr>
        <w:fldChar w:fldCharType="end"/>
      </w:r>
      <w:bookmarkEnd w:id="209"/>
      <w:r w:rsidRPr="00BA0FBF">
        <w:rPr>
          <w:sz w:val="20"/>
        </w:rPr>
        <w:t>: Distributional impact of Scenario 4 (</w:t>
      </w:r>
      <w:r w:rsidR="009F3257" w:rsidRPr="00BA0FBF">
        <w:rPr>
          <w:sz w:val="20"/>
        </w:rPr>
        <w:t>15 per cent</w:t>
      </w:r>
      <w:r w:rsidR="009F3257">
        <w:rPr>
          <w:sz w:val="20"/>
        </w:rPr>
        <w:t xml:space="preserve"> GST</w:t>
      </w:r>
      <w:r w:rsidRPr="00BA0FBF">
        <w:rPr>
          <w:sz w:val="20"/>
        </w:rPr>
        <w:t>; basic food subject to GST)</w:t>
      </w:r>
      <w:bookmarkEnd w:id="210"/>
      <w:bookmarkEnd w:id="211"/>
    </w:p>
    <w:p w:rsidR="002F78A1" w:rsidRPr="00BA0FBF" w:rsidRDefault="00AB1989" w:rsidP="00846FA0">
      <w:pPr>
        <w:pStyle w:val="BodyText"/>
        <w:spacing w:before="120"/>
        <w:rPr>
          <w:sz w:val="20"/>
        </w:rPr>
      </w:pPr>
      <w:r>
        <w:rPr>
          <w:noProof/>
          <w:sz w:val="20"/>
          <w:lang w:eastAsia="en-AU"/>
        </w:rPr>
        <w:drawing>
          <wp:inline distT="0" distB="0" distL="0" distR="0" wp14:anchorId="2A79C49C" wp14:editId="1C785D6E">
            <wp:extent cx="4826442" cy="3379305"/>
            <wp:effectExtent l="0" t="0" r="0" b="0"/>
            <wp:docPr id="36" name="Picture 36" descr="Figure 4–4 presents the relative and absolute impact of the scenario 4 (increase the GST rate from 10 per cent to 15 per cent and basic food subject to GST) by household disposable income decile.&#10;Households in the lowest income decile would pay an additional 9.09 per cent of disposable income in GST, falling to 5.44 per cent for the second decile and 2.51 per cent for the highest decile.&#10;Households in the lowest income decile would pay an additional $50.5 per week in GST, falling to $47.8 per week in the second decile and rising to $153.6 per week for the highest decile.&#10;" title="Figure 4–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833148" cy="3384000"/>
                    </a:xfrm>
                    <a:prstGeom prst="rect">
                      <a:avLst/>
                    </a:prstGeom>
                    <a:noFill/>
                  </pic:spPr>
                </pic:pic>
              </a:graphicData>
            </a:graphic>
          </wp:inline>
        </w:drawing>
      </w:r>
    </w:p>
    <w:p w:rsidR="003C58BB" w:rsidRPr="003C58BB" w:rsidRDefault="003C58BB" w:rsidP="003C58BB">
      <w:pPr>
        <w:pStyle w:val="Source"/>
      </w:pPr>
      <w:r>
        <w:t xml:space="preserve">Source: </w:t>
      </w:r>
      <w:r w:rsidR="004E109F">
        <w:t>PBO analysis based on data from the ABS and Treasury</w:t>
      </w:r>
    </w:p>
    <w:p w:rsidR="002F78A1" w:rsidRPr="00BA0FBF" w:rsidRDefault="00C97F16" w:rsidP="00742476">
      <w:pPr>
        <w:pStyle w:val="BodyText17ptAbove"/>
      </w:pPr>
      <w:r w:rsidRPr="00BA0FBF">
        <w:fldChar w:fldCharType="begin"/>
      </w:r>
      <w:r w:rsidRPr="00BA0FBF">
        <w:instrText xml:space="preserve"> REF _Ref436662417 \h </w:instrText>
      </w:r>
      <w:r w:rsidR="00BA0FBF">
        <w:instrText xml:space="preserve"> \* MERGEFORMAT </w:instrText>
      </w:r>
      <w:r w:rsidRPr="00BA0FBF">
        <w:fldChar w:fldCharType="separate"/>
      </w:r>
      <w:r w:rsidR="00076CF9" w:rsidRPr="00076CF9">
        <w:t>Table 4–11</w:t>
      </w:r>
      <w:r w:rsidRPr="00BA0FBF">
        <w:fldChar w:fldCharType="end"/>
      </w:r>
      <w:r w:rsidR="00206DAB" w:rsidRPr="00BA0FBF">
        <w:t xml:space="preserve"> </w:t>
      </w:r>
      <w:r w:rsidR="002F78A1" w:rsidRPr="00BA0FBF">
        <w:t xml:space="preserve">summarises the distribution of the relative impact of the GST revenue collected under Scenario </w:t>
      </w:r>
      <w:r w:rsidR="00206DAB" w:rsidRPr="00BA0FBF">
        <w:t>4</w:t>
      </w:r>
      <w:r w:rsidR="002F78A1" w:rsidRPr="00BA0FBF">
        <w:t xml:space="preserve"> by decile of household disposable income before and after the assumed compensation package.</w:t>
      </w:r>
    </w:p>
    <w:p w:rsidR="00C97F16" w:rsidRPr="00BA0FBF" w:rsidRDefault="00C97F16" w:rsidP="00C97F16">
      <w:pPr>
        <w:pStyle w:val="Caption"/>
        <w:rPr>
          <w:sz w:val="20"/>
        </w:rPr>
      </w:pPr>
      <w:bookmarkStart w:id="212" w:name="_Ref436662417"/>
      <w:bookmarkStart w:id="213" w:name="_Toc436664568"/>
      <w:bookmarkStart w:id="214" w:name="_Toc436917815"/>
      <w:bookmarkStart w:id="215" w:name="_Toc437429573"/>
      <w:r w:rsidRPr="00BA0FBF">
        <w:rPr>
          <w:sz w:val="20"/>
        </w:rPr>
        <w:t xml:space="preserve">Table </w:t>
      </w:r>
      <w:r w:rsidRPr="00BA0FBF">
        <w:rPr>
          <w:sz w:val="20"/>
        </w:rPr>
        <w:fldChar w:fldCharType="begin"/>
      </w:r>
      <w:r w:rsidRPr="00BA0FBF">
        <w:rPr>
          <w:sz w:val="20"/>
        </w:rPr>
        <w:instrText xml:space="preserve"> STYLEREF 1 \s </w:instrText>
      </w:r>
      <w:r w:rsidRPr="00BA0FBF">
        <w:rPr>
          <w:sz w:val="20"/>
        </w:rPr>
        <w:fldChar w:fldCharType="separate"/>
      </w:r>
      <w:r w:rsidR="00076CF9">
        <w:rPr>
          <w:noProof/>
          <w:sz w:val="20"/>
        </w:rPr>
        <w:t>4</w:t>
      </w:r>
      <w:r w:rsidRPr="00BA0FBF">
        <w:rPr>
          <w:sz w:val="20"/>
        </w:rPr>
        <w:fldChar w:fldCharType="end"/>
      </w:r>
      <w:r w:rsidRPr="00BA0FBF">
        <w:rPr>
          <w:sz w:val="20"/>
        </w:rPr>
        <w:t>–</w:t>
      </w:r>
      <w:r w:rsidRPr="00BA0FBF">
        <w:rPr>
          <w:sz w:val="20"/>
        </w:rPr>
        <w:fldChar w:fldCharType="begin"/>
      </w:r>
      <w:r w:rsidRPr="00BA0FBF">
        <w:rPr>
          <w:sz w:val="20"/>
        </w:rPr>
        <w:instrText xml:space="preserve"> SEQ Table \* ARABIC \s 1 </w:instrText>
      </w:r>
      <w:r w:rsidRPr="00BA0FBF">
        <w:rPr>
          <w:sz w:val="20"/>
        </w:rPr>
        <w:fldChar w:fldCharType="separate"/>
      </w:r>
      <w:r w:rsidR="00076CF9">
        <w:rPr>
          <w:noProof/>
          <w:sz w:val="20"/>
        </w:rPr>
        <w:t>11</w:t>
      </w:r>
      <w:r w:rsidRPr="00BA0FBF">
        <w:rPr>
          <w:sz w:val="20"/>
        </w:rPr>
        <w:fldChar w:fldCharType="end"/>
      </w:r>
      <w:bookmarkEnd w:id="212"/>
      <w:r w:rsidRPr="00BA0FBF">
        <w:rPr>
          <w:sz w:val="20"/>
        </w:rPr>
        <w:t xml:space="preserve">: Net </w:t>
      </w:r>
      <w:r w:rsidR="00D02DAC">
        <w:rPr>
          <w:sz w:val="20"/>
        </w:rPr>
        <w:t xml:space="preserve">additional </w:t>
      </w:r>
      <w:r w:rsidRPr="00BA0FBF">
        <w:rPr>
          <w:sz w:val="20"/>
        </w:rPr>
        <w:t xml:space="preserve">GST revenue: relative impact </w:t>
      </w:r>
      <w:r w:rsidR="00111E83">
        <w:rPr>
          <w:sz w:val="20"/>
        </w:rPr>
        <w:t xml:space="preserve">of </w:t>
      </w:r>
      <w:r w:rsidRPr="00BA0FBF">
        <w:rPr>
          <w:sz w:val="20"/>
        </w:rPr>
        <w:t>Scenario 4</w:t>
      </w:r>
      <w:bookmarkEnd w:id="213"/>
      <w:r w:rsidR="006E5CC2">
        <w:rPr>
          <w:sz w:val="20"/>
        </w:rPr>
        <w:t xml:space="preserve"> </w:t>
      </w:r>
      <w:r w:rsidR="00111E83">
        <w:rPr>
          <w:sz w:val="20"/>
        </w:rPr>
        <w:t>(</w:t>
      </w:r>
      <w:r w:rsidR="009F3257" w:rsidRPr="00BA0FBF">
        <w:rPr>
          <w:sz w:val="20"/>
        </w:rPr>
        <w:t>15 per cent</w:t>
      </w:r>
      <w:r w:rsidR="009F3257">
        <w:rPr>
          <w:sz w:val="20"/>
        </w:rPr>
        <w:t xml:space="preserve"> GST</w:t>
      </w:r>
      <w:r w:rsidR="00111E83">
        <w:rPr>
          <w:sz w:val="20"/>
        </w:rPr>
        <w:t>; basic food subject to GST)</w:t>
      </w:r>
      <w:bookmarkEnd w:id="214"/>
      <w:bookmarkEnd w:id="215"/>
    </w:p>
    <w:tbl>
      <w:tblPr>
        <w:tblStyle w:val="TableGrid"/>
        <w:tblW w:w="4861" w:type="pct"/>
        <w:tblLook w:val="04A0" w:firstRow="1" w:lastRow="0" w:firstColumn="1" w:lastColumn="0" w:noHBand="0" w:noVBand="1"/>
      </w:tblPr>
      <w:tblGrid>
        <w:gridCol w:w="1848"/>
        <w:gridCol w:w="626"/>
        <w:gridCol w:w="626"/>
        <w:gridCol w:w="623"/>
        <w:gridCol w:w="626"/>
        <w:gridCol w:w="622"/>
        <w:gridCol w:w="622"/>
        <w:gridCol w:w="622"/>
        <w:gridCol w:w="622"/>
        <w:gridCol w:w="622"/>
        <w:gridCol w:w="622"/>
      </w:tblGrid>
      <w:tr w:rsidR="00E60AB0" w:rsidRPr="00BA0FBF" w:rsidTr="00C97F16">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143" w:type="pct"/>
            <w:vAlign w:val="center"/>
          </w:tcPr>
          <w:p w:rsidR="00E60AB0" w:rsidRPr="00BA0FBF" w:rsidRDefault="00E60AB0" w:rsidP="009B1030">
            <w:pPr>
              <w:pStyle w:val="TableHeading"/>
            </w:pPr>
            <w:r w:rsidRPr="00BA0FBF">
              <w:t>20</w:t>
            </w:r>
            <w:r w:rsidR="00282751" w:rsidRPr="00BA0FBF">
              <w:t>17</w:t>
            </w:r>
            <w:r w:rsidR="00C97F16" w:rsidRPr="00BA0FBF">
              <w:t>–</w:t>
            </w:r>
            <w:r w:rsidRPr="00BA0FBF">
              <w:t>18</w:t>
            </w:r>
          </w:p>
        </w:tc>
        <w:tc>
          <w:tcPr>
            <w:tcW w:w="387" w:type="pct"/>
            <w:vAlign w:val="center"/>
          </w:tcPr>
          <w:p w:rsidR="00E60AB0" w:rsidRPr="00BA0FBF" w:rsidRDefault="00E60AB0" w:rsidP="009B1030">
            <w:pPr>
              <w:pStyle w:val="TableHeading"/>
              <w:cnfStyle w:val="100000000000" w:firstRow="1" w:lastRow="0" w:firstColumn="0" w:lastColumn="0" w:oddVBand="0" w:evenVBand="0" w:oddHBand="0" w:evenHBand="0" w:firstRowFirstColumn="0" w:firstRowLastColumn="0" w:lastRowFirstColumn="0" w:lastRowLastColumn="0"/>
            </w:pPr>
            <w:r w:rsidRPr="00BA0FBF">
              <w:t>D1</w:t>
            </w:r>
          </w:p>
        </w:tc>
        <w:tc>
          <w:tcPr>
            <w:tcW w:w="387" w:type="pct"/>
            <w:vAlign w:val="center"/>
          </w:tcPr>
          <w:p w:rsidR="00E60AB0" w:rsidRPr="00BA0FBF" w:rsidRDefault="00E60AB0" w:rsidP="009B1030">
            <w:pPr>
              <w:pStyle w:val="TableHeading"/>
              <w:cnfStyle w:val="100000000000" w:firstRow="1" w:lastRow="0" w:firstColumn="0" w:lastColumn="0" w:oddVBand="0" w:evenVBand="0" w:oddHBand="0" w:evenHBand="0" w:firstRowFirstColumn="0" w:firstRowLastColumn="0" w:lastRowFirstColumn="0" w:lastRowLastColumn="0"/>
            </w:pPr>
            <w:r w:rsidRPr="00BA0FBF">
              <w:t>D2</w:t>
            </w:r>
          </w:p>
        </w:tc>
        <w:tc>
          <w:tcPr>
            <w:tcW w:w="385" w:type="pct"/>
            <w:vAlign w:val="center"/>
          </w:tcPr>
          <w:p w:rsidR="00E60AB0" w:rsidRPr="00BA0FBF" w:rsidRDefault="00E60AB0" w:rsidP="009B1030">
            <w:pPr>
              <w:pStyle w:val="TableHeading"/>
              <w:cnfStyle w:val="100000000000" w:firstRow="1" w:lastRow="0" w:firstColumn="0" w:lastColumn="0" w:oddVBand="0" w:evenVBand="0" w:oddHBand="0" w:evenHBand="0" w:firstRowFirstColumn="0" w:firstRowLastColumn="0" w:lastRowFirstColumn="0" w:lastRowLastColumn="0"/>
            </w:pPr>
            <w:r w:rsidRPr="00BA0FBF">
              <w:t>D3</w:t>
            </w:r>
          </w:p>
        </w:tc>
        <w:tc>
          <w:tcPr>
            <w:tcW w:w="387" w:type="pct"/>
            <w:vAlign w:val="center"/>
          </w:tcPr>
          <w:p w:rsidR="00E60AB0" w:rsidRPr="00BA0FBF" w:rsidRDefault="00E60AB0" w:rsidP="009B1030">
            <w:pPr>
              <w:pStyle w:val="TableHeading"/>
              <w:cnfStyle w:val="100000000000" w:firstRow="1" w:lastRow="0" w:firstColumn="0" w:lastColumn="0" w:oddVBand="0" w:evenVBand="0" w:oddHBand="0" w:evenHBand="0" w:firstRowFirstColumn="0" w:firstRowLastColumn="0" w:lastRowFirstColumn="0" w:lastRowLastColumn="0"/>
            </w:pPr>
            <w:r w:rsidRPr="00BA0FBF">
              <w:t>D4</w:t>
            </w:r>
          </w:p>
        </w:tc>
        <w:tc>
          <w:tcPr>
            <w:tcW w:w="385" w:type="pct"/>
            <w:vAlign w:val="center"/>
          </w:tcPr>
          <w:p w:rsidR="00E60AB0" w:rsidRPr="00BA0FBF" w:rsidRDefault="00E60AB0" w:rsidP="009B1030">
            <w:pPr>
              <w:pStyle w:val="TableHeading"/>
              <w:cnfStyle w:val="100000000000" w:firstRow="1" w:lastRow="0" w:firstColumn="0" w:lastColumn="0" w:oddVBand="0" w:evenVBand="0" w:oddHBand="0" w:evenHBand="0" w:firstRowFirstColumn="0" w:firstRowLastColumn="0" w:lastRowFirstColumn="0" w:lastRowLastColumn="0"/>
            </w:pPr>
            <w:r w:rsidRPr="00BA0FBF">
              <w:t>D5</w:t>
            </w:r>
          </w:p>
        </w:tc>
        <w:tc>
          <w:tcPr>
            <w:tcW w:w="385" w:type="pct"/>
            <w:vAlign w:val="center"/>
          </w:tcPr>
          <w:p w:rsidR="00E60AB0" w:rsidRPr="00BA0FBF" w:rsidRDefault="00E60AB0" w:rsidP="009B1030">
            <w:pPr>
              <w:pStyle w:val="TableHeading"/>
              <w:cnfStyle w:val="100000000000" w:firstRow="1" w:lastRow="0" w:firstColumn="0" w:lastColumn="0" w:oddVBand="0" w:evenVBand="0" w:oddHBand="0" w:evenHBand="0" w:firstRowFirstColumn="0" w:firstRowLastColumn="0" w:lastRowFirstColumn="0" w:lastRowLastColumn="0"/>
            </w:pPr>
            <w:r w:rsidRPr="00BA0FBF">
              <w:t>D6</w:t>
            </w:r>
          </w:p>
        </w:tc>
        <w:tc>
          <w:tcPr>
            <w:tcW w:w="385" w:type="pct"/>
            <w:vAlign w:val="center"/>
          </w:tcPr>
          <w:p w:rsidR="00E60AB0" w:rsidRPr="00BA0FBF" w:rsidRDefault="00E60AB0" w:rsidP="009B1030">
            <w:pPr>
              <w:pStyle w:val="TableHeading"/>
              <w:cnfStyle w:val="100000000000" w:firstRow="1" w:lastRow="0" w:firstColumn="0" w:lastColumn="0" w:oddVBand="0" w:evenVBand="0" w:oddHBand="0" w:evenHBand="0" w:firstRowFirstColumn="0" w:firstRowLastColumn="0" w:lastRowFirstColumn="0" w:lastRowLastColumn="0"/>
            </w:pPr>
            <w:r w:rsidRPr="00BA0FBF">
              <w:t>D7</w:t>
            </w:r>
          </w:p>
        </w:tc>
        <w:tc>
          <w:tcPr>
            <w:tcW w:w="385" w:type="pct"/>
            <w:vAlign w:val="center"/>
          </w:tcPr>
          <w:p w:rsidR="00E60AB0" w:rsidRPr="00BA0FBF" w:rsidRDefault="00E60AB0" w:rsidP="009B1030">
            <w:pPr>
              <w:pStyle w:val="TableHeading"/>
              <w:cnfStyle w:val="100000000000" w:firstRow="1" w:lastRow="0" w:firstColumn="0" w:lastColumn="0" w:oddVBand="0" w:evenVBand="0" w:oddHBand="0" w:evenHBand="0" w:firstRowFirstColumn="0" w:firstRowLastColumn="0" w:lastRowFirstColumn="0" w:lastRowLastColumn="0"/>
            </w:pPr>
            <w:r w:rsidRPr="00BA0FBF">
              <w:t>D8</w:t>
            </w:r>
          </w:p>
        </w:tc>
        <w:tc>
          <w:tcPr>
            <w:tcW w:w="385" w:type="pct"/>
            <w:vAlign w:val="center"/>
          </w:tcPr>
          <w:p w:rsidR="00E60AB0" w:rsidRPr="00BA0FBF" w:rsidRDefault="00E60AB0" w:rsidP="009B1030">
            <w:pPr>
              <w:pStyle w:val="TableHeading"/>
              <w:cnfStyle w:val="100000000000" w:firstRow="1" w:lastRow="0" w:firstColumn="0" w:lastColumn="0" w:oddVBand="0" w:evenVBand="0" w:oddHBand="0" w:evenHBand="0" w:firstRowFirstColumn="0" w:firstRowLastColumn="0" w:lastRowFirstColumn="0" w:lastRowLastColumn="0"/>
            </w:pPr>
            <w:r w:rsidRPr="00BA0FBF">
              <w:t>D9</w:t>
            </w:r>
          </w:p>
        </w:tc>
        <w:tc>
          <w:tcPr>
            <w:tcW w:w="385" w:type="pct"/>
            <w:vAlign w:val="center"/>
          </w:tcPr>
          <w:p w:rsidR="00E60AB0" w:rsidRPr="00BA0FBF" w:rsidRDefault="00E60AB0" w:rsidP="009B1030">
            <w:pPr>
              <w:pStyle w:val="TableHeading"/>
              <w:cnfStyle w:val="100000000000" w:firstRow="1" w:lastRow="0" w:firstColumn="0" w:lastColumn="0" w:oddVBand="0" w:evenVBand="0" w:oddHBand="0" w:evenHBand="0" w:firstRowFirstColumn="0" w:firstRowLastColumn="0" w:lastRowFirstColumn="0" w:lastRowLastColumn="0"/>
            </w:pPr>
            <w:r w:rsidRPr="00BA0FBF">
              <w:t>D10</w:t>
            </w:r>
          </w:p>
        </w:tc>
      </w:tr>
      <w:tr w:rsidR="00AB1989" w:rsidRPr="00BA0FBF" w:rsidTr="00AB198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43" w:type="pct"/>
          </w:tcPr>
          <w:p w:rsidR="00AB1989" w:rsidRPr="009B1030" w:rsidRDefault="00AB1989" w:rsidP="009B1030">
            <w:pPr>
              <w:pStyle w:val="TableText"/>
            </w:pPr>
            <w:r>
              <w:t xml:space="preserve">Additional </w:t>
            </w:r>
            <w:r w:rsidRPr="009B1030">
              <w:t>GST revenue</w:t>
            </w:r>
          </w:p>
        </w:tc>
        <w:tc>
          <w:tcPr>
            <w:tcW w:w="387" w:type="pct"/>
          </w:tcPr>
          <w:p w:rsidR="00AB1989" w:rsidRPr="001D582C" w:rsidRDefault="00AB1989" w:rsidP="00AB1989">
            <w:pPr>
              <w:jc w:val="center"/>
              <w:cnfStyle w:val="000000100000" w:firstRow="0" w:lastRow="0" w:firstColumn="0" w:lastColumn="0" w:oddVBand="0" w:evenVBand="0" w:oddHBand="1" w:evenHBand="0" w:firstRowFirstColumn="0" w:firstRowLastColumn="0" w:lastRowFirstColumn="0" w:lastRowLastColumn="0"/>
            </w:pPr>
            <w:r w:rsidRPr="001D582C">
              <w:t>9.1</w:t>
            </w:r>
          </w:p>
        </w:tc>
        <w:tc>
          <w:tcPr>
            <w:tcW w:w="387" w:type="pct"/>
          </w:tcPr>
          <w:p w:rsidR="00AB1989" w:rsidRPr="001D582C" w:rsidRDefault="00AB1989" w:rsidP="00AB1989">
            <w:pPr>
              <w:jc w:val="center"/>
              <w:cnfStyle w:val="000000100000" w:firstRow="0" w:lastRow="0" w:firstColumn="0" w:lastColumn="0" w:oddVBand="0" w:evenVBand="0" w:oddHBand="1" w:evenHBand="0" w:firstRowFirstColumn="0" w:firstRowLastColumn="0" w:lastRowFirstColumn="0" w:lastRowLastColumn="0"/>
            </w:pPr>
            <w:r w:rsidRPr="001D582C">
              <w:t>5.4</w:t>
            </w:r>
          </w:p>
        </w:tc>
        <w:tc>
          <w:tcPr>
            <w:tcW w:w="385" w:type="pct"/>
          </w:tcPr>
          <w:p w:rsidR="00AB1989" w:rsidRPr="001D582C" w:rsidRDefault="00AB1989" w:rsidP="00AB1989">
            <w:pPr>
              <w:jc w:val="center"/>
              <w:cnfStyle w:val="000000100000" w:firstRow="0" w:lastRow="0" w:firstColumn="0" w:lastColumn="0" w:oddVBand="0" w:evenVBand="0" w:oddHBand="1" w:evenHBand="0" w:firstRowFirstColumn="0" w:firstRowLastColumn="0" w:lastRowFirstColumn="0" w:lastRowLastColumn="0"/>
            </w:pPr>
            <w:r w:rsidRPr="001D582C">
              <w:t>4.8</w:t>
            </w:r>
          </w:p>
        </w:tc>
        <w:tc>
          <w:tcPr>
            <w:tcW w:w="387" w:type="pct"/>
          </w:tcPr>
          <w:p w:rsidR="00AB1989" w:rsidRPr="001D582C" w:rsidRDefault="00AB1989" w:rsidP="00AB1989">
            <w:pPr>
              <w:jc w:val="center"/>
              <w:cnfStyle w:val="000000100000" w:firstRow="0" w:lastRow="0" w:firstColumn="0" w:lastColumn="0" w:oddVBand="0" w:evenVBand="0" w:oddHBand="1" w:evenHBand="0" w:firstRowFirstColumn="0" w:firstRowLastColumn="0" w:lastRowFirstColumn="0" w:lastRowLastColumn="0"/>
            </w:pPr>
            <w:r w:rsidRPr="001D582C">
              <w:t>4.7</w:t>
            </w:r>
          </w:p>
        </w:tc>
        <w:tc>
          <w:tcPr>
            <w:tcW w:w="385" w:type="pct"/>
          </w:tcPr>
          <w:p w:rsidR="00AB1989" w:rsidRPr="001D582C" w:rsidRDefault="00AB1989" w:rsidP="00AB1989">
            <w:pPr>
              <w:jc w:val="center"/>
              <w:cnfStyle w:val="000000100000" w:firstRow="0" w:lastRow="0" w:firstColumn="0" w:lastColumn="0" w:oddVBand="0" w:evenVBand="0" w:oddHBand="1" w:evenHBand="0" w:firstRowFirstColumn="0" w:firstRowLastColumn="0" w:lastRowFirstColumn="0" w:lastRowLastColumn="0"/>
            </w:pPr>
            <w:r w:rsidRPr="001D582C">
              <w:t>4.0</w:t>
            </w:r>
          </w:p>
        </w:tc>
        <w:tc>
          <w:tcPr>
            <w:tcW w:w="385" w:type="pct"/>
          </w:tcPr>
          <w:p w:rsidR="00AB1989" w:rsidRPr="001D582C" w:rsidRDefault="00AB1989" w:rsidP="00AB1989">
            <w:pPr>
              <w:jc w:val="center"/>
              <w:cnfStyle w:val="000000100000" w:firstRow="0" w:lastRow="0" w:firstColumn="0" w:lastColumn="0" w:oddVBand="0" w:evenVBand="0" w:oddHBand="1" w:evenHBand="0" w:firstRowFirstColumn="0" w:firstRowLastColumn="0" w:lastRowFirstColumn="0" w:lastRowLastColumn="0"/>
            </w:pPr>
            <w:r w:rsidRPr="001D582C">
              <w:t>3.9</w:t>
            </w:r>
          </w:p>
        </w:tc>
        <w:tc>
          <w:tcPr>
            <w:tcW w:w="385" w:type="pct"/>
          </w:tcPr>
          <w:p w:rsidR="00AB1989" w:rsidRPr="001D582C" w:rsidRDefault="00AB1989" w:rsidP="00AB1989">
            <w:pPr>
              <w:jc w:val="center"/>
              <w:cnfStyle w:val="000000100000" w:firstRow="0" w:lastRow="0" w:firstColumn="0" w:lastColumn="0" w:oddVBand="0" w:evenVBand="0" w:oddHBand="1" w:evenHBand="0" w:firstRowFirstColumn="0" w:firstRowLastColumn="0" w:lastRowFirstColumn="0" w:lastRowLastColumn="0"/>
            </w:pPr>
            <w:r w:rsidRPr="001D582C">
              <w:t>3.5</w:t>
            </w:r>
          </w:p>
        </w:tc>
        <w:tc>
          <w:tcPr>
            <w:tcW w:w="385" w:type="pct"/>
          </w:tcPr>
          <w:p w:rsidR="00AB1989" w:rsidRPr="001D582C" w:rsidRDefault="00AB1989" w:rsidP="00AB1989">
            <w:pPr>
              <w:jc w:val="center"/>
              <w:cnfStyle w:val="000000100000" w:firstRow="0" w:lastRow="0" w:firstColumn="0" w:lastColumn="0" w:oddVBand="0" w:evenVBand="0" w:oddHBand="1" w:evenHBand="0" w:firstRowFirstColumn="0" w:firstRowLastColumn="0" w:lastRowFirstColumn="0" w:lastRowLastColumn="0"/>
            </w:pPr>
            <w:r w:rsidRPr="001D582C">
              <w:t>3.3</w:t>
            </w:r>
          </w:p>
        </w:tc>
        <w:tc>
          <w:tcPr>
            <w:tcW w:w="385" w:type="pct"/>
          </w:tcPr>
          <w:p w:rsidR="00AB1989" w:rsidRPr="001D582C" w:rsidRDefault="00AB1989" w:rsidP="00AB1989">
            <w:pPr>
              <w:jc w:val="center"/>
              <w:cnfStyle w:val="000000100000" w:firstRow="0" w:lastRow="0" w:firstColumn="0" w:lastColumn="0" w:oddVBand="0" w:evenVBand="0" w:oddHBand="1" w:evenHBand="0" w:firstRowFirstColumn="0" w:firstRowLastColumn="0" w:lastRowFirstColumn="0" w:lastRowLastColumn="0"/>
            </w:pPr>
            <w:r w:rsidRPr="001D582C">
              <w:t>3.2</w:t>
            </w:r>
          </w:p>
        </w:tc>
        <w:tc>
          <w:tcPr>
            <w:tcW w:w="385" w:type="pct"/>
          </w:tcPr>
          <w:p w:rsidR="00AB1989" w:rsidRPr="001D582C" w:rsidRDefault="00AB1989" w:rsidP="00AB1989">
            <w:pPr>
              <w:jc w:val="center"/>
              <w:cnfStyle w:val="000000100000" w:firstRow="0" w:lastRow="0" w:firstColumn="0" w:lastColumn="0" w:oddVBand="0" w:evenVBand="0" w:oddHBand="1" w:evenHBand="0" w:firstRowFirstColumn="0" w:firstRowLastColumn="0" w:lastRowFirstColumn="0" w:lastRowLastColumn="0"/>
            </w:pPr>
            <w:r w:rsidRPr="001D582C">
              <w:t>2.5</w:t>
            </w:r>
          </w:p>
        </w:tc>
      </w:tr>
      <w:tr w:rsidR="00AB1989" w:rsidRPr="00BA0FBF" w:rsidTr="00AB1989">
        <w:trPr>
          <w:cantSplit/>
        </w:trPr>
        <w:tc>
          <w:tcPr>
            <w:cnfStyle w:val="001000000000" w:firstRow="0" w:lastRow="0" w:firstColumn="1" w:lastColumn="0" w:oddVBand="0" w:evenVBand="0" w:oddHBand="0" w:evenHBand="0" w:firstRowFirstColumn="0" w:firstRowLastColumn="0" w:lastRowFirstColumn="0" w:lastRowLastColumn="0"/>
            <w:tcW w:w="1143" w:type="pct"/>
          </w:tcPr>
          <w:p w:rsidR="00AB1989" w:rsidRPr="009B1030" w:rsidRDefault="00AB1989" w:rsidP="009B1030">
            <w:pPr>
              <w:pStyle w:val="TableText"/>
            </w:pPr>
            <w:r w:rsidRPr="009B1030">
              <w:t>Compensation</w:t>
            </w:r>
          </w:p>
        </w:tc>
        <w:tc>
          <w:tcPr>
            <w:tcW w:w="387" w:type="pct"/>
          </w:tcPr>
          <w:p w:rsidR="00AB1989" w:rsidRPr="001D582C" w:rsidRDefault="00AB1989" w:rsidP="00AB1989">
            <w:pPr>
              <w:jc w:val="center"/>
              <w:cnfStyle w:val="000000000000" w:firstRow="0" w:lastRow="0" w:firstColumn="0" w:lastColumn="0" w:oddVBand="0" w:evenVBand="0" w:oddHBand="0" w:evenHBand="0" w:firstRowFirstColumn="0" w:firstRowLastColumn="0" w:lastRowFirstColumn="0" w:lastRowLastColumn="0"/>
            </w:pPr>
            <w:r w:rsidRPr="001D582C">
              <w:t>9.1</w:t>
            </w:r>
          </w:p>
        </w:tc>
        <w:tc>
          <w:tcPr>
            <w:tcW w:w="387" w:type="pct"/>
          </w:tcPr>
          <w:p w:rsidR="00AB1989" w:rsidRPr="001D582C" w:rsidRDefault="00AB1989" w:rsidP="00AB1989">
            <w:pPr>
              <w:jc w:val="center"/>
              <w:cnfStyle w:val="000000000000" w:firstRow="0" w:lastRow="0" w:firstColumn="0" w:lastColumn="0" w:oddVBand="0" w:evenVBand="0" w:oddHBand="0" w:evenHBand="0" w:firstRowFirstColumn="0" w:firstRowLastColumn="0" w:lastRowFirstColumn="0" w:lastRowLastColumn="0"/>
            </w:pPr>
            <w:r w:rsidRPr="001D582C">
              <w:t>5.4</w:t>
            </w:r>
          </w:p>
        </w:tc>
        <w:tc>
          <w:tcPr>
            <w:tcW w:w="385" w:type="pct"/>
          </w:tcPr>
          <w:p w:rsidR="00AB1989" w:rsidRPr="001D582C" w:rsidRDefault="00AB1989" w:rsidP="00AB1989">
            <w:pPr>
              <w:jc w:val="center"/>
              <w:cnfStyle w:val="000000000000" w:firstRow="0" w:lastRow="0" w:firstColumn="0" w:lastColumn="0" w:oddVBand="0" w:evenVBand="0" w:oddHBand="0" w:evenHBand="0" w:firstRowFirstColumn="0" w:firstRowLastColumn="0" w:lastRowFirstColumn="0" w:lastRowLastColumn="0"/>
            </w:pPr>
            <w:r w:rsidRPr="001D582C">
              <w:t>4.8</w:t>
            </w:r>
          </w:p>
        </w:tc>
        <w:tc>
          <w:tcPr>
            <w:tcW w:w="387" w:type="pct"/>
          </w:tcPr>
          <w:p w:rsidR="00AB1989" w:rsidRPr="001D582C" w:rsidRDefault="00AB1989" w:rsidP="00AB1989">
            <w:pPr>
              <w:jc w:val="center"/>
              <w:cnfStyle w:val="000000000000" w:firstRow="0" w:lastRow="0" w:firstColumn="0" w:lastColumn="0" w:oddVBand="0" w:evenVBand="0" w:oddHBand="0" w:evenHBand="0" w:firstRowFirstColumn="0" w:firstRowLastColumn="0" w:lastRowFirstColumn="0" w:lastRowLastColumn="0"/>
            </w:pPr>
            <w:r w:rsidRPr="001D582C">
              <w:t>4.7</w:t>
            </w:r>
          </w:p>
        </w:tc>
        <w:tc>
          <w:tcPr>
            <w:tcW w:w="385" w:type="pct"/>
          </w:tcPr>
          <w:p w:rsidR="00AB1989" w:rsidRPr="001D582C" w:rsidRDefault="00AB1989" w:rsidP="00AB1989">
            <w:pPr>
              <w:jc w:val="center"/>
              <w:cnfStyle w:val="000000000000" w:firstRow="0" w:lastRow="0" w:firstColumn="0" w:lastColumn="0" w:oddVBand="0" w:evenVBand="0" w:oddHBand="0" w:evenHBand="0" w:firstRowFirstColumn="0" w:firstRowLastColumn="0" w:lastRowFirstColumn="0" w:lastRowLastColumn="0"/>
            </w:pPr>
            <w:r w:rsidRPr="001D582C">
              <w:t>0.0</w:t>
            </w:r>
          </w:p>
        </w:tc>
        <w:tc>
          <w:tcPr>
            <w:tcW w:w="385" w:type="pct"/>
          </w:tcPr>
          <w:p w:rsidR="00AB1989" w:rsidRPr="001D582C" w:rsidRDefault="00AB1989" w:rsidP="00AB1989">
            <w:pPr>
              <w:jc w:val="center"/>
              <w:cnfStyle w:val="000000000000" w:firstRow="0" w:lastRow="0" w:firstColumn="0" w:lastColumn="0" w:oddVBand="0" w:evenVBand="0" w:oddHBand="0" w:evenHBand="0" w:firstRowFirstColumn="0" w:firstRowLastColumn="0" w:lastRowFirstColumn="0" w:lastRowLastColumn="0"/>
            </w:pPr>
            <w:r w:rsidRPr="001D582C">
              <w:t>0.0</w:t>
            </w:r>
          </w:p>
        </w:tc>
        <w:tc>
          <w:tcPr>
            <w:tcW w:w="385" w:type="pct"/>
          </w:tcPr>
          <w:p w:rsidR="00AB1989" w:rsidRPr="001D582C" w:rsidRDefault="00AB1989" w:rsidP="00AB1989">
            <w:pPr>
              <w:jc w:val="center"/>
              <w:cnfStyle w:val="000000000000" w:firstRow="0" w:lastRow="0" w:firstColumn="0" w:lastColumn="0" w:oddVBand="0" w:evenVBand="0" w:oddHBand="0" w:evenHBand="0" w:firstRowFirstColumn="0" w:firstRowLastColumn="0" w:lastRowFirstColumn="0" w:lastRowLastColumn="0"/>
            </w:pPr>
            <w:r w:rsidRPr="001D582C">
              <w:t>0.0</w:t>
            </w:r>
          </w:p>
        </w:tc>
        <w:tc>
          <w:tcPr>
            <w:tcW w:w="385" w:type="pct"/>
          </w:tcPr>
          <w:p w:rsidR="00AB1989" w:rsidRPr="001D582C" w:rsidRDefault="00AB1989" w:rsidP="00AB1989">
            <w:pPr>
              <w:jc w:val="center"/>
              <w:cnfStyle w:val="000000000000" w:firstRow="0" w:lastRow="0" w:firstColumn="0" w:lastColumn="0" w:oddVBand="0" w:evenVBand="0" w:oddHBand="0" w:evenHBand="0" w:firstRowFirstColumn="0" w:firstRowLastColumn="0" w:lastRowFirstColumn="0" w:lastRowLastColumn="0"/>
            </w:pPr>
            <w:r w:rsidRPr="001D582C">
              <w:t>0.0</w:t>
            </w:r>
          </w:p>
        </w:tc>
        <w:tc>
          <w:tcPr>
            <w:tcW w:w="385" w:type="pct"/>
          </w:tcPr>
          <w:p w:rsidR="00AB1989" w:rsidRPr="001D582C" w:rsidRDefault="00AB1989" w:rsidP="00AB1989">
            <w:pPr>
              <w:jc w:val="center"/>
              <w:cnfStyle w:val="000000000000" w:firstRow="0" w:lastRow="0" w:firstColumn="0" w:lastColumn="0" w:oddVBand="0" w:evenVBand="0" w:oddHBand="0" w:evenHBand="0" w:firstRowFirstColumn="0" w:firstRowLastColumn="0" w:lastRowFirstColumn="0" w:lastRowLastColumn="0"/>
            </w:pPr>
            <w:r w:rsidRPr="001D582C">
              <w:t>0.0</w:t>
            </w:r>
          </w:p>
        </w:tc>
        <w:tc>
          <w:tcPr>
            <w:tcW w:w="385" w:type="pct"/>
          </w:tcPr>
          <w:p w:rsidR="00AB1989" w:rsidRPr="001D582C" w:rsidRDefault="00AB1989" w:rsidP="00AB1989">
            <w:pPr>
              <w:jc w:val="center"/>
              <w:cnfStyle w:val="000000000000" w:firstRow="0" w:lastRow="0" w:firstColumn="0" w:lastColumn="0" w:oddVBand="0" w:evenVBand="0" w:oddHBand="0" w:evenHBand="0" w:firstRowFirstColumn="0" w:firstRowLastColumn="0" w:lastRowFirstColumn="0" w:lastRowLastColumn="0"/>
            </w:pPr>
            <w:r w:rsidRPr="001D582C">
              <w:t>0.0</w:t>
            </w:r>
          </w:p>
        </w:tc>
      </w:tr>
      <w:tr w:rsidR="00AB1989" w:rsidRPr="00BA0FBF" w:rsidTr="00AB198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43" w:type="pct"/>
          </w:tcPr>
          <w:p w:rsidR="00AB1989" w:rsidRPr="009B1030" w:rsidRDefault="00AB1989" w:rsidP="009B1030">
            <w:pPr>
              <w:pStyle w:val="TableText"/>
              <w:rPr>
                <w:b/>
              </w:rPr>
            </w:pPr>
            <w:r w:rsidRPr="009B1030">
              <w:rPr>
                <w:b/>
              </w:rPr>
              <w:t>Relative impact (%)</w:t>
            </w:r>
          </w:p>
        </w:tc>
        <w:tc>
          <w:tcPr>
            <w:tcW w:w="387" w:type="pct"/>
          </w:tcPr>
          <w:p w:rsidR="00AB1989" w:rsidRPr="00AB1989" w:rsidRDefault="00AB1989" w:rsidP="00AB1989">
            <w:pPr>
              <w:jc w:val="center"/>
              <w:cnfStyle w:val="000000100000" w:firstRow="0" w:lastRow="0" w:firstColumn="0" w:lastColumn="0" w:oddVBand="0" w:evenVBand="0" w:oddHBand="1" w:evenHBand="0" w:firstRowFirstColumn="0" w:firstRowLastColumn="0" w:lastRowFirstColumn="0" w:lastRowLastColumn="0"/>
              <w:rPr>
                <w:b/>
              </w:rPr>
            </w:pPr>
            <w:r w:rsidRPr="00AB1989">
              <w:rPr>
                <w:b/>
              </w:rPr>
              <w:t>0.0</w:t>
            </w:r>
          </w:p>
        </w:tc>
        <w:tc>
          <w:tcPr>
            <w:tcW w:w="387" w:type="pct"/>
          </w:tcPr>
          <w:p w:rsidR="00AB1989" w:rsidRPr="00AB1989" w:rsidRDefault="00AB1989" w:rsidP="00AB1989">
            <w:pPr>
              <w:jc w:val="center"/>
              <w:cnfStyle w:val="000000100000" w:firstRow="0" w:lastRow="0" w:firstColumn="0" w:lastColumn="0" w:oddVBand="0" w:evenVBand="0" w:oddHBand="1" w:evenHBand="0" w:firstRowFirstColumn="0" w:firstRowLastColumn="0" w:lastRowFirstColumn="0" w:lastRowLastColumn="0"/>
              <w:rPr>
                <w:b/>
              </w:rPr>
            </w:pPr>
            <w:r w:rsidRPr="00AB1989">
              <w:rPr>
                <w:b/>
              </w:rPr>
              <w:t>0.0</w:t>
            </w:r>
          </w:p>
        </w:tc>
        <w:tc>
          <w:tcPr>
            <w:tcW w:w="385" w:type="pct"/>
          </w:tcPr>
          <w:p w:rsidR="00AB1989" w:rsidRPr="00AB1989" w:rsidRDefault="00AB1989" w:rsidP="00AB1989">
            <w:pPr>
              <w:jc w:val="center"/>
              <w:cnfStyle w:val="000000100000" w:firstRow="0" w:lastRow="0" w:firstColumn="0" w:lastColumn="0" w:oddVBand="0" w:evenVBand="0" w:oddHBand="1" w:evenHBand="0" w:firstRowFirstColumn="0" w:firstRowLastColumn="0" w:lastRowFirstColumn="0" w:lastRowLastColumn="0"/>
              <w:rPr>
                <w:b/>
              </w:rPr>
            </w:pPr>
            <w:r w:rsidRPr="00AB1989">
              <w:rPr>
                <w:b/>
              </w:rPr>
              <w:t>0.0</w:t>
            </w:r>
          </w:p>
        </w:tc>
        <w:tc>
          <w:tcPr>
            <w:tcW w:w="387" w:type="pct"/>
          </w:tcPr>
          <w:p w:rsidR="00AB1989" w:rsidRPr="00AB1989" w:rsidRDefault="00AB1989" w:rsidP="00AB1989">
            <w:pPr>
              <w:jc w:val="center"/>
              <w:cnfStyle w:val="000000100000" w:firstRow="0" w:lastRow="0" w:firstColumn="0" w:lastColumn="0" w:oddVBand="0" w:evenVBand="0" w:oddHBand="1" w:evenHBand="0" w:firstRowFirstColumn="0" w:firstRowLastColumn="0" w:lastRowFirstColumn="0" w:lastRowLastColumn="0"/>
              <w:rPr>
                <w:b/>
              </w:rPr>
            </w:pPr>
            <w:r w:rsidRPr="00AB1989">
              <w:rPr>
                <w:b/>
              </w:rPr>
              <w:t>0.0</w:t>
            </w:r>
          </w:p>
        </w:tc>
        <w:tc>
          <w:tcPr>
            <w:tcW w:w="385" w:type="pct"/>
          </w:tcPr>
          <w:p w:rsidR="00AB1989" w:rsidRPr="00AB1989" w:rsidRDefault="00AB1989" w:rsidP="00AB1989">
            <w:pPr>
              <w:jc w:val="center"/>
              <w:cnfStyle w:val="000000100000" w:firstRow="0" w:lastRow="0" w:firstColumn="0" w:lastColumn="0" w:oddVBand="0" w:evenVBand="0" w:oddHBand="1" w:evenHBand="0" w:firstRowFirstColumn="0" w:firstRowLastColumn="0" w:lastRowFirstColumn="0" w:lastRowLastColumn="0"/>
              <w:rPr>
                <w:b/>
              </w:rPr>
            </w:pPr>
            <w:r w:rsidRPr="00AB1989">
              <w:rPr>
                <w:b/>
              </w:rPr>
              <w:t>4.0</w:t>
            </w:r>
          </w:p>
        </w:tc>
        <w:tc>
          <w:tcPr>
            <w:tcW w:w="385" w:type="pct"/>
          </w:tcPr>
          <w:p w:rsidR="00AB1989" w:rsidRPr="00AB1989" w:rsidRDefault="00AB1989" w:rsidP="00AB1989">
            <w:pPr>
              <w:jc w:val="center"/>
              <w:cnfStyle w:val="000000100000" w:firstRow="0" w:lastRow="0" w:firstColumn="0" w:lastColumn="0" w:oddVBand="0" w:evenVBand="0" w:oddHBand="1" w:evenHBand="0" w:firstRowFirstColumn="0" w:firstRowLastColumn="0" w:lastRowFirstColumn="0" w:lastRowLastColumn="0"/>
              <w:rPr>
                <w:b/>
              </w:rPr>
            </w:pPr>
            <w:r w:rsidRPr="00AB1989">
              <w:rPr>
                <w:b/>
              </w:rPr>
              <w:t>3.9</w:t>
            </w:r>
          </w:p>
        </w:tc>
        <w:tc>
          <w:tcPr>
            <w:tcW w:w="385" w:type="pct"/>
          </w:tcPr>
          <w:p w:rsidR="00AB1989" w:rsidRPr="00AB1989" w:rsidRDefault="00AB1989" w:rsidP="00AB1989">
            <w:pPr>
              <w:jc w:val="center"/>
              <w:cnfStyle w:val="000000100000" w:firstRow="0" w:lastRow="0" w:firstColumn="0" w:lastColumn="0" w:oddVBand="0" w:evenVBand="0" w:oddHBand="1" w:evenHBand="0" w:firstRowFirstColumn="0" w:firstRowLastColumn="0" w:lastRowFirstColumn="0" w:lastRowLastColumn="0"/>
              <w:rPr>
                <w:b/>
              </w:rPr>
            </w:pPr>
            <w:r w:rsidRPr="00AB1989">
              <w:rPr>
                <w:b/>
              </w:rPr>
              <w:t>3.5</w:t>
            </w:r>
          </w:p>
        </w:tc>
        <w:tc>
          <w:tcPr>
            <w:tcW w:w="385" w:type="pct"/>
          </w:tcPr>
          <w:p w:rsidR="00AB1989" w:rsidRPr="00AB1989" w:rsidRDefault="00AB1989" w:rsidP="00AB1989">
            <w:pPr>
              <w:jc w:val="center"/>
              <w:cnfStyle w:val="000000100000" w:firstRow="0" w:lastRow="0" w:firstColumn="0" w:lastColumn="0" w:oddVBand="0" w:evenVBand="0" w:oddHBand="1" w:evenHBand="0" w:firstRowFirstColumn="0" w:firstRowLastColumn="0" w:lastRowFirstColumn="0" w:lastRowLastColumn="0"/>
              <w:rPr>
                <w:b/>
              </w:rPr>
            </w:pPr>
            <w:r w:rsidRPr="00AB1989">
              <w:rPr>
                <w:b/>
              </w:rPr>
              <w:t>3.3</w:t>
            </w:r>
          </w:p>
        </w:tc>
        <w:tc>
          <w:tcPr>
            <w:tcW w:w="385" w:type="pct"/>
          </w:tcPr>
          <w:p w:rsidR="00AB1989" w:rsidRPr="00AB1989" w:rsidRDefault="00AB1989" w:rsidP="00AB1989">
            <w:pPr>
              <w:jc w:val="center"/>
              <w:cnfStyle w:val="000000100000" w:firstRow="0" w:lastRow="0" w:firstColumn="0" w:lastColumn="0" w:oddVBand="0" w:evenVBand="0" w:oddHBand="1" w:evenHBand="0" w:firstRowFirstColumn="0" w:firstRowLastColumn="0" w:lastRowFirstColumn="0" w:lastRowLastColumn="0"/>
              <w:rPr>
                <w:b/>
              </w:rPr>
            </w:pPr>
            <w:r w:rsidRPr="00AB1989">
              <w:rPr>
                <w:b/>
              </w:rPr>
              <w:t>3.2</w:t>
            </w:r>
          </w:p>
        </w:tc>
        <w:tc>
          <w:tcPr>
            <w:tcW w:w="385" w:type="pct"/>
          </w:tcPr>
          <w:p w:rsidR="00AB1989" w:rsidRPr="00AB1989" w:rsidRDefault="00AB1989" w:rsidP="00AB1989">
            <w:pPr>
              <w:jc w:val="center"/>
              <w:cnfStyle w:val="000000100000" w:firstRow="0" w:lastRow="0" w:firstColumn="0" w:lastColumn="0" w:oddVBand="0" w:evenVBand="0" w:oddHBand="1" w:evenHBand="0" w:firstRowFirstColumn="0" w:firstRowLastColumn="0" w:lastRowFirstColumn="0" w:lastRowLastColumn="0"/>
              <w:rPr>
                <w:b/>
              </w:rPr>
            </w:pPr>
            <w:r w:rsidRPr="00AB1989">
              <w:rPr>
                <w:b/>
              </w:rPr>
              <w:t>2.5</w:t>
            </w:r>
          </w:p>
        </w:tc>
      </w:tr>
    </w:tbl>
    <w:p w:rsidR="003C58BB" w:rsidRDefault="003C58BB" w:rsidP="003C58BB">
      <w:pPr>
        <w:pStyle w:val="Source"/>
      </w:pPr>
      <w:r>
        <w:t xml:space="preserve">Source: </w:t>
      </w:r>
      <w:r w:rsidR="006A4F9B">
        <w:t>PBO analysis based on data from the ABS and Treasury</w:t>
      </w:r>
    </w:p>
    <w:p w:rsidR="002F78A1" w:rsidRPr="00BA0FBF" w:rsidRDefault="00C97F16" w:rsidP="00742476">
      <w:pPr>
        <w:pStyle w:val="BodyText17ptAbove"/>
      </w:pPr>
      <w:r w:rsidRPr="00BA0FBF">
        <w:fldChar w:fldCharType="begin"/>
      </w:r>
      <w:r w:rsidRPr="00BA0FBF">
        <w:instrText xml:space="preserve"> REF _Ref436662533 \h </w:instrText>
      </w:r>
      <w:r w:rsidR="00BA0FBF">
        <w:instrText xml:space="preserve"> \* MERGEFORMAT </w:instrText>
      </w:r>
      <w:r w:rsidRPr="00BA0FBF">
        <w:fldChar w:fldCharType="separate"/>
      </w:r>
      <w:r w:rsidR="00076CF9" w:rsidRPr="00076CF9">
        <w:t>Table 4–12</w:t>
      </w:r>
      <w:r w:rsidRPr="00BA0FBF">
        <w:fldChar w:fldCharType="end"/>
      </w:r>
      <w:r w:rsidR="002F78A1" w:rsidRPr="00BA0FBF">
        <w:t xml:space="preserve"> </w:t>
      </w:r>
      <w:r w:rsidR="00883C03" w:rsidRPr="00BA0FBF">
        <w:t xml:space="preserve">summarises the distribution of the GST revenue collected under Scenario </w:t>
      </w:r>
      <w:r w:rsidR="00883C03">
        <w:t>4</w:t>
      </w:r>
      <w:r w:rsidR="00883C03" w:rsidRPr="00BA0FBF">
        <w:t xml:space="preserve"> by decile of household disposable income before and after the assumed compensation package. </w:t>
      </w:r>
      <w:r w:rsidR="00883C03">
        <w:t xml:space="preserve"> It shows that if the GST were increased to 15 per cent and applied to basi</w:t>
      </w:r>
      <w:r w:rsidR="0057704F">
        <w:t>c</w:t>
      </w:r>
      <w:r w:rsidR="00883C03">
        <w:t xml:space="preserve"> food in 2017-18, the bottom 40 per cent of households would pay an additional $11.3 billion</w:t>
      </w:r>
      <w:r w:rsidR="00883C03" w:rsidRPr="00BA0FBF">
        <w:t xml:space="preserve"> </w:t>
      </w:r>
      <w:r w:rsidR="00883C03">
        <w:t xml:space="preserve">in GST (or 26 per cent of the additional GST revenue), while the top 40 per cent of households would pay an additional $23.0 billion (or 54 per cent </w:t>
      </w:r>
      <w:r w:rsidR="00FE6DA1">
        <w:t>of the additional GST revenue).</w:t>
      </w:r>
    </w:p>
    <w:p w:rsidR="00C97F16" w:rsidRPr="00BA0FBF" w:rsidRDefault="00C97F16" w:rsidP="00C97F16">
      <w:pPr>
        <w:pStyle w:val="Caption"/>
        <w:rPr>
          <w:sz w:val="20"/>
        </w:rPr>
      </w:pPr>
      <w:bookmarkStart w:id="216" w:name="_Ref436662533"/>
      <w:bookmarkStart w:id="217" w:name="_Toc436664569"/>
      <w:bookmarkStart w:id="218" w:name="_Toc436917816"/>
      <w:bookmarkStart w:id="219" w:name="_Toc437429574"/>
      <w:r w:rsidRPr="00BA0FBF">
        <w:rPr>
          <w:sz w:val="20"/>
        </w:rPr>
        <w:t xml:space="preserve">Table </w:t>
      </w:r>
      <w:r w:rsidRPr="00BA0FBF">
        <w:rPr>
          <w:sz w:val="20"/>
        </w:rPr>
        <w:fldChar w:fldCharType="begin"/>
      </w:r>
      <w:r w:rsidRPr="00BA0FBF">
        <w:rPr>
          <w:sz w:val="20"/>
        </w:rPr>
        <w:instrText xml:space="preserve"> STYLEREF 1 \s </w:instrText>
      </w:r>
      <w:r w:rsidRPr="00BA0FBF">
        <w:rPr>
          <w:sz w:val="20"/>
        </w:rPr>
        <w:fldChar w:fldCharType="separate"/>
      </w:r>
      <w:r w:rsidR="00076CF9">
        <w:rPr>
          <w:noProof/>
          <w:sz w:val="20"/>
        </w:rPr>
        <w:t>4</w:t>
      </w:r>
      <w:r w:rsidRPr="00BA0FBF">
        <w:rPr>
          <w:sz w:val="20"/>
        </w:rPr>
        <w:fldChar w:fldCharType="end"/>
      </w:r>
      <w:r w:rsidRPr="00BA0FBF">
        <w:rPr>
          <w:sz w:val="20"/>
        </w:rPr>
        <w:t>–</w:t>
      </w:r>
      <w:r w:rsidRPr="00BA0FBF">
        <w:rPr>
          <w:sz w:val="20"/>
        </w:rPr>
        <w:fldChar w:fldCharType="begin"/>
      </w:r>
      <w:r w:rsidRPr="00BA0FBF">
        <w:rPr>
          <w:sz w:val="20"/>
        </w:rPr>
        <w:instrText xml:space="preserve"> SEQ Table \* ARABIC \s 1 </w:instrText>
      </w:r>
      <w:r w:rsidRPr="00BA0FBF">
        <w:rPr>
          <w:sz w:val="20"/>
        </w:rPr>
        <w:fldChar w:fldCharType="separate"/>
      </w:r>
      <w:r w:rsidR="00076CF9">
        <w:rPr>
          <w:noProof/>
          <w:sz w:val="20"/>
        </w:rPr>
        <w:t>12</w:t>
      </w:r>
      <w:r w:rsidRPr="00BA0FBF">
        <w:rPr>
          <w:sz w:val="20"/>
        </w:rPr>
        <w:fldChar w:fldCharType="end"/>
      </w:r>
      <w:bookmarkEnd w:id="216"/>
      <w:r w:rsidRPr="00BA0FBF">
        <w:rPr>
          <w:sz w:val="20"/>
        </w:rPr>
        <w:t>: Net</w:t>
      </w:r>
      <w:r w:rsidR="00D02DAC">
        <w:rPr>
          <w:sz w:val="20"/>
        </w:rPr>
        <w:t xml:space="preserve"> additional</w:t>
      </w:r>
      <w:r w:rsidRPr="00BA0FBF">
        <w:rPr>
          <w:sz w:val="20"/>
        </w:rPr>
        <w:t xml:space="preserve"> GST revenue: absolute impact </w:t>
      </w:r>
      <w:r w:rsidR="009047C1">
        <w:rPr>
          <w:sz w:val="20"/>
        </w:rPr>
        <w:t xml:space="preserve">of </w:t>
      </w:r>
      <w:r w:rsidRPr="00BA0FBF">
        <w:rPr>
          <w:sz w:val="20"/>
        </w:rPr>
        <w:t>Scenario 4</w:t>
      </w:r>
      <w:bookmarkEnd w:id="217"/>
      <w:r w:rsidR="009047C1">
        <w:rPr>
          <w:sz w:val="20"/>
        </w:rPr>
        <w:t xml:space="preserve"> (</w:t>
      </w:r>
      <w:r w:rsidR="009F3257" w:rsidRPr="00BA0FBF">
        <w:rPr>
          <w:sz w:val="20"/>
        </w:rPr>
        <w:t>15 per cent</w:t>
      </w:r>
      <w:r w:rsidR="009F3257">
        <w:rPr>
          <w:sz w:val="20"/>
        </w:rPr>
        <w:t xml:space="preserve"> GST</w:t>
      </w:r>
      <w:r w:rsidR="009047C1">
        <w:rPr>
          <w:sz w:val="20"/>
        </w:rPr>
        <w:t>; basic food subject to GST)</w:t>
      </w:r>
      <w:bookmarkEnd w:id="218"/>
      <w:bookmarkEnd w:id="219"/>
    </w:p>
    <w:tbl>
      <w:tblPr>
        <w:tblStyle w:val="TableGrid"/>
        <w:tblW w:w="5031" w:type="pct"/>
        <w:tblLayout w:type="fixed"/>
        <w:tblLook w:val="04A0" w:firstRow="1" w:lastRow="0" w:firstColumn="1" w:lastColumn="0" w:noHBand="0" w:noVBand="1"/>
      </w:tblPr>
      <w:tblGrid>
        <w:gridCol w:w="1418"/>
        <w:gridCol w:w="627"/>
        <w:gridCol w:w="626"/>
        <w:gridCol w:w="627"/>
        <w:gridCol w:w="627"/>
        <w:gridCol w:w="627"/>
        <w:gridCol w:w="627"/>
        <w:gridCol w:w="627"/>
        <w:gridCol w:w="627"/>
        <w:gridCol w:w="627"/>
        <w:gridCol w:w="627"/>
        <w:gridCol w:w="677"/>
      </w:tblGrid>
      <w:tr w:rsidR="00883C03" w:rsidRPr="00BA0FBF" w:rsidTr="0034643D">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847" w:type="pct"/>
          </w:tcPr>
          <w:p w:rsidR="00883C03" w:rsidRPr="00BA0FBF" w:rsidRDefault="00883C03">
            <w:pPr>
              <w:pStyle w:val="TableHeading"/>
            </w:pPr>
            <w:r w:rsidRPr="00BA0FBF">
              <w:t>2017–18</w:t>
            </w:r>
            <w:r>
              <w:t xml:space="preserve"> ($b)</w:t>
            </w:r>
          </w:p>
        </w:tc>
        <w:tc>
          <w:tcPr>
            <w:tcW w:w="374" w:type="pct"/>
          </w:tcPr>
          <w:p w:rsidR="00883C03" w:rsidRPr="00BA0FBF" w:rsidRDefault="00883C03" w:rsidP="002418E7">
            <w:pPr>
              <w:pStyle w:val="TableHeading"/>
              <w:cnfStyle w:val="100000000000" w:firstRow="1" w:lastRow="0" w:firstColumn="0" w:lastColumn="0" w:oddVBand="0" w:evenVBand="0" w:oddHBand="0" w:evenHBand="0" w:firstRowFirstColumn="0" w:firstRowLastColumn="0" w:lastRowFirstColumn="0" w:lastRowLastColumn="0"/>
            </w:pPr>
            <w:r w:rsidRPr="00BA0FBF">
              <w:t>D1</w:t>
            </w:r>
          </w:p>
        </w:tc>
        <w:tc>
          <w:tcPr>
            <w:tcW w:w="374" w:type="pct"/>
          </w:tcPr>
          <w:p w:rsidR="00883C03" w:rsidRPr="00BA0FBF" w:rsidRDefault="00883C03" w:rsidP="002418E7">
            <w:pPr>
              <w:pStyle w:val="TableHeading"/>
              <w:cnfStyle w:val="100000000000" w:firstRow="1" w:lastRow="0" w:firstColumn="0" w:lastColumn="0" w:oddVBand="0" w:evenVBand="0" w:oddHBand="0" w:evenHBand="0" w:firstRowFirstColumn="0" w:firstRowLastColumn="0" w:lastRowFirstColumn="0" w:lastRowLastColumn="0"/>
            </w:pPr>
            <w:r w:rsidRPr="00BA0FBF">
              <w:t>D2</w:t>
            </w:r>
          </w:p>
        </w:tc>
        <w:tc>
          <w:tcPr>
            <w:tcW w:w="375" w:type="pct"/>
          </w:tcPr>
          <w:p w:rsidR="00883C03" w:rsidRPr="00BA0FBF" w:rsidRDefault="00883C03" w:rsidP="002418E7">
            <w:pPr>
              <w:pStyle w:val="TableHeading"/>
              <w:cnfStyle w:val="100000000000" w:firstRow="1" w:lastRow="0" w:firstColumn="0" w:lastColumn="0" w:oddVBand="0" w:evenVBand="0" w:oddHBand="0" w:evenHBand="0" w:firstRowFirstColumn="0" w:firstRowLastColumn="0" w:lastRowFirstColumn="0" w:lastRowLastColumn="0"/>
            </w:pPr>
            <w:r w:rsidRPr="00BA0FBF">
              <w:t>D3</w:t>
            </w:r>
          </w:p>
        </w:tc>
        <w:tc>
          <w:tcPr>
            <w:tcW w:w="375" w:type="pct"/>
          </w:tcPr>
          <w:p w:rsidR="00883C03" w:rsidRPr="00BA0FBF" w:rsidRDefault="00883C03" w:rsidP="002418E7">
            <w:pPr>
              <w:pStyle w:val="TableHeading"/>
              <w:cnfStyle w:val="100000000000" w:firstRow="1" w:lastRow="0" w:firstColumn="0" w:lastColumn="0" w:oddVBand="0" w:evenVBand="0" w:oddHBand="0" w:evenHBand="0" w:firstRowFirstColumn="0" w:firstRowLastColumn="0" w:lastRowFirstColumn="0" w:lastRowLastColumn="0"/>
            </w:pPr>
            <w:r w:rsidRPr="00BA0FBF">
              <w:t>D4</w:t>
            </w:r>
          </w:p>
        </w:tc>
        <w:tc>
          <w:tcPr>
            <w:tcW w:w="375" w:type="pct"/>
          </w:tcPr>
          <w:p w:rsidR="00883C03" w:rsidRPr="00BA0FBF" w:rsidRDefault="00883C03" w:rsidP="002418E7">
            <w:pPr>
              <w:pStyle w:val="TableHeading"/>
              <w:cnfStyle w:val="100000000000" w:firstRow="1" w:lastRow="0" w:firstColumn="0" w:lastColumn="0" w:oddVBand="0" w:evenVBand="0" w:oddHBand="0" w:evenHBand="0" w:firstRowFirstColumn="0" w:firstRowLastColumn="0" w:lastRowFirstColumn="0" w:lastRowLastColumn="0"/>
            </w:pPr>
            <w:r w:rsidRPr="00BA0FBF">
              <w:t>D5</w:t>
            </w:r>
          </w:p>
        </w:tc>
        <w:tc>
          <w:tcPr>
            <w:tcW w:w="375" w:type="pct"/>
          </w:tcPr>
          <w:p w:rsidR="00883C03" w:rsidRPr="00BA0FBF" w:rsidRDefault="00883C03" w:rsidP="002418E7">
            <w:pPr>
              <w:pStyle w:val="TableHeading"/>
              <w:cnfStyle w:val="100000000000" w:firstRow="1" w:lastRow="0" w:firstColumn="0" w:lastColumn="0" w:oddVBand="0" w:evenVBand="0" w:oddHBand="0" w:evenHBand="0" w:firstRowFirstColumn="0" w:firstRowLastColumn="0" w:lastRowFirstColumn="0" w:lastRowLastColumn="0"/>
            </w:pPr>
            <w:r w:rsidRPr="00BA0FBF">
              <w:t>D6</w:t>
            </w:r>
          </w:p>
        </w:tc>
        <w:tc>
          <w:tcPr>
            <w:tcW w:w="375" w:type="pct"/>
          </w:tcPr>
          <w:p w:rsidR="00883C03" w:rsidRPr="00BA0FBF" w:rsidRDefault="00883C03" w:rsidP="002418E7">
            <w:pPr>
              <w:pStyle w:val="TableHeading"/>
              <w:cnfStyle w:val="100000000000" w:firstRow="1" w:lastRow="0" w:firstColumn="0" w:lastColumn="0" w:oddVBand="0" w:evenVBand="0" w:oddHBand="0" w:evenHBand="0" w:firstRowFirstColumn="0" w:firstRowLastColumn="0" w:lastRowFirstColumn="0" w:lastRowLastColumn="0"/>
            </w:pPr>
            <w:r w:rsidRPr="00BA0FBF">
              <w:t>D7</w:t>
            </w:r>
          </w:p>
        </w:tc>
        <w:tc>
          <w:tcPr>
            <w:tcW w:w="375" w:type="pct"/>
          </w:tcPr>
          <w:p w:rsidR="00883C03" w:rsidRPr="00BA0FBF" w:rsidRDefault="00883C03" w:rsidP="002418E7">
            <w:pPr>
              <w:pStyle w:val="TableHeading"/>
              <w:cnfStyle w:val="100000000000" w:firstRow="1" w:lastRow="0" w:firstColumn="0" w:lastColumn="0" w:oddVBand="0" w:evenVBand="0" w:oddHBand="0" w:evenHBand="0" w:firstRowFirstColumn="0" w:firstRowLastColumn="0" w:lastRowFirstColumn="0" w:lastRowLastColumn="0"/>
            </w:pPr>
            <w:r w:rsidRPr="00BA0FBF">
              <w:t>D8</w:t>
            </w:r>
          </w:p>
        </w:tc>
        <w:tc>
          <w:tcPr>
            <w:tcW w:w="375" w:type="pct"/>
          </w:tcPr>
          <w:p w:rsidR="00883C03" w:rsidRPr="00BA0FBF" w:rsidRDefault="00883C03" w:rsidP="002418E7">
            <w:pPr>
              <w:pStyle w:val="TableHeading"/>
              <w:cnfStyle w:val="100000000000" w:firstRow="1" w:lastRow="0" w:firstColumn="0" w:lastColumn="0" w:oddVBand="0" w:evenVBand="0" w:oddHBand="0" w:evenHBand="0" w:firstRowFirstColumn="0" w:firstRowLastColumn="0" w:lastRowFirstColumn="0" w:lastRowLastColumn="0"/>
            </w:pPr>
            <w:r w:rsidRPr="00BA0FBF">
              <w:t>D9</w:t>
            </w:r>
          </w:p>
        </w:tc>
        <w:tc>
          <w:tcPr>
            <w:tcW w:w="375" w:type="pct"/>
          </w:tcPr>
          <w:p w:rsidR="00883C03" w:rsidRPr="00BA0FBF" w:rsidRDefault="00883C03" w:rsidP="002418E7">
            <w:pPr>
              <w:pStyle w:val="TableHeading"/>
              <w:cnfStyle w:val="100000000000" w:firstRow="1" w:lastRow="0" w:firstColumn="0" w:lastColumn="0" w:oddVBand="0" w:evenVBand="0" w:oddHBand="0" w:evenHBand="0" w:firstRowFirstColumn="0" w:firstRowLastColumn="0" w:lastRowFirstColumn="0" w:lastRowLastColumn="0"/>
            </w:pPr>
            <w:r w:rsidRPr="00BA0FBF">
              <w:t>D10</w:t>
            </w:r>
          </w:p>
        </w:tc>
        <w:tc>
          <w:tcPr>
            <w:tcW w:w="406" w:type="pct"/>
          </w:tcPr>
          <w:p w:rsidR="00883C03" w:rsidRPr="00BA0FBF" w:rsidRDefault="00883C03" w:rsidP="002418E7">
            <w:pPr>
              <w:pStyle w:val="TableHeading"/>
              <w:cnfStyle w:val="100000000000" w:firstRow="1" w:lastRow="0" w:firstColumn="0" w:lastColumn="0" w:oddVBand="0" w:evenVBand="0" w:oddHBand="0" w:evenHBand="0" w:firstRowFirstColumn="0" w:firstRowLastColumn="0" w:lastRowFirstColumn="0" w:lastRowLastColumn="0"/>
            </w:pPr>
            <w:r>
              <w:t>Total</w:t>
            </w:r>
          </w:p>
        </w:tc>
      </w:tr>
      <w:tr w:rsidR="00883C03" w:rsidRPr="00BA0FBF" w:rsidTr="0034643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47" w:type="pct"/>
          </w:tcPr>
          <w:p w:rsidR="00883C03" w:rsidRPr="002418E7" w:rsidRDefault="00883C03" w:rsidP="00C97F16">
            <w:pPr>
              <w:pStyle w:val="TableText"/>
              <w:keepNext/>
              <w:keepLines/>
            </w:pPr>
            <w:r>
              <w:t>Additional GST r</w:t>
            </w:r>
            <w:r w:rsidRPr="002418E7">
              <w:t>evenue</w:t>
            </w:r>
          </w:p>
        </w:tc>
        <w:tc>
          <w:tcPr>
            <w:tcW w:w="374" w:type="pct"/>
          </w:tcPr>
          <w:p w:rsidR="00883C03" w:rsidRPr="00715583" w:rsidRDefault="00883C03">
            <w:pPr>
              <w:jc w:val="center"/>
              <w:cnfStyle w:val="000000100000" w:firstRow="0" w:lastRow="0" w:firstColumn="0" w:lastColumn="0" w:oddVBand="0" w:evenVBand="0" w:oddHBand="1" w:evenHBand="0" w:firstRowFirstColumn="0" w:firstRowLastColumn="0" w:lastRowFirstColumn="0" w:lastRowLastColumn="0"/>
            </w:pPr>
            <w:r w:rsidRPr="00E2113B">
              <w:t>2.5</w:t>
            </w:r>
          </w:p>
        </w:tc>
        <w:tc>
          <w:tcPr>
            <w:tcW w:w="374" w:type="pct"/>
          </w:tcPr>
          <w:p w:rsidR="00883C03" w:rsidRPr="00715583" w:rsidRDefault="00883C03">
            <w:pPr>
              <w:jc w:val="center"/>
              <w:cnfStyle w:val="000000100000" w:firstRow="0" w:lastRow="0" w:firstColumn="0" w:lastColumn="0" w:oddVBand="0" w:evenVBand="0" w:oddHBand="1" w:evenHBand="0" w:firstRowFirstColumn="0" w:firstRowLastColumn="0" w:lastRowFirstColumn="0" w:lastRowLastColumn="0"/>
            </w:pPr>
            <w:r w:rsidRPr="00E2113B">
              <w:t>2.3</w:t>
            </w:r>
          </w:p>
        </w:tc>
        <w:tc>
          <w:tcPr>
            <w:tcW w:w="375" w:type="pct"/>
          </w:tcPr>
          <w:p w:rsidR="00883C03" w:rsidRPr="00715583" w:rsidRDefault="00883C03">
            <w:pPr>
              <w:jc w:val="center"/>
              <w:cnfStyle w:val="000000100000" w:firstRow="0" w:lastRow="0" w:firstColumn="0" w:lastColumn="0" w:oddVBand="0" w:evenVBand="0" w:oddHBand="1" w:evenHBand="0" w:firstRowFirstColumn="0" w:firstRowLastColumn="0" w:lastRowFirstColumn="0" w:lastRowLastColumn="0"/>
            </w:pPr>
            <w:r w:rsidRPr="00E2113B">
              <w:t>2.8</w:t>
            </w:r>
          </w:p>
        </w:tc>
        <w:tc>
          <w:tcPr>
            <w:tcW w:w="375" w:type="pct"/>
          </w:tcPr>
          <w:p w:rsidR="00883C03" w:rsidRPr="00715583" w:rsidRDefault="00883C03">
            <w:pPr>
              <w:jc w:val="center"/>
              <w:cnfStyle w:val="000000100000" w:firstRow="0" w:lastRow="0" w:firstColumn="0" w:lastColumn="0" w:oddVBand="0" w:evenVBand="0" w:oddHBand="1" w:evenHBand="0" w:firstRowFirstColumn="0" w:firstRowLastColumn="0" w:lastRowFirstColumn="0" w:lastRowLastColumn="0"/>
            </w:pPr>
            <w:r w:rsidRPr="00E2113B">
              <w:t>3.7</w:t>
            </w:r>
          </w:p>
        </w:tc>
        <w:tc>
          <w:tcPr>
            <w:tcW w:w="375" w:type="pct"/>
          </w:tcPr>
          <w:p w:rsidR="00883C03" w:rsidRPr="00715583" w:rsidRDefault="00883C03">
            <w:pPr>
              <w:jc w:val="center"/>
              <w:cnfStyle w:val="000000100000" w:firstRow="0" w:lastRow="0" w:firstColumn="0" w:lastColumn="0" w:oddVBand="0" w:evenVBand="0" w:oddHBand="1" w:evenHBand="0" w:firstRowFirstColumn="0" w:firstRowLastColumn="0" w:lastRowFirstColumn="0" w:lastRowLastColumn="0"/>
            </w:pPr>
            <w:r w:rsidRPr="00E2113B">
              <w:t>3.9</w:t>
            </w:r>
          </w:p>
        </w:tc>
        <w:tc>
          <w:tcPr>
            <w:tcW w:w="375" w:type="pct"/>
          </w:tcPr>
          <w:p w:rsidR="00883C03" w:rsidRPr="00715583" w:rsidRDefault="00883C03">
            <w:pPr>
              <w:jc w:val="center"/>
              <w:cnfStyle w:val="000000100000" w:firstRow="0" w:lastRow="0" w:firstColumn="0" w:lastColumn="0" w:oddVBand="0" w:evenVBand="0" w:oddHBand="1" w:evenHBand="0" w:firstRowFirstColumn="0" w:firstRowLastColumn="0" w:lastRowFirstColumn="0" w:lastRowLastColumn="0"/>
            </w:pPr>
            <w:r w:rsidRPr="00E2113B">
              <w:t>4.5</w:t>
            </w:r>
          </w:p>
        </w:tc>
        <w:tc>
          <w:tcPr>
            <w:tcW w:w="375" w:type="pct"/>
          </w:tcPr>
          <w:p w:rsidR="00883C03" w:rsidRPr="00715583" w:rsidRDefault="00883C03">
            <w:pPr>
              <w:jc w:val="center"/>
              <w:cnfStyle w:val="000000100000" w:firstRow="0" w:lastRow="0" w:firstColumn="0" w:lastColumn="0" w:oddVBand="0" w:evenVBand="0" w:oddHBand="1" w:evenHBand="0" w:firstRowFirstColumn="0" w:firstRowLastColumn="0" w:lastRowFirstColumn="0" w:lastRowLastColumn="0"/>
            </w:pPr>
            <w:r w:rsidRPr="00E2113B">
              <w:t>4.7</w:t>
            </w:r>
          </w:p>
        </w:tc>
        <w:tc>
          <w:tcPr>
            <w:tcW w:w="375" w:type="pct"/>
          </w:tcPr>
          <w:p w:rsidR="00883C03" w:rsidRPr="00715583" w:rsidRDefault="00883C03">
            <w:pPr>
              <w:jc w:val="center"/>
              <w:cnfStyle w:val="000000100000" w:firstRow="0" w:lastRow="0" w:firstColumn="0" w:lastColumn="0" w:oddVBand="0" w:evenVBand="0" w:oddHBand="1" w:evenHBand="0" w:firstRowFirstColumn="0" w:firstRowLastColumn="0" w:lastRowFirstColumn="0" w:lastRowLastColumn="0"/>
            </w:pPr>
            <w:r w:rsidRPr="00E2113B">
              <w:t>5.1</w:t>
            </w:r>
          </w:p>
        </w:tc>
        <w:tc>
          <w:tcPr>
            <w:tcW w:w="375" w:type="pct"/>
          </w:tcPr>
          <w:p w:rsidR="00883C03" w:rsidRPr="00715583" w:rsidRDefault="00883C03">
            <w:pPr>
              <w:jc w:val="center"/>
              <w:cnfStyle w:val="000000100000" w:firstRow="0" w:lastRow="0" w:firstColumn="0" w:lastColumn="0" w:oddVBand="0" w:evenVBand="0" w:oddHBand="1" w:evenHBand="0" w:firstRowFirstColumn="0" w:firstRowLastColumn="0" w:lastRowFirstColumn="0" w:lastRowLastColumn="0"/>
            </w:pPr>
            <w:r w:rsidRPr="00E2113B">
              <w:t>5.7</w:t>
            </w:r>
          </w:p>
        </w:tc>
        <w:tc>
          <w:tcPr>
            <w:tcW w:w="375" w:type="pct"/>
          </w:tcPr>
          <w:p w:rsidR="00883C03" w:rsidRPr="00715583" w:rsidRDefault="00883C03">
            <w:pPr>
              <w:jc w:val="center"/>
              <w:cnfStyle w:val="000000100000" w:firstRow="0" w:lastRow="0" w:firstColumn="0" w:lastColumn="0" w:oddVBand="0" w:evenVBand="0" w:oddHBand="1" w:evenHBand="0" w:firstRowFirstColumn="0" w:firstRowLastColumn="0" w:lastRowFirstColumn="0" w:lastRowLastColumn="0"/>
            </w:pPr>
            <w:r w:rsidRPr="00E2113B">
              <w:t>7.5</w:t>
            </w:r>
          </w:p>
        </w:tc>
        <w:tc>
          <w:tcPr>
            <w:tcW w:w="406" w:type="pct"/>
          </w:tcPr>
          <w:p w:rsidR="00883C03" w:rsidRPr="00F7771B" w:rsidRDefault="00883C03">
            <w:pPr>
              <w:jc w:val="center"/>
              <w:cnfStyle w:val="000000100000" w:firstRow="0" w:lastRow="0" w:firstColumn="0" w:lastColumn="0" w:oddVBand="0" w:evenVBand="0" w:oddHBand="1" w:evenHBand="0" w:firstRowFirstColumn="0" w:firstRowLastColumn="0" w:lastRowFirstColumn="0" w:lastRowLastColumn="0"/>
            </w:pPr>
            <w:r w:rsidRPr="00E2113B">
              <w:t>42.7</w:t>
            </w:r>
          </w:p>
        </w:tc>
      </w:tr>
      <w:tr w:rsidR="00883C03" w:rsidRPr="00BA0FBF" w:rsidTr="0034643D">
        <w:trPr>
          <w:cantSplit/>
        </w:trPr>
        <w:tc>
          <w:tcPr>
            <w:cnfStyle w:val="001000000000" w:firstRow="0" w:lastRow="0" w:firstColumn="1" w:lastColumn="0" w:oddVBand="0" w:evenVBand="0" w:oddHBand="0" w:evenHBand="0" w:firstRowFirstColumn="0" w:firstRowLastColumn="0" w:lastRowFirstColumn="0" w:lastRowLastColumn="0"/>
            <w:tcW w:w="847" w:type="pct"/>
          </w:tcPr>
          <w:p w:rsidR="00883C03" w:rsidRPr="002418E7" w:rsidRDefault="00883C03" w:rsidP="00C97F16">
            <w:pPr>
              <w:pStyle w:val="TableText"/>
              <w:keepNext/>
              <w:keepLines/>
            </w:pPr>
            <w:r w:rsidRPr="002418E7">
              <w:t>Compensation</w:t>
            </w:r>
          </w:p>
        </w:tc>
        <w:tc>
          <w:tcPr>
            <w:tcW w:w="374" w:type="pct"/>
          </w:tcPr>
          <w:p w:rsidR="00883C03" w:rsidRPr="00715583" w:rsidRDefault="00883C03">
            <w:pPr>
              <w:jc w:val="center"/>
              <w:cnfStyle w:val="000000000000" w:firstRow="0" w:lastRow="0" w:firstColumn="0" w:lastColumn="0" w:oddVBand="0" w:evenVBand="0" w:oddHBand="0" w:evenHBand="0" w:firstRowFirstColumn="0" w:firstRowLastColumn="0" w:lastRowFirstColumn="0" w:lastRowLastColumn="0"/>
            </w:pPr>
            <w:r w:rsidRPr="00E2113B">
              <w:t>2.5</w:t>
            </w:r>
          </w:p>
        </w:tc>
        <w:tc>
          <w:tcPr>
            <w:tcW w:w="374" w:type="pct"/>
          </w:tcPr>
          <w:p w:rsidR="00883C03" w:rsidRPr="00715583" w:rsidRDefault="00883C03">
            <w:pPr>
              <w:jc w:val="center"/>
              <w:cnfStyle w:val="000000000000" w:firstRow="0" w:lastRow="0" w:firstColumn="0" w:lastColumn="0" w:oddVBand="0" w:evenVBand="0" w:oddHBand="0" w:evenHBand="0" w:firstRowFirstColumn="0" w:firstRowLastColumn="0" w:lastRowFirstColumn="0" w:lastRowLastColumn="0"/>
            </w:pPr>
            <w:r w:rsidRPr="00E2113B">
              <w:t>2.3</w:t>
            </w:r>
          </w:p>
        </w:tc>
        <w:tc>
          <w:tcPr>
            <w:tcW w:w="375" w:type="pct"/>
          </w:tcPr>
          <w:p w:rsidR="00883C03" w:rsidRPr="00715583" w:rsidRDefault="00883C03">
            <w:pPr>
              <w:jc w:val="center"/>
              <w:cnfStyle w:val="000000000000" w:firstRow="0" w:lastRow="0" w:firstColumn="0" w:lastColumn="0" w:oddVBand="0" w:evenVBand="0" w:oddHBand="0" w:evenHBand="0" w:firstRowFirstColumn="0" w:firstRowLastColumn="0" w:lastRowFirstColumn="0" w:lastRowLastColumn="0"/>
            </w:pPr>
            <w:r w:rsidRPr="00E2113B">
              <w:t>2.8</w:t>
            </w:r>
          </w:p>
        </w:tc>
        <w:tc>
          <w:tcPr>
            <w:tcW w:w="375" w:type="pct"/>
          </w:tcPr>
          <w:p w:rsidR="00883C03" w:rsidRPr="00715583" w:rsidRDefault="00883C03">
            <w:pPr>
              <w:jc w:val="center"/>
              <w:cnfStyle w:val="000000000000" w:firstRow="0" w:lastRow="0" w:firstColumn="0" w:lastColumn="0" w:oddVBand="0" w:evenVBand="0" w:oddHBand="0" w:evenHBand="0" w:firstRowFirstColumn="0" w:firstRowLastColumn="0" w:lastRowFirstColumn="0" w:lastRowLastColumn="0"/>
            </w:pPr>
            <w:r w:rsidRPr="00E2113B">
              <w:t>3.7</w:t>
            </w:r>
          </w:p>
        </w:tc>
        <w:tc>
          <w:tcPr>
            <w:tcW w:w="375" w:type="pct"/>
          </w:tcPr>
          <w:p w:rsidR="00883C03" w:rsidRPr="00715583" w:rsidRDefault="00883C03">
            <w:pPr>
              <w:jc w:val="center"/>
              <w:cnfStyle w:val="000000000000" w:firstRow="0" w:lastRow="0" w:firstColumn="0" w:lastColumn="0" w:oddVBand="0" w:evenVBand="0" w:oddHBand="0" w:evenHBand="0" w:firstRowFirstColumn="0" w:firstRowLastColumn="0" w:lastRowFirstColumn="0" w:lastRowLastColumn="0"/>
            </w:pPr>
            <w:r w:rsidRPr="00E2113B">
              <w:t>0</w:t>
            </w:r>
            <w:r w:rsidR="0038647A">
              <w:t>.0</w:t>
            </w:r>
          </w:p>
        </w:tc>
        <w:tc>
          <w:tcPr>
            <w:tcW w:w="375" w:type="pct"/>
          </w:tcPr>
          <w:p w:rsidR="00883C03" w:rsidRPr="00715583" w:rsidRDefault="00883C03">
            <w:pPr>
              <w:jc w:val="center"/>
              <w:cnfStyle w:val="000000000000" w:firstRow="0" w:lastRow="0" w:firstColumn="0" w:lastColumn="0" w:oddVBand="0" w:evenVBand="0" w:oddHBand="0" w:evenHBand="0" w:firstRowFirstColumn="0" w:firstRowLastColumn="0" w:lastRowFirstColumn="0" w:lastRowLastColumn="0"/>
            </w:pPr>
            <w:r w:rsidRPr="00E2113B">
              <w:t>0</w:t>
            </w:r>
            <w:r w:rsidR="0038647A">
              <w:t>.0</w:t>
            </w:r>
          </w:p>
        </w:tc>
        <w:tc>
          <w:tcPr>
            <w:tcW w:w="375" w:type="pct"/>
          </w:tcPr>
          <w:p w:rsidR="00883C03" w:rsidRPr="00715583" w:rsidRDefault="00883C03">
            <w:pPr>
              <w:jc w:val="center"/>
              <w:cnfStyle w:val="000000000000" w:firstRow="0" w:lastRow="0" w:firstColumn="0" w:lastColumn="0" w:oddVBand="0" w:evenVBand="0" w:oddHBand="0" w:evenHBand="0" w:firstRowFirstColumn="0" w:firstRowLastColumn="0" w:lastRowFirstColumn="0" w:lastRowLastColumn="0"/>
            </w:pPr>
            <w:r w:rsidRPr="00E2113B">
              <w:t>0</w:t>
            </w:r>
            <w:r w:rsidR="0038647A">
              <w:t>.0</w:t>
            </w:r>
          </w:p>
        </w:tc>
        <w:tc>
          <w:tcPr>
            <w:tcW w:w="375" w:type="pct"/>
          </w:tcPr>
          <w:p w:rsidR="00883C03" w:rsidRPr="00715583" w:rsidRDefault="00883C03">
            <w:pPr>
              <w:jc w:val="center"/>
              <w:cnfStyle w:val="000000000000" w:firstRow="0" w:lastRow="0" w:firstColumn="0" w:lastColumn="0" w:oddVBand="0" w:evenVBand="0" w:oddHBand="0" w:evenHBand="0" w:firstRowFirstColumn="0" w:firstRowLastColumn="0" w:lastRowFirstColumn="0" w:lastRowLastColumn="0"/>
            </w:pPr>
            <w:r w:rsidRPr="00E2113B">
              <w:t>0</w:t>
            </w:r>
            <w:r w:rsidR="0038647A">
              <w:t>.0</w:t>
            </w:r>
          </w:p>
        </w:tc>
        <w:tc>
          <w:tcPr>
            <w:tcW w:w="375" w:type="pct"/>
          </w:tcPr>
          <w:p w:rsidR="00883C03" w:rsidRPr="00715583" w:rsidRDefault="00883C03">
            <w:pPr>
              <w:jc w:val="center"/>
              <w:cnfStyle w:val="000000000000" w:firstRow="0" w:lastRow="0" w:firstColumn="0" w:lastColumn="0" w:oddVBand="0" w:evenVBand="0" w:oddHBand="0" w:evenHBand="0" w:firstRowFirstColumn="0" w:firstRowLastColumn="0" w:lastRowFirstColumn="0" w:lastRowLastColumn="0"/>
            </w:pPr>
            <w:r w:rsidRPr="00E2113B">
              <w:t>0</w:t>
            </w:r>
            <w:r w:rsidR="0038647A">
              <w:t>.0</w:t>
            </w:r>
          </w:p>
        </w:tc>
        <w:tc>
          <w:tcPr>
            <w:tcW w:w="375" w:type="pct"/>
          </w:tcPr>
          <w:p w:rsidR="00883C03" w:rsidRPr="00715583" w:rsidRDefault="00883C03">
            <w:pPr>
              <w:jc w:val="center"/>
              <w:cnfStyle w:val="000000000000" w:firstRow="0" w:lastRow="0" w:firstColumn="0" w:lastColumn="0" w:oddVBand="0" w:evenVBand="0" w:oddHBand="0" w:evenHBand="0" w:firstRowFirstColumn="0" w:firstRowLastColumn="0" w:lastRowFirstColumn="0" w:lastRowLastColumn="0"/>
            </w:pPr>
            <w:r w:rsidRPr="00E2113B">
              <w:t>0</w:t>
            </w:r>
            <w:r w:rsidR="0038647A">
              <w:t>.0</w:t>
            </w:r>
          </w:p>
        </w:tc>
        <w:tc>
          <w:tcPr>
            <w:tcW w:w="406" w:type="pct"/>
          </w:tcPr>
          <w:p w:rsidR="00883C03" w:rsidRPr="00F7771B" w:rsidRDefault="00883C03">
            <w:pPr>
              <w:jc w:val="center"/>
              <w:cnfStyle w:val="000000000000" w:firstRow="0" w:lastRow="0" w:firstColumn="0" w:lastColumn="0" w:oddVBand="0" w:evenVBand="0" w:oddHBand="0" w:evenHBand="0" w:firstRowFirstColumn="0" w:firstRowLastColumn="0" w:lastRowFirstColumn="0" w:lastRowLastColumn="0"/>
            </w:pPr>
            <w:r w:rsidRPr="00E2113B">
              <w:t>11.3</w:t>
            </w:r>
          </w:p>
        </w:tc>
      </w:tr>
      <w:tr w:rsidR="00883C03" w:rsidRPr="00BA0FBF" w:rsidTr="0034643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47" w:type="pct"/>
          </w:tcPr>
          <w:p w:rsidR="00883C03" w:rsidRPr="002418E7" w:rsidRDefault="00883C03" w:rsidP="00C97F16">
            <w:pPr>
              <w:pStyle w:val="TableText"/>
              <w:keepNext/>
              <w:keepLines/>
              <w:rPr>
                <w:b/>
              </w:rPr>
            </w:pPr>
            <w:r>
              <w:rPr>
                <w:b/>
              </w:rPr>
              <w:t>Net additional GST r</w:t>
            </w:r>
            <w:r w:rsidRPr="002418E7">
              <w:rPr>
                <w:b/>
              </w:rPr>
              <w:t>evenue</w:t>
            </w:r>
          </w:p>
        </w:tc>
        <w:tc>
          <w:tcPr>
            <w:tcW w:w="374" w:type="pct"/>
          </w:tcPr>
          <w:p w:rsidR="00883C03" w:rsidRPr="0038647A" w:rsidRDefault="00883C03">
            <w:pPr>
              <w:jc w:val="center"/>
              <w:cnfStyle w:val="000000100000" w:firstRow="0" w:lastRow="0" w:firstColumn="0" w:lastColumn="0" w:oddVBand="0" w:evenVBand="0" w:oddHBand="1" w:evenHBand="0" w:firstRowFirstColumn="0" w:firstRowLastColumn="0" w:lastRowFirstColumn="0" w:lastRowLastColumn="0"/>
              <w:rPr>
                <w:b/>
              </w:rPr>
            </w:pPr>
            <w:r w:rsidRPr="0034643D">
              <w:rPr>
                <w:b/>
              </w:rPr>
              <w:t>0.0</w:t>
            </w:r>
          </w:p>
        </w:tc>
        <w:tc>
          <w:tcPr>
            <w:tcW w:w="374" w:type="pct"/>
          </w:tcPr>
          <w:p w:rsidR="00883C03" w:rsidRPr="0038647A" w:rsidRDefault="00883C03">
            <w:pPr>
              <w:jc w:val="center"/>
              <w:cnfStyle w:val="000000100000" w:firstRow="0" w:lastRow="0" w:firstColumn="0" w:lastColumn="0" w:oddVBand="0" w:evenVBand="0" w:oddHBand="1" w:evenHBand="0" w:firstRowFirstColumn="0" w:firstRowLastColumn="0" w:lastRowFirstColumn="0" w:lastRowLastColumn="0"/>
              <w:rPr>
                <w:b/>
              </w:rPr>
            </w:pPr>
            <w:r w:rsidRPr="0034643D">
              <w:rPr>
                <w:b/>
              </w:rPr>
              <w:t>0.0</w:t>
            </w:r>
          </w:p>
        </w:tc>
        <w:tc>
          <w:tcPr>
            <w:tcW w:w="375" w:type="pct"/>
          </w:tcPr>
          <w:p w:rsidR="00883C03" w:rsidRPr="0038647A" w:rsidRDefault="00883C03">
            <w:pPr>
              <w:jc w:val="center"/>
              <w:cnfStyle w:val="000000100000" w:firstRow="0" w:lastRow="0" w:firstColumn="0" w:lastColumn="0" w:oddVBand="0" w:evenVBand="0" w:oddHBand="1" w:evenHBand="0" w:firstRowFirstColumn="0" w:firstRowLastColumn="0" w:lastRowFirstColumn="0" w:lastRowLastColumn="0"/>
              <w:rPr>
                <w:b/>
              </w:rPr>
            </w:pPr>
            <w:r w:rsidRPr="0034643D">
              <w:rPr>
                <w:b/>
              </w:rPr>
              <w:t>0.0</w:t>
            </w:r>
          </w:p>
        </w:tc>
        <w:tc>
          <w:tcPr>
            <w:tcW w:w="375" w:type="pct"/>
          </w:tcPr>
          <w:p w:rsidR="00883C03" w:rsidRPr="0038647A" w:rsidRDefault="00883C03">
            <w:pPr>
              <w:jc w:val="center"/>
              <w:cnfStyle w:val="000000100000" w:firstRow="0" w:lastRow="0" w:firstColumn="0" w:lastColumn="0" w:oddVBand="0" w:evenVBand="0" w:oddHBand="1" w:evenHBand="0" w:firstRowFirstColumn="0" w:firstRowLastColumn="0" w:lastRowFirstColumn="0" w:lastRowLastColumn="0"/>
              <w:rPr>
                <w:b/>
              </w:rPr>
            </w:pPr>
            <w:r w:rsidRPr="0034643D">
              <w:rPr>
                <w:b/>
              </w:rPr>
              <w:t>0.0</w:t>
            </w:r>
          </w:p>
        </w:tc>
        <w:tc>
          <w:tcPr>
            <w:tcW w:w="375" w:type="pct"/>
          </w:tcPr>
          <w:p w:rsidR="00883C03" w:rsidRPr="0038647A" w:rsidRDefault="00883C03">
            <w:pPr>
              <w:jc w:val="center"/>
              <w:cnfStyle w:val="000000100000" w:firstRow="0" w:lastRow="0" w:firstColumn="0" w:lastColumn="0" w:oddVBand="0" w:evenVBand="0" w:oddHBand="1" w:evenHBand="0" w:firstRowFirstColumn="0" w:firstRowLastColumn="0" w:lastRowFirstColumn="0" w:lastRowLastColumn="0"/>
              <w:rPr>
                <w:b/>
              </w:rPr>
            </w:pPr>
            <w:r w:rsidRPr="0034643D">
              <w:rPr>
                <w:b/>
              </w:rPr>
              <w:t>3.9</w:t>
            </w:r>
          </w:p>
        </w:tc>
        <w:tc>
          <w:tcPr>
            <w:tcW w:w="375" w:type="pct"/>
          </w:tcPr>
          <w:p w:rsidR="00883C03" w:rsidRPr="0038647A" w:rsidRDefault="00883C03">
            <w:pPr>
              <w:jc w:val="center"/>
              <w:cnfStyle w:val="000000100000" w:firstRow="0" w:lastRow="0" w:firstColumn="0" w:lastColumn="0" w:oddVBand="0" w:evenVBand="0" w:oddHBand="1" w:evenHBand="0" w:firstRowFirstColumn="0" w:firstRowLastColumn="0" w:lastRowFirstColumn="0" w:lastRowLastColumn="0"/>
              <w:rPr>
                <w:b/>
              </w:rPr>
            </w:pPr>
            <w:r w:rsidRPr="0034643D">
              <w:rPr>
                <w:b/>
              </w:rPr>
              <w:t>4.5</w:t>
            </w:r>
          </w:p>
        </w:tc>
        <w:tc>
          <w:tcPr>
            <w:tcW w:w="375" w:type="pct"/>
          </w:tcPr>
          <w:p w:rsidR="00883C03" w:rsidRPr="0038647A" w:rsidRDefault="00883C03">
            <w:pPr>
              <w:jc w:val="center"/>
              <w:cnfStyle w:val="000000100000" w:firstRow="0" w:lastRow="0" w:firstColumn="0" w:lastColumn="0" w:oddVBand="0" w:evenVBand="0" w:oddHBand="1" w:evenHBand="0" w:firstRowFirstColumn="0" w:firstRowLastColumn="0" w:lastRowFirstColumn="0" w:lastRowLastColumn="0"/>
              <w:rPr>
                <w:b/>
              </w:rPr>
            </w:pPr>
            <w:r w:rsidRPr="0034643D">
              <w:rPr>
                <w:b/>
              </w:rPr>
              <w:t>4.7</w:t>
            </w:r>
          </w:p>
        </w:tc>
        <w:tc>
          <w:tcPr>
            <w:tcW w:w="375" w:type="pct"/>
          </w:tcPr>
          <w:p w:rsidR="00883C03" w:rsidRPr="0038647A" w:rsidRDefault="00883C03">
            <w:pPr>
              <w:jc w:val="center"/>
              <w:cnfStyle w:val="000000100000" w:firstRow="0" w:lastRow="0" w:firstColumn="0" w:lastColumn="0" w:oddVBand="0" w:evenVBand="0" w:oddHBand="1" w:evenHBand="0" w:firstRowFirstColumn="0" w:firstRowLastColumn="0" w:lastRowFirstColumn="0" w:lastRowLastColumn="0"/>
              <w:rPr>
                <w:b/>
              </w:rPr>
            </w:pPr>
            <w:r w:rsidRPr="0034643D">
              <w:rPr>
                <w:b/>
              </w:rPr>
              <w:t>5.1</w:t>
            </w:r>
          </w:p>
        </w:tc>
        <w:tc>
          <w:tcPr>
            <w:tcW w:w="375" w:type="pct"/>
          </w:tcPr>
          <w:p w:rsidR="00883C03" w:rsidRPr="0038647A" w:rsidRDefault="00883C03">
            <w:pPr>
              <w:jc w:val="center"/>
              <w:cnfStyle w:val="000000100000" w:firstRow="0" w:lastRow="0" w:firstColumn="0" w:lastColumn="0" w:oddVBand="0" w:evenVBand="0" w:oddHBand="1" w:evenHBand="0" w:firstRowFirstColumn="0" w:firstRowLastColumn="0" w:lastRowFirstColumn="0" w:lastRowLastColumn="0"/>
              <w:rPr>
                <w:b/>
              </w:rPr>
            </w:pPr>
            <w:r w:rsidRPr="0034643D">
              <w:rPr>
                <w:b/>
              </w:rPr>
              <w:t>5.7</w:t>
            </w:r>
          </w:p>
        </w:tc>
        <w:tc>
          <w:tcPr>
            <w:tcW w:w="375" w:type="pct"/>
          </w:tcPr>
          <w:p w:rsidR="00883C03" w:rsidRPr="0038647A" w:rsidRDefault="00883C03">
            <w:pPr>
              <w:jc w:val="center"/>
              <w:cnfStyle w:val="000000100000" w:firstRow="0" w:lastRow="0" w:firstColumn="0" w:lastColumn="0" w:oddVBand="0" w:evenVBand="0" w:oddHBand="1" w:evenHBand="0" w:firstRowFirstColumn="0" w:firstRowLastColumn="0" w:lastRowFirstColumn="0" w:lastRowLastColumn="0"/>
              <w:rPr>
                <w:b/>
              </w:rPr>
            </w:pPr>
            <w:r w:rsidRPr="0034643D">
              <w:rPr>
                <w:b/>
              </w:rPr>
              <w:t>7.5</w:t>
            </w:r>
          </w:p>
        </w:tc>
        <w:tc>
          <w:tcPr>
            <w:tcW w:w="406" w:type="pct"/>
          </w:tcPr>
          <w:p w:rsidR="00883C03" w:rsidRPr="0038647A" w:rsidRDefault="00883C03">
            <w:pPr>
              <w:jc w:val="center"/>
              <w:cnfStyle w:val="000000100000" w:firstRow="0" w:lastRow="0" w:firstColumn="0" w:lastColumn="0" w:oddVBand="0" w:evenVBand="0" w:oddHBand="1" w:evenHBand="0" w:firstRowFirstColumn="0" w:firstRowLastColumn="0" w:lastRowFirstColumn="0" w:lastRowLastColumn="0"/>
              <w:rPr>
                <w:b/>
              </w:rPr>
            </w:pPr>
            <w:r w:rsidRPr="0034643D">
              <w:rPr>
                <w:b/>
              </w:rPr>
              <w:t>31.4</w:t>
            </w:r>
          </w:p>
        </w:tc>
      </w:tr>
    </w:tbl>
    <w:p w:rsidR="003C58BB" w:rsidRDefault="003C58BB" w:rsidP="003C58BB">
      <w:pPr>
        <w:pStyle w:val="Source"/>
      </w:pPr>
      <w:bookmarkStart w:id="220" w:name="_Toc436400348"/>
      <w:r>
        <w:t xml:space="preserve">Source: </w:t>
      </w:r>
      <w:r w:rsidR="006A4F9B">
        <w:t>PBO analysis based on data from the ABS and Treasury</w:t>
      </w:r>
    </w:p>
    <w:p w:rsidR="00F95381" w:rsidRPr="00BA0FBF" w:rsidRDefault="00F95381" w:rsidP="00F95381">
      <w:pPr>
        <w:pStyle w:val="Heading2"/>
        <w:rPr>
          <w:sz w:val="28"/>
        </w:rPr>
      </w:pPr>
      <w:bookmarkStart w:id="221" w:name="_Toc437429856"/>
      <w:r w:rsidRPr="00BA0FBF">
        <w:rPr>
          <w:sz w:val="28"/>
        </w:rPr>
        <w:t xml:space="preserve">Scenario </w:t>
      </w:r>
      <w:r w:rsidR="00206DAB" w:rsidRPr="00BA0FBF">
        <w:rPr>
          <w:sz w:val="28"/>
        </w:rPr>
        <w:t>5</w:t>
      </w:r>
      <w:r w:rsidRPr="00BA0FBF">
        <w:rPr>
          <w:sz w:val="28"/>
        </w:rPr>
        <w:t xml:space="preserve">: 15 per cent GST; </w:t>
      </w:r>
      <w:r w:rsidR="00C97F16" w:rsidRPr="00BA0FBF">
        <w:rPr>
          <w:sz w:val="28"/>
        </w:rPr>
        <w:t>r</w:t>
      </w:r>
      <w:r w:rsidR="008313E0" w:rsidRPr="00BA0FBF">
        <w:rPr>
          <w:sz w:val="28"/>
        </w:rPr>
        <w:t>emove concessions</w:t>
      </w:r>
      <w:bookmarkEnd w:id="220"/>
      <w:bookmarkEnd w:id="221"/>
    </w:p>
    <w:p w:rsidR="00206DAB" w:rsidRPr="00BA0FBF" w:rsidRDefault="00206DAB" w:rsidP="00206DAB">
      <w:pPr>
        <w:pStyle w:val="Heading3"/>
        <w:rPr>
          <w:sz w:val="24"/>
        </w:rPr>
      </w:pPr>
      <w:bookmarkStart w:id="222" w:name="_Toc435633008"/>
      <w:bookmarkStart w:id="223" w:name="_Toc436400349"/>
      <w:bookmarkStart w:id="224" w:name="_Toc435093676"/>
      <w:r w:rsidRPr="00BA0FBF">
        <w:rPr>
          <w:sz w:val="24"/>
        </w:rPr>
        <w:t>Revenue impact of Scenario 5</w:t>
      </w:r>
      <w:bookmarkEnd w:id="222"/>
      <w:bookmarkEnd w:id="223"/>
    </w:p>
    <w:p w:rsidR="00206DAB" w:rsidRPr="00BA0FBF" w:rsidRDefault="00471585" w:rsidP="0034643D">
      <w:pPr>
        <w:pStyle w:val="BodyText17ptAbove"/>
      </w:pPr>
      <w:r w:rsidRPr="00BA0FBF">
        <w:t>Increasing the GST to 15 per cent and removing the GST</w:t>
      </w:r>
      <w:r w:rsidRPr="00BA0FBF">
        <w:noBreakHyphen/>
        <w:t>free status of basic food, health and medical care, education, child care</w:t>
      </w:r>
      <w:r>
        <w:t>,</w:t>
      </w:r>
      <w:r w:rsidRPr="00BA0FBF">
        <w:t xml:space="preserve"> and water and sewerage would increase GST revenue (net of the assumed compensation package) by $49.</w:t>
      </w:r>
      <w:r>
        <w:t>3</w:t>
      </w:r>
      <w:r w:rsidRPr="00BA0FBF">
        <w:t> billion (2.7 per cent of GDP) in 2017–18</w:t>
      </w:r>
      <w:r w:rsidR="0034643D">
        <w:t xml:space="preserve"> (</w:t>
      </w:r>
      <w:r w:rsidR="009047C1">
        <w:fldChar w:fldCharType="begin"/>
      </w:r>
      <w:r w:rsidR="009047C1">
        <w:instrText xml:space="preserve"> REF _Ref436837861 \h </w:instrText>
      </w:r>
      <w:r w:rsidR="009047C1">
        <w:fldChar w:fldCharType="separate"/>
      </w:r>
      <w:r w:rsidR="00076CF9" w:rsidRPr="00BA0FBF">
        <w:rPr>
          <w:sz w:val="20"/>
        </w:rPr>
        <w:t xml:space="preserve">Table </w:t>
      </w:r>
      <w:r w:rsidR="00076CF9">
        <w:rPr>
          <w:noProof/>
          <w:sz w:val="20"/>
        </w:rPr>
        <w:t>4</w:t>
      </w:r>
      <w:r w:rsidR="00076CF9" w:rsidRPr="00BA0FBF">
        <w:rPr>
          <w:sz w:val="20"/>
        </w:rPr>
        <w:t>–</w:t>
      </w:r>
      <w:r w:rsidR="00076CF9">
        <w:rPr>
          <w:noProof/>
          <w:sz w:val="20"/>
        </w:rPr>
        <w:t>13</w:t>
      </w:r>
      <w:r w:rsidR="009047C1">
        <w:fldChar w:fldCharType="end"/>
      </w:r>
      <w:r w:rsidR="0034643D">
        <w:t>).</w:t>
      </w:r>
    </w:p>
    <w:p w:rsidR="00C97F16" w:rsidRPr="00BA0FBF" w:rsidRDefault="00C97F16" w:rsidP="00C97F16">
      <w:pPr>
        <w:pStyle w:val="Caption"/>
        <w:rPr>
          <w:sz w:val="20"/>
        </w:rPr>
      </w:pPr>
      <w:bookmarkStart w:id="225" w:name="_Ref436837861"/>
      <w:bookmarkStart w:id="226" w:name="_Toc436664570"/>
      <w:bookmarkStart w:id="227" w:name="_Toc436917817"/>
      <w:bookmarkStart w:id="228" w:name="_Toc437429575"/>
      <w:r w:rsidRPr="00BA0FBF">
        <w:rPr>
          <w:sz w:val="20"/>
        </w:rPr>
        <w:t xml:space="preserve">Table </w:t>
      </w:r>
      <w:r w:rsidRPr="00BA0FBF">
        <w:rPr>
          <w:sz w:val="20"/>
        </w:rPr>
        <w:fldChar w:fldCharType="begin"/>
      </w:r>
      <w:r w:rsidRPr="00BA0FBF">
        <w:rPr>
          <w:sz w:val="20"/>
        </w:rPr>
        <w:instrText xml:space="preserve"> STYLEREF 1 \s </w:instrText>
      </w:r>
      <w:r w:rsidRPr="00BA0FBF">
        <w:rPr>
          <w:sz w:val="20"/>
        </w:rPr>
        <w:fldChar w:fldCharType="separate"/>
      </w:r>
      <w:r w:rsidR="00076CF9">
        <w:rPr>
          <w:noProof/>
          <w:sz w:val="20"/>
        </w:rPr>
        <w:t>4</w:t>
      </w:r>
      <w:r w:rsidRPr="00BA0FBF">
        <w:rPr>
          <w:sz w:val="20"/>
        </w:rPr>
        <w:fldChar w:fldCharType="end"/>
      </w:r>
      <w:r w:rsidRPr="00BA0FBF">
        <w:rPr>
          <w:sz w:val="20"/>
        </w:rPr>
        <w:t>–</w:t>
      </w:r>
      <w:r w:rsidRPr="00BA0FBF">
        <w:rPr>
          <w:sz w:val="20"/>
        </w:rPr>
        <w:fldChar w:fldCharType="begin"/>
      </w:r>
      <w:r w:rsidRPr="00BA0FBF">
        <w:rPr>
          <w:sz w:val="20"/>
        </w:rPr>
        <w:instrText xml:space="preserve"> SEQ Table \* ARABIC \s 1 </w:instrText>
      </w:r>
      <w:r w:rsidRPr="00BA0FBF">
        <w:rPr>
          <w:sz w:val="20"/>
        </w:rPr>
        <w:fldChar w:fldCharType="separate"/>
      </w:r>
      <w:r w:rsidR="00076CF9">
        <w:rPr>
          <w:noProof/>
          <w:sz w:val="20"/>
        </w:rPr>
        <w:t>13</w:t>
      </w:r>
      <w:r w:rsidRPr="00BA0FBF">
        <w:rPr>
          <w:sz w:val="20"/>
        </w:rPr>
        <w:fldChar w:fldCharType="end"/>
      </w:r>
      <w:bookmarkEnd w:id="225"/>
      <w:r w:rsidRPr="00BA0FBF">
        <w:rPr>
          <w:sz w:val="20"/>
        </w:rPr>
        <w:t xml:space="preserve">: Revenue impact of Scenario 5 </w:t>
      </w:r>
      <w:r w:rsidR="00526B48">
        <w:rPr>
          <w:sz w:val="20"/>
        </w:rPr>
        <w:t>(</w:t>
      </w:r>
      <w:r w:rsidRPr="00BA0FBF">
        <w:rPr>
          <w:sz w:val="20"/>
        </w:rPr>
        <w:t>15 per cent GST; remove concessions</w:t>
      </w:r>
      <w:bookmarkEnd w:id="226"/>
      <w:bookmarkEnd w:id="227"/>
      <w:r w:rsidR="00526B48">
        <w:rPr>
          <w:sz w:val="20"/>
        </w:rPr>
        <w:t>)</w:t>
      </w:r>
      <w:bookmarkEnd w:id="228"/>
    </w:p>
    <w:tbl>
      <w:tblPr>
        <w:tblStyle w:val="TableGrid"/>
        <w:tblW w:w="3774" w:type="pct"/>
        <w:tblLook w:val="04A0" w:firstRow="1" w:lastRow="0" w:firstColumn="1" w:lastColumn="0" w:noHBand="0" w:noVBand="1"/>
      </w:tblPr>
      <w:tblGrid>
        <w:gridCol w:w="3641"/>
        <w:gridCol w:w="1275"/>
        <w:gridCol w:w="1358"/>
      </w:tblGrid>
      <w:tr w:rsidR="00E60AB0" w:rsidRPr="00BA0FBF" w:rsidTr="00C97F16">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2902" w:type="pct"/>
            <w:vAlign w:val="center"/>
          </w:tcPr>
          <w:p w:rsidR="00E60AB0" w:rsidRPr="00BA0FBF" w:rsidRDefault="00E60AB0" w:rsidP="002418E7">
            <w:pPr>
              <w:pStyle w:val="TableHeading"/>
            </w:pPr>
          </w:p>
        </w:tc>
        <w:tc>
          <w:tcPr>
            <w:tcW w:w="1016" w:type="pct"/>
            <w:vAlign w:val="center"/>
          </w:tcPr>
          <w:p w:rsidR="00E60AB0" w:rsidRDefault="00C97F16" w:rsidP="002418E7">
            <w:pPr>
              <w:pStyle w:val="TableHeading"/>
              <w:cnfStyle w:val="100000000000" w:firstRow="1" w:lastRow="0" w:firstColumn="0" w:lastColumn="0" w:oddVBand="0" w:evenVBand="0" w:oddHBand="0" w:evenHBand="0" w:firstRowFirstColumn="0" w:firstRowLastColumn="0" w:lastRowFirstColumn="0" w:lastRowLastColumn="0"/>
            </w:pPr>
            <w:r w:rsidRPr="00BA0FBF">
              <w:t>2017–</w:t>
            </w:r>
            <w:r w:rsidR="00E60AB0" w:rsidRPr="00BA0FBF">
              <w:t>18</w:t>
            </w:r>
          </w:p>
          <w:p w:rsidR="00D02DAC" w:rsidRPr="00BA0FBF" w:rsidRDefault="00D02DAC" w:rsidP="002418E7">
            <w:pPr>
              <w:pStyle w:val="TableHeading"/>
              <w:cnfStyle w:val="100000000000" w:firstRow="1" w:lastRow="0" w:firstColumn="0" w:lastColumn="0" w:oddVBand="0" w:evenVBand="0" w:oddHBand="0" w:evenHBand="0" w:firstRowFirstColumn="0" w:firstRowLastColumn="0" w:lastRowFirstColumn="0" w:lastRowLastColumn="0"/>
            </w:pPr>
            <w:r>
              <w:t>($b)</w:t>
            </w:r>
          </w:p>
        </w:tc>
        <w:tc>
          <w:tcPr>
            <w:tcW w:w="1082" w:type="pct"/>
            <w:vAlign w:val="center"/>
          </w:tcPr>
          <w:p w:rsidR="00E60AB0" w:rsidRPr="00BA0FBF" w:rsidRDefault="00E60AB0" w:rsidP="002418E7">
            <w:pPr>
              <w:pStyle w:val="TableHeading"/>
              <w:cnfStyle w:val="100000000000" w:firstRow="1" w:lastRow="0" w:firstColumn="0" w:lastColumn="0" w:oddVBand="0" w:evenVBand="0" w:oddHBand="0" w:evenHBand="0" w:firstRowFirstColumn="0" w:firstRowLastColumn="0" w:lastRowFirstColumn="0" w:lastRowLastColumn="0"/>
            </w:pPr>
            <w:r w:rsidRPr="00BA0FBF">
              <w:t>% of GDP</w:t>
            </w:r>
          </w:p>
        </w:tc>
      </w:tr>
      <w:tr w:rsidR="005864EC" w:rsidRPr="00BA0FBF" w:rsidTr="00C97F1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02" w:type="pct"/>
          </w:tcPr>
          <w:p w:rsidR="005864EC" w:rsidRPr="002418E7" w:rsidRDefault="00AC671F" w:rsidP="00C97F16">
            <w:pPr>
              <w:pStyle w:val="TableText"/>
            </w:pPr>
            <w:r>
              <w:t xml:space="preserve">Additional </w:t>
            </w:r>
            <w:r w:rsidR="005864EC" w:rsidRPr="002418E7">
              <w:t>GST revenue</w:t>
            </w:r>
          </w:p>
        </w:tc>
        <w:tc>
          <w:tcPr>
            <w:tcW w:w="1016" w:type="pct"/>
          </w:tcPr>
          <w:p w:rsidR="005864EC" w:rsidRPr="00BA0FBF" w:rsidRDefault="002636CD" w:rsidP="002418E7">
            <w:pPr>
              <w:pStyle w:val="TableTextCentred"/>
              <w:cnfStyle w:val="000000100000" w:firstRow="0" w:lastRow="0" w:firstColumn="0" w:lastColumn="0" w:oddVBand="0" w:evenVBand="0" w:oddHBand="1" w:evenHBand="0" w:firstRowFirstColumn="0" w:firstRowLastColumn="0" w:lastRowFirstColumn="0" w:lastRowLastColumn="0"/>
            </w:pPr>
            <w:r>
              <w:t>65.8</w:t>
            </w:r>
          </w:p>
        </w:tc>
        <w:tc>
          <w:tcPr>
            <w:tcW w:w="1082" w:type="pct"/>
          </w:tcPr>
          <w:p w:rsidR="005864EC" w:rsidRPr="00BA0FBF" w:rsidRDefault="005864EC" w:rsidP="002418E7">
            <w:pPr>
              <w:pStyle w:val="TableTextCentred"/>
              <w:cnfStyle w:val="000000100000" w:firstRow="0" w:lastRow="0" w:firstColumn="0" w:lastColumn="0" w:oddVBand="0" w:evenVBand="0" w:oddHBand="1" w:evenHBand="0" w:firstRowFirstColumn="0" w:firstRowLastColumn="0" w:lastRowFirstColumn="0" w:lastRowLastColumn="0"/>
            </w:pPr>
            <w:r w:rsidRPr="00BA0FBF">
              <w:t>3.6%</w:t>
            </w:r>
          </w:p>
        </w:tc>
      </w:tr>
      <w:tr w:rsidR="005864EC" w:rsidRPr="00BA0FBF" w:rsidTr="00C97F16">
        <w:trPr>
          <w:cantSplit/>
        </w:trPr>
        <w:tc>
          <w:tcPr>
            <w:cnfStyle w:val="001000000000" w:firstRow="0" w:lastRow="0" w:firstColumn="1" w:lastColumn="0" w:oddVBand="0" w:evenVBand="0" w:oddHBand="0" w:evenHBand="0" w:firstRowFirstColumn="0" w:firstRowLastColumn="0" w:lastRowFirstColumn="0" w:lastRowLastColumn="0"/>
            <w:tcW w:w="2902" w:type="pct"/>
          </w:tcPr>
          <w:p w:rsidR="005864EC" w:rsidRPr="002418E7" w:rsidRDefault="005864EC" w:rsidP="00C97F16">
            <w:pPr>
              <w:pStyle w:val="TableText"/>
            </w:pPr>
            <w:r w:rsidRPr="002418E7">
              <w:t xml:space="preserve">Compensation: </w:t>
            </w:r>
            <w:r w:rsidR="00C97F16" w:rsidRPr="002418E7">
              <w:t>t</w:t>
            </w:r>
            <w:r w:rsidRPr="002418E7">
              <w:t xml:space="preserve">echnical </w:t>
            </w:r>
            <w:r w:rsidR="00C97F16" w:rsidRPr="002418E7">
              <w:t>a</w:t>
            </w:r>
            <w:r w:rsidRPr="002418E7">
              <w:t>ssumption</w:t>
            </w:r>
          </w:p>
        </w:tc>
        <w:tc>
          <w:tcPr>
            <w:tcW w:w="1016" w:type="pct"/>
          </w:tcPr>
          <w:p w:rsidR="005864EC" w:rsidRPr="00BA0FBF" w:rsidRDefault="005864EC" w:rsidP="002418E7">
            <w:pPr>
              <w:pStyle w:val="TableTextCentred"/>
              <w:cnfStyle w:val="000000000000" w:firstRow="0" w:lastRow="0" w:firstColumn="0" w:lastColumn="0" w:oddVBand="0" w:evenVBand="0" w:oddHBand="0" w:evenHBand="0" w:firstRowFirstColumn="0" w:firstRowLastColumn="0" w:lastRowFirstColumn="0" w:lastRowLastColumn="0"/>
            </w:pPr>
            <w:r w:rsidRPr="00BA0FBF">
              <w:t>16.5</w:t>
            </w:r>
          </w:p>
        </w:tc>
        <w:tc>
          <w:tcPr>
            <w:tcW w:w="1082" w:type="pct"/>
          </w:tcPr>
          <w:p w:rsidR="005864EC" w:rsidRPr="00BA0FBF" w:rsidRDefault="00AB1989" w:rsidP="002418E7">
            <w:pPr>
              <w:pStyle w:val="TableTextCentred"/>
              <w:cnfStyle w:val="000000000000" w:firstRow="0" w:lastRow="0" w:firstColumn="0" w:lastColumn="0" w:oddVBand="0" w:evenVBand="0" w:oddHBand="0" w:evenHBand="0" w:firstRowFirstColumn="0" w:firstRowLastColumn="0" w:lastRowFirstColumn="0" w:lastRowLastColumn="0"/>
            </w:pPr>
            <w:r>
              <w:t>0.9%</w:t>
            </w:r>
          </w:p>
        </w:tc>
      </w:tr>
      <w:tr w:rsidR="005864EC" w:rsidRPr="00BA0FBF" w:rsidTr="00C97F1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02" w:type="pct"/>
          </w:tcPr>
          <w:p w:rsidR="005864EC" w:rsidRPr="002418E7" w:rsidRDefault="005864EC" w:rsidP="00C97F16">
            <w:pPr>
              <w:pStyle w:val="TableText"/>
              <w:rPr>
                <w:b/>
              </w:rPr>
            </w:pPr>
            <w:r w:rsidRPr="002418E7">
              <w:rPr>
                <w:b/>
              </w:rPr>
              <w:t>Net</w:t>
            </w:r>
            <w:r w:rsidR="00AC671F">
              <w:rPr>
                <w:b/>
              </w:rPr>
              <w:t xml:space="preserve"> additional</w:t>
            </w:r>
            <w:r w:rsidRPr="002418E7">
              <w:rPr>
                <w:b/>
              </w:rPr>
              <w:t xml:space="preserve"> GST revenue: Scenario 5</w:t>
            </w:r>
          </w:p>
        </w:tc>
        <w:tc>
          <w:tcPr>
            <w:tcW w:w="1016" w:type="pct"/>
          </w:tcPr>
          <w:p w:rsidR="005864EC" w:rsidRPr="0034643D" w:rsidRDefault="005864EC" w:rsidP="002636CD">
            <w:pPr>
              <w:pStyle w:val="TableTextCentred"/>
              <w:cnfStyle w:val="000000100000" w:firstRow="0" w:lastRow="0" w:firstColumn="0" w:lastColumn="0" w:oddVBand="0" w:evenVBand="0" w:oddHBand="1" w:evenHBand="0" w:firstRowFirstColumn="0" w:firstRowLastColumn="0" w:lastRowFirstColumn="0" w:lastRowLastColumn="0"/>
              <w:rPr>
                <w:b/>
              </w:rPr>
            </w:pPr>
            <w:r w:rsidRPr="0034643D">
              <w:rPr>
                <w:b/>
              </w:rPr>
              <w:t>49.</w:t>
            </w:r>
            <w:r w:rsidR="002636CD" w:rsidRPr="0034643D">
              <w:rPr>
                <w:b/>
              </w:rPr>
              <w:t>3</w:t>
            </w:r>
          </w:p>
        </w:tc>
        <w:tc>
          <w:tcPr>
            <w:tcW w:w="1082" w:type="pct"/>
          </w:tcPr>
          <w:p w:rsidR="005864EC" w:rsidRPr="0034643D" w:rsidRDefault="005864EC" w:rsidP="002418E7">
            <w:pPr>
              <w:pStyle w:val="TableTextCentred"/>
              <w:cnfStyle w:val="000000100000" w:firstRow="0" w:lastRow="0" w:firstColumn="0" w:lastColumn="0" w:oddVBand="0" w:evenVBand="0" w:oddHBand="1" w:evenHBand="0" w:firstRowFirstColumn="0" w:firstRowLastColumn="0" w:lastRowFirstColumn="0" w:lastRowLastColumn="0"/>
              <w:rPr>
                <w:b/>
              </w:rPr>
            </w:pPr>
            <w:r w:rsidRPr="0034643D">
              <w:rPr>
                <w:b/>
              </w:rPr>
              <w:t>2.7%</w:t>
            </w:r>
          </w:p>
        </w:tc>
      </w:tr>
    </w:tbl>
    <w:p w:rsidR="003C58BB" w:rsidRDefault="003C58BB" w:rsidP="003C58BB">
      <w:pPr>
        <w:pStyle w:val="Source"/>
      </w:pPr>
      <w:r>
        <w:t xml:space="preserve">Source: </w:t>
      </w:r>
      <w:r w:rsidR="006A4F9B">
        <w:t>PBO analysis based on data from the ABS and Treasury</w:t>
      </w:r>
    </w:p>
    <w:p w:rsidR="00D0289A" w:rsidRDefault="00206DAB" w:rsidP="00742476">
      <w:pPr>
        <w:pStyle w:val="BodyText17ptAbove"/>
      </w:pPr>
      <w:r w:rsidRPr="00BA0FBF">
        <w:t>GST revenue would increase by $</w:t>
      </w:r>
      <w:r w:rsidR="005864EC" w:rsidRPr="00BA0FBF">
        <w:t>65</w:t>
      </w:r>
      <w:r w:rsidR="0073524F" w:rsidRPr="00BA0FBF">
        <w:t>.</w:t>
      </w:r>
      <w:r w:rsidR="002636CD">
        <w:t>8</w:t>
      </w:r>
      <w:r w:rsidRPr="00BA0FBF">
        <w:t xml:space="preserve"> billion (or </w:t>
      </w:r>
      <w:r w:rsidR="005864EC" w:rsidRPr="00BA0FBF">
        <w:t>3</w:t>
      </w:r>
      <w:r w:rsidRPr="00BA0FBF">
        <w:t>.</w:t>
      </w:r>
      <w:r w:rsidR="005864EC" w:rsidRPr="00BA0FBF">
        <w:t>6</w:t>
      </w:r>
      <w:r w:rsidRPr="00BA0FBF">
        <w:t xml:space="preserve"> per cent of GDP) in 201</w:t>
      </w:r>
      <w:r w:rsidR="00E60AB0" w:rsidRPr="00BA0FBF">
        <w:t>7</w:t>
      </w:r>
      <w:r w:rsidR="00FB7679" w:rsidRPr="00BA0FBF">
        <w:t>–</w:t>
      </w:r>
      <w:r w:rsidRPr="00BA0FBF">
        <w:t>1</w:t>
      </w:r>
      <w:r w:rsidR="00E60AB0" w:rsidRPr="00BA0FBF">
        <w:t>8</w:t>
      </w:r>
      <w:r w:rsidRPr="00BA0FBF">
        <w:t>.</w:t>
      </w:r>
      <w:r w:rsidR="00282751" w:rsidRPr="00BA0FBF">
        <w:t xml:space="preserve">  The technical assumption that there would be compensation sufficient to fully offset the impact of the scenario on the bottom </w:t>
      </w:r>
      <w:r w:rsidR="009047C1">
        <w:t>40</w:t>
      </w:r>
      <w:r w:rsidR="009047C1" w:rsidRPr="00BA0FBF">
        <w:t xml:space="preserve"> </w:t>
      </w:r>
      <w:r w:rsidR="00282751" w:rsidRPr="00BA0FBF">
        <w:t>per cent of households would cost $1</w:t>
      </w:r>
      <w:r w:rsidR="005864EC" w:rsidRPr="00BA0FBF">
        <w:t>6</w:t>
      </w:r>
      <w:r w:rsidR="00282751" w:rsidRPr="00BA0FBF">
        <w:t>.5 billion in 2017</w:t>
      </w:r>
      <w:r w:rsidR="00FB7679" w:rsidRPr="00BA0FBF">
        <w:t>–</w:t>
      </w:r>
      <w:r w:rsidR="00282751" w:rsidRPr="00BA0FBF">
        <w:t>18.</w:t>
      </w:r>
    </w:p>
    <w:p w:rsidR="00206DAB" w:rsidRPr="00BA0FBF" w:rsidRDefault="00206DAB" w:rsidP="00742476">
      <w:pPr>
        <w:pStyle w:val="BodyText17ptAbove"/>
      </w:pPr>
      <w:r w:rsidRPr="00BA0FBF">
        <w:t xml:space="preserve">Additional detail on the </w:t>
      </w:r>
      <w:r w:rsidR="001C0964" w:rsidRPr="00BA0FBF">
        <w:t>revenue impact</w:t>
      </w:r>
      <w:r w:rsidRPr="00BA0FBF">
        <w:t xml:space="preserve"> of Scenario 5 is provided in </w:t>
      </w:r>
      <w:fldSimple w:instr=" REF _Ref436925051 \r ">
        <w:r w:rsidR="00076CF9">
          <w:t>Appendix C</w:t>
        </w:r>
      </w:fldSimple>
      <w:r w:rsidR="009047C1">
        <w:t>.</w:t>
      </w:r>
    </w:p>
    <w:p w:rsidR="00206DAB" w:rsidRPr="00BA0FBF" w:rsidRDefault="00206DAB" w:rsidP="00206DAB">
      <w:pPr>
        <w:pStyle w:val="Heading3"/>
        <w:rPr>
          <w:sz w:val="24"/>
        </w:rPr>
      </w:pPr>
      <w:bookmarkStart w:id="229" w:name="_Toc435633009"/>
      <w:bookmarkStart w:id="230" w:name="_Toc436400350"/>
      <w:r w:rsidRPr="00BA0FBF">
        <w:rPr>
          <w:sz w:val="24"/>
        </w:rPr>
        <w:t xml:space="preserve">Distributional </w:t>
      </w:r>
      <w:r w:rsidR="002418E7">
        <w:rPr>
          <w:sz w:val="24"/>
        </w:rPr>
        <w:t>i</w:t>
      </w:r>
      <w:r w:rsidRPr="00BA0FBF">
        <w:rPr>
          <w:sz w:val="24"/>
        </w:rPr>
        <w:t>mpact of Scenario 5</w:t>
      </w:r>
      <w:bookmarkEnd w:id="229"/>
      <w:bookmarkEnd w:id="230"/>
    </w:p>
    <w:p w:rsidR="00206DAB" w:rsidRPr="00BA0FBF" w:rsidRDefault="00AC39A2" w:rsidP="00742476">
      <w:pPr>
        <w:pStyle w:val="BodyText"/>
      </w:pPr>
      <w:r w:rsidRPr="00BA0FBF">
        <w:fldChar w:fldCharType="begin"/>
      </w:r>
      <w:r w:rsidRPr="00BA0FBF">
        <w:instrText xml:space="preserve"> REF _Ref436662735 \h </w:instrText>
      </w:r>
      <w:r w:rsidR="00BA0FBF">
        <w:instrText xml:space="preserve"> \* MERGEFORMAT </w:instrText>
      </w:r>
      <w:r w:rsidRPr="00BA0FBF">
        <w:fldChar w:fldCharType="separate"/>
      </w:r>
      <w:r w:rsidR="00076CF9" w:rsidRPr="00076CF9">
        <w:t>Figure 4–5</w:t>
      </w:r>
      <w:r w:rsidRPr="00BA0FBF">
        <w:fldChar w:fldCharType="end"/>
      </w:r>
      <w:r w:rsidR="00206DAB" w:rsidRPr="00BA0FBF">
        <w:t xml:space="preserve"> presents a distributional analysis of the relative and absolute impact</w:t>
      </w:r>
      <w:r w:rsidR="00B900FF" w:rsidRPr="00BA0FBF">
        <w:t>s</w:t>
      </w:r>
      <w:r w:rsidR="00206DAB" w:rsidRPr="00BA0FBF">
        <w:t xml:space="preserve"> of additional GST revenue under Scenario </w:t>
      </w:r>
      <w:r w:rsidR="00BC6774" w:rsidRPr="00BA0FBF">
        <w:t>5</w:t>
      </w:r>
      <w:r w:rsidR="00206DAB" w:rsidRPr="00BA0FBF">
        <w:t xml:space="preserve"> on households by income decile.</w:t>
      </w:r>
    </w:p>
    <w:p w:rsidR="00206DAB" w:rsidRPr="00BA0FBF" w:rsidRDefault="00BC6774" w:rsidP="00742476">
      <w:pPr>
        <w:pStyle w:val="BodyText"/>
      </w:pPr>
      <w:r w:rsidRPr="00BA0FBF">
        <w:t>Increasing the GST to 15 per cent and expanding the GST base</w:t>
      </w:r>
      <w:r w:rsidR="00206DAB" w:rsidRPr="00BA0FBF">
        <w:t xml:space="preserve"> has a greater relative i</w:t>
      </w:r>
      <w:r w:rsidR="00AC39A2" w:rsidRPr="00BA0FBF">
        <w:t>mpact on lower income earners.</w:t>
      </w:r>
    </w:p>
    <w:p w:rsidR="00206DAB" w:rsidRPr="00BA0FBF" w:rsidRDefault="00206DAB" w:rsidP="00742476">
      <w:pPr>
        <w:pStyle w:val="BodyText"/>
      </w:pPr>
      <w:r w:rsidRPr="00BA0FBF">
        <w:t>In the absence of compensation arrangements targeting lower income households, those in the lowest income decile would pay an additional</w:t>
      </w:r>
      <w:r w:rsidR="00A27D38" w:rsidRPr="00BA0FBF">
        <w:t xml:space="preserve"> 1</w:t>
      </w:r>
      <w:r w:rsidR="00AB1989">
        <w:t>4</w:t>
      </w:r>
      <w:r w:rsidR="005864EC" w:rsidRPr="00BA0FBF">
        <w:t>.</w:t>
      </w:r>
      <w:r w:rsidR="00AB1989">
        <w:t>2</w:t>
      </w:r>
      <w:r w:rsidRPr="00BA0FBF">
        <w:t xml:space="preserve"> per cent of their disposable income under this scenario, compared with the average of an additional </w:t>
      </w:r>
      <w:r w:rsidR="00AB1989">
        <w:t>4</w:t>
      </w:r>
      <w:r w:rsidR="00A27D38" w:rsidRPr="00BA0FBF">
        <w:t>.</w:t>
      </w:r>
      <w:r w:rsidR="00AB1989">
        <w:t>0</w:t>
      </w:r>
      <w:r w:rsidRPr="00BA0FBF">
        <w:t xml:space="preserve"> per cent paid by those in the </w:t>
      </w:r>
      <w:r w:rsidR="00E60AB0" w:rsidRPr="00BA0FBF">
        <w:t xml:space="preserve">highest </w:t>
      </w:r>
      <w:r w:rsidR="00282751" w:rsidRPr="00BA0FBF">
        <w:t xml:space="preserve">income </w:t>
      </w:r>
      <w:r w:rsidR="00E60AB0" w:rsidRPr="00BA0FBF">
        <w:t>decile</w:t>
      </w:r>
      <w:r w:rsidRPr="00BA0FBF">
        <w:t>.</w:t>
      </w:r>
    </w:p>
    <w:p w:rsidR="00AC39A2" w:rsidRPr="00BA0FBF" w:rsidRDefault="00AC39A2" w:rsidP="00AC39A2">
      <w:pPr>
        <w:pStyle w:val="Caption"/>
        <w:rPr>
          <w:sz w:val="20"/>
        </w:rPr>
      </w:pPr>
      <w:bookmarkStart w:id="231" w:name="_Ref436662735"/>
      <w:bookmarkStart w:id="232" w:name="_Toc436917834"/>
      <w:bookmarkStart w:id="233" w:name="_Toc437429592"/>
      <w:r w:rsidRPr="00BA0FBF">
        <w:rPr>
          <w:sz w:val="20"/>
        </w:rPr>
        <w:t xml:space="preserve">Figure </w:t>
      </w:r>
      <w:r w:rsidRPr="00BA0FBF">
        <w:rPr>
          <w:sz w:val="20"/>
        </w:rPr>
        <w:fldChar w:fldCharType="begin"/>
      </w:r>
      <w:r w:rsidRPr="00BA0FBF">
        <w:rPr>
          <w:sz w:val="20"/>
        </w:rPr>
        <w:instrText xml:space="preserve"> STYLEREF 1 \s </w:instrText>
      </w:r>
      <w:r w:rsidRPr="00BA0FBF">
        <w:rPr>
          <w:sz w:val="20"/>
        </w:rPr>
        <w:fldChar w:fldCharType="separate"/>
      </w:r>
      <w:r w:rsidR="00076CF9">
        <w:rPr>
          <w:noProof/>
          <w:sz w:val="20"/>
        </w:rPr>
        <w:t>4</w:t>
      </w:r>
      <w:r w:rsidRPr="00BA0FBF">
        <w:rPr>
          <w:sz w:val="20"/>
        </w:rPr>
        <w:fldChar w:fldCharType="end"/>
      </w:r>
      <w:r w:rsidRPr="00BA0FBF">
        <w:rPr>
          <w:sz w:val="20"/>
        </w:rPr>
        <w:t>–</w:t>
      </w:r>
      <w:r w:rsidRPr="00BA0FBF">
        <w:rPr>
          <w:sz w:val="20"/>
        </w:rPr>
        <w:fldChar w:fldCharType="begin"/>
      </w:r>
      <w:r w:rsidRPr="00BA0FBF">
        <w:rPr>
          <w:sz w:val="20"/>
        </w:rPr>
        <w:instrText xml:space="preserve"> SEQ Figure \* ARABIC \s 1 </w:instrText>
      </w:r>
      <w:r w:rsidRPr="00BA0FBF">
        <w:rPr>
          <w:sz w:val="20"/>
        </w:rPr>
        <w:fldChar w:fldCharType="separate"/>
      </w:r>
      <w:r w:rsidR="00076CF9">
        <w:rPr>
          <w:noProof/>
          <w:sz w:val="20"/>
        </w:rPr>
        <w:t>5</w:t>
      </w:r>
      <w:r w:rsidRPr="00BA0FBF">
        <w:rPr>
          <w:sz w:val="20"/>
        </w:rPr>
        <w:fldChar w:fldCharType="end"/>
      </w:r>
      <w:bookmarkEnd w:id="231"/>
      <w:r w:rsidRPr="00BA0FBF">
        <w:rPr>
          <w:sz w:val="20"/>
        </w:rPr>
        <w:t>: Distributional impact of Scenario 5 (15 per cent GST; remove concessions)</w:t>
      </w:r>
      <w:bookmarkEnd w:id="232"/>
      <w:bookmarkEnd w:id="233"/>
    </w:p>
    <w:p w:rsidR="00206DAB" w:rsidRPr="00BA0FBF" w:rsidRDefault="00AB1989" w:rsidP="002418E7">
      <w:pPr>
        <w:pStyle w:val="BodyText"/>
        <w:rPr>
          <w:sz w:val="20"/>
        </w:rPr>
      </w:pPr>
      <w:r>
        <w:rPr>
          <w:noProof/>
          <w:sz w:val="20"/>
          <w:lang w:eastAsia="en-AU"/>
        </w:rPr>
        <w:drawing>
          <wp:inline distT="0" distB="0" distL="0" distR="0" wp14:anchorId="75714130" wp14:editId="14DEBD7C">
            <wp:extent cx="4547955" cy="3384000"/>
            <wp:effectExtent l="0" t="0" r="5080" b="6985"/>
            <wp:docPr id="39" name="Picture 39" descr="Figure 4–5 presents the relative and absolute impact of the scenario 5 (increase the GST rate from 10 per cent to 15 per cent and remove concessions) by household disposable income decile.&#10;Households in the lowest income decile would pay an additional 14.2 per cent of disposable income in GST, falling to 7.5 per cent for the second decile and 4.1 per cent for the highest decile.&#10;Households in the lowest income decile would pay an additional $79.1 per week in GST, falling to $65.6 per week in the second decile and rising to $247.6 per week for the highest decile.&#10;" title="Fig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547955" cy="3384000"/>
                    </a:xfrm>
                    <a:prstGeom prst="rect">
                      <a:avLst/>
                    </a:prstGeom>
                    <a:noFill/>
                  </pic:spPr>
                </pic:pic>
              </a:graphicData>
            </a:graphic>
          </wp:inline>
        </w:drawing>
      </w:r>
    </w:p>
    <w:p w:rsidR="003C58BB" w:rsidRDefault="003C58BB" w:rsidP="003C58BB">
      <w:pPr>
        <w:pStyle w:val="Source"/>
      </w:pPr>
      <w:r>
        <w:t xml:space="preserve">Source: </w:t>
      </w:r>
      <w:r w:rsidR="004E109F">
        <w:t>PBO analysis based on data from the ABS and Treasury</w:t>
      </w:r>
    </w:p>
    <w:p w:rsidR="00206DAB" w:rsidRPr="00BC626C" w:rsidRDefault="00BC626C" w:rsidP="00BC626C">
      <w:pPr>
        <w:pStyle w:val="BodyText17ptAbove"/>
      </w:pPr>
      <w:r w:rsidRPr="00BC626C">
        <w:fldChar w:fldCharType="begin"/>
      </w:r>
      <w:r w:rsidRPr="00BC626C">
        <w:instrText xml:space="preserve"> REF _Ref438119163 \h </w:instrText>
      </w:r>
      <w:r>
        <w:instrText xml:space="preserve"> \* MERGEFORMAT </w:instrText>
      </w:r>
      <w:r w:rsidRPr="00BC626C">
        <w:fldChar w:fldCharType="separate"/>
      </w:r>
      <w:r w:rsidR="00076CF9" w:rsidRPr="00076CF9">
        <w:t>Table 4–14</w:t>
      </w:r>
      <w:r w:rsidRPr="00BC626C">
        <w:fldChar w:fldCharType="end"/>
      </w:r>
      <w:r>
        <w:t xml:space="preserve"> </w:t>
      </w:r>
      <w:r w:rsidR="00206DAB" w:rsidRPr="00BC626C">
        <w:t xml:space="preserve">summarises the distribution of the relative impact of the GST revenue collected under Scenario </w:t>
      </w:r>
      <w:r w:rsidR="00BC6774" w:rsidRPr="00BC626C">
        <w:t>5</w:t>
      </w:r>
      <w:r w:rsidR="00206DAB" w:rsidRPr="00BC626C">
        <w:t xml:space="preserve"> by decile of household disposable income before and after the assumed compensation package.</w:t>
      </w:r>
    </w:p>
    <w:p w:rsidR="00AC39A2" w:rsidRPr="00BA0FBF" w:rsidRDefault="00AC39A2" w:rsidP="00AC39A2">
      <w:pPr>
        <w:pStyle w:val="Caption"/>
        <w:rPr>
          <w:sz w:val="20"/>
        </w:rPr>
      </w:pPr>
      <w:bookmarkStart w:id="234" w:name="_Ref438119163"/>
      <w:bookmarkStart w:id="235" w:name="_Toc436664571"/>
      <w:bookmarkStart w:id="236" w:name="_Toc436917818"/>
      <w:bookmarkStart w:id="237" w:name="_Toc437429576"/>
      <w:r w:rsidRPr="00BA0FBF">
        <w:rPr>
          <w:sz w:val="20"/>
        </w:rPr>
        <w:t xml:space="preserve">Table </w:t>
      </w:r>
      <w:r w:rsidRPr="00BA0FBF">
        <w:rPr>
          <w:sz w:val="20"/>
        </w:rPr>
        <w:fldChar w:fldCharType="begin"/>
      </w:r>
      <w:r w:rsidRPr="00BA0FBF">
        <w:rPr>
          <w:sz w:val="20"/>
        </w:rPr>
        <w:instrText xml:space="preserve"> STYLEREF 1 \s </w:instrText>
      </w:r>
      <w:r w:rsidRPr="00BA0FBF">
        <w:rPr>
          <w:sz w:val="20"/>
        </w:rPr>
        <w:fldChar w:fldCharType="separate"/>
      </w:r>
      <w:r w:rsidR="00076CF9">
        <w:rPr>
          <w:noProof/>
          <w:sz w:val="20"/>
        </w:rPr>
        <w:t>4</w:t>
      </w:r>
      <w:r w:rsidRPr="00BA0FBF">
        <w:rPr>
          <w:sz w:val="20"/>
        </w:rPr>
        <w:fldChar w:fldCharType="end"/>
      </w:r>
      <w:r w:rsidRPr="00BA0FBF">
        <w:rPr>
          <w:sz w:val="20"/>
        </w:rPr>
        <w:t>–</w:t>
      </w:r>
      <w:r w:rsidRPr="00BA0FBF">
        <w:rPr>
          <w:sz w:val="20"/>
        </w:rPr>
        <w:fldChar w:fldCharType="begin"/>
      </w:r>
      <w:r w:rsidRPr="00BA0FBF">
        <w:rPr>
          <w:sz w:val="20"/>
        </w:rPr>
        <w:instrText xml:space="preserve"> SEQ Table \* ARABIC \s 1 </w:instrText>
      </w:r>
      <w:r w:rsidRPr="00BA0FBF">
        <w:rPr>
          <w:sz w:val="20"/>
        </w:rPr>
        <w:fldChar w:fldCharType="separate"/>
      </w:r>
      <w:r w:rsidR="00076CF9">
        <w:rPr>
          <w:noProof/>
          <w:sz w:val="20"/>
        </w:rPr>
        <w:t>14</w:t>
      </w:r>
      <w:r w:rsidRPr="00BA0FBF">
        <w:rPr>
          <w:sz w:val="20"/>
        </w:rPr>
        <w:fldChar w:fldCharType="end"/>
      </w:r>
      <w:bookmarkEnd w:id="234"/>
      <w:r w:rsidRPr="00BA0FBF">
        <w:rPr>
          <w:sz w:val="20"/>
        </w:rPr>
        <w:t xml:space="preserve">: Net </w:t>
      </w:r>
      <w:r w:rsidR="00D02DAC">
        <w:rPr>
          <w:sz w:val="20"/>
        </w:rPr>
        <w:t xml:space="preserve">additional </w:t>
      </w:r>
      <w:r w:rsidRPr="00BA0FBF">
        <w:rPr>
          <w:sz w:val="20"/>
        </w:rPr>
        <w:t xml:space="preserve">GST revenue: relative impact </w:t>
      </w:r>
      <w:r w:rsidR="009047C1">
        <w:rPr>
          <w:sz w:val="20"/>
        </w:rPr>
        <w:t xml:space="preserve">of </w:t>
      </w:r>
      <w:r w:rsidRPr="00BA0FBF">
        <w:rPr>
          <w:sz w:val="20"/>
        </w:rPr>
        <w:t>Scenario 5</w:t>
      </w:r>
      <w:bookmarkEnd w:id="235"/>
      <w:r w:rsidR="009047C1">
        <w:rPr>
          <w:sz w:val="20"/>
        </w:rPr>
        <w:t xml:space="preserve"> (15 per cent GST; remove concessions)</w:t>
      </w:r>
      <w:bookmarkEnd w:id="236"/>
      <w:bookmarkEnd w:id="237"/>
    </w:p>
    <w:tbl>
      <w:tblPr>
        <w:tblStyle w:val="TableGrid"/>
        <w:tblW w:w="4861" w:type="pct"/>
        <w:tblLook w:val="04A0" w:firstRow="1" w:lastRow="0" w:firstColumn="1" w:lastColumn="0" w:noHBand="0" w:noVBand="1"/>
      </w:tblPr>
      <w:tblGrid>
        <w:gridCol w:w="1848"/>
        <w:gridCol w:w="707"/>
        <w:gridCol w:w="548"/>
        <w:gridCol w:w="622"/>
        <w:gridCol w:w="625"/>
        <w:gridCol w:w="622"/>
        <w:gridCol w:w="622"/>
        <w:gridCol w:w="622"/>
        <w:gridCol w:w="622"/>
        <w:gridCol w:w="622"/>
        <w:gridCol w:w="621"/>
      </w:tblGrid>
      <w:tr w:rsidR="001D5F01" w:rsidRPr="00BA0FBF" w:rsidTr="00AC39A2">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143" w:type="pct"/>
            <w:vAlign w:val="center"/>
          </w:tcPr>
          <w:p w:rsidR="001D5F01" w:rsidRPr="00BA0FBF" w:rsidRDefault="001D5F01" w:rsidP="002418E7">
            <w:pPr>
              <w:pStyle w:val="TableHeading"/>
            </w:pPr>
            <w:r w:rsidRPr="00BA0FBF">
              <w:t>201</w:t>
            </w:r>
            <w:r w:rsidR="00962A36" w:rsidRPr="00BA0FBF">
              <w:t>7</w:t>
            </w:r>
            <w:r w:rsidR="00AC39A2" w:rsidRPr="00BA0FBF">
              <w:t>–</w:t>
            </w:r>
            <w:r w:rsidRPr="00BA0FBF">
              <w:t>1</w:t>
            </w:r>
            <w:r w:rsidR="00962A36" w:rsidRPr="00BA0FBF">
              <w:t>8</w:t>
            </w:r>
          </w:p>
        </w:tc>
        <w:tc>
          <w:tcPr>
            <w:tcW w:w="437" w:type="pct"/>
            <w:vAlign w:val="center"/>
          </w:tcPr>
          <w:p w:rsidR="001D5F01" w:rsidRPr="00BA0FBF" w:rsidRDefault="001D5F01" w:rsidP="002418E7">
            <w:pPr>
              <w:pStyle w:val="TableHeading"/>
              <w:cnfStyle w:val="100000000000" w:firstRow="1" w:lastRow="0" w:firstColumn="0" w:lastColumn="0" w:oddVBand="0" w:evenVBand="0" w:oddHBand="0" w:evenHBand="0" w:firstRowFirstColumn="0" w:firstRowLastColumn="0" w:lastRowFirstColumn="0" w:lastRowLastColumn="0"/>
            </w:pPr>
            <w:r w:rsidRPr="00BA0FBF">
              <w:t>D1</w:t>
            </w:r>
          </w:p>
        </w:tc>
        <w:tc>
          <w:tcPr>
            <w:tcW w:w="339" w:type="pct"/>
            <w:vAlign w:val="center"/>
          </w:tcPr>
          <w:p w:rsidR="001D5F01" w:rsidRPr="00BA0FBF" w:rsidRDefault="001D5F01" w:rsidP="002418E7">
            <w:pPr>
              <w:pStyle w:val="TableHeading"/>
              <w:cnfStyle w:val="100000000000" w:firstRow="1" w:lastRow="0" w:firstColumn="0" w:lastColumn="0" w:oddVBand="0" w:evenVBand="0" w:oddHBand="0" w:evenHBand="0" w:firstRowFirstColumn="0" w:firstRowLastColumn="0" w:lastRowFirstColumn="0" w:lastRowLastColumn="0"/>
            </w:pPr>
            <w:r w:rsidRPr="00BA0FBF">
              <w:t>D2</w:t>
            </w:r>
          </w:p>
        </w:tc>
        <w:tc>
          <w:tcPr>
            <w:tcW w:w="385" w:type="pct"/>
            <w:vAlign w:val="center"/>
          </w:tcPr>
          <w:p w:rsidR="001D5F01" w:rsidRPr="00BA0FBF" w:rsidRDefault="001D5F01" w:rsidP="002418E7">
            <w:pPr>
              <w:pStyle w:val="TableHeading"/>
              <w:cnfStyle w:val="100000000000" w:firstRow="1" w:lastRow="0" w:firstColumn="0" w:lastColumn="0" w:oddVBand="0" w:evenVBand="0" w:oddHBand="0" w:evenHBand="0" w:firstRowFirstColumn="0" w:firstRowLastColumn="0" w:lastRowFirstColumn="0" w:lastRowLastColumn="0"/>
            </w:pPr>
            <w:r w:rsidRPr="00BA0FBF">
              <w:t>D3</w:t>
            </w:r>
          </w:p>
        </w:tc>
        <w:tc>
          <w:tcPr>
            <w:tcW w:w="387" w:type="pct"/>
            <w:vAlign w:val="center"/>
          </w:tcPr>
          <w:p w:rsidR="001D5F01" w:rsidRPr="00BA0FBF" w:rsidRDefault="001D5F01" w:rsidP="002418E7">
            <w:pPr>
              <w:pStyle w:val="TableHeading"/>
              <w:cnfStyle w:val="100000000000" w:firstRow="1" w:lastRow="0" w:firstColumn="0" w:lastColumn="0" w:oddVBand="0" w:evenVBand="0" w:oddHBand="0" w:evenHBand="0" w:firstRowFirstColumn="0" w:firstRowLastColumn="0" w:lastRowFirstColumn="0" w:lastRowLastColumn="0"/>
            </w:pPr>
            <w:r w:rsidRPr="00BA0FBF">
              <w:t>D4</w:t>
            </w:r>
          </w:p>
        </w:tc>
        <w:tc>
          <w:tcPr>
            <w:tcW w:w="385" w:type="pct"/>
            <w:vAlign w:val="center"/>
          </w:tcPr>
          <w:p w:rsidR="001D5F01" w:rsidRPr="00BA0FBF" w:rsidRDefault="001D5F01" w:rsidP="002418E7">
            <w:pPr>
              <w:pStyle w:val="TableHeading"/>
              <w:cnfStyle w:val="100000000000" w:firstRow="1" w:lastRow="0" w:firstColumn="0" w:lastColumn="0" w:oddVBand="0" w:evenVBand="0" w:oddHBand="0" w:evenHBand="0" w:firstRowFirstColumn="0" w:firstRowLastColumn="0" w:lastRowFirstColumn="0" w:lastRowLastColumn="0"/>
            </w:pPr>
            <w:r w:rsidRPr="00BA0FBF">
              <w:t>D5</w:t>
            </w:r>
          </w:p>
        </w:tc>
        <w:tc>
          <w:tcPr>
            <w:tcW w:w="385" w:type="pct"/>
            <w:vAlign w:val="center"/>
          </w:tcPr>
          <w:p w:rsidR="001D5F01" w:rsidRPr="00BA0FBF" w:rsidRDefault="001D5F01" w:rsidP="002418E7">
            <w:pPr>
              <w:pStyle w:val="TableHeading"/>
              <w:cnfStyle w:val="100000000000" w:firstRow="1" w:lastRow="0" w:firstColumn="0" w:lastColumn="0" w:oddVBand="0" w:evenVBand="0" w:oddHBand="0" w:evenHBand="0" w:firstRowFirstColumn="0" w:firstRowLastColumn="0" w:lastRowFirstColumn="0" w:lastRowLastColumn="0"/>
            </w:pPr>
            <w:r w:rsidRPr="00BA0FBF">
              <w:t>D6</w:t>
            </w:r>
          </w:p>
        </w:tc>
        <w:tc>
          <w:tcPr>
            <w:tcW w:w="385" w:type="pct"/>
            <w:vAlign w:val="center"/>
          </w:tcPr>
          <w:p w:rsidR="001D5F01" w:rsidRPr="00BA0FBF" w:rsidRDefault="001D5F01" w:rsidP="002418E7">
            <w:pPr>
              <w:pStyle w:val="TableHeading"/>
              <w:cnfStyle w:val="100000000000" w:firstRow="1" w:lastRow="0" w:firstColumn="0" w:lastColumn="0" w:oddVBand="0" w:evenVBand="0" w:oddHBand="0" w:evenHBand="0" w:firstRowFirstColumn="0" w:firstRowLastColumn="0" w:lastRowFirstColumn="0" w:lastRowLastColumn="0"/>
            </w:pPr>
            <w:r w:rsidRPr="00BA0FBF">
              <w:t>D7</w:t>
            </w:r>
          </w:p>
        </w:tc>
        <w:tc>
          <w:tcPr>
            <w:tcW w:w="385" w:type="pct"/>
            <w:vAlign w:val="center"/>
          </w:tcPr>
          <w:p w:rsidR="001D5F01" w:rsidRPr="00BA0FBF" w:rsidRDefault="001D5F01" w:rsidP="002418E7">
            <w:pPr>
              <w:pStyle w:val="TableHeading"/>
              <w:cnfStyle w:val="100000000000" w:firstRow="1" w:lastRow="0" w:firstColumn="0" w:lastColumn="0" w:oddVBand="0" w:evenVBand="0" w:oddHBand="0" w:evenHBand="0" w:firstRowFirstColumn="0" w:firstRowLastColumn="0" w:lastRowFirstColumn="0" w:lastRowLastColumn="0"/>
            </w:pPr>
            <w:r w:rsidRPr="00BA0FBF">
              <w:t>D8</w:t>
            </w:r>
          </w:p>
        </w:tc>
        <w:tc>
          <w:tcPr>
            <w:tcW w:w="385" w:type="pct"/>
            <w:vAlign w:val="center"/>
          </w:tcPr>
          <w:p w:rsidR="001D5F01" w:rsidRPr="00BA0FBF" w:rsidRDefault="001D5F01" w:rsidP="002418E7">
            <w:pPr>
              <w:pStyle w:val="TableHeading"/>
              <w:cnfStyle w:val="100000000000" w:firstRow="1" w:lastRow="0" w:firstColumn="0" w:lastColumn="0" w:oddVBand="0" w:evenVBand="0" w:oddHBand="0" w:evenHBand="0" w:firstRowFirstColumn="0" w:firstRowLastColumn="0" w:lastRowFirstColumn="0" w:lastRowLastColumn="0"/>
            </w:pPr>
            <w:r w:rsidRPr="00BA0FBF">
              <w:t>D9</w:t>
            </w:r>
          </w:p>
        </w:tc>
        <w:tc>
          <w:tcPr>
            <w:tcW w:w="384" w:type="pct"/>
            <w:vAlign w:val="center"/>
          </w:tcPr>
          <w:p w:rsidR="001D5F01" w:rsidRPr="00BA0FBF" w:rsidRDefault="001D5F01" w:rsidP="002418E7">
            <w:pPr>
              <w:pStyle w:val="TableHeading"/>
              <w:cnfStyle w:val="100000000000" w:firstRow="1" w:lastRow="0" w:firstColumn="0" w:lastColumn="0" w:oddVBand="0" w:evenVBand="0" w:oddHBand="0" w:evenHBand="0" w:firstRowFirstColumn="0" w:firstRowLastColumn="0" w:lastRowFirstColumn="0" w:lastRowLastColumn="0"/>
            </w:pPr>
            <w:r w:rsidRPr="00BA0FBF">
              <w:t>D10</w:t>
            </w:r>
          </w:p>
        </w:tc>
      </w:tr>
      <w:tr w:rsidR="00AB1989" w:rsidRPr="00BA0FBF" w:rsidTr="00AB198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43" w:type="pct"/>
          </w:tcPr>
          <w:p w:rsidR="00AB1989" w:rsidRPr="002418E7" w:rsidRDefault="00AB1989" w:rsidP="00AC39A2">
            <w:pPr>
              <w:pStyle w:val="TableText"/>
            </w:pPr>
            <w:r>
              <w:t xml:space="preserve">Additional </w:t>
            </w:r>
            <w:r w:rsidRPr="002418E7">
              <w:t>GST revenue</w:t>
            </w:r>
          </w:p>
        </w:tc>
        <w:tc>
          <w:tcPr>
            <w:tcW w:w="437" w:type="pct"/>
          </w:tcPr>
          <w:p w:rsidR="00AB1989" w:rsidRPr="00B947B4" w:rsidRDefault="00AB1989" w:rsidP="00AB1989">
            <w:pPr>
              <w:jc w:val="center"/>
              <w:cnfStyle w:val="000000100000" w:firstRow="0" w:lastRow="0" w:firstColumn="0" w:lastColumn="0" w:oddVBand="0" w:evenVBand="0" w:oddHBand="1" w:evenHBand="0" w:firstRowFirstColumn="0" w:firstRowLastColumn="0" w:lastRowFirstColumn="0" w:lastRowLastColumn="0"/>
            </w:pPr>
            <w:r w:rsidRPr="00B947B4">
              <w:t>14.2</w:t>
            </w:r>
          </w:p>
        </w:tc>
        <w:tc>
          <w:tcPr>
            <w:tcW w:w="339" w:type="pct"/>
          </w:tcPr>
          <w:p w:rsidR="00AB1989" w:rsidRPr="00B947B4" w:rsidRDefault="00AB1989" w:rsidP="00AB1989">
            <w:pPr>
              <w:jc w:val="center"/>
              <w:cnfStyle w:val="000000100000" w:firstRow="0" w:lastRow="0" w:firstColumn="0" w:lastColumn="0" w:oddVBand="0" w:evenVBand="0" w:oddHBand="1" w:evenHBand="0" w:firstRowFirstColumn="0" w:firstRowLastColumn="0" w:lastRowFirstColumn="0" w:lastRowLastColumn="0"/>
            </w:pPr>
            <w:r w:rsidRPr="00B947B4">
              <w:t>7.5</w:t>
            </w:r>
          </w:p>
        </w:tc>
        <w:tc>
          <w:tcPr>
            <w:tcW w:w="385" w:type="pct"/>
          </w:tcPr>
          <w:p w:rsidR="00AB1989" w:rsidRPr="00B947B4" w:rsidRDefault="00AB1989" w:rsidP="00AB1989">
            <w:pPr>
              <w:jc w:val="center"/>
              <w:cnfStyle w:val="000000100000" w:firstRow="0" w:lastRow="0" w:firstColumn="0" w:lastColumn="0" w:oddVBand="0" w:evenVBand="0" w:oddHBand="1" w:evenHBand="0" w:firstRowFirstColumn="0" w:firstRowLastColumn="0" w:lastRowFirstColumn="0" w:lastRowLastColumn="0"/>
            </w:pPr>
            <w:r w:rsidRPr="00B947B4">
              <w:t>6.8</w:t>
            </w:r>
          </w:p>
        </w:tc>
        <w:tc>
          <w:tcPr>
            <w:tcW w:w="387" w:type="pct"/>
          </w:tcPr>
          <w:p w:rsidR="00AB1989" w:rsidRPr="00B947B4" w:rsidRDefault="00AB1989" w:rsidP="00AB1989">
            <w:pPr>
              <w:jc w:val="center"/>
              <w:cnfStyle w:val="000000100000" w:firstRow="0" w:lastRow="0" w:firstColumn="0" w:lastColumn="0" w:oddVBand="0" w:evenVBand="0" w:oddHBand="1" w:evenHBand="0" w:firstRowFirstColumn="0" w:firstRowLastColumn="0" w:lastRowFirstColumn="0" w:lastRowLastColumn="0"/>
            </w:pPr>
            <w:r w:rsidRPr="00B947B4">
              <w:t>6.9</w:t>
            </w:r>
          </w:p>
        </w:tc>
        <w:tc>
          <w:tcPr>
            <w:tcW w:w="385" w:type="pct"/>
          </w:tcPr>
          <w:p w:rsidR="00AB1989" w:rsidRPr="00B947B4" w:rsidRDefault="00AB1989" w:rsidP="00AB1989">
            <w:pPr>
              <w:jc w:val="center"/>
              <w:cnfStyle w:val="000000100000" w:firstRow="0" w:lastRow="0" w:firstColumn="0" w:lastColumn="0" w:oddVBand="0" w:evenVBand="0" w:oddHBand="1" w:evenHBand="0" w:firstRowFirstColumn="0" w:firstRowLastColumn="0" w:lastRowFirstColumn="0" w:lastRowLastColumn="0"/>
            </w:pPr>
            <w:r w:rsidRPr="00B947B4">
              <w:t>5.9</w:t>
            </w:r>
          </w:p>
        </w:tc>
        <w:tc>
          <w:tcPr>
            <w:tcW w:w="385" w:type="pct"/>
          </w:tcPr>
          <w:p w:rsidR="00AB1989" w:rsidRPr="00B947B4" w:rsidRDefault="00AB1989" w:rsidP="00AB1989">
            <w:pPr>
              <w:jc w:val="center"/>
              <w:cnfStyle w:val="000000100000" w:firstRow="0" w:lastRow="0" w:firstColumn="0" w:lastColumn="0" w:oddVBand="0" w:evenVBand="0" w:oddHBand="1" w:evenHBand="0" w:firstRowFirstColumn="0" w:firstRowLastColumn="0" w:lastRowFirstColumn="0" w:lastRowLastColumn="0"/>
            </w:pPr>
            <w:r w:rsidRPr="00B947B4">
              <w:t>6.1</w:t>
            </w:r>
          </w:p>
        </w:tc>
        <w:tc>
          <w:tcPr>
            <w:tcW w:w="385" w:type="pct"/>
          </w:tcPr>
          <w:p w:rsidR="00AB1989" w:rsidRPr="00B947B4" w:rsidRDefault="00AB1989" w:rsidP="00AB1989">
            <w:pPr>
              <w:jc w:val="center"/>
              <w:cnfStyle w:val="000000100000" w:firstRow="0" w:lastRow="0" w:firstColumn="0" w:lastColumn="0" w:oddVBand="0" w:evenVBand="0" w:oddHBand="1" w:evenHBand="0" w:firstRowFirstColumn="0" w:firstRowLastColumn="0" w:lastRowFirstColumn="0" w:lastRowLastColumn="0"/>
            </w:pPr>
            <w:r w:rsidRPr="00B947B4">
              <w:t>5.6</w:t>
            </w:r>
          </w:p>
        </w:tc>
        <w:tc>
          <w:tcPr>
            <w:tcW w:w="385" w:type="pct"/>
          </w:tcPr>
          <w:p w:rsidR="00AB1989" w:rsidRPr="00B947B4" w:rsidRDefault="00AB1989" w:rsidP="00AB1989">
            <w:pPr>
              <w:jc w:val="center"/>
              <w:cnfStyle w:val="000000100000" w:firstRow="0" w:lastRow="0" w:firstColumn="0" w:lastColumn="0" w:oddVBand="0" w:evenVBand="0" w:oddHBand="1" w:evenHBand="0" w:firstRowFirstColumn="0" w:firstRowLastColumn="0" w:lastRowFirstColumn="0" w:lastRowLastColumn="0"/>
            </w:pPr>
            <w:r w:rsidRPr="00B947B4">
              <w:t>5.3</w:t>
            </w:r>
          </w:p>
        </w:tc>
        <w:tc>
          <w:tcPr>
            <w:tcW w:w="385" w:type="pct"/>
          </w:tcPr>
          <w:p w:rsidR="00AB1989" w:rsidRPr="00B947B4" w:rsidRDefault="00AB1989" w:rsidP="00AB1989">
            <w:pPr>
              <w:jc w:val="center"/>
              <w:cnfStyle w:val="000000100000" w:firstRow="0" w:lastRow="0" w:firstColumn="0" w:lastColumn="0" w:oddVBand="0" w:evenVBand="0" w:oddHBand="1" w:evenHBand="0" w:firstRowFirstColumn="0" w:firstRowLastColumn="0" w:lastRowFirstColumn="0" w:lastRowLastColumn="0"/>
            </w:pPr>
            <w:r w:rsidRPr="00B947B4">
              <w:t>4.9</w:t>
            </w:r>
          </w:p>
        </w:tc>
        <w:tc>
          <w:tcPr>
            <w:tcW w:w="384" w:type="pct"/>
          </w:tcPr>
          <w:p w:rsidR="00AB1989" w:rsidRPr="00B947B4" w:rsidRDefault="00AB1989" w:rsidP="00AB1989">
            <w:pPr>
              <w:jc w:val="center"/>
              <w:cnfStyle w:val="000000100000" w:firstRow="0" w:lastRow="0" w:firstColumn="0" w:lastColumn="0" w:oddVBand="0" w:evenVBand="0" w:oddHBand="1" w:evenHBand="0" w:firstRowFirstColumn="0" w:firstRowLastColumn="0" w:lastRowFirstColumn="0" w:lastRowLastColumn="0"/>
            </w:pPr>
            <w:r w:rsidRPr="00B947B4">
              <w:t>4.0</w:t>
            </w:r>
          </w:p>
        </w:tc>
      </w:tr>
      <w:tr w:rsidR="00AB1989" w:rsidRPr="00BA0FBF" w:rsidTr="00AB1989">
        <w:trPr>
          <w:cantSplit/>
        </w:trPr>
        <w:tc>
          <w:tcPr>
            <w:cnfStyle w:val="001000000000" w:firstRow="0" w:lastRow="0" w:firstColumn="1" w:lastColumn="0" w:oddVBand="0" w:evenVBand="0" w:oddHBand="0" w:evenHBand="0" w:firstRowFirstColumn="0" w:firstRowLastColumn="0" w:lastRowFirstColumn="0" w:lastRowLastColumn="0"/>
            <w:tcW w:w="1143" w:type="pct"/>
          </w:tcPr>
          <w:p w:rsidR="00AB1989" w:rsidRPr="002418E7" w:rsidRDefault="00AB1989" w:rsidP="00AC39A2">
            <w:pPr>
              <w:pStyle w:val="TableText"/>
            </w:pPr>
            <w:r w:rsidRPr="002418E7">
              <w:t>Compensation</w:t>
            </w:r>
          </w:p>
        </w:tc>
        <w:tc>
          <w:tcPr>
            <w:tcW w:w="437" w:type="pct"/>
          </w:tcPr>
          <w:p w:rsidR="00AB1989" w:rsidRPr="00B947B4" w:rsidRDefault="00AB1989" w:rsidP="00AB1989">
            <w:pPr>
              <w:jc w:val="center"/>
              <w:cnfStyle w:val="000000000000" w:firstRow="0" w:lastRow="0" w:firstColumn="0" w:lastColumn="0" w:oddVBand="0" w:evenVBand="0" w:oddHBand="0" w:evenHBand="0" w:firstRowFirstColumn="0" w:firstRowLastColumn="0" w:lastRowFirstColumn="0" w:lastRowLastColumn="0"/>
            </w:pPr>
            <w:r w:rsidRPr="00B947B4">
              <w:t>14.2</w:t>
            </w:r>
          </w:p>
        </w:tc>
        <w:tc>
          <w:tcPr>
            <w:tcW w:w="339" w:type="pct"/>
          </w:tcPr>
          <w:p w:rsidR="00AB1989" w:rsidRPr="00B947B4" w:rsidRDefault="00AB1989" w:rsidP="00AB1989">
            <w:pPr>
              <w:jc w:val="center"/>
              <w:cnfStyle w:val="000000000000" w:firstRow="0" w:lastRow="0" w:firstColumn="0" w:lastColumn="0" w:oddVBand="0" w:evenVBand="0" w:oddHBand="0" w:evenHBand="0" w:firstRowFirstColumn="0" w:firstRowLastColumn="0" w:lastRowFirstColumn="0" w:lastRowLastColumn="0"/>
            </w:pPr>
            <w:r w:rsidRPr="00B947B4">
              <w:t>7.5</w:t>
            </w:r>
          </w:p>
        </w:tc>
        <w:tc>
          <w:tcPr>
            <w:tcW w:w="385" w:type="pct"/>
          </w:tcPr>
          <w:p w:rsidR="00AB1989" w:rsidRPr="00B947B4" w:rsidRDefault="00AB1989" w:rsidP="00AB1989">
            <w:pPr>
              <w:jc w:val="center"/>
              <w:cnfStyle w:val="000000000000" w:firstRow="0" w:lastRow="0" w:firstColumn="0" w:lastColumn="0" w:oddVBand="0" w:evenVBand="0" w:oddHBand="0" w:evenHBand="0" w:firstRowFirstColumn="0" w:firstRowLastColumn="0" w:lastRowFirstColumn="0" w:lastRowLastColumn="0"/>
            </w:pPr>
            <w:r w:rsidRPr="00B947B4">
              <w:t>6.8</w:t>
            </w:r>
          </w:p>
        </w:tc>
        <w:tc>
          <w:tcPr>
            <w:tcW w:w="387" w:type="pct"/>
          </w:tcPr>
          <w:p w:rsidR="00AB1989" w:rsidRPr="00B947B4" w:rsidRDefault="00AB1989" w:rsidP="00AB1989">
            <w:pPr>
              <w:jc w:val="center"/>
              <w:cnfStyle w:val="000000000000" w:firstRow="0" w:lastRow="0" w:firstColumn="0" w:lastColumn="0" w:oddVBand="0" w:evenVBand="0" w:oddHBand="0" w:evenHBand="0" w:firstRowFirstColumn="0" w:firstRowLastColumn="0" w:lastRowFirstColumn="0" w:lastRowLastColumn="0"/>
            </w:pPr>
            <w:r w:rsidRPr="00B947B4">
              <w:t>6.9</w:t>
            </w:r>
          </w:p>
        </w:tc>
        <w:tc>
          <w:tcPr>
            <w:tcW w:w="385" w:type="pct"/>
          </w:tcPr>
          <w:p w:rsidR="00AB1989" w:rsidRPr="00D41863" w:rsidRDefault="00AB1989" w:rsidP="00AB1989">
            <w:pPr>
              <w:jc w:val="center"/>
              <w:cnfStyle w:val="000000000000" w:firstRow="0" w:lastRow="0" w:firstColumn="0" w:lastColumn="0" w:oddVBand="0" w:evenVBand="0" w:oddHBand="0" w:evenHBand="0" w:firstRowFirstColumn="0" w:firstRowLastColumn="0" w:lastRowFirstColumn="0" w:lastRowLastColumn="0"/>
            </w:pPr>
            <w:r w:rsidRPr="00D41863">
              <w:t>0.0</w:t>
            </w:r>
          </w:p>
        </w:tc>
        <w:tc>
          <w:tcPr>
            <w:tcW w:w="385" w:type="pct"/>
          </w:tcPr>
          <w:p w:rsidR="00AB1989" w:rsidRPr="00D41863" w:rsidRDefault="00AB1989" w:rsidP="00AB1989">
            <w:pPr>
              <w:jc w:val="center"/>
              <w:cnfStyle w:val="000000000000" w:firstRow="0" w:lastRow="0" w:firstColumn="0" w:lastColumn="0" w:oddVBand="0" w:evenVBand="0" w:oddHBand="0" w:evenHBand="0" w:firstRowFirstColumn="0" w:firstRowLastColumn="0" w:lastRowFirstColumn="0" w:lastRowLastColumn="0"/>
            </w:pPr>
            <w:r w:rsidRPr="00D41863">
              <w:t>0.0</w:t>
            </w:r>
          </w:p>
        </w:tc>
        <w:tc>
          <w:tcPr>
            <w:tcW w:w="385" w:type="pct"/>
          </w:tcPr>
          <w:p w:rsidR="00AB1989" w:rsidRPr="00D41863" w:rsidRDefault="00AB1989" w:rsidP="00AB1989">
            <w:pPr>
              <w:jc w:val="center"/>
              <w:cnfStyle w:val="000000000000" w:firstRow="0" w:lastRow="0" w:firstColumn="0" w:lastColumn="0" w:oddVBand="0" w:evenVBand="0" w:oddHBand="0" w:evenHBand="0" w:firstRowFirstColumn="0" w:firstRowLastColumn="0" w:lastRowFirstColumn="0" w:lastRowLastColumn="0"/>
            </w:pPr>
            <w:r w:rsidRPr="00D41863">
              <w:t>0.0</w:t>
            </w:r>
          </w:p>
        </w:tc>
        <w:tc>
          <w:tcPr>
            <w:tcW w:w="385" w:type="pct"/>
          </w:tcPr>
          <w:p w:rsidR="00AB1989" w:rsidRPr="00D41863" w:rsidRDefault="00AB1989" w:rsidP="00AB1989">
            <w:pPr>
              <w:jc w:val="center"/>
              <w:cnfStyle w:val="000000000000" w:firstRow="0" w:lastRow="0" w:firstColumn="0" w:lastColumn="0" w:oddVBand="0" w:evenVBand="0" w:oddHBand="0" w:evenHBand="0" w:firstRowFirstColumn="0" w:firstRowLastColumn="0" w:lastRowFirstColumn="0" w:lastRowLastColumn="0"/>
            </w:pPr>
            <w:r w:rsidRPr="00D41863">
              <w:t>0.0</w:t>
            </w:r>
          </w:p>
        </w:tc>
        <w:tc>
          <w:tcPr>
            <w:tcW w:w="385" w:type="pct"/>
          </w:tcPr>
          <w:p w:rsidR="00AB1989" w:rsidRPr="00D41863" w:rsidRDefault="00AB1989" w:rsidP="00AB1989">
            <w:pPr>
              <w:jc w:val="center"/>
              <w:cnfStyle w:val="000000000000" w:firstRow="0" w:lastRow="0" w:firstColumn="0" w:lastColumn="0" w:oddVBand="0" w:evenVBand="0" w:oddHBand="0" w:evenHBand="0" w:firstRowFirstColumn="0" w:firstRowLastColumn="0" w:lastRowFirstColumn="0" w:lastRowLastColumn="0"/>
            </w:pPr>
            <w:r w:rsidRPr="00D41863">
              <w:t>0.0</w:t>
            </w:r>
          </w:p>
        </w:tc>
        <w:tc>
          <w:tcPr>
            <w:tcW w:w="384" w:type="pct"/>
          </w:tcPr>
          <w:p w:rsidR="00AB1989" w:rsidRDefault="00AB1989" w:rsidP="00AB1989">
            <w:pPr>
              <w:jc w:val="center"/>
              <w:cnfStyle w:val="000000000000" w:firstRow="0" w:lastRow="0" w:firstColumn="0" w:lastColumn="0" w:oddVBand="0" w:evenVBand="0" w:oddHBand="0" w:evenHBand="0" w:firstRowFirstColumn="0" w:firstRowLastColumn="0" w:lastRowFirstColumn="0" w:lastRowLastColumn="0"/>
            </w:pPr>
            <w:r w:rsidRPr="00D41863">
              <w:t>0.0</w:t>
            </w:r>
          </w:p>
        </w:tc>
      </w:tr>
      <w:tr w:rsidR="00AB1989" w:rsidRPr="00BA0FBF" w:rsidTr="00AB198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43" w:type="pct"/>
          </w:tcPr>
          <w:p w:rsidR="00AB1989" w:rsidRPr="002418E7" w:rsidRDefault="00AB1989" w:rsidP="00AC39A2">
            <w:pPr>
              <w:pStyle w:val="TableText"/>
              <w:rPr>
                <w:b/>
              </w:rPr>
            </w:pPr>
            <w:r w:rsidRPr="002418E7">
              <w:rPr>
                <w:b/>
              </w:rPr>
              <w:t>Relative impact (%)</w:t>
            </w:r>
          </w:p>
        </w:tc>
        <w:tc>
          <w:tcPr>
            <w:tcW w:w="437" w:type="pct"/>
          </w:tcPr>
          <w:p w:rsidR="00AB1989" w:rsidRPr="00AB1989" w:rsidRDefault="00AB1989" w:rsidP="00AB1989">
            <w:pPr>
              <w:jc w:val="center"/>
              <w:cnfStyle w:val="000000100000" w:firstRow="0" w:lastRow="0" w:firstColumn="0" w:lastColumn="0" w:oddVBand="0" w:evenVBand="0" w:oddHBand="1" w:evenHBand="0" w:firstRowFirstColumn="0" w:firstRowLastColumn="0" w:lastRowFirstColumn="0" w:lastRowLastColumn="0"/>
              <w:rPr>
                <w:b/>
              </w:rPr>
            </w:pPr>
            <w:r w:rsidRPr="00AB1989">
              <w:rPr>
                <w:b/>
              </w:rPr>
              <w:t>0.0</w:t>
            </w:r>
          </w:p>
        </w:tc>
        <w:tc>
          <w:tcPr>
            <w:tcW w:w="339" w:type="pct"/>
          </w:tcPr>
          <w:p w:rsidR="00AB1989" w:rsidRPr="00AB1989" w:rsidRDefault="00AB1989" w:rsidP="00AB1989">
            <w:pPr>
              <w:jc w:val="center"/>
              <w:cnfStyle w:val="000000100000" w:firstRow="0" w:lastRow="0" w:firstColumn="0" w:lastColumn="0" w:oddVBand="0" w:evenVBand="0" w:oddHBand="1" w:evenHBand="0" w:firstRowFirstColumn="0" w:firstRowLastColumn="0" w:lastRowFirstColumn="0" w:lastRowLastColumn="0"/>
              <w:rPr>
                <w:b/>
              </w:rPr>
            </w:pPr>
            <w:r w:rsidRPr="00AB1989">
              <w:rPr>
                <w:b/>
              </w:rPr>
              <w:t>0.0</w:t>
            </w:r>
          </w:p>
        </w:tc>
        <w:tc>
          <w:tcPr>
            <w:tcW w:w="385" w:type="pct"/>
          </w:tcPr>
          <w:p w:rsidR="00AB1989" w:rsidRPr="00AB1989" w:rsidRDefault="00AB1989" w:rsidP="00AB1989">
            <w:pPr>
              <w:jc w:val="center"/>
              <w:cnfStyle w:val="000000100000" w:firstRow="0" w:lastRow="0" w:firstColumn="0" w:lastColumn="0" w:oddVBand="0" w:evenVBand="0" w:oddHBand="1" w:evenHBand="0" w:firstRowFirstColumn="0" w:firstRowLastColumn="0" w:lastRowFirstColumn="0" w:lastRowLastColumn="0"/>
              <w:rPr>
                <w:b/>
              </w:rPr>
            </w:pPr>
            <w:r w:rsidRPr="00AB1989">
              <w:rPr>
                <w:b/>
              </w:rPr>
              <w:t>0.0</w:t>
            </w:r>
          </w:p>
        </w:tc>
        <w:tc>
          <w:tcPr>
            <w:tcW w:w="387" w:type="pct"/>
          </w:tcPr>
          <w:p w:rsidR="00AB1989" w:rsidRPr="00AB1989" w:rsidRDefault="00AB1989" w:rsidP="00AB1989">
            <w:pPr>
              <w:jc w:val="center"/>
              <w:cnfStyle w:val="000000100000" w:firstRow="0" w:lastRow="0" w:firstColumn="0" w:lastColumn="0" w:oddVBand="0" w:evenVBand="0" w:oddHBand="1" w:evenHBand="0" w:firstRowFirstColumn="0" w:firstRowLastColumn="0" w:lastRowFirstColumn="0" w:lastRowLastColumn="0"/>
              <w:rPr>
                <w:b/>
              </w:rPr>
            </w:pPr>
            <w:r w:rsidRPr="00AB1989">
              <w:rPr>
                <w:b/>
              </w:rPr>
              <w:t>0.0</w:t>
            </w:r>
          </w:p>
        </w:tc>
        <w:tc>
          <w:tcPr>
            <w:tcW w:w="385" w:type="pct"/>
          </w:tcPr>
          <w:p w:rsidR="00AB1989" w:rsidRPr="00AB1989" w:rsidRDefault="00AB1989" w:rsidP="00AB1989">
            <w:pPr>
              <w:jc w:val="center"/>
              <w:cnfStyle w:val="000000100000" w:firstRow="0" w:lastRow="0" w:firstColumn="0" w:lastColumn="0" w:oddVBand="0" w:evenVBand="0" w:oddHBand="1" w:evenHBand="0" w:firstRowFirstColumn="0" w:firstRowLastColumn="0" w:lastRowFirstColumn="0" w:lastRowLastColumn="0"/>
              <w:rPr>
                <w:b/>
              </w:rPr>
            </w:pPr>
            <w:r w:rsidRPr="00AB1989">
              <w:rPr>
                <w:b/>
              </w:rPr>
              <w:t>5.9</w:t>
            </w:r>
          </w:p>
        </w:tc>
        <w:tc>
          <w:tcPr>
            <w:tcW w:w="385" w:type="pct"/>
          </w:tcPr>
          <w:p w:rsidR="00AB1989" w:rsidRPr="00AB1989" w:rsidRDefault="00AB1989" w:rsidP="00AB1989">
            <w:pPr>
              <w:jc w:val="center"/>
              <w:cnfStyle w:val="000000100000" w:firstRow="0" w:lastRow="0" w:firstColumn="0" w:lastColumn="0" w:oddVBand="0" w:evenVBand="0" w:oddHBand="1" w:evenHBand="0" w:firstRowFirstColumn="0" w:firstRowLastColumn="0" w:lastRowFirstColumn="0" w:lastRowLastColumn="0"/>
              <w:rPr>
                <w:b/>
              </w:rPr>
            </w:pPr>
            <w:r w:rsidRPr="00AB1989">
              <w:rPr>
                <w:b/>
              </w:rPr>
              <w:t>6.1</w:t>
            </w:r>
          </w:p>
        </w:tc>
        <w:tc>
          <w:tcPr>
            <w:tcW w:w="385" w:type="pct"/>
          </w:tcPr>
          <w:p w:rsidR="00AB1989" w:rsidRPr="00AB1989" w:rsidRDefault="00AB1989" w:rsidP="00AB1989">
            <w:pPr>
              <w:jc w:val="center"/>
              <w:cnfStyle w:val="000000100000" w:firstRow="0" w:lastRow="0" w:firstColumn="0" w:lastColumn="0" w:oddVBand="0" w:evenVBand="0" w:oddHBand="1" w:evenHBand="0" w:firstRowFirstColumn="0" w:firstRowLastColumn="0" w:lastRowFirstColumn="0" w:lastRowLastColumn="0"/>
              <w:rPr>
                <w:b/>
              </w:rPr>
            </w:pPr>
            <w:r w:rsidRPr="00AB1989">
              <w:rPr>
                <w:b/>
              </w:rPr>
              <w:t>5.6</w:t>
            </w:r>
          </w:p>
        </w:tc>
        <w:tc>
          <w:tcPr>
            <w:tcW w:w="385" w:type="pct"/>
          </w:tcPr>
          <w:p w:rsidR="00AB1989" w:rsidRPr="00AB1989" w:rsidRDefault="00AB1989" w:rsidP="00AB1989">
            <w:pPr>
              <w:jc w:val="center"/>
              <w:cnfStyle w:val="000000100000" w:firstRow="0" w:lastRow="0" w:firstColumn="0" w:lastColumn="0" w:oddVBand="0" w:evenVBand="0" w:oddHBand="1" w:evenHBand="0" w:firstRowFirstColumn="0" w:firstRowLastColumn="0" w:lastRowFirstColumn="0" w:lastRowLastColumn="0"/>
              <w:rPr>
                <w:b/>
              </w:rPr>
            </w:pPr>
            <w:r w:rsidRPr="00AB1989">
              <w:rPr>
                <w:b/>
              </w:rPr>
              <w:t>5.3</w:t>
            </w:r>
          </w:p>
        </w:tc>
        <w:tc>
          <w:tcPr>
            <w:tcW w:w="385" w:type="pct"/>
          </w:tcPr>
          <w:p w:rsidR="00AB1989" w:rsidRPr="00AB1989" w:rsidRDefault="00AB1989" w:rsidP="00AB1989">
            <w:pPr>
              <w:jc w:val="center"/>
              <w:cnfStyle w:val="000000100000" w:firstRow="0" w:lastRow="0" w:firstColumn="0" w:lastColumn="0" w:oddVBand="0" w:evenVBand="0" w:oddHBand="1" w:evenHBand="0" w:firstRowFirstColumn="0" w:firstRowLastColumn="0" w:lastRowFirstColumn="0" w:lastRowLastColumn="0"/>
              <w:rPr>
                <w:b/>
              </w:rPr>
            </w:pPr>
            <w:r w:rsidRPr="00AB1989">
              <w:rPr>
                <w:b/>
              </w:rPr>
              <w:t>4.9</w:t>
            </w:r>
          </w:p>
        </w:tc>
        <w:tc>
          <w:tcPr>
            <w:tcW w:w="384" w:type="pct"/>
          </w:tcPr>
          <w:p w:rsidR="00AB1989" w:rsidRPr="00AB1989" w:rsidRDefault="00AB1989" w:rsidP="00AB1989">
            <w:pPr>
              <w:jc w:val="center"/>
              <w:cnfStyle w:val="000000100000" w:firstRow="0" w:lastRow="0" w:firstColumn="0" w:lastColumn="0" w:oddVBand="0" w:evenVBand="0" w:oddHBand="1" w:evenHBand="0" w:firstRowFirstColumn="0" w:firstRowLastColumn="0" w:lastRowFirstColumn="0" w:lastRowLastColumn="0"/>
              <w:rPr>
                <w:b/>
              </w:rPr>
            </w:pPr>
            <w:r w:rsidRPr="00AB1989">
              <w:rPr>
                <w:b/>
              </w:rPr>
              <w:t>4.0</w:t>
            </w:r>
          </w:p>
        </w:tc>
      </w:tr>
    </w:tbl>
    <w:p w:rsidR="00FE6DA1" w:rsidRDefault="003C58BB" w:rsidP="003C58BB">
      <w:pPr>
        <w:pStyle w:val="Source"/>
        <w:sectPr w:rsidR="00FE6DA1" w:rsidSect="00C407BF">
          <w:pgSz w:w="11906" w:h="16838" w:code="9"/>
          <w:pgMar w:top="1361" w:right="1797" w:bottom="1474" w:left="1797" w:header="284" w:footer="454" w:gutter="0"/>
          <w:cols w:space="708"/>
          <w:docGrid w:linePitch="360"/>
        </w:sectPr>
      </w:pPr>
      <w:r>
        <w:t xml:space="preserve">Source: </w:t>
      </w:r>
      <w:r w:rsidR="004E109F">
        <w:t>PBO analysis based on data from the ABS and Treasury</w:t>
      </w:r>
    </w:p>
    <w:p w:rsidR="00206DAB" w:rsidRPr="00BA0FBF" w:rsidRDefault="00BC626C" w:rsidP="00742476">
      <w:pPr>
        <w:pStyle w:val="BodyText17ptAbove"/>
      </w:pPr>
      <w:r w:rsidRPr="00BC626C">
        <w:fldChar w:fldCharType="begin"/>
      </w:r>
      <w:r w:rsidRPr="00BC626C">
        <w:instrText xml:space="preserve"> REF _Ref438119238 \h </w:instrText>
      </w:r>
      <w:r>
        <w:instrText xml:space="preserve"> \* MERGEFORMAT </w:instrText>
      </w:r>
      <w:r w:rsidRPr="00BC626C">
        <w:fldChar w:fldCharType="separate"/>
      </w:r>
      <w:r w:rsidR="00076CF9" w:rsidRPr="00076CF9">
        <w:t>Table 4–15</w:t>
      </w:r>
      <w:r w:rsidRPr="00BC626C">
        <w:fldChar w:fldCharType="end"/>
      </w:r>
      <w:r w:rsidRPr="00BC626C">
        <w:t xml:space="preserve"> </w:t>
      </w:r>
      <w:r w:rsidR="00206DAB" w:rsidRPr="00BA0FBF">
        <w:t xml:space="preserve">summarises the distribution of the GST revenue collected under Scenario </w:t>
      </w:r>
      <w:r w:rsidR="00BC6774" w:rsidRPr="00BA0FBF">
        <w:t>5</w:t>
      </w:r>
      <w:r w:rsidR="00206DAB" w:rsidRPr="00BA0FBF">
        <w:t xml:space="preserve"> by decile of household disposable income before and after the assumed compensation package.  </w:t>
      </w:r>
      <w:r w:rsidR="0038647A">
        <w:t xml:space="preserve">It shows that if concessions were removed </w:t>
      </w:r>
      <w:r w:rsidR="0034643D">
        <w:t xml:space="preserve">on </w:t>
      </w:r>
      <w:r w:rsidR="0034643D" w:rsidRPr="00BA0FBF">
        <w:t>basic food, health and medical care, education, child care</w:t>
      </w:r>
      <w:r w:rsidR="0034643D">
        <w:t>,</w:t>
      </w:r>
      <w:r w:rsidR="0034643D" w:rsidRPr="00BA0FBF">
        <w:t xml:space="preserve"> and water and sewerage</w:t>
      </w:r>
      <w:r w:rsidR="0034643D">
        <w:t xml:space="preserve"> </w:t>
      </w:r>
      <w:r w:rsidR="0038647A">
        <w:t>and the GST were increased to 15 per cent in 2017-18, the bottom 40 per cent of households would pay an additional $16.5 billion</w:t>
      </w:r>
      <w:r w:rsidR="0038647A" w:rsidRPr="00BA0FBF">
        <w:t xml:space="preserve"> </w:t>
      </w:r>
      <w:r w:rsidR="0038647A">
        <w:t>in GST (or 25 per cent of the additional GST revenue), while the top 40 per cent of households would pay an additional $36.6 billion (or 56 per cent of the additional GST re</w:t>
      </w:r>
      <w:r w:rsidR="0034643D">
        <w:t>venue).</w:t>
      </w:r>
    </w:p>
    <w:p w:rsidR="00AC39A2" w:rsidRPr="00BA0FBF" w:rsidRDefault="00AC39A2" w:rsidP="00AC39A2">
      <w:pPr>
        <w:pStyle w:val="Caption"/>
        <w:rPr>
          <w:sz w:val="20"/>
        </w:rPr>
      </w:pPr>
      <w:bookmarkStart w:id="238" w:name="_Ref438119238"/>
      <w:bookmarkStart w:id="239" w:name="_Toc436664572"/>
      <w:bookmarkStart w:id="240" w:name="_Toc436917819"/>
      <w:bookmarkStart w:id="241" w:name="_Toc437429577"/>
      <w:r w:rsidRPr="00BA0FBF">
        <w:rPr>
          <w:sz w:val="20"/>
        </w:rPr>
        <w:t xml:space="preserve">Table </w:t>
      </w:r>
      <w:r w:rsidRPr="00BA0FBF">
        <w:rPr>
          <w:sz w:val="20"/>
        </w:rPr>
        <w:fldChar w:fldCharType="begin"/>
      </w:r>
      <w:r w:rsidRPr="00BA0FBF">
        <w:rPr>
          <w:sz w:val="20"/>
        </w:rPr>
        <w:instrText xml:space="preserve"> STYLEREF 1 \s </w:instrText>
      </w:r>
      <w:r w:rsidRPr="00BA0FBF">
        <w:rPr>
          <w:sz w:val="20"/>
        </w:rPr>
        <w:fldChar w:fldCharType="separate"/>
      </w:r>
      <w:r w:rsidR="00076CF9">
        <w:rPr>
          <w:noProof/>
          <w:sz w:val="20"/>
        </w:rPr>
        <w:t>4</w:t>
      </w:r>
      <w:r w:rsidRPr="00BA0FBF">
        <w:rPr>
          <w:sz w:val="20"/>
        </w:rPr>
        <w:fldChar w:fldCharType="end"/>
      </w:r>
      <w:r w:rsidRPr="00BA0FBF">
        <w:rPr>
          <w:sz w:val="20"/>
        </w:rPr>
        <w:t>–</w:t>
      </w:r>
      <w:r w:rsidRPr="00BA0FBF">
        <w:rPr>
          <w:sz w:val="20"/>
        </w:rPr>
        <w:fldChar w:fldCharType="begin"/>
      </w:r>
      <w:r w:rsidRPr="00BA0FBF">
        <w:rPr>
          <w:sz w:val="20"/>
        </w:rPr>
        <w:instrText xml:space="preserve"> SEQ Table \* ARABIC \s 1 </w:instrText>
      </w:r>
      <w:r w:rsidRPr="00BA0FBF">
        <w:rPr>
          <w:sz w:val="20"/>
        </w:rPr>
        <w:fldChar w:fldCharType="separate"/>
      </w:r>
      <w:r w:rsidR="00076CF9">
        <w:rPr>
          <w:noProof/>
          <w:sz w:val="20"/>
        </w:rPr>
        <w:t>15</w:t>
      </w:r>
      <w:r w:rsidRPr="00BA0FBF">
        <w:rPr>
          <w:sz w:val="20"/>
        </w:rPr>
        <w:fldChar w:fldCharType="end"/>
      </w:r>
      <w:bookmarkEnd w:id="238"/>
      <w:r w:rsidRPr="00BA0FBF">
        <w:rPr>
          <w:sz w:val="20"/>
        </w:rPr>
        <w:t>: Net</w:t>
      </w:r>
      <w:r w:rsidR="00D02DAC">
        <w:rPr>
          <w:sz w:val="20"/>
        </w:rPr>
        <w:t xml:space="preserve"> additional</w:t>
      </w:r>
      <w:r w:rsidRPr="00BA0FBF">
        <w:rPr>
          <w:sz w:val="20"/>
        </w:rPr>
        <w:t xml:space="preserve"> GST revenue: absolute impact </w:t>
      </w:r>
      <w:r w:rsidR="009047C1">
        <w:rPr>
          <w:sz w:val="20"/>
        </w:rPr>
        <w:t xml:space="preserve">of </w:t>
      </w:r>
      <w:r w:rsidRPr="00BA0FBF">
        <w:rPr>
          <w:sz w:val="20"/>
        </w:rPr>
        <w:t>Scenario 5</w:t>
      </w:r>
      <w:bookmarkEnd w:id="239"/>
      <w:r w:rsidR="009047C1">
        <w:rPr>
          <w:sz w:val="20"/>
        </w:rPr>
        <w:t xml:space="preserve"> (15 per cent GST; remove concessions)</w:t>
      </w:r>
      <w:bookmarkEnd w:id="240"/>
      <w:bookmarkEnd w:id="241"/>
    </w:p>
    <w:tbl>
      <w:tblPr>
        <w:tblStyle w:val="TableGrid"/>
        <w:tblW w:w="5202" w:type="pct"/>
        <w:tblLayout w:type="fixed"/>
        <w:tblLook w:val="04A0" w:firstRow="1" w:lastRow="0" w:firstColumn="1" w:lastColumn="0" w:noHBand="0" w:noVBand="1"/>
      </w:tblPr>
      <w:tblGrid>
        <w:gridCol w:w="1418"/>
        <w:gridCol w:w="643"/>
        <w:gridCol w:w="643"/>
        <w:gridCol w:w="645"/>
        <w:gridCol w:w="645"/>
        <w:gridCol w:w="645"/>
        <w:gridCol w:w="645"/>
        <w:gridCol w:w="645"/>
        <w:gridCol w:w="645"/>
        <w:gridCol w:w="645"/>
        <w:gridCol w:w="645"/>
        <w:gridCol w:w="784"/>
      </w:tblGrid>
      <w:tr w:rsidR="0038647A" w:rsidRPr="00BA0FBF" w:rsidTr="0034643D">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819" w:type="pct"/>
          </w:tcPr>
          <w:p w:rsidR="0038647A" w:rsidRPr="00BA0FBF" w:rsidRDefault="0038647A" w:rsidP="002418E7">
            <w:pPr>
              <w:pStyle w:val="TableHeading"/>
            </w:pPr>
            <w:r w:rsidRPr="00BA0FBF">
              <w:t>2017–18</w:t>
            </w:r>
            <w:r>
              <w:t xml:space="preserve"> ($b)</w:t>
            </w:r>
          </w:p>
        </w:tc>
        <w:tc>
          <w:tcPr>
            <w:tcW w:w="372" w:type="pct"/>
          </w:tcPr>
          <w:p w:rsidR="0038647A" w:rsidRPr="00BA0FBF" w:rsidRDefault="0038647A" w:rsidP="002418E7">
            <w:pPr>
              <w:pStyle w:val="TableHeading"/>
              <w:cnfStyle w:val="100000000000" w:firstRow="1" w:lastRow="0" w:firstColumn="0" w:lastColumn="0" w:oddVBand="0" w:evenVBand="0" w:oddHBand="0" w:evenHBand="0" w:firstRowFirstColumn="0" w:firstRowLastColumn="0" w:lastRowFirstColumn="0" w:lastRowLastColumn="0"/>
            </w:pPr>
            <w:r w:rsidRPr="00BA0FBF">
              <w:t>D1</w:t>
            </w:r>
          </w:p>
        </w:tc>
        <w:tc>
          <w:tcPr>
            <w:tcW w:w="372" w:type="pct"/>
          </w:tcPr>
          <w:p w:rsidR="0038647A" w:rsidRPr="00BA0FBF" w:rsidRDefault="0038647A" w:rsidP="002418E7">
            <w:pPr>
              <w:pStyle w:val="TableHeading"/>
              <w:cnfStyle w:val="100000000000" w:firstRow="1" w:lastRow="0" w:firstColumn="0" w:lastColumn="0" w:oddVBand="0" w:evenVBand="0" w:oddHBand="0" w:evenHBand="0" w:firstRowFirstColumn="0" w:firstRowLastColumn="0" w:lastRowFirstColumn="0" w:lastRowLastColumn="0"/>
            </w:pPr>
            <w:r w:rsidRPr="00BA0FBF">
              <w:t>D2</w:t>
            </w:r>
          </w:p>
        </w:tc>
        <w:tc>
          <w:tcPr>
            <w:tcW w:w="373" w:type="pct"/>
          </w:tcPr>
          <w:p w:rsidR="0038647A" w:rsidRPr="00BA0FBF" w:rsidRDefault="0038647A" w:rsidP="002418E7">
            <w:pPr>
              <w:pStyle w:val="TableHeading"/>
              <w:cnfStyle w:val="100000000000" w:firstRow="1" w:lastRow="0" w:firstColumn="0" w:lastColumn="0" w:oddVBand="0" w:evenVBand="0" w:oddHBand="0" w:evenHBand="0" w:firstRowFirstColumn="0" w:firstRowLastColumn="0" w:lastRowFirstColumn="0" w:lastRowLastColumn="0"/>
            </w:pPr>
            <w:r w:rsidRPr="00BA0FBF">
              <w:t>D3</w:t>
            </w:r>
          </w:p>
        </w:tc>
        <w:tc>
          <w:tcPr>
            <w:tcW w:w="373" w:type="pct"/>
          </w:tcPr>
          <w:p w:rsidR="0038647A" w:rsidRPr="00BA0FBF" w:rsidRDefault="0038647A" w:rsidP="002418E7">
            <w:pPr>
              <w:pStyle w:val="TableHeading"/>
              <w:cnfStyle w:val="100000000000" w:firstRow="1" w:lastRow="0" w:firstColumn="0" w:lastColumn="0" w:oddVBand="0" w:evenVBand="0" w:oddHBand="0" w:evenHBand="0" w:firstRowFirstColumn="0" w:firstRowLastColumn="0" w:lastRowFirstColumn="0" w:lastRowLastColumn="0"/>
            </w:pPr>
            <w:r w:rsidRPr="00BA0FBF">
              <w:t>D4</w:t>
            </w:r>
          </w:p>
        </w:tc>
        <w:tc>
          <w:tcPr>
            <w:tcW w:w="373" w:type="pct"/>
          </w:tcPr>
          <w:p w:rsidR="0038647A" w:rsidRPr="00BA0FBF" w:rsidRDefault="0038647A" w:rsidP="002418E7">
            <w:pPr>
              <w:pStyle w:val="TableHeading"/>
              <w:cnfStyle w:val="100000000000" w:firstRow="1" w:lastRow="0" w:firstColumn="0" w:lastColumn="0" w:oddVBand="0" w:evenVBand="0" w:oddHBand="0" w:evenHBand="0" w:firstRowFirstColumn="0" w:firstRowLastColumn="0" w:lastRowFirstColumn="0" w:lastRowLastColumn="0"/>
            </w:pPr>
            <w:r w:rsidRPr="00BA0FBF">
              <w:t>D5</w:t>
            </w:r>
          </w:p>
        </w:tc>
        <w:tc>
          <w:tcPr>
            <w:tcW w:w="373" w:type="pct"/>
          </w:tcPr>
          <w:p w:rsidR="0038647A" w:rsidRPr="00BA0FBF" w:rsidRDefault="0038647A" w:rsidP="002418E7">
            <w:pPr>
              <w:pStyle w:val="TableHeading"/>
              <w:cnfStyle w:val="100000000000" w:firstRow="1" w:lastRow="0" w:firstColumn="0" w:lastColumn="0" w:oddVBand="0" w:evenVBand="0" w:oddHBand="0" w:evenHBand="0" w:firstRowFirstColumn="0" w:firstRowLastColumn="0" w:lastRowFirstColumn="0" w:lastRowLastColumn="0"/>
            </w:pPr>
            <w:r w:rsidRPr="00BA0FBF">
              <w:t>D6</w:t>
            </w:r>
          </w:p>
        </w:tc>
        <w:tc>
          <w:tcPr>
            <w:tcW w:w="373" w:type="pct"/>
          </w:tcPr>
          <w:p w:rsidR="0038647A" w:rsidRPr="00BA0FBF" w:rsidRDefault="0038647A" w:rsidP="002418E7">
            <w:pPr>
              <w:pStyle w:val="TableHeading"/>
              <w:cnfStyle w:val="100000000000" w:firstRow="1" w:lastRow="0" w:firstColumn="0" w:lastColumn="0" w:oddVBand="0" w:evenVBand="0" w:oddHBand="0" w:evenHBand="0" w:firstRowFirstColumn="0" w:firstRowLastColumn="0" w:lastRowFirstColumn="0" w:lastRowLastColumn="0"/>
            </w:pPr>
            <w:r w:rsidRPr="00BA0FBF">
              <w:t>D7</w:t>
            </w:r>
          </w:p>
        </w:tc>
        <w:tc>
          <w:tcPr>
            <w:tcW w:w="373" w:type="pct"/>
          </w:tcPr>
          <w:p w:rsidR="0038647A" w:rsidRPr="00BA0FBF" w:rsidRDefault="0038647A" w:rsidP="002418E7">
            <w:pPr>
              <w:pStyle w:val="TableHeading"/>
              <w:cnfStyle w:val="100000000000" w:firstRow="1" w:lastRow="0" w:firstColumn="0" w:lastColumn="0" w:oddVBand="0" w:evenVBand="0" w:oddHBand="0" w:evenHBand="0" w:firstRowFirstColumn="0" w:firstRowLastColumn="0" w:lastRowFirstColumn="0" w:lastRowLastColumn="0"/>
            </w:pPr>
            <w:r w:rsidRPr="00BA0FBF">
              <w:t>D8</w:t>
            </w:r>
          </w:p>
        </w:tc>
        <w:tc>
          <w:tcPr>
            <w:tcW w:w="373" w:type="pct"/>
          </w:tcPr>
          <w:p w:rsidR="0038647A" w:rsidRPr="00BA0FBF" w:rsidRDefault="0038647A" w:rsidP="002418E7">
            <w:pPr>
              <w:pStyle w:val="TableHeading"/>
              <w:cnfStyle w:val="100000000000" w:firstRow="1" w:lastRow="0" w:firstColumn="0" w:lastColumn="0" w:oddVBand="0" w:evenVBand="0" w:oddHBand="0" w:evenHBand="0" w:firstRowFirstColumn="0" w:firstRowLastColumn="0" w:lastRowFirstColumn="0" w:lastRowLastColumn="0"/>
            </w:pPr>
            <w:r w:rsidRPr="00BA0FBF">
              <w:t>D9</w:t>
            </w:r>
          </w:p>
        </w:tc>
        <w:tc>
          <w:tcPr>
            <w:tcW w:w="373" w:type="pct"/>
          </w:tcPr>
          <w:p w:rsidR="0038647A" w:rsidRPr="00BA0FBF" w:rsidRDefault="0038647A" w:rsidP="002418E7">
            <w:pPr>
              <w:pStyle w:val="TableHeading"/>
              <w:cnfStyle w:val="100000000000" w:firstRow="1" w:lastRow="0" w:firstColumn="0" w:lastColumn="0" w:oddVBand="0" w:evenVBand="0" w:oddHBand="0" w:evenHBand="0" w:firstRowFirstColumn="0" w:firstRowLastColumn="0" w:lastRowFirstColumn="0" w:lastRowLastColumn="0"/>
            </w:pPr>
            <w:r w:rsidRPr="00BA0FBF">
              <w:t>D10</w:t>
            </w:r>
          </w:p>
        </w:tc>
        <w:tc>
          <w:tcPr>
            <w:tcW w:w="454" w:type="pct"/>
          </w:tcPr>
          <w:p w:rsidR="0038647A" w:rsidRPr="00BA0FBF" w:rsidRDefault="0038647A" w:rsidP="002418E7">
            <w:pPr>
              <w:pStyle w:val="TableHeading"/>
              <w:cnfStyle w:val="100000000000" w:firstRow="1" w:lastRow="0" w:firstColumn="0" w:lastColumn="0" w:oddVBand="0" w:evenVBand="0" w:oddHBand="0" w:evenHBand="0" w:firstRowFirstColumn="0" w:firstRowLastColumn="0" w:lastRowFirstColumn="0" w:lastRowLastColumn="0"/>
            </w:pPr>
            <w:r>
              <w:t>Total</w:t>
            </w:r>
          </w:p>
        </w:tc>
      </w:tr>
      <w:tr w:rsidR="0038647A" w:rsidRPr="00BA0FBF" w:rsidTr="0034643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19" w:type="pct"/>
          </w:tcPr>
          <w:p w:rsidR="0038647A" w:rsidRPr="002418E7" w:rsidRDefault="0038647A" w:rsidP="00AC39A2">
            <w:pPr>
              <w:pStyle w:val="TableText"/>
              <w:keepNext/>
              <w:keepLines/>
            </w:pPr>
            <w:r>
              <w:t xml:space="preserve">Additional </w:t>
            </w:r>
            <w:r w:rsidRPr="002418E7">
              <w:t>GST revenue</w:t>
            </w:r>
          </w:p>
        </w:tc>
        <w:tc>
          <w:tcPr>
            <w:tcW w:w="372" w:type="pct"/>
          </w:tcPr>
          <w:p w:rsidR="0038647A" w:rsidRPr="004C68B1" w:rsidRDefault="0038647A">
            <w:pPr>
              <w:jc w:val="center"/>
              <w:cnfStyle w:val="000000100000" w:firstRow="0" w:lastRow="0" w:firstColumn="0" w:lastColumn="0" w:oddVBand="0" w:evenVBand="0" w:oddHBand="1" w:evenHBand="0" w:firstRowFirstColumn="0" w:firstRowLastColumn="0" w:lastRowFirstColumn="0" w:lastRowLastColumn="0"/>
            </w:pPr>
            <w:r w:rsidRPr="008336FB">
              <w:t>3.9</w:t>
            </w:r>
          </w:p>
        </w:tc>
        <w:tc>
          <w:tcPr>
            <w:tcW w:w="372" w:type="pct"/>
          </w:tcPr>
          <w:p w:rsidR="0038647A" w:rsidRPr="004C68B1" w:rsidRDefault="0038647A">
            <w:pPr>
              <w:jc w:val="center"/>
              <w:cnfStyle w:val="000000100000" w:firstRow="0" w:lastRow="0" w:firstColumn="0" w:lastColumn="0" w:oddVBand="0" w:evenVBand="0" w:oddHBand="1" w:evenHBand="0" w:firstRowFirstColumn="0" w:firstRowLastColumn="0" w:lastRowFirstColumn="0" w:lastRowLastColumn="0"/>
            </w:pPr>
            <w:r w:rsidRPr="008336FB">
              <w:t>3.2</w:t>
            </w:r>
          </w:p>
        </w:tc>
        <w:tc>
          <w:tcPr>
            <w:tcW w:w="373" w:type="pct"/>
          </w:tcPr>
          <w:p w:rsidR="0038647A" w:rsidRPr="004C68B1" w:rsidRDefault="0038647A">
            <w:pPr>
              <w:jc w:val="center"/>
              <w:cnfStyle w:val="000000100000" w:firstRow="0" w:lastRow="0" w:firstColumn="0" w:lastColumn="0" w:oddVBand="0" w:evenVBand="0" w:oddHBand="1" w:evenHBand="0" w:firstRowFirstColumn="0" w:firstRowLastColumn="0" w:lastRowFirstColumn="0" w:lastRowLastColumn="0"/>
            </w:pPr>
            <w:r w:rsidRPr="008336FB">
              <w:t>4.0</w:t>
            </w:r>
          </w:p>
        </w:tc>
        <w:tc>
          <w:tcPr>
            <w:tcW w:w="373" w:type="pct"/>
          </w:tcPr>
          <w:p w:rsidR="0038647A" w:rsidRPr="004C68B1" w:rsidRDefault="0038647A">
            <w:pPr>
              <w:jc w:val="center"/>
              <w:cnfStyle w:val="000000100000" w:firstRow="0" w:lastRow="0" w:firstColumn="0" w:lastColumn="0" w:oddVBand="0" w:evenVBand="0" w:oddHBand="1" w:evenHBand="0" w:firstRowFirstColumn="0" w:firstRowLastColumn="0" w:lastRowFirstColumn="0" w:lastRowLastColumn="0"/>
            </w:pPr>
            <w:r w:rsidRPr="008336FB">
              <w:t>5.4</w:t>
            </w:r>
          </w:p>
        </w:tc>
        <w:tc>
          <w:tcPr>
            <w:tcW w:w="373" w:type="pct"/>
          </w:tcPr>
          <w:p w:rsidR="0038647A" w:rsidRPr="004C68B1" w:rsidRDefault="0038647A">
            <w:pPr>
              <w:jc w:val="center"/>
              <w:cnfStyle w:val="000000100000" w:firstRow="0" w:lastRow="0" w:firstColumn="0" w:lastColumn="0" w:oddVBand="0" w:evenVBand="0" w:oddHBand="1" w:evenHBand="0" w:firstRowFirstColumn="0" w:firstRowLastColumn="0" w:lastRowFirstColumn="0" w:lastRowLastColumn="0"/>
            </w:pPr>
            <w:r w:rsidRPr="008336FB">
              <w:t>5.7</w:t>
            </w:r>
          </w:p>
        </w:tc>
        <w:tc>
          <w:tcPr>
            <w:tcW w:w="373" w:type="pct"/>
          </w:tcPr>
          <w:p w:rsidR="0038647A" w:rsidRPr="004C68B1" w:rsidRDefault="0038647A">
            <w:pPr>
              <w:jc w:val="center"/>
              <w:cnfStyle w:val="000000100000" w:firstRow="0" w:lastRow="0" w:firstColumn="0" w:lastColumn="0" w:oddVBand="0" w:evenVBand="0" w:oddHBand="1" w:evenHBand="0" w:firstRowFirstColumn="0" w:firstRowLastColumn="0" w:lastRowFirstColumn="0" w:lastRowLastColumn="0"/>
            </w:pPr>
            <w:r w:rsidRPr="008336FB">
              <w:t>7.0</w:t>
            </w:r>
          </w:p>
        </w:tc>
        <w:tc>
          <w:tcPr>
            <w:tcW w:w="373" w:type="pct"/>
          </w:tcPr>
          <w:p w:rsidR="0038647A" w:rsidRPr="004C68B1" w:rsidRDefault="0038647A">
            <w:pPr>
              <w:jc w:val="center"/>
              <w:cnfStyle w:val="000000100000" w:firstRow="0" w:lastRow="0" w:firstColumn="0" w:lastColumn="0" w:oddVBand="0" w:evenVBand="0" w:oddHBand="1" w:evenHBand="0" w:firstRowFirstColumn="0" w:firstRowLastColumn="0" w:lastRowFirstColumn="0" w:lastRowLastColumn="0"/>
            </w:pPr>
            <w:r w:rsidRPr="008336FB">
              <w:t>7.5</w:t>
            </w:r>
          </w:p>
        </w:tc>
        <w:tc>
          <w:tcPr>
            <w:tcW w:w="373" w:type="pct"/>
          </w:tcPr>
          <w:p w:rsidR="0038647A" w:rsidRPr="004C68B1" w:rsidRDefault="0038647A">
            <w:pPr>
              <w:jc w:val="center"/>
              <w:cnfStyle w:val="000000100000" w:firstRow="0" w:lastRow="0" w:firstColumn="0" w:lastColumn="0" w:oddVBand="0" w:evenVBand="0" w:oddHBand="1" w:evenHBand="0" w:firstRowFirstColumn="0" w:firstRowLastColumn="0" w:lastRowFirstColumn="0" w:lastRowLastColumn="0"/>
            </w:pPr>
            <w:r w:rsidRPr="008336FB">
              <w:t>8.4</w:t>
            </w:r>
          </w:p>
        </w:tc>
        <w:tc>
          <w:tcPr>
            <w:tcW w:w="373" w:type="pct"/>
          </w:tcPr>
          <w:p w:rsidR="0038647A" w:rsidRPr="004C68B1" w:rsidRDefault="0038647A">
            <w:pPr>
              <w:jc w:val="center"/>
              <w:cnfStyle w:val="000000100000" w:firstRow="0" w:lastRow="0" w:firstColumn="0" w:lastColumn="0" w:oddVBand="0" w:evenVBand="0" w:oddHBand="1" w:evenHBand="0" w:firstRowFirstColumn="0" w:firstRowLastColumn="0" w:lastRowFirstColumn="0" w:lastRowLastColumn="0"/>
            </w:pPr>
            <w:r w:rsidRPr="008336FB">
              <w:t>8.7</w:t>
            </w:r>
          </w:p>
        </w:tc>
        <w:tc>
          <w:tcPr>
            <w:tcW w:w="373" w:type="pct"/>
          </w:tcPr>
          <w:p w:rsidR="0038647A" w:rsidRPr="004C68B1" w:rsidRDefault="0038647A">
            <w:pPr>
              <w:jc w:val="center"/>
              <w:cnfStyle w:val="000000100000" w:firstRow="0" w:lastRow="0" w:firstColumn="0" w:lastColumn="0" w:oddVBand="0" w:evenVBand="0" w:oddHBand="1" w:evenHBand="0" w:firstRowFirstColumn="0" w:firstRowLastColumn="0" w:lastRowFirstColumn="0" w:lastRowLastColumn="0"/>
            </w:pPr>
            <w:r w:rsidRPr="008336FB">
              <w:t>12.0</w:t>
            </w:r>
          </w:p>
        </w:tc>
        <w:tc>
          <w:tcPr>
            <w:tcW w:w="454" w:type="pct"/>
          </w:tcPr>
          <w:p w:rsidR="0038647A" w:rsidRPr="00914ADE" w:rsidRDefault="0038647A">
            <w:pPr>
              <w:jc w:val="center"/>
              <w:cnfStyle w:val="000000100000" w:firstRow="0" w:lastRow="0" w:firstColumn="0" w:lastColumn="0" w:oddVBand="0" w:evenVBand="0" w:oddHBand="1" w:evenHBand="0" w:firstRowFirstColumn="0" w:firstRowLastColumn="0" w:lastRowFirstColumn="0" w:lastRowLastColumn="0"/>
            </w:pPr>
            <w:r w:rsidRPr="008336FB">
              <w:t>65.8</w:t>
            </w:r>
          </w:p>
        </w:tc>
      </w:tr>
      <w:tr w:rsidR="0038647A" w:rsidRPr="00BA0FBF" w:rsidTr="0034643D">
        <w:trPr>
          <w:cantSplit/>
        </w:trPr>
        <w:tc>
          <w:tcPr>
            <w:cnfStyle w:val="001000000000" w:firstRow="0" w:lastRow="0" w:firstColumn="1" w:lastColumn="0" w:oddVBand="0" w:evenVBand="0" w:oddHBand="0" w:evenHBand="0" w:firstRowFirstColumn="0" w:firstRowLastColumn="0" w:lastRowFirstColumn="0" w:lastRowLastColumn="0"/>
            <w:tcW w:w="819" w:type="pct"/>
          </w:tcPr>
          <w:p w:rsidR="0038647A" w:rsidRPr="002418E7" w:rsidRDefault="0038647A" w:rsidP="00AC39A2">
            <w:pPr>
              <w:pStyle w:val="TableText"/>
              <w:keepNext/>
              <w:keepLines/>
            </w:pPr>
            <w:r w:rsidRPr="002418E7">
              <w:t>Compensation</w:t>
            </w:r>
          </w:p>
        </w:tc>
        <w:tc>
          <w:tcPr>
            <w:tcW w:w="372" w:type="pct"/>
          </w:tcPr>
          <w:p w:rsidR="0038647A" w:rsidRPr="004C68B1" w:rsidRDefault="0038647A">
            <w:pPr>
              <w:jc w:val="center"/>
              <w:cnfStyle w:val="000000000000" w:firstRow="0" w:lastRow="0" w:firstColumn="0" w:lastColumn="0" w:oddVBand="0" w:evenVBand="0" w:oddHBand="0" w:evenHBand="0" w:firstRowFirstColumn="0" w:firstRowLastColumn="0" w:lastRowFirstColumn="0" w:lastRowLastColumn="0"/>
            </w:pPr>
            <w:r w:rsidRPr="008336FB">
              <w:t>3.9</w:t>
            </w:r>
          </w:p>
        </w:tc>
        <w:tc>
          <w:tcPr>
            <w:tcW w:w="372" w:type="pct"/>
          </w:tcPr>
          <w:p w:rsidR="0038647A" w:rsidRPr="004C68B1" w:rsidRDefault="0038647A">
            <w:pPr>
              <w:jc w:val="center"/>
              <w:cnfStyle w:val="000000000000" w:firstRow="0" w:lastRow="0" w:firstColumn="0" w:lastColumn="0" w:oddVBand="0" w:evenVBand="0" w:oddHBand="0" w:evenHBand="0" w:firstRowFirstColumn="0" w:firstRowLastColumn="0" w:lastRowFirstColumn="0" w:lastRowLastColumn="0"/>
            </w:pPr>
            <w:r w:rsidRPr="008336FB">
              <w:t>3.2</w:t>
            </w:r>
          </w:p>
        </w:tc>
        <w:tc>
          <w:tcPr>
            <w:tcW w:w="373" w:type="pct"/>
          </w:tcPr>
          <w:p w:rsidR="0038647A" w:rsidRPr="004C68B1" w:rsidRDefault="0038647A">
            <w:pPr>
              <w:jc w:val="center"/>
              <w:cnfStyle w:val="000000000000" w:firstRow="0" w:lastRow="0" w:firstColumn="0" w:lastColumn="0" w:oddVBand="0" w:evenVBand="0" w:oddHBand="0" w:evenHBand="0" w:firstRowFirstColumn="0" w:firstRowLastColumn="0" w:lastRowFirstColumn="0" w:lastRowLastColumn="0"/>
            </w:pPr>
            <w:r w:rsidRPr="008336FB">
              <w:t>4.0</w:t>
            </w:r>
          </w:p>
        </w:tc>
        <w:tc>
          <w:tcPr>
            <w:tcW w:w="373" w:type="pct"/>
          </w:tcPr>
          <w:p w:rsidR="0038647A" w:rsidRPr="004C68B1" w:rsidRDefault="0038647A">
            <w:pPr>
              <w:jc w:val="center"/>
              <w:cnfStyle w:val="000000000000" w:firstRow="0" w:lastRow="0" w:firstColumn="0" w:lastColumn="0" w:oddVBand="0" w:evenVBand="0" w:oddHBand="0" w:evenHBand="0" w:firstRowFirstColumn="0" w:firstRowLastColumn="0" w:lastRowFirstColumn="0" w:lastRowLastColumn="0"/>
            </w:pPr>
            <w:r w:rsidRPr="008336FB">
              <w:t>5.4</w:t>
            </w:r>
          </w:p>
        </w:tc>
        <w:tc>
          <w:tcPr>
            <w:tcW w:w="373" w:type="pct"/>
          </w:tcPr>
          <w:p w:rsidR="0038647A" w:rsidRPr="004C68B1" w:rsidRDefault="0038647A">
            <w:pPr>
              <w:jc w:val="center"/>
              <w:cnfStyle w:val="000000000000" w:firstRow="0" w:lastRow="0" w:firstColumn="0" w:lastColumn="0" w:oddVBand="0" w:evenVBand="0" w:oddHBand="0" w:evenHBand="0" w:firstRowFirstColumn="0" w:firstRowLastColumn="0" w:lastRowFirstColumn="0" w:lastRowLastColumn="0"/>
            </w:pPr>
            <w:r w:rsidRPr="008336FB">
              <w:t>0.0</w:t>
            </w:r>
          </w:p>
        </w:tc>
        <w:tc>
          <w:tcPr>
            <w:tcW w:w="373" w:type="pct"/>
          </w:tcPr>
          <w:p w:rsidR="0038647A" w:rsidRPr="004C68B1" w:rsidRDefault="0038647A">
            <w:pPr>
              <w:jc w:val="center"/>
              <w:cnfStyle w:val="000000000000" w:firstRow="0" w:lastRow="0" w:firstColumn="0" w:lastColumn="0" w:oddVBand="0" w:evenVBand="0" w:oddHBand="0" w:evenHBand="0" w:firstRowFirstColumn="0" w:firstRowLastColumn="0" w:lastRowFirstColumn="0" w:lastRowLastColumn="0"/>
            </w:pPr>
            <w:r w:rsidRPr="008336FB">
              <w:t>0.0</w:t>
            </w:r>
          </w:p>
        </w:tc>
        <w:tc>
          <w:tcPr>
            <w:tcW w:w="373" w:type="pct"/>
          </w:tcPr>
          <w:p w:rsidR="0038647A" w:rsidRPr="004C68B1" w:rsidRDefault="0038647A">
            <w:pPr>
              <w:jc w:val="center"/>
              <w:cnfStyle w:val="000000000000" w:firstRow="0" w:lastRow="0" w:firstColumn="0" w:lastColumn="0" w:oddVBand="0" w:evenVBand="0" w:oddHBand="0" w:evenHBand="0" w:firstRowFirstColumn="0" w:firstRowLastColumn="0" w:lastRowFirstColumn="0" w:lastRowLastColumn="0"/>
            </w:pPr>
            <w:r w:rsidRPr="008336FB">
              <w:t>0.0</w:t>
            </w:r>
          </w:p>
        </w:tc>
        <w:tc>
          <w:tcPr>
            <w:tcW w:w="373" w:type="pct"/>
          </w:tcPr>
          <w:p w:rsidR="0038647A" w:rsidRPr="004C68B1" w:rsidRDefault="0038647A">
            <w:pPr>
              <w:jc w:val="center"/>
              <w:cnfStyle w:val="000000000000" w:firstRow="0" w:lastRow="0" w:firstColumn="0" w:lastColumn="0" w:oddVBand="0" w:evenVBand="0" w:oddHBand="0" w:evenHBand="0" w:firstRowFirstColumn="0" w:firstRowLastColumn="0" w:lastRowFirstColumn="0" w:lastRowLastColumn="0"/>
            </w:pPr>
            <w:r w:rsidRPr="008336FB">
              <w:t>0.0</w:t>
            </w:r>
          </w:p>
        </w:tc>
        <w:tc>
          <w:tcPr>
            <w:tcW w:w="373" w:type="pct"/>
          </w:tcPr>
          <w:p w:rsidR="0038647A" w:rsidRPr="004C68B1" w:rsidRDefault="0038647A">
            <w:pPr>
              <w:jc w:val="center"/>
              <w:cnfStyle w:val="000000000000" w:firstRow="0" w:lastRow="0" w:firstColumn="0" w:lastColumn="0" w:oddVBand="0" w:evenVBand="0" w:oddHBand="0" w:evenHBand="0" w:firstRowFirstColumn="0" w:firstRowLastColumn="0" w:lastRowFirstColumn="0" w:lastRowLastColumn="0"/>
            </w:pPr>
            <w:r w:rsidRPr="008336FB">
              <w:t>0.0</w:t>
            </w:r>
          </w:p>
        </w:tc>
        <w:tc>
          <w:tcPr>
            <w:tcW w:w="373" w:type="pct"/>
          </w:tcPr>
          <w:p w:rsidR="0038647A" w:rsidRPr="004C68B1" w:rsidRDefault="0038647A">
            <w:pPr>
              <w:jc w:val="center"/>
              <w:cnfStyle w:val="000000000000" w:firstRow="0" w:lastRow="0" w:firstColumn="0" w:lastColumn="0" w:oddVBand="0" w:evenVBand="0" w:oddHBand="0" w:evenHBand="0" w:firstRowFirstColumn="0" w:firstRowLastColumn="0" w:lastRowFirstColumn="0" w:lastRowLastColumn="0"/>
            </w:pPr>
            <w:r w:rsidRPr="008336FB">
              <w:t>0.0</w:t>
            </w:r>
          </w:p>
        </w:tc>
        <w:tc>
          <w:tcPr>
            <w:tcW w:w="454" w:type="pct"/>
          </w:tcPr>
          <w:p w:rsidR="0038647A" w:rsidRPr="00914ADE" w:rsidRDefault="0038647A">
            <w:pPr>
              <w:jc w:val="center"/>
              <w:cnfStyle w:val="000000000000" w:firstRow="0" w:lastRow="0" w:firstColumn="0" w:lastColumn="0" w:oddVBand="0" w:evenVBand="0" w:oddHBand="0" w:evenHBand="0" w:firstRowFirstColumn="0" w:firstRowLastColumn="0" w:lastRowFirstColumn="0" w:lastRowLastColumn="0"/>
            </w:pPr>
            <w:r w:rsidRPr="008336FB">
              <w:t>16.5</w:t>
            </w:r>
          </w:p>
        </w:tc>
      </w:tr>
      <w:tr w:rsidR="0038647A" w:rsidRPr="00BA0FBF" w:rsidTr="0034643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19" w:type="pct"/>
          </w:tcPr>
          <w:p w:rsidR="0038647A" w:rsidRPr="002418E7" w:rsidRDefault="0038647A" w:rsidP="00AC39A2">
            <w:pPr>
              <w:pStyle w:val="TableText"/>
              <w:keepNext/>
              <w:keepLines/>
              <w:rPr>
                <w:b/>
              </w:rPr>
            </w:pPr>
            <w:r w:rsidRPr="002418E7">
              <w:rPr>
                <w:b/>
              </w:rPr>
              <w:t xml:space="preserve">Net </w:t>
            </w:r>
            <w:r>
              <w:rPr>
                <w:b/>
              </w:rPr>
              <w:t xml:space="preserve">additional </w:t>
            </w:r>
            <w:r w:rsidRPr="002418E7">
              <w:rPr>
                <w:b/>
              </w:rPr>
              <w:t>GST revenue</w:t>
            </w:r>
          </w:p>
        </w:tc>
        <w:tc>
          <w:tcPr>
            <w:tcW w:w="372" w:type="pct"/>
          </w:tcPr>
          <w:p w:rsidR="0038647A" w:rsidRPr="0038647A" w:rsidRDefault="0038647A">
            <w:pPr>
              <w:jc w:val="center"/>
              <w:cnfStyle w:val="000000100000" w:firstRow="0" w:lastRow="0" w:firstColumn="0" w:lastColumn="0" w:oddVBand="0" w:evenVBand="0" w:oddHBand="1" w:evenHBand="0" w:firstRowFirstColumn="0" w:firstRowLastColumn="0" w:lastRowFirstColumn="0" w:lastRowLastColumn="0"/>
              <w:rPr>
                <w:b/>
              </w:rPr>
            </w:pPr>
            <w:r w:rsidRPr="0034643D">
              <w:rPr>
                <w:b/>
              </w:rPr>
              <w:t>0.0</w:t>
            </w:r>
          </w:p>
        </w:tc>
        <w:tc>
          <w:tcPr>
            <w:tcW w:w="372" w:type="pct"/>
          </w:tcPr>
          <w:p w:rsidR="0038647A" w:rsidRPr="0038647A" w:rsidRDefault="0038647A">
            <w:pPr>
              <w:jc w:val="center"/>
              <w:cnfStyle w:val="000000100000" w:firstRow="0" w:lastRow="0" w:firstColumn="0" w:lastColumn="0" w:oddVBand="0" w:evenVBand="0" w:oddHBand="1" w:evenHBand="0" w:firstRowFirstColumn="0" w:firstRowLastColumn="0" w:lastRowFirstColumn="0" w:lastRowLastColumn="0"/>
              <w:rPr>
                <w:b/>
              </w:rPr>
            </w:pPr>
            <w:r w:rsidRPr="0034643D">
              <w:rPr>
                <w:b/>
              </w:rPr>
              <w:t>0.0</w:t>
            </w:r>
          </w:p>
        </w:tc>
        <w:tc>
          <w:tcPr>
            <w:tcW w:w="373" w:type="pct"/>
          </w:tcPr>
          <w:p w:rsidR="0038647A" w:rsidRPr="0038647A" w:rsidRDefault="0038647A">
            <w:pPr>
              <w:jc w:val="center"/>
              <w:cnfStyle w:val="000000100000" w:firstRow="0" w:lastRow="0" w:firstColumn="0" w:lastColumn="0" w:oddVBand="0" w:evenVBand="0" w:oddHBand="1" w:evenHBand="0" w:firstRowFirstColumn="0" w:firstRowLastColumn="0" w:lastRowFirstColumn="0" w:lastRowLastColumn="0"/>
              <w:rPr>
                <w:b/>
              </w:rPr>
            </w:pPr>
            <w:r w:rsidRPr="0034643D">
              <w:rPr>
                <w:b/>
              </w:rPr>
              <w:t>0.0</w:t>
            </w:r>
          </w:p>
        </w:tc>
        <w:tc>
          <w:tcPr>
            <w:tcW w:w="373" w:type="pct"/>
          </w:tcPr>
          <w:p w:rsidR="0038647A" w:rsidRPr="0038647A" w:rsidRDefault="0038647A">
            <w:pPr>
              <w:jc w:val="center"/>
              <w:cnfStyle w:val="000000100000" w:firstRow="0" w:lastRow="0" w:firstColumn="0" w:lastColumn="0" w:oddVBand="0" w:evenVBand="0" w:oddHBand="1" w:evenHBand="0" w:firstRowFirstColumn="0" w:firstRowLastColumn="0" w:lastRowFirstColumn="0" w:lastRowLastColumn="0"/>
              <w:rPr>
                <w:b/>
              </w:rPr>
            </w:pPr>
            <w:r w:rsidRPr="0034643D">
              <w:rPr>
                <w:b/>
              </w:rPr>
              <w:t>0.0</w:t>
            </w:r>
          </w:p>
        </w:tc>
        <w:tc>
          <w:tcPr>
            <w:tcW w:w="373" w:type="pct"/>
          </w:tcPr>
          <w:p w:rsidR="0038647A" w:rsidRPr="0038647A" w:rsidRDefault="0038647A">
            <w:pPr>
              <w:jc w:val="center"/>
              <w:cnfStyle w:val="000000100000" w:firstRow="0" w:lastRow="0" w:firstColumn="0" w:lastColumn="0" w:oddVBand="0" w:evenVBand="0" w:oddHBand="1" w:evenHBand="0" w:firstRowFirstColumn="0" w:firstRowLastColumn="0" w:lastRowFirstColumn="0" w:lastRowLastColumn="0"/>
              <w:rPr>
                <w:b/>
              </w:rPr>
            </w:pPr>
            <w:r w:rsidRPr="0034643D">
              <w:rPr>
                <w:b/>
              </w:rPr>
              <w:t>5.7</w:t>
            </w:r>
          </w:p>
        </w:tc>
        <w:tc>
          <w:tcPr>
            <w:tcW w:w="373" w:type="pct"/>
          </w:tcPr>
          <w:p w:rsidR="0038647A" w:rsidRPr="0038647A" w:rsidRDefault="0038647A">
            <w:pPr>
              <w:jc w:val="center"/>
              <w:cnfStyle w:val="000000100000" w:firstRow="0" w:lastRow="0" w:firstColumn="0" w:lastColumn="0" w:oddVBand="0" w:evenVBand="0" w:oddHBand="1" w:evenHBand="0" w:firstRowFirstColumn="0" w:firstRowLastColumn="0" w:lastRowFirstColumn="0" w:lastRowLastColumn="0"/>
              <w:rPr>
                <w:b/>
              </w:rPr>
            </w:pPr>
            <w:r w:rsidRPr="0034643D">
              <w:rPr>
                <w:b/>
              </w:rPr>
              <w:t>7.0</w:t>
            </w:r>
          </w:p>
        </w:tc>
        <w:tc>
          <w:tcPr>
            <w:tcW w:w="373" w:type="pct"/>
          </w:tcPr>
          <w:p w:rsidR="0038647A" w:rsidRPr="0038647A" w:rsidRDefault="0038647A">
            <w:pPr>
              <w:jc w:val="center"/>
              <w:cnfStyle w:val="000000100000" w:firstRow="0" w:lastRow="0" w:firstColumn="0" w:lastColumn="0" w:oddVBand="0" w:evenVBand="0" w:oddHBand="1" w:evenHBand="0" w:firstRowFirstColumn="0" w:firstRowLastColumn="0" w:lastRowFirstColumn="0" w:lastRowLastColumn="0"/>
              <w:rPr>
                <w:b/>
              </w:rPr>
            </w:pPr>
            <w:r w:rsidRPr="0034643D">
              <w:rPr>
                <w:b/>
              </w:rPr>
              <w:t>7.5</w:t>
            </w:r>
          </w:p>
        </w:tc>
        <w:tc>
          <w:tcPr>
            <w:tcW w:w="373" w:type="pct"/>
          </w:tcPr>
          <w:p w:rsidR="0038647A" w:rsidRPr="0038647A" w:rsidRDefault="0038647A">
            <w:pPr>
              <w:jc w:val="center"/>
              <w:cnfStyle w:val="000000100000" w:firstRow="0" w:lastRow="0" w:firstColumn="0" w:lastColumn="0" w:oddVBand="0" w:evenVBand="0" w:oddHBand="1" w:evenHBand="0" w:firstRowFirstColumn="0" w:firstRowLastColumn="0" w:lastRowFirstColumn="0" w:lastRowLastColumn="0"/>
              <w:rPr>
                <w:b/>
              </w:rPr>
            </w:pPr>
            <w:r w:rsidRPr="0034643D">
              <w:rPr>
                <w:b/>
              </w:rPr>
              <w:t>8.4</w:t>
            </w:r>
          </w:p>
        </w:tc>
        <w:tc>
          <w:tcPr>
            <w:tcW w:w="373" w:type="pct"/>
          </w:tcPr>
          <w:p w:rsidR="0038647A" w:rsidRPr="0038647A" w:rsidRDefault="0038647A">
            <w:pPr>
              <w:jc w:val="center"/>
              <w:cnfStyle w:val="000000100000" w:firstRow="0" w:lastRow="0" w:firstColumn="0" w:lastColumn="0" w:oddVBand="0" w:evenVBand="0" w:oddHBand="1" w:evenHBand="0" w:firstRowFirstColumn="0" w:firstRowLastColumn="0" w:lastRowFirstColumn="0" w:lastRowLastColumn="0"/>
              <w:rPr>
                <w:b/>
              </w:rPr>
            </w:pPr>
            <w:r w:rsidRPr="0034643D">
              <w:rPr>
                <w:b/>
              </w:rPr>
              <w:t>8.7</w:t>
            </w:r>
          </w:p>
        </w:tc>
        <w:tc>
          <w:tcPr>
            <w:tcW w:w="373" w:type="pct"/>
          </w:tcPr>
          <w:p w:rsidR="0038647A" w:rsidRPr="0038647A" w:rsidRDefault="0038647A">
            <w:pPr>
              <w:jc w:val="center"/>
              <w:cnfStyle w:val="000000100000" w:firstRow="0" w:lastRow="0" w:firstColumn="0" w:lastColumn="0" w:oddVBand="0" w:evenVBand="0" w:oddHBand="1" w:evenHBand="0" w:firstRowFirstColumn="0" w:firstRowLastColumn="0" w:lastRowFirstColumn="0" w:lastRowLastColumn="0"/>
              <w:rPr>
                <w:b/>
              </w:rPr>
            </w:pPr>
            <w:r w:rsidRPr="0034643D">
              <w:rPr>
                <w:b/>
              </w:rPr>
              <w:t>12.0</w:t>
            </w:r>
          </w:p>
        </w:tc>
        <w:tc>
          <w:tcPr>
            <w:tcW w:w="454" w:type="pct"/>
          </w:tcPr>
          <w:p w:rsidR="0038647A" w:rsidRPr="0034643D" w:rsidRDefault="0038647A">
            <w:pPr>
              <w:jc w:val="center"/>
              <w:cnfStyle w:val="000000100000" w:firstRow="0" w:lastRow="0" w:firstColumn="0" w:lastColumn="0" w:oddVBand="0" w:evenVBand="0" w:oddHBand="1" w:evenHBand="0" w:firstRowFirstColumn="0" w:firstRowLastColumn="0" w:lastRowFirstColumn="0" w:lastRowLastColumn="0"/>
              <w:rPr>
                <w:b/>
              </w:rPr>
            </w:pPr>
            <w:r w:rsidRPr="0034643D">
              <w:rPr>
                <w:b/>
              </w:rPr>
              <w:t>49.3</w:t>
            </w:r>
          </w:p>
        </w:tc>
      </w:tr>
    </w:tbl>
    <w:p w:rsidR="003C58BB" w:rsidRDefault="003C58BB" w:rsidP="003C58BB">
      <w:pPr>
        <w:pStyle w:val="Source"/>
      </w:pPr>
      <w:bookmarkStart w:id="242" w:name="_Toc436400351"/>
      <w:bookmarkEnd w:id="224"/>
      <w:r>
        <w:t xml:space="preserve">Source: </w:t>
      </w:r>
      <w:r w:rsidR="004E109F">
        <w:t>PBO analysis based on data from the ABS and Treasury</w:t>
      </w:r>
    </w:p>
    <w:p w:rsidR="00F95381" w:rsidRPr="00BA0FBF" w:rsidRDefault="00F95381" w:rsidP="00F95381">
      <w:pPr>
        <w:pStyle w:val="Heading2"/>
        <w:rPr>
          <w:sz w:val="28"/>
        </w:rPr>
      </w:pPr>
      <w:bookmarkStart w:id="243" w:name="_Toc437429857"/>
      <w:r w:rsidRPr="00BA0FBF">
        <w:rPr>
          <w:sz w:val="28"/>
        </w:rPr>
        <w:t>Summary</w:t>
      </w:r>
      <w:bookmarkEnd w:id="242"/>
      <w:bookmarkEnd w:id="243"/>
    </w:p>
    <w:p w:rsidR="00451DC9" w:rsidRPr="00BA0FBF" w:rsidRDefault="00F95381" w:rsidP="00742476">
      <w:pPr>
        <w:pStyle w:val="BodyText"/>
      </w:pPr>
      <w:r w:rsidRPr="00BA0FBF">
        <w:t>This chapter set</w:t>
      </w:r>
      <w:r w:rsidR="00D0289A">
        <w:t>s</w:t>
      </w:r>
      <w:r w:rsidRPr="00BA0FBF">
        <w:t xml:space="preserve"> out the</w:t>
      </w:r>
      <w:r w:rsidR="00451DC9" w:rsidRPr="00BA0FBF">
        <w:t xml:space="preserve"> net revenue and distributional impact</w:t>
      </w:r>
      <w:r w:rsidR="00C67883" w:rsidRPr="00BA0FBF">
        <w:t>s</w:t>
      </w:r>
      <w:r w:rsidR="00451DC9" w:rsidRPr="00BA0FBF">
        <w:t xml:space="preserve"> of five GST reform scenarios.</w:t>
      </w:r>
    </w:p>
    <w:p w:rsidR="00F95381" w:rsidRPr="00BA0FBF" w:rsidRDefault="00F95381" w:rsidP="00742476">
      <w:pPr>
        <w:pStyle w:val="BodyText"/>
      </w:pPr>
      <w:r w:rsidRPr="00BA0FBF">
        <w:t xml:space="preserve">These scenarios would increase </w:t>
      </w:r>
      <w:r w:rsidR="00451DC9" w:rsidRPr="00BA0FBF">
        <w:t>GST revenue (net of the assumed compensation package)</w:t>
      </w:r>
      <w:r w:rsidR="00A27D38" w:rsidRPr="00BA0FBF">
        <w:t xml:space="preserve"> by between $</w:t>
      </w:r>
      <w:r w:rsidR="001D5F01" w:rsidRPr="00BA0FBF">
        <w:t>4.</w:t>
      </w:r>
      <w:r w:rsidR="005864EC" w:rsidRPr="00BA0FBF">
        <w:t>8</w:t>
      </w:r>
      <w:r w:rsidRPr="00BA0FBF">
        <w:t> billion (exte</w:t>
      </w:r>
      <w:r w:rsidR="00A27D38" w:rsidRPr="00BA0FBF">
        <w:t>nding GST to basic food) to $</w:t>
      </w:r>
      <w:r w:rsidR="005864EC" w:rsidRPr="00BA0FBF">
        <w:t>49</w:t>
      </w:r>
      <w:r w:rsidR="00A27D38" w:rsidRPr="00BA0FBF">
        <w:t>.</w:t>
      </w:r>
      <w:r w:rsidR="002636CD">
        <w:t>3</w:t>
      </w:r>
      <w:r w:rsidRPr="00BA0FBF">
        <w:t xml:space="preserve"> billion (15 per rate, </w:t>
      </w:r>
      <w:r w:rsidR="005864EC" w:rsidRPr="00BA0FBF">
        <w:t>remove</w:t>
      </w:r>
      <w:r w:rsidRPr="00BA0FBF">
        <w:t xml:space="preserve"> base concessions) </w:t>
      </w:r>
      <w:r w:rsidR="001D5F01" w:rsidRPr="00BA0FBF">
        <w:t>in 2017</w:t>
      </w:r>
      <w:r w:rsidR="00AC39A2" w:rsidRPr="00BA0FBF">
        <w:t>–</w:t>
      </w:r>
      <w:r w:rsidR="001D5F01" w:rsidRPr="00BA0FBF">
        <w:t>18</w:t>
      </w:r>
      <w:r w:rsidRPr="00BA0FBF">
        <w:t>.</w:t>
      </w:r>
    </w:p>
    <w:p w:rsidR="00451DC9" w:rsidRPr="00BA0FBF" w:rsidRDefault="00451DC9" w:rsidP="00742476">
      <w:pPr>
        <w:pStyle w:val="BodyText"/>
      </w:pPr>
      <w:r w:rsidRPr="00BA0FBF">
        <w:t>The PBO has made no assumption on how GST revenue (net of the assumed compensation package) would be used.</w:t>
      </w:r>
    </w:p>
    <w:p w:rsidR="00451DC9" w:rsidRPr="00BA0FBF" w:rsidRDefault="00F95381" w:rsidP="00742476">
      <w:pPr>
        <w:pStyle w:val="BodyText"/>
      </w:pPr>
      <w:r w:rsidRPr="00BA0FBF">
        <w:t xml:space="preserve">Caution is needed in interpreting distributional analysis based on the </w:t>
      </w:r>
      <w:r w:rsidRPr="00695B37">
        <w:rPr>
          <w:i/>
        </w:rPr>
        <w:t>Household Expenditure Surv</w:t>
      </w:r>
      <w:r w:rsidR="00451DC9" w:rsidRPr="00695B37">
        <w:rPr>
          <w:i/>
        </w:rPr>
        <w:t>ey</w:t>
      </w:r>
      <w:r w:rsidR="00451DC9" w:rsidRPr="00BA0FBF">
        <w:t xml:space="preserve">, as </w:t>
      </w:r>
      <w:r w:rsidR="00451DC9" w:rsidRPr="00BA0FBF">
        <w:rPr>
          <w:lang w:eastAsia="en-AU"/>
        </w:rPr>
        <w:t>data issues are likely to exaggerate the relative impact of the GST reform scenarios for the lowest income decile</w:t>
      </w:r>
      <w:r w:rsidR="00AC39A2" w:rsidRPr="00BA0FBF">
        <w:rPr>
          <w:lang w:eastAsia="en-AU"/>
        </w:rPr>
        <w:t>.</w:t>
      </w:r>
    </w:p>
    <w:p w:rsidR="00451DC9" w:rsidRPr="00BA0FBF" w:rsidRDefault="00451DC9" w:rsidP="00742476">
      <w:pPr>
        <w:pStyle w:val="BodyText"/>
      </w:pPr>
      <w:r w:rsidRPr="00BA0FBF">
        <w:t>Nevertheless it is clear that, in the absence of compensation arrangements targeting lower income households, each of the scenarios analysed would have a greater relative impact on lower income earners.</w:t>
      </w:r>
    </w:p>
    <w:p w:rsidR="00FE6DA1" w:rsidRDefault="00F95381" w:rsidP="00742476">
      <w:pPr>
        <w:pStyle w:val="BodyText"/>
        <w:sectPr w:rsidR="00FE6DA1" w:rsidSect="00C407BF">
          <w:pgSz w:w="11906" w:h="16838" w:code="9"/>
          <w:pgMar w:top="1361" w:right="1797" w:bottom="1474" w:left="1797" w:header="284" w:footer="454" w:gutter="0"/>
          <w:cols w:space="708"/>
          <w:docGrid w:linePitch="360"/>
        </w:sectPr>
      </w:pPr>
      <w:r w:rsidRPr="00BA0FBF">
        <w:t xml:space="preserve">The analysis in this report makes the technical assumption that, in aggregate, there would be full compensation on average for the impact of </w:t>
      </w:r>
      <w:r w:rsidR="00C67883" w:rsidRPr="00BA0FBF">
        <w:t xml:space="preserve">each </w:t>
      </w:r>
      <w:r w:rsidRPr="00BA0FBF">
        <w:t xml:space="preserve">scenario on the bottom </w:t>
      </w:r>
      <w:r w:rsidR="009047C1">
        <w:t>40</w:t>
      </w:r>
      <w:r w:rsidR="009047C1" w:rsidRPr="00BA0FBF">
        <w:t xml:space="preserve"> </w:t>
      </w:r>
      <w:r w:rsidRPr="00BA0FBF">
        <w:t>per cent of ho</w:t>
      </w:r>
      <w:r w:rsidR="00451DC9" w:rsidRPr="00BA0FBF">
        <w:t>useholds by disposable income.</w:t>
      </w:r>
    </w:p>
    <w:p w:rsidR="00451DC9" w:rsidRPr="00BA0FBF" w:rsidRDefault="00F95381" w:rsidP="00742476">
      <w:pPr>
        <w:pStyle w:val="BodyText"/>
      </w:pPr>
      <w:r w:rsidRPr="00BA0FBF">
        <w:t>Overall, around 25 per cent of the additional revenue under the GST reform scenarios is paid by the low</w:t>
      </w:r>
      <w:r w:rsidR="00451DC9" w:rsidRPr="00BA0FBF">
        <w:t xml:space="preserve">est 40 per cent of households.  That is, GST </w:t>
      </w:r>
      <w:r w:rsidR="00282751" w:rsidRPr="00BA0FBF">
        <w:t xml:space="preserve">revenue </w:t>
      </w:r>
      <w:r w:rsidR="00451DC9" w:rsidRPr="00BA0FBF">
        <w:t>net of t</w:t>
      </w:r>
      <w:r w:rsidR="00282751" w:rsidRPr="00BA0FBF">
        <w:t>he assumed compensation package</w:t>
      </w:r>
      <w:r w:rsidR="00451DC9" w:rsidRPr="00BA0FBF">
        <w:t xml:space="preserve"> is 75 per cent of gross additional GST.</w:t>
      </w:r>
    </w:p>
    <w:p w:rsidR="001B097C" w:rsidRPr="009047C1" w:rsidRDefault="0098317D" w:rsidP="0086621F">
      <w:pPr>
        <w:pStyle w:val="BodyText"/>
        <w:keepNext/>
        <w:rPr>
          <w:szCs w:val="20"/>
        </w:rPr>
      </w:pPr>
      <w:r>
        <w:fldChar w:fldCharType="begin"/>
      </w:r>
      <w:r>
        <w:instrText xml:space="preserve"> REF _Ref436925855 \h </w:instrText>
      </w:r>
      <w:r>
        <w:fldChar w:fldCharType="separate"/>
      </w:r>
      <w:r w:rsidR="00076CF9" w:rsidRPr="0086621F">
        <w:t xml:space="preserve">Table </w:t>
      </w:r>
      <w:r w:rsidR="00076CF9">
        <w:rPr>
          <w:noProof/>
        </w:rPr>
        <w:t>4</w:t>
      </w:r>
      <w:r w:rsidR="00076CF9" w:rsidRPr="0086621F">
        <w:t>–</w:t>
      </w:r>
      <w:r w:rsidR="00076CF9">
        <w:rPr>
          <w:noProof/>
        </w:rPr>
        <w:t>16</w:t>
      </w:r>
      <w:r>
        <w:fldChar w:fldCharType="end"/>
      </w:r>
      <w:r w:rsidR="001B097C" w:rsidRPr="00BA0FBF">
        <w:t xml:space="preserve"> summarises t</w:t>
      </w:r>
      <w:r w:rsidR="00F95381" w:rsidRPr="00BA0FBF">
        <w:t>h</w:t>
      </w:r>
      <w:r w:rsidR="00451DC9" w:rsidRPr="00BA0FBF">
        <w:t>e</w:t>
      </w:r>
      <w:r w:rsidR="00F95381" w:rsidRPr="00BA0FBF">
        <w:t xml:space="preserve"> </w:t>
      </w:r>
      <w:r w:rsidR="001B097C" w:rsidRPr="00BA0FBF">
        <w:t xml:space="preserve">net </w:t>
      </w:r>
      <w:r w:rsidR="0034643D">
        <w:t xml:space="preserve">additional </w:t>
      </w:r>
      <w:r w:rsidR="00451DC9" w:rsidRPr="00BA0FBF">
        <w:t>GST revenue under</w:t>
      </w:r>
      <w:r w:rsidR="00F95381" w:rsidRPr="00BA0FBF">
        <w:t xml:space="preserve"> the GST reform scenarios</w:t>
      </w:r>
      <w:r w:rsidR="00451DC9" w:rsidRPr="00BA0FBF">
        <w:t>.</w:t>
      </w:r>
      <w:r w:rsidR="001B097C" w:rsidRPr="00BA0FBF">
        <w:t xml:space="preserve">  Additional detail on the revenue impact of GST reform scenarios is provided in </w:t>
      </w:r>
      <w:fldSimple w:instr=" REF _Ref436925051 \r ">
        <w:r w:rsidR="00076CF9">
          <w:t>Appendix C</w:t>
        </w:r>
      </w:fldSimple>
      <w:r w:rsidR="009047C1" w:rsidRPr="009047C1">
        <w:rPr>
          <w:szCs w:val="20"/>
        </w:rPr>
        <w:t>.</w:t>
      </w:r>
    </w:p>
    <w:p w:rsidR="0086621F" w:rsidRPr="0086621F" w:rsidRDefault="0086621F" w:rsidP="0086621F">
      <w:pPr>
        <w:pStyle w:val="Caption"/>
      </w:pPr>
      <w:bookmarkStart w:id="244" w:name="ReturnHere"/>
      <w:bookmarkStart w:id="245" w:name="_Ref436925855"/>
      <w:bookmarkStart w:id="246" w:name="_Toc436917820"/>
      <w:bookmarkStart w:id="247" w:name="_Toc437429578"/>
      <w:bookmarkEnd w:id="244"/>
      <w:r w:rsidRPr="0086621F">
        <w:t xml:space="preserve">Table </w:t>
      </w:r>
      <w:fldSimple w:instr=" STYLEREF 1 \s ">
        <w:r w:rsidR="00076CF9">
          <w:rPr>
            <w:noProof/>
          </w:rPr>
          <w:t>4</w:t>
        </w:r>
      </w:fldSimple>
      <w:r w:rsidRPr="0086621F">
        <w:t>–</w:t>
      </w:r>
      <w:fldSimple w:instr=" SEQ Table \* ARABIC \s 1 ">
        <w:r w:rsidR="00076CF9">
          <w:rPr>
            <w:noProof/>
          </w:rPr>
          <w:t>16</w:t>
        </w:r>
      </w:fldSimple>
      <w:bookmarkEnd w:id="245"/>
      <w:r w:rsidRPr="0086621F">
        <w:t xml:space="preserve">: Summary of net </w:t>
      </w:r>
      <w:r w:rsidR="0034643D">
        <w:t xml:space="preserve">additional </w:t>
      </w:r>
      <w:r w:rsidRPr="0086621F">
        <w:t>GST revenue impact of scenarios</w:t>
      </w:r>
      <w:bookmarkEnd w:id="246"/>
      <w:bookmarkEnd w:id="247"/>
    </w:p>
    <w:tbl>
      <w:tblPr>
        <w:tblStyle w:val="TableGrid"/>
        <w:tblW w:w="4605" w:type="pct"/>
        <w:tblLook w:val="04A0" w:firstRow="1" w:lastRow="0" w:firstColumn="1" w:lastColumn="0" w:noHBand="0" w:noVBand="1"/>
      </w:tblPr>
      <w:tblGrid>
        <w:gridCol w:w="5103"/>
        <w:gridCol w:w="1275"/>
        <w:gridCol w:w="1277"/>
      </w:tblGrid>
      <w:tr w:rsidR="003C58BB" w:rsidRPr="00BA0FBF" w:rsidTr="00DC647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3333" w:type="pct"/>
            <w:vAlign w:val="center"/>
          </w:tcPr>
          <w:p w:rsidR="003C58BB" w:rsidRPr="00BA0FBF" w:rsidRDefault="003C58BB" w:rsidP="00DC6477">
            <w:pPr>
              <w:pStyle w:val="TableHeading"/>
            </w:pPr>
          </w:p>
        </w:tc>
        <w:tc>
          <w:tcPr>
            <w:tcW w:w="833" w:type="pct"/>
            <w:vAlign w:val="center"/>
          </w:tcPr>
          <w:p w:rsidR="003C58BB" w:rsidRPr="00BA0FBF" w:rsidRDefault="003C58BB" w:rsidP="00DC6477">
            <w:pPr>
              <w:pStyle w:val="TableHeading"/>
              <w:cnfStyle w:val="100000000000" w:firstRow="1" w:lastRow="0" w:firstColumn="0" w:lastColumn="0" w:oddVBand="0" w:evenVBand="0" w:oddHBand="0" w:evenHBand="0" w:firstRowFirstColumn="0" w:firstRowLastColumn="0" w:lastRowFirstColumn="0" w:lastRowLastColumn="0"/>
            </w:pPr>
            <w:r w:rsidRPr="00BA0FBF">
              <w:t>2017–18</w:t>
            </w:r>
          </w:p>
        </w:tc>
        <w:tc>
          <w:tcPr>
            <w:tcW w:w="834" w:type="pct"/>
            <w:vAlign w:val="center"/>
          </w:tcPr>
          <w:p w:rsidR="003C58BB" w:rsidRPr="00BA0FBF" w:rsidRDefault="003C58BB" w:rsidP="00DC6477">
            <w:pPr>
              <w:pStyle w:val="TableHeading"/>
              <w:cnfStyle w:val="100000000000" w:firstRow="1" w:lastRow="0" w:firstColumn="0" w:lastColumn="0" w:oddVBand="0" w:evenVBand="0" w:oddHBand="0" w:evenHBand="0" w:firstRowFirstColumn="0" w:firstRowLastColumn="0" w:lastRowFirstColumn="0" w:lastRowLastColumn="0"/>
            </w:pPr>
            <w:r w:rsidRPr="00BA0FBF">
              <w:t>% of GDP</w:t>
            </w:r>
          </w:p>
        </w:tc>
      </w:tr>
      <w:tr w:rsidR="002636CD" w:rsidRPr="00BA0FBF" w:rsidTr="002636C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33" w:type="pct"/>
          </w:tcPr>
          <w:p w:rsidR="002636CD" w:rsidRPr="00BA0FBF" w:rsidRDefault="002636CD" w:rsidP="00DC6477">
            <w:pPr>
              <w:pStyle w:val="TableText"/>
            </w:pPr>
            <w:r w:rsidRPr="00BA0FBF">
              <w:t xml:space="preserve">Scenario 1: </w:t>
            </w:r>
            <w:r>
              <w:t>b</w:t>
            </w:r>
            <w:r w:rsidRPr="00BA0FBF">
              <w:t>asic food subject to GST</w:t>
            </w:r>
          </w:p>
        </w:tc>
        <w:tc>
          <w:tcPr>
            <w:tcW w:w="833" w:type="pct"/>
          </w:tcPr>
          <w:p w:rsidR="002636CD" w:rsidRPr="00CD337D" w:rsidRDefault="002636CD" w:rsidP="002636CD">
            <w:pPr>
              <w:jc w:val="center"/>
              <w:cnfStyle w:val="000000100000" w:firstRow="0" w:lastRow="0" w:firstColumn="0" w:lastColumn="0" w:oddVBand="0" w:evenVBand="0" w:oddHBand="1" w:evenHBand="0" w:firstRowFirstColumn="0" w:firstRowLastColumn="0" w:lastRowFirstColumn="0" w:lastRowLastColumn="0"/>
            </w:pPr>
            <w:r w:rsidRPr="00CD337D">
              <w:t>4.8</w:t>
            </w:r>
          </w:p>
        </w:tc>
        <w:tc>
          <w:tcPr>
            <w:tcW w:w="834" w:type="pct"/>
          </w:tcPr>
          <w:p w:rsidR="002636CD" w:rsidRPr="00CD337D" w:rsidRDefault="002636CD" w:rsidP="002636CD">
            <w:pPr>
              <w:jc w:val="center"/>
              <w:cnfStyle w:val="000000100000" w:firstRow="0" w:lastRow="0" w:firstColumn="0" w:lastColumn="0" w:oddVBand="0" w:evenVBand="0" w:oddHBand="1" w:evenHBand="0" w:firstRowFirstColumn="0" w:firstRowLastColumn="0" w:lastRowFirstColumn="0" w:lastRowLastColumn="0"/>
            </w:pPr>
            <w:r w:rsidRPr="00CD337D">
              <w:t>0.3%</w:t>
            </w:r>
          </w:p>
        </w:tc>
      </w:tr>
      <w:tr w:rsidR="002636CD" w:rsidRPr="00BA0FBF" w:rsidTr="002636CD">
        <w:trPr>
          <w:cantSplit/>
        </w:trPr>
        <w:tc>
          <w:tcPr>
            <w:cnfStyle w:val="001000000000" w:firstRow="0" w:lastRow="0" w:firstColumn="1" w:lastColumn="0" w:oddVBand="0" w:evenVBand="0" w:oddHBand="0" w:evenHBand="0" w:firstRowFirstColumn="0" w:firstRowLastColumn="0" w:lastRowFirstColumn="0" w:lastRowLastColumn="0"/>
            <w:tcW w:w="3333" w:type="pct"/>
          </w:tcPr>
          <w:p w:rsidR="002636CD" w:rsidRPr="00BA0FBF" w:rsidRDefault="002636CD" w:rsidP="00DC6477">
            <w:pPr>
              <w:pStyle w:val="TableText"/>
            </w:pPr>
            <w:r w:rsidRPr="00BA0FBF">
              <w:t xml:space="preserve">Scenario 2: </w:t>
            </w:r>
            <w:r>
              <w:t>r</w:t>
            </w:r>
            <w:r w:rsidRPr="00BA0FBF">
              <w:t>emove concessions from GST base</w:t>
            </w:r>
          </w:p>
        </w:tc>
        <w:tc>
          <w:tcPr>
            <w:tcW w:w="833" w:type="pct"/>
          </w:tcPr>
          <w:p w:rsidR="002636CD" w:rsidRPr="00CD337D" w:rsidRDefault="002636CD" w:rsidP="002636CD">
            <w:pPr>
              <w:jc w:val="center"/>
              <w:cnfStyle w:val="000000000000" w:firstRow="0" w:lastRow="0" w:firstColumn="0" w:lastColumn="0" w:oddVBand="0" w:evenVBand="0" w:oddHBand="0" w:evenHBand="0" w:firstRowFirstColumn="0" w:firstRowLastColumn="0" w:lastRowFirstColumn="0" w:lastRowLastColumn="0"/>
            </w:pPr>
            <w:r w:rsidRPr="00CD337D">
              <w:t>16.0</w:t>
            </w:r>
          </w:p>
        </w:tc>
        <w:tc>
          <w:tcPr>
            <w:tcW w:w="834" w:type="pct"/>
          </w:tcPr>
          <w:p w:rsidR="002636CD" w:rsidRPr="00CD337D" w:rsidRDefault="002636CD" w:rsidP="002636CD">
            <w:pPr>
              <w:jc w:val="center"/>
              <w:cnfStyle w:val="000000000000" w:firstRow="0" w:lastRow="0" w:firstColumn="0" w:lastColumn="0" w:oddVBand="0" w:evenVBand="0" w:oddHBand="0" w:evenHBand="0" w:firstRowFirstColumn="0" w:firstRowLastColumn="0" w:lastRowFirstColumn="0" w:lastRowLastColumn="0"/>
            </w:pPr>
            <w:r w:rsidRPr="00CD337D">
              <w:t>0.9%</w:t>
            </w:r>
          </w:p>
        </w:tc>
      </w:tr>
      <w:tr w:rsidR="002636CD" w:rsidRPr="00BA0FBF" w:rsidTr="002636C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33" w:type="pct"/>
          </w:tcPr>
          <w:p w:rsidR="002636CD" w:rsidRPr="00BA0FBF" w:rsidRDefault="002636CD" w:rsidP="00DC6477">
            <w:pPr>
              <w:pStyle w:val="TableText"/>
            </w:pPr>
            <w:r w:rsidRPr="00BA0FBF">
              <w:t xml:space="preserve">Scenario 3: </w:t>
            </w:r>
            <w:r>
              <w:t xml:space="preserve">increase the GST rate to </w:t>
            </w:r>
            <w:r w:rsidRPr="00BA0FBF">
              <w:t>15 per cent</w:t>
            </w:r>
          </w:p>
        </w:tc>
        <w:tc>
          <w:tcPr>
            <w:tcW w:w="833" w:type="pct"/>
          </w:tcPr>
          <w:p w:rsidR="002636CD" w:rsidRPr="00CD337D" w:rsidRDefault="002636CD" w:rsidP="002636CD">
            <w:pPr>
              <w:jc w:val="center"/>
              <w:cnfStyle w:val="000000100000" w:firstRow="0" w:lastRow="0" w:firstColumn="0" w:lastColumn="0" w:oddVBand="0" w:evenVBand="0" w:oddHBand="1" w:evenHBand="0" w:firstRowFirstColumn="0" w:firstRowLastColumn="0" w:lastRowFirstColumn="0" w:lastRowLastColumn="0"/>
            </w:pPr>
            <w:r w:rsidRPr="00CD337D">
              <w:t>24.6</w:t>
            </w:r>
          </w:p>
        </w:tc>
        <w:tc>
          <w:tcPr>
            <w:tcW w:w="834" w:type="pct"/>
          </w:tcPr>
          <w:p w:rsidR="002636CD" w:rsidRPr="00CD337D" w:rsidRDefault="002636CD" w:rsidP="002636CD">
            <w:pPr>
              <w:jc w:val="center"/>
              <w:cnfStyle w:val="000000100000" w:firstRow="0" w:lastRow="0" w:firstColumn="0" w:lastColumn="0" w:oddVBand="0" w:evenVBand="0" w:oddHBand="1" w:evenHBand="0" w:firstRowFirstColumn="0" w:firstRowLastColumn="0" w:lastRowFirstColumn="0" w:lastRowLastColumn="0"/>
            </w:pPr>
            <w:r w:rsidRPr="00CD337D">
              <w:t>1.4%</w:t>
            </w:r>
          </w:p>
        </w:tc>
      </w:tr>
      <w:tr w:rsidR="002636CD" w:rsidRPr="00BA0FBF" w:rsidTr="002636CD">
        <w:trPr>
          <w:cantSplit/>
        </w:trPr>
        <w:tc>
          <w:tcPr>
            <w:cnfStyle w:val="001000000000" w:firstRow="0" w:lastRow="0" w:firstColumn="1" w:lastColumn="0" w:oddVBand="0" w:evenVBand="0" w:oddHBand="0" w:evenHBand="0" w:firstRowFirstColumn="0" w:firstRowLastColumn="0" w:lastRowFirstColumn="0" w:lastRowLastColumn="0"/>
            <w:tcW w:w="3333" w:type="pct"/>
          </w:tcPr>
          <w:p w:rsidR="002636CD" w:rsidRPr="00BA0FBF" w:rsidRDefault="002636CD" w:rsidP="00DC6477">
            <w:pPr>
              <w:pStyle w:val="TableText"/>
            </w:pPr>
            <w:r w:rsidRPr="00BA0FBF">
              <w:t xml:space="preserve">Scenario 4: </w:t>
            </w:r>
            <w:r>
              <w:t xml:space="preserve">GST rate </w:t>
            </w:r>
            <w:r w:rsidRPr="00BA0FBF">
              <w:t>15 per cent; basic food subject to GST</w:t>
            </w:r>
          </w:p>
        </w:tc>
        <w:tc>
          <w:tcPr>
            <w:tcW w:w="833" w:type="pct"/>
          </w:tcPr>
          <w:p w:rsidR="002636CD" w:rsidRPr="00CD337D" w:rsidRDefault="002636CD" w:rsidP="002636CD">
            <w:pPr>
              <w:jc w:val="center"/>
              <w:cnfStyle w:val="000000000000" w:firstRow="0" w:lastRow="0" w:firstColumn="0" w:lastColumn="0" w:oddVBand="0" w:evenVBand="0" w:oddHBand="0" w:evenHBand="0" w:firstRowFirstColumn="0" w:firstRowLastColumn="0" w:lastRowFirstColumn="0" w:lastRowLastColumn="0"/>
            </w:pPr>
            <w:r w:rsidRPr="00CD337D">
              <w:t>31.4</w:t>
            </w:r>
          </w:p>
        </w:tc>
        <w:tc>
          <w:tcPr>
            <w:tcW w:w="834" w:type="pct"/>
          </w:tcPr>
          <w:p w:rsidR="002636CD" w:rsidRPr="00CD337D" w:rsidRDefault="002636CD" w:rsidP="002636CD">
            <w:pPr>
              <w:jc w:val="center"/>
              <w:cnfStyle w:val="000000000000" w:firstRow="0" w:lastRow="0" w:firstColumn="0" w:lastColumn="0" w:oddVBand="0" w:evenVBand="0" w:oddHBand="0" w:evenHBand="0" w:firstRowFirstColumn="0" w:firstRowLastColumn="0" w:lastRowFirstColumn="0" w:lastRowLastColumn="0"/>
            </w:pPr>
            <w:r w:rsidRPr="00CD337D">
              <w:t>1.7%</w:t>
            </w:r>
          </w:p>
        </w:tc>
      </w:tr>
      <w:tr w:rsidR="002636CD" w:rsidRPr="00BA0FBF" w:rsidTr="002636C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33" w:type="pct"/>
          </w:tcPr>
          <w:p w:rsidR="002636CD" w:rsidRPr="00BA0FBF" w:rsidRDefault="002636CD" w:rsidP="00DC6477">
            <w:pPr>
              <w:pStyle w:val="TableText"/>
            </w:pPr>
            <w:r w:rsidRPr="00BA0FBF">
              <w:t>Scenario 5: 15 per cent GST; remove concessions</w:t>
            </w:r>
          </w:p>
        </w:tc>
        <w:tc>
          <w:tcPr>
            <w:tcW w:w="833" w:type="pct"/>
          </w:tcPr>
          <w:p w:rsidR="002636CD" w:rsidRPr="00CD337D" w:rsidRDefault="002636CD" w:rsidP="002636CD">
            <w:pPr>
              <w:jc w:val="center"/>
              <w:cnfStyle w:val="000000100000" w:firstRow="0" w:lastRow="0" w:firstColumn="0" w:lastColumn="0" w:oddVBand="0" w:evenVBand="0" w:oddHBand="1" w:evenHBand="0" w:firstRowFirstColumn="0" w:firstRowLastColumn="0" w:lastRowFirstColumn="0" w:lastRowLastColumn="0"/>
            </w:pPr>
            <w:r w:rsidRPr="00CD337D">
              <w:t>49.3</w:t>
            </w:r>
          </w:p>
        </w:tc>
        <w:tc>
          <w:tcPr>
            <w:tcW w:w="834" w:type="pct"/>
          </w:tcPr>
          <w:p w:rsidR="002636CD" w:rsidRDefault="002636CD" w:rsidP="002636CD">
            <w:pPr>
              <w:jc w:val="center"/>
              <w:cnfStyle w:val="000000100000" w:firstRow="0" w:lastRow="0" w:firstColumn="0" w:lastColumn="0" w:oddVBand="0" w:evenVBand="0" w:oddHBand="1" w:evenHBand="0" w:firstRowFirstColumn="0" w:firstRowLastColumn="0" w:lastRowFirstColumn="0" w:lastRowLastColumn="0"/>
            </w:pPr>
            <w:r w:rsidRPr="00CD337D">
              <w:t>2.7%</w:t>
            </w:r>
          </w:p>
        </w:tc>
      </w:tr>
    </w:tbl>
    <w:p w:rsidR="00AC39A2" w:rsidRDefault="003C58BB" w:rsidP="003C58BB">
      <w:pPr>
        <w:pStyle w:val="Source"/>
      </w:pPr>
      <w:r>
        <w:t xml:space="preserve">Source: </w:t>
      </w:r>
      <w:r w:rsidR="004E109F">
        <w:t>PBO analysis based on data from the ABS and Treasury</w:t>
      </w:r>
    </w:p>
    <w:p w:rsidR="003C58BB" w:rsidRDefault="003C58BB">
      <w:pPr>
        <w:rPr>
          <w:sz w:val="20"/>
        </w:rPr>
      </w:pPr>
    </w:p>
    <w:p w:rsidR="003C58BB" w:rsidRPr="00BA0FBF" w:rsidRDefault="003C58BB">
      <w:pPr>
        <w:rPr>
          <w:sz w:val="20"/>
        </w:rPr>
        <w:sectPr w:rsidR="003C58BB" w:rsidRPr="00BA0FBF" w:rsidSect="00C407BF">
          <w:pgSz w:w="11906" w:h="16838" w:code="9"/>
          <w:pgMar w:top="1361" w:right="1797" w:bottom="1474" w:left="1797" w:header="284" w:footer="454" w:gutter="0"/>
          <w:cols w:space="708"/>
          <w:docGrid w:linePitch="360"/>
        </w:sectPr>
      </w:pPr>
    </w:p>
    <w:p w:rsidR="00F95381" w:rsidRPr="00BA0FBF" w:rsidRDefault="00F95381" w:rsidP="00AC39A2">
      <w:pPr>
        <w:pStyle w:val="Heading1NoNumbering"/>
        <w:rPr>
          <w:sz w:val="36"/>
        </w:rPr>
      </w:pPr>
      <w:bookmarkStart w:id="248" w:name="_Toc436400352"/>
      <w:bookmarkStart w:id="249" w:name="_Toc436652246"/>
      <w:bookmarkStart w:id="250" w:name="_Toc436652284"/>
      <w:bookmarkStart w:id="251" w:name="_Toc436917803"/>
      <w:bookmarkStart w:id="252" w:name="_Toc437429858"/>
      <w:r w:rsidRPr="00BA0FBF">
        <w:rPr>
          <w:sz w:val="36"/>
        </w:rPr>
        <w:t>References</w:t>
      </w:r>
      <w:bookmarkEnd w:id="248"/>
      <w:bookmarkEnd w:id="249"/>
      <w:bookmarkEnd w:id="250"/>
      <w:bookmarkEnd w:id="251"/>
      <w:bookmarkEnd w:id="252"/>
    </w:p>
    <w:p w:rsidR="00F95381" w:rsidRPr="00BA0FBF" w:rsidRDefault="00F95381" w:rsidP="00742476">
      <w:pPr>
        <w:pStyle w:val="BodyText"/>
      </w:pPr>
      <w:r w:rsidRPr="00BA0FBF">
        <w:t>A</w:t>
      </w:r>
      <w:r w:rsidR="00FE6DA1">
        <w:t xml:space="preserve">ustralian </w:t>
      </w:r>
      <w:r w:rsidRPr="00BA0FBF">
        <w:t>B</w:t>
      </w:r>
      <w:r w:rsidR="00FE6DA1">
        <w:t xml:space="preserve">ureau of </w:t>
      </w:r>
      <w:r w:rsidRPr="00BA0FBF">
        <w:t>S</w:t>
      </w:r>
      <w:r w:rsidR="00FE6DA1">
        <w:t>tatistics</w:t>
      </w:r>
      <w:r w:rsidRPr="00BA0FBF">
        <w:t xml:space="preserve"> 2011a, </w:t>
      </w:r>
      <w:r w:rsidRPr="00684229">
        <w:rPr>
          <w:i/>
        </w:rPr>
        <w:t>Household Expenditure Survey, Australia: Summary of Results, 2009</w:t>
      </w:r>
      <w:r w:rsidRPr="00684229">
        <w:rPr>
          <w:i/>
        </w:rPr>
        <w:noBreakHyphen/>
        <w:t>10</w:t>
      </w:r>
      <w:r w:rsidRPr="00BA0FBF">
        <w:t xml:space="preserve">, </w:t>
      </w:r>
      <w:r w:rsidR="00FE6DA1">
        <w:t>c</w:t>
      </w:r>
      <w:r w:rsidRPr="00BA0FBF">
        <w:t>at</w:t>
      </w:r>
      <w:r w:rsidR="00FE6DA1">
        <w:t>. no.</w:t>
      </w:r>
      <w:r w:rsidRPr="00BA0FBF">
        <w:t xml:space="preserve"> 6530.0</w:t>
      </w:r>
      <w:r w:rsidR="00FE6DA1">
        <w:t>, ABS, Canberra</w:t>
      </w:r>
      <w:r w:rsidR="00D0289A">
        <w:t>.</w:t>
      </w:r>
    </w:p>
    <w:p w:rsidR="00F95381" w:rsidRPr="00BA0FBF" w:rsidRDefault="00F95381" w:rsidP="00742476">
      <w:pPr>
        <w:pStyle w:val="BodyText"/>
      </w:pPr>
      <w:r w:rsidRPr="00BA0FBF">
        <w:t>A</w:t>
      </w:r>
      <w:r w:rsidR="00FE6DA1">
        <w:t xml:space="preserve">ustralian </w:t>
      </w:r>
      <w:r w:rsidRPr="00BA0FBF">
        <w:t>B</w:t>
      </w:r>
      <w:r w:rsidR="00FE6DA1">
        <w:t xml:space="preserve">ureau of </w:t>
      </w:r>
      <w:r w:rsidRPr="00BA0FBF">
        <w:t>S</w:t>
      </w:r>
      <w:r w:rsidR="00FE6DA1">
        <w:t>tatistics</w:t>
      </w:r>
      <w:r w:rsidRPr="00BA0FBF">
        <w:t xml:space="preserve"> 2011b, </w:t>
      </w:r>
      <w:r w:rsidRPr="00684229">
        <w:rPr>
          <w:i/>
        </w:rPr>
        <w:t>Household Income and Income Distribution, Australia, 2009</w:t>
      </w:r>
      <w:r w:rsidRPr="00684229">
        <w:rPr>
          <w:i/>
        </w:rPr>
        <w:noBreakHyphen/>
        <w:t>10</w:t>
      </w:r>
      <w:r w:rsidRPr="00BA0FBF">
        <w:t xml:space="preserve">, </w:t>
      </w:r>
      <w:r w:rsidR="00FE6DA1">
        <w:t>c</w:t>
      </w:r>
      <w:r w:rsidRPr="00BA0FBF">
        <w:t>at</w:t>
      </w:r>
      <w:r w:rsidR="00FE6DA1">
        <w:t>.</w:t>
      </w:r>
      <w:r w:rsidRPr="00BA0FBF">
        <w:t xml:space="preserve"> </w:t>
      </w:r>
      <w:r w:rsidR="00FE6DA1">
        <w:t xml:space="preserve">no. </w:t>
      </w:r>
      <w:r w:rsidRPr="00BA0FBF">
        <w:t>6523.0</w:t>
      </w:r>
      <w:r w:rsidR="00FE6DA1">
        <w:t>, ABS, Canberra</w:t>
      </w:r>
      <w:r w:rsidR="00D0289A">
        <w:t>.</w:t>
      </w:r>
    </w:p>
    <w:p w:rsidR="00F95381" w:rsidRPr="00BA0FBF" w:rsidRDefault="00F95381" w:rsidP="00742476">
      <w:pPr>
        <w:pStyle w:val="BodyText"/>
      </w:pPr>
      <w:r w:rsidRPr="00BA0FBF">
        <w:t>A</w:t>
      </w:r>
      <w:r w:rsidR="00FE6DA1">
        <w:t xml:space="preserve">ustralian </w:t>
      </w:r>
      <w:r w:rsidRPr="00BA0FBF">
        <w:t>B</w:t>
      </w:r>
      <w:r w:rsidR="00FE6DA1">
        <w:t xml:space="preserve">ureau of </w:t>
      </w:r>
      <w:r w:rsidRPr="00BA0FBF">
        <w:t>S</w:t>
      </w:r>
      <w:r w:rsidR="00FE6DA1">
        <w:t>tatistics</w:t>
      </w:r>
      <w:r w:rsidRPr="00BA0FBF">
        <w:t xml:space="preserve"> 2012, </w:t>
      </w:r>
      <w:r w:rsidRPr="00684229">
        <w:rPr>
          <w:i/>
        </w:rPr>
        <w:t>Household Expenditure Survey and Survey of Income and Housing – User Guide, Australia 2009</w:t>
      </w:r>
      <w:r w:rsidRPr="00684229">
        <w:rPr>
          <w:i/>
        </w:rPr>
        <w:noBreakHyphen/>
        <w:t>10</w:t>
      </w:r>
      <w:r w:rsidRPr="00BA0FBF">
        <w:t xml:space="preserve">, </w:t>
      </w:r>
      <w:r w:rsidR="00FE6DA1">
        <w:t>c</w:t>
      </w:r>
      <w:r w:rsidRPr="00BA0FBF">
        <w:t>at</w:t>
      </w:r>
      <w:r w:rsidR="00FE6DA1">
        <w:t>.</w:t>
      </w:r>
      <w:r w:rsidRPr="00BA0FBF">
        <w:t xml:space="preserve"> </w:t>
      </w:r>
      <w:r w:rsidR="00FE6DA1">
        <w:t>no.</w:t>
      </w:r>
      <w:r w:rsidRPr="00BA0FBF">
        <w:t xml:space="preserve"> 6503.0</w:t>
      </w:r>
      <w:r w:rsidR="00FE6DA1">
        <w:t>, ABS, Canberra</w:t>
      </w:r>
      <w:r w:rsidR="00D0289A">
        <w:t>.</w:t>
      </w:r>
    </w:p>
    <w:p w:rsidR="008F5F45" w:rsidRPr="00846FA0" w:rsidRDefault="008F5F45" w:rsidP="00742476">
      <w:pPr>
        <w:pStyle w:val="BodyText"/>
      </w:pPr>
      <w:r w:rsidRPr="00BA0FBF">
        <w:t>A</w:t>
      </w:r>
      <w:r w:rsidR="00FE6DA1">
        <w:t xml:space="preserve">ustralian </w:t>
      </w:r>
      <w:r w:rsidRPr="00BA0FBF">
        <w:t>C</w:t>
      </w:r>
      <w:r w:rsidR="00FE6DA1">
        <w:t xml:space="preserve">ouncil of </w:t>
      </w:r>
      <w:r w:rsidRPr="00BA0FBF">
        <w:t>S</w:t>
      </w:r>
      <w:r w:rsidR="00FE6DA1">
        <w:t xml:space="preserve">ocial </w:t>
      </w:r>
      <w:r w:rsidRPr="00BA0FBF">
        <w:t>S</w:t>
      </w:r>
      <w:r w:rsidR="00FE6DA1">
        <w:t>ervices</w:t>
      </w:r>
      <w:r w:rsidRPr="00BA0FBF">
        <w:t xml:space="preserve"> 2015, </w:t>
      </w:r>
      <w:r w:rsidR="00FE6DA1">
        <w:t>‘</w:t>
      </w:r>
      <w:r w:rsidRPr="00BA0FBF">
        <w:t xml:space="preserve">Using a higher GST to pay for income tax cuts is a </w:t>
      </w:r>
      <w:r w:rsidR="00FE6DA1">
        <w:t>“</w:t>
      </w:r>
      <w:r w:rsidRPr="00BA0FBF">
        <w:t>recipe for more inequality, with higher income earners the winners”</w:t>
      </w:r>
      <w:r w:rsidR="00FE6DA1">
        <w:t>’</w:t>
      </w:r>
      <w:r w:rsidRPr="00BA0FBF">
        <w:t xml:space="preserve">, </w:t>
      </w:r>
      <w:r w:rsidR="00FE6DA1" w:rsidRPr="00684229">
        <w:rPr>
          <w:i/>
        </w:rPr>
        <w:t>ACOSS m</w:t>
      </w:r>
      <w:r w:rsidRPr="00684229">
        <w:rPr>
          <w:i/>
        </w:rPr>
        <w:t xml:space="preserve">edia </w:t>
      </w:r>
      <w:r w:rsidR="00FE6DA1" w:rsidRPr="00684229">
        <w:rPr>
          <w:i/>
        </w:rPr>
        <w:t>r</w:t>
      </w:r>
      <w:r w:rsidRPr="00684229">
        <w:rPr>
          <w:i/>
        </w:rPr>
        <w:t>elease</w:t>
      </w:r>
      <w:r w:rsidRPr="00BA0FBF">
        <w:t>, 5 November 2015,</w:t>
      </w:r>
      <w:r w:rsidR="00FE6DA1">
        <w:t>available at:</w:t>
      </w:r>
      <w:r w:rsidRPr="00BA0FBF">
        <w:t xml:space="preserve"> </w:t>
      </w:r>
      <w:hyperlink r:id="rId56" w:history="1">
        <w:r w:rsidRPr="0064547B">
          <w:t>http://www.acoss.org.au/</w:t>
        </w:r>
      </w:hyperlink>
      <w:r w:rsidR="00D0289A">
        <w:t>.</w:t>
      </w:r>
    </w:p>
    <w:p w:rsidR="00F95381" w:rsidRPr="00BA0FBF" w:rsidRDefault="00F95381" w:rsidP="00742476">
      <w:pPr>
        <w:pStyle w:val="BodyText"/>
      </w:pPr>
      <w:r w:rsidRPr="00BA0FBF">
        <w:t xml:space="preserve">Cao, L, Hosking, A, Kouparitsas, M, Mullaly, D, Rimmer, X, Shi, Q, Stark, W </w:t>
      </w:r>
      <w:r w:rsidR="00FE6DA1">
        <w:t>&amp;</w:t>
      </w:r>
      <w:r w:rsidR="00FE6DA1" w:rsidRPr="00BA0FBF">
        <w:t xml:space="preserve"> </w:t>
      </w:r>
      <w:r w:rsidRPr="00BA0FBF">
        <w:t>Wende,</w:t>
      </w:r>
      <w:r w:rsidR="00D0289A">
        <w:t xml:space="preserve"> </w:t>
      </w:r>
      <w:r w:rsidRPr="00BA0FBF">
        <w:t xml:space="preserve">S 2015, </w:t>
      </w:r>
      <w:r w:rsidR="00FE6DA1">
        <w:t>’</w:t>
      </w:r>
      <w:r w:rsidRPr="00BA0FBF">
        <w:t>Understanding the Economy-wide Efficiency and Incidence of Major Australian Taxes</w:t>
      </w:r>
      <w:r w:rsidR="00FE6DA1">
        <w:t>’</w:t>
      </w:r>
      <w:r w:rsidRPr="00BA0FBF">
        <w:t xml:space="preserve">, </w:t>
      </w:r>
      <w:r w:rsidRPr="00684229">
        <w:rPr>
          <w:i/>
        </w:rPr>
        <w:t>Treasury Working Paper 2015-01</w:t>
      </w:r>
      <w:r w:rsidR="00FE6DA1">
        <w:t>, The Treasury, Canberra</w:t>
      </w:r>
      <w:r w:rsidRPr="00BA0FBF">
        <w:t>.</w:t>
      </w:r>
    </w:p>
    <w:p w:rsidR="00F95381" w:rsidRDefault="00F95381" w:rsidP="00742476">
      <w:pPr>
        <w:pStyle w:val="BodyText"/>
      </w:pPr>
      <w:r w:rsidRPr="00BA0FBF">
        <w:t xml:space="preserve">Carnahan, M 1998, </w:t>
      </w:r>
      <w:r w:rsidR="00FE6DA1">
        <w:t>‘</w:t>
      </w:r>
      <w:r w:rsidRPr="00BA0FBF">
        <w:t>Does Demand Create Poor Quality Supply: A Critique of Alternative Distributional Analysis</w:t>
      </w:r>
      <w:r w:rsidR="00FE6DA1">
        <w:t>’</w:t>
      </w:r>
      <w:r w:rsidRPr="00BA0FBF">
        <w:t xml:space="preserve">, </w:t>
      </w:r>
      <w:r w:rsidRPr="00684229">
        <w:rPr>
          <w:i/>
        </w:rPr>
        <w:t>Economic Roundup</w:t>
      </w:r>
      <w:r w:rsidRPr="00BA0FBF">
        <w:t>, The Treasury</w:t>
      </w:r>
      <w:r w:rsidR="00FE6DA1">
        <w:t>, Canberra</w:t>
      </w:r>
      <w:r w:rsidRPr="00BA0FBF">
        <w:t>.</w:t>
      </w:r>
    </w:p>
    <w:p w:rsidR="00BB260A" w:rsidRPr="00BA0FBF" w:rsidRDefault="00BB260A" w:rsidP="00BB260A">
      <w:pPr>
        <w:pStyle w:val="BodyText"/>
      </w:pPr>
      <w:r>
        <w:t xml:space="preserve">Commonwealth of </w:t>
      </w:r>
      <w:r w:rsidRPr="00BA0FBF">
        <w:t xml:space="preserve">Australia </w:t>
      </w:r>
      <w:r>
        <w:t>1998</w:t>
      </w:r>
      <w:r w:rsidRPr="00BA0FBF">
        <w:t>, Tax Reform: Not a New Tax, A New Tax System, A</w:t>
      </w:r>
      <w:r>
        <w:t xml:space="preserve">ustralian </w:t>
      </w:r>
      <w:r w:rsidRPr="00BA0FBF">
        <w:t>G</w:t>
      </w:r>
      <w:r>
        <w:t xml:space="preserve">overnment </w:t>
      </w:r>
      <w:r w:rsidRPr="00BA0FBF">
        <w:t>P</w:t>
      </w:r>
      <w:r>
        <w:t xml:space="preserve">ublishing </w:t>
      </w:r>
      <w:r w:rsidRPr="00BA0FBF">
        <w:t>S</w:t>
      </w:r>
      <w:r>
        <w:t>ervice, Canberra</w:t>
      </w:r>
      <w:r w:rsidRPr="00BA0FBF">
        <w:t>.</w:t>
      </w:r>
    </w:p>
    <w:p w:rsidR="00302719" w:rsidRPr="00BA0FBF" w:rsidRDefault="00302719" w:rsidP="00302719">
      <w:pPr>
        <w:pStyle w:val="BodyText"/>
      </w:pPr>
      <w:r>
        <w:t>Commonwealth</w:t>
      </w:r>
      <w:r w:rsidRPr="00BA0FBF">
        <w:t xml:space="preserve"> </w:t>
      </w:r>
      <w:r>
        <w:t>of Australia</w:t>
      </w:r>
      <w:r w:rsidRPr="00BA0FBF">
        <w:t xml:space="preserve"> 2015, Re:think</w:t>
      </w:r>
      <w:r>
        <w:t xml:space="preserve"> —</w:t>
      </w:r>
      <w:r w:rsidRPr="00BA0FBF">
        <w:t xml:space="preserve"> Tax discussion paper, </w:t>
      </w:r>
      <w:r>
        <w:t>The Treasury</w:t>
      </w:r>
      <w:r w:rsidRPr="00BA0FBF">
        <w:t>, Canberra.</w:t>
      </w:r>
    </w:p>
    <w:p w:rsidR="00865406" w:rsidRPr="009F3257" w:rsidRDefault="009F3257" w:rsidP="00742476">
      <w:pPr>
        <w:pStyle w:val="BodyText"/>
      </w:pPr>
      <w:r>
        <w:t xml:space="preserve">Daley, J, Wood, D, Parsonage, H, </w:t>
      </w:r>
      <w:r w:rsidR="00FE6DA1">
        <w:t xml:space="preserve">&amp; </w:t>
      </w:r>
      <w:r>
        <w:t xml:space="preserve">Coates, B 2015, </w:t>
      </w:r>
      <w:r>
        <w:rPr>
          <w:i/>
        </w:rPr>
        <w:t>A GST Reform Package</w:t>
      </w:r>
      <w:r>
        <w:t>, Grattan Institute.</w:t>
      </w:r>
    </w:p>
    <w:p w:rsidR="00091674" w:rsidRPr="00BA0FBF" w:rsidRDefault="00091674" w:rsidP="00742476">
      <w:pPr>
        <w:pStyle w:val="BodyText"/>
      </w:pPr>
      <w:r w:rsidRPr="00BA0FBF">
        <w:t xml:space="preserve">Harding, A </w:t>
      </w:r>
      <w:r w:rsidR="00FE6DA1">
        <w:t>&amp;</w:t>
      </w:r>
      <w:r w:rsidR="00FE6DA1" w:rsidRPr="00BA0FBF">
        <w:t xml:space="preserve"> </w:t>
      </w:r>
      <w:r w:rsidRPr="00BA0FBF">
        <w:t xml:space="preserve">Warren, N, 1998, </w:t>
      </w:r>
      <w:r w:rsidRPr="00684229">
        <w:rPr>
          <w:i/>
        </w:rPr>
        <w:t>An Introduction to Microsimulation Models of Tax Reform, Paper prepared for the Senate Select Committee for a New Tax System</w:t>
      </w:r>
      <w:r w:rsidRPr="00BA0FBF">
        <w:t xml:space="preserve">, National Centre for Social and Economic Modelling, University of Canberra, </w:t>
      </w:r>
      <w:r w:rsidR="00302719">
        <w:t>Canberra</w:t>
      </w:r>
      <w:r w:rsidRPr="00BA0FBF">
        <w:t>.</w:t>
      </w:r>
    </w:p>
    <w:p w:rsidR="00F114D2" w:rsidRPr="00BA0FBF" w:rsidRDefault="00F114D2" w:rsidP="00742476">
      <w:pPr>
        <w:pStyle w:val="BodyText"/>
      </w:pPr>
      <w:r w:rsidRPr="00BA0FBF">
        <w:t xml:space="preserve">Harding, A, Warren, N, Robinson, M </w:t>
      </w:r>
      <w:r w:rsidR="00302719">
        <w:t>&amp;</w:t>
      </w:r>
      <w:r w:rsidR="00302719" w:rsidRPr="00BA0FBF">
        <w:t xml:space="preserve"> </w:t>
      </w:r>
      <w:r w:rsidRPr="00BA0FBF">
        <w:t xml:space="preserve">Lambert, S 2000, </w:t>
      </w:r>
      <w:r w:rsidR="00302719">
        <w:t>‘</w:t>
      </w:r>
      <w:r w:rsidRPr="00BA0FBF">
        <w:t>The Distributional Impact of Year 2000 Tax Reforms in Australia</w:t>
      </w:r>
      <w:r w:rsidR="00302719">
        <w:t>’</w:t>
      </w:r>
      <w:r w:rsidRPr="00BA0FBF">
        <w:t xml:space="preserve">, </w:t>
      </w:r>
      <w:r w:rsidR="00302719">
        <w:t>I</w:t>
      </w:r>
      <w:r w:rsidRPr="00BA0FBF">
        <w:t xml:space="preserve">, </w:t>
      </w:r>
      <w:r w:rsidR="00302719">
        <w:t>v</w:t>
      </w:r>
      <w:r w:rsidRPr="00BA0FBF">
        <w:t>ol</w:t>
      </w:r>
      <w:r w:rsidR="00302719">
        <w:t>.</w:t>
      </w:r>
      <w:r w:rsidRPr="00BA0FBF">
        <w:t xml:space="preserve"> 7, </w:t>
      </w:r>
      <w:r w:rsidR="00302719">
        <w:t>n</w:t>
      </w:r>
      <w:r w:rsidRPr="00BA0FBF">
        <w:t>o</w:t>
      </w:r>
      <w:r w:rsidR="00302719">
        <w:t>.</w:t>
      </w:r>
      <w:r w:rsidRPr="00BA0FBF">
        <w:t xml:space="preserve"> 1, pp 17-32.</w:t>
      </w:r>
    </w:p>
    <w:p w:rsidR="00F95381" w:rsidRPr="00BA0FBF" w:rsidRDefault="00F95381" w:rsidP="00742476">
      <w:pPr>
        <w:pStyle w:val="BodyText"/>
      </w:pPr>
      <w:r w:rsidRPr="00BA0FBF">
        <w:t>I</w:t>
      </w:r>
      <w:r w:rsidR="00302719">
        <w:t xml:space="preserve">nternational </w:t>
      </w:r>
      <w:r w:rsidRPr="00BA0FBF">
        <w:t>M</w:t>
      </w:r>
      <w:r w:rsidR="00302719">
        <w:t xml:space="preserve">onetary </w:t>
      </w:r>
      <w:r w:rsidRPr="00BA0FBF">
        <w:t>F</w:t>
      </w:r>
      <w:r w:rsidR="00302719">
        <w:t>und</w:t>
      </w:r>
      <w:r w:rsidRPr="00BA0FBF">
        <w:t xml:space="preserve"> 2015a,</w:t>
      </w:r>
      <w:r w:rsidRPr="00684229">
        <w:rPr>
          <w:i/>
        </w:rPr>
        <w:t xml:space="preserve"> Australia: Staff Report for the 2015 Article IV Consultation</w:t>
      </w:r>
      <w:r w:rsidRPr="00BA0FBF">
        <w:t xml:space="preserve">, IMF Country Report </w:t>
      </w:r>
      <w:r w:rsidR="00302719">
        <w:t xml:space="preserve">No. </w:t>
      </w:r>
      <w:r w:rsidRPr="00BA0FBF">
        <w:t>15/274</w:t>
      </w:r>
      <w:r w:rsidR="00302719">
        <w:t>, IMF, Washington</w:t>
      </w:r>
      <w:r w:rsidRPr="00BA0FBF">
        <w:t>.</w:t>
      </w:r>
    </w:p>
    <w:p w:rsidR="00660999" w:rsidRPr="00BA0FBF" w:rsidRDefault="00F95381" w:rsidP="00742476">
      <w:pPr>
        <w:pStyle w:val="BodyText"/>
      </w:pPr>
      <w:r w:rsidRPr="00BA0FBF">
        <w:t>I</w:t>
      </w:r>
      <w:r w:rsidR="00302719">
        <w:t xml:space="preserve">nternational </w:t>
      </w:r>
      <w:r w:rsidRPr="00BA0FBF">
        <w:t>M</w:t>
      </w:r>
      <w:r w:rsidR="00302719">
        <w:t xml:space="preserve">onetary </w:t>
      </w:r>
      <w:r w:rsidRPr="00BA0FBF">
        <w:t>F</w:t>
      </w:r>
      <w:r w:rsidR="00302719">
        <w:t>und</w:t>
      </w:r>
      <w:r w:rsidRPr="00BA0FBF">
        <w:t xml:space="preserve"> 2015b, </w:t>
      </w:r>
      <w:r w:rsidRPr="00684229">
        <w:rPr>
          <w:i/>
        </w:rPr>
        <w:t>Options for Tax Policy and Federal Fiscal Relations Reform</w:t>
      </w:r>
      <w:r w:rsidRPr="00BA0FBF">
        <w:t>, IMF Country Report</w:t>
      </w:r>
      <w:r w:rsidR="00302719">
        <w:t xml:space="preserve"> No.</w:t>
      </w:r>
      <w:r w:rsidRPr="00BA0FBF">
        <w:t xml:space="preserve"> 15/275</w:t>
      </w:r>
      <w:r w:rsidR="00302719">
        <w:t>, IMF, Washington</w:t>
      </w:r>
      <w:r w:rsidRPr="00BA0FBF">
        <w:t>.</w:t>
      </w:r>
    </w:p>
    <w:p w:rsidR="00F95381" w:rsidRPr="00BA0FBF" w:rsidRDefault="00F95381" w:rsidP="00742476">
      <w:pPr>
        <w:pStyle w:val="BodyText"/>
      </w:pPr>
      <w:r w:rsidRPr="00BA0FBF">
        <w:t>O</w:t>
      </w:r>
      <w:r w:rsidR="00302719">
        <w:t xml:space="preserve">rganisation for </w:t>
      </w:r>
      <w:r w:rsidRPr="00BA0FBF">
        <w:t>E</w:t>
      </w:r>
      <w:r w:rsidR="00302719">
        <w:t xml:space="preserve">conomic </w:t>
      </w:r>
      <w:r w:rsidRPr="00BA0FBF">
        <w:t>C</w:t>
      </w:r>
      <w:r w:rsidR="00302719">
        <w:t xml:space="preserve">o-operation and </w:t>
      </w:r>
      <w:r w:rsidRPr="00BA0FBF">
        <w:t>D</w:t>
      </w:r>
      <w:r w:rsidR="00302719">
        <w:t>evelopment</w:t>
      </w:r>
      <w:r w:rsidRPr="00BA0FBF">
        <w:t xml:space="preserve"> 2010, </w:t>
      </w:r>
      <w:r w:rsidRPr="00684229">
        <w:rPr>
          <w:i/>
        </w:rPr>
        <w:t>Tax Policy Reform and Economic Growth</w:t>
      </w:r>
      <w:r w:rsidRPr="00BA0FBF">
        <w:t>, OECD Publishing.</w:t>
      </w:r>
    </w:p>
    <w:p w:rsidR="00F95381" w:rsidRPr="00BA0FBF" w:rsidRDefault="00F95381" w:rsidP="00742476">
      <w:pPr>
        <w:pStyle w:val="BodyText"/>
      </w:pPr>
      <w:r w:rsidRPr="00BA0FBF">
        <w:t>O</w:t>
      </w:r>
      <w:r w:rsidR="00302719">
        <w:t xml:space="preserve">rganisation for </w:t>
      </w:r>
      <w:r w:rsidRPr="00BA0FBF">
        <w:t>E</w:t>
      </w:r>
      <w:r w:rsidR="00302719">
        <w:t xml:space="preserve">conomic </w:t>
      </w:r>
      <w:r w:rsidRPr="00BA0FBF">
        <w:t>C</w:t>
      </w:r>
      <w:r w:rsidR="00302719">
        <w:t xml:space="preserve">o-operation and </w:t>
      </w:r>
      <w:r w:rsidRPr="00BA0FBF">
        <w:t>D</w:t>
      </w:r>
      <w:r w:rsidR="00302719">
        <w:t>evelopment</w:t>
      </w:r>
      <w:r w:rsidRPr="00BA0FBF">
        <w:t xml:space="preserve"> 2014a, </w:t>
      </w:r>
      <w:r w:rsidRPr="00684229">
        <w:rPr>
          <w:i/>
        </w:rPr>
        <w:t>OECD Economic Surveys: Australia</w:t>
      </w:r>
      <w:r w:rsidRPr="00BA0FBF">
        <w:t>, OECD Publishing.</w:t>
      </w:r>
    </w:p>
    <w:p w:rsidR="00F95381" w:rsidRPr="00BA0FBF" w:rsidRDefault="00F95381" w:rsidP="00742476">
      <w:pPr>
        <w:pStyle w:val="BodyText"/>
      </w:pPr>
      <w:r w:rsidRPr="00BA0FBF">
        <w:t>O</w:t>
      </w:r>
      <w:r w:rsidR="00302719">
        <w:t xml:space="preserve">rganisation for </w:t>
      </w:r>
      <w:r w:rsidRPr="00BA0FBF">
        <w:t>E</w:t>
      </w:r>
      <w:r w:rsidR="00302719">
        <w:t xml:space="preserve">conomic </w:t>
      </w:r>
      <w:r w:rsidRPr="00BA0FBF">
        <w:t>C</w:t>
      </w:r>
      <w:r w:rsidR="00302719">
        <w:t xml:space="preserve">o-operation and </w:t>
      </w:r>
      <w:r w:rsidRPr="00BA0FBF">
        <w:t>D</w:t>
      </w:r>
      <w:r w:rsidR="00302719">
        <w:t>evelopment</w:t>
      </w:r>
      <w:r w:rsidRPr="00BA0FBF">
        <w:t xml:space="preserve"> 2014b, </w:t>
      </w:r>
      <w:r w:rsidRPr="00684229">
        <w:rPr>
          <w:i/>
        </w:rPr>
        <w:t>The Distributional Effects of Consumption Taxes in OECD countries</w:t>
      </w:r>
      <w:r w:rsidRPr="00BA0FBF">
        <w:t xml:space="preserve">, OECD Tax Policy Studies, </w:t>
      </w:r>
      <w:r w:rsidR="00302719">
        <w:t>n</w:t>
      </w:r>
      <w:r w:rsidRPr="00BA0FBF">
        <w:t>o. 22, OECD Publishing.</w:t>
      </w:r>
    </w:p>
    <w:p w:rsidR="00F95381" w:rsidRPr="00BA0FBF" w:rsidRDefault="00F95381" w:rsidP="00742476">
      <w:pPr>
        <w:pStyle w:val="BodyText"/>
      </w:pPr>
      <w:r w:rsidRPr="00BA0FBF">
        <w:t>O</w:t>
      </w:r>
      <w:r w:rsidR="00302719">
        <w:t xml:space="preserve">rganisation for </w:t>
      </w:r>
      <w:r w:rsidRPr="00BA0FBF">
        <w:t>E</w:t>
      </w:r>
      <w:r w:rsidR="00302719">
        <w:t xml:space="preserve">conomic </w:t>
      </w:r>
      <w:r w:rsidRPr="00BA0FBF">
        <w:t>C</w:t>
      </w:r>
      <w:r w:rsidR="00302719">
        <w:t xml:space="preserve">o-operation and </w:t>
      </w:r>
      <w:r w:rsidRPr="00BA0FBF">
        <w:t>D</w:t>
      </w:r>
      <w:r w:rsidR="00302719">
        <w:t>evelopment</w:t>
      </w:r>
      <w:r w:rsidRPr="00BA0FBF">
        <w:t xml:space="preserve"> 2014c, </w:t>
      </w:r>
      <w:r w:rsidRPr="00684229">
        <w:rPr>
          <w:i/>
        </w:rPr>
        <w:t>Consumption Tax Trends 2014</w:t>
      </w:r>
      <w:r w:rsidRPr="00BA0FBF">
        <w:t>, OECD Publishing.</w:t>
      </w:r>
    </w:p>
    <w:p w:rsidR="00A95D28" w:rsidRPr="00BA0FBF" w:rsidRDefault="00A95D28" w:rsidP="00742476">
      <w:pPr>
        <w:pStyle w:val="BodyText"/>
      </w:pPr>
      <w:r w:rsidRPr="00BA0FBF">
        <w:t>O</w:t>
      </w:r>
      <w:r w:rsidR="00302719">
        <w:t xml:space="preserve">rganisation for </w:t>
      </w:r>
      <w:r w:rsidRPr="00BA0FBF">
        <w:t>E</w:t>
      </w:r>
      <w:r w:rsidR="00302719">
        <w:t xml:space="preserve">conomic </w:t>
      </w:r>
      <w:r w:rsidRPr="00BA0FBF">
        <w:t>C</w:t>
      </w:r>
      <w:r w:rsidR="00302719">
        <w:t xml:space="preserve">o-operation and </w:t>
      </w:r>
      <w:r w:rsidRPr="00BA0FBF">
        <w:t>D</w:t>
      </w:r>
      <w:r w:rsidR="00302719">
        <w:t>evelopment</w:t>
      </w:r>
      <w:r w:rsidR="00F114D2" w:rsidRPr="00BA0FBF">
        <w:t xml:space="preserve"> </w:t>
      </w:r>
      <w:r w:rsidRPr="00BA0FBF">
        <w:t>2015</w:t>
      </w:r>
      <w:r w:rsidR="00F114D2" w:rsidRPr="00BA0FBF">
        <w:t>a</w:t>
      </w:r>
      <w:r w:rsidRPr="00BA0FBF">
        <w:t xml:space="preserve">, </w:t>
      </w:r>
      <w:r w:rsidRPr="00684229">
        <w:rPr>
          <w:i/>
        </w:rPr>
        <w:t>Revenue Statistics</w:t>
      </w:r>
      <w:r w:rsidR="00302719">
        <w:t>, OECD Publishing</w:t>
      </w:r>
      <w:r w:rsidRPr="00BA0FBF">
        <w:t>.</w:t>
      </w:r>
    </w:p>
    <w:p w:rsidR="00F114D2" w:rsidRPr="00BA0FBF" w:rsidRDefault="00F114D2" w:rsidP="00742476">
      <w:pPr>
        <w:pStyle w:val="BodyText"/>
      </w:pPr>
      <w:r w:rsidRPr="00BA0FBF">
        <w:t>O</w:t>
      </w:r>
      <w:r w:rsidR="00302719">
        <w:t xml:space="preserve">rganisation for </w:t>
      </w:r>
      <w:r w:rsidRPr="00BA0FBF">
        <w:t>E</w:t>
      </w:r>
      <w:r w:rsidR="00302719">
        <w:t xml:space="preserve">conomic </w:t>
      </w:r>
      <w:r w:rsidRPr="00BA0FBF">
        <w:t>C</w:t>
      </w:r>
      <w:r w:rsidR="00302719">
        <w:t xml:space="preserve">o-operation and </w:t>
      </w:r>
      <w:r w:rsidRPr="00BA0FBF">
        <w:t>D</w:t>
      </w:r>
      <w:r w:rsidR="00302719">
        <w:t>evelopment</w:t>
      </w:r>
      <w:r w:rsidRPr="00BA0FBF">
        <w:t xml:space="preserve"> 2015b, </w:t>
      </w:r>
      <w:r w:rsidRPr="00684229">
        <w:rPr>
          <w:i/>
        </w:rPr>
        <w:t>In It Together: Why Less Inequality Benefits All</w:t>
      </w:r>
      <w:r w:rsidRPr="00BA0FBF">
        <w:t>, OECD Publishing, Paris</w:t>
      </w:r>
      <w:r w:rsidR="00D0289A">
        <w:t>.</w:t>
      </w:r>
    </w:p>
    <w:p w:rsidR="00F95381" w:rsidRPr="00BA0FBF" w:rsidRDefault="00F95381" w:rsidP="00742476">
      <w:pPr>
        <w:pStyle w:val="BodyText"/>
      </w:pPr>
      <w:r w:rsidRPr="00BA0FBF">
        <w:t xml:space="preserve">Parliamentary Budget Office 2014, </w:t>
      </w:r>
      <w:r w:rsidRPr="00684229">
        <w:rPr>
          <w:i/>
        </w:rPr>
        <w:t>Trends in Australian Government Receipts: 1982–83 to 2012–13</w:t>
      </w:r>
      <w:r w:rsidRPr="00BA0FBF">
        <w:t>, PBO, Canberra.</w:t>
      </w:r>
    </w:p>
    <w:p w:rsidR="00F114D2" w:rsidRPr="00BA0FBF" w:rsidRDefault="00F114D2" w:rsidP="00742476">
      <w:pPr>
        <w:pStyle w:val="BodyText"/>
      </w:pPr>
      <w:r w:rsidRPr="00BA0FBF">
        <w:t xml:space="preserve">Phillips, B </w:t>
      </w:r>
      <w:r w:rsidR="00302719">
        <w:t>&amp;</w:t>
      </w:r>
      <w:r w:rsidRPr="00BA0FBF">
        <w:t xml:space="preserve"> Taylor, M 2015, </w:t>
      </w:r>
      <w:r w:rsidRPr="00684229">
        <w:rPr>
          <w:i/>
        </w:rPr>
        <w:t>The Distributional Impact of the GST</w:t>
      </w:r>
      <w:r w:rsidRPr="00BA0FBF">
        <w:t>, National Centre for Social and Economic Modelling, University of Canberra</w:t>
      </w:r>
      <w:r w:rsidR="00797262">
        <w:t>, Canberra</w:t>
      </w:r>
      <w:r w:rsidRPr="00BA0FBF">
        <w:t>.</w:t>
      </w:r>
    </w:p>
    <w:p w:rsidR="00660999" w:rsidRPr="00BA0FBF" w:rsidRDefault="00660999" w:rsidP="00742476">
      <w:pPr>
        <w:pStyle w:val="BodyText"/>
      </w:pPr>
      <w:r w:rsidRPr="00BA0FBF">
        <w:t xml:space="preserve">Productivity Commission 2015, </w:t>
      </w:r>
      <w:r w:rsidRPr="00684229">
        <w:rPr>
          <w:i/>
        </w:rPr>
        <w:t>Tax and Transfer Incidence in Australia</w:t>
      </w:r>
      <w:r w:rsidRPr="00BA0FBF">
        <w:t xml:space="preserve">, Commission Working Paper, </w:t>
      </w:r>
      <w:r w:rsidR="00302719">
        <w:t>Canberra</w:t>
      </w:r>
      <w:r w:rsidRPr="00BA0FBF">
        <w:t>.</w:t>
      </w:r>
    </w:p>
    <w:p w:rsidR="00691EC2" w:rsidRDefault="001F3383" w:rsidP="00742476">
      <w:pPr>
        <w:pStyle w:val="BodyText"/>
        <w:sectPr w:rsidR="00691EC2" w:rsidSect="00BA0FBF">
          <w:headerReference w:type="even" r:id="rId57"/>
          <w:headerReference w:type="default" r:id="rId58"/>
          <w:footerReference w:type="even" r:id="rId59"/>
          <w:footerReference w:type="default" r:id="rId60"/>
          <w:headerReference w:type="first" r:id="rId61"/>
          <w:footerReference w:type="first" r:id="rId62"/>
          <w:pgSz w:w="11907" w:h="16839" w:code="9"/>
          <w:pgMar w:top="1361" w:right="1797" w:bottom="1474" w:left="1797" w:header="283" w:footer="454" w:gutter="0"/>
          <w:cols w:space="708"/>
          <w:docGrid w:linePitch="360"/>
        </w:sectPr>
      </w:pPr>
      <w:r w:rsidRPr="00BA0FBF">
        <w:t xml:space="preserve">Warren, N, Harding, A, Robinson, M, Lambert, S </w:t>
      </w:r>
      <w:r w:rsidR="00302719">
        <w:t>&amp;</w:t>
      </w:r>
      <w:r w:rsidRPr="00BA0FBF">
        <w:t xml:space="preserve"> Beer, G 1999, </w:t>
      </w:r>
      <w:r w:rsidRPr="00684229">
        <w:rPr>
          <w:i/>
        </w:rPr>
        <w:t>Distributional Impact of Possible Tax Reform Packages, Report to Senate Select C</w:t>
      </w:r>
      <w:r w:rsidR="00D0289A" w:rsidRPr="00684229">
        <w:rPr>
          <w:i/>
        </w:rPr>
        <w:t>ommittee on a New Tax System</w:t>
      </w:r>
      <w:r w:rsidR="00D0289A">
        <w:t xml:space="preserve">, </w:t>
      </w:r>
      <w:r w:rsidR="00302719">
        <w:t>National Centre for Social and Economic Modelling, University of Canberra, Canberra</w:t>
      </w:r>
      <w:r w:rsidRPr="00BA0FBF">
        <w:t>.</w:t>
      </w:r>
    </w:p>
    <w:p w:rsidR="00691EC2" w:rsidRDefault="00691EC2" w:rsidP="00691EC2">
      <w:pPr>
        <w:pStyle w:val="Heading1NoNumbering"/>
        <w:spacing w:before="0"/>
      </w:pPr>
      <w:bookmarkStart w:id="253" w:name="_Toc437429859"/>
      <w:bookmarkStart w:id="254" w:name="_LOF"/>
      <w:r>
        <w:t>List of figures</w:t>
      </w:r>
      <w:bookmarkEnd w:id="253"/>
    </w:p>
    <w:p w:rsidR="00691EC2" w:rsidRDefault="00691EC2" w:rsidP="00691EC2">
      <w:pPr>
        <w:pStyle w:val="TableofFigures"/>
        <w:tabs>
          <w:tab w:val="left" w:pos="851"/>
          <w:tab w:val="left" w:pos="1134"/>
        </w:tabs>
        <w:rPr>
          <w:rFonts w:eastAsiaTheme="minorEastAsia"/>
          <w:noProof/>
          <w:lang w:eastAsia="en-AU"/>
        </w:rPr>
      </w:pPr>
      <w:r>
        <w:fldChar w:fldCharType="begin"/>
      </w:r>
      <w:r>
        <w:instrText xml:space="preserve"> TOC \c "Figure" \w \h \* MERGEFORMAT </w:instrText>
      </w:r>
      <w:r>
        <w:fldChar w:fldCharType="separate"/>
      </w:r>
      <w:hyperlink w:anchor="_Toc437429579" w:history="1">
        <w:r w:rsidRPr="00DB3A31">
          <w:rPr>
            <w:rStyle w:val="Hyperlink"/>
            <w:noProof/>
          </w:rPr>
          <w:t>Figure 3–1:</w:t>
        </w:r>
        <w:r>
          <w:rPr>
            <w:rStyle w:val="Hyperlink"/>
            <w:noProof/>
          </w:rPr>
          <w:tab/>
        </w:r>
        <w:r w:rsidRPr="00DB3A31">
          <w:rPr>
            <w:rStyle w:val="Hyperlink"/>
            <w:noProof/>
          </w:rPr>
          <w:t>Distribution of household income and expenditure</w:t>
        </w:r>
        <w:r>
          <w:rPr>
            <w:noProof/>
          </w:rPr>
          <w:tab/>
        </w:r>
        <w:r>
          <w:rPr>
            <w:noProof/>
          </w:rPr>
          <w:fldChar w:fldCharType="begin"/>
        </w:r>
        <w:r>
          <w:rPr>
            <w:noProof/>
          </w:rPr>
          <w:instrText xml:space="preserve"> PAGEREF _Toc437429579 \h </w:instrText>
        </w:r>
        <w:r>
          <w:rPr>
            <w:noProof/>
          </w:rPr>
        </w:r>
        <w:r>
          <w:rPr>
            <w:noProof/>
          </w:rPr>
          <w:fldChar w:fldCharType="separate"/>
        </w:r>
        <w:r w:rsidR="00076CF9">
          <w:rPr>
            <w:noProof/>
          </w:rPr>
          <w:t>8</w:t>
        </w:r>
        <w:r>
          <w:rPr>
            <w:noProof/>
          </w:rPr>
          <w:fldChar w:fldCharType="end"/>
        </w:r>
      </w:hyperlink>
    </w:p>
    <w:p w:rsidR="00691EC2" w:rsidRDefault="00E62C4F" w:rsidP="00691EC2">
      <w:pPr>
        <w:pStyle w:val="TableofFigures"/>
        <w:tabs>
          <w:tab w:val="left" w:pos="1134"/>
        </w:tabs>
        <w:rPr>
          <w:rFonts w:eastAsiaTheme="minorEastAsia"/>
          <w:noProof/>
          <w:lang w:eastAsia="en-AU"/>
        </w:rPr>
      </w:pPr>
      <w:hyperlink w:anchor="_Toc437429580" w:history="1">
        <w:r w:rsidR="00691EC2" w:rsidRPr="00DB3A31">
          <w:rPr>
            <w:rStyle w:val="Hyperlink"/>
            <w:noProof/>
          </w:rPr>
          <w:t>Figure 3–2:</w:t>
        </w:r>
        <w:r w:rsidR="00691EC2">
          <w:rPr>
            <w:rStyle w:val="Hyperlink"/>
            <w:noProof/>
          </w:rPr>
          <w:tab/>
        </w:r>
        <w:r w:rsidR="00691EC2" w:rsidRPr="00DB3A31">
          <w:rPr>
            <w:rStyle w:val="Hyperlink"/>
            <w:noProof/>
          </w:rPr>
          <w:t>Distribution of household saving</w:t>
        </w:r>
        <w:r w:rsidR="00691EC2">
          <w:rPr>
            <w:noProof/>
          </w:rPr>
          <w:tab/>
        </w:r>
        <w:r w:rsidR="00691EC2">
          <w:rPr>
            <w:noProof/>
          </w:rPr>
          <w:fldChar w:fldCharType="begin"/>
        </w:r>
        <w:r w:rsidR="00691EC2">
          <w:rPr>
            <w:noProof/>
          </w:rPr>
          <w:instrText xml:space="preserve"> PAGEREF _Toc437429580 \h </w:instrText>
        </w:r>
        <w:r w:rsidR="00691EC2">
          <w:rPr>
            <w:noProof/>
          </w:rPr>
        </w:r>
        <w:r w:rsidR="00691EC2">
          <w:rPr>
            <w:noProof/>
          </w:rPr>
          <w:fldChar w:fldCharType="separate"/>
        </w:r>
        <w:r w:rsidR="00076CF9">
          <w:rPr>
            <w:noProof/>
          </w:rPr>
          <w:t>9</w:t>
        </w:r>
        <w:r w:rsidR="00691EC2">
          <w:rPr>
            <w:noProof/>
          </w:rPr>
          <w:fldChar w:fldCharType="end"/>
        </w:r>
      </w:hyperlink>
    </w:p>
    <w:p w:rsidR="00691EC2" w:rsidRDefault="00E62C4F" w:rsidP="00691EC2">
      <w:pPr>
        <w:pStyle w:val="TableofFigures"/>
        <w:tabs>
          <w:tab w:val="left" w:pos="1134"/>
        </w:tabs>
        <w:rPr>
          <w:rFonts w:eastAsiaTheme="minorEastAsia"/>
          <w:noProof/>
          <w:lang w:eastAsia="en-AU"/>
        </w:rPr>
      </w:pPr>
      <w:hyperlink w:anchor="_Toc437429581" w:history="1">
        <w:r w:rsidR="00691EC2" w:rsidRPr="00DB3A31">
          <w:rPr>
            <w:rStyle w:val="Hyperlink"/>
            <w:noProof/>
          </w:rPr>
          <w:t>Figure 3–3:</w:t>
        </w:r>
        <w:r w:rsidR="00691EC2">
          <w:rPr>
            <w:rStyle w:val="Hyperlink"/>
            <w:noProof/>
          </w:rPr>
          <w:tab/>
        </w:r>
        <w:r w:rsidR="00691EC2" w:rsidRPr="00DB3A31">
          <w:rPr>
            <w:rStyle w:val="Hyperlink"/>
            <w:noProof/>
          </w:rPr>
          <w:t>Distributional impact of the GST</w:t>
        </w:r>
        <w:r w:rsidR="00691EC2">
          <w:rPr>
            <w:noProof/>
          </w:rPr>
          <w:tab/>
        </w:r>
        <w:r w:rsidR="00691EC2">
          <w:rPr>
            <w:noProof/>
          </w:rPr>
          <w:fldChar w:fldCharType="begin"/>
        </w:r>
        <w:r w:rsidR="00691EC2">
          <w:rPr>
            <w:noProof/>
          </w:rPr>
          <w:instrText xml:space="preserve"> PAGEREF _Toc437429581 \h </w:instrText>
        </w:r>
        <w:r w:rsidR="00691EC2">
          <w:rPr>
            <w:noProof/>
          </w:rPr>
        </w:r>
        <w:r w:rsidR="00691EC2">
          <w:rPr>
            <w:noProof/>
          </w:rPr>
          <w:fldChar w:fldCharType="separate"/>
        </w:r>
        <w:r w:rsidR="00076CF9">
          <w:rPr>
            <w:noProof/>
          </w:rPr>
          <w:t>10</w:t>
        </w:r>
        <w:r w:rsidR="00691EC2">
          <w:rPr>
            <w:noProof/>
          </w:rPr>
          <w:fldChar w:fldCharType="end"/>
        </w:r>
      </w:hyperlink>
    </w:p>
    <w:p w:rsidR="00691EC2" w:rsidRDefault="00E62C4F" w:rsidP="00691EC2">
      <w:pPr>
        <w:pStyle w:val="TableofFigures"/>
        <w:tabs>
          <w:tab w:val="left" w:pos="1134"/>
        </w:tabs>
        <w:rPr>
          <w:rFonts w:eastAsiaTheme="minorEastAsia"/>
          <w:noProof/>
          <w:lang w:eastAsia="en-AU"/>
        </w:rPr>
      </w:pPr>
      <w:hyperlink w:anchor="_Toc437429582" w:history="1">
        <w:r w:rsidR="00691EC2" w:rsidRPr="00DB3A31">
          <w:rPr>
            <w:rStyle w:val="Hyperlink"/>
            <w:noProof/>
          </w:rPr>
          <w:t>Figure 3–4:</w:t>
        </w:r>
        <w:r w:rsidR="00691EC2">
          <w:rPr>
            <w:rStyle w:val="Hyperlink"/>
            <w:noProof/>
          </w:rPr>
          <w:tab/>
        </w:r>
        <w:r w:rsidR="00691EC2" w:rsidRPr="00DB3A31">
          <w:rPr>
            <w:rStyle w:val="Hyperlink"/>
            <w:noProof/>
          </w:rPr>
          <w:t>Distribution of GST concession on basic food</w:t>
        </w:r>
        <w:r w:rsidR="00691EC2">
          <w:rPr>
            <w:noProof/>
          </w:rPr>
          <w:tab/>
        </w:r>
        <w:r w:rsidR="00691EC2">
          <w:rPr>
            <w:noProof/>
          </w:rPr>
          <w:fldChar w:fldCharType="begin"/>
        </w:r>
        <w:r w:rsidR="00691EC2">
          <w:rPr>
            <w:noProof/>
          </w:rPr>
          <w:instrText xml:space="preserve"> PAGEREF _Toc437429582 \h </w:instrText>
        </w:r>
        <w:r w:rsidR="00691EC2">
          <w:rPr>
            <w:noProof/>
          </w:rPr>
        </w:r>
        <w:r w:rsidR="00691EC2">
          <w:rPr>
            <w:noProof/>
          </w:rPr>
          <w:fldChar w:fldCharType="separate"/>
        </w:r>
        <w:r w:rsidR="00076CF9">
          <w:rPr>
            <w:noProof/>
          </w:rPr>
          <w:t>11</w:t>
        </w:r>
        <w:r w:rsidR="00691EC2">
          <w:rPr>
            <w:noProof/>
          </w:rPr>
          <w:fldChar w:fldCharType="end"/>
        </w:r>
      </w:hyperlink>
    </w:p>
    <w:p w:rsidR="00691EC2" w:rsidRDefault="00E62C4F" w:rsidP="00691EC2">
      <w:pPr>
        <w:pStyle w:val="TableofFigures"/>
        <w:tabs>
          <w:tab w:val="left" w:pos="1134"/>
        </w:tabs>
        <w:rPr>
          <w:rFonts w:eastAsiaTheme="minorEastAsia"/>
          <w:noProof/>
          <w:lang w:eastAsia="en-AU"/>
        </w:rPr>
      </w:pPr>
      <w:hyperlink w:anchor="_Toc437429583" w:history="1">
        <w:r w:rsidR="00691EC2" w:rsidRPr="00DB3A31">
          <w:rPr>
            <w:rStyle w:val="Hyperlink"/>
            <w:noProof/>
          </w:rPr>
          <w:t>Figure 3–5:</w:t>
        </w:r>
        <w:r w:rsidR="00691EC2">
          <w:rPr>
            <w:rStyle w:val="Hyperlink"/>
            <w:noProof/>
          </w:rPr>
          <w:tab/>
        </w:r>
        <w:r w:rsidR="00691EC2" w:rsidRPr="00DB3A31">
          <w:rPr>
            <w:rStyle w:val="Hyperlink"/>
            <w:noProof/>
          </w:rPr>
          <w:t>Distribution of GST concession on health and medical care</w:t>
        </w:r>
        <w:r w:rsidR="00691EC2">
          <w:rPr>
            <w:noProof/>
          </w:rPr>
          <w:tab/>
        </w:r>
        <w:r w:rsidR="00691EC2">
          <w:rPr>
            <w:noProof/>
          </w:rPr>
          <w:fldChar w:fldCharType="begin"/>
        </w:r>
        <w:r w:rsidR="00691EC2">
          <w:rPr>
            <w:noProof/>
          </w:rPr>
          <w:instrText xml:space="preserve"> PAGEREF _Toc437429583 \h </w:instrText>
        </w:r>
        <w:r w:rsidR="00691EC2">
          <w:rPr>
            <w:noProof/>
          </w:rPr>
        </w:r>
        <w:r w:rsidR="00691EC2">
          <w:rPr>
            <w:noProof/>
          </w:rPr>
          <w:fldChar w:fldCharType="separate"/>
        </w:r>
        <w:r w:rsidR="00076CF9">
          <w:rPr>
            <w:noProof/>
          </w:rPr>
          <w:t>13</w:t>
        </w:r>
        <w:r w:rsidR="00691EC2">
          <w:rPr>
            <w:noProof/>
          </w:rPr>
          <w:fldChar w:fldCharType="end"/>
        </w:r>
      </w:hyperlink>
    </w:p>
    <w:p w:rsidR="00691EC2" w:rsidRDefault="00E62C4F" w:rsidP="00691EC2">
      <w:pPr>
        <w:pStyle w:val="TableofFigures"/>
        <w:tabs>
          <w:tab w:val="left" w:pos="1134"/>
        </w:tabs>
        <w:rPr>
          <w:rFonts w:eastAsiaTheme="minorEastAsia"/>
          <w:noProof/>
          <w:lang w:eastAsia="en-AU"/>
        </w:rPr>
      </w:pPr>
      <w:hyperlink w:anchor="_Toc437429584" w:history="1">
        <w:r w:rsidR="00691EC2" w:rsidRPr="00DB3A31">
          <w:rPr>
            <w:rStyle w:val="Hyperlink"/>
            <w:noProof/>
          </w:rPr>
          <w:t>Figure 3–6:</w:t>
        </w:r>
        <w:r w:rsidR="00691EC2">
          <w:rPr>
            <w:rStyle w:val="Hyperlink"/>
            <w:noProof/>
          </w:rPr>
          <w:tab/>
        </w:r>
        <w:r w:rsidR="00691EC2" w:rsidRPr="00DB3A31">
          <w:rPr>
            <w:rStyle w:val="Hyperlink"/>
            <w:noProof/>
          </w:rPr>
          <w:t>Distribution of GST concession on education</w:t>
        </w:r>
        <w:r w:rsidR="00691EC2">
          <w:rPr>
            <w:noProof/>
          </w:rPr>
          <w:tab/>
        </w:r>
        <w:r w:rsidR="00691EC2">
          <w:rPr>
            <w:noProof/>
          </w:rPr>
          <w:fldChar w:fldCharType="begin"/>
        </w:r>
        <w:r w:rsidR="00691EC2">
          <w:rPr>
            <w:noProof/>
          </w:rPr>
          <w:instrText xml:space="preserve"> PAGEREF _Toc437429584 \h </w:instrText>
        </w:r>
        <w:r w:rsidR="00691EC2">
          <w:rPr>
            <w:noProof/>
          </w:rPr>
        </w:r>
        <w:r w:rsidR="00691EC2">
          <w:rPr>
            <w:noProof/>
          </w:rPr>
          <w:fldChar w:fldCharType="separate"/>
        </w:r>
        <w:r w:rsidR="00076CF9">
          <w:rPr>
            <w:noProof/>
          </w:rPr>
          <w:t>14</w:t>
        </w:r>
        <w:r w:rsidR="00691EC2">
          <w:rPr>
            <w:noProof/>
          </w:rPr>
          <w:fldChar w:fldCharType="end"/>
        </w:r>
      </w:hyperlink>
    </w:p>
    <w:p w:rsidR="00691EC2" w:rsidRDefault="00E62C4F" w:rsidP="00691EC2">
      <w:pPr>
        <w:pStyle w:val="TableofFigures"/>
        <w:tabs>
          <w:tab w:val="left" w:pos="1134"/>
        </w:tabs>
        <w:rPr>
          <w:rFonts w:eastAsiaTheme="minorEastAsia"/>
          <w:noProof/>
          <w:lang w:eastAsia="en-AU"/>
        </w:rPr>
      </w:pPr>
      <w:hyperlink w:anchor="_Toc437429585" w:history="1">
        <w:r w:rsidR="00691EC2" w:rsidRPr="00DB3A31">
          <w:rPr>
            <w:rStyle w:val="Hyperlink"/>
            <w:noProof/>
          </w:rPr>
          <w:t>Figure 3–7:</w:t>
        </w:r>
        <w:r w:rsidR="00691EC2">
          <w:rPr>
            <w:rStyle w:val="Hyperlink"/>
            <w:noProof/>
          </w:rPr>
          <w:tab/>
        </w:r>
        <w:r w:rsidR="00691EC2" w:rsidRPr="00DB3A31">
          <w:rPr>
            <w:rStyle w:val="Hyperlink"/>
            <w:noProof/>
          </w:rPr>
          <w:t>Distribution of GST concession on child care</w:t>
        </w:r>
        <w:r w:rsidR="00691EC2">
          <w:rPr>
            <w:noProof/>
          </w:rPr>
          <w:tab/>
        </w:r>
        <w:r w:rsidR="00691EC2">
          <w:rPr>
            <w:noProof/>
          </w:rPr>
          <w:fldChar w:fldCharType="begin"/>
        </w:r>
        <w:r w:rsidR="00691EC2">
          <w:rPr>
            <w:noProof/>
          </w:rPr>
          <w:instrText xml:space="preserve"> PAGEREF _Toc437429585 \h </w:instrText>
        </w:r>
        <w:r w:rsidR="00691EC2">
          <w:rPr>
            <w:noProof/>
          </w:rPr>
        </w:r>
        <w:r w:rsidR="00691EC2">
          <w:rPr>
            <w:noProof/>
          </w:rPr>
          <w:fldChar w:fldCharType="separate"/>
        </w:r>
        <w:r w:rsidR="00076CF9">
          <w:rPr>
            <w:noProof/>
          </w:rPr>
          <w:t>15</w:t>
        </w:r>
        <w:r w:rsidR="00691EC2">
          <w:rPr>
            <w:noProof/>
          </w:rPr>
          <w:fldChar w:fldCharType="end"/>
        </w:r>
      </w:hyperlink>
    </w:p>
    <w:p w:rsidR="00691EC2" w:rsidRDefault="00E62C4F" w:rsidP="00691EC2">
      <w:pPr>
        <w:pStyle w:val="TableofFigures"/>
        <w:tabs>
          <w:tab w:val="left" w:pos="1134"/>
        </w:tabs>
        <w:rPr>
          <w:rFonts w:eastAsiaTheme="minorEastAsia"/>
          <w:noProof/>
          <w:lang w:eastAsia="en-AU"/>
        </w:rPr>
      </w:pPr>
      <w:hyperlink w:anchor="_Toc437429586" w:history="1">
        <w:r w:rsidR="00691EC2" w:rsidRPr="00DB3A31">
          <w:rPr>
            <w:rStyle w:val="Hyperlink"/>
            <w:noProof/>
          </w:rPr>
          <w:t>Figure 3–8:</w:t>
        </w:r>
        <w:r w:rsidR="00691EC2">
          <w:rPr>
            <w:rStyle w:val="Hyperlink"/>
            <w:noProof/>
          </w:rPr>
          <w:tab/>
        </w:r>
        <w:r w:rsidR="00691EC2" w:rsidRPr="00DB3A31">
          <w:rPr>
            <w:rStyle w:val="Hyperlink"/>
            <w:noProof/>
          </w:rPr>
          <w:t>Distribution of GST concession on water and sewerage</w:t>
        </w:r>
        <w:r w:rsidR="00691EC2">
          <w:rPr>
            <w:noProof/>
          </w:rPr>
          <w:tab/>
        </w:r>
        <w:r w:rsidR="00691EC2">
          <w:rPr>
            <w:noProof/>
          </w:rPr>
          <w:fldChar w:fldCharType="begin"/>
        </w:r>
        <w:r w:rsidR="00691EC2">
          <w:rPr>
            <w:noProof/>
          </w:rPr>
          <w:instrText xml:space="preserve"> PAGEREF _Toc437429586 \h </w:instrText>
        </w:r>
        <w:r w:rsidR="00691EC2">
          <w:rPr>
            <w:noProof/>
          </w:rPr>
        </w:r>
        <w:r w:rsidR="00691EC2">
          <w:rPr>
            <w:noProof/>
          </w:rPr>
          <w:fldChar w:fldCharType="separate"/>
        </w:r>
        <w:r w:rsidR="00076CF9">
          <w:rPr>
            <w:noProof/>
          </w:rPr>
          <w:t>16</w:t>
        </w:r>
        <w:r w:rsidR="00691EC2">
          <w:rPr>
            <w:noProof/>
          </w:rPr>
          <w:fldChar w:fldCharType="end"/>
        </w:r>
      </w:hyperlink>
    </w:p>
    <w:p w:rsidR="00691EC2" w:rsidRDefault="00E62C4F" w:rsidP="00691EC2">
      <w:pPr>
        <w:pStyle w:val="TableofFigures"/>
        <w:tabs>
          <w:tab w:val="left" w:pos="1134"/>
        </w:tabs>
        <w:rPr>
          <w:rFonts w:eastAsiaTheme="minorEastAsia"/>
          <w:noProof/>
          <w:lang w:eastAsia="en-AU"/>
        </w:rPr>
      </w:pPr>
      <w:hyperlink w:anchor="_Toc437429587" w:history="1">
        <w:r w:rsidR="00691EC2" w:rsidRPr="00DB3A31">
          <w:rPr>
            <w:rStyle w:val="Hyperlink"/>
            <w:noProof/>
          </w:rPr>
          <w:t>Figure 3–9:</w:t>
        </w:r>
        <w:r w:rsidR="00691EC2">
          <w:rPr>
            <w:rStyle w:val="Hyperlink"/>
            <w:noProof/>
          </w:rPr>
          <w:tab/>
        </w:r>
        <w:r w:rsidR="00691EC2" w:rsidRPr="00DB3A31">
          <w:rPr>
            <w:rStyle w:val="Hyperlink"/>
            <w:noProof/>
          </w:rPr>
          <w:t>Overall distribution of GST concessions</w:t>
        </w:r>
        <w:r w:rsidR="00691EC2">
          <w:rPr>
            <w:noProof/>
          </w:rPr>
          <w:tab/>
        </w:r>
        <w:r w:rsidR="00691EC2">
          <w:rPr>
            <w:noProof/>
          </w:rPr>
          <w:fldChar w:fldCharType="begin"/>
        </w:r>
        <w:r w:rsidR="00691EC2">
          <w:rPr>
            <w:noProof/>
          </w:rPr>
          <w:instrText xml:space="preserve"> PAGEREF _Toc437429587 \h </w:instrText>
        </w:r>
        <w:r w:rsidR="00691EC2">
          <w:rPr>
            <w:noProof/>
          </w:rPr>
        </w:r>
        <w:r w:rsidR="00691EC2">
          <w:rPr>
            <w:noProof/>
          </w:rPr>
          <w:fldChar w:fldCharType="separate"/>
        </w:r>
        <w:r w:rsidR="00076CF9">
          <w:rPr>
            <w:noProof/>
          </w:rPr>
          <w:t>17</w:t>
        </w:r>
        <w:r w:rsidR="00691EC2">
          <w:rPr>
            <w:noProof/>
          </w:rPr>
          <w:fldChar w:fldCharType="end"/>
        </w:r>
      </w:hyperlink>
    </w:p>
    <w:p w:rsidR="00691EC2" w:rsidRDefault="00E62C4F" w:rsidP="00691EC2">
      <w:pPr>
        <w:pStyle w:val="TableofFigures"/>
        <w:tabs>
          <w:tab w:val="left" w:pos="1134"/>
        </w:tabs>
        <w:rPr>
          <w:rFonts w:eastAsiaTheme="minorEastAsia"/>
          <w:noProof/>
          <w:lang w:eastAsia="en-AU"/>
        </w:rPr>
      </w:pPr>
      <w:hyperlink w:anchor="_Toc437429588" w:history="1">
        <w:r w:rsidR="00691EC2" w:rsidRPr="00DB3A31">
          <w:rPr>
            <w:rStyle w:val="Hyperlink"/>
            <w:noProof/>
          </w:rPr>
          <w:t>Figure 4–1:</w:t>
        </w:r>
        <w:r w:rsidR="00691EC2">
          <w:rPr>
            <w:rStyle w:val="Hyperlink"/>
            <w:noProof/>
          </w:rPr>
          <w:tab/>
        </w:r>
        <w:r w:rsidR="00691EC2" w:rsidRPr="00DB3A31">
          <w:rPr>
            <w:rStyle w:val="Hyperlink"/>
            <w:noProof/>
          </w:rPr>
          <w:t>Distributional impact of Scenario 1 (basic food subject to GST)</w:t>
        </w:r>
        <w:r w:rsidR="00691EC2">
          <w:rPr>
            <w:noProof/>
          </w:rPr>
          <w:tab/>
        </w:r>
        <w:r w:rsidR="00691EC2">
          <w:rPr>
            <w:noProof/>
          </w:rPr>
          <w:fldChar w:fldCharType="begin"/>
        </w:r>
        <w:r w:rsidR="00691EC2">
          <w:rPr>
            <w:noProof/>
          </w:rPr>
          <w:instrText xml:space="preserve"> PAGEREF _Toc437429588 \h </w:instrText>
        </w:r>
        <w:r w:rsidR="00691EC2">
          <w:rPr>
            <w:noProof/>
          </w:rPr>
        </w:r>
        <w:r w:rsidR="00691EC2">
          <w:rPr>
            <w:noProof/>
          </w:rPr>
          <w:fldChar w:fldCharType="separate"/>
        </w:r>
        <w:r w:rsidR="00076CF9">
          <w:rPr>
            <w:noProof/>
          </w:rPr>
          <w:t>22</w:t>
        </w:r>
        <w:r w:rsidR="00691EC2">
          <w:rPr>
            <w:noProof/>
          </w:rPr>
          <w:fldChar w:fldCharType="end"/>
        </w:r>
      </w:hyperlink>
    </w:p>
    <w:p w:rsidR="00691EC2" w:rsidRDefault="00E62C4F" w:rsidP="00022DFE">
      <w:pPr>
        <w:pStyle w:val="TableofFigures"/>
        <w:ind w:left="1134" w:hanging="1134"/>
        <w:rPr>
          <w:rFonts w:eastAsiaTheme="minorEastAsia"/>
          <w:noProof/>
          <w:lang w:eastAsia="en-AU"/>
        </w:rPr>
      </w:pPr>
      <w:hyperlink w:anchor="_Toc437429589" w:history="1">
        <w:r w:rsidR="00691EC2" w:rsidRPr="00DB3A31">
          <w:rPr>
            <w:rStyle w:val="Hyperlink"/>
            <w:noProof/>
          </w:rPr>
          <w:t>Figure 4–2:</w:t>
        </w:r>
        <w:r w:rsidR="00022DFE">
          <w:rPr>
            <w:rStyle w:val="Hyperlink"/>
            <w:noProof/>
          </w:rPr>
          <w:tab/>
        </w:r>
        <w:r w:rsidR="00691EC2" w:rsidRPr="00DB3A31">
          <w:rPr>
            <w:rStyle w:val="Hyperlink"/>
            <w:noProof/>
          </w:rPr>
          <w:t xml:space="preserve">Distributional impact of Scenario 2 (remove concessions from </w:t>
        </w:r>
        <w:r w:rsidR="00022DFE">
          <w:rPr>
            <w:rStyle w:val="Hyperlink"/>
            <w:noProof/>
          </w:rPr>
          <w:br/>
        </w:r>
        <w:r w:rsidR="00691EC2" w:rsidRPr="00DB3A31">
          <w:rPr>
            <w:rStyle w:val="Hyperlink"/>
            <w:noProof/>
          </w:rPr>
          <w:t>GST base)</w:t>
        </w:r>
        <w:r w:rsidR="00691EC2">
          <w:rPr>
            <w:noProof/>
          </w:rPr>
          <w:tab/>
        </w:r>
        <w:r w:rsidR="00691EC2">
          <w:rPr>
            <w:noProof/>
          </w:rPr>
          <w:fldChar w:fldCharType="begin"/>
        </w:r>
        <w:r w:rsidR="00691EC2">
          <w:rPr>
            <w:noProof/>
          </w:rPr>
          <w:instrText xml:space="preserve"> PAGEREF _Toc437429589 \h </w:instrText>
        </w:r>
        <w:r w:rsidR="00691EC2">
          <w:rPr>
            <w:noProof/>
          </w:rPr>
        </w:r>
        <w:r w:rsidR="00691EC2">
          <w:rPr>
            <w:noProof/>
          </w:rPr>
          <w:fldChar w:fldCharType="separate"/>
        </w:r>
        <w:r w:rsidR="00076CF9">
          <w:rPr>
            <w:noProof/>
          </w:rPr>
          <w:t>24</w:t>
        </w:r>
        <w:r w:rsidR="00691EC2">
          <w:rPr>
            <w:noProof/>
          </w:rPr>
          <w:fldChar w:fldCharType="end"/>
        </w:r>
      </w:hyperlink>
    </w:p>
    <w:p w:rsidR="00691EC2" w:rsidRDefault="00E62C4F" w:rsidP="00022DFE">
      <w:pPr>
        <w:pStyle w:val="TableofFigures"/>
        <w:tabs>
          <w:tab w:val="left" w:pos="1134"/>
        </w:tabs>
        <w:rPr>
          <w:rFonts w:eastAsiaTheme="minorEastAsia"/>
          <w:noProof/>
          <w:lang w:eastAsia="en-AU"/>
        </w:rPr>
      </w:pPr>
      <w:hyperlink w:anchor="_Toc437429590" w:history="1">
        <w:r w:rsidR="00691EC2" w:rsidRPr="00DB3A31">
          <w:rPr>
            <w:rStyle w:val="Hyperlink"/>
            <w:noProof/>
          </w:rPr>
          <w:t>Figure 4–3:</w:t>
        </w:r>
        <w:r w:rsidR="00022DFE">
          <w:rPr>
            <w:rStyle w:val="Hyperlink"/>
            <w:noProof/>
          </w:rPr>
          <w:tab/>
        </w:r>
        <w:r w:rsidR="00691EC2" w:rsidRPr="00DB3A31">
          <w:rPr>
            <w:rStyle w:val="Hyperlink"/>
            <w:noProof/>
          </w:rPr>
          <w:t>Distributional impact of Scenario 3 (15 per cent GST)</w:t>
        </w:r>
        <w:r w:rsidR="00691EC2">
          <w:rPr>
            <w:noProof/>
          </w:rPr>
          <w:tab/>
        </w:r>
        <w:r w:rsidR="00691EC2">
          <w:rPr>
            <w:noProof/>
          </w:rPr>
          <w:fldChar w:fldCharType="begin"/>
        </w:r>
        <w:r w:rsidR="00691EC2">
          <w:rPr>
            <w:noProof/>
          </w:rPr>
          <w:instrText xml:space="preserve"> PAGEREF _Toc437429590 \h </w:instrText>
        </w:r>
        <w:r w:rsidR="00691EC2">
          <w:rPr>
            <w:noProof/>
          </w:rPr>
        </w:r>
        <w:r w:rsidR="00691EC2">
          <w:rPr>
            <w:noProof/>
          </w:rPr>
          <w:fldChar w:fldCharType="separate"/>
        </w:r>
        <w:r w:rsidR="00076CF9">
          <w:rPr>
            <w:noProof/>
          </w:rPr>
          <w:t>26</w:t>
        </w:r>
        <w:r w:rsidR="00691EC2">
          <w:rPr>
            <w:noProof/>
          </w:rPr>
          <w:fldChar w:fldCharType="end"/>
        </w:r>
      </w:hyperlink>
    </w:p>
    <w:p w:rsidR="00691EC2" w:rsidRDefault="00E62C4F" w:rsidP="00022DFE">
      <w:pPr>
        <w:pStyle w:val="TableofFigures"/>
        <w:ind w:left="1134" w:hanging="1134"/>
        <w:rPr>
          <w:rFonts w:eastAsiaTheme="minorEastAsia"/>
          <w:noProof/>
          <w:lang w:eastAsia="en-AU"/>
        </w:rPr>
      </w:pPr>
      <w:hyperlink w:anchor="_Toc437429591" w:history="1">
        <w:r w:rsidR="00691EC2" w:rsidRPr="00DB3A31">
          <w:rPr>
            <w:rStyle w:val="Hyperlink"/>
            <w:noProof/>
          </w:rPr>
          <w:t>Figure 4–4:</w:t>
        </w:r>
        <w:r w:rsidR="00022DFE">
          <w:rPr>
            <w:rStyle w:val="Hyperlink"/>
            <w:noProof/>
          </w:rPr>
          <w:tab/>
        </w:r>
        <w:r w:rsidR="00691EC2" w:rsidRPr="00DB3A31">
          <w:rPr>
            <w:rStyle w:val="Hyperlink"/>
            <w:noProof/>
          </w:rPr>
          <w:t>Distributional impact of Scenario 4 (15 per cent GST; basic food subject to GST)</w:t>
        </w:r>
        <w:r w:rsidR="00691EC2">
          <w:rPr>
            <w:noProof/>
          </w:rPr>
          <w:tab/>
        </w:r>
        <w:r w:rsidR="00691EC2">
          <w:rPr>
            <w:noProof/>
          </w:rPr>
          <w:fldChar w:fldCharType="begin"/>
        </w:r>
        <w:r w:rsidR="00691EC2">
          <w:rPr>
            <w:noProof/>
          </w:rPr>
          <w:instrText xml:space="preserve"> PAGEREF _Toc437429591 \h </w:instrText>
        </w:r>
        <w:r w:rsidR="00691EC2">
          <w:rPr>
            <w:noProof/>
          </w:rPr>
        </w:r>
        <w:r w:rsidR="00691EC2">
          <w:rPr>
            <w:noProof/>
          </w:rPr>
          <w:fldChar w:fldCharType="separate"/>
        </w:r>
        <w:r w:rsidR="00076CF9">
          <w:rPr>
            <w:noProof/>
          </w:rPr>
          <w:t>28</w:t>
        </w:r>
        <w:r w:rsidR="00691EC2">
          <w:rPr>
            <w:noProof/>
          </w:rPr>
          <w:fldChar w:fldCharType="end"/>
        </w:r>
      </w:hyperlink>
    </w:p>
    <w:p w:rsidR="00691EC2" w:rsidRDefault="00E62C4F" w:rsidP="00022DFE">
      <w:pPr>
        <w:pStyle w:val="TableofFigures"/>
        <w:ind w:left="1134" w:hanging="1134"/>
      </w:pPr>
      <w:hyperlink w:anchor="_Toc437429592" w:history="1">
        <w:r w:rsidR="00691EC2" w:rsidRPr="00DB3A31">
          <w:rPr>
            <w:rStyle w:val="Hyperlink"/>
            <w:noProof/>
          </w:rPr>
          <w:t>Figure 4–5:</w:t>
        </w:r>
        <w:r w:rsidR="00022DFE">
          <w:rPr>
            <w:rStyle w:val="Hyperlink"/>
            <w:noProof/>
          </w:rPr>
          <w:tab/>
        </w:r>
        <w:r w:rsidR="00691EC2" w:rsidRPr="00DB3A31">
          <w:rPr>
            <w:rStyle w:val="Hyperlink"/>
            <w:noProof/>
          </w:rPr>
          <w:t>Distributional impact of Scenario 5 (15 per cent GST; remove concessions)</w:t>
        </w:r>
        <w:r w:rsidR="00691EC2">
          <w:rPr>
            <w:noProof/>
          </w:rPr>
          <w:tab/>
        </w:r>
        <w:r w:rsidR="00691EC2">
          <w:rPr>
            <w:noProof/>
          </w:rPr>
          <w:fldChar w:fldCharType="begin"/>
        </w:r>
        <w:r w:rsidR="00691EC2">
          <w:rPr>
            <w:noProof/>
          </w:rPr>
          <w:instrText xml:space="preserve"> PAGEREF _Toc437429592 \h </w:instrText>
        </w:r>
        <w:r w:rsidR="00691EC2">
          <w:rPr>
            <w:noProof/>
          </w:rPr>
        </w:r>
        <w:r w:rsidR="00691EC2">
          <w:rPr>
            <w:noProof/>
          </w:rPr>
          <w:fldChar w:fldCharType="separate"/>
        </w:r>
        <w:r w:rsidR="00076CF9">
          <w:rPr>
            <w:noProof/>
          </w:rPr>
          <w:t>30</w:t>
        </w:r>
        <w:r w:rsidR="00691EC2">
          <w:rPr>
            <w:noProof/>
          </w:rPr>
          <w:fldChar w:fldCharType="end"/>
        </w:r>
      </w:hyperlink>
      <w:r w:rsidR="00691EC2">
        <w:fldChar w:fldCharType="end"/>
      </w:r>
    </w:p>
    <w:p w:rsidR="00022DFE" w:rsidRPr="00022DFE" w:rsidRDefault="00022DFE" w:rsidP="00022DFE"/>
    <w:p w:rsidR="00691EC2" w:rsidRDefault="00691EC2" w:rsidP="00691EC2">
      <w:pPr>
        <w:sectPr w:rsidR="00691EC2" w:rsidSect="00BA0FBF">
          <w:pgSz w:w="11907" w:h="16839" w:code="9"/>
          <w:pgMar w:top="1361" w:right="1797" w:bottom="1474" w:left="1797" w:header="283" w:footer="454" w:gutter="0"/>
          <w:cols w:space="708"/>
          <w:docGrid w:linePitch="360"/>
        </w:sectPr>
      </w:pPr>
    </w:p>
    <w:p w:rsidR="00691EC2" w:rsidRDefault="00691EC2" w:rsidP="00691EC2">
      <w:pPr>
        <w:pStyle w:val="Heading1NoNumbering"/>
        <w:spacing w:before="0"/>
      </w:pPr>
      <w:bookmarkStart w:id="255" w:name="_Toc437429860"/>
      <w:r>
        <w:t>List of tables</w:t>
      </w:r>
      <w:bookmarkEnd w:id="255"/>
    </w:p>
    <w:p w:rsidR="00691EC2" w:rsidRDefault="00691EC2" w:rsidP="00022DFE">
      <w:pPr>
        <w:pStyle w:val="TableofFigures"/>
        <w:tabs>
          <w:tab w:val="left" w:pos="1134"/>
        </w:tabs>
        <w:ind w:left="1134" w:hanging="1134"/>
        <w:rPr>
          <w:rFonts w:eastAsiaTheme="minorEastAsia"/>
          <w:noProof/>
          <w:lang w:eastAsia="en-AU"/>
        </w:rPr>
      </w:pPr>
      <w:r>
        <w:fldChar w:fldCharType="begin"/>
      </w:r>
      <w:r>
        <w:instrText xml:space="preserve"> TOC \c "Table" \w \h \* MERGEFORMAT </w:instrText>
      </w:r>
      <w:r>
        <w:fldChar w:fldCharType="separate"/>
      </w:r>
      <w:hyperlink w:anchor="_Toc437429562" w:history="1">
        <w:r w:rsidRPr="00EB4C88">
          <w:rPr>
            <w:rStyle w:val="Hyperlink"/>
            <w:noProof/>
          </w:rPr>
          <w:t>Table 1:</w:t>
        </w:r>
        <w:r w:rsidR="00022DFE">
          <w:rPr>
            <w:rStyle w:val="Hyperlink"/>
            <w:noProof/>
          </w:rPr>
          <w:tab/>
        </w:r>
        <w:r w:rsidRPr="00EB4C88">
          <w:rPr>
            <w:rStyle w:val="Hyperlink"/>
            <w:noProof/>
          </w:rPr>
          <w:t>Summary of net GST revenue impact of scenarios</w:t>
        </w:r>
        <w:r>
          <w:rPr>
            <w:noProof/>
          </w:rPr>
          <w:tab/>
        </w:r>
        <w:r>
          <w:rPr>
            <w:noProof/>
          </w:rPr>
          <w:fldChar w:fldCharType="begin"/>
        </w:r>
        <w:r>
          <w:rPr>
            <w:noProof/>
          </w:rPr>
          <w:instrText xml:space="preserve"> PAGEREF _Toc437429562 \h </w:instrText>
        </w:r>
        <w:r>
          <w:rPr>
            <w:noProof/>
          </w:rPr>
        </w:r>
        <w:r>
          <w:rPr>
            <w:noProof/>
          </w:rPr>
          <w:fldChar w:fldCharType="separate"/>
        </w:r>
        <w:r w:rsidR="00076CF9">
          <w:rPr>
            <w:noProof/>
          </w:rPr>
          <w:t>vi</w:t>
        </w:r>
        <w:r>
          <w:rPr>
            <w:noProof/>
          </w:rPr>
          <w:fldChar w:fldCharType="end"/>
        </w:r>
      </w:hyperlink>
    </w:p>
    <w:p w:rsidR="00691EC2" w:rsidRDefault="00E62C4F" w:rsidP="00022DFE">
      <w:pPr>
        <w:pStyle w:val="TableofFigures"/>
        <w:tabs>
          <w:tab w:val="left" w:pos="1134"/>
        </w:tabs>
        <w:ind w:left="1134" w:hanging="1134"/>
        <w:rPr>
          <w:rFonts w:eastAsiaTheme="minorEastAsia"/>
          <w:noProof/>
          <w:lang w:eastAsia="en-AU"/>
        </w:rPr>
      </w:pPr>
      <w:hyperlink w:anchor="_Toc437429563" w:history="1">
        <w:r w:rsidR="00691EC2" w:rsidRPr="00EB4C88">
          <w:rPr>
            <w:rStyle w:val="Hyperlink"/>
            <w:noProof/>
          </w:rPr>
          <w:t>Table 4–1:</w:t>
        </w:r>
        <w:r w:rsidR="00022DFE">
          <w:rPr>
            <w:rStyle w:val="Hyperlink"/>
            <w:noProof/>
          </w:rPr>
          <w:tab/>
        </w:r>
        <w:r w:rsidR="00691EC2" w:rsidRPr="00EB4C88">
          <w:rPr>
            <w:rStyle w:val="Hyperlink"/>
            <w:noProof/>
          </w:rPr>
          <w:t>Revenue impact of Scenario 1 (basic food subject to GST)</w:t>
        </w:r>
        <w:r w:rsidR="00691EC2">
          <w:rPr>
            <w:noProof/>
          </w:rPr>
          <w:tab/>
        </w:r>
        <w:r w:rsidR="00691EC2">
          <w:rPr>
            <w:noProof/>
          </w:rPr>
          <w:fldChar w:fldCharType="begin"/>
        </w:r>
        <w:r w:rsidR="00691EC2">
          <w:rPr>
            <w:noProof/>
          </w:rPr>
          <w:instrText xml:space="preserve"> PAGEREF _Toc437429563 \h </w:instrText>
        </w:r>
        <w:r w:rsidR="00691EC2">
          <w:rPr>
            <w:noProof/>
          </w:rPr>
        </w:r>
        <w:r w:rsidR="00691EC2">
          <w:rPr>
            <w:noProof/>
          </w:rPr>
          <w:fldChar w:fldCharType="separate"/>
        </w:r>
        <w:r w:rsidR="00076CF9">
          <w:rPr>
            <w:noProof/>
          </w:rPr>
          <w:t>21</w:t>
        </w:r>
        <w:r w:rsidR="00691EC2">
          <w:rPr>
            <w:noProof/>
          </w:rPr>
          <w:fldChar w:fldCharType="end"/>
        </w:r>
      </w:hyperlink>
    </w:p>
    <w:p w:rsidR="00691EC2" w:rsidRDefault="00E62C4F" w:rsidP="00022DFE">
      <w:pPr>
        <w:pStyle w:val="TableofFigures"/>
        <w:tabs>
          <w:tab w:val="left" w:pos="1134"/>
        </w:tabs>
        <w:ind w:left="1134" w:hanging="1134"/>
        <w:rPr>
          <w:rFonts w:eastAsiaTheme="minorEastAsia"/>
          <w:noProof/>
          <w:lang w:eastAsia="en-AU"/>
        </w:rPr>
      </w:pPr>
      <w:hyperlink w:anchor="_Toc437429564" w:history="1">
        <w:r w:rsidR="00691EC2" w:rsidRPr="00EB4C88">
          <w:rPr>
            <w:rStyle w:val="Hyperlink"/>
            <w:noProof/>
          </w:rPr>
          <w:t>Table 4–2:</w:t>
        </w:r>
        <w:r w:rsidR="00022DFE">
          <w:rPr>
            <w:rStyle w:val="Hyperlink"/>
            <w:noProof/>
          </w:rPr>
          <w:tab/>
        </w:r>
        <w:r w:rsidR="00691EC2" w:rsidRPr="00EB4C88">
          <w:rPr>
            <w:rStyle w:val="Hyperlink"/>
            <w:noProof/>
          </w:rPr>
          <w:t>Net additional GST revenue: relative impact of Scenario 1 (basic food subject to GST)</w:t>
        </w:r>
        <w:r w:rsidR="00691EC2">
          <w:rPr>
            <w:noProof/>
          </w:rPr>
          <w:tab/>
        </w:r>
        <w:r w:rsidR="00691EC2">
          <w:rPr>
            <w:noProof/>
          </w:rPr>
          <w:fldChar w:fldCharType="begin"/>
        </w:r>
        <w:r w:rsidR="00691EC2">
          <w:rPr>
            <w:noProof/>
          </w:rPr>
          <w:instrText xml:space="preserve"> PAGEREF _Toc437429564 \h </w:instrText>
        </w:r>
        <w:r w:rsidR="00691EC2">
          <w:rPr>
            <w:noProof/>
          </w:rPr>
        </w:r>
        <w:r w:rsidR="00691EC2">
          <w:rPr>
            <w:noProof/>
          </w:rPr>
          <w:fldChar w:fldCharType="separate"/>
        </w:r>
        <w:r w:rsidR="00076CF9">
          <w:rPr>
            <w:noProof/>
          </w:rPr>
          <w:t>22</w:t>
        </w:r>
        <w:r w:rsidR="00691EC2">
          <w:rPr>
            <w:noProof/>
          </w:rPr>
          <w:fldChar w:fldCharType="end"/>
        </w:r>
      </w:hyperlink>
    </w:p>
    <w:p w:rsidR="00691EC2" w:rsidRDefault="00E62C4F" w:rsidP="00022DFE">
      <w:pPr>
        <w:pStyle w:val="TableofFigures"/>
        <w:tabs>
          <w:tab w:val="left" w:pos="1134"/>
        </w:tabs>
        <w:ind w:left="1134" w:hanging="1134"/>
        <w:rPr>
          <w:rFonts w:eastAsiaTheme="minorEastAsia"/>
          <w:noProof/>
          <w:lang w:eastAsia="en-AU"/>
        </w:rPr>
      </w:pPr>
      <w:hyperlink w:anchor="_Toc437429565" w:history="1">
        <w:r w:rsidR="00691EC2" w:rsidRPr="00EB4C88">
          <w:rPr>
            <w:rStyle w:val="Hyperlink"/>
            <w:noProof/>
          </w:rPr>
          <w:t>Table 4–3:</w:t>
        </w:r>
        <w:r w:rsidR="00022DFE">
          <w:rPr>
            <w:rStyle w:val="Hyperlink"/>
            <w:noProof/>
          </w:rPr>
          <w:tab/>
        </w:r>
        <w:r w:rsidR="00691EC2" w:rsidRPr="00EB4C88">
          <w:rPr>
            <w:rStyle w:val="Hyperlink"/>
            <w:noProof/>
          </w:rPr>
          <w:t>Net additional GST revenue: absolute impact of Scenario 1 (basic food subject to GST)</w:t>
        </w:r>
        <w:r w:rsidR="00691EC2">
          <w:rPr>
            <w:noProof/>
          </w:rPr>
          <w:tab/>
        </w:r>
        <w:r w:rsidR="00691EC2">
          <w:rPr>
            <w:noProof/>
          </w:rPr>
          <w:fldChar w:fldCharType="begin"/>
        </w:r>
        <w:r w:rsidR="00691EC2">
          <w:rPr>
            <w:noProof/>
          </w:rPr>
          <w:instrText xml:space="preserve"> PAGEREF _Toc437429565 \h </w:instrText>
        </w:r>
        <w:r w:rsidR="00691EC2">
          <w:rPr>
            <w:noProof/>
          </w:rPr>
        </w:r>
        <w:r w:rsidR="00691EC2">
          <w:rPr>
            <w:noProof/>
          </w:rPr>
          <w:fldChar w:fldCharType="separate"/>
        </w:r>
        <w:r w:rsidR="00076CF9">
          <w:rPr>
            <w:noProof/>
          </w:rPr>
          <w:t>23</w:t>
        </w:r>
        <w:r w:rsidR="00691EC2">
          <w:rPr>
            <w:noProof/>
          </w:rPr>
          <w:fldChar w:fldCharType="end"/>
        </w:r>
      </w:hyperlink>
    </w:p>
    <w:p w:rsidR="00691EC2" w:rsidRDefault="00E62C4F" w:rsidP="00022DFE">
      <w:pPr>
        <w:pStyle w:val="TableofFigures"/>
        <w:tabs>
          <w:tab w:val="left" w:pos="1134"/>
        </w:tabs>
        <w:ind w:left="1134" w:hanging="1134"/>
        <w:rPr>
          <w:rFonts w:eastAsiaTheme="minorEastAsia"/>
          <w:noProof/>
          <w:lang w:eastAsia="en-AU"/>
        </w:rPr>
      </w:pPr>
      <w:hyperlink w:anchor="_Toc437429566" w:history="1">
        <w:r w:rsidR="00691EC2" w:rsidRPr="00EB4C88">
          <w:rPr>
            <w:rStyle w:val="Hyperlink"/>
            <w:noProof/>
          </w:rPr>
          <w:t>Table 4–4:</w:t>
        </w:r>
        <w:r w:rsidR="00022DFE">
          <w:rPr>
            <w:rStyle w:val="Hyperlink"/>
            <w:noProof/>
          </w:rPr>
          <w:tab/>
        </w:r>
        <w:r w:rsidR="00691EC2" w:rsidRPr="00EB4C88">
          <w:rPr>
            <w:rStyle w:val="Hyperlink"/>
            <w:noProof/>
          </w:rPr>
          <w:t>Revenue impact of Scenario 2 (remove concessions from GST base)</w:t>
        </w:r>
        <w:r w:rsidR="00691EC2">
          <w:rPr>
            <w:noProof/>
          </w:rPr>
          <w:tab/>
        </w:r>
        <w:r w:rsidR="00691EC2">
          <w:rPr>
            <w:noProof/>
          </w:rPr>
          <w:fldChar w:fldCharType="begin"/>
        </w:r>
        <w:r w:rsidR="00691EC2">
          <w:rPr>
            <w:noProof/>
          </w:rPr>
          <w:instrText xml:space="preserve"> PAGEREF _Toc437429566 \h </w:instrText>
        </w:r>
        <w:r w:rsidR="00691EC2">
          <w:rPr>
            <w:noProof/>
          </w:rPr>
        </w:r>
        <w:r w:rsidR="00691EC2">
          <w:rPr>
            <w:noProof/>
          </w:rPr>
          <w:fldChar w:fldCharType="separate"/>
        </w:r>
        <w:r w:rsidR="00076CF9">
          <w:rPr>
            <w:noProof/>
          </w:rPr>
          <w:t>23</w:t>
        </w:r>
        <w:r w:rsidR="00691EC2">
          <w:rPr>
            <w:noProof/>
          </w:rPr>
          <w:fldChar w:fldCharType="end"/>
        </w:r>
      </w:hyperlink>
    </w:p>
    <w:p w:rsidR="00691EC2" w:rsidRDefault="00E62C4F" w:rsidP="00022DFE">
      <w:pPr>
        <w:pStyle w:val="TableofFigures"/>
        <w:tabs>
          <w:tab w:val="left" w:pos="1134"/>
        </w:tabs>
        <w:ind w:left="1134" w:hanging="1134"/>
        <w:rPr>
          <w:rFonts w:eastAsiaTheme="minorEastAsia"/>
          <w:noProof/>
          <w:lang w:eastAsia="en-AU"/>
        </w:rPr>
      </w:pPr>
      <w:hyperlink w:anchor="_Toc437429567" w:history="1">
        <w:r w:rsidR="00691EC2" w:rsidRPr="00EB4C88">
          <w:rPr>
            <w:rStyle w:val="Hyperlink"/>
            <w:noProof/>
          </w:rPr>
          <w:t>Table 4–5:</w:t>
        </w:r>
        <w:r w:rsidR="00022DFE">
          <w:rPr>
            <w:rStyle w:val="Hyperlink"/>
            <w:noProof/>
          </w:rPr>
          <w:tab/>
        </w:r>
        <w:r w:rsidR="00691EC2" w:rsidRPr="00EB4C88">
          <w:rPr>
            <w:rStyle w:val="Hyperlink"/>
            <w:noProof/>
          </w:rPr>
          <w:t>Net additional GST revenue: relative impact of Scenario 2 (remove concessions from GST base)</w:t>
        </w:r>
        <w:r w:rsidR="00691EC2">
          <w:rPr>
            <w:noProof/>
          </w:rPr>
          <w:tab/>
        </w:r>
        <w:r w:rsidR="00691EC2">
          <w:rPr>
            <w:noProof/>
          </w:rPr>
          <w:fldChar w:fldCharType="begin"/>
        </w:r>
        <w:r w:rsidR="00691EC2">
          <w:rPr>
            <w:noProof/>
          </w:rPr>
          <w:instrText xml:space="preserve"> PAGEREF _Toc437429567 \h </w:instrText>
        </w:r>
        <w:r w:rsidR="00691EC2">
          <w:rPr>
            <w:noProof/>
          </w:rPr>
        </w:r>
        <w:r w:rsidR="00691EC2">
          <w:rPr>
            <w:noProof/>
          </w:rPr>
          <w:fldChar w:fldCharType="separate"/>
        </w:r>
        <w:r w:rsidR="00076CF9">
          <w:rPr>
            <w:noProof/>
          </w:rPr>
          <w:t>24</w:t>
        </w:r>
        <w:r w:rsidR="00691EC2">
          <w:rPr>
            <w:noProof/>
          </w:rPr>
          <w:fldChar w:fldCharType="end"/>
        </w:r>
      </w:hyperlink>
    </w:p>
    <w:p w:rsidR="00691EC2" w:rsidRDefault="00E62C4F" w:rsidP="00022DFE">
      <w:pPr>
        <w:pStyle w:val="TableofFigures"/>
        <w:tabs>
          <w:tab w:val="left" w:pos="1134"/>
        </w:tabs>
        <w:ind w:left="1134" w:hanging="1134"/>
        <w:rPr>
          <w:rFonts w:eastAsiaTheme="minorEastAsia"/>
          <w:noProof/>
          <w:lang w:eastAsia="en-AU"/>
        </w:rPr>
      </w:pPr>
      <w:hyperlink w:anchor="_Toc437429568" w:history="1">
        <w:r w:rsidR="00691EC2" w:rsidRPr="00EB4C88">
          <w:rPr>
            <w:rStyle w:val="Hyperlink"/>
            <w:noProof/>
          </w:rPr>
          <w:t>Table 4–6:</w:t>
        </w:r>
        <w:r w:rsidR="00022DFE">
          <w:rPr>
            <w:rStyle w:val="Hyperlink"/>
            <w:noProof/>
          </w:rPr>
          <w:tab/>
        </w:r>
        <w:r w:rsidR="00691EC2" w:rsidRPr="00EB4C88">
          <w:rPr>
            <w:rStyle w:val="Hyperlink"/>
            <w:noProof/>
          </w:rPr>
          <w:t>Net additional GST revenue: absolute impact of Scenario 2 (remove concessions from GST base)</w:t>
        </w:r>
        <w:r w:rsidR="00691EC2">
          <w:rPr>
            <w:noProof/>
          </w:rPr>
          <w:tab/>
        </w:r>
        <w:r w:rsidR="00691EC2">
          <w:rPr>
            <w:noProof/>
          </w:rPr>
          <w:fldChar w:fldCharType="begin"/>
        </w:r>
        <w:r w:rsidR="00691EC2">
          <w:rPr>
            <w:noProof/>
          </w:rPr>
          <w:instrText xml:space="preserve"> PAGEREF _Toc437429568 \h </w:instrText>
        </w:r>
        <w:r w:rsidR="00691EC2">
          <w:rPr>
            <w:noProof/>
          </w:rPr>
        </w:r>
        <w:r w:rsidR="00691EC2">
          <w:rPr>
            <w:noProof/>
          </w:rPr>
          <w:fldChar w:fldCharType="separate"/>
        </w:r>
        <w:r w:rsidR="00076CF9">
          <w:rPr>
            <w:noProof/>
          </w:rPr>
          <w:t>25</w:t>
        </w:r>
        <w:r w:rsidR="00691EC2">
          <w:rPr>
            <w:noProof/>
          </w:rPr>
          <w:fldChar w:fldCharType="end"/>
        </w:r>
      </w:hyperlink>
    </w:p>
    <w:p w:rsidR="00691EC2" w:rsidRDefault="00E62C4F" w:rsidP="00022DFE">
      <w:pPr>
        <w:pStyle w:val="TableofFigures"/>
        <w:tabs>
          <w:tab w:val="left" w:pos="1134"/>
        </w:tabs>
        <w:ind w:left="1134" w:hanging="1134"/>
        <w:rPr>
          <w:rFonts w:eastAsiaTheme="minorEastAsia"/>
          <w:noProof/>
          <w:lang w:eastAsia="en-AU"/>
        </w:rPr>
      </w:pPr>
      <w:hyperlink w:anchor="_Toc437429569" w:history="1">
        <w:r w:rsidR="00691EC2" w:rsidRPr="00EB4C88">
          <w:rPr>
            <w:rStyle w:val="Hyperlink"/>
            <w:noProof/>
          </w:rPr>
          <w:t>Table 4–7:</w:t>
        </w:r>
        <w:r w:rsidR="00022DFE">
          <w:rPr>
            <w:rStyle w:val="Hyperlink"/>
            <w:noProof/>
          </w:rPr>
          <w:tab/>
        </w:r>
        <w:r w:rsidR="00691EC2" w:rsidRPr="00EB4C88">
          <w:rPr>
            <w:rStyle w:val="Hyperlink"/>
            <w:noProof/>
          </w:rPr>
          <w:t>Revenue impact of Scenario 3 (15 per cent GST)</w:t>
        </w:r>
        <w:r w:rsidR="00691EC2">
          <w:rPr>
            <w:noProof/>
          </w:rPr>
          <w:tab/>
        </w:r>
        <w:r w:rsidR="00691EC2">
          <w:rPr>
            <w:noProof/>
          </w:rPr>
          <w:fldChar w:fldCharType="begin"/>
        </w:r>
        <w:r w:rsidR="00691EC2">
          <w:rPr>
            <w:noProof/>
          </w:rPr>
          <w:instrText xml:space="preserve"> PAGEREF _Toc437429569 \h </w:instrText>
        </w:r>
        <w:r w:rsidR="00691EC2">
          <w:rPr>
            <w:noProof/>
          </w:rPr>
        </w:r>
        <w:r w:rsidR="00691EC2">
          <w:rPr>
            <w:noProof/>
          </w:rPr>
          <w:fldChar w:fldCharType="separate"/>
        </w:r>
        <w:r w:rsidR="00076CF9">
          <w:rPr>
            <w:noProof/>
          </w:rPr>
          <w:t>25</w:t>
        </w:r>
        <w:r w:rsidR="00691EC2">
          <w:rPr>
            <w:noProof/>
          </w:rPr>
          <w:fldChar w:fldCharType="end"/>
        </w:r>
      </w:hyperlink>
    </w:p>
    <w:p w:rsidR="00691EC2" w:rsidRDefault="00E62C4F" w:rsidP="00022DFE">
      <w:pPr>
        <w:pStyle w:val="TableofFigures"/>
        <w:tabs>
          <w:tab w:val="left" w:pos="1134"/>
        </w:tabs>
        <w:ind w:left="1134" w:hanging="1134"/>
        <w:rPr>
          <w:rFonts w:eastAsiaTheme="minorEastAsia"/>
          <w:noProof/>
          <w:lang w:eastAsia="en-AU"/>
        </w:rPr>
      </w:pPr>
      <w:hyperlink w:anchor="_Toc437429570" w:history="1">
        <w:r w:rsidR="00691EC2" w:rsidRPr="00EB4C88">
          <w:rPr>
            <w:rStyle w:val="Hyperlink"/>
            <w:noProof/>
          </w:rPr>
          <w:t>Table 4–8:</w:t>
        </w:r>
        <w:r w:rsidR="00022DFE">
          <w:rPr>
            <w:rStyle w:val="Hyperlink"/>
            <w:noProof/>
          </w:rPr>
          <w:tab/>
        </w:r>
        <w:r w:rsidR="00691EC2" w:rsidRPr="00EB4C88">
          <w:rPr>
            <w:rStyle w:val="Hyperlink"/>
            <w:noProof/>
          </w:rPr>
          <w:t xml:space="preserve">Net additional GST revenue: relative impact of Scenario 3 </w:t>
        </w:r>
        <w:r w:rsidR="00FB7440">
          <w:rPr>
            <w:rStyle w:val="Hyperlink"/>
            <w:noProof/>
          </w:rPr>
          <w:br/>
        </w:r>
        <w:r w:rsidR="00691EC2" w:rsidRPr="00EB4C88">
          <w:rPr>
            <w:rStyle w:val="Hyperlink"/>
            <w:noProof/>
          </w:rPr>
          <w:t>(15 per cent GST)</w:t>
        </w:r>
        <w:r w:rsidR="00691EC2">
          <w:rPr>
            <w:noProof/>
          </w:rPr>
          <w:tab/>
        </w:r>
        <w:r w:rsidR="00691EC2">
          <w:rPr>
            <w:noProof/>
          </w:rPr>
          <w:fldChar w:fldCharType="begin"/>
        </w:r>
        <w:r w:rsidR="00691EC2">
          <w:rPr>
            <w:noProof/>
          </w:rPr>
          <w:instrText xml:space="preserve"> PAGEREF _Toc437429570 \h </w:instrText>
        </w:r>
        <w:r w:rsidR="00691EC2">
          <w:rPr>
            <w:noProof/>
          </w:rPr>
        </w:r>
        <w:r w:rsidR="00691EC2">
          <w:rPr>
            <w:noProof/>
          </w:rPr>
          <w:fldChar w:fldCharType="separate"/>
        </w:r>
        <w:r w:rsidR="00076CF9">
          <w:rPr>
            <w:noProof/>
          </w:rPr>
          <w:t>26</w:t>
        </w:r>
        <w:r w:rsidR="00691EC2">
          <w:rPr>
            <w:noProof/>
          </w:rPr>
          <w:fldChar w:fldCharType="end"/>
        </w:r>
      </w:hyperlink>
    </w:p>
    <w:p w:rsidR="00691EC2" w:rsidRDefault="00E62C4F" w:rsidP="00022DFE">
      <w:pPr>
        <w:pStyle w:val="TableofFigures"/>
        <w:tabs>
          <w:tab w:val="left" w:pos="1134"/>
        </w:tabs>
        <w:ind w:left="1134" w:hanging="1134"/>
        <w:rPr>
          <w:rFonts w:eastAsiaTheme="minorEastAsia"/>
          <w:noProof/>
          <w:lang w:eastAsia="en-AU"/>
        </w:rPr>
      </w:pPr>
      <w:hyperlink w:anchor="_Toc437429571" w:history="1">
        <w:r w:rsidR="00691EC2" w:rsidRPr="00EB4C88">
          <w:rPr>
            <w:rStyle w:val="Hyperlink"/>
            <w:noProof/>
          </w:rPr>
          <w:t>Table 4–9:</w:t>
        </w:r>
        <w:r w:rsidR="00022DFE">
          <w:rPr>
            <w:rStyle w:val="Hyperlink"/>
            <w:noProof/>
          </w:rPr>
          <w:tab/>
        </w:r>
        <w:r w:rsidR="00691EC2" w:rsidRPr="00EB4C88">
          <w:rPr>
            <w:rStyle w:val="Hyperlink"/>
            <w:noProof/>
          </w:rPr>
          <w:t>Net GST revenue: absolute impact of Scenario 3 (15 per cent GST)</w:t>
        </w:r>
        <w:r w:rsidR="00691EC2">
          <w:rPr>
            <w:noProof/>
          </w:rPr>
          <w:tab/>
        </w:r>
        <w:r w:rsidR="00691EC2">
          <w:rPr>
            <w:noProof/>
          </w:rPr>
          <w:fldChar w:fldCharType="begin"/>
        </w:r>
        <w:r w:rsidR="00691EC2">
          <w:rPr>
            <w:noProof/>
          </w:rPr>
          <w:instrText xml:space="preserve"> PAGEREF _Toc437429571 \h </w:instrText>
        </w:r>
        <w:r w:rsidR="00691EC2">
          <w:rPr>
            <w:noProof/>
          </w:rPr>
        </w:r>
        <w:r w:rsidR="00691EC2">
          <w:rPr>
            <w:noProof/>
          </w:rPr>
          <w:fldChar w:fldCharType="separate"/>
        </w:r>
        <w:r w:rsidR="00076CF9">
          <w:rPr>
            <w:noProof/>
          </w:rPr>
          <w:t>27</w:t>
        </w:r>
        <w:r w:rsidR="00691EC2">
          <w:rPr>
            <w:noProof/>
          </w:rPr>
          <w:fldChar w:fldCharType="end"/>
        </w:r>
      </w:hyperlink>
    </w:p>
    <w:p w:rsidR="00691EC2" w:rsidRDefault="00E62C4F" w:rsidP="00022DFE">
      <w:pPr>
        <w:pStyle w:val="TableofFigures"/>
        <w:tabs>
          <w:tab w:val="left" w:pos="1134"/>
        </w:tabs>
        <w:ind w:left="1134" w:hanging="1134"/>
        <w:rPr>
          <w:rFonts w:eastAsiaTheme="minorEastAsia"/>
          <w:noProof/>
          <w:lang w:eastAsia="en-AU"/>
        </w:rPr>
      </w:pPr>
      <w:hyperlink w:anchor="_Toc437429572" w:history="1">
        <w:r w:rsidR="00691EC2" w:rsidRPr="00EB4C88">
          <w:rPr>
            <w:rStyle w:val="Hyperlink"/>
            <w:noProof/>
          </w:rPr>
          <w:t>Table 4–10:</w:t>
        </w:r>
        <w:r w:rsidR="00022DFE">
          <w:rPr>
            <w:rStyle w:val="Hyperlink"/>
            <w:noProof/>
          </w:rPr>
          <w:tab/>
        </w:r>
        <w:r w:rsidR="00691EC2" w:rsidRPr="00EB4C88">
          <w:rPr>
            <w:rStyle w:val="Hyperlink"/>
            <w:noProof/>
          </w:rPr>
          <w:t xml:space="preserve">Revenue impact of Scenario 4 (15 per cent GST; basic food </w:t>
        </w:r>
        <w:r w:rsidR="00FB7440">
          <w:rPr>
            <w:rStyle w:val="Hyperlink"/>
            <w:noProof/>
          </w:rPr>
          <w:br/>
        </w:r>
        <w:r w:rsidR="00691EC2" w:rsidRPr="00EB4C88">
          <w:rPr>
            <w:rStyle w:val="Hyperlink"/>
            <w:noProof/>
          </w:rPr>
          <w:t>subject to GST)</w:t>
        </w:r>
        <w:r w:rsidR="00691EC2">
          <w:rPr>
            <w:noProof/>
          </w:rPr>
          <w:tab/>
        </w:r>
        <w:r w:rsidR="00691EC2">
          <w:rPr>
            <w:noProof/>
          </w:rPr>
          <w:fldChar w:fldCharType="begin"/>
        </w:r>
        <w:r w:rsidR="00691EC2">
          <w:rPr>
            <w:noProof/>
          </w:rPr>
          <w:instrText xml:space="preserve"> PAGEREF _Toc437429572 \h </w:instrText>
        </w:r>
        <w:r w:rsidR="00691EC2">
          <w:rPr>
            <w:noProof/>
          </w:rPr>
        </w:r>
        <w:r w:rsidR="00691EC2">
          <w:rPr>
            <w:noProof/>
          </w:rPr>
          <w:fldChar w:fldCharType="separate"/>
        </w:r>
        <w:r w:rsidR="00076CF9">
          <w:rPr>
            <w:noProof/>
          </w:rPr>
          <w:t>27</w:t>
        </w:r>
        <w:r w:rsidR="00691EC2">
          <w:rPr>
            <w:noProof/>
          </w:rPr>
          <w:fldChar w:fldCharType="end"/>
        </w:r>
      </w:hyperlink>
    </w:p>
    <w:p w:rsidR="00691EC2" w:rsidRDefault="00E62C4F" w:rsidP="00022DFE">
      <w:pPr>
        <w:pStyle w:val="TableofFigures"/>
        <w:tabs>
          <w:tab w:val="left" w:pos="1134"/>
        </w:tabs>
        <w:ind w:left="1134" w:hanging="1134"/>
        <w:rPr>
          <w:rFonts w:eastAsiaTheme="minorEastAsia"/>
          <w:noProof/>
          <w:lang w:eastAsia="en-AU"/>
        </w:rPr>
      </w:pPr>
      <w:hyperlink w:anchor="_Toc437429573" w:history="1">
        <w:r w:rsidR="00691EC2" w:rsidRPr="00EB4C88">
          <w:rPr>
            <w:rStyle w:val="Hyperlink"/>
            <w:noProof/>
          </w:rPr>
          <w:t>Table 4–11:</w:t>
        </w:r>
        <w:r w:rsidR="00022DFE">
          <w:rPr>
            <w:rStyle w:val="Hyperlink"/>
            <w:noProof/>
          </w:rPr>
          <w:tab/>
        </w:r>
        <w:r w:rsidR="00691EC2" w:rsidRPr="00EB4C88">
          <w:rPr>
            <w:rStyle w:val="Hyperlink"/>
            <w:noProof/>
          </w:rPr>
          <w:t>Net additional GST revenue: relative impact of Scenario 4 (15 per cent GST; basic food subject to GST)</w:t>
        </w:r>
        <w:r w:rsidR="00691EC2">
          <w:rPr>
            <w:noProof/>
          </w:rPr>
          <w:tab/>
        </w:r>
        <w:r w:rsidR="00691EC2">
          <w:rPr>
            <w:noProof/>
          </w:rPr>
          <w:fldChar w:fldCharType="begin"/>
        </w:r>
        <w:r w:rsidR="00691EC2">
          <w:rPr>
            <w:noProof/>
          </w:rPr>
          <w:instrText xml:space="preserve"> PAGEREF _Toc437429573 \h </w:instrText>
        </w:r>
        <w:r w:rsidR="00691EC2">
          <w:rPr>
            <w:noProof/>
          </w:rPr>
        </w:r>
        <w:r w:rsidR="00691EC2">
          <w:rPr>
            <w:noProof/>
          </w:rPr>
          <w:fldChar w:fldCharType="separate"/>
        </w:r>
        <w:r w:rsidR="00076CF9">
          <w:rPr>
            <w:noProof/>
          </w:rPr>
          <w:t>28</w:t>
        </w:r>
        <w:r w:rsidR="00691EC2">
          <w:rPr>
            <w:noProof/>
          </w:rPr>
          <w:fldChar w:fldCharType="end"/>
        </w:r>
      </w:hyperlink>
    </w:p>
    <w:p w:rsidR="00691EC2" w:rsidRDefault="00E62C4F" w:rsidP="00022DFE">
      <w:pPr>
        <w:pStyle w:val="TableofFigures"/>
        <w:tabs>
          <w:tab w:val="left" w:pos="1134"/>
        </w:tabs>
        <w:ind w:left="1134" w:hanging="1134"/>
        <w:rPr>
          <w:rFonts w:eastAsiaTheme="minorEastAsia"/>
          <w:noProof/>
          <w:lang w:eastAsia="en-AU"/>
        </w:rPr>
      </w:pPr>
      <w:hyperlink w:anchor="_Toc437429574" w:history="1">
        <w:r w:rsidR="00691EC2" w:rsidRPr="00EB4C88">
          <w:rPr>
            <w:rStyle w:val="Hyperlink"/>
            <w:noProof/>
          </w:rPr>
          <w:t>Table 4–12:</w:t>
        </w:r>
        <w:r w:rsidR="00022DFE">
          <w:rPr>
            <w:rStyle w:val="Hyperlink"/>
            <w:noProof/>
          </w:rPr>
          <w:tab/>
        </w:r>
        <w:r w:rsidR="00691EC2" w:rsidRPr="00EB4C88">
          <w:rPr>
            <w:rStyle w:val="Hyperlink"/>
            <w:noProof/>
          </w:rPr>
          <w:t xml:space="preserve">Net additional GST revenue: absolute impact of Scenario 4 </w:t>
        </w:r>
        <w:r w:rsidR="00FB7440">
          <w:rPr>
            <w:rStyle w:val="Hyperlink"/>
            <w:noProof/>
          </w:rPr>
          <w:br/>
        </w:r>
        <w:r w:rsidR="00691EC2" w:rsidRPr="00EB4C88">
          <w:rPr>
            <w:rStyle w:val="Hyperlink"/>
            <w:noProof/>
          </w:rPr>
          <w:t>(15 per cent GST; basic food subject to GST)</w:t>
        </w:r>
        <w:r w:rsidR="00691EC2">
          <w:rPr>
            <w:noProof/>
          </w:rPr>
          <w:tab/>
        </w:r>
        <w:r w:rsidR="00691EC2">
          <w:rPr>
            <w:noProof/>
          </w:rPr>
          <w:fldChar w:fldCharType="begin"/>
        </w:r>
        <w:r w:rsidR="00691EC2">
          <w:rPr>
            <w:noProof/>
          </w:rPr>
          <w:instrText xml:space="preserve"> PAGEREF _Toc437429574 \h </w:instrText>
        </w:r>
        <w:r w:rsidR="00691EC2">
          <w:rPr>
            <w:noProof/>
          </w:rPr>
        </w:r>
        <w:r w:rsidR="00691EC2">
          <w:rPr>
            <w:noProof/>
          </w:rPr>
          <w:fldChar w:fldCharType="separate"/>
        </w:r>
        <w:r w:rsidR="00076CF9">
          <w:rPr>
            <w:noProof/>
          </w:rPr>
          <w:t>29</w:t>
        </w:r>
        <w:r w:rsidR="00691EC2">
          <w:rPr>
            <w:noProof/>
          </w:rPr>
          <w:fldChar w:fldCharType="end"/>
        </w:r>
      </w:hyperlink>
    </w:p>
    <w:p w:rsidR="00691EC2" w:rsidRDefault="00E62C4F" w:rsidP="00022DFE">
      <w:pPr>
        <w:pStyle w:val="TableofFigures"/>
        <w:tabs>
          <w:tab w:val="left" w:pos="1134"/>
        </w:tabs>
        <w:ind w:left="1134" w:hanging="1134"/>
        <w:rPr>
          <w:rFonts w:eastAsiaTheme="minorEastAsia"/>
          <w:noProof/>
          <w:lang w:eastAsia="en-AU"/>
        </w:rPr>
      </w:pPr>
      <w:hyperlink w:anchor="_Toc437429575" w:history="1">
        <w:r w:rsidR="00691EC2" w:rsidRPr="00EB4C88">
          <w:rPr>
            <w:rStyle w:val="Hyperlink"/>
            <w:noProof/>
          </w:rPr>
          <w:t>Table 4–13:</w:t>
        </w:r>
        <w:r w:rsidR="00022DFE">
          <w:rPr>
            <w:rStyle w:val="Hyperlink"/>
            <w:noProof/>
          </w:rPr>
          <w:tab/>
        </w:r>
        <w:r w:rsidR="00691EC2" w:rsidRPr="00EB4C88">
          <w:rPr>
            <w:rStyle w:val="Hyperlink"/>
            <w:noProof/>
          </w:rPr>
          <w:t>Revenue impact of Scenario 5 (15 per cent GST; remove concessions)</w:t>
        </w:r>
        <w:r w:rsidR="00691EC2">
          <w:rPr>
            <w:noProof/>
          </w:rPr>
          <w:tab/>
        </w:r>
        <w:r w:rsidR="00691EC2">
          <w:rPr>
            <w:noProof/>
          </w:rPr>
          <w:fldChar w:fldCharType="begin"/>
        </w:r>
        <w:r w:rsidR="00691EC2">
          <w:rPr>
            <w:noProof/>
          </w:rPr>
          <w:instrText xml:space="preserve"> PAGEREF _Toc437429575 \h </w:instrText>
        </w:r>
        <w:r w:rsidR="00691EC2">
          <w:rPr>
            <w:noProof/>
          </w:rPr>
        </w:r>
        <w:r w:rsidR="00691EC2">
          <w:rPr>
            <w:noProof/>
          </w:rPr>
          <w:fldChar w:fldCharType="separate"/>
        </w:r>
        <w:r w:rsidR="00076CF9">
          <w:rPr>
            <w:noProof/>
          </w:rPr>
          <w:t>29</w:t>
        </w:r>
        <w:r w:rsidR="00691EC2">
          <w:rPr>
            <w:noProof/>
          </w:rPr>
          <w:fldChar w:fldCharType="end"/>
        </w:r>
      </w:hyperlink>
    </w:p>
    <w:p w:rsidR="00691EC2" w:rsidRDefault="00E62C4F" w:rsidP="00022DFE">
      <w:pPr>
        <w:pStyle w:val="TableofFigures"/>
        <w:tabs>
          <w:tab w:val="left" w:pos="1134"/>
        </w:tabs>
        <w:ind w:left="1134" w:hanging="1134"/>
        <w:rPr>
          <w:rFonts w:eastAsiaTheme="minorEastAsia"/>
          <w:noProof/>
          <w:lang w:eastAsia="en-AU"/>
        </w:rPr>
      </w:pPr>
      <w:hyperlink w:anchor="_Toc437429576" w:history="1">
        <w:r w:rsidR="00691EC2" w:rsidRPr="00EB4C88">
          <w:rPr>
            <w:rStyle w:val="Hyperlink"/>
            <w:noProof/>
          </w:rPr>
          <w:t>Table 4–14:</w:t>
        </w:r>
        <w:r w:rsidR="00022DFE">
          <w:rPr>
            <w:rStyle w:val="Hyperlink"/>
            <w:noProof/>
          </w:rPr>
          <w:tab/>
        </w:r>
        <w:r w:rsidR="00691EC2" w:rsidRPr="00EB4C88">
          <w:rPr>
            <w:rStyle w:val="Hyperlink"/>
            <w:noProof/>
          </w:rPr>
          <w:t xml:space="preserve">Net additional GST revenue: relative impact of Scenario 5 </w:t>
        </w:r>
        <w:r w:rsidR="00FB7440">
          <w:rPr>
            <w:rStyle w:val="Hyperlink"/>
            <w:noProof/>
          </w:rPr>
          <w:br/>
        </w:r>
        <w:r w:rsidR="00691EC2" w:rsidRPr="00EB4C88">
          <w:rPr>
            <w:rStyle w:val="Hyperlink"/>
            <w:noProof/>
          </w:rPr>
          <w:t>(15 per cent GST; remove concessions)</w:t>
        </w:r>
        <w:r w:rsidR="00691EC2">
          <w:rPr>
            <w:noProof/>
          </w:rPr>
          <w:tab/>
        </w:r>
        <w:r w:rsidR="00691EC2">
          <w:rPr>
            <w:noProof/>
          </w:rPr>
          <w:fldChar w:fldCharType="begin"/>
        </w:r>
        <w:r w:rsidR="00691EC2">
          <w:rPr>
            <w:noProof/>
          </w:rPr>
          <w:instrText xml:space="preserve"> PAGEREF _Toc437429576 \h </w:instrText>
        </w:r>
        <w:r w:rsidR="00691EC2">
          <w:rPr>
            <w:noProof/>
          </w:rPr>
        </w:r>
        <w:r w:rsidR="00691EC2">
          <w:rPr>
            <w:noProof/>
          </w:rPr>
          <w:fldChar w:fldCharType="separate"/>
        </w:r>
        <w:r w:rsidR="00076CF9">
          <w:rPr>
            <w:noProof/>
          </w:rPr>
          <w:t>30</w:t>
        </w:r>
        <w:r w:rsidR="00691EC2">
          <w:rPr>
            <w:noProof/>
          </w:rPr>
          <w:fldChar w:fldCharType="end"/>
        </w:r>
      </w:hyperlink>
    </w:p>
    <w:p w:rsidR="00691EC2" w:rsidRDefault="00E62C4F" w:rsidP="00022DFE">
      <w:pPr>
        <w:pStyle w:val="TableofFigures"/>
        <w:tabs>
          <w:tab w:val="left" w:pos="1134"/>
        </w:tabs>
        <w:ind w:left="1134" w:hanging="1134"/>
        <w:rPr>
          <w:rFonts w:eastAsiaTheme="minorEastAsia"/>
          <w:noProof/>
          <w:lang w:eastAsia="en-AU"/>
        </w:rPr>
      </w:pPr>
      <w:hyperlink w:anchor="_Toc437429577" w:history="1">
        <w:r w:rsidR="00691EC2" w:rsidRPr="00EB4C88">
          <w:rPr>
            <w:rStyle w:val="Hyperlink"/>
            <w:noProof/>
          </w:rPr>
          <w:t>Table 4–15:</w:t>
        </w:r>
        <w:r w:rsidR="00022DFE">
          <w:rPr>
            <w:rStyle w:val="Hyperlink"/>
            <w:noProof/>
          </w:rPr>
          <w:tab/>
        </w:r>
        <w:r w:rsidR="00691EC2" w:rsidRPr="00EB4C88">
          <w:rPr>
            <w:rStyle w:val="Hyperlink"/>
            <w:noProof/>
          </w:rPr>
          <w:t xml:space="preserve">Net additional GST revenue: absolute impact of Scenario 5 </w:t>
        </w:r>
        <w:r w:rsidR="00FB7440">
          <w:rPr>
            <w:rStyle w:val="Hyperlink"/>
            <w:noProof/>
          </w:rPr>
          <w:br/>
        </w:r>
        <w:r w:rsidR="00691EC2" w:rsidRPr="00EB4C88">
          <w:rPr>
            <w:rStyle w:val="Hyperlink"/>
            <w:noProof/>
          </w:rPr>
          <w:t>(15 per cent GST; remove concessions)</w:t>
        </w:r>
        <w:r w:rsidR="00691EC2">
          <w:rPr>
            <w:noProof/>
          </w:rPr>
          <w:tab/>
        </w:r>
        <w:r w:rsidR="00691EC2">
          <w:rPr>
            <w:noProof/>
          </w:rPr>
          <w:fldChar w:fldCharType="begin"/>
        </w:r>
        <w:r w:rsidR="00691EC2">
          <w:rPr>
            <w:noProof/>
          </w:rPr>
          <w:instrText xml:space="preserve"> PAGEREF _Toc437429577 \h </w:instrText>
        </w:r>
        <w:r w:rsidR="00691EC2">
          <w:rPr>
            <w:noProof/>
          </w:rPr>
        </w:r>
        <w:r w:rsidR="00691EC2">
          <w:rPr>
            <w:noProof/>
          </w:rPr>
          <w:fldChar w:fldCharType="separate"/>
        </w:r>
        <w:r w:rsidR="00076CF9">
          <w:rPr>
            <w:noProof/>
          </w:rPr>
          <w:t>31</w:t>
        </w:r>
        <w:r w:rsidR="00691EC2">
          <w:rPr>
            <w:noProof/>
          </w:rPr>
          <w:fldChar w:fldCharType="end"/>
        </w:r>
      </w:hyperlink>
    </w:p>
    <w:p w:rsidR="00691EC2" w:rsidRDefault="00E62C4F" w:rsidP="00022DFE">
      <w:pPr>
        <w:pStyle w:val="TableofFigures"/>
        <w:tabs>
          <w:tab w:val="left" w:pos="1134"/>
        </w:tabs>
      </w:pPr>
      <w:hyperlink w:anchor="_Toc437429578" w:history="1">
        <w:r w:rsidR="00691EC2" w:rsidRPr="00EB4C88">
          <w:rPr>
            <w:rStyle w:val="Hyperlink"/>
            <w:noProof/>
          </w:rPr>
          <w:t>Table 4–16:</w:t>
        </w:r>
        <w:r w:rsidR="00022DFE">
          <w:rPr>
            <w:rStyle w:val="Hyperlink"/>
            <w:noProof/>
          </w:rPr>
          <w:tab/>
        </w:r>
        <w:r w:rsidR="00691EC2" w:rsidRPr="00EB4C88">
          <w:rPr>
            <w:rStyle w:val="Hyperlink"/>
            <w:noProof/>
          </w:rPr>
          <w:t>Summary of net additional GST revenue impact of scenarios</w:t>
        </w:r>
        <w:r w:rsidR="00691EC2">
          <w:rPr>
            <w:noProof/>
          </w:rPr>
          <w:tab/>
        </w:r>
        <w:r w:rsidR="00691EC2">
          <w:rPr>
            <w:noProof/>
          </w:rPr>
          <w:fldChar w:fldCharType="begin"/>
        </w:r>
        <w:r w:rsidR="00691EC2">
          <w:rPr>
            <w:noProof/>
          </w:rPr>
          <w:instrText xml:space="preserve"> PAGEREF _Toc437429578 \h </w:instrText>
        </w:r>
        <w:r w:rsidR="00691EC2">
          <w:rPr>
            <w:noProof/>
          </w:rPr>
        </w:r>
        <w:r w:rsidR="00691EC2">
          <w:rPr>
            <w:noProof/>
          </w:rPr>
          <w:fldChar w:fldCharType="separate"/>
        </w:r>
        <w:r w:rsidR="00076CF9">
          <w:rPr>
            <w:noProof/>
          </w:rPr>
          <w:t>32</w:t>
        </w:r>
        <w:r w:rsidR="00691EC2">
          <w:rPr>
            <w:noProof/>
          </w:rPr>
          <w:fldChar w:fldCharType="end"/>
        </w:r>
      </w:hyperlink>
      <w:r w:rsidR="00691EC2">
        <w:fldChar w:fldCharType="end"/>
      </w:r>
    </w:p>
    <w:p w:rsidR="00691EC2" w:rsidRDefault="00691EC2" w:rsidP="00691EC2">
      <w:pPr>
        <w:pStyle w:val="BodyText"/>
      </w:pPr>
    </w:p>
    <w:p w:rsidR="00691EC2" w:rsidRPr="00691EC2" w:rsidRDefault="00691EC2" w:rsidP="00691EC2">
      <w:pPr>
        <w:pStyle w:val="BodyText"/>
        <w:sectPr w:rsidR="00691EC2" w:rsidRPr="00691EC2" w:rsidSect="00BA0FBF">
          <w:pgSz w:w="11907" w:h="16839" w:code="9"/>
          <w:pgMar w:top="1361" w:right="1797" w:bottom="1474" w:left="1797" w:header="283" w:footer="454" w:gutter="0"/>
          <w:cols w:space="708"/>
          <w:docGrid w:linePitch="360"/>
        </w:sectPr>
      </w:pPr>
    </w:p>
    <w:p w:rsidR="00691EC2" w:rsidRDefault="00691EC2" w:rsidP="00691EC2">
      <w:pPr>
        <w:pStyle w:val="Heading1NoNumbering"/>
        <w:spacing w:before="0"/>
      </w:pPr>
      <w:bookmarkStart w:id="256" w:name="_Toc437429861"/>
      <w:r>
        <w:t>List of abbreviations</w:t>
      </w:r>
      <w:bookmarkEnd w:id="256"/>
    </w:p>
    <w:tbl>
      <w:tblPr>
        <w:tblStyle w:val="TableGrid"/>
        <w:tblW w:w="5000" w:type="pct"/>
        <w:tblLook w:val="0680" w:firstRow="0" w:lastRow="0" w:firstColumn="1" w:lastColumn="0" w:noHBand="1" w:noVBand="1"/>
      </w:tblPr>
      <w:tblGrid>
        <w:gridCol w:w="1134"/>
        <w:gridCol w:w="7179"/>
      </w:tblGrid>
      <w:tr w:rsidR="00691EC2" w:rsidTr="00FB7440">
        <w:trPr>
          <w:cantSplit/>
        </w:trPr>
        <w:tc>
          <w:tcPr>
            <w:cnfStyle w:val="001000000000" w:firstRow="0" w:lastRow="0" w:firstColumn="1" w:lastColumn="0" w:oddVBand="0" w:evenVBand="0" w:oddHBand="0" w:evenHBand="0" w:firstRowFirstColumn="0" w:firstRowLastColumn="0" w:lastRowFirstColumn="0" w:lastRowLastColumn="0"/>
            <w:tcW w:w="682" w:type="pct"/>
          </w:tcPr>
          <w:p w:rsidR="00691EC2" w:rsidRDefault="00691EC2" w:rsidP="00691EC2">
            <w:pPr>
              <w:pStyle w:val="TableText"/>
            </w:pPr>
            <w:r>
              <w:t>ABS</w:t>
            </w:r>
          </w:p>
        </w:tc>
        <w:tc>
          <w:tcPr>
            <w:tcW w:w="4318" w:type="pct"/>
          </w:tcPr>
          <w:p w:rsidR="00691EC2" w:rsidRDefault="00691EC2" w:rsidP="00FB7440">
            <w:pPr>
              <w:pStyle w:val="TableTextCentred"/>
              <w:ind w:left="0"/>
              <w:jc w:val="left"/>
              <w:cnfStyle w:val="000000000000" w:firstRow="0" w:lastRow="0" w:firstColumn="0" w:lastColumn="0" w:oddVBand="0" w:evenVBand="0" w:oddHBand="0" w:evenHBand="0" w:firstRowFirstColumn="0" w:firstRowLastColumn="0" w:lastRowFirstColumn="0" w:lastRowLastColumn="0"/>
            </w:pPr>
            <w:r>
              <w:t>Australian Bureau of Statistics</w:t>
            </w:r>
          </w:p>
        </w:tc>
      </w:tr>
      <w:tr w:rsidR="00691EC2" w:rsidTr="00FB7440">
        <w:trPr>
          <w:cantSplit/>
        </w:trPr>
        <w:tc>
          <w:tcPr>
            <w:cnfStyle w:val="001000000000" w:firstRow="0" w:lastRow="0" w:firstColumn="1" w:lastColumn="0" w:oddVBand="0" w:evenVBand="0" w:oddHBand="0" w:evenHBand="0" w:firstRowFirstColumn="0" w:firstRowLastColumn="0" w:lastRowFirstColumn="0" w:lastRowLastColumn="0"/>
            <w:tcW w:w="682" w:type="pct"/>
          </w:tcPr>
          <w:p w:rsidR="00691EC2" w:rsidRDefault="00691EC2" w:rsidP="00691EC2">
            <w:pPr>
              <w:pStyle w:val="TableText"/>
            </w:pPr>
            <w:r>
              <w:t>ATO</w:t>
            </w:r>
          </w:p>
        </w:tc>
        <w:tc>
          <w:tcPr>
            <w:tcW w:w="4318" w:type="pct"/>
          </w:tcPr>
          <w:p w:rsidR="00691EC2" w:rsidRDefault="00691EC2" w:rsidP="00FB7440">
            <w:pPr>
              <w:pStyle w:val="TableTextCentred"/>
              <w:ind w:left="0"/>
              <w:jc w:val="left"/>
              <w:cnfStyle w:val="000000000000" w:firstRow="0" w:lastRow="0" w:firstColumn="0" w:lastColumn="0" w:oddVBand="0" w:evenVBand="0" w:oddHBand="0" w:evenHBand="0" w:firstRowFirstColumn="0" w:firstRowLastColumn="0" w:lastRowFirstColumn="0" w:lastRowLastColumn="0"/>
            </w:pPr>
            <w:r>
              <w:t>Australian Tax Office</w:t>
            </w:r>
          </w:p>
        </w:tc>
      </w:tr>
      <w:tr w:rsidR="00691EC2" w:rsidTr="00FB7440">
        <w:trPr>
          <w:cantSplit/>
        </w:trPr>
        <w:tc>
          <w:tcPr>
            <w:cnfStyle w:val="001000000000" w:firstRow="0" w:lastRow="0" w:firstColumn="1" w:lastColumn="0" w:oddVBand="0" w:evenVBand="0" w:oddHBand="0" w:evenHBand="0" w:firstRowFirstColumn="0" w:firstRowLastColumn="0" w:lastRowFirstColumn="0" w:lastRowLastColumn="0"/>
            <w:tcW w:w="682" w:type="pct"/>
          </w:tcPr>
          <w:p w:rsidR="00691EC2" w:rsidRDefault="00691EC2" w:rsidP="00691EC2">
            <w:pPr>
              <w:pStyle w:val="TableText"/>
            </w:pPr>
            <w:r>
              <w:t>CPI</w:t>
            </w:r>
          </w:p>
        </w:tc>
        <w:tc>
          <w:tcPr>
            <w:tcW w:w="4318" w:type="pct"/>
          </w:tcPr>
          <w:p w:rsidR="00691EC2" w:rsidRDefault="00691EC2" w:rsidP="00FB7440">
            <w:pPr>
              <w:pStyle w:val="TableTextCentred"/>
              <w:ind w:left="0"/>
              <w:jc w:val="left"/>
              <w:cnfStyle w:val="000000000000" w:firstRow="0" w:lastRow="0" w:firstColumn="0" w:lastColumn="0" w:oddVBand="0" w:evenVBand="0" w:oddHBand="0" w:evenHBand="0" w:firstRowFirstColumn="0" w:firstRowLastColumn="0" w:lastRowFirstColumn="0" w:lastRowLastColumn="0"/>
            </w:pPr>
            <w:r>
              <w:t>Consumer Price Index</w:t>
            </w:r>
          </w:p>
        </w:tc>
      </w:tr>
      <w:tr w:rsidR="00691EC2" w:rsidTr="00FB7440">
        <w:trPr>
          <w:cantSplit/>
        </w:trPr>
        <w:tc>
          <w:tcPr>
            <w:cnfStyle w:val="001000000000" w:firstRow="0" w:lastRow="0" w:firstColumn="1" w:lastColumn="0" w:oddVBand="0" w:evenVBand="0" w:oddHBand="0" w:evenHBand="0" w:firstRowFirstColumn="0" w:firstRowLastColumn="0" w:lastRowFirstColumn="0" w:lastRowLastColumn="0"/>
            <w:tcW w:w="682" w:type="pct"/>
          </w:tcPr>
          <w:p w:rsidR="00691EC2" w:rsidRDefault="00691EC2" w:rsidP="00691EC2">
            <w:pPr>
              <w:pStyle w:val="TableText"/>
            </w:pPr>
            <w:r>
              <w:t>GDP</w:t>
            </w:r>
          </w:p>
        </w:tc>
        <w:tc>
          <w:tcPr>
            <w:tcW w:w="4318" w:type="pct"/>
          </w:tcPr>
          <w:p w:rsidR="00691EC2" w:rsidRDefault="00691EC2" w:rsidP="00FB7440">
            <w:pPr>
              <w:pStyle w:val="TableTextCentred"/>
              <w:ind w:left="0"/>
              <w:jc w:val="left"/>
              <w:cnfStyle w:val="000000000000" w:firstRow="0" w:lastRow="0" w:firstColumn="0" w:lastColumn="0" w:oddVBand="0" w:evenVBand="0" w:oddHBand="0" w:evenHBand="0" w:firstRowFirstColumn="0" w:firstRowLastColumn="0" w:lastRowFirstColumn="0" w:lastRowLastColumn="0"/>
            </w:pPr>
            <w:r>
              <w:t>Gross Domestic Product</w:t>
            </w:r>
          </w:p>
        </w:tc>
      </w:tr>
      <w:tr w:rsidR="00691EC2" w:rsidTr="00FB7440">
        <w:trPr>
          <w:cantSplit/>
        </w:trPr>
        <w:tc>
          <w:tcPr>
            <w:cnfStyle w:val="001000000000" w:firstRow="0" w:lastRow="0" w:firstColumn="1" w:lastColumn="0" w:oddVBand="0" w:evenVBand="0" w:oddHBand="0" w:evenHBand="0" w:firstRowFirstColumn="0" w:firstRowLastColumn="0" w:lastRowFirstColumn="0" w:lastRowLastColumn="0"/>
            <w:tcW w:w="682" w:type="pct"/>
          </w:tcPr>
          <w:p w:rsidR="00691EC2" w:rsidRDefault="00691EC2" w:rsidP="00691EC2">
            <w:pPr>
              <w:pStyle w:val="TableText"/>
            </w:pPr>
            <w:r>
              <w:t>GST</w:t>
            </w:r>
          </w:p>
        </w:tc>
        <w:tc>
          <w:tcPr>
            <w:tcW w:w="4318" w:type="pct"/>
          </w:tcPr>
          <w:p w:rsidR="00691EC2" w:rsidRDefault="00691EC2" w:rsidP="00FB7440">
            <w:pPr>
              <w:pStyle w:val="TableTextCentred"/>
              <w:ind w:left="0"/>
              <w:jc w:val="left"/>
              <w:cnfStyle w:val="000000000000" w:firstRow="0" w:lastRow="0" w:firstColumn="0" w:lastColumn="0" w:oddVBand="0" w:evenVBand="0" w:oddHBand="0" w:evenHBand="0" w:firstRowFirstColumn="0" w:firstRowLastColumn="0" w:lastRowFirstColumn="0" w:lastRowLastColumn="0"/>
            </w:pPr>
            <w:r>
              <w:t>Goods and Services Tax</w:t>
            </w:r>
          </w:p>
        </w:tc>
      </w:tr>
      <w:tr w:rsidR="00691EC2" w:rsidTr="00FB7440">
        <w:trPr>
          <w:cantSplit/>
        </w:trPr>
        <w:tc>
          <w:tcPr>
            <w:cnfStyle w:val="001000000000" w:firstRow="0" w:lastRow="0" w:firstColumn="1" w:lastColumn="0" w:oddVBand="0" w:evenVBand="0" w:oddHBand="0" w:evenHBand="0" w:firstRowFirstColumn="0" w:firstRowLastColumn="0" w:lastRowFirstColumn="0" w:lastRowLastColumn="0"/>
            <w:tcW w:w="682" w:type="pct"/>
          </w:tcPr>
          <w:p w:rsidR="00691EC2" w:rsidRDefault="00691EC2" w:rsidP="00691EC2">
            <w:pPr>
              <w:pStyle w:val="TableText"/>
            </w:pPr>
            <w:r>
              <w:t>IMF</w:t>
            </w:r>
          </w:p>
        </w:tc>
        <w:tc>
          <w:tcPr>
            <w:tcW w:w="4318" w:type="pct"/>
          </w:tcPr>
          <w:p w:rsidR="00691EC2" w:rsidRDefault="00691EC2" w:rsidP="00FB7440">
            <w:pPr>
              <w:pStyle w:val="TableTextCentred"/>
              <w:ind w:left="0"/>
              <w:jc w:val="left"/>
              <w:cnfStyle w:val="000000000000" w:firstRow="0" w:lastRow="0" w:firstColumn="0" w:lastColumn="0" w:oddVBand="0" w:evenVBand="0" w:oddHBand="0" w:evenHBand="0" w:firstRowFirstColumn="0" w:firstRowLastColumn="0" w:lastRowFirstColumn="0" w:lastRowLastColumn="0"/>
            </w:pPr>
            <w:r>
              <w:t>International Monetary Fund</w:t>
            </w:r>
          </w:p>
        </w:tc>
      </w:tr>
      <w:tr w:rsidR="00691EC2" w:rsidTr="00FB7440">
        <w:trPr>
          <w:cantSplit/>
        </w:trPr>
        <w:tc>
          <w:tcPr>
            <w:cnfStyle w:val="001000000000" w:firstRow="0" w:lastRow="0" w:firstColumn="1" w:lastColumn="0" w:oddVBand="0" w:evenVBand="0" w:oddHBand="0" w:evenHBand="0" w:firstRowFirstColumn="0" w:firstRowLastColumn="0" w:lastRowFirstColumn="0" w:lastRowLastColumn="0"/>
            <w:tcW w:w="682" w:type="pct"/>
          </w:tcPr>
          <w:p w:rsidR="00691EC2" w:rsidRDefault="00691EC2" w:rsidP="00691EC2">
            <w:pPr>
              <w:pStyle w:val="TableText"/>
            </w:pPr>
            <w:r>
              <w:t>MTAWE</w:t>
            </w:r>
          </w:p>
        </w:tc>
        <w:tc>
          <w:tcPr>
            <w:tcW w:w="4318" w:type="pct"/>
          </w:tcPr>
          <w:p w:rsidR="00691EC2" w:rsidRDefault="009A779F" w:rsidP="009A779F">
            <w:pPr>
              <w:pStyle w:val="TableTextCentred"/>
              <w:ind w:left="0"/>
              <w:jc w:val="left"/>
              <w:cnfStyle w:val="000000000000" w:firstRow="0" w:lastRow="0" w:firstColumn="0" w:lastColumn="0" w:oddVBand="0" w:evenVBand="0" w:oddHBand="0" w:evenHBand="0" w:firstRowFirstColumn="0" w:firstRowLastColumn="0" w:lastRowFirstColumn="0" w:lastRowLastColumn="0"/>
            </w:pPr>
            <w:r>
              <w:t>M</w:t>
            </w:r>
            <w:r w:rsidR="00691EC2">
              <w:t xml:space="preserve">ale </w:t>
            </w:r>
            <w:r>
              <w:t>T</w:t>
            </w:r>
            <w:r w:rsidR="00691EC2">
              <w:t xml:space="preserve">otal </w:t>
            </w:r>
            <w:r>
              <w:t>Average W</w:t>
            </w:r>
            <w:r w:rsidR="00691EC2">
              <w:t xml:space="preserve">eekly </w:t>
            </w:r>
            <w:r>
              <w:t>E</w:t>
            </w:r>
            <w:r w:rsidR="00691EC2">
              <w:t>arnings</w:t>
            </w:r>
          </w:p>
        </w:tc>
      </w:tr>
      <w:tr w:rsidR="00691EC2" w:rsidTr="00FB7440">
        <w:trPr>
          <w:cantSplit/>
        </w:trPr>
        <w:tc>
          <w:tcPr>
            <w:cnfStyle w:val="001000000000" w:firstRow="0" w:lastRow="0" w:firstColumn="1" w:lastColumn="0" w:oddVBand="0" w:evenVBand="0" w:oddHBand="0" w:evenHBand="0" w:firstRowFirstColumn="0" w:firstRowLastColumn="0" w:lastRowFirstColumn="0" w:lastRowLastColumn="0"/>
            <w:tcW w:w="682" w:type="pct"/>
          </w:tcPr>
          <w:p w:rsidR="00691EC2" w:rsidRDefault="00691EC2" w:rsidP="00691EC2">
            <w:pPr>
              <w:pStyle w:val="TableText"/>
            </w:pPr>
            <w:r>
              <w:t>NATSEM</w:t>
            </w:r>
          </w:p>
        </w:tc>
        <w:tc>
          <w:tcPr>
            <w:tcW w:w="4318" w:type="pct"/>
          </w:tcPr>
          <w:p w:rsidR="00691EC2" w:rsidRDefault="00691EC2" w:rsidP="00FB7440">
            <w:pPr>
              <w:pStyle w:val="TableTextCentred"/>
              <w:ind w:left="0"/>
              <w:jc w:val="left"/>
              <w:cnfStyle w:val="000000000000" w:firstRow="0" w:lastRow="0" w:firstColumn="0" w:lastColumn="0" w:oddVBand="0" w:evenVBand="0" w:oddHBand="0" w:evenHBand="0" w:firstRowFirstColumn="0" w:firstRowLastColumn="0" w:lastRowFirstColumn="0" w:lastRowLastColumn="0"/>
            </w:pPr>
            <w:r>
              <w:t>National Centre for Social and Economic Modelling</w:t>
            </w:r>
          </w:p>
        </w:tc>
      </w:tr>
      <w:tr w:rsidR="00691EC2" w:rsidTr="00FB7440">
        <w:trPr>
          <w:cantSplit/>
        </w:trPr>
        <w:tc>
          <w:tcPr>
            <w:cnfStyle w:val="001000000000" w:firstRow="0" w:lastRow="0" w:firstColumn="1" w:lastColumn="0" w:oddVBand="0" w:evenVBand="0" w:oddHBand="0" w:evenHBand="0" w:firstRowFirstColumn="0" w:firstRowLastColumn="0" w:lastRowFirstColumn="0" w:lastRowLastColumn="0"/>
            <w:tcW w:w="682" w:type="pct"/>
          </w:tcPr>
          <w:p w:rsidR="00691EC2" w:rsidRDefault="00691EC2" w:rsidP="00691EC2">
            <w:pPr>
              <w:pStyle w:val="TableText"/>
            </w:pPr>
            <w:r>
              <w:t>OECD</w:t>
            </w:r>
          </w:p>
        </w:tc>
        <w:tc>
          <w:tcPr>
            <w:tcW w:w="4318" w:type="pct"/>
          </w:tcPr>
          <w:p w:rsidR="00691EC2" w:rsidRDefault="00691EC2" w:rsidP="00FB7440">
            <w:pPr>
              <w:pStyle w:val="TableTextCentred"/>
              <w:ind w:left="0"/>
              <w:jc w:val="left"/>
              <w:cnfStyle w:val="000000000000" w:firstRow="0" w:lastRow="0" w:firstColumn="0" w:lastColumn="0" w:oddVBand="0" w:evenVBand="0" w:oddHBand="0" w:evenHBand="0" w:firstRowFirstColumn="0" w:firstRowLastColumn="0" w:lastRowFirstColumn="0" w:lastRowLastColumn="0"/>
            </w:pPr>
            <w:r>
              <w:t>Organisations for Economic Co-operation and Development</w:t>
            </w:r>
          </w:p>
        </w:tc>
      </w:tr>
      <w:tr w:rsidR="00691EC2" w:rsidTr="00FB7440">
        <w:trPr>
          <w:cantSplit/>
        </w:trPr>
        <w:tc>
          <w:tcPr>
            <w:cnfStyle w:val="001000000000" w:firstRow="0" w:lastRow="0" w:firstColumn="1" w:lastColumn="0" w:oddVBand="0" w:evenVBand="0" w:oddHBand="0" w:evenHBand="0" w:firstRowFirstColumn="0" w:firstRowLastColumn="0" w:lastRowFirstColumn="0" w:lastRowLastColumn="0"/>
            <w:tcW w:w="682" w:type="pct"/>
          </w:tcPr>
          <w:p w:rsidR="00691EC2" w:rsidRDefault="00691EC2" w:rsidP="00691EC2">
            <w:pPr>
              <w:pStyle w:val="TableText"/>
            </w:pPr>
            <w:r>
              <w:t>PBO</w:t>
            </w:r>
          </w:p>
        </w:tc>
        <w:tc>
          <w:tcPr>
            <w:tcW w:w="4318" w:type="pct"/>
          </w:tcPr>
          <w:p w:rsidR="00691EC2" w:rsidRDefault="00691EC2" w:rsidP="00FB7440">
            <w:pPr>
              <w:pStyle w:val="TableTextCentred"/>
              <w:ind w:left="0"/>
              <w:jc w:val="left"/>
              <w:cnfStyle w:val="000000000000" w:firstRow="0" w:lastRow="0" w:firstColumn="0" w:lastColumn="0" w:oddVBand="0" w:evenVBand="0" w:oddHBand="0" w:evenHBand="0" w:firstRowFirstColumn="0" w:firstRowLastColumn="0" w:lastRowFirstColumn="0" w:lastRowLastColumn="0"/>
            </w:pPr>
            <w:r>
              <w:t>Parliamentary Budget Office</w:t>
            </w:r>
          </w:p>
        </w:tc>
      </w:tr>
      <w:tr w:rsidR="00691EC2" w:rsidTr="00FB7440">
        <w:trPr>
          <w:cantSplit/>
        </w:trPr>
        <w:tc>
          <w:tcPr>
            <w:cnfStyle w:val="001000000000" w:firstRow="0" w:lastRow="0" w:firstColumn="1" w:lastColumn="0" w:oddVBand="0" w:evenVBand="0" w:oddHBand="0" w:evenHBand="0" w:firstRowFirstColumn="0" w:firstRowLastColumn="0" w:lastRowFirstColumn="0" w:lastRowLastColumn="0"/>
            <w:tcW w:w="682" w:type="pct"/>
          </w:tcPr>
          <w:p w:rsidR="00691EC2" w:rsidRDefault="00691EC2" w:rsidP="00691EC2">
            <w:pPr>
              <w:pStyle w:val="TableText"/>
            </w:pPr>
            <w:r>
              <w:t>VAT</w:t>
            </w:r>
          </w:p>
        </w:tc>
        <w:tc>
          <w:tcPr>
            <w:tcW w:w="4318" w:type="pct"/>
          </w:tcPr>
          <w:p w:rsidR="00691EC2" w:rsidRDefault="00A059A5" w:rsidP="00A059A5">
            <w:pPr>
              <w:pStyle w:val="TableTextCentred"/>
              <w:ind w:left="0"/>
              <w:jc w:val="left"/>
              <w:cnfStyle w:val="000000000000" w:firstRow="0" w:lastRow="0" w:firstColumn="0" w:lastColumn="0" w:oddVBand="0" w:evenVBand="0" w:oddHBand="0" w:evenHBand="0" w:firstRowFirstColumn="0" w:firstRowLastColumn="0" w:lastRowFirstColumn="0" w:lastRowLastColumn="0"/>
            </w:pPr>
            <w:r>
              <w:t>V</w:t>
            </w:r>
            <w:r w:rsidR="00691EC2">
              <w:t xml:space="preserve">alue </w:t>
            </w:r>
            <w:r>
              <w:t>A</w:t>
            </w:r>
            <w:r w:rsidR="00691EC2">
              <w:t xml:space="preserve">dded </w:t>
            </w:r>
            <w:r>
              <w:t>T</w:t>
            </w:r>
            <w:r w:rsidR="00691EC2">
              <w:t>ax</w:t>
            </w:r>
          </w:p>
        </w:tc>
      </w:tr>
    </w:tbl>
    <w:p w:rsidR="00691EC2" w:rsidRDefault="00691EC2" w:rsidP="00691EC2">
      <w:pPr>
        <w:pStyle w:val="BodyText"/>
      </w:pPr>
    </w:p>
    <w:p w:rsidR="00691EC2" w:rsidRDefault="00691EC2" w:rsidP="00691EC2">
      <w:pPr>
        <w:pStyle w:val="Heading1NoNumbering"/>
        <w:sectPr w:rsidR="00691EC2" w:rsidSect="00BA0FBF">
          <w:pgSz w:w="11907" w:h="16839" w:code="9"/>
          <w:pgMar w:top="1361" w:right="1797" w:bottom="1474" w:left="1797" w:header="283" w:footer="454" w:gutter="0"/>
          <w:cols w:space="708"/>
          <w:docGrid w:linePitch="360"/>
        </w:sectPr>
      </w:pPr>
    </w:p>
    <w:p w:rsidR="00691EC2" w:rsidRDefault="00691EC2" w:rsidP="00691EC2">
      <w:pPr>
        <w:pStyle w:val="Heading1NoNumbering"/>
        <w:spacing w:before="0"/>
      </w:pPr>
      <w:bookmarkStart w:id="257" w:name="_Toc437429862"/>
      <w:r>
        <w:t>List of appendices</w:t>
      </w:r>
      <w:bookmarkEnd w:id="257"/>
    </w:p>
    <w:bookmarkEnd w:id="254"/>
    <w:p w:rsidR="00370958" w:rsidRDefault="00370958" w:rsidP="00370958">
      <w:pPr>
        <w:pStyle w:val="TOC1"/>
        <w:tabs>
          <w:tab w:val="left" w:pos="1134"/>
        </w:tabs>
        <w:rPr>
          <w:rFonts w:eastAsiaTheme="minorEastAsia"/>
          <w:b w:val="0"/>
          <w:color w:val="auto"/>
          <w:lang w:eastAsia="en-AU"/>
        </w:rPr>
      </w:pPr>
      <w:r>
        <w:fldChar w:fldCharType="begin"/>
      </w:r>
      <w:r>
        <w:instrText xml:space="preserve"> TOC \h \z \t "Heading 8,1,Heading 9,2" </w:instrText>
      </w:r>
      <w:r>
        <w:fldChar w:fldCharType="separate"/>
      </w:r>
      <w:hyperlink w:anchor="_Toc437438452" w:history="1">
        <w:r w:rsidRPr="003E0AA6">
          <w:rPr>
            <w:rStyle w:val="Hyperlink"/>
          </w:rPr>
          <w:t>Appendix A</w:t>
        </w:r>
        <w:r>
          <w:rPr>
            <w:rStyle w:val="Hyperlink"/>
          </w:rPr>
          <w:t>:</w:t>
        </w:r>
        <w:r>
          <w:rPr>
            <w:rStyle w:val="Hyperlink"/>
          </w:rPr>
          <w:tab/>
        </w:r>
        <w:r w:rsidRPr="003E0AA6">
          <w:rPr>
            <w:rStyle w:val="Hyperlink"/>
          </w:rPr>
          <w:t>Data, methodology and assumptions</w:t>
        </w:r>
        <w:r>
          <w:rPr>
            <w:webHidden/>
          </w:rPr>
          <w:tab/>
        </w:r>
        <w:r>
          <w:rPr>
            <w:webHidden/>
          </w:rPr>
          <w:fldChar w:fldCharType="begin"/>
        </w:r>
        <w:r>
          <w:rPr>
            <w:webHidden/>
          </w:rPr>
          <w:instrText xml:space="preserve"> PAGEREF _Toc437438452 \h </w:instrText>
        </w:r>
        <w:r>
          <w:rPr>
            <w:webHidden/>
          </w:rPr>
        </w:r>
        <w:r>
          <w:rPr>
            <w:webHidden/>
          </w:rPr>
          <w:fldChar w:fldCharType="separate"/>
        </w:r>
        <w:r w:rsidR="00076CF9">
          <w:rPr>
            <w:webHidden/>
          </w:rPr>
          <w:t>39</w:t>
        </w:r>
        <w:r>
          <w:rPr>
            <w:webHidden/>
          </w:rPr>
          <w:fldChar w:fldCharType="end"/>
        </w:r>
      </w:hyperlink>
    </w:p>
    <w:p w:rsidR="00370958" w:rsidRDefault="00E62C4F" w:rsidP="00370958">
      <w:pPr>
        <w:pStyle w:val="TOC2"/>
        <w:ind w:left="1701"/>
        <w:rPr>
          <w:rFonts w:eastAsiaTheme="minorEastAsia"/>
          <w:szCs w:val="22"/>
          <w:lang w:eastAsia="en-AU"/>
        </w:rPr>
      </w:pPr>
      <w:hyperlink w:anchor="_Toc437438453" w:history="1">
        <w:r w:rsidR="00370958" w:rsidRPr="003E0AA6">
          <w:rPr>
            <w:rStyle w:val="Hyperlink"/>
          </w:rPr>
          <w:t>A1.</w:t>
        </w:r>
        <w:r w:rsidR="00370958">
          <w:rPr>
            <w:rFonts w:eastAsiaTheme="minorEastAsia"/>
            <w:szCs w:val="22"/>
            <w:lang w:eastAsia="en-AU"/>
          </w:rPr>
          <w:tab/>
        </w:r>
        <w:r w:rsidR="00370958" w:rsidRPr="003E0AA6">
          <w:rPr>
            <w:rStyle w:val="Hyperlink"/>
          </w:rPr>
          <w:t>Distributional analysis</w:t>
        </w:r>
        <w:r w:rsidR="00370958">
          <w:rPr>
            <w:webHidden/>
          </w:rPr>
          <w:tab/>
        </w:r>
        <w:r w:rsidR="00370958">
          <w:rPr>
            <w:webHidden/>
          </w:rPr>
          <w:fldChar w:fldCharType="begin"/>
        </w:r>
        <w:r w:rsidR="00370958">
          <w:rPr>
            <w:webHidden/>
          </w:rPr>
          <w:instrText xml:space="preserve"> PAGEREF _Toc437438453 \h </w:instrText>
        </w:r>
        <w:r w:rsidR="00370958">
          <w:rPr>
            <w:webHidden/>
          </w:rPr>
        </w:r>
        <w:r w:rsidR="00370958">
          <w:rPr>
            <w:webHidden/>
          </w:rPr>
          <w:fldChar w:fldCharType="separate"/>
        </w:r>
        <w:r w:rsidR="00076CF9">
          <w:rPr>
            <w:webHidden/>
          </w:rPr>
          <w:t>39</w:t>
        </w:r>
        <w:r w:rsidR="00370958">
          <w:rPr>
            <w:webHidden/>
          </w:rPr>
          <w:fldChar w:fldCharType="end"/>
        </w:r>
      </w:hyperlink>
    </w:p>
    <w:p w:rsidR="00370958" w:rsidRDefault="00E62C4F" w:rsidP="00370958">
      <w:pPr>
        <w:pStyle w:val="TOC2"/>
        <w:ind w:left="1701"/>
        <w:rPr>
          <w:rFonts w:eastAsiaTheme="minorEastAsia"/>
          <w:szCs w:val="22"/>
          <w:lang w:eastAsia="en-AU"/>
        </w:rPr>
      </w:pPr>
      <w:hyperlink w:anchor="_Toc437438454" w:history="1">
        <w:r w:rsidR="00370958" w:rsidRPr="003E0AA6">
          <w:rPr>
            <w:rStyle w:val="Hyperlink"/>
          </w:rPr>
          <w:t>A2.</w:t>
        </w:r>
        <w:r w:rsidR="00370958">
          <w:rPr>
            <w:rFonts w:eastAsiaTheme="minorEastAsia"/>
            <w:szCs w:val="22"/>
            <w:lang w:eastAsia="en-AU"/>
          </w:rPr>
          <w:tab/>
        </w:r>
        <w:r w:rsidR="00370958" w:rsidRPr="003E0AA6">
          <w:rPr>
            <w:rStyle w:val="Hyperlink"/>
          </w:rPr>
          <w:t>Revenue impact</w:t>
        </w:r>
        <w:r w:rsidR="00370958">
          <w:rPr>
            <w:webHidden/>
          </w:rPr>
          <w:tab/>
        </w:r>
        <w:r w:rsidR="00370958">
          <w:rPr>
            <w:webHidden/>
          </w:rPr>
          <w:fldChar w:fldCharType="begin"/>
        </w:r>
        <w:r w:rsidR="00370958">
          <w:rPr>
            <w:webHidden/>
          </w:rPr>
          <w:instrText xml:space="preserve"> PAGEREF _Toc437438454 \h </w:instrText>
        </w:r>
        <w:r w:rsidR="00370958">
          <w:rPr>
            <w:webHidden/>
          </w:rPr>
        </w:r>
        <w:r w:rsidR="00370958">
          <w:rPr>
            <w:webHidden/>
          </w:rPr>
          <w:fldChar w:fldCharType="separate"/>
        </w:r>
        <w:r w:rsidR="00076CF9">
          <w:rPr>
            <w:webHidden/>
          </w:rPr>
          <w:t>41</w:t>
        </w:r>
        <w:r w:rsidR="00370958">
          <w:rPr>
            <w:webHidden/>
          </w:rPr>
          <w:fldChar w:fldCharType="end"/>
        </w:r>
      </w:hyperlink>
    </w:p>
    <w:p w:rsidR="00370958" w:rsidRDefault="00E62C4F" w:rsidP="00370958">
      <w:pPr>
        <w:pStyle w:val="TOC1"/>
        <w:tabs>
          <w:tab w:val="left" w:pos="1134"/>
        </w:tabs>
        <w:rPr>
          <w:rFonts w:eastAsiaTheme="minorEastAsia"/>
          <w:b w:val="0"/>
          <w:color w:val="auto"/>
          <w:lang w:eastAsia="en-AU"/>
        </w:rPr>
      </w:pPr>
      <w:hyperlink w:anchor="_Toc437438455" w:history="1">
        <w:r w:rsidR="00370958" w:rsidRPr="003E0AA6">
          <w:rPr>
            <w:rStyle w:val="Hyperlink"/>
          </w:rPr>
          <w:t>Appendix B</w:t>
        </w:r>
        <w:r w:rsidR="00370958">
          <w:rPr>
            <w:rStyle w:val="Hyperlink"/>
          </w:rPr>
          <w:t>:</w:t>
        </w:r>
        <w:r w:rsidR="00370958">
          <w:rPr>
            <w:rStyle w:val="Hyperlink"/>
          </w:rPr>
          <w:tab/>
        </w:r>
        <w:r w:rsidR="00370958" w:rsidRPr="003E0AA6">
          <w:rPr>
            <w:rStyle w:val="Hyperlink"/>
          </w:rPr>
          <w:t>Characteristics of households</w:t>
        </w:r>
        <w:r w:rsidR="00370958">
          <w:rPr>
            <w:webHidden/>
          </w:rPr>
          <w:tab/>
        </w:r>
        <w:r w:rsidR="00370958">
          <w:rPr>
            <w:webHidden/>
          </w:rPr>
          <w:fldChar w:fldCharType="begin"/>
        </w:r>
        <w:r w:rsidR="00370958">
          <w:rPr>
            <w:webHidden/>
          </w:rPr>
          <w:instrText xml:space="preserve"> PAGEREF _Toc437438455 \h </w:instrText>
        </w:r>
        <w:r w:rsidR="00370958">
          <w:rPr>
            <w:webHidden/>
          </w:rPr>
        </w:r>
        <w:r w:rsidR="00370958">
          <w:rPr>
            <w:webHidden/>
          </w:rPr>
          <w:fldChar w:fldCharType="separate"/>
        </w:r>
        <w:r w:rsidR="00076CF9">
          <w:rPr>
            <w:webHidden/>
          </w:rPr>
          <w:t>46</w:t>
        </w:r>
        <w:r w:rsidR="00370958">
          <w:rPr>
            <w:webHidden/>
          </w:rPr>
          <w:fldChar w:fldCharType="end"/>
        </w:r>
      </w:hyperlink>
    </w:p>
    <w:p w:rsidR="00370958" w:rsidRDefault="00E62C4F" w:rsidP="00370958">
      <w:pPr>
        <w:pStyle w:val="TOC1"/>
        <w:tabs>
          <w:tab w:val="left" w:pos="1134"/>
        </w:tabs>
        <w:rPr>
          <w:rFonts w:eastAsiaTheme="minorEastAsia"/>
          <w:b w:val="0"/>
          <w:color w:val="auto"/>
          <w:lang w:eastAsia="en-AU"/>
        </w:rPr>
      </w:pPr>
      <w:hyperlink w:anchor="_Toc437438456" w:history="1">
        <w:r w:rsidR="00370958" w:rsidRPr="003E0AA6">
          <w:rPr>
            <w:rStyle w:val="Hyperlink"/>
          </w:rPr>
          <w:t>Appendix C</w:t>
        </w:r>
        <w:r w:rsidR="00370958">
          <w:rPr>
            <w:rStyle w:val="Hyperlink"/>
          </w:rPr>
          <w:t>:</w:t>
        </w:r>
        <w:r w:rsidR="00370958" w:rsidRPr="003E0AA6">
          <w:rPr>
            <w:rStyle w:val="Hyperlink"/>
          </w:rPr>
          <w:t>Net GST revenue from scenarios</w:t>
        </w:r>
        <w:r w:rsidR="00370958">
          <w:rPr>
            <w:webHidden/>
          </w:rPr>
          <w:tab/>
        </w:r>
        <w:r w:rsidR="00370958">
          <w:rPr>
            <w:webHidden/>
          </w:rPr>
          <w:fldChar w:fldCharType="begin"/>
        </w:r>
        <w:r w:rsidR="00370958">
          <w:rPr>
            <w:webHidden/>
          </w:rPr>
          <w:instrText xml:space="preserve"> PAGEREF _Toc437438456 \h </w:instrText>
        </w:r>
        <w:r w:rsidR="00370958">
          <w:rPr>
            <w:webHidden/>
          </w:rPr>
        </w:r>
        <w:r w:rsidR="00370958">
          <w:rPr>
            <w:webHidden/>
          </w:rPr>
          <w:fldChar w:fldCharType="separate"/>
        </w:r>
        <w:r w:rsidR="00076CF9">
          <w:rPr>
            <w:webHidden/>
          </w:rPr>
          <w:t>52</w:t>
        </w:r>
        <w:r w:rsidR="00370958">
          <w:rPr>
            <w:webHidden/>
          </w:rPr>
          <w:fldChar w:fldCharType="end"/>
        </w:r>
      </w:hyperlink>
    </w:p>
    <w:p w:rsidR="00370958" w:rsidRDefault="00E62C4F" w:rsidP="00370958">
      <w:pPr>
        <w:pStyle w:val="TOC2"/>
        <w:tabs>
          <w:tab w:val="left" w:pos="2268"/>
        </w:tabs>
        <w:ind w:left="1418" w:hanging="284"/>
        <w:rPr>
          <w:rFonts w:eastAsiaTheme="minorEastAsia"/>
          <w:szCs w:val="22"/>
          <w:lang w:eastAsia="en-AU"/>
        </w:rPr>
      </w:pPr>
      <w:hyperlink w:anchor="_Toc437438457" w:history="1">
        <w:r w:rsidR="00370958" w:rsidRPr="003E0AA6">
          <w:rPr>
            <w:rStyle w:val="Hyperlink"/>
          </w:rPr>
          <w:t>Scenario 1:</w:t>
        </w:r>
        <w:r w:rsidR="00370958">
          <w:rPr>
            <w:rStyle w:val="Hyperlink"/>
          </w:rPr>
          <w:tab/>
        </w:r>
        <w:r w:rsidR="00370958" w:rsidRPr="003E0AA6">
          <w:rPr>
            <w:rStyle w:val="Hyperlink"/>
          </w:rPr>
          <w:t>basic food subject to GST</w:t>
        </w:r>
        <w:r w:rsidR="00370958">
          <w:rPr>
            <w:webHidden/>
          </w:rPr>
          <w:tab/>
        </w:r>
        <w:r w:rsidR="00370958">
          <w:rPr>
            <w:webHidden/>
          </w:rPr>
          <w:fldChar w:fldCharType="begin"/>
        </w:r>
        <w:r w:rsidR="00370958">
          <w:rPr>
            <w:webHidden/>
          </w:rPr>
          <w:instrText xml:space="preserve"> PAGEREF _Toc437438457 \h </w:instrText>
        </w:r>
        <w:r w:rsidR="00370958">
          <w:rPr>
            <w:webHidden/>
          </w:rPr>
        </w:r>
        <w:r w:rsidR="00370958">
          <w:rPr>
            <w:webHidden/>
          </w:rPr>
          <w:fldChar w:fldCharType="separate"/>
        </w:r>
        <w:r w:rsidR="00076CF9">
          <w:rPr>
            <w:webHidden/>
          </w:rPr>
          <w:t>53</w:t>
        </w:r>
        <w:r w:rsidR="00370958">
          <w:rPr>
            <w:webHidden/>
          </w:rPr>
          <w:fldChar w:fldCharType="end"/>
        </w:r>
      </w:hyperlink>
    </w:p>
    <w:p w:rsidR="00370958" w:rsidRDefault="00E62C4F" w:rsidP="00370958">
      <w:pPr>
        <w:pStyle w:val="TOC2"/>
        <w:tabs>
          <w:tab w:val="left" w:pos="2268"/>
        </w:tabs>
        <w:ind w:left="1701"/>
        <w:rPr>
          <w:rFonts w:eastAsiaTheme="minorEastAsia"/>
          <w:szCs w:val="22"/>
          <w:lang w:eastAsia="en-AU"/>
        </w:rPr>
      </w:pPr>
      <w:hyperlink w:anchor="_Toc437438458" w:history="1">
        <w:r w:rsidR="00370958" w:rsidRPr="003E0AA6">
          <w:rPr>
            <w:rStyle w:val="Hyperlink"/>
          </w:rPr>
          <w:t>Scenario 2:</w:t>
        </w:r>
        <w:r w:rsidR="00370958">
          <w:rPr>
            <w:rStyle w:val="Hyperlink"/>
          </w:rPr>
          <w:tab/>
        </w:r>
        <w:r w:rsidR="00370958" w:rsidRPr="003E0AA6">
          <w:rPr>
            <w:rStyle w:val="Hyperlink"/>
          </w:rPr>
          <w:t>Remove concessions from GST base</w:t>
        </w:r>
        <w:r w:rsidR="00370958">
          <w:rPr>
            <w:webHidden/>
          </w:rPr>
          <w:tab/>
        </w:r>
        <w:r w:rsidR="00370958">
          <w:rPr>
            <w:webHidden/>
          </w:rPr>
          <w:fldChar w:fldCharType="begin"/>
        </w:r>
        <w:r w:rsidR="00370958">
          <w:rPr>
            <w:webHidden/>
          </w:rPr>
          <w:instrText xml:space="preserve"> PAGEREF _Toc437438458 \h </w:instrText>
        </w:r>
        <w:r w:rsidR="00370958">
          <w:rPr>
            <w:webHidden/>
          </w:rPr>
        </w:r>
        <w:r w:rsidR="00370958">
          <w:rPr>
            <w:webHidden/>
          </w:rPr>
          <w:fldChar w:fldCharType="separate"/>
        </w:r>
        <w:r w:rsidR="00076CF9">
          <w:rPr>
            <w:webHidden/>
          </w:rPr>
          <w:t>55</w:t>
        </w:r>
        <w:r w:rsidR="00370958">
          <w:rPr>
            <w:webHidden/>
          </w:rPr>
          <w:fldChar w:fldCharType="end"/>
        </w:r>
      </w:hyperlink>
    </w:p>
    <w:p w:rsidR="00370958" w:rsidRDefault="00E62C4F" w:rsidP="00370958">
      <w:pPr>
        <w:pStyle w:val="TOC2"/>
        <w:tabs>
          <w:tab w:val="left" w:pos="2268"/>
        </w:tabs>
        <w:ind w:left="1701"/>
        <w:rPr>
          <w:rFonts w:eastAsiaTheme="minorEastAsia"/>
          <w:szCs w:val="22"/>
          <w:lang w:eastAsia="en-AU"/>
        </w:rPr>
      </w:pPr>
      <w:hyperlink w:anchor="_Toc437438459" w:history="1">
        <w:r w:rsidR="00370958" w:rsidRPr="003E0AA6">
          <w:rPr>
            <w:rStyle w:val="Hyperlink"/>
          </w:rPr>
          <w:t>Scenario 3:</w:t>
        </w:r>
        <w:r w:rsidR="00370958">
          <w:rPr>
            <w:rStyle w:val="Hyperlink"/>
          </w:rPr>
          <w:tab/>
        </w:r>
        <w:r w:rsidR="00370958" w:rsidRPr="003E0AA6">
          <w:rPr>
            <w:rStyle w:val="Hyperlink"/>
          </w:rPr>
          <w:t>Increase the GST rate to 15 per cent</w:t>
        </w:r>
        <w:r w:rsidR="00370958">
          <w:rPr>
            <w:webHidden/>
          </w:rPr>
          <w:tab/>
        </w:r>
        <w:r w:rsidR="00370958">
          <w:rPr>
            <w:webHidden/>
          </w:rPr>
          <w:fldChar w:fldCharType="begin"/>
        </w:r>
        <w:r w:rsidR="00370958">
          <w:rPr>
            <w:webHidden/>
          </w:rPr>
          <w:instrText xml:space="preserve"> PAGEREF _Toc437438459 \h </w:instrText>
        </w:r>
        <w:r w:rsidR="00370958">
          <w:rPr>
            <w:webHidden/>
          </w:rPr>
        </w:r>
        <w:r w:rsidR="00370958">
          <w:rPr>
            <w:webHidden/>
          </w:rPr>
          <w:fldChar w:fldCharType="separate"/>
        </w:r>
        <w:r w:rsidR="00076CF9">
          <w:rPr>
            <w:webHidden/>
          </w:rPr>
          <w:t>57</w:t>
        </w:r>
        <w:r w:rsidR="00370958">
          <w:rPr>
            <w:webHidden/>
          </w:rPr>
          <w:fldChar w:fldCharType="end"/>
        </w:r>
      </w:hyperlink>
    </w:p>
    <w:p w:rsidR="00370958" w:rsidRDefault="00E62C4F" w:rsidP="00370958">
      <w:pPr>
        <w:pStyle w:val="TOC2"/>
        <w:tabs>
          <w:tab w:val="left" w:pos="2268"/>
        </w:tabs>
        <w:ind w:left="2268" w:hanging="1134"/>
        <w:rPr>
          <w:rFonts w:eastAsiaTheme="minorEastAsia"/>
          <w:szCs w:val="22"/>
          <w:lang w:eastAsia="en-AU"/>
        </w:rPr>
      </w:pPr>
      <w:hyperlink w:anchor="_Toc437438460" w:history="1">
        <w:r w:rsidR="00370958" w:rsidRPr="003E0AA6">
          <w:rPr>
            <w:rStyle w:val="Hyperlink"/>
          </w:rPr>
          <w:t>Scenario 4:</w:t>
        </w:r>
        <w:r w:rsidR="00370958">
          <w:rPr>
            <w:rStyle w:val="Hyperlink"/>
          </w:rPr>
          <w:tab/>
        </w:r>
        <w:r w:rsidR="00370958" w:rsidRPr="003E0AA6">
          <w:rPr>
            <w:rStyle w:val="Hyperlink"/>
          </w:rPr>
          <w:t xml:space="preserve">Increase the GST rate to 15 per cent; basic food subject </w:t>
        </w:r>
        <w:r w:rsidR="00370958">
          <w:rPr>
            <w:rStyle w:val="Hyperlink"/>
          </w:rPr>
          <w:br/>
        </w:r>
        <w:r w:rsidR="00370958" w:rsidRPr="003E0AA6">
          <w:rPr>
            <w:rStyle w:val="Hyperlink"/>
          </w:rPr>
          <w:t>to GST</w:t>
        </w:r>
        <w:r w:rsidR="00370958">
          <w:rPr>
            <w:webHidden/>
          </w:rPr>
          <w:tab/>
        </w:r>
        <w:r w:rsidR="00370958">
          <w:rPr>
            <w:webHidden/>
          </w:rPr>
          <w:fldChar w:fldCharType="begin"/>
        </w:r>
        <w:r w:rsidR="00370958">
          <w:rPr>
            <w:webHidden/>
          </w:rPr>
          <w:instrText xml:space="preserve"> PAGEREF _Toc437438460 \h </w:instrText>
        </w:r>
        <w:r w:rsidR="00370958">
          <w:rPr>
            <w:webHidden/>
          </w:rPr>
        </w:r>
        <w:r w:rsidR="00370958">
          <w:rPr>
            <w:webHidden/>
          </w:rPr>
          <w:fldChar w:fldCharType="separate"/>
        </w:r>
        <w:r w:rsidR="00076CF9">
          <w:rPr>
            <w:webHidden/>
          </w:rPr>
          <w:t>59</w:t>
        </w:r>
        <w:r w:rsidR="00370958">
          <w:rPr>
            <w:webHidden/>
          </w:rPr>
          <w:fldChar w:fldCharType="end"/>
        </w:r>
      </w:hyperlink>
    </w:p>
    <w:p w:rsidR="00370958" w:rsidRDefault="00E62C4F" w:rsidP="00370958">
      <w:pPr>
        <w:pStyle w:val="TOC2"/>
        <w:tabs>
          <w:tab w:val="left" w:pos="2268"/>
        </w:tabs>
        <w:ind w:left="2268" w:hanging="1134"/>
        <w:rPr>
          <w:rFonts w:eastAsiaTheme="minorEastAsia"/>
          <w:szCs w:val="22"/>
          <w:lang w:eastAsia="en-AU"/>
        </w:rPr>
      </w:pPr>
      <w:hyperlink w:anchor="_Toc437438461" w:history="1">
        <w:r w:rsidR="00370958" w:rsidRPr="003E0AA6">
          <w:rPr>
            <w:rStyle w:val="Hyperlink"/>
          </w:rPr>
          <w:t>Scenario 5:</w:t>
        </w:r>
        <w:r w:rsidR="00370958">
          <w:rPr>
            <w:rStyle w:val="Hyperlink"/>
          </w:rPr>
          <w:tab/>
        </w:r>
        <w:r w:rsidR="00370958" w:rsidRPr="003E0AA6">
          <w:rPr>
            <w:rStyle w:val="Hyperlink"/>
          </w:rPr>
          <w:t>Increase the GST rate to 15 per cent; remove concessions from GST base</w:t>
        </w:r>
        <w:r w:rsidR="00370958">
          <w:rPr>
            <w:webHidden/>
          </w:rPr>
          <w:tab/>
        </w:r>
        <w:r w:rsidR="00370958">
          <w:rPr>
            <w:webHidden/>
          </w:rPr>
          <w:fldChar w:fldCharType="begin"/>
        </w:r>
        <w:r w:rsidR="00370958">
          <w:rPr>
            <w:webHidden/>
          </w:rPr>
          <w:instrText xml:space="preserve"> PAGEREF _Toc437438461 \h </w:instrText>
        </w:r>
        <w:r w:rsidR="00370958">
          <w:rPr>
            <w:webHidden/>
          </w:rPr>
        </w:r>
        <w:r w:rsidR="00370958">
          <w:rPr>
            <w:webHidden/>
          </w:rPr>
          <w:fldChar w:fldCharType="separate"/>
        </w:r>
        <w:r w:rsidR="00076CF9">
          <w:rPr>
            <w:webHidden/>
          </w:rPr>
          <w:t>61</w:t>
        </w:r>
        <w:r w:rsidR="00370958">
          <w:rPr>
            <w:webHidden/>
          </w:rPr>
          <w:fldChar w:fldCharType="end"/>
        </w:r>
      </w:hyperlink>
    </w:p>
    <w:p w:rsidR="00691EC2" w:rsidRDefault="00370958" w:rsidP="00FB7440">
      <w:pPr>
        <w:pStyle w:val="TableofFigures"/>
      </w:pPr>
      <w:r>
        <w:rPr>
          <w:noProof/>
        </w:rPr>
        <w:fldChar w:fldCharType="end"/>
      </w:r>
    </w:p>
    <w:p w:rsidR="00691EC2" w:rsidRPr="00BA0FBF" w:rsidRDefault="00691EC2" w:rsidP="00742476">
      <w:pPr>
        <w:pStyle w:val="BodyText"/>
        <w:sectPr w:rsidR="00691EC2" w:rsidRPr="00BA0FBF" w:rsidSect="00BA0FBF">
          <w:pgSz w:w="11907" w:h="16839" w:code="9"/>
          <w:pgMar w:top="1361" w:right="1797" w:bottom="1474" w:left="1797" w:header="283" w:footer="454" w:gutter="0"/>
          <w:cols w:space="708"/>
          <w:docGrid w:linePitch="360"/>
        </w:sectPr>
      </w:pPr>
    </w:p>
    <w:p w:rsidR="005861F3" w:rsidRPr="00C9478A" w:rsidRDefault="00BC0EA5" w:rsidP="005861F3">
      <w:pPr>
        <w:pStyle w:val="Heading8"/>
        <w:rPr>
          <w:sz w:val="36"/>
          <w:szCs w:val="36"/>
        </w:rPr>
      </w:pPr>
      <w:bookmarkStart w:id="258" w:name="_Toc436652287"/>
      <w:bookmarkStart w:id="259" w:name="_Ref436834948"/>
      <w:bookmarkStart w:id="260" w:name="_Ref436835795"/>
      <w:bookmarkStart w:id="261" w:name="_Toc436400353"/>
      <w:bookmarkStart w:id="262" w:name="_Ref436652141"/>
      <w:r w:rsidRPr="00C9478A">
        <w:rPr>
          <w:sz w:val="36"/>
          <w:szCs w:val="36"/>
        </w:rPr>
        <w:t xml:space="preserve"> </w:t>
      </w:r>
      <w:bookmarkStart w:id="263" w:name="_Ref436910802"/>
      <w:bookmarkStart w:id="264" w:name="_Toc436917835"/>
      <w:bookmarkStart w:id="265" w:name="_Toc437438452"/>
      <w:r w:rsidRPr="00C9478A">
        <w:rPr>
          <w:sz w:val="36"/>
          <w:szCs w:val="36"/>
        </w:rPr>
        <w:t xml:space="preserve">– </w:t>
      </w:r>
      <w:r w:rsidR="005861F3" w:rsidRPr="00C9478A">
        <w:rPr>
          <w:sz w:val="36"/>
          <w:szCs w:val="36"/>
        </w:rPr>
        <w:t>Data, methodology and assumptions</w:t>
      </w:r>
      <w:bookmarkEnd w:id="258"/>
      <w:bookmarkEnd w:id="259"/>
      <w:bookmarkEnd w:id="260"/>
      <w:bookmarkEnd w:id="263"/>
      <w:bookmarkEnd w:id="264"/>
      <w:bookmarkEnd w:id="265"/>
    </w:p>
    <w:p w:rsidR="00F95381" w:rsidRPr="007209AE" w:rsidRDefault="00F95381" w:rsidP="00846FA0">
      <w:pPr>
        <w:pStyle w:val="Heading9"/>
        <w:rPr>
          <w:sz w:val="28"/>
          <w:szCs w:val="28"/>
        </w:rPr>
      </w:pPr>
      <w:bookmarkStart w:id="266" w:name="_Toc436400354"/>
      <w:bookmarkStart w:id="267" w:name="_Toc437438453"/>
      <w:bookmarkEnd w:id="261"/>
      <w:bookmarkEnd w:id="262"/>
      <w:r w:rsidRPr="007209AE">
        <w:rPr>
          <w:sz w:val="28"/>
          <w:szCs w:val="28"/>
        </w:rPr>
        <w:t>Distributional analysis</w:t>
      </w:r>
      <w:bookmarkEnd w:id="266"/>
      <w:bookmarkEnd w:id="267"/>
    </w:p>
    <w:p w:rsidR="00F95381" w:rsidRPr="00BA0FBF" w:rsidRDefault="00F95381" w:rsidP="00742476">
      <w:pPr>
        <w:pStyle w:val="BodyText"/>
      </w:pPr>
      <w:r w:rsidRPr="00BA0FBF">
        <w:t xml:space="preserve">The distributional analysis in this report is based on data from the ABS </w:t>
      </w:r>
      <w:r w:rsidRPr="00695B37">
        <w:rPr>
          <w:i/>
        </w:rPr>
        <w:t>Household Expenditure Survey</w:t>
      </w:r>
      <w:r w:rsidRPr="00BA0FBF">
        <w:t>.</w:t>
      </w:r>
    </w:p>
    <w:p w:rsidR="00F95381" w:rsidRPr="007209AE" w:rsidRDefault="00F95381" w:rsidP="00656EE8">
      <w:pPr>
        <w:pStyle w:val="AppendixHeading2"/>
        <w:rPr>
          <w:sz w:val="24"/>
          <w:szCs w:val="24"/>
        </w:rPr>
      </w:pPr>
      <w:bookmarkStart w:id="268" w:name="_Toc436400355"/>
      <w:r w:rsidRPr="007209AE">
        <w:rPr>
          <w:sz w:val="24"/>
          <w:szCs w:val="24"/>
        </w:rPr>
        <w:t>Household Expenditure Survey</w:t>
      </w:r>
      <w:bookmarkEnd w:id="268"/>
    </w:p>
    <w:p w:rsidR="00F95381" w:rsidRPr="00BA0FBF" w:rsidRDefault="00F95381" w:rsidP="00742476">
      <w:pPr>
        <w:pStyle w:val="BodyText"/>
      </w:pPr>
      <w:r w:rsidRPr="00BA0FBF">
        <w:t xml:space="preserve">The </w:t>
      </w:r>
      <w:r w:rsidRPr="00695B37">
        <w:rPr>
          <w:i/>
        </w:rPr>
        <w:t>Household Expenditure Survey</w:t>
      </w:r>
      <w:r w:rsidRPr="00BA0FBF">
        <w:t xml:space="preserve"> provides details of the income and expenditures of Australian households, covering 600 expenditure items including expenditure on goods and services, income tax and a number of other taxes and charges.</w:t>
      </w:r>
    </w:p>
    <w:p w:rsidR="00F95381" w:rsidRPr="00BA0FBF" w:rsidRDefault="00F95381" w:rsidP="00742476">
      <w:pPr>
        <w:pStyle w:val="BodyText"/>
      </w:pPr>
      <w:r w:rsidRPr="00BA0FBF">
        <w:t>An assessment was made on whether each of the 600 expenditure items was subject to the GST and, if so, an effective GST rate was estimated.  Where the GST treatment was unclear (for example food, which includes taxable and non-taxable items), the effective GST rate was estimated by comparing data on GST payable by industry with ABS input</w:t>
      </w:r>
      <w:r w:rsidRPr="00BA0FBF">
        <w:noBreakHyphen/>
        <w:t>output tables.</w:t>
      </w:r>
    </w:p>
    <w:p w:rsidR="00F95381" w:rsidRPr="00BA0FBF" w:rsidRDefault="00F95381" w:rsidP="00742476">
      <w:pPr>
        <w:pStyle w:val="BodyText"/>
      </w:pPr>
      <w:r w:rsidRPr="00BA0FBF">
        <w:t xml:space="preserve">The impact of GST </w:t>
      </w:r>
      <w:r w:rsidR="00F2790B">
        <w:t>on</w:t>
      </w:r>
      <w:r w:rsidRPr="00BA0FBF">
        <w:t xml:space="preserve"> each household in the survey is the sum of the product of expenditure on each item and its estimated effective GST rate.</w:t>
      </w:r>
      <w:r w:rsidR="009D3829" w:rsidRPr="0086621F">
        <w:rPr>
          <w:rStyle w:val="FootnoteReference"/>
        </w:rPr>
        <w:footnoteReference w:id="58"/>
      </w:r>
    </w:p>
    <w:p w:rsidR="00F95381" w:rsidRPr="00BA0FBF" w:rsidRDefault="00F95381" w:rsidP="00742476">
      <w:pPr>
        <w:pStyle w:val="BodyText"/>
      </w:pPr>
      <w:r w:rsidRPr="00BA0FBF">
        <w:t>The analysis of the distributional impact of the GST is done by ranking households into deciles (10 per cent increments) on the basis of equivalised household disposable income.</w:t>
      </w:r>
    </w:p>
    <w:p w:rsidR="00F95381" w:rsidRPr="00BA0FBF" w:rsidRDefault="00F95381" w:rsidP="00742476">
      <w:pPr>
        <w:pStyle w:val="BodyText"/>
      </w:pPr>
      <w:r w:rsidRPr="00BA0FBF">
        <w:t>Equivalised household disposable income is household income from all sources for all members of the household, less income tax and adjusted for the number of members in the household that the income supports.</w:t>
      </w:r>
    </w:p>
    <w:p w:rsidR="00C9478A" w:rsidRDefault="00F95381" w:rsidP="00742476">
      <w:pPr>
        <w:pStyle w:val="BodyText"/>
        <w:sectPr w:rsidR="00C9478A" w:rsidSect="00BA0FBF">
          <w:footerReference w:type="default" r:id="rId63"/>
          <w:pgSz w:w="11907" w:h="16839" w:code="9"/>
          <w:pgMar w:top="1361" w:right="1797" w:bottom="1474" w:left="1797" w:header="283" w:footer="454" w:gutter="0"/>
          <w:cols w:space="708"/>
          <w:docGrid w:linePitch="360"/>
        </w:sectPr>
      </w:pPr>
      <w:r w:rsidRPr="00BA0FBF">
        <w:t xml:space="preserve">The equivalence factors used in this analysis to adjust for differences in household size are those included by the </w:t>
      </w:r>
      <w:r w:rsidR="006135DA">
        <w:t>ABS</w:t>
      </w:r>
      <w:r w:rsidRPr="00BA0FBF">
        <w:t xml:space="preserve"> in the Household Expenditure Survey data file.</w:t>
      </w:r>
      <w:r w:rsidR="007A4CFE">
        <w:rPr>
          <w:rStyle w:val="FootnoteReference"/>
        </w:rPr>
        <w:footnoteReference w:id="59"/>
      </w:r>
    </w:p>
    <w:p w:rsidR="00F95381" w:rsidRPr="007209AE" w:rsidRDefault="00F95381" w:rsidP="00656EE8">
      <w:pPr>
        <w:pStyle w:val="AppendixHeading2"/>
        <w:rPr>
          <w:sz w:val="24"/>
          <w:szCs w:val="24"/>
        </w:rPr>
      </w:pPr>
      <w:bookmarkStart w:id="269" w:name="_Toc436400356"/>
      <w:r w:rsidRPr="007209AE">
        <w:rPr>
          <w:sz w:val="24"/>
          <w:szCs w:val="24"/>
        </w:rPr>
        <w:t>Limitations of the Household Expenditure Survey</w:t>
      </w:r>
      <w:bookmarkEnd w:id="269"/>
    </w:p>
    <w:p w:rsidR="00846FA0" w:rsidRDefault="00F95381" w:rsidP="00742476">
      <w:pPr>
        <w:pStyle w:val="BodyText"/>
      </w:pPr>
      <w:r w:rsidRPr="00BA0FBF">
        <w:t xml:space="preserve">The </w:t>
      </w:r>
      <w:r w:rsidRPr="00744788">
        <w:rPr>
          <w:i/>
        </w:rPr>
        <w:t>Household Expenditure Survey</w:t>
      </w:r>
      <w:r w:rsidRPr="00BA0FBF">
        <w:t xml:space="preserve"> is widely used for distributional analy</w:t>
      </w:r>
      <w:r w:rsidR="00D0289A">
        <w:t>sis of the type presented in this</w:t>
      </w:r>
      <w:r w:rsidRPr="00BA0FBF">
        <w:t xml:space="preserve"> report.  However there are well document</w:t>
      </w:r>
      <w:r w:rsidR="00D0289A">
        <w:t>ed limitations in this data that</w:t>
      </w:r>
      <w:r w:rsidRPr="00BA0FBF">
        <w:t xml:space="preserve"> should be kept in mind in interpreting the results of this analysis.</w:t>
      </w:r>
      <w:r w:rsidRPr="0086621F">
        <w:rPr>
          <w:rStyle w:val="FootnoteReference"/>
        </w:rPr>
        <w:footnoteReference w:id="60"/>
      </w:r>
    </w:p>
    <w:p w:rsidR="00F95381" w:rsidRPr="00BA0FBF" w:rsidRDefault="00F95381" w:rsidP="00742476">
      <w:pPr>
        <w:pStyle w:val="BodyText"/>
      </w:pPr>
      <w:r w:rsidRPr="00BA0FBF">
        <w:t>In particular:</w:t>
      </w:r>
    </w:p>
    <w:p w:rsidR="00F95381" w:rsidRPr="00BA0FBF" w:rsidRDefault="00F95381" w:rsidP="00742476">
      <w:pPr>
        <w:pStyle w:val="ListBullet"/>
      </w:pPr>
      <w:r w:rsidRPr="00BA0FBF">
        <w:t xml:space="preserve">the composition of expenditure in the </w:t>
      </w:r>
      <w:r w:rsidRPr="00695B37">
        <w:rPr>
          <w:i/>
        </w:rPr>
        <w:t>Household Expenditure Survey</w:t>
      </w:r>
      <w:r w:rsidRPr="00BA0FBF">
        <w:t xml:space="preserve"> is inconsistent with the (higher quality) aggregate consumption data</w:t>
      </w:r>
    </w:p>
    <w:p w:rsidR="00F95381" w:rsidRPr="00BA0FBF" w:rsidRDefault="00F95381" w:rsidP="00742476">
      <w:pPr>
        <w:pStyle w:val="ListBullet"/>
      </w:pPr>
      <w:r w:rsidRPr="00BA0FBF">
        <w:t xml:space="preserve">income data in the </w:t>
      </w:r>
      <w:r w:rsidRPr="00744788">
        <w:rPr>
          <w:i/>
        </w:rPr>
        <w:t>Household Expenditure Survey</w:t>
      </w:r>
      <w:r w:rsidRPr="00BA0FBF">
        <w:t xml:space="preserve"> is not comprehensive and is inconsistent with aggregate data from ATO and DSS estimates.</w:t>
      </w:r>
    </w:p>
    <w:p w:rsidR="00F95381" w:rsidRPr="00BA0FBF" w:rsidRDefault="00F95381" w:rsidP="00742476">
      <w:pPr>
        <w:pStyle w:val="BodyText"/>
      </w:pPr>
      <w:r w:rsidRPr="00BA0FBF">
        <w:t xml:space="preserve">These inconsistencies can have a potentially significant impact on the results of distributional analysis.  It is possible that the large disparity between expenditure and income in the first decile of household disposable income (with the household saving rate of -126 per cent) reflects a disproportionate share of households in this decile with </w:t>
      </w:r>
      <w:r w:rsidR="006135DA">
        <w:t>‘</w:t>
      </w:r>
      <w:r w:rsidRPr="00BA0FBF">
        <w:t>missing</w:t>
      </w:r>
      <w:r w:rsidR="006135DA">
        <w:t>’</w:t>
      </w:r>
      <w:r w:rsidRPr="00BA0FBF">
        <w:t xml:space="preserve"> or understated income in the </w:t>
      </w:r>
      <w:r w:rsidRPr="00744788">
        <w:rPr>
          <w:i/>
        </w:rPr>
        <w:t>Household Expenditure Survey</w:t>
      </w:r>
      <w:r w:rsidRPr="00BA0FBF">
        <w:t>.</w:t>
      </w:r>
    </w:p>
    <w:p w:rsidR="00F95381" w:rsidRPr="00BA0FBF" w:rsidRDefault="00F95381" w:rsidP="00742476">
      <w:pPr>
        <w:pStyle w:val="BodyText"/>
      </w:pPr>
      <w:r w:rsidRPr="00BA0FBF">
        <w:t xml:space="preserve">One explanation for this high level of saving is the disparity between income reported under the </w:t>
      </w:r>
      <w:r w:rsidRPr="00744788">
        <w:rPr>
          <w:i/>
        </w:rPr>
        <w:t>Household Expenditure Survey</w:t>
      </w:r>
      <w:r w:rsidRPr="00BA0FBF">
        <w:t xml:space="preserve"> data and aggregate consumption data.  The ABS has estimated that, adjusting for classification differences, income reported under the </w:t>
      </w:r>
      <w:r w:rsidRPr="00744788">
        <w:rPr>
          <w:i/>
        </w:rPr>
        <w:t>Household Expenditure Survey</w:t>
      </w:r>
      <w:r w:rsidRPr="00BA0FBF">
        <w:t xml:space="preserve"> is around 10 per cent lower overall than aggregate consumption data.</w:t>
      </w:r>
    </w:p>
    <w:p w:rsidR="00F95381" w:rsidRPr="00BA0FBF" w:rsidRDefault="00F95381" w:rsidP="00742476">
      <w:pPr>
        <w:pStyle w:val="BodyText"/>
      </w:pPr>
      <w:r w:rsidRPr="00BA0FBF">
        <w:t xml:space="preserve">Unsurprisingly, the bottom income decile contains the households with zero or negative income.  To the extent that this reflects problems in the data rather than the actual income of households will distort the analysis in this paper.  </w:t>
      </w:r>
      <w:r w:rsidR="008F74A3" w:rsidRPr="00BA0FBF">
        <w:fldChar w:fldCharType="begin"/>
      </w:r>
      <w:r w:rsidR="008F74A3" w:rsidRPr="00BA0FBF">
        <w:instrText xml:space="preserve"> REF _Ref436663413 \h </w:instrText>
      </w:r>
      <w:r w:rsidR="00BA0FBF" w:rsidRPr="00BA0FBF">
        <w:instrText xml:space="preserve"> \* MERGEFORMAT </w:instrText>
      </w:r>
      <w:r w:rsidR="008F74A3" w:rsidRPr="00BA0FBF">
        <w:fldChar w:fldCharType="separate"/>
      </w:r>
      <w:r w:rsidR="00076CF9" w:rsidRPr="00076CF9">
        <w:t>Figure A‒1</w:t>
      </w:r>
      <w:r w:rsidR="008F74A3" w:rsidRPr="00BA0FBF">
        <w:fldChar w:fldCharType="end"/>
      </w:r>
      <w:r w:rsidR="008F74A3" w:rsidRPr="00BA0FBF">
        <w:t xml:space="preserve"> </w:t>
      </w:r>
      <w:r w:rsidRPr="00BA0FBF">
        <w:t>suggests that there is a correlation between the high level of dissaving across age groups in the bottom income decile and the proportion of those households with zero or negative income.</w:t>
      </w:r>
    </w:p>
    <w:p w:rsidR="008F74A3" w:rsidRPr="00BA0FBF" w:rsidRDefault="008F74A3" w:rsidP="008F74A3">
      <w:pPr>
        <w:pStyle w:val="Caption"/>
        <w:rPr>
          <w:sz w:val="20"/>
        </w:rPr>
      </w:pPr>
      <w:bookmarkStart w:id="270" w:name="_Ref436663413"/>
      <w:r w:rsidRPr="00BA0FBF">
        <w:rPr>
          <w:sz w:val="20"/>
        </w:rPr>
        <w:t xml:space="preserve">Figure </w:t>
      </w:r>
      <w:r w:rsidRPr="00BA0FBF">
        <w:rPr>
          <w:sz w:val="20"/>
        </w:rPr>
        <w:fldChar w:fldCharType="begin"/>
      </w:r>
      <w:r w:rsidRPr="00BA0FBF">
        <w:rPr>
          <w:sz w:val="20"/>
        </w:rPr>
        <w:instrText xml:space="preserve"> STYLEREF 8 \s </w:instrText>
      </w:r>
      <w:r w:rsidRPr="00BA0FBF">
        <w:rPr>
          <w:sz w:val="20"/>
        </w:rPr>
        <w:fldChar w:fldCharType="separate"/>
      </w:r>
      <w:r w:rsidR="00076CF9">
        <w:rPr>
          <w:noProof/>
          <w:sz w:val="20"/>
        </w:rPr>
        <w:t>A</w:t>
      </w:r>
      <w:r w:rsidRPr="00BA0FBF">
        <w:rPr>
          <w:sz w:val="20"/>
        </w:rPr>
        <w:fldChar w:fldCharType="end"/>
      </w:r>
      <w:r w:rsidRPr="00BA0FBF">
        <w:rPr>
          <w:sz w:val="20"/>
        </w:rPr>
        <w:t>‒</w:t>
      </w:r>
      <w:r w:rsidRPr="00BA0FBF">
        <w:rPr>
          <w:sz w:val="20"/>
        </w:rPr>
        <w:fldChar w:fldCharType="begin"/>
      </w:r>
      <w:r w:rsidRPr="00BA0FBF">
        <w:rPr>
          <w:sz w:val="20"/>
        </w:rPr>
        <w:instrText xml:space="preserve"> SEQ AppendixFigure\s 8 </w:instrText>
      </w:r>
      <w:r w:rsidRPr="00BA0FBF">
        <w:rPr>
          <w:sz w:val="20"/>
        </w:rPr>
        <w:fldChar w:fldCharType="separate"/>
      </w:r>
      <w:r w:rsidR="00076CF9">
        <w:rPr>
          <w:noProof/>
          <w:sz w:val="20"/>
        </w:rPr>
        <w:t>1</w:t>
      </w:r>
      <w:r w:rsidRPr="00BA0FBF">
        <w:rPr>
          <w:sz w:val="20"/>
        </w:rPr>
        <w:fldChar w:fldCharType="end"/>
      </w:r>
      <w:bookmarkEnd w:id="270"/>
      <w:r w:rsidRPr="00BA0FBF">
        <w:rPr>
          <w:sz w:val="20"/>
        </w:rPr>
        <w:t>: Household saving and zero/negative income, bottom income decile</w:t>
      </w:r>
    </w:p>
    <w:p w:rsidR="00F95381" w:rsidRPr="00BA0FBF" w:rsidRDefault="00F95381" w:rsidP="00656EE8">
      <w:pPr>
        <w:pStyle w:val="BodyText"/>
        <w:rPr>
          <w:sz w:val="20"/>
        </w:rPr>
      </w:pPr>
      <w:r w:rsidRPr="00BA0FBF">
        <w:rPr>
          <w:noProof/>
          <w:sz w:val="20"/>
          <w:lang w:eastAsia="en-AU"/>
        </w:rPr>
        <w:drawing>
          <wp:inline distT="0" distB="0" distL="0" distR="0" wp14:anchorId="6343B211" wp14:editId="37132AD7">
            <wp:extent cx="4586400" cy="2750400"/>
            <wp:effectExtent l="0" t="0" r="5080" b="0"/>
            <wp:docPr id="43" name="Picture 43" descr="Figure A–1 shows a strong correlation between the household saving rate by age group with the proportion of people reporting zero income in the Household Expenditure Survey." title="Figure 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586400" cy="2750400"/>
                    </a:xfrm>
                    <a:prstGeom prst="rect">
                      <a:avLst/>
                    </a:prstGeom>
                    <a:noFill/>
                  </pic:spPr>
                </pic:pic>
              </a:graphicData>
            </a:graphic>
          </wp:inline>
        </w:drawing>
      </w:r>
    </w:p>
    <w:p w:rsidR="004E2C1A" w:rsidRDefault="004E2C1A" w:rsidP="004E2C1A">
      <w:pPr>
        <w:pStyle w:val="Source"/>
      </w:pPr>
      <w:r>
        <w:t xml:space="preserve">Source: </w:t>
      </w:r>
      <w:r w:rsidR="004E109F">
        <w:t>PBO analysis based on data from the ABS</w:t>
      </w:r>
    </w:p>
    <w:p w:rsidR="00F95381" w:rsidRPr="00BA0FBF" w:rsidRDefault="00F95381" w:rsidP="00742476">
      <w:pPr>
        <w:pStyle w:val="BodyText17ptAbove"/>
      </w:pPr>
      <w:r w:rsidRPr="00BA0FBF">
        <w:t>This suggests caution in drawing strong inferences from the impact of proposals on the first decile of income alone.</w:t>
      </w:r>
    </w:p>
    <w:p w:rsidR="00F95381" w:rsidRPr="00BA0FBF" w:rsidRDefault="00F95381" w:rsidP="00742476">
      <w:pPr>
        <w:pStyle w:val="BodyText17ptAbove"/>
      </w:pPr>
      <w:r w:rsidRPr="00BA0FBF">
        <w:t>Moreover, while a range of adjustments have been proposed to correct for these differences, it is not clear that they produce more robust, or more accurate, results.</w:t>
      </w:r>
      <w:r w:rsidRPr="0086621F">
        <w:rPr>
          <w:rStyle w:val="FootnoteReference"/>
        </w:rPr>
        <w:footnoteReference w:id="61"/>
      </w:r>
    </w:p>
    <w:p w:rsidR="00F95381" w:rsidRPr="007209AE" w:rsidRDefault="001F3383" w:rsidP="00846FA0">
      <w:pPr>
        <w:pStyle w:val="Heading9"/>
        <w:rPr>
          <w:sz w:val="28"/>
          <w:szCs w:val="28"/>
        </w:rPr>
      </w:pPr>
      <w:bookmarkStart w:id="271" w:name="_Toc436400357"/>
      <w:bookmarkStart w:id="272" w:name="_Toc437438454"/>
      <w:r w:rsidRPr="007209AE">
        <w:rPr>
          <w:sz w:val="28"/>
          <w:szCs w:val="28"/>
        </w:rPr>
        <w:t>Revenue impact</w:t>
      </w:r>
      <w:bookmarkEnd w:id="271"/>
      <w:bookmarkEnd w:id="272"/>
    </w:p>
    <w:p w:rsidR="00F95381" w:rsidRPr="007209AE" w:rsidRDefault="00F95381" w:rsidP="00695B37">
      <w:pPr>
        <w:pStyle w:val="AppendixHeading2"/>
        <w:tabs>
          <w:tab w:val="left" w:pos="709"/>
          <w:tab w:val="left" w:pos="993"/>
        </w:tabs>
        <w:rPr>
          <w:sz w:val="24"/>
          <w:szCs w:val="24"/>
        </w:rPr>
      </w:pPr>
      <w:bookmarkStart w:id="273" w:name="_Toc436400358"/>
      <w:r w:rsidRPr="007209AE">
        <w:rPr>
          <w:sz w:val="24"/>
          <w:szCs w:val="24"/>
        </w:rPr>
        <w:t>Key assumptions</w:t>
      </w:r>
      <w:bookmarkEnd w:id="273"/>
      <w:r w:rsidRPr="007209AE">
        <w:rPr>
          <w:sz w:val="24"/>
          <w:szCs w:val="24"/>
        </w:rPr>
        <w:t xml:space="preserve"> </w:t>
      </w:r>
    </w:p>
    <w:p w:rsidR="00F95381" w:rsidRPr="00BA0FBF" w:rsidRDefault="00F95381" w:rsidP="00742476">
      <w:pPr>
        <w:pStyle w:val="BodyText"/>
      </w:pPr>
      <w:r w:rsidRPr="00BA0FBF">
        <w:t xml:space="preserve">In estimating the </w:t>
      </w:r>
      <w:r w:rsidR="001F3383" w:rsidRPr="00BA0FBF">
        <w:t xml:space="preserve">net </w:t>
      </w:r>
      <w:r w:rsidR="0034643D">
        <w:t xml:space="preserve">additional </w:t>
      </w:r>
      <w:r w:rsidR="001F3383" w:rsidRPr="00BA0FBF">
        <w:t>GST revenue</w:t>
      </w:r>
      <w:r w:rsidRPr="00BA0FBF">
        <w:t xml:space="preserve"> of GST reform scenarios the PBO has made the following assumptions</w:t>
      </w:r>
      <w:r w:rsidR="008F74A3" w:rsidRPr="00BA0FBF">
        <w:t>.</w:t>
      </w:r>
    </w:p>
    <w:p w:rsidR="00F95381" w:rsidRPr="00ED6BD9" w:rsidRDefault="00F95381" w:rsidP="00695B37">
      <w:pPr>
        <w:pStyle w:val="AppendixHeading3"/>
      </w:pPr>
      <w:r w:rsidRPr="00ED6BD9">
        <w:t>GST revenue assumptions</w:t>
      </w:r>
    </w:p>
    <w:p w:rsidR="006B1EEF" w:rsidRPr="00BA0FBF" w:rsidRDefault="006B1EEF" w:rsidP="00742476">
      <w:pPr>
        <w:pStyle w:val="BodyText"/>
      </w:pPr>
      <w:r w:rsidRPr="00BA0FBF">
        <w:t xml:space="preserve">The analysis in this </w:t>
      </w:r>
      <w:r w:rsidR="00F2790B">
        <w:t xml:space="preserve">report </w:t>
      </w:r>
      <w:r w:rsidR="00F2790B" w:rsidRPr="00BA0FBF">
        <w:t>presents the additional GST revenue of GST reform scenarios</w:t>
      </w:r>
      <w:r w:rsidR="00F2790B">
        <w:t xml:space="preserve"> based on the assumption they</w:t>
      </w:r>
      <w:r w:rsidRPr="00BA0FBF">
        <w:t xml:space="preserve"> take effect on 1 July 2017.</w:t>
      </w:r>
    </w:p>
    <w:p w:rsidR="00C9478A" w:rsidRDefault="006B1EEF" w:rsidP="00742476">
      <w:pPr>
        <w:pStyle w:val="BodyText"/>
        <w:sectPr w:rsidR="00C9478A" w:rsidSect="00BA0FBF">
          <w:pgSz w:w="11907" w:h="16839" w:code="9"/>
          <w:pgMar w:top="1361" w:right="1797" w:bottom="1474" w:left="1797" w:header="283" w:footer="454" w:gutter="0"/>
          <w:cols w:space="708"/>
          <w:docGrid w:linePitch="360"/>
        </w:sectPr>
      </w:pPr>
      <w:r w:rsidRPr="00BA0FBF">
        <w:t>The analysis in this report assumes that GST reform scenarios apply on the basis that all other ta</w:t>
      </w:r>
      <w:r w:rsidR="0034643D">
        <w:t>xation settings are unchanged.</w:t>
      </w:r>
    </w:p>
    <w:p w:rsidR="006B1EEF" w:rsidRPr="00BA0FBF" w:rsidRDefault="006B1EEF" w:rsidP="00742476">
      <w:pPr>
        <w:pStyle w:val="BodyText"/>
      </w:pPr>
      <w:r w:rsidRPr="00BA0FBF">
        <w:t xml:space="preserve">Under the terms of the </w:t>
      </w:r>
      <w:r w:rsidRPr="00695B37">
        <w:rPr>
          <w:i/>
        </w:rPr>
        <w:t>Intergovernmental Agreement</w:t>
      </w:r>
      <w:r w:rsidRPr="00BA0FBF">
        <w:t xml:space="preserve"> (IGA), all GST revenue raised, less the agreed administration costs of the Australian Taxation Office, is paid to the States and Territories.</w:t>
      </w:r>
      <w:r w:rsidRPr="0086621F">
        <w:rPr>
          <w:rStyle w:val="FootnoteReference"/>
        </w:rPr>
        <w:footnoteReference w:id="62"/>
      </w:r>
      <w:r w:rsidRPr="00BA0FBF">
        <w:t xml:space="preserve">  Several options have been put forward for the use of the additional revenue generated under GST reform scenarios.</w:t>
      </w:r>
    </w:p>
    <w:p w:rsidR="006B1EEF" w:rsidRPr="00BA0FBF" w:rsidRDefault="006B1EEF" w:rsidP="00742476">
      <w:pPr>
        <w:pStyle w:val="BodyText"/>
      </w:pPr>
      <w:r w:rsidRPr="00BA0FBF">
        <w:t>The PBO has made no assumption on how GST revenue (net of the assumed compensation package) would be used.</w:t>
      </w:r>
    </w:p>
    <w:p w:rsidR="006B1EEF" w:rsidRPr="000A57B5" w:rsidRDefault="006B1EEF" w:rsidP="00695B37">
      <w:pPr>
        <w:pStyle w:val="AppendixHeading3"/>
      </w:pPr>
      <w:r w:rsidRPr="000B2AF4">
        <w:t xml:space="preserve">Consumption </w:t>
      </w:r>
      <w:r w:rsidR="006135DA">
        <w:t>r</w:t>
      </w:r>
      <w:r w:rsidRPr="000B2AF4">
        <w:t xml:space="preserve">esponse to GST </w:t>
      </w:r>
      <w:r w:rsidR="006135DA">
        <w:t>r</w:t>
      </w:r>
      <w:r w:rsidRPr="000B2AF4">
        <w:t>efor</w:t>
      </w:r>
      <w:r w:rsidRPr="000A57B5">
        <w:t xml:space="preserve">m </w:t>
      </w:r>
      <w:r w:rsidR="006135DA">
        <w:t>s</w:t>
      </w:r>
      <w:r w:rsidRPr="000A57B5">
        <w:t>cenarios</w:t>
      </w:r>
    </w:p>
    <w:p w:rsidR="006B1EEF" w:rsidRPr="00BA0FBF" w:rsidRDefault="006B1EEF" w:rsidP="00742476">
      <w:pPr>
        <w:pStyle w:val="BodyText"/>
      </w:pPr>
      <w:r w:rsidRPr="00BA0FBF">
        <w:t xml:space="preserve">This analysis does not include any changes in the </w:t>
      </w:r>
      <w:r w:rsidR="00D0289A">
        <w:t>overall volume</w:t>
      </w:r>
      <w:r w:rsidRPr="00BA0FBF">
        <w:t xml:space="preserve"> of goods and services purchased that may result from households changing their consumption behaviour in response to GST reform scenarios.  The impact on GST revenue from the GST reform scenarios wholly reflects the impact from price changes.</w:t>
      </w:r>
    </w:p>
    <w:p w:rsidR="006B1EEF" w:rsidRPr="00BA0FBF" w:rsidRDefault="006B1EEF" w:rsidP="00742476">
      <w:pPr>
        <w:pStyle w:val="BodyText"/>
      </w:pPr>
      <w:r w:rsidRPr="00BA0FBF">
        <w:t>This analysis incorporates an assumption to allow for a shift in consumption from taxable to non</w:t>
      </w:r>
      <w:r w:rsidRPr="00BA0FBF">
        <w:noBreakHyphen/>
        <w:t>taxable items in response to changes in relative prices under GST reform scenarios.  This has relatively little impact on the net revenue under GST reform scenarios.</w:t>
      </w:r>
      <w:r w:rsidRPr="0086621F">
        <w:rPr>
          <w:rStyle w:val="FootnoteReference"/>
        </w:rPr>
        <w:footnoteReference w:id="63"/>
      </w:r>
    </w:p>
    <w:p w:rsidR="006B1EEF" w:rsidRPr="00BA0FBF" w:rsidRDefault="006B1EEF" w:rsidP="00742476">
      <w:pPr>
        <w:pStyle w:val="BodyText"/>
      </w:pPr>
      <w:r w:rsidRPr="00BA0FBF">
        <w:t>The experience with the introduction of the GST in 2000 suggests that increasing the GST rate and/or broadening the GST base would be likely to see some consumption brought forward from 2017</w:t>
      </w:r>
      <w:r w:rsidR="0049030A" w:rsidRPr="00BA0FBF">
        <w:t>–</w:t>
      </w:r>
      <w:r w:rsidRPr="00BA0FBF">
        <w:t>18 to 2016</w:t>
      </w:r>
      <w:r w:rsidR="0049030A" w:rsidRPr="00BA0FBF">
        <w:t>–</w:t>
      </w:r>
      <w:r w:rsidR="00846FA0">
        <w:t>17.</w:t>
      </w:r>
      <w:r w:rsidR="00D0289A">
        <w:t xml:space="preserve">  </w:t>
      </w:r>
      <w:r w:rsidRPr="00BA0FBF">
        <w:t>The extent of this bring forward would depend, among other things, on the timing of the announcement of any proposal, specific details of rules covering prepayments, and the response of producers to shifts in consumer demand.</w:t>
      </w:r>
    </w:p>
    <w:p w:rsidR="006B1EEF" w:rsidRPr="00BA0FBF" w:rsidRDefault="006B1EEF" w:rsidP="00742476">
      <w:pPr>
        <w:pStyle w:val="BodyText"/>
      </w:pPr>
      <w:r w:rsidRPr="00BA0FBF">
        <w:t>The analysis in this report does not include any adjustment to reflect the impact of GST reform scenarios on the timing of consumption, reflecting its focus on the ongoing impact of GST reform scenarios rather than transitional effects.</w:t>
      </w:r>
    </w:p>
    <w:p w:rsidR="006B1EEF" w:rsidRPr="00BA0FBF" w:rsidRDefault="006B1EEF" w:rsidP="00742476">
      <w:pPr>
        <w:pStyle w:val="BodyText"/>
      </w:pPr>
      <w:r w:rsidRPr="00BA0FBF">
        <w:t>All price impacts from the GST rate changes are assumed to be passed through the production chain immediately and to be fully borne by final consumers of the good or service.  As a result there is minimal impact on company or income tax.</w:t>
      </w:r>
    </w:p>
    <w:p w:rsidR="006B1EEF" w:rsidRPr="006135DA" w:rsidRDefault="006B1EEF" w:rsidP="006135DA">
      <w:pPr>
        <w:pStyle w:val="AppendixHeading3"/>
      </w:pPr>
      <w:r w:rsidRPr="006135DA">
        <w:t xml:space="preserve">Technical </w:t>
      </w:r>
      <w:r w:rsidR="005419A8">
        <w:t>a</w:t>
      </w:r>
      <w:r w:rsidRPr="006135DA">
        <w:t xml:space="preserve">ssumption on </w:t>
      </w:r>
      <w:r w:rsidR="005419A8">
        <w:t>c</w:t>
      </w:r>
      <w:r w:rsidRPr="006135DA">
        <w:t>ompensation</w:t>
      </w:r>
    </w:p>
    <w:p w:rsidR="00C9478A" w:rsidRDefault="006B1EEF" w:rsidP="00742476">
      <w:pPr>
        <w:pStyle w:val="BodyText"/>
        <w:sectPr w:rsidR="00C9478A" w:rsidSect="00BA0FBF">
          <w:pgSz w:w="11907" w:h="16839" w:code="9"/>
          <w:pgMar w:top="1361" w:right="1797" w:bottom="1474" w:left="1797" w:header="283" w:footer="454" w:gutter="0"/>
          <w:cols w:space="708"/>
          <w:docGrid w:linePitch="360"/>
        </w:sectPr>
      </w:pPr>
      <w:r w:rsidRPr="00BA0FBF">
        <w:t>Proponents of GST reform invariably acknowledge that there would be a need to compensate lower income earners for the regressive impact of proposals.  The specific design of compensation packages is a policy question, involving consideration of a range of possible changes to the tax and transfer system.  The PBO has made no assumption on the specific form compensation packages might take.</w:t>
      </w:r>
    </w:p>
    <w:p w:rsidR="006B1EEF" w:rsidRPr="00BA0FBF" w:rsidRDefault="00493F47" w:rsidP="00742476">
      <w:pPr>
        <w:pStyle w:val="BodyText"/>
      </w:pPr>
      <w:r>
        <w:t>I</w:t>
      </w:r>
      <w:r w:rsidR="006B1EEF" w:rsidRPr="00BA0FBF">
        <w:t>gnoring compensation completely</w:t>
      </w:r>
      <w:r>
        <w:t>, however,</w:t>
      </w:r>
      <w:r w:rsidR="006B1EEF" w:rsidRPr="00BA0FBF">
        <w:t xml:space="preserve"> would reduce the usefulness of this analysis.  For the purposes of this analysis, the PBO has made a technical assumption that there would be a compensation package that would have an aggregate financial impact equivalent to providing full compensation on average for the impact of proposals on the bottom </w:t>
      </w:r>
      <w:r w:rsidR="006135DA">
        <w:t>40</w:t>
      </w:r>
      <w:r w:rsidR="006135DA" w:rsidRPr="00BA0FBF">
        <w:t xml:space="preserve"> </w:t>
      </w:r>
      <w:r w:rsidR="006B1EEF" w:rsidRPr="00BA0FBF">
        <w:t>per cent of households by disposable income.</w:t>
      </w:r>
      <w:r w:rsidRPr="00493F47">
        <w:t xml:space="preserve"> </w:t>
      </w:r>
      <w:r>
        <w:t xml:space="preserve"> Th</w:t>
      </w:r>
      <w:r w:rsidRPr="00D2548F">
        <w:t>e impact of the increase in the CPI on Government payments is</w:t>
      </w:r>
      <w:r>
        <w:t xml:space="preserve"> assumed to be</w:t>
      </w:r>
      <w:r w:rsidRPr="00D2548F">
        <w:t xml:space="preserve"> included in this amount.</w:t>
      </w:r>
    </w:p>
    <w:p w:rsidR="00F95381" w:rsidRPr="006135DA" w:rsidRDefault="00F95381" w:rsidP="006135DA">
      <w:pPr>
        <w:pStyle w:val="AppendixHeading3"/>
      </w:pPr>
      <w:r w:rsidRPr="006135DA">
        <w:t>Impacts of higher CPI: Government payments, fuel and alcohol revenues</w:t>
      </w:r>
    </w:p>
    <w:p w:rsidR="006B1EEF" w:rsidRPr="00BA0FBF" w:rsidRDefault="00F95381" w:rsidP="00742476">
      <w:pPr>
        <w:pStyle w:val="BodyText"/>
      </w:pPr>
      <w:r w:rsidRPr="00BA0FBF">
        <w:t>The proposals would impact the CPI release for the quarter immediately after the GST change took effect (in this case t</w:t>
      </w:r>
      <w:r w:rsidR="006B1EEF" w:rsidRPr="00BA0FBF">
        <w:t>he September quarter of 2017).  The consequential impact of the higher CPI on G</w:t>
      </w:r>
      <w:r w:rsidRPr="00BA0FBF">
        <w:t xml:space="preserve">overnment payments and revenues </w:t>
      </w:r>
      <w:r w:rsidR="006B1EEF" w:rsidRPr="00BA0FBF">
        <w:t xml:space="preserve">has not been included </w:t>
      </w:r>
      <w:r w:rsidR="00C2657C" w:rsidRPr="00BA0FBF">
        <w:t xml:space="preserve">in this analysis as in practice they </w:t>
      </w:r>
      <w:r w:rsidR="00493F47">
        <w:t xml:space="preserve">would </w:t>
      </w:r>
      <w:r w:rsidR="00C2657C" w:rsidRPr="00BA0FBF">
        <w:t>be factored into policy decisions.</w:t>
      </w:r>
    </w:p>
    <w:p w:rsidR="00C2657C" w:rsidRPr="00BA0FBF" w:rsidRDefault="006B1EEF" w:rsidP="00742476">
      <w:pPr>
        <w:pStyle w:val="ListBullet"/>
      </w:pPr>
      <w:r w:rsidRPr="00BA0FBF">
        <w:t xml:space="preserve">The impact of the increase in the CPI on Government payments is assumed to be </w:t>
      </w:r>
      <w:r w:rsidR="00C2657C" w:rsidRPr="00BA0FBF">
        <w:t>included in the technical assumption on compensation</w:t>
      </w:r>
      <w:r w:rsidR="00F95381" w:rsidRPr="00BA0FBF">
        <w:t>.</w:t>
      </w:r>
    </w:p>
    <w:p w:rsidR="00F95381" w:rsidRPr="00BA0FBF" w:rsidRDefault="00F95381" w:rsidP="00742476">
      <w:pPr>
        <w:pStyle w:val="ListBullet"/>
      </w:pPr>
      <w:r w:rsidRPr="00BA0FBF">
        <w:t>The</w:t>
      </w:r>
      <w:r w:rsidR="00C2657C" w:rsidRPr="00BA0FBF">
        <w:t>re were a number of policy decisions on alcohol and fuel excise (and the fuel tax credit) at the time of the</w:t>
      </w:r>
      <w:r w:rsidRPr="00BA0FBF">
        <w:t xml:space="preserve"> </w:t>
      </w:r>
      <w:r w:rsidR="00C2657C" w:rsidRPr="00BA0FBF">
        <w:t>introduction of the GST in 2000</w:t>
      </w:r>
      <w:r w:rsidR="006B1EEF" w:rsidRPr="00BA0FBF">
        <w:t>.</w:t>
      </w:r>
    </w:p>
    <w:p w:rsidR="00F95381" w:rsidRPr="00BA0FBF" w:rsidRDefault="00F95381" w:rsidP="006135DA">
      <w:pPr>
        <w:pStyle w:val="AppendixHeading3"/>
      </w:pPr>
      <w:r w:rsidRPr="00BA0FBF">
        <w:t>Impact on administration costs</w:t>
      </w:r>
    </w:p>
    <w:p w:rsidR="00F95381" w:rsidRPr="00BA0FBF" w:rsidRDefault="00F95381" w:rsidP="00742476">
      <w:pPr>
        <w:pStyle w:val="BodyText"/>
      </w:pPr>
      <w:r w:rsidRPr="0034643D">
        <w:t xml:space="preserve">The </w:t>
      </w:r>
      <w:r w:rsidR="00A61D72" w:rsidRPr="0034643D">
        <w:t>analysis</w:t>
      </w:r>
      <w:r w:rsidRPr="0034643D">
        <w:t xml:space="preserve"> </w:t>
      </w:r>
      <w:r w:rsidR="00864A17" w:rsidRPr="0034643D">
        <w:t xml:space="preserve">does not include </w:t>
      </w:r>
      <w:r w:rsidRPr="0034643D">
        <w:t xml:space="preserve">additional administration costs in the forward estimates period associated with implementing the proposal.  </w:t>
      </w:r>
      <w:r w:rsidR="00864A17" w:rsidRPr="0034643D">
        <w:t>T</w:t>
      </w:r>
      <w:r w:rsidRPr="0034643D">
        <w:t xml:space="preserve">he </w:t>
      </w:r>
      <w:r w:rsidR="00864A17" w:rsidRPr="0034643D">
        <w:t>ongoing</w:t>
      </w:r>
      <w:r w:rsidRPr="0034643D">
        <w:t xml:space="preserve"> </w:t>
      </w:r>
      <w:r w:rsidR="00864A17" w:rsidRPr="0034643D">
        <w:t>impact on the Australian Government’s administration costs is</w:t>
      </w:r>
      <w:r w:rsidRPr="0034643D">
        <w:t xml:space="preserve"> assumed to be relatively small.</w:t>
      </w:r>
    </w:p>
    <w:p w:rsidR="00F95381" w:rsidRPr="006135DA" w:rsidRDefault="00F95381" w:rsidP="006135DA">
      <w:pPr>
        <w:pStyle w:val="AppendixHeading3"/>
      </w:pPr>
      <w:r w:rsidRPr="006135DA">
        <w:t>Economy-wide (second-round) effects</w:t>
      </w:r>
    </w:p>
    <w:p w:rsidR="00F95381" w:rsidRPr="00742476" w:rsidRDefault="00F95381" w:rsidP="00BA0FBF">
      <w:pPr>
        <w:pStyle w:val="BodyText"/>
      </w:pPr>
      <w:r w:rsidRPr="00742476">
        <w:t>The broader macroeconomic impacts of this proposal (including its potential impact on economic efficiency, wage growth and household consumption) have not been modelled.  These effects are</w:t>
      </w:r>
      <w:r w:rsidRPr="00BA0FBF">
        <w:rPr>
          <w:sz w:val="20"/>
        </w:rPr>
        <w:t xml:space="preserve"> </w:t>
      </w:r>
      <w:r w:rsidRPr="00742476">
        <w:t>highly uncertain and hard to measure, particularly in the absence of information on how the additional revenue would be used.</w:t>
      </w:r>
    </w:p>
    <w:p w:rsidR="00F95381" w:rsidRPr="007209AE" w:rsidRDefault="00F95381" w:rsidP="00656EE8">
      <w:pPr>
        <w:pStyle w:val="AppendixHeading2"/>
        <w:rPr>
          <w:sz w:val="24"/>
          <w:szCs w:val="24"/>
        </w:rPr>
      </w:pPr>
      <w:bookmarkStart w:id="274" w:name="_Toc436400359"/>
      <w:r w:rsidRPr="007209AE">
        <w:rPr>
          <w:sz w:val="24"/>
          <w:szCs w:val="24"/>
        </w:rPr>
        <w:t xml:space="preserve">Costing </w:t>
      </w:r>
      <w:r w:rsidR="006135DA" w:rsidRPr="007209AE">
        <w:rPr>
          <w:sz w:val="24"/>
          <w:szCs w:val="24"/>
        </w:rPr>
        <w:t>m</w:t>
      </w:r>
      <w:r w:rsidRPr="007209AE">
        <w:rPr>
          <w:sz w:val="24"/>
          <w:szCs w:val="24"/>
        </w:rPr>
        <w:t>ethodology</w:t>
      </w:r>
      <w:bookmarkEnd w:id="274"/>
    </w:p>
    <w:p w:rsidR="00F95381" w:rsidRPr="00BA0FBF" w:rsidRDefault="00F95381" w:rsidP="00742476">
      <w:pPr>
        <w:pStyle w:val="BodyText"/>
      </w:pPr>
      <w:r w:rsidRPr="00BA0FBF">
        <w:t xml:space="preserve">PRISMOD was used to estimate the revenue and consumer price implications of this proposal. </w:t>
      </w:r>
      <w:r w:rsidR="00C2657C" w:rsidRPr="00BA0FBF">
        <w:t xml:space="preserve"> It</w:t>
      </w:r>
      <w:r w:rsidRPr="00BA0FBF">
        <w:t xml:space="preserve"> calculates how GST related price changes flow through industries in the production chain to the final consumptio</w:t>
      </w:r>
      <w:r w:rsidR="0049030A" w:rsidRPr="00BA0FBF">
        <w:t>n price of goods and services.</w:t>
      </w:r>
    </w:p>
    <w:p w:rsidR="00F95381" w:rsidRPr="00BA0FBF" w:rsidRDefault="00F95381" w:rsidP="00742476">
      <w:pPr>
        <w:pStyle w:val="BodyText"/>
      </w:pPr>
      <w:r w:rsidRPr="00BA0FBF">
        <w:t xml:space="preserve">The model applies GST at all relevant points along the production chain capturing goods and services that are inputs to further production (generating input tax credits) as well as goods that represent final consumption.  </w:t>
      </w:r>
      <w:r w:rsidR="00C2657C" w:rsidRPr="00BA0FBF">
        <w:t xml:space="preserve">It </w:t>
      </w:r>
      <w:r w:rsidRPr="00BA0FBF">
        <w:t>calculates the effective GST tax rates on goods and services at the current 10 per cent GST rate. These represent the base effective rates of GST that apply to</w:t>
      </w:r>
      <w:r w:rsidR="0049030A" w:rsidRPr="00BA0FBF">
        <w:t xml:space="preserve"> particular goods and services.</w:t>
      </w:r>
    </w:p>
    <w:p w:rsidR="00F95381" w:rsidRPr="00BA0FBF" w:rsidRDefault="00F95381" w:rsidP="00742476">
      <w:pPr>
        <w:pStyle w:val="BodyText"/>
      </w:pPr>
      <w:r w:rsidRPr="00BA0FBF">
        <w:t>The effective rates may be less than the current statutory rate of 10 per cent, reflecting different levels of business input tax credits claimed f</w:t>
      </w:r>
      <w:r w:rsidR="0049030A" w:rsidRPr="00BA0FBF">
        <w:t>or each good.</w:t>
      </w:r>
    </w:p>
    <w:p w:rsidR="00F95381" w:rsidRPr="00BA0FBF" w:rsidRDefault="00F95381" w:rsidP="00742476">
      <w:pPr>
        <w:pStyle w:val="BodyText"/>
      </w:pPr>
      <w:r w:rsidRPr="00BA0FBF">
        <w:t xml:space="preserve">PRISMOD is calibrated to include the actual amount of GST revenue that was collected </w:t>
      </w:r>
      <w:r w:rsidR="0049030A" w:rsidRPr="00BA0FBF">
        <w:t>in the base year for the model.</w:t>
      </w:r>
    </w:p>
    <w:p w:rsidR="00F95381" w:rsidRPr="00BA0FBF" w:rsidRDefault="00F95381" w:rsidP="00742476">
      <w:pPr>
        <w:pStyle w:val="BodyText"/>
      </w:pPr>
      <w:r w:rsidRPr="00BA0FBF">
        <w:t>The PBO estimate</w:t>
      </w:r>
      <w:r w:rsidR="00C2657C" w:rsidRPr="00BA0FBF">
        <w:t>d</w:t>
      </w:r>
      <w:r w:rsidRPr="00BA0FBF">
        <w:t xml:space="preserve"> the revenue impact of GST rate and base changes by adjusting the effective GST rates on goods and service</w:t>
      </w:r>
      <w:r w:rsidR="00C2657C" w:rsidRPr="00BA0FBF">
        <w:t>s to reflect the GST reform scenario</w:t>
      </w:r>
      <w:r w:rsidR="0049030A" w:rsidRPr="00BA0FBF">
        <w:t>.</w:t>
      </w:r>
    </w:p>
    <w:p w:rsidR="00F95381" w:rsidRPr="00BA0FBF" w:rsidRDefault="00F95381" w:rsidP="00742476">
      <w:pPr>
        <w:pStyle w:val="BodyText"/>
      </w:pPr>
      <w:r w:rsidRPr="00BA0FBF">
        <w:t xml:space="preserve">Comparing the GST revenue expected under the proposal with the base GST revenue amount gives the impact of the </w:t>
      </w:r>
      <w:r w:rsidR="00C2657C" w:rsidRPr="00BA0FBF">
        <w:t>scenario.</w:t>
      </w:r>
    </w:p>
    <w:p w:rsidR="00F95381" w:rsidRPr="00BA0FBF" w:rsidRDefault="00F95381" w:rsidP="00742476">
      <w:pPr>
        <w:pStyle w:val="BodyText"/>
      </w:pPr>
      <w:r w:rsidRPr="00BA0FBF">
        <w:t>Further detail on PRISMOD and its underlying assumptions is included below.</w:t>
      </w:r>
    </w:p>
    <w:p w:rsidR="00F95381" w:rsidRPr="00BA0FBF" w:rsidRDefault="00F95381" w:rsidP="00EF7810">
      <w:pPr>
        <w:pStyle w:val="AppendixHeading3"/>
        <w:rPr>
          <w:sz w:val="20"/>
        </w:rPr>
      </w:pPr>
      <w:r w:rsidRPr="00BA0FBF">
        <w:rPr>
          <w:sz w:val="20"/>
        </w:rPr>
        <w:t>Rounding</w:t>
      </w:r>
    </w:p>
    <w:p w:rsidR="00941D11" w:rsidRDefault="00F95381" w:rsidP="00742476">
      <w:pPr>
        <w:pStyle w:val="BodyText"/>
      </w:pPr>
      <w:r w:rsidRPr="00BA0FBF">
        <w:t>GST revenue and expenditure estimates have been rounded to the nearest $50</w:t>
      </w:r>
      <w:r w:rsidR="00752725">
        <w:t xml:space="preserve"> million</w:t>
      </w:r>
      <w:r w:rsidR="0049030A" w:rsidRPr="00BA0FBF">
        <w:t>.</w:t>
      </w:r>
    </w:p>
    <w:p w:rsidR="00F95381" w:rsidRPr="007209AE" w:rsidRDefault="00F95381" w:rsidP="00656EE8">
      <w:pPr>
        <w:pStyle w:val="AppendixHeading2"/>
        <w:rPr>
          <w:sz w:val="24"/>
          <w:szCs w:val="24"/>
        </w:rPr>
      </w:pPr>
      <w:bookmarkStart w:id="275" w:name="_Toc436400360"/>
      <w:r w:rsidRPr="007209AE">
        <w:rPr>
          <w:sz w:val="24"/>
          <w:szCs w:val="24"/>
        </w:rPr>
        <w:t>Data sources</w:t>
      </w:r>
      <w:bookmarkEnd w:id="275"/>
    </w:p>
    <w:p w:rsidR="00F95381" w:rsidRPr="00BA0FBF" w:rsidRDefault="00F95381" w:rsidP="00742476">
      <w:pPr>
        <w:pStyle w:val="BodyText"/>
      </w:pPr>
      <w:r w:rsidRPr="00BA0FBF">
        <w:t>Forecasts of economic parameters from the 2015</w:t>
      </w:r>
      <w:r w:rsidR="0049030A" w:rsidRPr="00BA0FBF">
        <w:t>–</w:t>
      </w:r>
      <w:r w:rsidRPr="00BA0FBF">
        <w:t>16 Budget were obtained from the Treasury.</w:t>
      </w:r>
    </w:p>
    <w:p w:rsidR="00F95381" w:rsidRPr="00BA0FBF" w:rsidRDefault="00F95381" w:rsidP="00742476">
      <w:pPr>
        <w:pStyle w:val="ListBullet"/>
      </w:pPr>
      <w:r w:rsidRPr="00BA0FBF">
        <w:t xml:space="preserve">Modelling of the impacts on Government payments to households </w:t>
      </w:r>
      <w:r w:rsidR="0049030A" w:rsidRPr="00BA0FBF">
        <w:t xml:space="preserve">are based on data from the </w:t>
      </w:r>
      <w:r w:rsidR="0049030A" w:rsidRPr="00695B37">
        <w:rPr>
          <w:i/>
        </w:rPr>
        <w:t>2007–08</w:t>
      </w:r>
      <w:r w:rsidR="0049030A" w:rsidRPr="00BA0FBF">
        <w:t xml:space="preserve"> and </w:t>
      </w:r>
      <w:r w:rsidR="0049030A" w:rsidRPr="00695B37">
        <w:rPr>
          <w:i/>
        </w:rPr>
        <w:t>2009–</w:t>
      </w:r>
      <w:r w:rsidRPr="00695B37">
        <w:rPr>
          <w:i/>
        </w:rPr>
        <w:t>10 ABS Surveys of Income and Housing</w:t>
      </w:r>
      <w:r w:rsidRPr="00BA0FBF">
        <w:t>.</w:t>
      </w:r>
    </w:p>
    <w:p w:rsidR="00F95381" w:rsidRPr="00BA0FBF" w:rsidRDefault="00F95381" w:rsidP="00742476">
      <w:pPr>
        <w:pStyle w:val="ListBullet"/>
      </w:pPr>
      <w:r w:rsidRPr="00BA0FBF">
        <w:t xml:space="preserve">Unit record data for alcohol and fuel excise was obtained from the </w:t>
      </w:r>
      <w:r w:rsidR="008F02AD">
        <w:t>ATO</w:t>
      </w:r>
      <w:r w:rsidRPr="00BA0FBF">
        <w:t xml:space="preserve"> and unit record data for excise equivalent customs duty was obtained from the Australian Customs and Border Protection Service.</w:t>
      </w:r>
    </w:p>
    <w:p w:rsidR="00F95381" w:rsidRPr="00BA0FBF" w:rsidRDefault="00F95381" w:rsidP="00742476">
      <w:pPr>
        <w:pStyle w:val="BodyText"/>
      </w:pPr>
      <w:r w:rsidRPr="00BA0FBF">
        <w:t>Forward estimates of recipient numbers and expenses for Australian Government payments at the 2015</w:t>
      </w:r>
      <w:r w:rsidR="0049030A" w:rsidRPr="00BA0FBF">
        <w:t>–</w:t>
      </w:r>
      <w:r w:rsidRPr="00BA0FBF">
        <w:t>16 Budget were provided by the agencies responsible for administering these payments.</w:t>
      </w:r>
    </w:p>
    <w:p w:rsidR="00F95381" w:rsidRPr="007209AE" w:rsidRDefault="00F95381" w:rsidP="00656EE8">
      <w:pPr>
        <w:pStyle w:val="AppendixHeading2"/>
        <w:rPr>
          <w:sz w:val="24"/>
          <w:szCs w:val="24"/>
        </w:rPr>
      </w:pPr>
      <w:bookmarkStart w:id="276" w:name="_Toc436400361"/>
      <w:r w:rsidRPr="007209AE">
        <w:rPr>
          <w:sz w:val="24"/>
          <w:szCs w:val="24"/>
        </w:rPr>
        <w:t>PRISMOD</w:t>
      </w:r>
      <w:bookmarkEnd w:id="276"/>
    </w:p>
    <w:p w:rsidR="00F95381" w:rsidRPr="00BA0FBF" w:rsidRDefault="00F95381" w:rsidP="00742476">
      <w:pPr>
        <w:pStyle w:val="BodyText"/>
      </w:pPr>
      <w:r w:rsidRPr="00BA0FBF">
        <w:t xml:space="preserve">PRISMOD is a large-scale highly disaggregated model of the Australian economy that captures the flows of goods between production industries and final consumers. </w:t>
      </w:r>
      <w:r w:rsidR="0064422F" w:rsidRPr="00BA0FBF">
        <w:t xml:space="preserve"> </w:t>
      </w:r>
      <w:r w:rsidRPr="00BA0FBF">
        <w:t>PRISMOD data includes the transactions and consumption patterns of 109 industry categories and seven categories of final demand. PRISMOD is currently based on data from ABS 2009</w:t>
      </w:r>
      <w:r w:rsidR="0064422F" w:rsidRPr="00BA0FBF">
        <w:t>–</w:t>
      </w:r>
      <w:r w:rsidRPr="00BA0FBF">
        <w:t>10 Input-Output tables.</w:t>
      </w:r>
    </w:p>
    <w:p w:rsidR="00F95381" w:rsidRPr="00BA0FBF" w:rsidRDefault="00F95381" w:rsidP="00742476">
      <w:pPr>
        <w:pStyle w:val="BodyText"/>
      </w:pPr>
      <w:r w:rsidRPr="00BA0FBF">
        <w:t xml:space="preserve">PRISMOD focuses on the inter-industry transmission of price changes. </w:t>
      </w:r>
      <w:r w:rsidR="0064422F" w:rsidRPr="00BA0FBF">
        <w:t xml:space="preserve"> </w:t>
      </w:r>
      <w:r w:rsidRPr="00BA0FBF">
        <w:t>For example, it tracks how a change in the price of electricity impacts on all industries that purchase electricity, and on all industries that purchase from those industries, and so on until it estimates the impact of the price change on final consumer prices for goods and services.</w:t>
      </w:r>
    </w:p>
    <w:p w:rsidR="00F95381" w:rsidRPr="00BA0FBF" w:rsidRDefault="00F95381" w:rsidP="00742476">
      <w:pPr>
        <w:pStyle w:val="BodyText"/>
      </w:pPr>
      <w:r w:rsidRPr="00BA0FBF">
        <w:t xml:space="preserve">PRISMOD also provides an estimate of the impact of price increases on the </w:t>
      </w:r>
      <w:r w:rsidR="008F02AD">
        <w:t>CPI</w:t>
      </w:r>
      <w:r w:rsidRPr="00BA0FBF">
        <w:t xml:space="preserve"> by mapping the increase in final consumer prices to the CPI basket of goods and services used by the ABS.</w:t>
      </w:r>
    </w:p>
    <w:p w:rsidR="00F95381" w:rsidRPr="00BA0FBF" w:rsidRDefault="00F95381" w:rsidP="00742476">
      <w:pPr>
        <w:pStyle w:val="BodyText"/>
      </w:pPr>
      <w:r w:rsidRPr="00BA0FBF">
        <w:t>The key assumptions that underpin PRISMOD are set out below.</w:t>
      </w:r>
    </w:p>
    <w:p w:rsidR="00C9478A" w:rsidRDefault="00F95381" w:rsidP="00742476">
      <w:pPr>
        <w:pStyle w:val="BodyText"/>
        <w:sectPr w:rsidR="00C9478A" w:rsidSect="00BA0FBF">
          <w:pgSz w:w="11907" w:h="16839" w:code="9"/>
          <w:pgMar w:top="1361" w:right="1797" w:bottom="1474" w:left="1797" w:header="283" w:footer="454" w:gutter="0"/>
          <w:cols w:space="708"/>
          <w:docGrid w:linePitch="360"/>
        </w:sectPr>
      </w:pPr>
      <w:r w:rsidRPr="00BA0FBF">
        <w:t xml:space="preserve">Quantities of goods and services are held fixed and only price impacts are modelled. </w:t>
      </w:r>
      <w:r w:rsidR="0064422F" w:rsidRPr="00BA0FBF">
        <w:t xml:space="preserve"> </w:t>
      </w:r>
      <w:r w:rsidRPr="00BA0FBF">
        <w:t>Price changes are calculated assuming that businesses continue to operate with exactly the same inputs, and produce exactly the same outputs, before and after the change</w:t>
      </w:r>
      <w:r w:rsidR="0064422F" w:rsidRPr="00BA0FBF">
        <w:t xml:space="preserve"> being simulated.</w:t>
      </w:r>
    </w:p>
    <w:p w:rsidR="00F95381" w:rsidRPr="00BA0FBF" w:rsidRDefault="00F95381" w:rsidP="00742476">
      <w:pPr>
        <w:pStyle w:val="BodyText"/>
      </w:pPr>
      <w:r w:rsidRPr="00BA0FBF">
        <w:t>Consumers’ consumption patterns do not vary over time so that they purchase a constant quantity of goods and services</w:t>
      </w:r>
      <w:r w:rsidR="0064422F" w:rsidRPr="00BA0FBF">
        <w:t>—</w:t>
      </w:r>
      <w:r w:rsidRPr="00BA0FBF">
        <w:t>only the prices of these goods and services vary over time.</w:t>
      </w:r>
    </w:p>
    <w:p w:rsidR="00F95381" w:rsidRPr="00BA0FBF" w:rsidRDefault="00F95381" w:rsidP="00742476">
      <w:pPr>
        <w:pStyle w:val="BodyText"/>
      </w:pPr>
      <w:r w:rsidRPr="00BA0FBF">
        <w:t>All cost and price impacts are passed on fully to final consumers (such as governments and households).</w:t>
      </w:r>
      <w:r w:rsidR="0064422F" w:rsidRPr="00BA0FBF">
        <w:t xml:space="preserve"> </w:t>
      </w:r>
      <w:r w:rsidRPr="00BA0FBF">
        <w:t xml:space="preserve"> That is, it is assumed that higher GST rates would be passed through fully to domestic consumers in the form of higher prices.</w:t>
      </w:r>
    </w:p>
    <w:p w:rsidR="0064422F" w:rsidRPr="00BA0FBF" w:rsidRDefault="00F95381" w:rsidP="00742476">
      <w:pPr>
        <w:pStyle w:val="BodyText"/>
      </w:pPr>
      <w:r w:rsidRPr="00BA0FBF">
        <w:t xml:space="preserve">The model does not provide information as to the timing of price changes. </w:t>
      </w:r>
      <w:r w:rsidR="0064422F" w:rsidRPr="00BA0FBF">
        <w:t xml:space="preserve"> </w:t>
      </w:r>
      <w:r w:rsidRPr="00BA0FBF">
        <w:t>This means that short</w:t>
      </w:r>
      <w:r w:rsidRPr="00BA0FBF">
        <w:noBreakHyphen/>
        <w:t>term price increases may differ from the modelled result, for instance, if the proposal being estimated is slow to mature or it is not immediately passed on in practice.</w:t>
      </w:r>
      <w:bookmarkStart w:id="277" w:name="_Toc436400362"/>
      <w:bookmarkStart w:id="278" w:name="_Toc436652247"/>
      <w:bookmarkStart w:id="279" w:name="_Toc436652285"/>
    </w:p>
    <w:p w:rsidR="0064422F" w:rsidRPr="00BA0FBF" w:rsidRDefault="0064422F" w:rsidP="00742476">
      <w:pPr>
        <w:pStyle w:val="BodyText"/>
        <w:sectPr w:rsidR="0064422F" w:rsidRPr="00BA0FBF" w:rsidSect="00BA0FBF">
          <w:pgSz w:w="11907" w:h="16839" w:code="9"/>
          <w:pgMar w:top="1361" w:right="1797" w:bottom="1474" w:left="1797" w:header="283" w:footer="454" w:gutter="0"/>
          <w:cols w:space="708"/>
          <w:docGrid w:linePitch="360"/>
        </w:sectPr>
      </w:pPr>
    </w:p>
    <w:p w:rsidR="0064422F" w:rsidRPr="00C9478A" w:rsidRDefault="00BC0EA5" w:rsidP="0064422F">
      <w:pPr>
        <w:pStyle w:val="Heading8"/>
        <w:rPr>
          <w:sz w:val="36"/>
          <w:szCs w:val="36"/>
        </w:rPr>
      </w:pPr>
      <w:bookmarkStart w:id="280" w:name="_Ref436835364"/>
      <w:r w:rsidRPr="00C9478A">
        <w:rPr>
          <w:sz w:val="36"/>
          <w:szCs w:val="36"/>
        </w:rPr>
        <w:t xml:space="preserve"> </w:t>
      </w:r>
      <w:bookmarkStart w:id="281" w:name="_Ref436910423"/>
      <w:bookmarkStart w:id="282" w:name="_Toc436917836"/>
      <w:bookmarkStart w:id="283" w:name="_Toc437438455"/>
      <w:r w:rsidRPr="00C9478A">
        <w:rPr>
          <w:sz w:val="36"/>
          <w:szCs w:val="36"/>
        </w:rPr>
        <w:t xml:space="preserve">– </w:t>
      </w:r>
      <w:r w:rsidR="0064422F" w:rsidRPr="00C9478A">
        <w:rPr>
          <w:sz w:val="36"/>
          <w:szCs w:val="36"/>
        </w:rPr>
        <w:t>Characteristics of households</w:t>
      </w:r>
      <w:bookmarkEnd w:id="280"/>
      <w:bookmarkEnd w:id="281"/>
      <w:bookmarkEnd w:id="282"/>
      <w:bookmarkEnd w:id="283"/>
    </w:p>
    <w:bookmarkEnd w:id="277"/>
    <w:bookmarkEnd w:id="278"/>
    <w:bookmarkEnd w:id="279"/>
    <w:p w:rsidR="00F95381" w:rsidRPr="0015554C" w:rsidRDefault="00F95381" w:rsidP="00BD039E">
      <w:pPr>
        <w:pStyle w:val="BodyText"/>
      </w:pPr>
      <w:r w:rsidRPr="0015554C">
        <w:t xml:space="preserve">This </w:t>
      </w:r>
      <w:r w:rsidR="00741789">
        <w:t>a</w:t>
      </w:r>
      <w:r w:rsidRPr="0015554C">
        <w:t>ppendix provides details of the financial and demographic characteristics of households by deciles of disposable income.</w:t>
      </w:r>
    </w:p>
    <w:p w:rsidR="00CE1EE8" w:rsidRPr="00BA0FBF" w:rsidRDefault="006E7D23" w:rsidP="00CE1EE8">
      <w:pPr>
        <w:pStyle w:val="BodyText"/>
      </w:pPr>
      <w:r w:rsidRPr="00BA0FBF">
        <w:fldChar w:fldCharType="begin"/>
      </w:r>
      <w:r w:rsidRPr="00BA0FBF">
        <w:instrText xml:space="preserve"> REF _Ref436664964 \h </w:instrText>
      </w:r>
      <w:r w:rsidR="00BA0FBF">
        <w:instrText xml:space="preserve"> \* MERGEFORMAT </w:instrText>
      </w:r>
      <w:r w:rsidRPr="00BA0FBF">
        <w:fldChar w:fldCharType="separate"/>
      </w:r>
      <w:r w:rsidR="00076CF9" w:rsidRPr="00076CF9">
        <w:t>Table B‒1</w:t>
      </w:r>
      <w:r w:rsidRPr="00BA0FBF">
        <w:fldChar w:fldCharType="end"/>
      </w:r>
      <w:r w:rsidR="00F95381" w:rsidRPr="00BA0FBF">
        <w:t xml:space="preserve"> sets out the financial characteristics of households by deciles of disposable income.  From the second income decile, the level of expenditure, GST paid and household net worth increases with income.  The proportion of households who own their home without a mortgage also increases with income, from 13 per cent from the second income decile to over 50 per cent for the top three income deciles.  The trend for the overall level of home ownership is not as stark, as lower and middle income deciles are more likely to have a mortgage.</w:t>
      </w:r>
    </w:p>
    <w:p w:rsidR="00F95381" w:rsidRPr="00BA0FBF" w:rsidRDefault="00CE1EE8" w:rsidP="00BD039E">
      <w:pPr>
        <w:pStyle w:val="BodyText"/>
      </w:pPr>
      <w:r>
        <w:fldChar w:fldCharType="begin"/>
      </w:r>
      <w:r>
        <w:instrText xml:space="preserve"> REF _Ref438119879 \h </w:instrText>
      </w:r>
      <w:r>
        <w:fldChar w:fldCharType="separate"/>
      </w:r>
      <w:r w:rsidR="00076CF9" w:rsidRPr="00BA0FBF">
        <w:rPr>
          <w:sz w:val="20"/>
        </w:rPr>
        <w:t xml:space="preserve">Table </w:t>
      </w:r>
      <w:r w:rsidR="00076CF9">
        <w:rPr>
          <w:noProof/>
          <w:sz w:val="20"/>
        </w:rPr>
        <w:t>B</w:t>
      </w:r>
      <w:r w:rsidR="00076CF9" w:rsidRPr="00BA0FBF">
        <w:rPr>
          <w:sz w:val="20"/>
        </w:rPr>
        <w:t>‒</w:t>
      </w:r>
      <w:r w:rsidR="00076CF9">
        <w:rPr>
          <w:noProof/>
          <w:sz w:val="20"/>
        </w:rPr>
        <w:t>2</w:t>
      </w:r>
      <w:r>
        <w:fldChar w:fldCharType="end"/>
      </w:r>
      <w:r>
        <w:t xml:space="preserve"> </w:t>
      </w:r>
      <w:r w:rsidR="00F95381" w:rsidRPr="00BA0FBF">
        <w:t>sets out the demographic composition of households.  From the second income decile the proportion of households with government pensions or allowances as their main source</w:t>
      </w:r>
      <w:r w:rsidR="00493F47">
        <w:t xml:space="preserve"> of</w:t>
      </w:r>
      <w:r w:rsidR="00F95381" w:rsidRPr="00BA0FBF">
        <w:t xml:space="preserve"> income declines by income decile, while salary and wages becomes progressively more important.</w:t>
      </w:r>
    </w:p>
    <w:p w:rsidR="00835D92" w:rsidRDefault="00F95381" w:rsidP="00BD039E">
      <w:pPr>
        <w:pStyle w:val="BodyText"/>
      </w:pPr>
      <w:r w:rsidRPr="00BA0FBF">
        <w:t>Households where the household head is aged over 65 are more likely to be in lower income deciles.  There is</w:t>
      </w:r>
      <w:r w:rsidR="00493F47">
        <w:t>, however,</w:t>
      </w:r>
      <w:r w:rsidRPr="00BA0FBF">
        <w:t xml:space="preserve"> a noticeable shift from the lowest income decile (27 per cent) and the second lowest income decile (56 per cent)</w:t>
      </w:r>
      <w:r w:rsidR="00835D92">
        <w:t>.</w:t>
      </w:r>
    </w:p>
    <w:p w:rsidR="00F95381" w:rsidRPr="00BA0FBF" w:rsidRDefault="00CE1EE8" w:rsidP="00BD039E">
      <w:pPr>
        <w:pStyle w:val="BodyText"/>
      </w:pPr>
      <w:r>
        <w:fldChar w:fldCharType="begin"/>
      </w:r>
      <w:r>
        <w:instrText xml:space="preserve"> REF _Ref438119935 \h </w:instrText>
      </w:r>
      <w:r>
        <w:fldChar w:fldCharType="separate"/>
      </w:r>
      <w:r w:rsidR="00076CF9" w:rsidRPr="00BA0FBF">
        <w:rPr>
          <w:sz w:val="20"/>
        </w:rPr>
        <w:t xml:space="preserve">Table </w:t>
      </w:r>
      <w:r w:rsidR="00076CF9">
        <w:rPr>
          <w:noProof/>
          <w:sz w:val="20"/>
        </w:rPr>
        <w:t>B</w:t>
      </w:r>
      <w:r w:rsidR="00076CF9" w:rsidRPr="00BA0FBF">
        <w:rPr>
          <w:sz w:val="20"/>
        </w:rPr>
        <w:t>‒</w:t>
      </w:r>
      <w:r w:rsidR="00076CF9">
        <w:rPr>
          <w:noProof/>
          <w:sz w:val="20"/>
        </w:rPr>
        <w:t>3</w:t>
      </w:r>
      <w:r>
        <w:fldChar w:fldCharType="end"/>
      </w:r>
      <w:r w:rsidR="00F95381" w:rsidRPr="00BA0FBF">
        <w:t xml:space="preserve">provides details of the composition of households.  Single person households comprise a significant share of the bottom two income deciles (49 and 41 per cent respectively), and around 20 per cent of other income deciles.  One parent households comprise around </w:t>
      </w:r>
      <w:r w:rsidR="00741789">
        <w:t>nine</w:t>
      </w:r>
      <w:r w:rsidR="00F95381" w:rsidRPr="00BA0FBF">
        <w:t xml:space="preserve"> to 10 per cent of households in the bottom </w:t>
      </w:r>
      <w:r w:rsidR="00741789">
        <w:t>50</w:t>
      </w:r>
      <w:r w:rsidR="00741789" w:rsidRPr="00BA0FBF">
        <w:t xml:space="preserve"> </w:t>
      </w:r>
      <w:r w:rsidR="00F95381" w:rsidRPr="00BA0FBF">
        <w:t xml:space="preserve">per cent of households by income, before sharply declining to be less than </w:t>
      </w:r>
      <w:r w:rsidR="00741789">
        <w:t>one</w:t>
      </w:r>
      <w:r w:rsidR="00F95381" w:rsidRPr="00BA0FBF">
        <w:t xml:space="preserve"> per cent of the top two income deciles.</w:t>
      </w:r>
    </w:p>
    <w:p w:rsidR="00835D92" w:rsidRDefault="00F95381" w:rsidP="00835D92">
      <w:pPr>
        <w:pStyle w:val="BodyText"/>
      </w:pPr>
      <w:r w:rsidRPr="00BA0FBF">
        <w:t>The middle six income deciles were more likely to have dependent children, with the bottom and top income deciles having a lower share of dependent children than average.</w:t>
      </w:r>
    </w:p>
    <w:p w:rsidR="00835D92" w:rsidRDefault="00835D92" w:rsidP="00835D92">
      <w:pPr>
        <w:pStyle w:val="BodyText"/>
        <w:sectPr w:rsidR="00835D92" w:rsidSect="00BA0FBF">
          <w:headerReference w:type="even" r:id="rId65"/>
          <w:headerReference w:type="default" r:id="rId66"/>
          <w:footerReference w:type="even" r:id="rId67"/>
          <w:footerReference w:type="default" r:id="rId68"/>
          <w:headerReference w:type="first" r:id="rId69"/>
          <w:footerReference w:type="first" r:id="rId70"/>
          <w:pgSz w:w="11907" w:h="16839" w:code="9"/>
          <w:pgMar w:top="1361" w:right="1797" w:bottom="1474" w:left="1797" w:header="283" w:footer="454" w:gutter="0"/>
          <w:cols w:space="708"/>
          <w:docGrid w:linePitch="360"/>
        </w:sectPr>
      </w:pPr>
      <w:r>
        <w:fldChar w:fldCharType="begin"/>
      </w:r>
      <w:r>
        <w:instrText xml:space="preserve"> REF _Ref438120003 \h </w:instrText>
      </w:r>
      <w:r>
        <w:fldChar w:fldCharType="separate"/>
      </w:r>
      <w:r w:rsidR="00076CF9" w:rsidRPr="00BA0FBF">
        <w:rPr>
          <w:sz w:val="20"/>
        </w:rPr>
        <w:t xml:space="preserve">Table </w:t>
      </w:r>
      <w:r w:rsidR="00076CF9">
        <w:rPr>
          <w:noProof/>
          <w:sz w:val="20"/>
        </w:rPr>
        <w:t>B</w:t>
      </w:r>
      <w:r w:rsidR="00076CF9" w:rsidRPr="00BA0FBF">
        <w:rPr>
          <w:sz w:val="20"/>
        </w:rPr>
        <w:t>‒</w:t>
      </w:r>
      <w:r w:rsidR="00076CF9">
        <w:rPr>
          <w:noProof/>
          <w:sz w:val="20"/>
        </w:rPr>
        <w:t>4</w:t>
      </w:r>
      <w:r>
        <w:fldChar w:fldCharType="end"/>
      </w:r>
      <w:r>
        <w:t xml:space="preserve"> </w:t>
      </w:r>
      <w:r w:rsidR="00F95381" w:rsidRPr="00BA0FBF">
        <w:t>further disaggregates household saving, wealth and income data by the age of the head of the household as well as household income.  The data implies a very high level of dissaving across all age groups in the bottom income decline, particularly for those of working age.</w:t>
      </w:r>
    </w:p>
    <w:p w:rsidR="00835D92" w:rsidRDefault="00F95381" w:rsidP="00BD039E">
      <w:pPr>
        <w:pStyle w:val="BodyText"/>
      </w:pPr>
      <w:r w:rsidRPr="00BA0FBF">
        <w:t xml:space="preserve">One explanation for this high level of </w:t>
      </w:r>
      <w:r w:rsidR="00C2657C" w:rsidRPr="00BA0FBF">
        <w:t>dis</w:t>
      </w:r>
      <w:r w:rsidRPr="00BA0FBF">
        <w:t xml:space="preserve">saving is the disparity between income reported under the </w:t>
      </w:r>
      <w:r w:rsidRPr="00695B37">
        <w:rPr>
          <w:i/>
        </w:rPr>
        <w:t>Household Expenditure Survey</w:t>
      </w:r>
      <w:r w:rsidRPr="00BA0FBF">
        <w:t xml:space="preserve"> data and aggregate consumption data.</w:t>
      </w:r>
      <w:r w:rsidR="00C2657C" w:rsidRPr="0086621F">
        <w:rPr>
          <w:rStyle w:val="FootnoteReference"/>
        </w:rPr>
        <w:footnoteReference w:id="64"/>
      </w:r>
      <w:r w:rsidRPr="00BA0FBF">
        <w:t xml:space="preserve">  The ABS has estimated that, adjusting for classification differences, income reported under the </w:t>
      </w:r>
      <w:r w:rsidRPr="00695B37">
        <w:rPr>
          <w:i/>
        </w:rPr>
        <w:t>Household Expenditure Survey</w:t>
      </w:r>
      <w:r w:rsidRPr="00BA0FBF">
        <w:t xml:space="preserve"> is around 10 per cent lower overall than aggregate consumption data.</w:t>
      </w:r>
    </w:p>
    <w:p w:rsidR="0015554C" w:rsidRPr="0015554C" w:rsidRDefault="00F95381" w:rsidP="0015554C">
      <w:pPr>
        <w:pStyle w:val="BodyText"/>
      </w:pPr>
      <w:r w:rsidRPr="00741789">
        <w:rPr>
          <w:szCs w:val="20"/>
        </w:rPr>
        <w:t>Unsurprisingly, the bottom income decile contains the households with zero or negative income.  To the extent that this reflects problems in the data rather than the actual income of households will distort the analysis in this paper.  This suggests caution in drawing strong inferences from the impact of proposals on the first decile of income alone.</w:t>
      </w:r>
    </w:p>
    <w:p w:rsidR="00F95381" w:rsidRPr="0015554C" w:rsidRDefault="00F95381" w:rsidP="0015554C">
      <w:pPr>
        <w:pStyle w:val="BodyText"/>
        <w:sectPr w:rsidR="00F95381" w:rsidRPr="0015554C" w:rsidSect="00BA0FBF">
          <w:headerReference w:type="even" r:id="rId71"/>
          <w:headerReference w:type="default" r:id="rId72"/>
          <w:footerReference w:type="even" r:id="rId73"/>
          <w:footerReference w:type="default" r:id="rId74"/>
          <w:headerReference w:type="first" r:id="rId75"/>
          <w:footerReference w:type="first" r:id="rId76"/>
          <w:pgSz w:w="11907" w:h="16839" w:code="9"/>
          <w:pgMar w:top="1361" w:right="1797" w:bottom="1474" w:left="1797" w:header="283" w:footer="454" w:gutter="0"/>
          <w:cols w:space="708"/>
          <w:docGrid w:linePitch="360"/>
        </w:sectPr>
      </w:pPr>
    </w:p>
    <w:p w:rsidR="006E7D23" w:rsidRPr="00BA0FBF" w:rsidRDefault="006E7D23" w:rsidP="006E7D23">
      <w:pPr>
        <w:pStyle w:val="Caption"/>
        <w:rPr>
          <w:sz w:val="20"/>
        </w:rPr>
      </w:pPr>
      <w:bookmarkStart w:id="284" w:name="_Ref436664964"/>
      <w:bookmarkStart w:id="285" w:name="_Toc436650598"/>
      <w:bookmarkStart w:id="286" w:name="_Toc436664573"/>
      <w:r w:rsidRPr="00BA0FBF">
        <w:rPr>
          <w:sz w:val="20"/>
        </w:rPr>
        <w:t xml:space="preserve">Table </w:t>
      </w:r>
      <w:r w:rsidRPr="00BA0FBF">
        <w:rPr>
          <w:sz w:val="20"/>
        </w:rPr>
        <w:fldChar w:fldCharType="begin"/>
      </w:r>
      <w:r w:rsidRPr="00BA0FBF">
        <w:rPr>
          <w:sz w:val="20"/>
        </w:rPr>
        <w:instrText xml:space="preserve"> STYLEREF 8 \s </w:instrText>
      </w:r>
      <w:r w:rsidRPr="00BA0FBF">
        <w:rPr>
          <w:sz w:val="20"/>
        </w:rPr>
        <w:fldChar w:fldCharType="separate"/>
      </w:r>
      <w:r w:rsidR="00076CF9">
        <w:rPr>
          <w:noProof/>
          <w:sz w:val="20"/>
        </w:rPr>
        <w:t>B</w:t>
      </w:r>
      <w:r w:rsidRPr="00BA0FBF">
        <w:rPr>
          <w:sz w:val="20"/>
        </w:rPr>
        <w:fldChar w:fldCharType="end"/>
      </w:r>
      <w:r w:rsidRPr="00BA0FBF">
        <w:rPr>
          <w:sz w:val="20"/>
        </w:rPr>
        <w:t>‒</w:t>
      </w:r>
      <w:r w:rsidRPr="00BA0FBF">
        <w:rPr>
          <w:sz w:val="20"/>
        </w:rPr>
        <w:fldChar w:fldCharType="begin"/>
      </w:r>
      <w:r w:rsidRPr="00BA0FBF">
        <w:rPr>
          <w:sz w:val="20"/>
        </w:rPr>
        <w:instrText xml:space="preserve"> SEQ AppendixTable\s 8 </w:instrText>
      </w:r>
      <w:r w:rsidRPr="00BA0FBF">
        <w:rPr>
          <w:sz w:val="20"/>
        </w:rPr>
        <w:fldChar w:fldCharType="separate"/>
      </w:r>
      <w:r w:rsidR="00076CF9">
        <w:rPr>
          <w:noProof/>
          <w:sz w:val="20"/>
        </w:rPr>
        <w:t>1</w:t>
      </w:r>
      <w:r w:rsidRPr="00BA0FBF">
        <w:rPr>
          <w:sz w:val="20"/>
        </w:rPr>
        <w:fldChar w:fldCharType="end"/>
      </w:r>
      <w:bookmarkEnd w:id="284"/>
      <w:r w:rsidRPr="00BA0FBF">
        <w:rPr>
          <w:sz w:val="20"/>
        </w:rPr>
        <w:t xml:space="preserve">: </w:t>
      </w:r>
      <w:bookmarkEnd w:id="285"/>
      <w:bookmarkEnd w:id="286"/>
      <w:r w:rsidRPr="00BA0FBF">
        <w:rPr>
          <w:sz w:val="20"/>
        </w:rPr>
        <w:t>Distribution analysis of households, financial characteristics</w:t>
      </w:r>
    </w:p>
    <w:tbl>
      <w:tblPr>
        <w:tblStyle w:val="TableGrid"/>
        <w:tblW w:w="5000" w:type="pct"/>
        <w:tblLook w:val="04A0" w:firstRow="1" w:lastRow="0" w:firstColumn="1" w:lastColumn="0" w:noHBand="0" w:noVBand="1"/>
      </w:tblPr>
      <w:tblGrid>
        <w:gridCol w:w="2281"/>
        <w:gridCol w:w="1616"/>
        <w:gridCol w:w="837"/>
        <w:gridCol w:w="837"/>
        <w:gridCol w:w="837"/>
        <w:gridCol w:w="837"/>
        <w:gridCol w:w="837"/>
        <w:gridCol w:w="837"/>
        <w:gridCol w:w="837"/>
        <w:gridCol w:w="837"/>
        <w:gridCol w:w="837"/>
        <w:gridCol w:w="980"/>
        <w:gridCol w:w="834"/>
      </w:tblGrid>
      <w:tr w:rsidR="00F95381" w:rsidRPr="00BA0FBF" w:rsidTr="002168BD">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861" w:type="pct"/>
          </w:tcPr>
          <w:p w:rsidR="00F95381" w:rsidRPr="00BA0FBF" w:rsidRDefault="00F95381" w:rsidP="00F95381">
            <w:pPr>
              <w:pStyle w:val="TableHeading"/>
              <w:rPr>
                <w:sz w:val="18"/>
              </w:rPr>
            </w:pPr>
          </w:p>
        </w:tc>
        <w:tc>
          <w:tcPr>
            <w:tcW w:w="610" w:type="pct"/>
          </w:tcPr>
          <w:p w:rsidR="00F95381" w:rsidRPr="00BA0FBF" w:rsidRDefault="00F95381" w:rsidP="00F95381">
            <w:pPr>
              <w:pStyle w:val="TableHeadingCentred"/>
              <w:cnfStyle w:val="100000000000" w:firstRow="1" w:lastRow="0" w:firstColumn="0" w:lastColumn="0" w:oddVBand="0" w:evenVBand="0" w:oddHBand="0" w:evenHBand="0" w:firstRowFirstColumn="0" w:firstRowLastColumn="0" w:lastRowFirstColumn="0" w:lastRowLastColumn="0"/>
              <w:rPr>
                <w:sz w:val="18"/>
              </w:rPr>
            </w:pPr>
          </w:p>
        </w:tc>
        <w:tc>
          <w:tcPr>
            <w:tcW w:w="316" w:type="pct"/>
          </w:tcPr>
          <w:p w:rsidR="00F95381" w:rsidRPr="00BA0FBF" w:rsidRDefault="00F95381" w:rsidP="00F95381">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D1</w:t>
            </w:r>
          </w:p>
        </w:tc>
        <w:tc>
          <w:tcPr>
            <w:tcW w:w="316" w:type="pct"/>
          </w:tcPr>
          <w:p w:rsidR="00F95381" w:rsidRPr="00BA0FBF" w:rsidRDefault="00F95381" w:rsidP="00F95381">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D2</w:t>
            </w:r>
          </w:p>
        </w:tc>
        <w:tc>
          <w:tcPr>
            <w:tcW w:w="316" w:type="pct"/>
          </w:tcPr>
          <w:p w:rsidR="00F95381" w:rsidRPr="00BA0FBF" w:rsidRDefault="00F95381" w:rsidP="00F95381">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D3</w:t>
            </w:r>
          </w:p>
        </w:tc>
        <w:tc>
          <w:tcPr>
            <w:tcW w:w="316" w:type="pct"/>
          </w:tcPr>
          <w:p w:rsidR="00F95381" w:rsidRPr="00BA0FBF" w:rsidRDefault="00F95381" w:rsidP="00F95381">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D4</w:t>
            </w:r>
          </w:p>
        </w:tc>
        <w:tc>
          <w:tcPr>
            <w:tcW w:w="316" w:type="pct"/>
          </w:tcPr>
          <w:p w:rsidR="00F95381" w:rsidRPr="00BA0FBF" w:rsidRDefault="00F95381" w:rsidP="00F95381">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D5</w:t>
            </w:r>
          </w:p>
        </w:tc>
        <w:tc>
          <w:tcPr>
            <w:tcW w:w="316" w:type="pct"/>
          </w:tcPr>
          <w:p w:rsidR="00F95381" w:rsidRPr="00BA0FBF" w:rsidRDefault="00F95381" w:rsidP="00F95381">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D6</w:t>
            </w:r>
          </w:p>
        </w:tc>
        <w:tc>
          <w:tcPr>
            <w:tcW w:w="316" w:type="pct"/>
          </w:tcPr>
          <w:p w:rsidR="00F95381" w:rsidRPr="00BA0FBF" w:rsidRDefault="00F95381" w:rsidP="00F95381">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D7</w:t>
            </w:r>
          </w:p>
        </w:tc>
        <w:tc>
          <w:tcPr>
            <w:tcW w:w="316" w:type="pct"/>
          </w:tcPr>
          <w:p w:rsidR="00F95381" w:rsidRPr="00BA0FBF" w:rsidRDefault="00F95381" w:rsidP="00F95381">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D8</w:t>
            </w:r>
          </w:p>
        </w:tc>
        <w:tc>
          <w:tcPr>
            <w:tcW w:w="316" w:type="pct"/>
          </w:tcPr>
          <w:p w:rsidR="00F95381" w:rsidRPr="00BA0FBF" w:rsidRDefault="00F95381" w:rsidP="00F95381">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D9</w:t>
            </w:r>
          </w:p>
        </w:tc>
        <w:tc>
          <w:tcPr>
            <w:tcW w:w="370" w:type="pct"/>
          </w:tcPr>
          <w:p w:rsidR="00F95381" w:rsidRPr="00BA0FBF" w:rsidRDefault="00F95381" w:rsidP="00F95381">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D10</w:t>
            </w:r>
          </w:p>
        </w:tc>
        <w:tc>
          <w:tcPr>
            <w:tcW w:w="315" w:type="pct"/>
          </w:tcPr>
          <w:p w:rsidR="00F95381" w:rsidRPr="00BA0FBF" w:rsidRDefault="00F95381" w:rsidP="00F95381">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All</w:t>
            </w:r>
          </w:p>
        </w:tc>
      </w:tr>
      <w:tr w:rsidR="00F95381" w:rsidRPr="00BA0FBF" w:rsidTr="002168B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61" w:type="pct"/>
          </w:tcPr>
          <w:p w:rsidR="00F95381" w:rsidRPr="00BA0FBF" w:rsidRDefault="00F95381" w:rsidP="00F95381">
            <w:pPr>
              <w:pStyle w:val="TableText"/>
              <w:rPr>
                <w:sz w:val="18"/>
              </w:rPr>
            </w:pPr>
            <w:r w:rsidRPr="00BA0FBF">
              <w:rPr>
                <w:sz w:val="18"/>
              </w:rPr>
              <w:t>Gross household income</w:t>
            </w:r>
          </w:p>
        </w:tc>
        <w:tc>
          <w:tcPr>
            <w:tcW w:w="610" w:type="pct"/>
          </w:tcPr>
          <w:p w:rsidR="00F95381" w:rsidRPr="00BA0FBF" w:rsidRDefault="00F95381" w:rsidP="00F95381">
            <w:pPr>
              <w:pStyle w:val="TableTextCentred"/>
              <w:cnfStyle w:val="000000100000" w:firstRow="0" w:lastRow="0" w:firstColumn="0" w:lastColumn="0" w:oddVBand="0" w:evenVBand="0" w:oddHBand="1" w:evenHBand="0" w:firstRowFirstColumn="0" w:firstRowLastColumn="0" w:lastRowFirstColumn="0" w:lastRowLastColumn="0"/>
              <w:rPr>
                <w:sz w:val="18"/>
              </w:rPr>
            </w:pPr>
            <w:r w:rsidRPr="00BA0FBF">
              <w:rPr>
                <w:sz w:val="18"/>
              </w:rPr>
              <w:t>$ per week</w:t>
            </w:r>
          </w:p>
        </w:tc>
        <w:tc>
          <w:tcPr>
            <w:tcW w:w="316"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326</w:t>
            </w:r>
          </w:p>
        </w:tc>
        <w:tc>
          <w:tcPr>
            <w:tcW w:w="316"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519</w:t>
            </w:r>
          </w:p>
        </w:tc>
        <w:tc>
          <w:tcPr>
            <w:tcW w:w="316"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734</w:t>
            </w:r>
          </w:p>
        </w:tc>
        <w:tc>
          <w:tcPr>
            <w:tcW w:w="316"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1,014</w:t>
            </w:r>
          </w:p>
        </w:tc>
        <w:tc>
          <w:tcPr>
            <w:tcW w:w="316"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1,290</w:t>
            </w:r>
          </w:p>
        </w:tc>
        <w:tc>
          <w:tcPr>
            <w:tcW w:w="316"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1,554</w:t>
            </w:r>
          </w:p>
        </w:tc>
        <w:tc>
          <w:tcPr>
            <w:tcW w:w="316"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1,895</w:t>
            </w:r>
          </w:p>
        </w:tc>
        <w:tc>
          <w:tcPr>
            <w:tcW w:w="316"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2,242</w:t>
            </w:r>
          </w:p>
        </w:tc>
        <w:tc>
          <w:tcPr>
            <w:tcW w:w="316"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2,648</w:t>
            </w:r>
          </w:p>
        </w:tc>
        <w:tc>
          <w:tcPr>
            <w:tcW w:w="370"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4,613</w:t>
            </w:r>
          </w:p>
        </w:tc>
        <w:tc>
          <w:tcPr>
            <w:tcW w:w="315"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1,684</w:t>
            </w:r>
          </w:p>
        </w:tc>
      </w:tr>
      <w:tr w:rsidR="00F95381" w:rsidRPr="00BA0FBF" w:rsidTr="002168BD">
        <w:trPr>
          <w:cantSplit/>
        </w:trPr>
        <w:tc>
          <w:tcPr>
            <w:cnfStyle w:val="001000000000" w:firstRow="0" w:lastRow="0" w:firstColumn="1" w:lastColumn="0" w:oddVBand="0" w:evenVBand="0" w:oddHBand="0" w:evenHBand="0" w:firstRowFirstColumn="0" w:firstRowLastColumn="0" w:lastRowFirstColumn="0" w:lastRowLastColumn="0"/>
            <w:tcW w:w="861" w:type="pct"/>
          </w:tcPr>
          <w:p w:rsidR="00F95381" w:rsidRPr="00BA0FBF" w:rsidRDefault="00F95381" w:rsidP="00F95381">
            <w:pPr>
              <w:pStyle w:val="TableText"/>
              <w:rPr>
                <w:sz w:val="18"/>
              </w:rPr>
            </w:pPr>
            <w:r w:rsidRPr="00BA0FBF">
              <w:rPr>
                <w:sz w:val="18"/>
              </w:rPr>
              <w:t>Income tax</w:t>
            </w:r>
          </w:p>
        </w:tc>
        <w:tc>
          <w:tcPr>
            <w:tcW w:w="610" w:type="pct"/>
          </w:tcPr>
          <w:p w:rsidR="00F95381" w:rsidRPr="00BA0FBF" w:rsidRDefault="00F95381" w:rsidP="00F95381">
            <w:pPr>
              <w:pStyle w:val="TableTextCentred"/>
              <w:cnfStyle w:val="000000000000" w:firstRow="0" w:lastRow="0" w:firstColumn="0" w:lastColumn="0" w:oddVBand="0" w:evenVBand="0" w:oddHBand="0" w:evenHBand="0" w:firstRowFirstColumn="0" w:firstRowLastColumn="0" w:lastRowFirstColumn="0" w:lastRowLastColumn="0"/>
              <w:rPr>
                <w:sz w:val="18"/>
              </w:rPr>
            </w:pPr>
            <w:r w:rsidRPr="00BA0FBF">
              <w:rPr>
                <w:sz w:val="18"/>
              </w:rPr>
              <w:t>$ per week</w:t>
            </w:r>
          </w:p>
        </w:tc>
        <w:tc>
          <w:tcPr>
            <w:tcW w:w="316"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1</w:t>
            </w:r>
          </w:p>
        </w:tc>
        <w:tc>
          <w:tcPr>
            <w:tcW w:w="316"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4</w:t>
            </w:r>
          </w:p>
        </w:tc>
        <w:tc>
          <w:tcPr>
            <w:tcW w:w="316"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22</w:t>
            </w:r>
          </w:p>
        </w:tc>
        <w:tc>
          <w:tcPr>
            <w:tcW w:w="316"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69</w:t>
            </w:r>
          </w:p>
        </w:tc>
        <w:tc>
          <w:tcPr>
            <w:tcW w:w="316"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132</w:t>
            </w:r>
          </w:p>
        </w:tc>
        <w:tc>
          <w:tcPr>
            <w:tcW w:w="316"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187</w:t>
            </w:r>
          </w:p>
        </w:tc>
        <w:tc>
          <w:tcPr>
            <w:tcW w:w="316"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277</w:t>
            </w:r>
          </w:p>
        </w:tc>
        <w:tc>
          <w:tcPr>
            <w:tcW w:w="316"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365</w:t>
            </w:r>
          </w:p>
        </w:tc>
        <w:tc>
          <w:tcPr>
            <w:tcW w:w="316"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493</w:t>
            </w:r>
          </w:p>
        </w:tc>
        <w:tc>
          <w:tcPr>
            <w:tcW w:w="370"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1,047</w:t>
            </w:r>
          </w:p>
        </w:tc>
        <w:tc>
          <w:tcPr>
            <w:tcW w:w="315"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260</w:t>
            </w:r>
          </w:p>
        </w:tc>
      </w:tr>
      <w:tr w:rsidR="00F95381" w:rsidRPr="00BA0FBF" w:rsidTr="002168B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61" w:type="pct"/>
          </w:tcPr>
          <w:p w:rsidR="00F95381" w:rsidRPr="00BA0FBF" w:rsidRDefault="00F95381" w:rsidP="00F95381">
            <w:pPr>
              <w:pStyle w:val="TableText"/>
              <w:rPr>
                <w:sz w:val="18"/>
              </w:rPr>
            </w:pPr>
            <w:r w:rsidRPr="00BA0FBF">
              <w:rPr>
                <w:sz w:val="18"/>
              </w:rPr>
              <w:t>Net household income</w:t>
            </w:r>
          </w:p>
        </w:tc>
        <w:tc>
          <w:tcPr>
            <w:tcW w:w="610" w:type="pct"/>
          </w:tcPr>
          <w:p w:rsidR="00F95381" w:rsidRPr="00BA0FBF" w:rsidRDefault="00F95381" w:rsidP="00F95381">
            <w:pPr>
              <w:pStyle w:val="TableTextCentred"/>
              <w:cnfStyle w:val="000000100000" w:firstRow="0" w:lastRow="0" w:firstColumn="0" w:lastColumn="0" w:oddVBand="0" w:evenVBand="0" w:oddHBand="1" w:evenHBand="0" w:firstRowFirstColumn="0" w:firstRowLastColumn="0" w:lastRowFirstColumn="0" w:lastRowLastColumn="0"/>
              <w:rPr>
                <w:sz w:val="18"/>
              </w:rPr>
            </w:pPr>
            <w:r w:rsidRPr="00BA0FBF">
              <w:rPr>
                <w:sz w:val="18"/>
              </w:rPr>
              <w:t>$ per week</w:t>
            </w:r>
          </w:p>
        </w:tc>
        <w:tc>
          <w:tcPr>
            <w:tcW w:w="316"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325</w:t>
            </w:r>
          </w:p>
        </w:tc>
        <w:tc>
          <w:tcPr>
            <w:tcW w:w="316"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515</w:t>
            </w:r>
          </w:p>
        </w:tc>
        <w:tc>
          <w:tcPr>
            <w:tcW w:w="316"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712</w:t>
            </w:r>
          </w:p>
        </w:tc>
        <w:tc>
          <w:tcPr>
            <w:tcW w:w="316"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945</w:t>
            </w:r>
          </w:p>
        </w:tc>
        <w:tc>
          <w:tcPr>
            <w:tcW w:w="316"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1,159</w:t>
            </w:r>
          </w:p>
        </w:tc>
        <w:tc>
          <w:tcPr>
            <w:tcW w:w="316"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1,367</w:t>
            </w:r>
          </w:p>
        </w:tc>
        <w:tc>
          <w:tcPr>
            <w:tcW w:w="316"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1,618</w:t>
            </w:r>
          </w:p>
        </w:tc>
        <w:tc>
          <w:tcPr>
            <w:tcW w:w="316"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1,877</w:t>
            </w:r>
          </w:p>
        </w:tc>
        <w:tc>
          <w:tcPr>
            <w:tcW w:w="316"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2,155</w:t>
            </w:r>
          </w:p>
        </w:tc>
        <w:tc>
          <w:tcPr>
            <w:tcW w:w="370"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3,566</w:t>
            </w:r>
          </w:p>
        </w:tc>
        <w:tc>
          <w:tcPr>
            <w:tcW w:w="315"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1,424</w:t>
            </w:r>
          </w:p>
        </w:tc>
      </w:tr>
      <w:tr w:rsidR="002168BD" w:rsidRPr="00BA0FBF" w:rsidTr="002168BD">
        <w:trPr>
          <w:cantSplit/>
        </w:trPr>
        <w:tc>
          <w:tcPr>
            <w:cnfStyle w:val="001000000000" w:firstRow="0" w:lastRow="0" w:firstColumn="1" w:lastColumn="0" w:oddVBand="0" w:evenVBand="0" w:oddHBand="0" w:evenHBand="0" w:firstRowFirstColumn="0" w:firstRowLastColumn="0" w:lastRowFirstColumn="0" w:lastRowLastColumn="0"/>
            <w:tcW w:w="5000" w:type="pct"/>
            <w:gridSpan w:val="13"/>
          </w:tcPr>
          <w:p w:rsidR="002168BD" w:rsidRPr="00BA0FBF" w:rsidRDefault="002168BD" w:rsidP="002168BD">
            <w:pPr>
              <w:pStyle w:val="TableTextCentred"/>
              <w:jc w:val="left"/>
              <w:rPr>
                <w:sz w:val="18"/>
              </w:rPr>
            </w:pPr>
          </w:p>
        </w:tc>
      </w:tr>
      <w:tr w:rsidR="00F95381" w:rsidRPr="00BA0FBF" w:rsidTr="002168B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61" w:type="pct"/>
          </w:tcPr>
          <w:p w:rsidR="00F95381" w:rsidRPr="00BA0FBF" w:rsidRDefault="00F95381" w:rsidP="00F95381">
            <w:pPr>
              <w:pStyle w:val="TableText"/>
              <w:rPr>
                <w:sz w:val="18"/>
              </w:rPr>
            </w:pPr>
            <w:r w:rsidRPr="00BA0FBF">
              <w:rPr>
                <w:sz w:val="18"/>
              </w:rPr>
              <w:t>Household expenditure</w:t>
            </w:r>
          </w:p>
        </w:tc>
        <w:tc>
          <w:tcPr>
            <w:tcW w:w="610" w:type="pct"/>
          </w:tcPr>
          <w:p w:rsidR="00F95381" w:rsidRPr="00BA0FBF" w:rsidRDefault="00F95381" w:rsidP="00F95381">
            <w:pPr>
              <w:pStyle w:val="TableTextCentred"/>
              <w:cnfStyle w:val="000000100000" w:firstRow="0" w:lastRow="0" w:firstColumn="0" w:lastColumn="0" w:oddVBand="0" w:evenVBand="0" w:oddHBand="1" w:evenHBand="0" w:firstRowFirstColumn="0" w:firstRowLastColumn="0" w:lastRowFirstColumn="0" w:lastRowLastColumn="0"/>
              <w:rPr>
                <w:sz w:val="18"/>
              </w:rPr>
            </w:pPr>
            <w:r w:rsidRPr="00BA0FBF">
              <w:rPr>
                <w:sz w:val="18"/>
              </w:rPr>
              <w:t>$ per week</w:t>
            </w:r>
          </w:p>
        </w:tc>
        <w:tc>
          <w:tcPr>
            <w:tcW w:w="316"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694</w:t>
            </w:r>
          </w:p>
        </w:tc>
        <w:tc>
          <w:tcPr>
            <w:tcW w:w="316"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616</w:t>
            </w:r>
          </w:p>
        </w:tc>
        <w:tc>
          <w:tcPr>
            <w:tcW w:w="316"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776</w:t>
            </w:r>
          </w:p>
        </w:tc>
        <w:tc>
          <w:tcPr>
            <w:tcW w:w="316"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1,026</w:t>
            </w:r>
          </w:p>
        </w:tc>
        <w:tc>
          <w:tcPr>
            <w:tcW w:w="316"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1,112</w:t>
            </w:r>
          </w:p>
        </w:tc>
        <w:tc>
          <w:tcPr>
            <w:tcW w:w="316"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1,253</w:t>
            </w:r>
          </w:p>
        </w:tc>
        <w:tc>
          <w:tcPr>
            <w:tcW w:w="316"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1,400</w:t>
            </w:r>
          </w:p>
        </w:tc>
        <w:tc>
          <w:tcPr>
            <w:tcW w:w="316"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1,559</w:t>
            </w:r>
          </w:p>
        </w:tc>
        <w:tc>
          <w:tcPr>
            <w:tcW w:w="316"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1,708</w:t>
            </w:r>
          </w:p>
        </w:tc>
        <w:tc>
          <w:tcPr>
            <w:tcW w:w="370"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2,209</w:t>
            </w:r>
          </w:p>
        </w:tc>
        <w:tc>
          <w:tcPr>
            <w:tcW w:w="315"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1,235</w:t>
            </w:r>
          </w:p>
        </w:tc>
      </w:tr>
      <w:tr w:rsidR="00F95381" w:rsidRPr="00BA0FBF" w:rsidTr="002168BD">
        <w:trPr>
          <w:cantSplit/>
        </w:trPr>
        <w:tc>
          <w:tcPr>
            <w:cnfStyle w:val="001000000000" w:firstRow="0" w:lastRow="0" w:firstColumn="1" w:lastColumn="0" w:oddVBand="0" w:evenVBand="0" w:oddHBand="0" w:evenHBand="0" w:firstRowFirstColumn="0" w:firstRowLastColumn="0" w:lastRowFirstColumn="0" w:lastRowLastColumn="0"/>
            <w:tcW w:w="861" w:type="pct"/>
          </w:tcPr>
          <w:p w:rsidR="00F95381" w:rsidRPr="00BA0FBF" w:rsidRDefault="00F95381" w:rsidP="00F95381">
            <w:pPr>
              <w:pStyle w:val="TableText"/>
              <w:rPr>
                <w:sz w:val="18"/>
              </w:rPr>
            </w:pPr>
            <w:r w:rsidRPr="00BA0FBF">
              <w:rPr>
                <w:sz w:val="18"/>
              </w:rPr>
              <w:t>GST paid</w:t>
            </w:r>
          </w:p>
        </w:tc>
        <w:tc>
          <w:tcPr>
            <w:tcW w:w="610" w:type="pct"/>
          </w:tcPr>
          <w:p w:rsidR="00F95381" w:rsidRPr="00BA0FBF" w:rsidRDefault="00F95381" w:rsidP="00F95381">
            <w:pPr>
              <w:pStyle w:val="TableTextCentred"/>
              <w:cnfStyle w:val="000000000000" w:firstRow="0" w:lastRow="0" w:firstColumn="0" w:lastColumn="0" w:oddVBand="0" w:evenVBand="0" w:oddHBand="0" w:evenHBand="0" w:firstRowFirstColumn="0" w:firstRowLastColumn="0" w:lastRowFirstColumn="0" w:lastRowLastColumn="0"/>
              <w:rPr>
                <w:sz w:val="18"/>
              </w:rPr>
            </w:pPr>
            <w:r w:rsidRPr="00BA0FBF">
              <w:rPr>
                <w:sz w:val="18"/>
              </w:rPr>
              <w:t>$ per week</w:t>
            </w:r>
          </w:p>
        </w:tc>
        <w:tc>
          <w:tcPr>
            <w:tcW w:w="316"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40</w:t>
            </w:r>
          </w:p>
        </w:tc>
        <w:tc>
          <w:tcPr>
            <w:tcW w:w="316"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37</w:t>
            </w:r>
          </w:p>
        </w:tc>
        <w:tc>
          <w:tcPr>
            <w:tcW w:w="316"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46</w:t>
            </w:r>
          </w:p>
        </w:tc>
        <w:tc>
          <w:tcPr>
            <w:tcW w:w="316"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62</w:t>
            </w:r>
          </w:p>
        </w:tc>
        <w:tc>
          <w:tcPr>
            <w:tcW w:w="316"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68</w:t>
            </w:r>
          </w:p>
        </w:tc>
        <w:tc>
          <w:tcPr>
            <w:tcW w:w="316"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78</w:t>
            </w:r>
          </w:p>
        </w:tc>
        <w:tc>
          <w:tcPr>
            <w:tcW w:w="316"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84</w:t>
            </w:r>
          </w:p>
        </w:tc>
        <w:tc>
          <w:tcPr>
            <w:tcW w:w="316"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94</w:t>
            </w:r>
          </w:p>
        </w:tc>
        <w:tc>
          <w:tcPr>
            <w:tcW w:w="316"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107</w:t>
            </w:r>
          </w:p>
        </w:tc>
        <w:tc>
          <w:tcPr>
            <w:tcW w:w="370"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145</w:t>
            </w:r>
          </w:p>
        </w:tc>
        <w:tc>
          <w:tcPr>
            <w:tcW w:w="315"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76</w:t>
            </w:r>
          </w:p>
        </w:tc>
      </w:tr>
      <w:tr w:rsidR="00F95381" w:rsidRPr="00BA0FBF" w:rsidTr="002168B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61" w:type="pct"/>
          </w:tcPr>
          <w:p w:rsidR="00F95381" w:rsidRPr="00BA0FBF" w:rsidRDefault="00F95381" w:rsidP="00F95381">
            <w:pPr>
              <w:pStyle w:val="TableText"/>
              <w:rPr>
                <w:sz w:val="18"/>
              </w:rPr>
            </w:pPr>
            <w:r w:rsidRPr="00BA0FBF">
              <w:rPr>
                <w:sz w:val="18"/>
              </w:rPr>
              <w:t>GST/disposable income</w:t>
            </w:r>
          </w:p>
        </w:tc>
        <w:tc>
          <w:tcPr>
            <w:tcW w:w="610" w:type="pct"/>
          </w:tcPr>
          <w:p w:rsidR="00F95381" w:rsidRPr="00BA0FBF" w:rsidRDefault="00F95381" w:rsidP="00F95381">
            <w:pPr>
              <w:pStyle w:val="TableTextCentred"/>
              <w:cnfStyle w:val="000000100000" w:firstRow="0" w:lastRow="0" w:firstColumn="0" w:lastColumn="0" w:oddVBand="0" w:evenVBand="0" w:oddHBand="1" w:evenHBand="0" w:firstRowFirstColumn="0" w:firstRowLastColumn="0" w:lastRowFirstColumn="0" w:lastRowLastColumn="0"/>
              <w:rPr>
                <w:sz w:val="18"/>
              </w:rPr>
            </w:pPr>
            <w:r w:rsidRPr="00BA0FBF">
              <w:rPr>
                <w:sz w:val="18"/>
              </w:rPr>
              <w:t>%</w:t>
            </w:r>
          </w:p>
        </w:tc>
        <w:tc>
          <w:tcPr>
            <w:tcW w:w="316"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12.3%</w:t>
            </w:r>
          </w:p>
        </w:tc>
        <w:tc>
          <w:tcPr>
            <w:tcW w:w="316"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7.1%</w:t>
            </w:r>
          </w:p>
        </w:tc>
        <w:tc>
          <w:tcPr>
            <w:tcW w:w="316"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6.2%</w:t>
            </w:r>
          </w:p>
        </w:tc>
        <w:tc>
          <w:tcPr>
            <w:tcW w:w="316"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6.2%</w:t>
            </w:r>
          </w:p>
        </w:tc>
        <w:tc>
          <w:tcPr>
            <w:tcW w:w="316"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5.3%</w:t>
            </w:r>
          </w:p>
        </w:tc>
        <w:tc>
          <w:tcPr>
            <w:tcW w:w="316"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5.0%</w:t>
            </w:r>
          </w:p>
        </w:tc>
        <w:tc>
          <w:tcPr>
            <w:tcW w:w="316"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4.5%</w:t>
            </w:r>
          </w:p>
        </w:tc>
        <w:tc>
          <w:tcPr>
            <w:tcW w:w="316"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4.2%</w:t>
            </w:r>
          </w:p>
        </w:tc>
        <w:tc>
          <w:tcPr>
            <w:tcW w:w="316"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4.0%</w:t>
            </w:r>
          </w:p>
        </w:tc>
        <w:tc>
          <w:tcPr>
            <w:tcW w:w="370"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3.1%</w:t>
            </w:r>
          </w:p>
        </w:tc>
        <w:tc>
          <w:tcPr>
            <w:tcW w:w="315"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4.5%</w:t>
            </w:r>
          </w:p>
        </w:tc>
      </w:tr>
      <w:tr w:rsidR="002168BD" w:rsidRPr="00BA0FBF" w:rsidTr="002168BD">
        <w:trPr>
          <w:cantSplit/>
        </w:trPr>
        <w:tc>
          <w:tcPr>
            <w:cnfStyle w:val="001000000000" w:firstRow="0" w:lastRow="0" w:firstColumn="1" w:lastColumn="0" w:oddVBand="0" w:evenVBand="0" w:oddHBand="0" w:evenHBand="0" w:firstRowFirstColumn="0" w:firstRowLastColumn="0" w:lastRowFirstColumn="0" w:lastRowLastColumn="0"/>
            <w:tcW w:w="5000" w:type="pct"/>
            <w:gridSpan w:val="13"/>
          </w:tcPr>
          <w:p w:rsidR="002168BD" w:rsidRPr="00BA0FBF" w:rsidRDefault="002168BD" w:rsidP="002168BD">
            <w:pPr>
              <w:pStyle w:val="TableTextCentred"/>
              <w:jc w:val="left"/>
              <w:rPr>
                <w:sz w:val="18"/>
              </w:rPr>
            </w:pPr>
          </w:p>
        </w:tc>
      </w:tr>
      <w:tr w:rsidR="00F95381" w:rsidRPr="00BA0FBF" w:rsidTr="002168B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61" w:type="pct"/>
          </w:tcPr>
          <w:p w:rsidR="00F95381" w:rsidRPr="00BA0FBF" w:rsidRDefault="00F95381" w:rsidP="00F95381">
            <w:pPr>
              <w:pStyle w:val="TableText"/>
              <w:rPr>
                <w:sz w:val="18"/>
              </w:rPr>
            </w:pPr>
            <w:r w:rsidRPr="00BA0FBF">
              <w:rPr>
                <w:sz w:val="18"/>
              </w:rPr>
              <w:t>Household savings</w:t>
            </w:r>
          </w:p>
        </w:tc>
        <w:tc>
          <w:tcPr>
            <w:tcW w:w="610" w:type="pct"/>
          </w:tcPr>
          <w:p w:rsidR="00F95381" w:rsidRPr="00BA0FBF" w:rsidRDefault="00F95381" w:rsidP="00F95381">
            <w:pPr>
              <w:pStyle w:val="TableTextCentred"/>
              <w:cnfStyle w:val="000000100000" w:firstRow="0" w:lastRow="0" w:firstColumn="0" w:lastColumn="0" w:oddVBand="0" w:evenVBand="0" w:oddHBand="1" w:evenHBand="0" w:firstRowFirstColumn="0" w:firstRowLastColumn="0" w:lastRowFirstColumn="0" w:lastRowLastColumn="0"/>
              <w:rPr>
                <w:sz w:val="18"/>
              </w:rPr>
            </w:pPr>
            <w:r w:rsidRPr="00BA0FBF">
              <w:rPr>
                <w:sz w:val="18"/>
              </w:rPr>
              <w:t>$ per week</w:t>
            </w:r>
          </w:p>
        </w:tc>
        <w:tc>
          <w:tcPr>
            <w:tcW w:w="316"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-369</w:t>
            </w:r>
          </w:p>
        </w:tc>
        <w:tc>
          <w:tcPr>
            <w:tcW w:w="316"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-101</w:t>
            </w:r>
          </w:p>
        </w:tc>
        <w:tc>
          <w:tcPr>
            <w:tcW w:w="316"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-64</w:t>
            </w:r>
          </w:p>
        </w:tc>
        <w:tc>
          <w:tcPr>
            <w:tcW w:w="316"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-81</w:t>
            </w:r>
          </w:p>
        </w:tc>
        <w:tc>
          <w:tcPr>
            <w:tcW w:w="316"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47</w:t>
            </w:r>
          </w:p>
        </w:tc>
        <w:tc>
          <w:tcPr>
            <w:tcW w:w="316"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114</w:t>
            </w:r>
          </w:p>
        </w:tc>
        <w:tc>
          <w:tcPr>
            <w:tcW w:w="316"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218</w:t>
            </w:r>
          </w:p>
        </w:tc>
        <w:tc>
          <w:tcPr>
            <w:tcW w:w="316"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318</w:t>
            </w:r>
          </w:p>
        </w:tc>
        <w:tc>
          <w:tcPr>
            <w:tcW w:w="316"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447</w:t>
            </w:r>
          </w:p>
        </w:tc>
        <w:tc>
          <w:tcPr>
            <w:tcW w:w="370"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1,357</w:t>
            </w:r>
          </w:p>
        </w:tc>
        <w:tc>
          <w:tcPr>
            <w:tcW w:w="315"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189</w:t>
            </w:r>
          </w:p>
        </w:tc>
      </w:tr>
      <w:tr w:rsidR="00F95381" w:rsidRPr="00BA0FBF" w:rsidTr="002168BD">
        <w:trPr>
          <w:cantSplit/>
        </w:trPr>
        <w:tc>
          <w:tcPr>
            <w:cnfStyle w:val="001000000000" w:firstRow="0" w:lastRow="0" w:firstColumn="1" w:lastColumn="0" w:oddVBand="0" w:evenVBand="0" w:oddHBand="0" w:evenHBand="0" w:firstRowFirstColumn="0" w:firstRowLastColumn="0" w:lastRowFirstColumn="0" w:lastRowLastColumn="0"/>
            <w:tcW w:w="861" w:type="pct"/>
          </w:tcPr>
          <w:p w:rsidR="00F95381" w:rsidRPr="00BA0FBF" w:rsidRDefault="00F95381" w:rsidP="00F95381">
            <w:pPr>
              <w:pStyle w:val="TableText"/>
              <w:rPr>
                <w:sz w:val="18"/>
              </w:rPr>
            </w:pPr>
            <w:r w:rsidRPr="00BA0FBF">
              <w:rPr>
                <w:sz w:val="18"/>
              </w:rPr>
              <w:t>Household saving rate</w:t>
            </w:r>
          </w:p>
        </w:tc>
        <w:tc>
          <w:tcPr>
            <w:tcW w:w="610" w:type="pct"/>
          </w:tcPr>
          <w:p w:rsidR="00F95381" w:rsidRPr="00BA0FBF" w:rsidRDefault="00F95381" w:rsidP="00F95381">
            <w:pPr>
              <w:pStyle w:val="TableTextCentred"/>
              <w:cnfStyle w:val="000000000000" w:firstRow="0" w:lastRow="0" w:firstColumn="0" w:lastColumn="0" w:oddVBand="0" w:evenVBand="0" w:oddHBand="0" w:evenHBand="0" w:firstRowFirstColumn="0" w:firstRowLastColumn="0" w:lastRowFirstColumn="0" w:lastRowLastColumn="0"/>
              <w:rPr>
                <w:sz w:val="18"/>
              </w:rPr>
            </w:pPr>
            <w:r w:rsidRPr="00BA0FBF">
              <w:rPr>
                <w:sz w:val="18"/>
              </w:rPr>
              <w:t>%</w:t>
            </w:r>
          </w:p>
        </w:tc>
        <w:tc>
          <w:tcPr>
            <w:tcW w:w="316"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-114%</w:t>
            </w:r>
          </w:p>
        </w:tc>
        <w:tc>
          <w:tcPr>
            <w:tcW w:w="316"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-20%</w:t>
            </w:r>
          </w:p>
        </w:tc>
        <w:tc>
          <w:tcPr>
            <w:tcW w:w="316"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-9%</w:t>
            </w:r>
          </w:p>
        </w:tc>
        <w:tc>
          <w:tcPr>
            <w:tcW w:w="316"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-9%</w:t>
            </w:r>
          </w:p>
        </w:tc>
        <w:tc>
          <w:tcPr>
            <w:tcW w:w="316"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4%</w:t>
            </w:r>
          </w:p>
        </w:tc>
        <w:tc>
          <w:tcPr>
            <w:tcW w:w="316"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8%</w:t>
            </w:r>
          </w:p>
        </w:tc>
        <w:tc>
          <w:tcPr>
            <w:tcW w:w="316"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13%</w:t>
            </w:r>
          </w:p>
        </w:tc>
        <w:tc>
          <w:tcPr>
            <w:tcW w:w="316"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17%</w:t>
            </w:r>
          </w:p>
        </w:tc>
        <w:tc>
          <w:tcPr>
            <w:tcW w:w="316"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21%</w:t>
            </w:r>
          </w:p>
        </w:tc>
        <w:tc>
          <w:tcPr>
            <w:tcW w:w="370"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38%</w:t>
            </w:r>
          </w:p>
        </w:tc>
        <w:tc>
          <w:tcPr>
            <w:tcW w:w="315"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13%</w:t>
            </w:r>
          </w:p>
        </w:tc>
      </w:tr>
      <w:tr w:rsidR="00744788" w:rsidRPr="00BA0FBF" w:rsidTr="0074478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gridSpan w:val="13"/>
          </w:tcPr>
          <w:p w:rsidR="00744788" w:rsidRPr="00BA0FBF" w:rsidRDefault="00744788" w:rsidP="00744788">
            <w:pPr>
              <w:pStyle w:val="TableTextCentred"/>
              <w:jc w:val="left"/>
              <w:rPr>
                <w:sz w:val="18"/>
              </w:rPr>
            </w:pPr>
          </w:p>
        </w:tc>
      </w:tr>
      <w:tr w:rsidR="00F95381" w:rsidRPr="00BA0FBF" w:rsidTr="002168BD">
        <w:trPr>
          <w:cantSplit/>
        </w:trPr>
        <w:tc>
          <w:tcPr>
            <w:cnfStyle w:val="001000000000" w:firstRow="0" w:lastRow="0" w:firstColumn="1" w:lastColumn="0" w:oddVBand="0" w:evenVBand="0" w:oddHBand="0" w:evenHBand="0" w:firstRowFirstColumn="0" w:firstRowLastColumn="0" w:lastRowFirstColumn="0" w:lastRowLastColumn="0"/>
            <w:tcW w:w="861" w:type="pct"/>
          </w:tcPr>
          <w:p w:rsidR="00F95381" w:rsidRPr="00BA0FBF" w:rsidRDefault="00F95381" w:rsidP="00F95381">
            <w:pPr>
              <w:pStyle w:val="TableText"/>
              <w:rPr>
                <w:sz w:val="18"/>
              </w:rPr>
            </w:pPr>
            <w:r w:rsidRPr="00BA0FBF">
              <w:rPr>
                <w:sz w:val="18"/>
              </w:rPr>
              <w:t>Household net worth</w:t>
            </w:r>
          </w:p>
        </w:tc>
        <w:tc>
          <w:tcPr>
            <w:tcW w:w="610" w:type="pct"/>
          </w:tcPr>
          <w:p w:rsidR="00F95381" w:rsidRPr="00BA0FBF" w:rsidRDefault="00F95381" w:rsidP="00F95381">
            <w:pPr>
              <w:pStyle w:val="TableTextCentred"/>
              <w:cnfStyle w:val="000000000000" w:firstRow="0" w:lastRow="0" w:firstColumn="0" w:lastColumn="0" w:oddVBand="0" w:evenVBand="0" w:oddHBand="0" w:evenHBand="0" w:firstRowFirstColumn="0" w:firstRowLastColumn="0" w:lastRowFirstColumn="0" w:lastRowLastColumn="0"/>
              <w:rPr>
                <w:sz w:val="18"/>
              </w:rPr>
            </w:pPr>
            <w:r w:rsidRPr="00BA0FBF">
              <w:rPr>
                <w:sz w:val="18"/>
              </w:rPr>
              <w:t>$</w:t>
            </w:r>
          </w:p>
        </w:tc>
        <w:tc>
          <w:tcPr>
            <w:tcW w:w="316"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487,702</w:t>
            </w:r>
          </w:p>
        </w:tc>
        <w:tc>
          <w:tcPr>
            <w:tcW w:w="316"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363,877</w:t>
            </w:r>
          </w:p>
        </w:tc>
        <w:tc>
          <w:tcPr>
            <w:tcW w:w="316"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455,060</w:t>
            </w:r>
          </w:p>
        </w:tc>
        <w:tc>
          <w:tcPr>
            <w:tcW w:w="316"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522,471</w:t>
            </w:r>
          </w:p>
        </w:tc>
        <w:tc>
          <w:tcPr>
            <w:tcW w:w="316"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502,924</w:t>
            </w:r>
          </w:p>
        </w:tc>
        <w:tc>
          <w:tcPr>
            <w:tcW w:w="316"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616,818</w:t>
            </w:r>
          </w:p>
        </w:tc>
        <w:tc>
          <w:tcPr>
            <w:tcW w:w="316"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644,150</w:t>
            </w:r>
          </w:p>
        </w:tc>
        <w:tc>
          <w:tcPr>
            <w:tcW w:w="316"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719,646</w:t>
            </w:r>
          </w:p>
        </w:tc>
        <w:tc>
          <w:tcPr>
            <w:tcW w:w="316"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775,172</w:t>
            </w:r>
          </w:p>
        </w:tc>
        <w:tc>
          <w:tcPr>
            <w:tcW w:w="370"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2,188,523</w:t>
            </w:r>
          </w:p>
        </w:tc>
        <w:tc>
          <w:tcPr>
            <w:tcW w:w="315"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727,771</w:t>
            </w:r>
          </w:p>
        </w:tc>
      </w:tr>
      <w:tr w:rsidR="00F95381" w:rsidRPr="00BA0FBF" w:rsidTr="002168B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61" w:type="pct"/>
          </w:tcPr>
          <w:p w:rsidR="00F95381" w:rsidRPr="00BA0FBF" w:rsidRDefault="00F95381" w:rsidP="00F95381">
            <w:pPr>
              <w:pStyle w:val="TableText"/>
              <w:rPr>
                <w:sz w:val="18"/>
              </w:rPr>
            </w:pPr>
            <w:r w:rsidRPr="00BA0FBF">
              <w:rPr>
                <w:sz w:val="18"/>
              </w:rPr>
              <w:t>Home owner</w:t>
            </w:r>
          </w:p>
        </w:tc>
        <w:tc>
          <w:tcPr>
            <w:tcW w:w="610" w:type="pct"/>
          </w:tcPr>
          <w:p w:rsidR="00F95381" w:rsidRPr="00BA0FBF" w:rsidRDefault="00F95381" w:rsidP="00F95381">
            <w:pPr>
              <w:pStyle w:val="TableTextCentred"/>
              <w:cnfStyle w:val="000000100000" w:firstRow="0" w:lastRow="0" w:firstColumn="0" w:lastColumn="0" w:oddVBand="0" w:evenVBand="0" w:oddHBand="1" w:evenHBand="0" w:firstRowFirstColumn="0" w:firstRowLastColumn="0" w:lastRowFirstColumn="0" w:lastRowLastColumn="0"/>
              <w:rPr>
                <w:sz w:val="18"/>
              </w:rPr>
            </w:pPr>
            <w:r w:rsidRPr="00BA0FBF">
              <w:rPr>
                <w:sz w:val="18"/>
              </w:rPr>
              <w:t>%</w:t>
            </w:r>
          </w:p>
        </w:tc>
        <w:tc>
          <w:tcPr>
            <w:tcW w:w="316"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56.9%</w:t>
            </w:r>
          </w:p>
        </w:tc>
        <w:tc>
          <w:tcPr>
            <w:tcW w:w="316"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64.3%</w:t>
            </w:r>
          </w:p>
        </w:tc>
        <w:tc>
          <w:tcPr>
            <w:tcW w:w="316"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63.6%</w:t>
            </w:r>
          </w:p>
        </w:tc>
        <w:tc>
          <w:tcPr>
            <w:tcW w:w="316"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65.4%</w:t>
            </w:r>
          </w:p>
        </w:tc>
        <w:tc>
          <w:tcPr>
            <w:tcW w:w="316"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68.0%</w:t>
            </w:r>
          </w:p>
        </w:tc>
        <w:tc>
          <w:tcPr>
            <w:tcW w:w="316"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74.6%</w:t>
            </w:r>
          </w:p>
        </w:tc>
        <w:tc>
          <w:tcPr>
            <w:tcW w:w="316"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69.6%</w:t>
            </w:r>
          </w:p>
        </w:tc>
        <w:tc>
          <w:tcPr>
            <w:tcW w:w="316"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73.6%</w:t>
            </w:r>
          </w:p>
        </w:tc>
        <w:tc>
          <w:tcPr>
            <w:tcW w:w="316"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71.8%</w:t>
            </w:r>
          </w:p>
        </w:tc>
        <w:tc>
          <w:tcPr>
            <w:tcW w:w="370"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79.9%</w:t>
            </w:r>
          </w:p>
        </w:tc>
        <w:tc>
          <w:tcPr>
            <w:tcW w:w="315"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68.8%</w:t>
            </w:r>
          </w:p>
        </w:tc>
      </w:tr>
      <w:tr w:rsidR="00F95381" w:rsidRPr="00BA0FBF" w:rsidTr="002168BD">
        <w:trPr>
          <w:cantSplit/>
        </w:trPr>
        <w:tc>
          <w:tcPr>
            <w:cnfStyle w:val="001000000000" w:firstRow="0" w:lastRow="0" w:firstColumn="1" w:lastColumn="0" w:oddVBand="0" w:evenVBand="0" w:oddHBand="0" w:evenHBand="0" w:firstRowFirstColumn="0" w:firstRowLastColumn="0" w:lastRowFirstColumn="0" w:lastRowLastColumn="0"/>
            <w:tcW w:w="861" w:type="pct"/>
          </w:tcPr>
          <w:p w:rsidR="00F95381" w:rsidRPr="00BA0FBF" w:rsidRDefault="00F95381" w:rsidP="002168BD">
            <w:pPr>
              <w:pStyle w:val="TableText"/>
              <w:ind w:left="737"/>
              <w:rPr>
                <w:i/>
                <w:sz w:val="18"/>
              </w:rPr>
            </w:pPr>
            <w:r w:rsidRPr="00BA0FBF">
              <w:rPr>
                <w:i/>
                <w:sz w:val="18"/>
              </w:rPr>
              <w:t>Mortgage</w:t>
            </w:r>
          </w:p>
        </w:tc>
        <w:tc>
          <w:tcPr>
            <w:tcW w:w="610" w:type="pct"/>
          </w:tcPr>
          <w:p w:rsidR="00F95381" w:rsidRPr="00BA0FBF" w:rsidRDefault="00F95381" w:rsidP="00F95381">
            <w:pPr>
              <w:pStyle w:val="TableTextCentred"/>
              <w:cnfStyle w:val="000000000000" w:firstRow="0" w:lastRow="0" w:firstColumn="0" w:lastColumn="0" w:oddVBand="0" w:evenVBand="0" w:oddHBand="0" w:evenHBand="0" w:firstRowFirstColumn="0" w:firstRowLastColumn="0" w:lastRowFirstColumn="0" w:lastRowLastColumn="0"/>
              <w:rPr>
                <w:i/>
                <w:sz w:val="18"/>
              </w:rPr>
            </w:pPr>
            <w:r w:rsidRPr="00BA0FBF">
              <w:rPr>
                <w:i/>
                <w:sz w:val="18"/>
              </w:rPr>
              <w:t>%</w:t>
            </w:r>
          </w:p>
        </w:tc>
        <w:tc>
          <w:tcPr>
            <w:tcW w:w="316"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8"/>
                <w:szCs w:val="20"/>
              </w:rPr>
            </w:pPr>
            <w:r w:rsidRPr="00BA0FBF">
              <w:rPr>
                <w:rFonts w:ascii="Calibri" w:hAnsi="Calibri"/>
                <w:i/>
                <w:color w:val="000000"/>
                <w:sz w:val="18"/>
                <w:szCs w:val="20"/>
              </w:rPr>
              <w:t>38.6%</w:t>
            </w:r>
          </w:p>
        </w:tc>
        <w:tc>
          <w:tcPr>
            <w:tcW w:w="316"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8"/>
                <w:szCs w:val="20"/>
              </w:rPr>
            </w:pPr>
            <w:r w:rsidRPr="00BA0FBF">
              <w:rPr>
                <w:rFonts w:ascii="Calibri" w:hAnsi="Calibri"/>
                <w:i/>
                <w:color w:val="000000"/>
                <w:sz w:val="18"/>
                <w:szCs w:val="20"/>
              </w:rPr>
              <w:t>51.4%</w:t>
            </w:r>
          </w:p>
        </w:tc>
        <w:tc>
          <w:tcPr>
            <w:tcW w:w="316"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8"/>
                <w:szCs w:val="20"/>
              </w:rPr>
            </w:pPr>
            <w:r w:rsidRPr="00BA0FBF">
              <w:rPr>
                <w:rFonts w:ascii="Calibri" w:hAnsi="Calibri"/>
                <w:i/>
                <w:color w:val="000000"/>
                <w:sz w:val="18"/>
                <w:szCs w:val="20"/>
              </w:rPr>
              <w:t>44.8%</w:t>
            </w:r>
          </w:p>
        </w:tc>
        <w:tc>
          <w:tcPr>
            <w:tcW w:w="316"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8"/>
                <w:szCs w:val="20"/>
              </w:rPr>
            </w:pPr>
            <w:r w:rsidRPr="00BA0FBF">
              <w:rPr>
                <w:rFonts w:ascii="Calibri" w:hAnsi="Calibri"/>
                <w:i/>
                <w:color w:val="000000"/>
                <w:sz w:val="18"/>
                <w:szCs w:val="20"/>
              </w:rPr>
              <w:t>37.4%</w:t>
            </w:r>
          </w:p>
        </w:tc>
        <w:tc>
          <w:tcPr>
            <w:tcW w:w="316"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8"/>
                <w:szCs w:val="20"/>
              </w:rPr>
            </w:pPr>
            <w:r w:rsidRPr="00BA0FBF">
              <w:rPr>
                <w:rFonts w:ascii="Calibri" w:hAnsi="Calibri"/>
                <w:i/>
                <w:color w:val="000000"/>
                <w:sz w:val="18"/>
                <w:szCs w:val="20"/>
              </w:rPr>
              <w:t>27.4%</w:t>
            </w:r>
          </w:p>
        </w:tc>
        <w:tc>
          <w:tcPr>
            <w:tcW w:w="316"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8"/>
                <w:szCs w:val="20"/>
              </w:rPr>
            </w:pPr>
            <w:r w:rsidRPr="00BA0FBF">
              <w:rPr>
                <w:rFonts w:ascii="Calibri" w:hAnsi="Calibri"/>
                <w:i/>
                <w:color w:val="000000"/>
                <w:sz w:val="18"/>
                <w:szCs w:val="20"/>
              </w:rPr>
              <w:t>33.2%</w:t>
            </w:r>
          </w:p>
        </w:tc>
        <w:tc>
          <w:tcPr>
            <w:tcW w:w="316"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8"/>
                <w:szCs w:val="20"/>
              </w:rPr>
            </w:pPr>
            <w:r w:rsidRPr="00BA0FBF">
              <w:rPr>
                <w:rFonts w:ascii="Calibri" w:hAnsi="Calibri"/>
                <w:i/>
                <w:color w:val="000000"/>
                <w:sz w:val="18"/>
                <w:szCs w:val="20"/>
              </w:rPr>
              <w:t>22.9%</w:t>
            </w:r>
          </w:p>
        </w:tc>
        <w:tc>
          <w:tcPr>
            <w:tcW w:w="316"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8"/>
                <w:szCs w:val="20"/>
              </w:rPr>
            </w:pPr>
            <w:r w:rsidRPr="00BA0FBF">
              <w:rPr>
                <w:rFonts w:ascii="Calibri" w:hAnsi="Calibri"/>
                <w:i/>
                <w:color w:val="000000"/>
                <w:sz w:val="18"/>
                <w:szCs w:val="20"/>
              </w:rPr>
              <w:t>22.3%</w:t>
            </w:r>
          </w:p>
        </w:tc>
        <w:tc>
          <w:tcPr>
            <w:tcW w:w="316"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8"/>
                <w:szCs w:val="20"/>
              </w:rPr>
            </w:pPr>
            <w:r w:rsidRPr="00BA0FBF">
              <w:rPr>
                <w:rFonts w:ascii="Calibri" w:hAnsi="Calibri"/>
                <w:i/>
                <w:color w:val="000000"/>
                <w:sz w:val="18"/>
                <w:szCs w:val="20"/>
              </w:rPr>
              <w:t>19.9%</w:t>
            </w:r>
          </w:p>
        </w:tc>
        <w:tc>
          <w:tcPr>
            <w:tcW w:w="370"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8"/>
                <w:szCs w:val="20"/>
              </w:rPr>
            </w:pPr>
            <w:r w:rsidRPr="00BA0FBF">
              <w:rPr>
                <w:rFonts w:ascii="Calibri" w:hAnsi="Calibri"/>
                <w:i/>
                <w:color w:val="000000"/>
                <w:sz w:val="18"/>
                <w:szCs w:val="20"/>
              </w:rPr>
              <w:t>27.5%</w:t>
            </w:r>
          </w:p>
        </w:tc>
        <w:tc>
          <w:tcPr>
            <w:tcW w:w="315"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8"/>
                <w:szCs w:val="20"/>
              </w:rPr>
            </w:pPr>
            <w:r w:rsidRPr="00BA0FBF">
              <w:rPr>
                <w:rFonts w:ascii="Calibri" w:hAnsi="Calibri"/>
                <w:i/>
                <w:color w:val="000000"/>
                <w:sz w:val="18"/>
                <w:szCs w:val="20"/>
              </w:rPr>
              <w:t>32.6%</w:t>
            </w:r>
          </w:p>
        </w:tc>
      </w:tr>
      <w:tr w:rsidR="00F95381" w:rsidRPr="00BA0FBF" w:rsidTr="002168B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61" w:type="pct"/>
          </w:tcPr>
          <w:p w:rsidR="00F95381" w:rsidRPr="00BA0FBF" w:rsidRDefault="00F95381" w:rsidP="002168BD">
            <w:pPr>
              <w:pStyle w:val="TableText"/>
              <w:ind w:left="737"/>
              <w:rPr>
                <w:i/>
                <w:sz w:val="18"/>
              </w:rPr>
            </w:pPr>
            <w:r w:rsidRPr="00BA0FBF">
              <w:rPr>
                <w:i/>
                <w:sz w:val="18"/>
              </w:rPr>
              <w:t>Without mortgage</w:t>
            </w:r>
          </w:p>
        </w:tc>
        <w:tc>
          <w:tcPr>
            <w:tcW w:w="610" w:type="pct"/>
          </w:tcPr>
          <w:p w:rsidR="00F95381" w:rsidRPr="00BA0FBF" w:rsidRDefault="00F95381" w:rsidP="00F95381">
            <w:pPr>
              <w:pStyle w:val="TableTextCentred"/>
              <w:cnfStyle w:val="000000100000" w:firstRow="0" w:lastRow="0" w:firstColumn="0" w:lastColumn="0" w:oddVBand="0" w:evenVBand="0" w:oddHBand="1" w:evenHBand="0" w:firstRowFirstColumn="0" w:firstRowLastColumn="0" w:lastRowFirstColumn="0" w:lastRowLastColumn="0"/>
              <w:rPr>
                <w:i/>
                <w:sz w:val="18"/>
              </w:rPr>
            </w:pPr>
            <w:r w:rsidRPr="00BA0FBF">
              <w:rPr>
                <w:i/>
                <w:sz w:val="18"/>
              </w:rPr>
              <w:t>%</w:t>
            </w:r>
          </w:p>
        </w:tc>
        <w:tc>
          <w:tcPr>
            <w:tcW w:w="316"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i/>
                <w:color w:val="000000"/>
                <w:sz w:val="18"/>
                <w:szCs w:val="20"/>
              </w:rPr>
            </w:pPr>
            <w:r w:rsidRPr="00BA0FBF">
              <w:rPr>
                <w:rFonts w:ascii="Calibri" w:hAnsi="Calibri"/>
                <w:i/>
                <w:color w:val="000000"/>
                <w:sz w:val="18"/>
                <w:szCs w:val="20"/>
              </w:rPr>
              <w:t>18.2%</w:t>
            </w:r>
          </w:p>
        </w:tc>
        <w:tc>
          <w:tcPr>
            <w:tcW w:w="316"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i/>
                <w:color w:val="000000"/>
                <w:sz w:val="18"/>
                <w:szCs w:val="20"/>
              </w:rPr>
            </w:pPr>
            <w:r w:rsidRPr="00BA0FBF">
              <w:rPr>
                <w:rFonts w:ascii="Calibri" w:hAnsi="Calibri"/>
                <w:i/>
                <w:color w:val="000000"/>
                <w:sz w:val="18"/>
                <w:szCs w:val="20"/>
              </w:rPr>
              <w:t>12.9%</w:t>
            </w:r>
          </w:p>
        </w:tc>
        <w:tc>
          <w:tcPr>
            <w:tcW w:w="316"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i/>
                <w:color w:val="000000"/>
                <w:sz w:val="18"/>
                <w:szCs w:val="20"/>
              </w:rPr>
            </w:pPr>
            <w:r w:rsidRPr="00BA0FBF">
              <w:rPr>
                <w:rFonts w:ascii="Calibri" w:hAnsi="Calibri"/>
                <w:i/>
                <w:color w:val="000000"/>
                <w:sz w:val="18"/>
                <w:szCs w:val="20"/>
              </w:rPr>
              <w:t>18.8%</w:t>
            </w:r>
          </w:p>
        </w:tc>
        <w:tc>
          <w:tcPr>
            <w:tcW w:w="316"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i/>
                <w:color w:val="000000"/>
                <w:sz w:val="18"/>
                <w:szCs w:val="20"/>
              </w:rPr>
            </w:pPr>
            <w:r w:rsidRPr="00BA0FBF">
              <w:rPr>
                <w:rFonts w:ascii="Calibri" w:hAnsi="Calibri"/>
                <w:i/>
                <w:color w:val="000000"/>
                <w:sz w:val="18"/>
                <w:szCs w:val="20"/>
              </w:rPr>
              <w:t>28.0%</w:t>
            </w:r>
          </w:p>
        </w:tc>
        <w:tc>
          <w:tcPr>
            <w:tcW w:w="316"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i/>
                <w:color w:val="000000"/>
                <w:sz w:val="18"/>
                <w:szCs w:val="20"/>
              </w:rPr>
            </w:pPr>
            <w:r w:rsidRPr="00BA0FBF">
              <w:rPr>
                <w:rFonts w:ascii="Calibri" w:hAnsi="Calibri"/>
                <w:i/>
                <w:color w:val="000000"/>
                <w:sz w:val="18"/>
                <w:szCs w:val="20"/>
              </w:rPr>
              <w:t>40.5%</w:t>
            </w:r>
          </w:p>
        </w:tc>
        <w:tc>
          <w:tcPr>
            <w:tcW w:w="316"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i/>
                <w:color w:val="000000"/>
                <w:sz w:val="18"/>
                <w:szCs w:val="20"/>
              </w:rPr>
            </w:pPr>
            <w:r w:rsidRPr="00BA0FBF">
              <w:rPr>
                <w:rFonts w:ascii="Calibri" w:hAnsi="Calibri"/>
                <w:i/>
                <w:color w:val="000000"/>
                <w:sz w:val="18"/>
                <w:szCs w:val="20"/>
              </w:rPr>
              <w:t>41.3%</w:t>
            </w:r>
          </w:p>
        </w:tc>
        <w:tc>
          <w:tcPr>
            <w:tcW w:w="316"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i/>
                <w:color w:val="000000"/>
                <w:sz w:val="18"/>
                <w:szCs w:val="20"/>
              </w:rPr>
            </w:pPr>
            <w:r w:rsidRPr="00BA0FBF">
              <w:rPr>
                <w:rFonts w:ascii="Calibri" w:hAnsi="Calibri"/>
                <w:i/>
                <w:color w:val="000000"/>
                <w:sz w:val="18"/>
                <w:szCs w:val="20"/>
              </w:rPr>
              <w:t>46.7%</w:t>
            </w:r>
          </w:p>
        </w:tc>
        <w:tc>
          <w:tcPr>
            <w:tcW w:w="316"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i/>
                <w:color w:val="000000"/>
                <w:sz w:val="18"/>
                <w:szCs w:val="20"/>
              </w:rPr>
            </w:pPr>
            <w:r w:rsidRPr="00BA0FBF">
              <w:rPr>
                <w:rFonts w:ascii="Calibri" w:hAnsi="Calibri"/>
                <w:i/>
                <w:color w:val="000000"/>
                <w:sz w:val="18"/>
                <w:szCs w:val="20"/>
              </w:rPr>
              <w:t>51.2%</w:t>
            </w:r>
          </w:p>
        </w:tc>
        <w:tc>
          <w:tcPr>
            <w:tcW w:w="316"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i/>
                <w:color w:val="000000"/>
                <w:sz w:val="18"/>
                <w:szCs w:val="20"/>
              </w:rPr>
            </w:pPr>
            <w:r w:rsidRPr="00BA0FBF">
              <w:rPr>
                <w:rFonts w:ascii="Calibri" w:hAnsi="Calibri"/>
                <w:i/>
                <w:color w:val="000000"/>
                <w:sz w:val="18"/>
                <w:szCs w:val="20"/>
              </w:rPr>
              <w:t>51.9%</w:t>
            </w:r>
          </w:p>
        </w:tc>
        <w:tc>
          <w:tcPr>
            <w:tcW w:w="370"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i/>
                <w:color w:val="000000"/>
                <w:sz w:val="18"/>
                <w:szCs w:val="20"/>
              </w:rPr>
            </w:pPr>
            <w:r w:rsidRPr="00BA0FBF">
              <w:rPr>
                <w:rFonts w:ascii="Calibri" w:hAnsi="Calibri"/>
                <w:i/>
                <w:color w:val="000000"/>
                <w:sz w:val="18"/>
                <w:szCs w:val="20"/>
              </w:rPr>
              <w:t>52.4%</w:t>
            </w:r>
          </w:p>
        </w:tc>
        <w:tc>
          <w:tcPr>
            <w:tcW w:w="315"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i/>
                <w:color w:val="000000"/>
                <w:sz w:val="18"/>
                <w:szCs w:val="20"/>
              </w:rPr>
            </w:pPr>
            <w:r w:rsidRPr="00BA0FBF">
              <w:rPr>
                <w:rFonts w:ascii="Calibri" w:hAnsi="Calibri"/>
                <w:i/>
                <w:color w:val="000000"/>
                <w:sz w:val="18"/>
                <w:szCs w:val="20"/>
              </w:rPr>
              <w:t>36.2%</w:t>
            </w:r>
          </w:p>
        </w:tc>
      </w:tr>
      <w:tr w:rsidR="00F95381" w:rsidRPr="00AF0314" w:rsidTr="002168BD">
        <w:trPr>
          <w:cantSplit/>
        </w:trPr>
        <w:tc>
          <w:tcPr>
            <w:cnfStyle w:val="001000000000" w:firstRow="0" w:lastRow="0" w:firstColumn="1" w:lastColumn="0" w:oddVBand="0" w:evenVBand="0" w:oddHBand="0" w:evenHBand="0" w:firstRowFirstColumn="0" w:firstRowLastColumn="0" w:lastRowFirstColumn="0" w:lastRowLastColumn="0"/>
            <w:tcW w:w="861" w:type="pct"/>
          </w:tcPr>
          <w:p w:rsidR="00F95381" w:rsidRPr="00AF0314" w:rsidRDefault="00F95381" w:rsidP="00F95381">
            <w:pPr>
              <w:pStyle w:val="TableText"/>
              <w:rPr>
                <w:sz w:val="18"/>
              </w:rPr>
            </w:pPr>
            <w:r w:rsidRPr="00AF0314">
              <w:rPr>
                <w:sz w:val="18"/>
              </w:rPr>
              <w:t>Renter</w:t>
            </w:r>
          </w:p>
        </w:tc>
        <w:tc>
          <w:tcPr>
            <w:tcW w:w="610" w:type="pct"/>
          </w:tcPr>
          <w:p w:rsidR="00F95381" w:rsidRPr="00AF0314" w:rsidRDefault="00F95381" w:rsidP="00F95381">
            <w:pPr>
              <w:pStyle w:val="TableTextCentred"/>
              <w:cnfStyle w:val="000000000000" w:firstRow="0" w:lastRow="0" w:firstColumn="0" w:lastColumn="0" w:oddVBand="0" w:evenVBand="0" w:oddHBand="0" w:evenHBand="0" w:firstRowFirstColumn="0" w:firstRowLastColumn="0" w:lastRowFirstColumn="0" w:lastRowLastColumn="0"/>
              <w:rPr>
                <w:sz w:val="18"/>
              </w:rPr>
            </w:pPr>
            <w:r w:rsidRPr="00AF0314">
              <w:rPr>
                <w:sz w:val="18"/>
              </w:rPr>
              <w:t>%</w:t>
            </w:r>
          </w:p>
        </w:tc>
        <w:tc>
          <w:tcPr>
            <w:tcW w:w="316" w:type="pct"/>
            <w:vAlign w:val="bottom"/>
          </w:tcPr>
          <w:p w:rsidR="00F95381" w:rsidRPr="00AF0314"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AF0314">
              <w:rPr>
                <w:rFonts w:ascii="Calibri" w:hAnsi="Calibri"/>
                <w:color w:val="000000"/>
                <w:sz w:val="18"/>
                <w:szCs w:val="20"/>
              </w:rPr>
              <w:t>36.8%</w:t>
            </w:r>
          </w:p>
        </w:tc>
        <w:tc>
          <w:tcPr>
            <w:tcW w:w="316" w:type="pct"/>
            <w:vAlign w:val="bottom"/>
          </w:tcPr>
          <w:p w:rsidR="00F95381" w:rsidRPr="00AF0314"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AF0314">
              <w:rPr>
                <w:rFonts w:ascii="Calibri" w:hAnsi="Calibri"/>
                <w:color w:val="000000"/>
                <w:sz w:val="18"/>
                <w:szCs w:val="20"/>
              </w:rPr>
              <w:t>32.9%</w:t>
            </w:r>
          </w:p>
        </w:tc>
        <w:tc>
          <w:tcPr>
            <w:tcW w:w="316" w:type="pct"/>
            <w:vAlign w:val="bottom"/>
          </w:tcPr>
          <w:p w:rsidR="00F95381" w:rsidRPr="00AF0314"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AF0314">
              <w:rPr>
                <w:rFonts w:ascii="Calibri" w:hAnsi="Calibri"/>
                <w:color w:val="000000"/>
                <w:sz w:val="18"/>
                <w:szCs w:val="20"/>
              </w:rPr>
              <w:t>32.8%</w:t>
            </w:r>
          </w:p>
        </w:tc>
        <w:tc>
          <w:tcPr>
            <w:tcW w:w="316" w:type="pct"/>
            <w:vAlign w:val="bottom"/>
          </w:tcPr>
          <w:p w:rsidR="00F95381" w:rsidRPr="00AF0314"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AF0314">
              <w:rPr>
                <w:rFonts w:ascii="Calibri" w:hAnsi="Calibri"/>
                <w:color w:val="000000"/>
                <w:sz w:val="18"/>
                <w:szCs w:val="20"/>
              </w:rPr>
              <w:t>31.8%</w:t>
            </w:r>
          </w:p>
        </w:tc>
        <w:tc>
          <w:tcPr>
            <w:tcW w:w="316" w:type="pct"/>
            <w:vAlign w:val="bottom"/>
          </w:tcPr>
          <w:p w:rsidR="00F95381" w:rsidRPr="00AF0314"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AF0314">
              <w:rPr>
                <w:rFonts w:ascii="Calibri" w:hAnsi="Calibri"/>
                <w:color w:val="000000"/>
                <w:sz w:val="18"/>
                <w:szCs w:val="20"/>
              </w:rPr>
              <w:t>27.8%</w:t>
            </w:r>
          </w:p>
        </w:tc>
        <w:tc>
          <w:tcPr>
            <w:tcW w:w="316" w:type="pct"/>
            <w:vAlign w:val="bottom"/>
          </w:tcPr>
          <w:p w:rsidR="00F95381" w:rsidRPr="00AF0314"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AF0314">
              <w:rPr>
                <w:rFonts w:ascii="Calibri" w:hAnsi="Calibri"/>
                <w:color w:val="000000"/>
                <w:sz w:val="18"/>
                <w:szCs w:val="20"/>
              </w:rPr>
              <w:t>24.0%</w:t>
            </w:r>
          </w:p>
        </w:tc>
        <w:tc>
          <w:tcPr>
            <w:tcW w:w="316" w:type="pct"/>
            <w:vAlign w:val="bottom"/>
          </w:tcPr>
          <w:p w:rsidR="00F95381" w:rsidRPr="00AF0314"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AF0314">
              <w:rPr>
                <w:rFonts w:ascii="Calibri" w:hAnsi="Calibri"/>
                <w:color w:val="000000"/>
                <w:sz w:val="18"/>
                <w:szCs w:val="20"/>
              </w:rPr>
              <w:t>29.4%</w:t>
            </w:r>
          </w:p>
        </w:tc>
        <w:tc>
          <w:tcPr>
            <w:tcW w:w="316" w:type="pct"/>
            <w:vAlign w:val="bottom"/>
          </w:tcPr>
          <w:p w:rsidR="00F95381" w:rsidRPr="00AF0314"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AF0314">
              <w:rPr>
                <w:rFonts w:ascii="Calibri" w:hAnsi="Calibri"/>
                <w:color w:val="000000"/>
                <w:sz w:val="18"/>
                <w:szCs w:val="20"/>
              </w:rPr>
              <w:t>25.1%</w:t>
            </w:r>
          </w:p>
        </w:tc>
        <w:tc>
          <w:tcPr>
            <w:tcW w:w="316" w:type="pct"/>
            <w:vAlign w:val="bottom"/>
          </w:tcPr>
          <w:p w:rsidR="00F95381" w:rsidRPr="00AF0314"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AF0314">
              <w:rPr>
                <w:rFonts w:ascii="Calibri" w:hAnsi="Calibri"/>
                <w:color w:val="000000"/>
                <w:sz w:val="18"/>
                <w:szCs w:val="20"/>
              </w:rPr>
              <w:t>25.4%</w:t>
            </w:r>
          </w:p>
        </w:tc>
        <w:tc>
          <w:tcPr>
            <w:tcW w:w="370" w:type="pct"/>
            <w:vAlign w:val="bottom"/>
          </w:tcPr>
          <w:p w:rsidR="00F95381" w:rsidRPr="00AF0314"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AF0314">
              <w:rPr>
                <w:rFonts w:ascii="Calibri" w:hAnsi="Calibri"/>
                <w:color w:val="000000"/>
                <w:sz w:val="18"/>
                <w:szCs w:val="20"/>
              </w:rPr>
              <w:t>18.2%</w:t>
            </w:r>
          </w:p>
        </w:tc>
        <w:tc>
          <w:tcPr>
            <w:tcW w:w="315" w:type="pct"/>
            <w:vAlign w:val="bottom"/>
          </w:tcPr>
          <w:p w:rsidR="00F95381" w:rsidRPr="00AF0314"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AF0314">
              <w:rPr>
                <w:rFonts w:ascii="Calibri" w:hAnsi="Calibri"/>
                <w:color w:val="000000"/>
                <w:sz w:val="18"/>
                <w:szCs w:val="20"/>
              </w:rPr>
              <w:t>28.4%</w:t>
            </w:r>
          </w:p>
        </w:tc>
      </w:tr>
      <w:tr w:rsidR="00F95381" w:rsidRPr="00BA0FBF" w:rsidTr="002168B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61" w:type="pct"/>
          </w:tcPr>
          <w:p w:rsidR="00F95381" w:rsidRPr="00BA0FBF" w:rsidRDefault="00F95381" w:rsidP="00F95381">
            <w:pPr>
              <w:pStyle w:val="TableText"/>
              <w:rPr>
                <w:sz w:val="18"/>
              </w:rPr>
            </w:pPr>
            <w:r w:rsidRPr="00BA0FBF">
              <w:rPr>
                <w:sz w:val="18"/>
              </w:rPr>
              <w:t>Other</w:t>
            </w:r>
          </w:p>
        </w:tc>
        <w:tc>
          <w:tcPr>
            <w:tcW w:w="610" w:type="pct"/>
          </w:tcPr>
          <w:p w:rsidR="00F95381" w:rsidRPr="00BA0FBF" w:rsidRDefault="00F95381" w:rsidP="00F95381">
            <w:pPr>
              <w:pStyle w:val="TableTextCentred"/>
              <w:cnfStyle w:val="000000100000" w:firstRow="0" w:lastRow="0" w:firstColumn="0" w:lastColumn="0" w:oddVBand="0" w:evenVBand="0" w:oddHBand="1" w:evenHBand="0" w:firstRowFirstColumn="0" w:firstRowLastColumn="0" w:lastRowFirstColumn="0" w:lastRowLastColumn="0"/>
              <w:rPr>
                <w:sz w:val="18"/>
              </w:rPr>
            </w:pPr>
            <w:r w:rsidRPr="00BA0FBF">
              <w:rPr>
                <w:sz w:val="18"/>
              </w:rPr>
              <w:t>%</w:t>
            </w:r>
          </w:p>
        </w:tc>
        <w:tc>
          <w:tcPr>
            <w:tcW w:w="316"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6.4%</w:t>
            </w:r>
          </w:p>
        </w:tc>
        <w:tc>
          <w:tcPr>
            <w:tcW w:w="316"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2.7%</w:t>
            </w:r>
          </w:p>
        </w:tc>
        <w:tc>
          <w:tcPr>
            <w:tcW w:w="316"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3.6%</w:t>
            </w:r>
          </w:p>
        </w:tc>
        <w:tc>
          <w:tcPr>
            <w:tcW w:w="316"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2.8%</w:t>
            </w:r>
          </w:p>
        </w:tc>
        <w:tc>
          <w:tcPr>
            <w:tcW w:w="316"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4.3%</w:t>
            </w:r>
          </w:p>
        </w:tc>
        <w:tc>
          <w:tcPr>
            <w:tcW w:w="316"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1.4%</w:t>
            </w:r>
          </w:p>
        </w:tc>
        <w:tc>
          <w:tcPr>
            <w:tcW w:w="316"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0.9%</w:t>
            </w:r>
          </w:p>
        </w:tc>
        <w:tc>
          <w:tcPr>
            <w:tcW w:w="316"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1.3%</w:t>
            </w:r>
          </w:p>
        </w:tc>
        <w:tc>
          <w:tcPr>
            <w:tcW w:w="316"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2.9%</w:t>
            </w:r>
          </w:p>
        </w:tc>
        <w:tc>
          <w:tcPr>
            <w:tcW w:w="370"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1.9%</w:t>
            </w:r>
          </w:p>
        </w:tc>
        <w:tc>
          <w:tcPr>
            <w:tcW w:w="315"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2.8%</w:t>
            </w:r>
          </w:p>
        </w:tc>
      </w:tr>
    </w:tbl>
    <w:p w:rsidR="004E2C1A" w:rsidRDefault="004E2C1A" w:rsidP="004E2C1A">
      <w:pPr>
        <w:pStyle w:val="Source"/>
      </w:pPr>
      <w:bookmarkStart w:id="287" w:name="_Ref436665057"/>
      <w:bookmarkStart w:id="288" w:name="_Toc436650599"/>
      <w:bookmarkStart w:id="289" w:name="_Toc436664574"/>
      <w:r>
        <w:t xml:space="preserve">Source: </w:t>
      </w:r>
      <w:r w:rsidR="004E109F">
        <w:t>PBO analysis based on data from the ABS and Treasury</w:t>
      </w:r>
    </w:p>
    <w:p w:rsidR="006E7D23" w:rsidRPr="00BA0FBF" w:rsidRDefault="006E7D23" w:rsidP="006E7D23">
      <w:pPr>
        <w:pStyle w:val="Caption"/>
        <w:rPr>
          <w:sz w:val="20"/>
        </w:rPr>
      </w:pPr>
      <w:bookmarkStart w:id="290" w:name="_Ref438119879"/>
      <w:r w:rsidRPr="00BA0FBF">
        <w:rPr>
          <w:sz w:val="20"/>
        </w:rPr>
        <w:t xml:space="preserve">Table </w:t>
      </w:r>
      <w:r w:rsidRPr="00BA0FBF">
        <w:rPr>
          <w:sz w:val="20"/>
        </w:rPr>
        <w:fldChar w:fldCharType="begin"/>
      </w:r>
      <w:r w:rsidRPr="00BA0FBF">
        <w:rPr>
          <w:sz w:val="20"/>
        </w:rPr>
        <w:instrText xml:space="preserve"> STYLEREF 8 \s </w:instrText>
      </w:r>
      <w:r w:rsidRPr="00BA0FBF">
        <w:rPr>
          <w:sz w:val="20"/>
        </w:rPr>
        <w:fldChar w:fldCharType="separate"/>
      </w:r>
      <w:r w:rsidR="00076CF9">
        <w:rPr>
          <w:noProof/>
          <w:sz w:val="20"/>
        </w:rPr>
        <w:t>B</w:t>
      </w:r>
      <w:r w:rsidRPr="00BA0FBF">
        <w:rPr>
          <w:sz w:val="20"/>
        </w:rPr>
        <w:fldChar w:fldCharType="end"/>
      </w:r>
      <w:r w:rsidRPr="00BA0FBF">
        <w:rPr>
          <w:sz w:val="20"/>
        </w:rPr>
        <w:t>‒</w:t>
      </w:r>
      <w:r w:rsidRPr="00BA0FBF">
        <w:rPr>
          <w:sz w:val="20"/>
        </w:rPr>
        <w:fldChar w:fldCharType="begin"/>
      </w:r>
      <w:r w:rsidRPr="00BA0FBF">
        <w:rPr>
          <w:sz w:val="20"/>
        </w:rPr>
        <w:instrText xml:space="preserve"> SEQ AppendixTable\s 8 </w:instrText>
      </w:r>
      <w:r w:rsidRPr="00BA0FBF">
        <w:rPr>
          <w:sz w:val="20"/>
        </w:rPr>
        <w:fldChar w:fldCharType="separate"/>
      </w:r>
      <w:r w:rsidR="00076CF9">
        <w:rPr>
          <w:noProof/>
          <w:sz w:val="20"/>
        </w:rPr>
        <w:t>2</w:t>
      </w:r>
      <w:r w:rsidRPr="00BA0FBF">
        <w:rPr>
          <w:sz w:val="20"/>
        </w:rPr>
        <w:fldChar w:fldCharType="end"/>
      </w:r>
      <w:bookmarkEnd w:id="287"/>
      <w:bookmarkEnd w:id="290"/>
      <w:r w:rsidRPr="00BA0FBF">
        <w:rPr>
          <w:sz w:val="20"/>
        </w:rPr>
        <w:t>: Distribution analysis of households, household composition</w:t>
      </w:r>
    </w:p>
    <w:bookmarkEnd w:id="288"/>
    <w:bookmarkEnd w:id="289"/>
    <w:tbl>
      <w:tblPr>
        <w:tblStyle w:val="TableGrid"/>
        <w:tblW w:w="5000" w:type="pct"/>
        <w:tblLook w:val="04A0" w:firstRow="1" w:lastRow="0" w:firstColumn="1" w:lastColumn="0" w:noHBand="0" w:noVBand="1"/>
      </w:tblPr>
      <w:tblGrid>
        <w:gridCol w:w="3270"/>
        <w:gridCol w:w="1491"/>
        <w:gridCol w:w="771"/>
        <w:gridCol w:w="771"/>
        <w:gridCol w:w="771"/>
        <w:gridCol w:w="771"/>
        <w:gridCol w:w="771"/>
        <w:gridCol w:w="771"/>
        <w:gridCol w:w="771"/>
        <w:gridCol w:w="771"/>
        <w:gridCol w:w="771"/>
        <w:gridCol w:w="771"/>
        <w:gridCol w:w="773"/>
      </w:tblGrid>
      <w:tr w:rsidR="00F95381" w:rsidRPr="00BA0FBF" w:rsidTr="00AF360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235" w:type="pct"/>
          </w:tcPr>
          <w:p w:rsidR="00F95381" w:rsidRPr="00BA0FBF" w:rsidRDefault="00F95381" w:rsidP="00F95381">
            <w:pPr>
              <w:pStyle w:val="TableHeading"/>
              <w:rPr>
                <w:sz w:val="18"/>
              </w:rPr>
            </w:pPr>
          </w:p>
        </w:tc>
        <w:tc>
          <w:tcPr>
            <w:tcW w:w="563" w:type="pct"/>
          </w:tcPr>
          <w:p w:rsidR="00F95381" w:rsidRPr="00BA0FBF" w:rsidRDefault="00F95381" w:rsidP="00F95381">
            <w:pPr>
              <w:pStyle w:val="TableHeadingCentred"/>
              <w:cnfStyle w:val="100000000000" w:firstRow="1" w:lastRow="0" w:firstColumn="0" w:lastColumn="0" w:oddVBand="0" w:evenVBand="0" w:oddHBand="0" w:evenHBand="0" w:firstRowFirstColumn="0" w:firstRowLastColumn="0" w:lastRowFirstColumn="0" w:lastRowLastColumn="0"/>
              <w:rPr>
                <w:sz w:val="18"/>
              </w:rPr>
            </w:pPr>
          </w:p>
        </w:tc>
        <w:tc>
          <w:tcPr>
            <w:tcW w:w="291" w:type="pct"/>
          </w:tcPr>
          <w:p w:rsidR="00F95381" w:rsidRPr="00BA0FBF" w:rsidRDefault="00F95381" w:rsidP="00F95381">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D1</w:t>
            </w:r>
          </w:p>
        </w:tc>
        <w:tc>
          <w:tcPr>
            <w:tcW w:w="291" w:type="pct"/>
          </w:tcPr>
          <w:p w:rsidR="00F95381" w:rsidRPr="00BA0FBF" w:rsidRDefault="00F95381" w:rsidP="00F95381">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D2</w:t>
            </w:r>
          </w:p>
        </w:tc>
        <w:tc>
          <w:tcPr>
            <w:tcW w:w="291" w:type="pct"/>
          </w:tcPr>
          <w:p w:rsidR="00F95381" w:rsidRPr="00BA0FBF" w:rsidRDefault="00F95381" w:rsidP="00F95381">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D3</w:t>
            </w:r>
          </w:p>
        </w:tc>
        <w:tc>
          <w:tcPr>
            <w:tcW w:w="291" w:type="pct"/>
          </w:tcPr>
          <w:p w:rsidR="00F95381" w:rsidRPr="00BA0FBF" w:rsidRDefault="00F95381" w:rsidP="00F95381">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D4</w:t>
            </w:r>
          </w:p>
        </w:tc>
        <w:tc>
          <w:tcPr>
            <w:tcW w:w="291" w:type="pct"/>
          </w:tcPr>
          <w:p w:rsidR="00F95381" w:rsidRPr="00BA0FBF" w:rsidRDefault="00F95381" w:rsidP="00F95381">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D5</w:t>
            </w:r>
          </w:p>
        </w:tc>
        <w:tc>
          <w:tcPr>
            <w:tcW w:w="291" w:type="pct"/>
          </w:tcPr>
          <w:p w:rsidR="00F95381" w:rsidRPr="00BA0FBF" w:rsidRDefault="00F95381" w:rsidP="00F95381">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D6</w:t>
            </w:r>
          </w:p>
        </w:tc>
        <w:tc>
          <w:tcPr>
            <w:tcW w:w="291" w:type="pct"/>
          </w:tcPr>
          <w:p w:rsidR="00F95381" w:rsidRPr="00BA0FBF" w:rsidRDefault="00F95381" w:rsidP="00F95381">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D7</w:t>
            </w:r>
          </w:p>
        </w:tc>
        <w:tc>
          <w:tcPr>
            <w:tcW w:w="291" w:type="pct"/>
          </w:tcPr>
          <w:p w:rsidR="00F95381" w:rsidRPr="00BA0FBF" w:rsidRDefault="00F95381" w:rsidP="00F95381">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D8</w:t>
            </w:r>
          </w:p>
        </w:tc>
        <w:tc>
          <w:tcPr>
            <w:tcW w:w="291" w:type="pct"/>
          </w:tcPr>
          <w:p w:rsidR="00F95381" w:rsidRPr="00BA0FBF" w:rsidRDefault="00F95381" w:rsidP="00F95381">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D9</w:t>
            </w:r>
          </w:p>
        </w:tc>
        <w:tc>
          <w:tcPr>
            <w:tcW w:w="291" w:type="pct"/>
          </w:tcPr>
          <w:p w:rsidR="00F95381" w:rsidRPr="00BA0FBF" w:rsidRDefault="00F95381" w:rsidP="00F95381">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D10</w:t>
            </w:r>
          </w:p>
        </w:tc>
        <w:tc>
          <w:tcPr>
            <w:tcW w:w="292" w:type="pct"/>
          </w:tcPr>
          <w:p w:rsidR="00F95381" w:rsidRPr="00BA0FBF" w:rsidRDefault="00F95381" w:rsidP="00F95381">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All</w:t>
            </w:r>
          </w:p>
        </w:tc>
      </w:tr>
      <w:tr w:rsidR="00F95381" w:rsidRPr="00BA0FBF" w:rsidTr="00AF360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pct"/>
          </w:tcPr>
          <w:p w:rsidR="00F95381" w:rsidRPr="00BA0FBF" w:rsidRDefault="00F95381" w:rsidP="00F95381">
            <w:pPr>
              <w:pStyle w:val="TableText"/>
              <w:rPr>
                <w:sz w:val="18"/>
              </w:rPr>
            </w:pPr>
            <w:r w:rsidRPr="00BA0FBF">
              <w:rPr>
                <w:sz w:val="18"/>
              </w:rPr>
              <w:t>Single person</w:t>
            </w:r>
          </w:p>
        </w:tc>
        <w:tc>
          <w:tcPr>
            <w:tcW w:w="563" w:type="pct"/>
          </w:tcPr>
          <w:p w:rsidR="00F95381" w:rsidRPr="00BA0FBF" w:rsidRDefault="00F95381" w:rsidP="00F95381">
            <w:pPr>
              <w:pStyle w:val="TableTextCentred"/>
              <w:cnfStyle w:val="000000100000" w:firstRow="0" w:lastRow="0" w:firstColumn="0" w:lastColumn="0" w:oddVBand="0" w:evenVBand="0" w:oddHBand="1" w:evenHBand="0" w:firstRowFirstColumn="0" w:firstRowLastColumn="0" w:lastRowFirstColumn="0" w:lastRowLastColumn="0"/>
              <w:rPr>
                <w:sz w:val="18"/>
              </w:rPr>
            </w:pPr>
            <w:r w:rsidRPr="00BA0FBF">
              <w:rPr>
                <w:sz w:val="18"/>
              </w:rPr>
              <w:t>%</w:t>
            </w:r>
          </w:p>
        </w:tc>
        <w:tc>
          <w:tcPr>
            <w:tcW w:w="291"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48.7%</w:t>
            </w:r>
          </w:p>
        </w:tc>
        <w:tc>
          <w:tcPr>
            <w:tcW w:w="291"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41.0%</w:t>
            </w:r>
          </w:p>
        </w:tc>
        <w:tc>
          <w:tcPr>
            <w:tcW w:w="291"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22.1%</w:t>
            </w:r>
          </w:p>
        </w:tc>
        <w:tc>
          <w:tcPr>
            <w:tcW w:w="291"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19.7%</w:t>
            </w:r>
          </w:p>
        </w:tc>
        <w:tc>
          <w:tcPr>
            <w:tcW w:w="291"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19.6%</w:t>
            </w:r>
          </w:p>
        </w:tc>
        <w:tc>
          <w:tcPr>
            <w:tcW w:w="291"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18.3%</w:t>
            </w:r>
          </w:p>
        </w:tc>
        <w:tc>
          <w:tcPr>
            <w:tcW w:w="291"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19.2%</w:t>
            </w:r>
          </w:p>
        </w:tc>
        <w:tc>
          <w:tcPr>
            <w:tcW w:w="291"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15.7%</w:t>
            </w:r>
          </w:p>
        </w:tc>
        <w:tc>
          <w:tcPr>
            <w:tcW w:w="291"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21.4%</w:t>
            </w:r>
          </w:p>
        </w:tc>
        <w:tc>
          <w:tcPr>
            <w:tcW w:w="291"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18.9%</w:t>
            </w:r>
          </w:p>
        </w:tc>
        <w:tc>
          <w:tcPr>
            <w:tcW w:w="292"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24.5%</w:t>
            </w:r>
          </w:p>
        </w:tc>
      </w:tr>
      <w:tr w:rsidR="00AF3607" w:rsidRPr="00BA0FBF" w:rsidTr="00AF3607">
        <w:trPr>
          <w:cantSplit/>
        </w:trPr>
        <w:tc>
          <w:tcPr>
            <w:cnfStyle w:val="001000000000" w:firstRow="0" w:lastRow="0" w:firstColumn="1" w:lastColumn="0" w:oddVBand="0" w:evenVBand="0" w:oddHBand="0" w:evenHBand="0" w:firstRowFirstColumn="0" w:firstRowLastColumn="0" w:lastRowFirstColumn="0" w:lastRowLastColumn="0"/>
            <w:tcW w:w="5000" w:type="pct"/>
            <w:gridSpan w:val="13"/>
          </w:tcPr>
          <w:p w:rsidR="00AF3607" w:rsidRPr="00BA0FBF" w:rsidRDefault="00AF3607" w:rsidP="00AF3607">
            <w:pPr>
              <w:pStyle w:val="TableTextCentred"/>
              <w:jc w:val="left"/>
              <w:rPr>
                <w:sz w:val="18"/>
              </w:rPr>
            </w:pPr>
          </w:p>
        </w:tc>
      </w:tr>
      <w:tr w:rsidR="00F95381" w:rsidRPr="00BA0FBF" w:rsidTr="00AF360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pct"/>
          </w:tcPr>
          <w:p w:rsidR="00F95381" w:rsidRPr="00BA0FBF" w:rsidRDefault="00F95381" w:rsidP="00F95381">
            <w:pPr>
              <w:pStyle w:val="TableText"/>
              <w:rPr>
                <w:sz w:val="18"/>
              </w:rPr>
            </w:pPr>
            <w:r w:rsidRPr="00BA0FBF">
              <w:rPr>
                <w:sz w:val="18"/>
              </w:rPr>
              <w:t>Couple</w:t>
            </w:r>
          </w:p>
        </w:tc>
        <w:tc>
          <w:tcPr>
            <w:tcW w:w="563" w:type="pct"/>
          </w:tcPr>
          <w:p w:rsidR="00F95381" w:rsidRPr="00BA0FBF" w:rsidRDefault="00F95381" w:rsidP="00F95381">
            <w:pPr>
              <w:pStyle w:val="TableTextCentred"/>
              <w:cnfStyle w:val="000000100000" w:firstRow="0" w:lastRow="0" w:firstColumn="0" w:lastColumn="0" w:oddVBand="0" w:evenVBand="0" w:oddHBand="1" w:evenHBand="0" w:firstRowFirstColumn="0" w:firstRowLastColumn="0" w:lastRowFirstColumn="0" w:lastRowLastColumn="0"/>
              <w:rPr>
                <w:sz w:val="18"/>
              </w:rPr>
            </w:pPr>
            <w:r w:rsidRPr="00BA0FBF">
              <w:rPr>
                <w:sz w:val="18"/>
              </w:rPr>
              <w:t>%</w:t>
            </w:r>
          </w:p>
        </w:tc>
        <w:tc>
          <w:tcPr>
            <w:tcW w:w="291"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35.0%</w:t>
            </w:r>
          </w:p>
        </w:tc>
        <w:tc>
          <w:tcPr>
            <w:tcW w:w="291"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44.3%</w:t>
            </w:r>
          </w:p>
        </w:tc>
        <w:tc>
          <w:tcPr>
            <w:tcW w:w="291"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50.8%</w:t>
            </w:r>
          </w:p>
        </w:tc>
        <w:tc>
          <w:tcPr>
            <w:tcW w:w="291"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50.5%</w:t>
            </w:r>
          </w:p>
        </w:tc>
        <w:tc>
          <w:tcPr>
            <w:tcW w:w="291"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53.5%</w:t>
            </w:r>
          </w:p>
        </w:tc>
        <w:tc>
          <w:tcPr>
            <w:tcW w:w="291"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53.8%</w:t>
            </w:r>
          </w:p>
        </w:tc>
        <w:tc>
          <w:tcPr>
            <w:tcW w:w="291"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58.2%</w:t>
            </w:r>
          </w:p>
        </w:tc>
        <w:tc>
          <w:tcPr>
            <w:tcW w:w="291"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57.8%</w:t>
            </w:r>
          </w:p>
        </w:tc>
        <w:tc>
          <w:tcPr>
            <w:tcW w:w="291"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55.7%</w:t>
            </w:r>
          </w:p>
        </w:tc>
        <w:tc>
          <w:tcPr>
            <w:tcW w:w="291"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63.2%</w:t>
            </w:r>
          </w:p>
        </w:tc>
        <w:tc>
          <w:tcPr>
            <w:tcW w:w="292"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52.3%</w:t>
            </w:r>
          </w:p>
        </w:tc>
      </w:tr>
      <w:tr w:rsidR="00F95381" w:rsidRPr="00BA0FBF" w:rsidTr="00AF3607">
        <w:trPr>
          <w:cantSplit/>
        </w:trPr>
        <w:tc>
          <w:tcPr>
            <w:cnfStyle w:val="001000000000" w:firstRow="0" w:lastRow="0" w:firstColumn="1" w:lastColumn="0" w:oddVBand="0" w:evenVBand="0" w:oddHBand="0" w:evenHBand="0" w:firstRowFirstColumn="0" w:firstRowLastColumn="0" w:lastRowFirstColumn="0" w:lastRowLastColumn="0"/>
            <w:tcW w:w="1235" w:type="pct"/>
          </w:tcPr>
          <w:p w:rsidR="00F95381" w:rsidRPr="00BA0FBF" w:rsidRDefault="00F95381" w:rsidP="00AF3607">
            <w:pPr>
              <w:pStyle w:val="TableText"/>
              <w:ind w:left="737"/>
              <w:rPr>
                <w:i/>
                <w:sz w:val="18"/>
              </w:rPr>
            </w:pPr>
            <w:r w:rsidRPr="00BA0FBF">
              <w:rPr>
                <w:i/>
                <w:sz w:val="18"/>
              </w:rPr>
              <w:t>No children</w:t>
            </w:r>
          </w:p>
        </w:tc>
        <w:tc>
          <w:tcPr>
            <w:tcW w:w="563" w:type="pct"/>
          </w:tcPr>
          <w:p w:rsidR="00F95381" w:rsidRPr="00BA0FBF" w:rsidRDefault="00F95381" w:rsidP="00F95381">
            <w:pPr>
              <w:pStyle w:val="TableTextCentred"/>
              <w:cnfStyle w:val="000000000000" w:firstRow="0" w:lastRow="0" w:firstColumn="0" w:lastColumn="0" w:oddVBand="0" w:evenVBand="0" w:oddHBand="0" w:evenHBand="0" w:firstRowFirstColumn="0" w:firstRowLastColumn="0" w:lastRowFirstColumn="0" w:lastRowLastColumn="0"/>
              <w:rPr>
                <w:sz w:val="18"/>
              </w:rPr>
            </w:pPr>
            <w:r w:rsidRPr="00BA0FBF">
              <w:rPr>
                <w:sz w:val="18"/>
              </w:rPr>
              <w:t>%</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8"/>
                <w:szCs w:val="20"/>
              </w:rPr>
            </w:pPr>
            <w:r w:rsidRPr="00BA0FBF">
              <w:rPr>
                <w:rFonts w:ascii="Calibri" w:hAnsi="Calibri"/>
                <w:i/>
                <w:color w:val="000000"/>
                <w:sz w:val="18"/>
                <w:szCs w:val="20"/>
              </w:rPr>
              <w:t>16.9%</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8"/>
                <w:szCs w:val="20"/>
              </w:rPr>
            </w:pPr>
            <w:r w:rsidRPr="00BA0FBF">
              <w:rPr>
                <w:rFonts w:ascii="Calibri" w:hAnsi="Calibri"/>
                <w:i/>
                <w:color w:val="000000"/>
                <w:sz w:val="18"/>
                <w:szCs w:val="20"/>
              </w:rPr>
              <w:t>33.0%</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8"/>
                <w:szCs w:val="20"/>
              </w:rPr>
            </w:pPr>
            <w:r w:rsidRPr="00BA0FBF">
              <w:rPr>
                <w:rFonts w:ascii="Calibri" w:hAnsi="Calibri"/>
                <w:i/>
                <w:color w:val="000000"/>
                <w:sz w:val="18"/>
                <w:szCs w:val="20"/>
              </w:rPr>
              <w:t>31.3%</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8"/>
                <w:szCs w:val="20"/>
              </w:rPr>
            </w:pPr>
            <w:r w:rsidRPr="00BA0FBF">
              <w:rPr>
                <w:rFonts w:ascii="Calibri" w:hAnsi="Calibri"/>
                <w:i/>
                <w:color w:val="000000"/>
                <w:sz w:val="18"/>
                <w:szCs w:val="20"/>
              </w:rPr>
              <w:t>22.1%</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8"/>
                <w:szCs w:val="20"/>
              </w:rPr>
            </w:pPr>
            <w:r w:rsidRPr="00BA0FBF">
              <w:rPr>
                <w:rFonts w:ascii="Calibri" w:hAnsi="Calibri"/>
                <w:i/>
                <w:color w:val="000000"/>
                <w:sz w:val="18"/>
                <w:szCs w:val="20"/>
              </w:rPr>
              <w:t>17.6%</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8"/>
                <w:szCs w:val="20"/>
              </w:rPr>
            </w:pPr>
            <w:r w:rsidRPr="00BA0FBF">
              <w:rPr>
                <w:rFonts w:ascii="Calibri" w:hAnsi="Calibri"/>
                <w:i/>
                <w:color w:val="000000"/>
                <w:sz w:val="18"/>
                <w:szCs w:val="20"/>
              </w:rPr>
              <w:t>20.9%</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8"/>
                <w:szCs w:val="20"/>
              </w:rPr>
            </w:pPr>
            <w:r w:rsidRPr="00BA0FBF">
              <w:rPr>
                <w:rFonts w:ascii="Calibri" w:hAnsi="Calibri"/>
                <w:i/>
                <w:color w:val="000000"/>
                <w:sz w:val="18"/>
                <w:szCs w:val="20"/>
              </w:rPr>
              <w:t>22.7%</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8"/>
                <w:szCs w:val="20"/>
              </w:rPr>
            </w:pPr>
            <w:r w:rsidRPr="00BA0FBF">
              <w:rPr>
                <w:rFonts w:ascii="Calibri" w:hAnsi="Calibri"/>
                <w:i/>
                <w:color w:val="000000"/>
                <w:sz w:val="18"/>
                <w:szCs w:val="20"/>
              </w:rPr>
              <w:t>27.9%</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8"/>
                <w:szCs w:val="20"/>
              </w:rPr>
            </w:pPr>
            <w:r w:rsidRPr="00BA0FBF">
              <w:rPr>
                <w:rFonts w:ascii="Calibri" w:hAnsi="Calibri"/>
                <w:i/>
                <w:color w:val="000000"/>
                <w:sz w:val="18"/>
                <w:szCs w:val="20"/>
              </w:rPr>
              <w:t>31.8%</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8"/>
                <w:szCs w:val="20"/>
              </w:rPr>
            </w:pPr>
            <w:r w:rsidRPr="00BA0FBF">
              <w:rPr>
                <w:rFonts w:ascii="Calibri" w:hAnsi="Calibri"/>
                <w:i/>
                <w:color w:val="000000"/>
                <w:sz w:val="18"/>
                <w:szCs w:val="20"/>
              </w:rPr>
              <w:t>38.9%</w:t>
            </w:r>
          </w:p>
        </w:tc>
        <w:tc>
          <w:tcPr>
            <w:tcW w:w="292"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8"/>
                <w:szCs w:val="20"/>
              </w:rPr>
            </w:pPr>
            <w:r w:rsidRPr="00BA0FBF">
              <w:rPr>
                <w:rFonts w:ascii="Calibri" w:hAnsi="Calibri"/>
                <w:i/>
                <w:color w:val="000000"/>
                <w:sz w:val="18"/>
                <w:szCs w:val="20"/>
              </w:rPr>
              <w:t>26.3%</w:t>
            </w:r>
          </w:p>
        </w:tc>
      </w:tr>
      <w:tr w:rsidR="00F95381" w:rsidRPr="00BA0FBF" w:rsidTr="00AF360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pct"/>
          </w:tcPr>
          <w:p w:rsidR="00F95381" w:rsidRPr="00BA0FBF" w:rsidRDefault="00F95381" w:rsidP="00AF3607">
            <w:pPr>
              <w:pStyle w:val="TableText"/>
              <w:ind w:left="737"/>
              <w:rPr>
                <w:i/>
                <w:sz w:val="18"/>
              </w:rPr>
            </w:pPr>
            <w:r w:rsidRPr="00BA0FBF">
              <w:rPr>
                <w:i/>
                <w:sz w:val="18"/>
              </w:rPr>
              <w:t>Dependent children</w:t>
            </w:r>
          </w:p>
        </w:tc>
        <w:tc>
          <w:tcPr>
            <w:tcW w:w="563" w:type="pct"/>
          </w:tcPr>
          <w:p w:rsidR="00F95381" w:rsidRPr="00BA0FBF" w:rsidRDefault="00F95381" w:rsidP="00F95381">
            <w:pPr>
              <w:pStyle w:val="TableTextCentred"/>
              <w:cnfStyle w:val="000000100000" w:firstRow="0" w:lastRow="0" w:firstColumn="0" w:lastColumn="0" w:oddVBand="0" w:evenVBand="0" w:oddHBand="1" w:evenHBand="0" w:firstRowFirstColumn="0" w:firstRowLastColumn="0" w:lastRowFirstColumn="0" w:lastRowLastColumn="0"/>
              <w:rPr>
                <w:sz w:val="18"/>
              </w:rPr>
            </w:pPr>
            <w:r w:rsidRPr="00BA0FBF">
              <w:rPr>
                <w:sz w:val="18"/>
              </w:rPr>
              <w:t>%</w:t>
            </w:r>
          </w:p>
        </w:tc>
        <w:tc>
          <w:tcPr>
            <w:tcW w:w="291"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i/>
                <w:color w:val="000000"/>
                <w:sz w:val="18"/>
                <w:szCs w:val="20"/>
              </w:rPr>
            </w:pPr>
            <w:r w:rsidRPr="00BA0FBF">
              <w:rPr>
                <w:rFonts w:ascii="Calibri" w:hAnsi="Calibri"/>
                <w:i/>
                <w:color w:val="000000"/>
                <w:sz w:val="18"/>
                <w:szCs w:val="20"/>
              </w:rPr>
              <w:t>16.9%</w:t>
            </w:r>
          </w:p>
        </w:tc>
        <w:tc>
          <w:tcPr>
            <w:tcW w:w="291"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i/>
                <w:color w:val="000000"/>
                <w:sz w:val="18"/>
                <w:szCs w:val="20"/>
              </w:rPr>
            </w:pPr>
            <w:r w:rsidRPr="00BA0FBF">
              <w:rPr>
                <w:rFonts w:ascii="Calibri" w:hAnsi="Calibri"/>
                <w:i/>
                <w:color w:val="000000"/>
                <w:sz w:val="18"/>
                <w:szCs w:val="20"/>
              </w:rPr>
              <w:t>9.3%</w:t>
            </w:r>
          </w:p>
        </w:tc>
        <w:tc>
          <w:tcPr>
            <w:tcW w:w="291"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i/>
                <w:color w:val="000000"/>
                <w:sz w:val="18"/>
                <w:szCs w:val="20"/>
              </w:rPr>
            </w:pPr>
            <w:r w:rsidRPr="00BA0FBF">
              <w:rPr>
                <w:rFonts w:ascii="Calibri" w:hAnsi="Calibri"/>
                <w:i/>
                <w:color w:val="000000"/>
                <w:sz w:val="18"/>
                <w:szCs w:val="20"/>
              </w:rPr>
              <w:t>17.0%</w:t>
            </w:r>
          </w:p>
        </w:tc>
        <w:tc>
          <w:tcPr>
            <w:tcW w:w="291"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i/>
                <w:color w:val="000000"/>
                <w:sz w:val="18"/>
                <w:szCs w:val="20"/>
              </w:rPr>
            </w:pPr>
            <w:r w:rsidRPr="00BA0FBF">
              <w:rPr>
                <w:rFonts w:ascii="Calibri" w:hAnsi="Calibri"/>
                <w:i/>
                <w:color w:val="000000"/>
                <w:sz w:val="18"/>
                <w:szCs w:val="20"/>
              </w:rPr>
              <w:t>23.2%</w:t>
            </w:r>
          </w:p>
        </w:tc>
        <w:tc>
          <w:tcPr>
            <w:tcW w:w="291"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i/>
                <w:color w:val="000000"/>
                <w:sz w:val="18"/>
                <w:szCs w:val="20"/>
              </w:rPr>
            </w:pPr>
            <w:r w:rsidRPr="00BA0FBF">
              <w:rPr>
                <w:rFonts w:ascii="Calibri" w:hAnsi="Calibri"/>
                <w:i/>
                <w:color w:val="000000"/>
                <w:sz w:val="18"/>
                <w:szCs w:val="20"/>
              </w:rPr>
              <w:t>31.5%</w:t>
            </w:r>
          </w:p>
        </w:tc>
        <w:tc>
          <w:tcPr>
            <w:tcW w:w="291"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i/>
                <w:color w:val="000000"/>
                <w:sz w:val="18"/>
                <w:szCs w:val="20"/>
              </w:rPr>
            </w:pPr>
            <w:r w:rsidRPr="00BA0FBF">
              <w:rPr>
                <w:rFonts w:ascii="Calibri" w:hAnsi="Calibri"/>
                <w:i/>
                <w:color w:val="000000"/>
                <w:sz w:val="18"/>
                <w:szCs w:val="20"/>
              </w:rPr>
              <w:t>27.4%</w:t>
            </w:r>
          </w:p>
        </w:tc>
        <w:tc>
          <w:tcPr>
            <w:tcW w:w="291"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i/>
                <w:color w:val="000000"/>
                <w:sz w:val="18"/>
                <w:szCs w:val="20"/>
              </w:rPr>
            </w:pPr>
            <w:r w:rsidRPr="00BA0FBF">
              <w:rPr>
                <w:rFonts w:ascii="Calibri" w:hAnsi="Calibri"/>
                <w:i/>
                <w:color w:val="000000"/>
                <w:sz w:val="18"/>
                <w:szCs w:val="20"/>
              </w:rPr>
              <w:t>29.5%</w:t>
            </w:r>
          </w:p>
        </w:tc>
        <w:tc>
          <w:tcPr>
            <w:tcW w:w="291"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i/>
                <w:color w:val="000000"/>
                <w:sz w:val="18"/>
                <w:szCs w:val="20"/>
              </w:rPr>
            </w:pPr>
            <w:r w:rsidRPr="00BA0FBF">
              <w:rPr>
                <w:rFonts w:ascii="Calibri" w:hAnsi="Calibri"/>
                <w:i/>
                <w:color w:val="000000"/>
                <w:sz w:val="18"/>
                <w:szCs w:val="20"/>
              </w:rPr>
              <w:t>26.0%</w:t>
            </w:r>
          </w:p>
        </w:tc>
        <w:tc>
          <w:tcPr>
            <w:tcW w:w="291"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i/>
                <w:color w:val="000000"/>
                <w:sz w:val="18"/>
                <w:szCs w:val="20"/>
              </w:rPr>
            </w:pPr>
            <w:r w:rsidRPr="00BA0FBF">
              <w:rPr>
                <w:rFonts w:ascii="Calibri" w:hAnsi="Calibri"/>
                <w:i/>
                <w:color w:val="000000"/>
                <w:sz w:val="18"/>
                <w:szCs w:val="20"/>
              </w:rPr>
              <w:t>19.9%</w:t>
            </w:r>
          </w:p>
        </w:tc>
        <w:tc>
          <w:tcPr>
            <w:tcW w:w="291"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i/>
                <w:color w:val="000000"/>
                <w:sz w:val="18"/>
                <w:szCs w:val="20"/>
              </w:rPr>
            </w:pPr>
            <w:r w:rsidRPr="00BA0FBF">
              <w:rPr>
                <w:rFonts w:ascii="Calibri" w:hAnsi="Calibri"/>
                <w:i/>
                <w:color w:val="000000"/>
                <w:sz w:val="18"/>
                <w:szCs w:val="20"/>
              </w:rPr>
              <w:t>19.9%</w:t>
            </w:r>
          </w:p>
        </w:tc>
        <w:tc>
          <w:tcPr>
            <w:tcW w:w="292"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i/>
                <w:color w:val="000000"/>
                <w:sz w:val="18"/>
                <w:szCs w:val="20"/>
              </w:rPr>
            </w:pPr>
            <w:r w:rsidRPr="00BA0FBF">
              <w:rPr>
                <w:rFonts w:ascii="Calibri" w:hAnsi="Calibri"/>
                <w:i/>
                <w:color w:val="000000"/>
                <w:sz w:val="18"/>
                <w:szCs w:val="20"/>
              </w:rPr>
              <w:t>22.1%</w:t>
            </w:r>
          </w:p>
        </w:tc>
      </w:tr>
      <w:tr w:rsidR="00F95381" w:rsidRPr="00BA0FBF" w:rsidTr="00AF3607">
        <w:trPr>
          <w:cantSplit/>
        </w:trPr>
        <w:tc>
          <w:tcPr>
            <w:cnfStyle w:val="001000000000" w:firstRow="0" w:lastRow="0" w:firstColumn="1" w:lastColumn="0" w:oddVBand="0" w:evenVBand="0" w:oddHBand="0" w:evenHBand="0" w:firstRowFirstColumn="0" w:firstRowLastColumn="0" w:lastRowFirstColumn="0" w:lastRowLastColumn="0"/>
            <w:tcW w:w="1235" w:type="pct"/>
          </w:tcPr>
          <w:p w:rsidR="00F95381" w:rsidRPr="00BA0FBF" w:rsidRDefault="00F95381" w:rsidP="00AF3607">
            <w:pPr>
              <w:pStyle w:val="TableText"/>
              <w:ind w:left="737"/>
              <w:rPr>
                <w:i/>
                <w:sz w:val="18"/>
              </w:rPr>
            </w:pPr>
            <w:r w:rsidRPr="00BA0FBF">
              <w:rPr>
                <w:i/>
                <w:sz w:val="18"/>
              </w:rPr>
              <w:t>Dependent children and others</w:t>
            </w:r>
          </w:p>
        </w:tc>
        <w:tc>
          <w:tcPr>
            <w:tcW w:w="563" w:type="pct"/>
          </w:tcPr>
          <w:p w:rsidR="00F95381" w:rsidRPr="00BA0FBF" w:rsidRDefault="00F95381" w:rsidP="00F95381">
            <w:pPr>
              <w:pStyle w:val="TableTextCentred"/>
              <w:cnfStyle w:val="000000000000" w:firstRow="0" w:lastRow="0" w:firstColumn="0" w:lastColumn="0" w:oddVBand="0" w:evenVBand="0" w:oddHBand="0" w:evenHBand="0" w:firstRowFirstColumn="0" w:firstRowLastColumn="0" w:lastRowFirstColumn="0" w:lastRowLastColumn="0"/>
              <w:rPr>
                <w:sz w:val="18"/>
              </w:rPr>
            </w:pPr>
            <w:r w:rsidRPr="00BA0FBF">
              <w:rPr>
                <w:sz w:val="18"/>
              </w:rPr>
              <w:t>%</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8"/>
                <w:szCs w:val="20"/>
              </w:rPr>
            </w:pPr>
            <w:r w:rsidRPr="00BA0FBF">
              <w:rPr>
                <w:rFonts w:ascii="Calibri" w:hAnsi="Calibri"/>
                <w:i/>
                <w:color w:val="000000"/>
                <w:sz w:val="18"/>
                <w:szCs w:val="20"/>
              </w:rPr>
              <w:t>1.2%</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8"/>
                <w:szCs w:val="20"/>
              </w:rPr>
            </w:pPr>
            <w:r w:rsidRPr="00BA0FBF">
              <w:rPr>
                <w:rFonts w:ascii="Calibri" w:hAnsi="Calibri"/>
                <w:i/>
                <w:color w:val="000000"/>
                <w:sz w:val="18"/>
                <w:szCs w:val="20"/>
              </w:rPr>
              <w:t>2.0%</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8"/>
                <w:szCs w:val="20"/>
              </w:rPr>
            </w:pPr>
            <w:r w:rsidRPr="00BA0FBF">
              <w:rPr>
                <w:rFonts w:ascii="Calibri" w:hAnsi="Calibri"/>
                <w:i/>
                <w:color w:val="000000"/>
                <w:sz w:val="18"/>
                <w:szCs w:val="20"/>
              </w:rPr>
              <w:t>2.5%</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8"/>
                <w:szCs w:val="20"/>
              </w:rPr>
            </w:pPr>
            <w:r w:rsidRPr="00BA0FBF">
              <w:rPr>
                <w:rFonts w:ascii="Calibri" w:hAnsi="Calibri"/>
                <w:i/>
                <w:color w:val="000000"/>
                <w:sz w:val="18"/>
                <w:szCs w:val="20"/>
              </w:rPr>
              <w:t>5.2%</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8"/>
                <w:szCs w:val="20"/>
              </w:rPr>
            </w:pPr>
            <w:r w:rsidRPr="00BA0FBF">
              <w:rPr>
                <w:rFonts w:ascii="Calibri" w:hAnsi="Calibri"/>
                <w:i/>
                <w:color w:val="000000"/>
                <w:sz w:val="18"/>
                <w:szCs w:val="20"/>
              </w:rPr>
              <w:t>4.5%</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8"/>
                <w:szCs w:val="20"/>
              </w:rPr>
            </w:pPr>
            <w:r w:rsidRPr="00BA0FBF">
              <w:rPr>
                <w:rFonts w:ascii="Calibri" w:hAnsi="Calibri"/>
                <w:i/>
                <w:color w:val="000000"/>
                <w:sz w:val="18"/>
                <w:szCs w:val="20"/>
              </w:rPr>
              <w:t>5.5%</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8"/>
                <w:szCs w:val="20"/>
              </w:rPr>
            </w:pPr>
            <w:r w:rsidRPr="00BA0FBF">
              <w:rPr>
                <w:rFonts w:ascii="Calibri" w:hAnsi="Calibri"/>
                <w:i/>
                <w:color w:val="000000"/>
                <w:sz w:val="18"/>
                <w:szCs w:val="20"/>
              </w:rPr>
              <w:t>5.9%</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8"/>
                <w:szCs w:val="20"/>
              </w:rPr>
            </w:pPr>
            <w:r w:rsidRPr="00BA0FBF">
              <w:rPr>
                <w:rFonts w:ascii="Calibri" w:hAnsi="Calibri"/>
                <w:i/>
                <w:color w:val="000000"/>
                <w:sz w:val="18"/>
                <w:szCs w:val="20"/>
              </w:rPr>
              <w:t>3.9%</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8"/>
                <w:szCs w:val="20"/>
              </w:rPr>
            </w:pPr>
            <w:r w:rsidRPr="00BA0FBF">
              <w:rPr>
                <w:rFonts w:ascii="Calibri" w:hAnsi="Calibri"/>
                <w:i/>
                <w:color w:val="000000"/>
                <w:sz w:val="18"/>
                <w:szCs w:val="20"/>
              </w:rPr>
              <w:t>4.0%</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8"/>
                <w:szCs w:val="20"/>
              </w:rPr>
            </w:pPr>
            <w:r w:rsidRPr="00BA0FBF">
              <w:rPr>
                <w:rFonts w:ascii="Calibri" w:hAnsi="Calibri"/>
                <w:i/>
                <w:color w:val="000000"/>
                <w:sz w:val="18"/>
                <w:szCs w:val="20"/>
              </w:rPr>
              <w:t>4.4%</w:t>
            </w:r>
          </w:p>
        </w:tc>
        <w:tc>
          <w:tcPr>
            <w:tcW w:w="292"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8"/>
                <w:szCs w:val="20"/>
              </w:rPr>
            </w:pPr>
            <w:r w:rsidRPr="00BA0FBF">
              <w:rPr>
                <w:rFonts w:ascii="Calibri" w:hAnsi="Calibri"/>
                <w:i/>
                <w:color w:val="000000"/>
                <w:sz w:val="18"/>
                <w:szCs w:val="20"/>
              </w:rPr>
              <w:t>3.9%</w:t>
            </w:r>
          </w:p>
        </w:tc>
      </w:tr>
      <w:tr w:rsidR="00AF3607" w:rsidRPr="00BA0FBF" w:rsidTr="00AF360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gridSpan w:val="13"/>
          </w:tcPr>
          <w:p w:rsidR="00AF3607" w:rsidRPr="00BA0FBF" w:rsidRDefault="00AF3607" w:rsidP="00AF3607">
            <w:pPr>
              <w:pStyle w:val="TableTextCentred"/>
              <w:jc w:val="left"/>
              <w:rPr>
                <w:sz w:val="18"/>
              </w:rPr>
            </w:pPr>
          </w:p>
        </w:tc>
      </w:tr>
      <w:tr w:rsidR="00F95381" w:rsidRPr="00BA0FBF" w:rsidTr="00AF3607">
        <w:trPr>
          <w:cantSplit/>
        </w:trPr>
        <w:tc>
          <w:tcPr>
            <w:cnfStyle w:val="001000000000" w:firstRow="0" w:lastRow="0" w:firstColumn="1" w:lastColumn="0" w:oddVBand="0" w:evenVBand="0" w:oddHBand="0" w:evenHBand="0" w:firstRowFirstColumn="0" w:firstRowLastColumn="0" w:lastRowFirstColumn="0" w:lastRowLastColumn="0"/>
            <w:tcW w:w="1235" w:type="pct"/>
          </w:tcPr>
          <w:p w:rsidR="00F95381" w:rsidRPr="00BA0FBF" w:rsidRDefault="00F95381" w:rsidP="00F95381">
            <w:pPr>
              <w:pStyle w:val="TableText"/>
              <w:rPr>
                <w:sz w:val="18"/>
              </w:rPr>
            </w:pPr>
            <w:r w:rsidRPr="00BA0FBF">
              <w:rPr>
                <w:sz w:val="18"/>
              </w:rPr>
              <w:t>One parent</w:t>
            </w:r>
          </w:p>
        </w:tc>
        <w:tc>
          <w:tcPr>
            <w:tcW w:w="563" w:type="pct"/>
          </w:tcPr>
          <w:p w:rsidR="00F95381" w:rsidRPr="00BA0FBF" w:rsidRDefault="00AF3607" w:rsidP="00F95381">
            <w:pPr>
              <w:pStyle w:val="TableTextCentred"/>
              <w:cnfStyle w:val="000000000000" w:firstRow="0" w:lastRow="0" w:firstColumn="0" w:lastColumn="0" w:oddVBand="0" w:evenVBand="0" w:oddHBand="0" w:evenHBand="0" w:firstRowFirstColumn="0" w:firstRowLastColumn="0" w:lastRowFirstColumn="0" w:lastRowLastColumn="0"/>
              <w:rPr>
                <w:sz w:val="18"/>
              </w:rPr>
            </w:pPr>
            <w:r>
              <w:rPr>
                <w:sz w:val="18"/>
              </w:rPr>
              <w:t>%</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9.7%</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9.5%</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10.7%</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9.2%</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9.2%</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5.0%</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2.8%</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1.8%</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0.9%</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0.7%</w:t>
            </w:r>
          </w:p>
        </w:tc>
        <w:tc>
          <w:tcPr>
            <w:tcW w:w="292"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5.9%</w:t>
            </w:r>
          </w:p>
        </w:tc>
      </w:tr>
      <w:tr w:rsidR="00F95381" w:rsidRPr="00BA0FBF" w:rsidTr="00AF360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pct"/>
          </w:tcPr>
          <w:p w:rsidR="00F95381" w:rsidRPr="00BA0FBF" w:rsidRDefault="00F95381" w:rsidP="00AF3607">
            <w:pPr>
              <w:pStyle w:val="TableText"/>
              <w:ind w:left="737"/>
              <w:rPr>
                <w:i/>
                <w:sz w:val="18"/>
              </w:rPr>
            </w:pPr>
            <w:r w:rsidRPr="00BA0FBF">
              <w:rPr>
                <w:i/>
                <w:sz w:val="18"/>
              </w:rPr>
              <w:t>Dependent children</w:t>
            </w:r>
          </w:p>
        </w:tc>
        <w:tc>
          <w:tcPr>
            <w:tcW w:w="563" w:type="pct"/>
          </w:tcPr>
          <w:p w:rsidR="00F95381" w:rsidRPr="00BA0FBF" w:rsidRDefault="00F95381" w:rsidP="00F95381">
            <w:pPr>
              <w:pStyle w:val="TableTextCentred"/>
              <w:cnfStyle w:val="000000100000" w:firstRow="0" w:lastRow="0" w:firstColumn="0" w:lastColumn="0" w:oddVBand="0" w:evenVBand="0" w:oddHBand="1" w:evenHBand="0" w:firstRowFirstColumn="0" w:firstRowLastColumn="0" w:lastRowFirstColumn="0" w:lastRowLastColumn="0"/>
              <w:rPr>
                <w:sz w:val="18"/>
              </w:rPr>
            </w:pPr>
            <w:r w:rsidRPr="00BA0FBF">
              <w:rPr>
                <w:sz w:val="18"/>
              </w:rPr>
              <w:t>%</w:t>
            </w:r>
          </w:p>
        </w:tc>
        <w:tc>
          <w:tcPr>
            <w:tcW w:w="291"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i/>
                <w:color w:val="000000"/>
                <w:sz w:val="18"/>
                <w:szCs w:val="20"/>
              </w:rPr>
            </w:pPr>
            <w:r w:rsidRPr="00BA0FBF">
              <w:rPr>
                <w:rFonts w:ascii="Calibri" w:hAnsi="Calibri"/>
                <w:i/>
                <w:color w:val="000000"/>
                <w:sz w:val="18"/>
                <w:szCs w:val="20"/>
              </w:rPr>
              <w:t>9.0%</w:t>
            </w:r>
          </w:p>
        </w:tc>
        <w:tc>
          <w:tcPr>
            <w:tcW w:w="291"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i/>
                <w:color w:val="000000"/>
                <w:sz w:val="18"/>
                <w:szCs w:val="20"/>
              </w:rPr>
            </w:pPr>
            <w:r w:rsidRPr="00BA0FBF">
              <w:rPr>
                <w:rFonts w:ascii="Calibri" w:hAnsi="Calibri"/>
                <w:i/>
                <w:color w:val="000000"/>
                <w:sz w:val="18"/>
                <w:szCs w:val="20"/>
              </w:rPr>
              <w:t>7.9%</w:t>
            </w:r>
          </w:p>
        </w:tc>
        <w:tc>
          <w:tcPr>
            <w:tcW w:w="291"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i/>
                <w:color w:val="000000"/>
                <w:sz w:val="18"/>
                <w:szCs w:val="20"/>
              </w:rPr>
            </w:pPr>
            <w:r w:rsidRPr="00BA0FBF">
              <w:rPr>
                <w:rFonts w:ascii="Calibri" w:hAnsi="Calibri"/>
                <w:i/>
                <w:color w:val="000000"/>
                <w:sz w:val="18"/>
                <w:szCs w:val="20"/>
              </w:rPr>
              <w:t>9.2%</w:t>
            </w:r>
          </w:p>
        </w:tc>
        <w:tc>
          <w:tcPr>
            <w:tcW w:w="291"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i/>
                <w:color w:val="000000"/>
                <w:sz w:val="18"/>
                <w:szCs w:val="20"/>
              </w:rPr>
            </w:pPr>
            <w:r w:rsidRPr="00BA0FBF">
              <w:rPr>
                <w:rFonts w:ascii="Calibri" w:hAnsi="Calibri"/>
                <w:i/>
                <w:color w:val="000000"/>
                <w:sz w:val="18"/>
                <w:szCs w:val="20"/>
              </w:rPr>
              <w:t>7.0%</w:t>
            </w:r>
          </w:p>
        </w:tc>
        <w:tc>
          <w:tcPr>
            <w:tcW w:w="291"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i/>
                <w:color w:val="000000"/>
                <w:sz w:val="18"/>
                <w:szCs w:val="20"/>
              </w:rPr>
            </w:pPr>
            <w:r w:rsidRPr="00BA0FBF">
              <w:rPr>
                <w:rFonts w:ascii="Calibri" w:hAnsi="Calibri"/>
                <w:i/>
                <w:color w:val="000000"/>
                <w:sz w:val="18"/>
                <w:szCs w:val="20"/>
              </w:rPr>
              <w:t>6.5%</w:t>
            </w:r>
          </w:p>
        </w:tc>
        <w:tc>
          <w:tcPr>
            <w:tcW w:w="291"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i/>
                <w:color w:val="000000"/>
                <w:sz w:val="18"/>
                <w:szCs w:val="20"/>
              </w:rPr>
            </w:pPr>
            <w:r w:rsidRPr="00BA0FBF">
              <w:rPr>
                <w:rFonts w:ascii="Calibri" w:hAnsi="Calibri"/>
                <w:i/>
                <w:color w:val="000000"/>
                <w:sz w:val="18"/>
                <w:szCs w:val="20"/>
              </w:rPr>
              <w:t>2.5%</w:t>
            </w:r>
          </w:p>
        </w:tc>
        <w:tc>
          <w:tcPr>
            <w:tcW w:w="291"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i/>
                <w:color w:val="000000"/>
                <w:sz w:val="18"/>
                <w:szCs w:val="20"/>
              </w:rPr>
            </w:pPr>
            <w:r w:rsidRPr="00BA0FBF">
              <w:rPr>
                <w:rFonts w:ascii="Calibri" w:hAnsi="Calibri"/>
                <w:i/>
                <w:color w:val="000000"/>
                <w:sz w:val="18"/>
                <w:szCs w:val="20"/>
              </w:rPr>
              <w:t>2.6%</w:t>
            </w:r>
          </w:p>
        </w:tc>
        <w:tc>
          <w:tcPr>
            <w:tcW w:w="291"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i/>
                <w:color w:val="000000"/>
                <w:sz w:val="18"/>
                <w:szCs w:val="20"/>
              </w:rPr>
            </w:pPr>
            <w:r w:rsidRPr="00BA0FBF">
              <w:rPr>
                <w:rFonts w:ascii="Calibri" w:hAnsi="Calibri"/>
                <w:i/>
                <w:color w:val="000000"/>
                <w:sz w:val="18"/>
                <w:szCs w:val="20"/>
              </w:rPr>
              <w:t>1.2%</w:t>
            </w:r>
          </w:p>
        </w:tc>
        <w:tc>
          <w:tcPr>
            <w:tcW w:w="291"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i/>
                <w:color w:val="000000"/>
                <w:sz w:val="18"/>
                <w:szCs w:val="20"/>
              </w:rPr>
            </w:pPr>
            <w:r w:rsidRPr="00BA0FBF">
              <w:rPr>
                <w:rFonts w:ascii="Calibri" w:hAnsi="Calibri"/>
                <w:i/>
                <w:color w:val="000000"/>
                <w:sz w:val="18"/>
                <w:szCs w:val="20"/>
              </w:rPr>
              <w:t>0.7%</w:t>
            </w:r>
          </w:p>
        </w:tc>
        <w:tc>
          <w:tcPr>
            <w:tcW w:w="291"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i/>
                <w:color w:val="000000"/>
                <w:sz w:val="18"/>
                <w:szCs w:val="20"/>
              </w:rPr>
            </w:pPr>
            <w:r w:rsidRPr="00BA0FBF">
              <w:rPr>
                <w:rFonts w:ascii="Calibri" w:hAnsi="Calibri"/>
                <w:i/>
                <w:color w:val="000000"/>
                <w:sz w:val="18"/>
                <w:szCs w:val="20"/>
              </w:rPr>
              <w:t>0.7%</w:t>
            </w:r>
          </w:p>
        </w:tc>
        <w:tc>
          <w:tcPr>
            <w:tcW w:w="292"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i/>
                <w:color w:val="000000"/>
                <w:sz w:val="18"/>
                <w:szCs w:val="20"/>
              </w:rPr>
            </w:pPr>
            <w:r w:rsidRPr="00BA0FBF">
              <w:rPr>
                <w:rFonts w:ascii="Calibri" w:hAnsi="Calibri"/>
                <w:i/>
                <w:color w:val="000000"/>
                <w:sz w:val="18"/>
                <w:szCs w:val="20"/>
              </w:rPr>
              <w:t>4.7%</w:t>
            </w:r>
          </w:p>
        </w:tc>
      </w:tr>
      <w:tr w:rsidR="00F95381" w:rsidRPr="00BA0FBF" w:rsidTr="00AF3607">
        <w:trPr>
          <w:cantSplit/>
        </w:trPr>
        <w:tc>
          <w:tcPr>
            <w:cnfStyle w:val="001000000000" w:firstRow="0" w:lastRow="0" w:firstColumn="1" w:lastColumn="0" w:oddVBand="0" w:evenVBand="0" w:oddHBand="0" w:evenHBand="0" w:firstRowFirstColumn="0" w:firstRowLastColumn="0" w:lastRowFirstColumn="0" w:lastRowLastColumn="0"/>
            <w:tcW w:w="1235" w:type="pct"/>
          </w:tcPr>
          <w:p w:rsidR="00F95381" w:rsidRPr="00BA0FBF" w:rsidRDefault="00F95381" w:rsidP="00AF3607">
            <w:pPr>
              <w:pStyle w:val="TableText"/>
              <w:ind w:left="737"/>
              <w:rPr>
                <w:i/>
                <w:sz w:val="18"/>
              </w:rPr>
            </w:pPr>
            <w:r w:rsidRPr="00BA0FBF">
              <w:rPr>
                <w:i/>
                <w:sz w:val="18"/>
              </w:rPr>
              <w:t>Dependent children and others</w:t>
            </w:r>
          </w:p>
        </w:tc>
        <w:tc>
          <w:tcPr>
            <w:tcW w:w="563" w:type="pct"/>
          </w:tcPr>
          <w:p w:rsidR="00F95381" w:rsidRPr="00BA0FBF" w:rsidRDefault="00F95381" w:rsidP="00F95381">
            <w:pPr>
              <w:pStyle w:val="TableTextCentred"/>
              <w:cnfStyle w:val="000000000000" w:firstRow="0" w:lastRow="0" w:firstColumn="0" w:lastColumn="0" w:oddVBand="0" w:evenVBand="0" w:oddHBand="0" w:evenHBand="0" w:firstRowFirstColumn="0" w:firstRowLastColumn="0" w:lastRowFirstColumn="0" w:lastRowLastColumn="0"/>
              <w:rPr>
                <w:sz w:val="18"/>
              </w:rPr>
            </w:pPr>
            <w:r w:rsidRPr="00BA0FBF">
              <w:rPr>
                <w:sz w:val="18"/>
              </w:rPr>
              <w:t>%</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8"/>
                <w:szCs w:val="20"/>
              </w:rPr>
            </w:pPr>
            <w:r w:rsidRPr="00BA0FBF">
              <w:rPr>
                <w:rFonts w:ascii="Calibri" w:hAnsi="Calibri"/>
                <w:i/>
                <w:color w:val="000000"/>
                <w:sz w:val="18"/>
                <w:szCs w:val="20"/>
              </w:rPr>
              <w:t>0.7%</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8"/>
                <w:szCs w:val="20"/>
              </w:rPr>
            </w:pPr>
            <w:r w:rsidRPr="00BA0FBF">
              <w:rPr>
                <w:rFonts w:ascii="Calibri" w:hAnsi="Calibri"/>
                <w:i/>
                <w:color w:val="000000"/>
                <w:sz w:val="18"/>
                <w:szCs w:val="20"/>
              </w:rPr>
              <w:t>1.7%</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8"/>
                <w:szCs w:val="20"/>
              </w:rPr>
            </w:pPr>
            <w:r w:rsidRPr="00BA0FBF">
              <w:rPr>
                <w:rFonts w:ascii="Calibri" w:hAnsi="Calibri"/>
                <w:i/>
                <w:color w:val="000000"/>
                <w:sz w:val="18"/>
                <w:szCs w:val="20"/>
              </w:rPr>
              <w:t>1.5%</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8"/>
                <w:szCs w:val="20"/>
              </w:rPr>
            </w:pPr>
            <w:r w:rsidRPr="00BA0FBF">
              <w:rPr>
                <w:rFonts w:ascii="Calibri" w:hAnsi="Calibri"/>
                <w:i/>
                <w:color w:val="000000"/>
                <w:sz w:val="18"/>
                <w:szCs w:val="20"/>
              </w:rPr>
              <w:t>2.2%</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8"/>
                <w:szCs w:val="20"/>
              </w:rPr>
            </w:pPr>
            <w:r w:rsidRPr="00BA0FBF">
              <w:rPr>
                <w:rFonts w:ascii="Calibri" w:hAnsi="Calibri"/>
                <w:i/>
                <w:color w:val="000000"/>
                <w:sz w:val="18"/>
                <w:szCs w:val="20"/>
              </w:rPr>
              <w:t>2.7%</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8"/>
                <w:szCs w:val="20"/>
              </w:rPr>
            </w:pPr>
            <w:r w:rsidRPr="00BA0FBF">
              <w:rPr>
                <w:rFonts w:ascii="Calibri" w:hAnsi="Calibri"/>
                <w:i/>
                <w:color w:val="000000"/>
                <w:sz w:val="18"/>
                <w:szCs w:val="20"/>
              </w:rPr>
              <w:t>2.5%</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8"/>
                <w:szCs w:val="20"/>
              </w:rPr>
            </w:pPr>
            <w:r w:rsidRPr="00BA0FBF">
              <w:rPr>
                <w:rFonts w:ascii="Calibri" w:hAnsi="Calibri"/>
                <w:i/>
                <w:color w:val="000000"/>
                <w:sz w:val="18"/>
                <w:szCs w:val="20"/>
              </w:rPr>
              <w:t>0.2%</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8"/>
                <w:szCs w:val="20"/>
              </w:rPr>
            </w:pPr>
            <w:r w:rsidRPr="00BA0FBF">
              <w:rPr>
                <w:rFonts w:ascii="Calibri" w:hAnsi="Calibri"/>
                <w:i/>
                <w:color w:val="000000"/>
                <w:sz w:val="18"/>
                <w:szCs w:val="20"/>
              </w:rPr>
              <w:t>0.7%</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8"/>
                <w:szCs w:val="20"/>
              </w:rPr>
            </w:pPr>
            <w:r w:rsidRPr="00BA0FBF">
              <w:rPr>
                <w:rFonts w:ascii="Calibri" w:hAnsi="Calibri"/>
                <w:i/>
                <w:color w:val="000000"/>
                <w:sz w:val="18"/>
                <w:szCs w:val="20"/>
              </w:rPr>
              <w:t>0.2%</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8"/>
                <w:szCs w:val="20"/>
              </w:rPr>
            </w:pPr>
            <w:r w:rsidRPr="00BA0FBF">
              <w:rPr>
                <w:rFonts w:ascii="Calibri" w:hAnsi="Calibri"/>
                <w:i/>
                <w:color w:val="000000"/>
                <w:sz w:val="18"/>
                <w:szCs w:val="20"/>
              </w:rPr>
              <w:t>0.0%</w:t>
            </w:r>
          </w:p>
        </w:tc>
        <w:tc>
          <w:tcPr>
            <w:tcW w:w="292"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8"/>
                <w:szCs w:val="20"/>
              </w:rPr>
            </w:pPr>
            <w:r w:rsidRPr="00BA0FBF">
              <w:rPr>
                <w:rFonts w:ascii="Calibri" w:hAnsi="Calibri"/>
                <w:i/>
                <w:color w:val="000000"/>
                <w:sz w:val="18"/>
                <w:szCs w:val="20"/>
              </w:rPr>
              <w:t>1.2%</w:t>
            </w:r>
          </w:p>
        </w:tc>
      </w:tr>
      <w:tr w:rsidR="00AF3607" w:rsidRPr="00BA0FBF" w:rsidTr="00AF360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gridSpan w:val="13"/>
          </w:tcPr>
          <w:p w:rsidR="00AF3607" w:rsidRPr="00BA0FBF" w:rsidRDefault="00AF3607" w:rsidP="00AF3607">
            <w:pPr>
              <w:pStyle w:val="TableTextCentred"/>
              <w:jc w:val="left"/>
              <w:rPr>
                <w:sz w:val="18"/>
              </w:rPr>
            </w:pPr>
          </w:p>
        </w:tc>
      </w:tr>
      <w:tr w:rsidR="00F95381" w:rsidRPr="00BA0FBF" w:rsidTr="00AF3607">
        <w:trPr>
          <w:cantSplit/>
        </w:trPr>
        <w:tc>
          <w:tcPr>
            <w:cnfStyle w:val="001000000000" w:firstRow="0" w:lastRow="0" w:firstColumn="1" w:lastColumn="0" w:oddVBand="0" w:evenVBand="0" w:oddHBand="0" w:evenHBand="0" w:firstRowFirstColumn="0" w:firstRowLastColumn="0" w:lastRowFirstColumn="0" w:lastRowLastColumn="0"/>
            <w:tcW w:w="1235" w:type="pct"/>
          </w:tcPr>
          <w:p w:rsidR="00F95381" w:rsidRPr="00BA0FBF" w:rsidRDefault="00F95381" w:rsidP="00F95381">
            <w:pPr>
              <w:pStyle w:val="TableText"/>
              <w:rPr>
                <w:sz w:val="18"/>
              </w:rPr>
            </w:pPr>
            <w:r w:rsidRPr="00BA0FBF">
              <w:rPr>
                <w:sz w:val="18"/>
              </w:rPr>
              <w:t>Multiple family households</w:t>
            </w:r>
          </w:p>
        </w:tc>
        <w:tc>
          <w:tcPr>
            <w:tcW w:w="563" w:type="pct"/>
          </w:tcPr>
          <w:p w:rsidR="00F95381" w:rsidRPr="00BA0FBF" w:rsidRDefault="00F95381" w:rsidP="00F95381">
            <w:pPr>
              <w:pStyle w:val="TableTextCentred"/>
              <w:cnfStyle w:val="000000000000" w:firstRow="0" w:lastRow="0" w:firstColumn="0" w:lastColumn="0" w:oddVBand="0" w:evenVBand="0" w:oddHBand="0" w:evenHBand="0" w:firstRowFirstColumn="0" w:firstRowLastColumn="0" w:lastRowFirstColumn="0" w:lastRowLastColumn="0"/>
              <w:rPr>
                <w:sz w:val="18"/>
              </w:rPr>
            </w:pPr>
            <w:r w:rsidRPr="00BA0FBF">
              <w:rPr>
                <w:sz w:val="18"/>
              </w:rPr>
              <w:t>%</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0.9%</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0.2%</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1.5%</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3.1%</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2.7%</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2.2%</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3.1%</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2.5%</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0.9%</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0.3%</w:t>
            </w:r>
          </w:p>
        </w:tc>
        <w:tc>
          <w:tcPr>
            <w:tcW w:w="292"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1.7%</w:t>
            </w:r>
          </w:p>
        </w:tc>
      </w:tr>
      <w:tr w:rsidR="00F95381" w:rsidRPr="00BA0FBF" w:rsidTr="00AF360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pct"/>
          </w:tcPr>
          <w:p w:rsidR="00F95381" w:rsidRPr="00BA0FBF" w:rsidRDefault="00F95381" w:rsidP="00F95381">
            <w:pPr>
              <w:pStyle w:val="TableText"/>
              <w:rPr>
                <w:sz w:val="18"/>
              </w:rPr>
            </w:pPr>
            <w:r w:rsidRPr="00BA0FBF">
              <w:rPr>
                <w:sz w:val="18"/>
              </w:rPr>
              <w:t>Group households</w:t>
            </w:r>
          </w:p>
        </w:tc>
        <w:tc>
          <w:tcPr>
            <w:tcW w:w="563" w:type="pct"/>
          </w:tcPr>
          <w:p w:rsidR="00F95381" w:rsidRPr="00BA0FBF" w:rsidRDefault="00F95381" w:rsidP="00F95381">
            <w:pPr>
              <w:pStyle w:val="TableTextCentred"/>
              <w:cnfStyle w:val="000000100000" w:firstRow="0" w:lastRow="0" w:firstColumn="0" w:lastColumn="0" w:oddVBand="0" w:evenVBand="0" w:oddHBand="1" w:evenHBand="0" w:firstRowFirstColumn="0" w:firstRowLastColumn="0" w:lastRowFirstColumn="0" w:lastRowLastColumn="0"/>
              <w:rPr>
                <w:sz w:val="18"/>
              </w:rPr>
            </w:pPr>
            <w:r w:rsidRPr="00BA0FBF">
              <w:rPr>
                <w:sz w:val="18"/>
              </w:rPr>
              <w:t>%</w:t>
            </w:r>
          </w:p>
        </w:tc>
        <w:tc>
          <w:tcPr>
            <w:tcW w:w="291"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1.1%</w:t>
            </w:r>
          </w:p>
        </w:tc>
        <w:tc>
          <w:tcPr>
            <w:tcW w:w="291"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0.5%</w:t>
            </w:r>
          </w:p>
        </w:tc>
        <w:tc>
          <w:tcPr>
            <w:tcW w:w="291"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2.8%</w:t>
            </w:r>
          </w:p>
        </w:tc>
        <w:tc>
          <w:tcPr>
            <w:tcW w:w="291"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3.5%</w:t>
            </w:r>
          </w:p>
        </w:tc>
        <w:tc>
          <w:tcPr>
            <w:tcW w:w="291"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2.6%</w:t>
            </w:r>
          </w:p>
        </w:tc>
        <w:tc>
          <w:tcPr>
            <w:tcW w:w="291"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3.3%</w:t>
            </w:r>
          </w:p>
        </w:tc>
        <w:tc>
          <w:tcPr>
            <w:tcW w:w="291"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4.2%</w:t>
            </w:r>
          </w:p>
        </w:tc>
        <w:tc>
          <w:tcPr>
            <w:tcW w:w="291"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4.0%</w:t>
            </w:r>
          </w:p>
        </w:tc>
        <w:tc>
          <w:tcPr>
            <w:tcW w:w="291"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5.7%</w:t>
            </w:r>
          </w:p>
        </w:tc>
        <w:tc>
          <w:tcPr>
            <w:tcW w:w="291"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3.9%</w:t>
            </w:r>
          </w:p>
        </w:tc>
        <w:tc>
          <w:tcPr>
            <w:tcW w:w="292"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3.2%</w:t>
            </w:r>
          </w:p>
        </w:tc>
      </w:tr>
      <w:tr w:rsidR="00F95381" w:rsidRPr="00BA0FBF" w:rsidTr="00AF3607">
        <w:trPr>
          <w:cantSplit/>
        </w:trPr>
        <w:tc>
          <w:tcPr>
            <w:cnfStyle w:val="001000000000" w:firstRow="0" w:lastRow="0" w:firstColumn="1" w:lastColumn="0" w:oddVBand="0" w:evenVBand="0" w:oddHBand="0" w:evenHBand="0" w:firstRowFirstColumn="0" w:firstRowLastColumn="0" w:lastRowFirstColumn="0" w:lastRowLastColumn="0"/>
            <w:tcW w:w="1235" w:type="pct"/>
          </w:tcPr>
          <w:p w:rsidR="00F95381" w:rsidRPr="00BA0FBF" w:rsidRDefault="00F95381" w:rsidP="00F95381">
            <w:pPr>
              <w:pStyle w:val="TableText"/>
              <w:rPr>
                <w:sz w:val="18"/>
              </w:rPr>
            </w:pPr>
            <w:r w:rsidRPr="00BA0FBF">
              <w:rPr>
                <w:sz w:val="18"/>
              </w:rPr>
              <w:t>Other</w:t>
            </w:r>
          </w:p>
        </w:tc>
        <w:tc>
          <w:tcPr>
            <w:tcW w:w="563" w:type="pct"/>
          </w:tcPr>
          <w:p w:rsidR="00F95381" w:rsidRPr="00BA0FBF" w:rsidRDefault="00F95381" w:rsidP="00F95381">
            <w:pPr>
              <w:pStyle w:val="TableTextCentred"/>
              <w:cnfStyle w:val="000000000000" w:firstRow="0" w:lastRow="0" w:firstColumn="0" w:lastColumn="0" w:oddVBand="0" w:evenVBand="0" w:oddHBand="0" w:evenHBand="0" w:firstRowFirstColumn="0" w:firstRowLastColumn="0" w:lastRowFirstColumn="0" w:lastRowLastColumn="0"/>
              <w:rPr>
                <w:sz w:val="18"/>
              </w:rPr>
            </w:pPr>
            <w:r w:rsidRPr="00BA0FBF">
              <w:rPr>
                <w:sz w:val="18"/>
              </w:rPr>
              <w:t>%</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4.6%</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4.5%</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12.2%</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14.0%</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12.4%</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17.4%</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12.6%</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18.2%</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15.4%</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13.1%</w:t>
            </w:r>
          </w:p>
        </w:tc>
        <w:tc>
          <w:tcPr>
            <w:tcW w:w="292"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12.4%</w:t>
            </w:r>
          </w:p>
        </w:tc>
      </w:tr>
      <w:tr w:rsidR="00AF3607" w:rsidRPr="00BA0FBF" w:rsidTr="00AF360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gridSpan w:val="13"/>
          </w:tcPr>
          <w:p w:rsidR="00AF3607" w:rsidRPr="00BA0FBF" w:rsidRDefault="00AF3607" w:rsidP="00AF3607">
            <w:pPr>
              <w:pStyle w:val="TableTextCentred"/>
              <w:jc w:val="left"/>
              <w:rPr>
                <w:sz w:val="18"/>
              </w:rPr>
            </w:pPr>
          </w:p>
        </w:tc>
      </w:tr>
      <w:tr w:rsidR="00F95381" w:rsidRPr="00BA0FBF" w:rsidTr="00AF3607">
        <w:trPr>
          <w:cantSplit/>
        </w:trPr>
        <w:tc>
          <w:tcPr>
            <w:cnfStyle w:val="001000000000" w:firstRow="0" w:lastRow="0" w:firstColumn="1" w:lastColumn="0" w:oddVBand="0" w:evenVBand="0" w:oddHBand="0" w:evenHBand="0" w:firstRowFirstColumn="0" w:firstRowLastColumn="0" w:lastRowFirstColumn="0" w:lastRowLastColumn="0"/>
            <w:tcW w:w="1235" w:type="pct"/>
          </w:tcPr>
          <w:p w:rsidR="00F95381" w:rsidRPr="00BA0FBF" w:rsidRDefault="00F95381" w:rsidP="00F95381">
            <w:pPr>
              <w:pStyle w:val="TableText"/>
              <w:rPr>
                <w:sz w:val="18"/>
              </w:rPr>
            </w:pPr>
            <w:r w:rsidRPr="00BA0FBF">
              <w:rPr>
                <w:sz w:val="18"/>
              </w:rPr>
              <w:t>Dependent children</w:t>
            </w:r>
          </w:p>
        </w:tc>
        <w:tc>
          <w:tcPr>
            <w:tcW w:w="563" w:type="pct"/>
          </w:tcPr>
          <w:p w:rsidR="00F95381" w:rsidRPr="00BA0FBF" w:rsidRDefault="00F95381" w:rsidP="00F95381">
            <w:pPr>
              <w:pStyle w:val="TableTextCentred"/>
              <w:cnfStyle w:val="000000000000" w:firstRow="0" w:lastRow="0" w:firstColumn="0" w:lastColumn="0" w:oddVBand="0" w:evenVBand="0" w:oddHBand="0" w:evenHBand="0" w:firstRowFirstColumn="0" w:firstRowLastColumn="0" w:lastRowFirstColumn="0" w:lastRowLastColumn="0"/>
              <w:rPr>
                <w:sz w:val="18"/>
              </w:rPr>
            </w:pPr>
            <w:r w:rsidRPr="00BA0FBF">
              <w:rPr>
                <w:sz w:val="18"/>
              </w:rPr>
              <w:t>%</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28.5%</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21.0%</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31.5%</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40.2%</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47.9%</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38.9%</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39.4%</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33.3%</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25.1%</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25.0%</w:t>
            </w:r>
          </w:p>
        </w:tc>
        <w:tc>
          <w:tcPr>
            <w:tcW w:w="292"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33.1%</w:t>
            </w:r>
          </w:p>
        </w:tc>
      </w:tr>
    </w:tbl>
    <w:p w:rsidR="00011C76" w:rsidRDefault="00011C76" w:rsidP="00011C76">
      <w:pPr>
        <w:pStyle w:val="Source"/>
      </w:pPr>
      <w:bookmarkStart w:id="291" w:name="_Ref436665144"/>
      <w:bookmarkStart w:id="292" w:name="_Toc436650600"/>
      <w:bookmarkStart w:id="293" w:name="_Toc436664575"/>
      <w:r>
        <w:t xml:space="preserve">Source: </w:t>
      </w:r>
      <w:r w:rsidR="004E109F">
        <w:t>PBO analysis based on data from the ABS and Treasury</w:t>
      </w:r>
    </w:p>
    <w:p w:rsidR="0086621F" w:rsidRDefault="0086621F" w:rsidP="00011C76">
      <w:pPr>
        <w:pStyle w:val="Source"/>
      </w:pPr>
      <w:r>
        <w:br w:type="page"/>
      </w:r>
    </w:p>
    <w:p w:rsidR="00F95381" w:rsidRPr="00BA0FBF" w:rsidRDefault="002424AA" w:rsidP="00F95381">
      <w:pPr>
        <w:pStyle w:val="Caption"/>
        <w:rPr>
          <w:sz w:val="20"/>
        </w:rPr>
      </w:pPr>
      <w:bookmarkStart w:id="294" w:name="_Ref438119935"/>
      <w:r w:rsidRPr="00BA0FBF">
        <w:rPr>
          <w:sz w:val="20"/>
        </w:rPr>
        <w:t xml:space="preserve">Table </w:t>
      </w:r>
      <w:r w:rsidRPr="00BA0FBF">
        <w:rPr>
          <w:sz w:val="20"/>
        </w:rPr>
        <w:fldChar w:fldCharType="begin"/>
      </w:r>
      <w:r w:rsidRPr="00BA0FBF">
        <w:rPr>
          <w:sz w:val="20"/>
        </w:rPr>
        <w:instrText xml:space="preserve"> STYLEREF 8 \s </w:instrText>
      </w:r>
      <w:r w:rsidRPr="00BA0FBF">
        <w:rPr>
          <w:sz w:val="20"/>
        </w:rPr>
        <w:fldChar w:fldCharType="separate"/>
      </w:r>
      <w:r w:rsidR="00076CF9">
        <w:rPr>
          <w:noProof/>
          <w:sz w:val="20"/>
        </w:rPr>
        <w:t>B</w:t>
      </w:r>
      <w:r w:rsidRPr="00BA0FBF">
        <w:rPr>
          <w:sz w:val="20"/>
        </w:rPr>
        <w:fldChar w:fldCharType="end"/>
      </w:r>
      <w:r w:rsidRPr="00BA0FBF">
        <w:rPr>
          <w:sz w:val="20"/>
        </w:rPr>
        <w:t>‒</w:t>
      </w:r>
      <w:r w:rsidRPr="00BA0FBF">
        <w:rPr>
          <w:sz w:val="20"/>
        </w:rPr>
        <w:fldChar w:fldCharType="begin"/>
      </w:r>
      <w:r w:rsidRPr="00BA0FBF">
        <w:rPr>
          <w:sz w:val="20"/>
        </w:rPr>
        <w:instrText xml:space="preserve"> SEQ AppendixTable\s 8 </w:instrText>
      </w:r>
      <w:r w:rsidRPr="00BA0FBF">
        <w:rPr>
          <w:sz w:val="20"/>
        </w:rPr>
        <w:fldChar w:fldCharType="separate"/>
      </w:r>
      <w:r w:rsidR="00076CF9">
        <w:rPr>
          <w:noProof/>
          <w:sz w:val="20"/>
        </w:rPr>
        <w:t>3</w:t>
      </w:r>
      <w:r w:rsidRPr="00BA0FBF">
        <w:rPr>
          <w:sz w:val="20"/>
        </w:rPr>
        <w:fldChar w:fldCharType="end"/>
      </w:r>
      <w:bookmarkEnd w:id="291"/>
      <w:bookmarkEnd w:id="294"/>
      <w:r w:rsidRPr="00BA0FBF">
        <w:rPr>
          <w:sz w:val="20"/>
        </w:rPr>
        <w:t>: Distribution Analysis of Households, Demographics</w:t>
      </w:r>
      <w:bookmarkEnd w:id="292"/>
      <w:bookmarkEnd w:id="293"/>
    </w:p>
    <w:tbl>
      <w:tblPr>
        <w:tblStyle w:val="TableGrid"/>
        <w:tblW w:w="5000" w:type="pct"/>
        <w:tblLook w:val="04A0" w:firstRow="1" w:lastRow="0" w:firstColumn="1" w:lastColumn="0" w:noHBand="0" w:noVBand="1"/>
      </w:tblPr>
      <w:tblGrid>
        <w:gridCol w:w="3270"/>
        <w:gridCol w:w="1491"/>
        <w:gridCol w:w="771"/>
        <w:gridCol w:w="771"/>
        <w:gridCol w:w="771"/>
        <w:gridCol w:w="771"/>
        <w:gridCol w:w="771"/>
        <w:gridCol w:w="771"/>
        <w:gridCol w:w="771"/>
        <w:gridCol w:w="771"/>
        <w:gridCol w:w="771"/>
        <w:gridCol w:w="771"/>
        <w:gridCol w:w="773"/>
      </w:tblGrid>
      <w:tr w:rsidR="00F95381" w:rsidRPr="00BA0FBF" w:rsidTr="007A1744">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235" w:type="pct"/>
          </w:tcPr>
          <w:p w:rsidR="00F95381" w:rsidRPr="00BA0FBF" w:rsidRDefault="00F95381" w:rsidP="00F95381">
            <w:pPr>
              <w:pStyle w:val="TableHeading"/>
              <w:rPr>
                <w:sz w:val="18"/>
              </w:rPr>
            </w:pPr>
          </w:p>
        </w:tc>
        <w:tc>
          <w:tcPr>
            <w:tcW w:w="563" w:type="pct"/>
          </w:tcPr>
          <w:p w:rsidR="00F95381" w:rsidRPr="00BA0FBF" w:rsidRDefault="00F95381" w:rsidP="00F95381">
            <w:pPr>
              <w:pStyle w:val="TableHeadingCentred"/>
              <w:cnfStyle w:val="100000000000" w:firstRow="1" w:lastRow="0" w:firstColumn="0" w:lastColumn="0" w:oddVBand="0" w:evenVBand="0" w:oddHBand="0" w:evenHBand="0" w:firstRowFirstColumn="0" w:firstRowLastColumn="0" w:lastRowFirstColumn="0" w:lastRowLastColumn="0"/>
              <w:rPr>
                <w:sz w:val="18"/>
              </w:rPr>
            </w:pPr>
          </w:p>
        </w:tc>
        <w:tc>
          <w:tcPr>
            <w:tcW w:w="291" w:type="pct"/>
          </w:tcPr>
          <w:p w:rsidR="00F95381" w:rsidRPr="00BA0FBF" w:rsidRDefault="00F95381" w:rsidP="00F95381">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D1</w:t>
            </w:r>
          </w:p>
        </w:tc>
        <w:tc>
          <w:tcPr>
            <w:tcW w:w="291" w:type="pct"/>
          </w:tcPr>
          <w:p w:rsidR="00F95381" w:rsidRPr="00BA0FBF" w:rsidRDefault="00F95381" w:rsidP="00F95381">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D2</w:t>
            </w:r>
          </w:p>
        </w:tc>
        <w:tc>
          <w:tcPr>
            <w:tcW w:w="291" w:type="pct"/>
          </w:tcPr>
          <w:p w:rsidR="00F95381" w:rsidRPr="00BA0FBF" w:rsidRDefault="00F95381" w:rsidP="00F95381">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D3</w:t>
            </w:r>
          </w:p>
        </w:tc>
        <w:tc>
          <w:tcPr>
            <w:tcW w:w="291" w:type="pct"/>
          </w:tcPr>
          <w:p w:rsidR="00F95381" w:rsidRPr="00BA0FBF" w:rsidRDefault="00F95381" w:rsidP="00F95381">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D4</w:t>
            </w:r>
          </w:p>
        </w:tc>
        <w:tc>
          <w:tcPr>
            <w:tcW w:w="291" w:type="pct"/>
          </w:tcPr>
          <w:p w:rsidR="00F95381" w:rsidRPr="00BA0FBF" w:rsidRDefault="00F95381" w:rsidP="00F95381">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D5</w:t>
            </w:r>
          </w:p>
        </w:tc>
        <w:tc>
          <w:tcPr>
            <w:tcW w:w="291" w:type="pct"/>
          </w:tcPr>
          <w:p w:rsidR="00F95381" w:rsidRPr="00BA0FBF" w:rsidRDefault="00F95381" w:rsidP="00F95381">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D6</w:t>
            </w:r>
          </w:p>
        </w:tc>
        <w:tc>
          <w:tcPr>
            <w:tcW w:w="291" w:type="pct"/>
          </w:tcPr>
          <w:p w:rsidR="00F95381" w:rsidRPr="00BA0FBF" w:rsidRDefault="00F95381" w:rsidP="00F95381">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D7</w:t>
            </w:r>
          </w:p>
        </w:tc>
        <w:tc>
          <w:tcPr>
            <w:tcW w:w="291" w:type="pct"/>
          </w:tcPr>
          <w:p w:rsidR="00F95381" w:rsidRPr="00BA0FBF" w:rsidRDefault="00F95381" w:rsidP="00F95381">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D8</w:t>
            </w:r>
          </w:p>
        </w:tc>
        <w:tc>
          <w:tcPr>
            <w:tcW w:w="291" w:type="pct"/>
          </w:tcPr>
          <w:p w:rsidR="00F95381" w:rsidRPr="00BA0FBF" w:rsidRDefault="00F95381" w:rsidP="00F95381">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D9</w:t>
            </w:r>
          </w:p>
        </w:tc>
        <w:tc>
          <w:tcPr>
            <w:tcW w:w="291" w:type="pct"/>
          </w:tcPr>
          <w:p w:rsidR="00F95381" w:rsidRPr="00BA0FBF" w:rsidRDefault="00F95381" w:rsidP="00F95381">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D10</w:t>
            </w:r>
          </w:p>
        </w:tc>
        <w:tc>
          <w:tcPr>
            <w:tcW w:w="292" w:type="pct"/>
          </w:tcPr>
          <w:p w:rsidR="00F95381" w:rsidRPr="00BA0FBF" w:rsidRDefault="00F95381" w:rsidP="00F95381">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All</w:t>
            </w:r>
          </w:p>
        </w:tc>
      </w:tr>
      <w:tr w:rsidR="007A1744" w:rsidRPr="00BA0FBF" w:rsidTr="007A174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gridSpan w:val="13"/>
          </w:tcPr>
          <w:p w:rsidR="007A1744" w:rsidRPr="00BA0FBF" w:rsidRDefault="007A1744" w:rsidP="007A1744">
            <w:pPr>
              <w:pStyle w:val="TableTextCentred"/>
              <w:jc w:val="left"/>
              <w:rPr>
                <w:sz w:val="18"/>
              </w:rPr>
            </w:pPr>
            <w:r w:rsidRPr="00BA0FBF">
              <w:rPr>
                <w:sz w:val="18"/>
              </w:rPr>
              <w:t>Main source of income</w:t>
            </w:r>
          </w:p>
        </w:tc>
      </w:tr>
      <w:tr w:rsidR="00F95381" w:rsidRPr="00BA0FBF" w:rsidTr="007A1744">
        <w:trPr>
          <w:cantSplit/>
        </w:trPr>
        <w:tc>
          <w:tcPr>
            <w:cnfStyle w:val="001000000000" w:firstRow="0" w:lastRow="0" w:firstColumn="1" w:lastColumn="0" w:oddVBand="0" w:evenVBand="0" w:oddHBand="0" w:evenHBand="0" w:firstRowFirstColumn="0" w:firstRowLastColumn="0" w:lastRowFirstColumn="0" w:lastRowLastColumn="0"/>
            <w:tcW w:w="1235" w:type="pct"/>
          </w:tcPr>
          <w:p w:rsidR="00F95381" w:rsidRPr="00BA0FBF" w:rsidRDefault="00F95381" w:rsidP="007A1744">
            <w:pPr>
              <w:pStyle w:val="TableText"/>
              <w:ind w:left="737"/>
              <w:rPr>
                <w:sz w:val="18"/>
              </w:rPr>
            </w:pPr>
            <w:r w:rsidRPr="00BA0FBF">
              <w:rPr>
                <w:sz w:val="18"/>
              </w:rPr>
              <w:t>Salary and wages</w:t>
            </w:r>
          </w:p>
        </w:tc>
        <w:tc>
          <w:tcPr>
            <w:tcW w:w="563" w:type="pct"/>
          </w:tcPr>
          <w:p w:rsidR="00F95381" w:rsidRPr="00BA0FBF" w:rsidRDefault="00F95381" w:rsidP="00F95381">
            <w:pPr>
              <w:pStyle w:val="TableTextCentred"/>
              <w:cnfStyle w:val="000000000000" w:firstRow="0" w:lastRow="0" w:firstColumn="0" w:lastColumn="0" w:oddVBand="0" w:evenVBand="0" w:oddHBand="0" w:evenHBand="0" w:firstRowFirstColumn="0" w:firstRowLastColumn="0" w:lastRowFirstColumn="0" w:lastRowLastColumn="0"/>
              <w:rPr>
                <w:sz w:val="18"/>
              </w:rPr>
            </w:pPr>
            <w:r w:rsidRPr="00BA0FBF">
              <w:rPr>
                <w:sz w:val="18"/>
              </w:rPr>
              <w:t>%</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12.1%</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9.9%</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30.1%</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53.3%</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76.7%</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81.4%</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87.9%</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90.9%</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89.8%</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81.5%</w:t>
            </w:r>
          </w:p>
        </w:tc>
        <w:tc>
          <w:tcPr>
            <w:tcW w:w="292"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61.3%</w:t>
            </w:r>
          </w:p>
        </w:tc>
      </w:tr>
      <w:tr w:rsidR="00F95381" w:rsidRPr="00BA0FBF" w:rsidTr="007A174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pct"/>
          </w:tcPr>
          <w:p w:rsidR="00F95381" w:rsidRPr="00BA0FBF" w:rsidRDefault="00F95381" w:rsidP="007A1744">
            <w:pPr>
              <w:pStyle w:val="TableText"/>
              <w:ind w:left="737"/>
              <w:rPr>
                <w:sz w:val="18"/>
              </w:rPr>
            </w:pPr>
            <w:r w:rsidRPr="00BA0FBF">
              <w:rPr>
                <w:sz w:val="18"/>
              </w:rPr>
              <w:t>Business income</w:t>
            </w:r>
          </w:p>
        </w:tc>
        <w:tc>
          <w:tcPr>
            <w:tcW w:w="563" w:type="pct"/>
          </w:tcPr>
          <w:p w:rsidR="00F95381" w:rsidRPr="00BA0FBF" w:rsidRDefault="00F95381" w:rsidP="00F95381">
            <w:pPr>
              <w:pStyle w:val="TableTextCentred"/>
              <w:cnfStyle w:val="000000100000" w:firstRow="0" w:lastRow="0" w:firstColumn="0" w:lastColumn="0" w:oddVBand="0" w:evenVBand="0" w:oddHBand="1" w:evenHBand="0" w:firstRowFirstColumn="0" w:firstRowLastColumn="0" w:lastRowFirstColumn="0" w:lastRowLastColumn="0"/>
              <w:rPr>
                <w:sz w:val="18"/>
              </w:rPr>
            </w:pPr>
            <w:r w:rsidRPr="00BA0FBF">
              <w:rPr>
                <w:sz w:val="18"/>
              </w:rPr>
              <w:t>%</w:t>
            </w:r>
          </w:p>
        </w:tc>
        <w:tc>
          <w:tcPr>
            <w:tcW w:w="291"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3.9%</w:t>
            </w:r>
          </w:p>
        </w:tc>
        <w:tc>
          <w:tcPr>
            <w:tcW w:w="291"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3.4%</w:t>
            </w:r>
          </w:p>
        </w:tc>
        <w:tc>
          <w:tcPr>
            <w:tcW w:w="291"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3.8%</w:t>
            </w:r>
          </w:p>
        </w:tc>
        <w:tc>
          <w:tcPr>
            <w:tcW w:w="291"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7.9%</w:t>
            </w:r>
          </w:p>
        </w:tc>
        <w:tc>
          <w:tcPr>
            <w:tcW w:w="291"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5.3%</w:t>
            </w:r>
          </w:p>
        </w:tc>
        <w:tc>
          <w:tcPr>
            <w:tcW w:w="291"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5.5%</w:t>
            </w:r>
          </w:p>
        </w:tc>
        <w:tc>
          <w:tcPr>
            <w:tcW w:w="291"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3.0%</w:t>
            </w:r>
          </w:p>
        </w:tc>
        <w:tc>
          <w:tcPr>
            <w:tcW w:w="291"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2.7%</w:t>
            </w:r>
          </w:p>
        </w:tc>
        <w:tc>
          <w:tcPr>
            <w:tcW w:w="291"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5.5%</w:t>
            </w:r>
          </w:p>
        </w:tc>
        <w:tc>
          <w:tcPr>
            <w:tcW w:w="291"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6.4%</w:t>
            </w:r>
          </w:p>
        </w:tc>
        <w:tc>
          <w:tcPr>
            <w:tcW w:w="292"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4.7%</w:t>
            </w:r>
          </w:p>
        </w:tc>
      </w:tr>
      <w:tr w:rsidR="00F95381" w:rsidRPr="00BA0FBF" w:rsidTr="007A1744">
        <w:trPr>
          <w:cantSplit/>
        </w:trPr>
        <w:tc>
          <w:tcPr>
            <w:cnfStyle w:val="001000000000" w:firstRow="0" w:lastRow="0" w:firstColumn="1" w:lastColumn="0" w:oddVBand="0" w:evenVBand="0" w:oddHBand="0" w:evenHBand="0" w:firstRowFirstColumn="0" w:firstRowLastColumn="0" w:lastRowFirstColumn="0" w:lastRowLastColumn="0"/>
            <w:tcW w:w="1235" w:type="pct"/>
          </w:tcPr>
          <w:p w:rsidR="00F95381" w:rsidRPr="00BA0FBF" w:rsidRDefault="00F95381" w:rsidP="007A1744">
            <w:pPr>
              <w:pStyle w:val="TableText"/>
              <w:ind w:left="737"/>
              <w:rPr>
                <w:sz w:val="18"/>
              </w:rPr>
            </w:pPr>
            <w:r w:rsidRPr="00BA0FBF">
              <w:rPr>
                <w:sz w:val="18"/>
              </w:rPr>
              <w:t>Government pension/allowance</w:t>
            </w:r>
          </w:p>
        </w:tc>
        <w:tc>
          <w:tcPr>
            <w:tcW w:w="563" w:type="pct"/>
          </w:tcPr>
          <w:p w:rsidR="00F95381" w:rsidRPr="00BA0FBF" w:rsidRDefault="00F95381" w:rsidP="00F95381">
            <w:pPr>
              <w:pStyle w:val="TableTextCentred"/>
              <w:cnfStyle w:val="000000000000" w:firstRow="0" w:lastRow="0" w:firstColumn="0" w:lastColumn="0" w:oddVBand="0" w:evenVBand="0" w:oddHBand="0" w:evenHBand="0" w:firstRowFirstColumn="0" w:firstRowLastColumn="0" w:lastRowFirstColumn="0" w:lastRowLastColumn="0"/>
              <w:rPr>
                <w:sz w:val="18"/>
              </w:rPr>
            </w:pPr>
            <w:r w:rsidRPr="00BA0FBF">
              <w:rPr>
                <w:sz w:val="18"/>
              </w:rPr>
              <w:t>%</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65.1%</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83.5%</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61.9%</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30.3%</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6.8%</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2.7%</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1.5%</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0.4%</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0.0%</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0.0%</w:t>
            </w:r>
          </w:p>
        </w:tc>
        <w:tc>
          <w:tcPr>
            <w:tcW w:w="292"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25.2%</w:t>
            </w:r>
          </w:p>
        </w:tc>
      </w:tr>
      <w:tr w:rsidR="00F95381" w:rsidRPr="00BA0FBF" w:rsidTr="007A174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pct"/>
          </w:tcPr>
          <w:p w:rsidR="00F95381" w:rsidRPr="00BA0FBF" w:rsidRDefault="00F95381" w:rsidP="007A1744">
            <w:pPr>
              <w:pStyle w:val="TableText"/>
              <w:ind w:left="737"/>
              <w:rPr>
                <w:sz w:val="18"/>
              </w:rPr>
            </w:pPr>
            <w:r w:rsidRPr="00BA0FBF">
              <w:rPr>
                <w:sz w:val="18"/>
              </w:rPr>
              <w:t>Zero/negative income</w:t>
            </w:r>
          </w:p>
        </w:tc>
        <w:tc>
          <w:tcPr>
            <w:tcW w:w="563" w:type="pct"/>
          </w:tcPr>
          <w:p w:rsidR="00F95381" w:rsidRPr="00BA0FBF" w:rsidRDefault="00F95381" w:rsidP="00F95381">
            <w:pPr>
              <w:pStyle w:val="TableTextCentred"/>
              <w:cnfStyle w:val="000000100000" w:firstRow="0" w:lastRow="0" w:firstColumn="0" w:lastColumn="0" w:oddVBand="0" w:evenVBand="0" w:oddHBand="1" w:evenHBand="0" w:firstRowFirstColumn="0" w:firstRowLastColumn="0" w:lastRowFirstColumn="0" w:lastRowLastColumn="0"/>
              <w:rPr>
                <w:sz w:val="18"/>
              </w:rPr>
            </w:pPr>
            <w:r w:rsidRPr="00BA0FBF">
              <w:rPr>
                <w:sz w:val="18"/>
              </w:rPr>
              <w:t>%</w:t>
            </w:r>
          </w:p>
        </w:tc>
        <w:tc>
          <w:tcPr>
            <w:tcW w:w="291"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5.5%</w:t>
            </w:r>
          </w:p>
        </w:tc>
        <w:tc>
          <w:tcPr>
            <w:tcW w:w="291"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0.0%</w:t>
            </w:r>
          </w:p>
        </w:tc>
        <w:tc>
          <w:tcPr>
            <w:tcW w:w="291"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0.0%</w:t>
            </w:r>
          </w:p>
        </w:tc>
        <w:tc>
          <w:tcPr>
            <w:tcW w:w="291"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0.0%</w:t>
            </w:r>
          </w:p>
        </w:tc>
        <w:tc>
          <w:tcPr>
            <w:tcW w:w="291"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0.0%</w:t>
            </w:r>
          </w:p>
        </w:tc>
        <w:tc>
          <w:tcPr>
            <w:tcW w:w="291"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0.0%</w:t>
            </w:r>
          </w:p>
        </w:tc>
        <w:tc>
          <w:tcPr>
            <w:tcW w:w="291"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0.0%</w:t>
            </w:r>
          </w:p>
        </w:tc>
        <w:tc>
          <w:tcPr>
            <w:tcW w:w="291"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0.0%</w:t>
            </w:r>
          </w:p>
        </w:tc>
        <w:tc>
          <w:tcPr>
            <w:tcW w:w="291"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0.0%</w:t>
            </w:r>
          </w:p>
        </w:tc>
        <w:tc>
          <w:tcPr>
            <w:tcW w:w="291"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0.0%</w:t>
            </w:r>
          </w:p>
        </w:tc>
        <w:tc>
          <w:tcPr>
            <w:tcW w:w="292"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0.6%</w:t>
            </w:r>
          </w:p>
        </w:tc>
      </w:tr>
      <w:tr w:rsidR="00F95381" w:rsidRPr="00BA0FBF" w:rsidTr="007A1744">
        <w:trPr>
          <w:cantSplit/>
        </w:trPr>
        <w:tc>
          <w:tcPr>
            <w:cnfStyle w:val="001000000000" w:firstRow="0" w:lastRow="0" w:firstColumn="1" w:lastColumn="0" w:oddVBand="0" w:evenVBand="0" w:oddHBand="0" w:evenHBand="0" w:firstRowFirstColumn="0" w:firstRowLastColumn="0" w:lastRowFirstColumn="0" w:lastRowLastColumn="0"/>
            <w:tcW w:w="1235" w:type="pct"/>
          </w:tcPr>
          <w:p w:rsidR="00F95381" w:rsidRPr="00BA0FBF" w:rsidRDefault="00F95381" w:rsidP="007A1744">
            <w:pPr>
              <w:pStyle w:val="TableText"/>
              <w:ind w:left="737"/>
              <w:rPr>
                <w:sz w:val="18"/>
              </w:rPr>
            </w:pPr>
            <w:r w:rsidRPr="00BA0FBF">
              <w:rPr>
                <w:sz w:val="18"/>
              </w:rPr>
              <w:t>Other income</w:t>
            </w:r>
          </w:p>
        </w:tc>
        <w:tc>
          <w:tcPr>
            <w:tcW w:w="563" w:type="pct"/>
          </w:tcPr>
          <w:p w:rsidR="00F95381" w:rsidRPr="00BA0FBF" w:rsidRDefault="00F95381" w:rsidP="00F95381">
            <w:pPr>
              <w:pStyle w:val="TableTextCentred"/>
              <w:cnfStyle w:val="000000000000" w:firstRow="0" w:lastRow="0" w:firstColumn="0" w:lastColumn="0" w:oddVBand="0" w:evenVBand="0" w:oddHBand="0" w:evenHBand="0" w:firstRowFirstColumn="0" w:firstRowLastColumn="0" w:lastRowFirstColumn="0" w:lastRowLastColumn="0"/>
              <w:rPr>
                <w:sz w:val="18"/>
              </w:rPr>
            </w:pPr>
            <w:r w:rsidRPr="00BA0FBF">
              <w:rPr>
                <w:sz w:val="18"/>
              </w:rPr>
              <w:t>%</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13.4%</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3.2%</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4.1%</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8.5%</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11.2%</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10.4%</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7.6%</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6.0%</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4.7%</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12.2%</w:t>
            </w:r>
          </w:p>
        </w:tc>
        <w:tc>
          <w:tcPr>
            <w:tcW w:w="292"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8.1%</w:t>
            </w:r>
          </w:p>
        </w:tc>
      </w:tr>
      <w:tr w:rsidR="007A1744" w:rsidRPr="00BA0FBF" w:rsidTr="007A1744">
        <w:trPr>
          <w:cnfStyle w:val="000000100000" w:firstRow="0" w:lastRow="0" w:firstColumn="0" w:lastColumn="0" w:oddVBand="0" w:evenVBand="0" w:oddHBand="1" w:evenHBand="0" w:firstRowFirstColumn="0" w:firstRowLastColumn="0" w:lastRowFirstColumn="0" w:lastRowLastColumn="0"/>
          <w:cantSplit/>
          <w:trHeight w:hRule="exact" w:val="338"/>
        </w:trPr>
        <w:tc>
          <w:tcPr>
            <w:cnfStyle w:val="001000000000" w:firstRow="0" w:lastRow="0" w:firstColumn="1" w:lastColumn="0" w:oddVBand="0" w:evenVBand="0" w:oddHBand="0" w:evenHBand="0" w:firstRowFirstColumn="0" w:firstRowLastColumn="0" w:lastRowFirstColumn="0" w:lastRowLastColumn="0"/>
            <w:tcW w:w="5000" w:type="pct"/>
            <w:gridSpan w:val="13"/>
          </w:tcPr>
          <w:p w:rsidR="007A1744" w:rsidRPr="00BA0FBF" w:rsidRDefault="007A1744" w:rsidP="007A1744">
            <w:pPr>
              <w:pStyle w:val="TableTextCentred"/>
              <w:jc w:val="left"/>
              <w:rPr>
                <w:sz w:val="18"/>
              </w:rPr>
            </w:pPr>
          </w:p>
        </w:tc>
      </w:tr>
      <w:tr w:rsidR="007A1744" w:rsidRPr="00BA0FBF" w:rsidTr="007A1744">
        <w:trPr>
          <w:cantSplit/>
        </w:trPr>
        <w:tc>
          <w:tcPr>
            <w:cnfStyle w:val="001000000000" w:firstRow="0" w:lastRow="0" w:firstColumn="1" w:lastColumn="0" w:oddVBand="0" w:evenVBand="0" w:oddHBand="0" w:evenHBand="0" w:firstRowFirstColumn="0" w:firstRowLastColumn="0" w:lastRowFirstColumn="0" w:lastRowLastColumn="0"/>
            <w:tcW w:w="5000" w:type="pct"/>
            <w:gridSpan w:val="13"/>
          </w:tcPr>
          <w:p w:rsidR="007A1744" w:rsidRPr="00BA0FBF" w:rsidRDefault="007A1744" w:rsidP="007A1744">
            <w:pPr>
              <w:pStyle w:val="TableTextCentred"/>
              <w:jc w:val="left"/>
              <w:rPr>
                <w:sz w:val="18"/>
              </w:rPr>
            </w:pPr>
            <w:r w:rsidRPr="00BA0FBF">
              <w:rPr>
                <w:sz w:val="18"/>
              </w:rPr>
              <w:t xml:space="preserve">Age of Household Head </w:t>
            </w:r>
          </w:p>
        </w:tc>
      </w:tr>
      <w:tr w:rsidR="00F95381" w:rsidRPr="00BA0FBF" w:rsidTr="007A174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pct"/>
          </w:tcPr>
          <w:p w:rsidR="00F95381" w:rsidRPr="00BA0FBF" w:rsidRDefault="00F95381" w:rsidP="007A1744">
            <w:pPr>
              <w:pStyle w:val="TableText"/>
              <w:ind w:left="737"/>
              <w:rPr>
                <w:sz w:val="18"/>
              </w:rPr>
            </w:pPr>
            <w:r w:rsidRPr="00BA0FBF">
              <w:rPr>
                <w:sz w:val="18"/>
              </w:rPr>
              <w:t>18 to 24 years</w:t>
            </w:r>
          </w:p>
        </w:tc>
        <w:tc>
          <w:tcPr>
            <w:tcW w:w="563" w:type="pct"/>
          </w:tcPr>
          <w:p w:rsidR="00F95381" w:rsidRPr="00BA0FBF" w:rsidRDefault="00F95381" w:rsidP="00F95381">
            <w:pPr>
              <w:pStyle w:val="TableTextCentred"/>
              <w:cnfStyle w:val="000000100000" w:firstRow="0" w:lastRow="0" w:firstColumn="0" w:lastColumn="0" w:oddVBand="0" w:evenVBand="0" w:oddHBand="1" w:evenHBand="0" w:firstRowFirstColumn="0" w:firstRowLastColumn="0" w:lastRowFirstColumn="0" w:lastRowLastColumn="0"/>
              <w:rPr>
                <w:sz w:val="18"/>
              </w:rPr>
            </w:pPr>
            <w:r w:rsidRPr="00BA0FBF">
              <w:rPr>
                <w:sz w:val="18"/>
              </w:rPr>
              <w:t>%</w:t>
            </w:r>
          </w:p>
        </w:tc>
        <w:tc>
          <w:tcPr>
            <w:tcW w:w="291"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BA0FBF">
              <w:rPr>
                <w:rFonts w:ascii="Calibri" w:hAnsi="Calibri"/>
                <w:color w:val="000000"/>
              </w:rPr>
              <w:t>3%</w:t>
            </w:r>
          </w:p>
        </w:tc>
        <w:tc>
          <w:tcPr>
            <w:tcW w:w="291"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BA0FBF">
              <w:rPr>
                <w:rFonts w:ascii="Calibri" w:hAnsi="Calibri"/>
                <w:color w:val="000000"/>
              </w:rPr>
              <w:t>2%</w:t>
            </w:r>
          </w:p>
        </w:tc>
        <w:tc>
          <w:tcPr>
            <w:tcW w:w="291"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BA0FBF">
              <w:rPr>
                <w:rFonts w:ascii="Calibri" w:hAnsi="Calibri"/>
                <w:color w:val="000000"/>
              </w:rPr>
              <w:t>4%</w:t>
            </w:r>
          </w:p>
        </w:tc>
        <w:tc>
          <w:tcPr>
            <w:tcW w:w="291"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BA0FBF">
              <w:rPr>
                <w:rFonts w:ascii="Calibri" w:hAnsi="Calibri"/>
                <w:color w:val="000000"/>
              </w:rPr>
              <w:t>5%</w:t>
            </w:r>
          </w:p>
        </w:tc>
        <w:tc>
          <w:tcPr>
            <w:tcW w:w="291"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BA0FBF">
              <w:rPr>
                <w:rFonts w:ascii="Calibri" w:hAnsi="Calibri"/>
                <w:color w:val="000000"/>
              </w:rPr>
              <w:t>5%</w:t>
            </w:r>
          </w:p>
        </w:tc>
        <w:tc>
          <w:tcPr>
            <w:tcW w:w="291"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BA0FBF">
              <w:rPr>
                <w:rFonts w:ascii="Calibri" w:hAnsi="Calibri"/>
                <w:color w:val="000000"/>
              </w:rPr>
              <w:t>5%</w:t>
            </w:r>
          </w:p>
        </w:tc>
        <w:tc>
          <w:tcPr>
            <w:tcW w:w="291"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BA0FBF">
              <w:rPr>
                <w:rFonts w:ascii="Calibri" w:hAnsi="Calibri"/>
                <w:color w:val="000000"/>
              </w:rPr>
              <w:t>5%</w:t>
            </w:r>
          </w:p>
        </w:tc>
        <w:tc>
          <w:tcPr>
            <w:tcW w:w="291"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BA0FBF">
              <w:rPr>
                <w:rFonts w:ascii="Calibri" w:hAnsi="Calibri"/>
                <w:color w:val="000000"/>
              </w:rPr>
              <w:t>5%</w:t>
            </w:r>
          </w:p>
        </w:tc>
        <w:tc>
          <w:tcPr>
            <w:tcW w:w="291"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BA0FBF">
              <w:rPr>
                <w:rFonts w:ascii="Calibri" w:hAnsi="Calibri"/>
                <w:color w:val="000000"/>
              </w:rPr>
              <w:t>3%</w:t>
            </w:r>
          </w:p>
        </w:tc>
        <w:tc>
          <w:tcPr>
            <w:tcW w:w="291"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BA0FBF">
              <w:rPr>
                <w:rFonts w:ascii="Calibri" w:hAnsi="Calibri"/>
                <w:color w:val="000000"/>
              </w:rPr>
              <w:t>2%</w:t>
            </w:r>
          </w:p>
        </w:tc>
        <w:tc>
          <w:tcPr>
            <w:tcW w:w="292"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BA0FBF">
              <w:rPr>
                <w:rFonts w:ascii="Calibri" w:hAnsi="Calibri"/>
                <w:color w:val="000000"/>
              </w:rPr>
              <w:t>4%</w:t>
            </w:r>
          </w:p>
        </w:tc>
      </w:tr>
      <w:tr w:rsidR="00F95381" w:rsidRPr="00BA0FBF" w:rsidTr="007A1744">
        <w:trPr>
          <w:cantSplit/>
        </w:trPr>
        <w:tc>
          <w:tcPr>
            <w:cnfStyle w:val="001000000000" w:firstRow="0" w:lastRow="0" w:firstColumn="1" w:lastColumn="0" w:oddVBand="0" w:evenVBand="0" w:oddHBand="0" w:evenHBand="0" w:firstRowFirstColumn="0" w:firstRowLastColumn="0" w:lastRowFirstColumn="0" w:lastRowLastColumn="0"/>
            <w:tcW w:w="1235" w:type="pct"/>
          </w:tcPr>
          <w:p w:rsidR="00F95381" w:rsidRPr="00BA0FBF" w:rsidRDefault="00F95381" w:rsidP="007A1744">
            <w:pPr>
              <w:pStyle w:val="TableText"/>
              <w:ind w:left="737"/>
              <w:rPr>
                <w:sz w:val="18"/>
              </w:rPr>
            </w:pPr>
            <w:r w:rsidRPr="00BA0FBF">
              <w:rPr>
                <w:sz w:val="18"/>
              </w:rPr>
              <w:t>25 to 54 years</w:t>
            </w:r>
          </w:p>
        </w:tc>
        <w:tc>
          <w:tcPr>
            <w:tcW w:w="563" w:type="pct"/>
          </w:tcPr>
          <w:p w:rsidR="00F95381" w:rsidRPr="00BA0FBF" w:rsidRDefault="00F95381" w:rsidP="00F95381">
            <w:pPr>
              <w:pStyle w:val="TableTextCentred"/>
              <w:cnfStyle w:val="000000000000" w:firstRow="0" w:lastRow="0" w:firstColumn="0" w:lastColumn="0" w:oddVBand="0" w:evenVBand="0" w:oddHBand="0" w:evenHBand="0" w:firstRowFirstColumn="0" w:firstRowLastColumn="0" w:lastRowFirstColumn="0" w:lastRowLastColumn="0"/>
              <w:rPr>
                <w:sz w:val="18"/>
              </w:rPr>
            </w:pPr>
            <w:r w:rsidRPr="00BA0FBF">
              <w:rPr>
                <w:sz w:val="18"/>
              </w:rPr>
              <w:t>%</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BA0FBF">
              <w:rPr>
                <w:rFonts w:ascii="Calibri" w:hAnsi="Calibri"/>
                <w:color w:val="000000"/>
              </w:rPr>
              <w:t>47%</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BA0FBF">
              <w:rPr>
                <w:rFonts w:ascii="Calibri" w:hAnsi="Calibri"/>
                <w:color w:val="000000"/>
              </w:rPr>
              <w:t>27%</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BA0FBF">
              <w:rPr>
                <w:rFonts w:ascii="Calibri" w:hAnsi="Calibri"/>
                <w:color w:val="000000"/>
              </w:rPr>
              <w:t>40%</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BA0FBF">
              <w:rPr>
                <w:rFonts w:ascii="Calibri" w:hAnsi="Calibri"/>
                <w:color w:val="000000"/>
              </w:rPr>
              <w:t>53%</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BA0FBF">
              <w:rPr>
                <w:rFonts w:ascii="Calibri" w:hAnsi="Calibri"/>
                <w:color w:val="000000"/>
              </w:rPr>
              <w:t>64%</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BA0FBF">
              <w:rPr>
                <w:rFonts w:ascii="Calibri" w:hAnsi="Calibri"/>
                <w:color w:val="000000"/>
              </w:rPr>
              <w:t>62%</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BA0FBF">
              <w:rPr>
                <w:rFonts w:ascii="Calibri" w:hAnsi="Calibri"/>
                <w:color w:val="000000"/>
              </w:rPr>
              <w:t>71%</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BA0FBF">
              <w:rPr>
                <w:rFonts w:ascii="Calibri" w:hAnsi="Calibri"/>
                <w:color w:val="000000"/>
              </w:rPr>
              <w:t>73%</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BA0FBF">
              <w:rPr>
                <w:rFonts w:ascii="Calibri" w:hAnsi="Calibri"/>
                <w:color w:val="000000"/>
              </w:rPr>
              <w:t>72%</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BA0FBF">
              <w:rPr>
                <w:rFonts w:ascii="Calibri" w:hAnsi="Calibri"/>
                <w:color w:val="000000"/>
              </w:rPr>
              <w:t>67%</w:t>
            </w:r>
          </w:p>
        </w:tc>
        <w:tc>
          <w:tcPr>
            <w:tcW w:w="292"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BA0FBF">
              <w:rPr>
                <w:rFonts w:ascii="Calibri" w:hAnsi="Calibri"/>
                <w:color w:val="000000"/>
              </w:rPr>
              <w:t>58%</w:t>
            </w:r>
          </w:p>
        </w:tc>
      </w:tr>
      <w:tr w:rsidR="00F95381" w:rsidRPr="00BA0FBF" w:rsidTr="007A174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pct"/>
          </w:tcPr>
          <w:p w:rsidR="00F95381" w:rsidRPr="00BA0FBF" w:rsidRDefault="00F95381" w:rsidP="007A1744">
            <w:pPr>
              <w:pStyle w:val="TableText"/>
              <w:ind w:left="737"/>
              <w:rPr>
                <w:sz w:val="18"/>
              </w:rPr>
            </w:pPr>
            <w:r w:rsidRPr="00BA0FBF">
              <w:rPr>
                <w:sz w:val="18"/>
              </w:rPr>
              <w:t>55 to 64 years</w:t>
            </w:r>
          </w:p>
        </w:tc>
        <w:tc>
          <w:tcPr>
            <w:tcW w:w="563" w:type="pct"/>
          </w:tcPr>
          <w:p w:rsidR="00F95381" w:rsidRPr="00BA0FBF" w:rsidRDefault="00F95381" w:rsidP="00F95381">
            <w:pPr>
              <w:pStyle w:val="TableTextCentred"/>
              <w:cnfStyle w:val="000000100000" w:firstRow="0" w:lastRow="0" w:firstColumn="0" w:lastColumn="0" w:oddVBand="0" w:evenVBand="0" w:oddHBand="1" w:evenHBand="0" w:firstRowFirstColumn="0" w:firstRowLastColumn="0" w:lastRowFirstColumn="0" w:lastRowLastColumn="0"/>
              <w:rPr>
                <w:sz w:val="18"/>
              </w:rPr>
            </w:pPr>
            <w:r w:rsidRPr="00BA0FBF">
              <w:rPr>
                <w:sz w:val="18"/>
              </w:rPr>
              <w:t>%</w:t>
            </w:r>
          </w:p>
        </w:tc>
        <w:tc>
          <w:tcPr>
            <w:tcW w:w="291"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BA0FBF">
              <w:rPr>
                <w:rFonts w:ascii="Calibri" w:hAnsi="Calibri"/>
                <w:color w:val="000000"/>
              </w:rPr>
              <w:t>24%</w:t>
            </w:r>
          </w:p>
        </w:tc>
        <w:tc>
          <w:tcPr>
            <w:tcW w:w="291"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BA0FBF">
              <w:rPr>
                <w:rFonts w:ascii="Calibri" w:hAnsi="Calibri"/>
                <w:color w:val="000000"/>
              </w:rPr>
              <w:t>16%</w:t>
            </w:r>
          </w:p>
        </w:tc>
        <w:tc>
          <w:tcPr>
            <w:tcW w:w="291"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BA0FBF">
              <w:rPr>
                <w:rFonts w:ascii="Calibri" w:hAnsi="Calibri"/>
                <w:color w:val="000000"/>
              </w:rPr>
              <w:t>12%</w:t>
            </w:r>
          </w:p>
        </w:tc>
        <w:tc>
          <w:tcPr>
            <w:tcW w:w="291"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BA0FBF">
              <w:rPr>
                <w:rFonts w:ascii="Calibri" w:hAnsi="Calibri"/>
                <w:color w:val="000000"/>
              </w:rPr>
              <w:t>16%</w:t>
            </w:r>
          </w:p>
        </w:tc>
        <w:tc>
          <w:tcPr>
            <w:tcW w:w="291"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BA0FBF">
              <w:rPr>
                <w:rFonts w:ascii="Calibri" w:hAnsi="Calibri"/>
                <w:color w:val="000000"/>
              </w:rPr>
              <w:t>15%</w:t>
            </w:r>
          </w:p>
        </w:tc>
        <w:tc>
          <w:tcPr>
            <w:tcW w:w="291"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BA0FBF">
              <w:rPr>
                <w:rFonts w:ascii="Calibri" w:hAnsi="Calibri"/>
                <w:color w:val="000000"/>
              </w:rPr>
              <w:t>20%</w:t>
            </w:r>
          </w:p>
        </w:tc>
        <w:tc>
          <w:tcPr>
            <w:tcW w:w="291"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BA0FBF">
              <w:rPr>
                <w:rFonts w:ascii="Calibri" w:hAnsi="Calibri"/>
                <w:color w:val="000000"/>
              </w:rPr>
              <w:t>15%</w:t>
            </w:r>
          </w:p>
        </w:tc>
        <w:tc>
          <w:tcPr>
            <w:tcW w:w="291"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BA0FBF">
              <w:rPr>
                <w:rFonts w:ascii="Calibri" w:hAnsi="Calibri"/>
                <w:color w:val="000000"/>
              </w:rPr>
              <w:t>16%</w:t>
            </w:r>
          </w:p>
        </w:tc>
        <w:tc>
          <w:tcPr>
            <w:tcW w:w="291"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BA0FBF">
              <w:rPr>
                <w:rFonts w:ascii="Calibri" w:hAnsi="Calibri"/>
                <w:color w:val="000000"/>
              </w:rPr>
              <w:t>20%</w:t>
            </w:r>
          </w:p>
        </w:tc>
        <w:tc>
          <w:tcPr>
            <w:tcW w:w="291"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BA0FBF">
              <w:rPr>
                <w:rFonts w:ascii="Calibri" w:hAnsi="Calibri"/>
                <w:color w:val="000000"/>
              </w:rPr>
              <w:t>23%</w:t>
            </w:r>
          </w:p>
        </w:tc>
        <w:tc>
          <w:tcPr>
            <w:tcW w:w="292" w:type="pct"/>
            <w:vAlign w:val="bottom"/>
          </w:tcPr>
          <w:p w:rsidR="00F95381" w:rsidRPr="00BA0FBF" w:rsidRDefault="00F95381" w:rsidP="00F9538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BA0FBF">
              <w:rPr>
                <w:rFonts w:ascii="Calibri" w:hAnsi="Calibri"/>
                <w:color w:val="000000"/>
              </w:rPr>
              <w:t>18%</w:t>
            </w:r>
          </w:p>
        </w:tc>
      </w:tr>
      <w:tr w:rsidR="00F95381" w:rsidRPr="00BA0FBF" w:rsidTr="007A1744">
        <w:trPr>
          <w:cantSplit/>
        </w:trPr>
        <w:tc>
          <w:tcPr>
            <w:cnfStyle w:val="001000000000" w:firstRow="0" w:lastRow="0" w:firstColumn="1" w:lastColumn="0" w:oddVBand="0" w:evenVBand="0" w:oddHBand="0" w:evenHBand="0" w:firstRowFirstColumn="0" w:firstRowLastColumn="0" w:lastRowFirstColumn="0" w:lastRowLastColumn="0"/>
            <w:tcW w:w="1235" w:type="pct"/>
          </w:tcPr>
          <w:p w:rsidR="00F95381" w:rsidRPr="00BA0FBF" w:rsidRDefault="00F95381" w:rsidP="007A1744">
            <w:pPr>
              <w:pStyle w:val="TableText"/>
              <w:ind w:left="737"/>
              <w:rPr>
                <w:sz w:val="18"/>
              </w:rPr>
            </w:pPr>
            <w:r w:rsidRPr="00BA0FBF">
              <w:rPr>
                <w:sz w:val="18"/>
              </w:rPr>
              <w:t>65 + years</w:t>
            </w:r>
          </w:p>
        </w:tc>
        <w:tc>
          <w:tcPr>
            <w:tcW w:w="563" w:type="pct"/>
          </w:tcPr>
          <w:p w:rsidR="00F95381" w:rsidRPr="00BA0FBF" w:rsidRDefault="00F95381" w:rsidP="00F95381">
            <w:pPr>
              <w:pStyle w:val="TableTextCentred"/>
              <w:cnfStyle w:val="000000000000" w:firstRow="0" w:lastRow="0" w:firstColumn="0" w:lastColumn="0" w:oddVBand="0" w:evenVBand="0" w:oddHBand="0" w:evenHBand="0" w:firstRowFirstColumn="0" w:firstRowLastColumn="0" w:lastRowFirstColumn="0" w:lastRowLastColumn="0"/>
              <w:rPr>
                <w:sz w:val="18"/>
              </w:rPr>
            </w:pPr>
            <w:r w:rsidRPr="00BA0FBF">
              <w:rPr>
                <w:sz w:val="18"/>
              </w:rPr>
              <w:t>%</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BA0FBF">
              <w:rPr>
                <w:rFonts w:ascii="Calibri" w:hAnsi="Calibri"/>
                <w:color w:val="000000"/>
              </w:rPr>
              <w:t>27%</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BA0FBF">
              <w:rPr>
                <w:rFonts w:ascii="Calibri" w:hAnsi="Calibri"/>
                <w:color w:val="000000"/>
              </w:rPr>
              <w:t>56%</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BA0FBF">
              <w:rPr>
                <w:rFonts w:ascii="Calibri" w:hAnsi="Calibri"/>
                <w:color w:val="000000"/>
              </w:rPr>
              <w:t>43%</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BA0FBF">
              <w:rPr>
                <w:rFonts w:ascii="Calibri" w:hAnsi="Calibri"/>
                <w:color w:val="000000"/>
              </w:rPr>
              <w:t>27%</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BA0FBF">
              <w:rPr>
                <w:rFonts w:ascii="Calibri" w:hAnsi="Calibri"/>
                <w:color w:val="000000"/>
              </w:rPr>
              <w:t>16%</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BA0FBF">
              <w:rPr>
                <w:rFonts w:ascii="Calibri" w:hAnsi="Calibri"/>
                <w:color w:val="000000"/>
              </w:rPr>
              <w:t>13%</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BA0FBF">
              <w:rPr>
                <w:rFonts w:ascii="Calibri" w:hAnsi="Calibri"/>
                <w:color w:val="000000"/>
              </w:rPr>
              <w:t>9%</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BA0FBF">
              <w:rPr>
                <w:rFonts w:ascii="Calibri" w:hAnsi="Calibri"/>
                <w:color w:val="000000"/>
              </w:rPr>
              <w:t>6%</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BA0FBF">
              <w:rPr>
                <w:rFonts w:ascii="Calibri" w:hAnsi="Calibri"/>
                <w:color w:val="000000"/>
              </w:rPr>
              <w:t>5%</w:t>
            </w:r>
          </w:p>
        </w:tc>
        <w:tc>
          <w:tcPr>
            <w:tcW w:w="291"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BA0FBF">
              <w:rPr>
                <w:rFonts w:ascii="Calibri" w:hAnsi="Calibri"/>
                <w:color w:val="000000"/>
              </w:rPr>
              <w:t>8%</w:t>
            </w:r>
          </w:p>
        </w:tc>
        <w:tc>
          <w:tcPr>
            <w:tcW w:w="292" w:type="pct"/>
            <w:vAlign w:val="bottom"/>
          </w:tcPr>
          <w:p w:rsidR="00F95381" w:rsidRPr="00BA0FBF" w:rsidRDefault="00F95381" w:rsidP="00F9538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BA0FBF">
              <w:rPr>
                <w:rFonts w:ascii="Calibri" w:hAnsi="Calibri"/>
                <w:color w:val="000000"/>
              </w:rPr>
              <w:t>21%</w:t>
            </w:r>
          </w:p>
        </w:tc>
      </w:tr>
    </w:tbl>
    <w:p w:rsidR="00011C76" w:rsidRDefault="00011C76" w:rsidP="00011C76">
      <w:pPr>
        <w:pStyle w:val="Source"/>
      </w:pPr>
      <w:bookmarkStart w:id="295" w:name="_Ref436665212"/>
      <w:bookmarkStart w:id="296" w:name="_Toc436650601"/>
      <w:bookmarkStart w:id="297" w:name="_Toc436664576"/>
      <w:r>
        <w:t xml:space="preserve">Source: </w:t>
      </w:r>
      <w:r w:rsidR="004E109F">
        <w:t>PBO analysis based on data from the ABS and Treasury</w:t>
      </w:r>
    </w:p>
    <w:p w:rsidR="00E912FD" w:rsidRPr="00BA0FBF" w:rsidRDefault="00E912FD" w:rsidP="00E912FD">
      <w:pPr>
        <w:pStyle w:val="Caption"/>
        <w:rPr>
          <w:sz w:val="20"/>
        </w:rPr>
      </w:pPr>
      <w:bookmarkStart w:id="298" w:name="_Ref438120003"/>
      <w:r w:rsidRPr="00BA0FBF">
        <w:rPr>
          <w:sz w:val="20"/>
        </w:rPr>
        <w:t xml:space="preserve">Table </w:t>
      </w:r>
      <w:r w:rsidRPr="00BA0FBF">
        <w:rPr>
          <w:sz w:val="20"/>
        </w:rPr>
        <w:fldChar w:fldCharType="begin"/>
      </w:r>
      <w:r w:rsidRPr="00BA0FBF">
        <w:rPr>
          <w:sz w:val="20"/>
        </w:rPr>
        <w:instrText xml:space="preserve"> STYLEREF 8 \s </w:instrText>
      </w:r>
      <w:r w:rsidRPr="00BA0FBF">
        <w:rPr>
          <w:sz w:val="20"/>
        </w:rPr>
        <w:fldChar w:fldCharType="separate"/>
      </w:r>
      <w:r w:rsidR="00076CF9">
        <w:rPr>
          <w:noProof/>
          <w:sz w:val="20"/>
        </w:rPr>
        <w:t>B</w:t>
      </w:r>
      <w:r w:rsidRPr="00BA0FBF">
        <w:rPr>
          <w:sz w:val="20"/>
        </w:rPr>
        <w:fldChar w:fldCharType="end"/>
      </w:r>
      <w:r w:rsidRPr="00BA0FBF">
        <w:rPr>
          <w:sz w:val="20"/>
        </w:rPr>
        <w:t>‒</w:t>
      </w:r>
      <w:r w:rsidRPr="00BA0FBF">
        <w:rPr>
          <w:sz w:val="20"/>
        </w:rPr>
        <w:fldChar w:fldCharType="begin"/>
      </w:r>
      <w:r w:rsidRPr="00BA0FBF">
        <w:rPr>
          <w:sz w:val="20"/>
        </w:rPr>
        <w:instrText xml:space="preserve"> SEQ AppendixTable\s 8 </w:instrText>
      </w:r>
      <w:r w:rsidRPr="00BA0FBF">
        <w:rPr>
          <w:sz w:val="20"/>
        </w:rPr>
        <w:fldChar w:fldCharType="separate"/>
      </w:r>
      <w:r w:rsidR="00076CF9">
        <w:rPr>
          <w:noProof/>
          <w:sz w:val="20"/>
        </w:rPr>
        <w:t>4</w:t>
      </w:r>
      <w:r w:rsidRPr="00BA0FBF">
        <w:rPr>
          <w:sz w:val="20"/>
        </w:rPr>
        <w:fldChar w:fldCharType="end"/>
      </w:r>
      <w:bookmarkEnd w:id="295"/>
      <w:bookmarkEnd w:id="298"/>
      <w:r w:rsidRPr="00BA0FBF">
        <w:rPr>
          <w:sz w:val="20"/>
        </w:rPr>
        <w:t>: Distribution analysis of household saving and net worth by age of household head</w:t>
      </w:r>
    </w:p>
    <w:bookmarkEnd w:id="296"/>
    <w:bookmarkEnd w:id="297"/>
    <w:tbl>
      <w:tblPr>
        <w:tblStyle w:val="TableGrid"/>
        <w:tblW w:w="5000" w:type="pct"/>
        <w:tblLook w:val="04A0" w:firstRow="1" w:lastRow="0" w:firstColumn="1" w:lastColumn="0" w:noHBand="0" w:noVBand="1"/>
      </w:tblPr>
      <w:tblGrid>
        <w:gridCol w:w="2480"/>
        <w:gridCol w:w="699"/>
        <w:gridCol w:w="837"/>
        <w:gridCol w:w="837"/>
        <w:gridCol w:w="837"/>
        <w:gridCol w:w="837"/>
        <w:gridCol w:w="837"/>
        <w:gridCol w:w="980"/>
        <w:gridCol w:w="980"/>
        <w:gridCol w:w="980"/>
        <w:gridCol w:w="980"/>
        <w:gridCol w:w="980"/>
        <w:gridCol w:w="980"/>
      </w:tblGrid>
      <w:tr w:rsidR="0015554C" w:rsidRPr="00BA0FBF" w:rsidTr="00113A4E">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6" w:type="pct"/>
          </w:tcPr>
          <w:p w:rsidR="0015554C" w:rsidRPr="00BA0FBF" w:rsidRDefault="0015554C" w:rsidP="008F24ED">
            <w:pPr>
              <w:pStyle w:val="TableHeading"/>
              <w:rPr>
                <w:sz w:val="18"/>
              </w:rPr>
            </w:pPr>
          </w:p>
        </w:tc>
        <w:tc>
          <w:tcPr>
            <w:tcW w:w="264" w:type="pct"/>
          </w:tcPr>
          <w:p w:rsidR="0015554C" w:rsidRPr="00BA0FBF" w:rsidRDefault="0015554C" w:rsidP="008F24ED">
            <w:pPr>
              <w:pStyle w:val="TableHeadingCentred"/>
              <w:cnfStyle w:val="100000000000" w:firstRow="1" w:lastRow="0" w:firstColumn="0" w:lastColumn="0" w:oddVBand="0" w:evenVBand="0" w:oddHBand="0" w:evenHBand="0" w:firstRowFirstColumn="0" w:firstRowLastColumn="0" w:lastRowFirstColumn="0" w:lastRowLastColumn="0"/>
              <w:rPr>
                <w:sz w:val="18"/>
              </w:rPr>
            </w:pPr>
          </w:p>
        </w:tc>
        <w:tc>
          <w:tcPr>
            <w:tcW w:w="316" w:type="pct"/>
          </w:tcPr>
          <w:p w:rsidR="0015554C" w:rsidRPr="00BA0FBF" w:rsidRDefault="0015554C" w:rsidP="008F24ED">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D1</w:t>
            </w:r>
          </w:p>
        </w:tc>
        <w:tc>
          <w:tcPr>
            <w:tcW w:w="316" w:type="pct"/>
          </w:tcPr>
          <w:p w:rsidR="0015554C" w:rsidRPr="00BA0FBF" w:rsidRDefault="0015554C" w:rsidP="008F24ED">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D2</w:t>
            </w:r>
          </w:p>
        </w:tc>
        <w:tc>
          <w:tcPr>
            <w:tcW w:w="316" w:type="pct"/>
          </w:tcPr>
          <w:p w:rsidR="0015554C" w:rsidRPr="00BA0FBF" w:rsidRDefault="0015554C" w:rsidP="008F24ED">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D3</w:t>
            </w:r>
          </w:p>
        </w:tc>
        <w:tc>
          <w:tcPr>
            <w:tcW w:w="316" w:type="pct"/>
          </w:tcPr>
          <w:p w:rsidR="0015554C" w:rsidRPr="00BA0FBF" w:rsidRDefault="0015554C" w:rsidP="008F24ED">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D4</w:t>
            </w:r>
          </w:p>
        </w:tc>
        <w:tc>
          <w:tcPr>
            <w:tcW w:w="316" w:type="pct"/>
          </w:tcPr>
          <w:p w:rsidR="0015554C" w:rsidRPr="00BA0FBF" w:rsidRDefault="0015554C" w:rsidP="008F24ED">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D5</w:t>
            </w:r>
          </w:p>
        </w:tc>
        <w:tc>
          <w:tcPr>
            <w:tcW w:w="370" w:type="pct"/>
          </w:tcPr>
          <w:p w:rsidR="0015554C" w:rsidRPr="00BA0FBF" w:rsidRDefault="0015554C" w:rsidP="008F24ED">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D6</w:t>
            </w:r>
          </w:p>
        </w:tc>
        <w:tc>
          <w:tcPr>
            <w:tcW w:w="370" w:type="pct"/>
          </w:tcPr>
          <w:p w:rsidR="0015554C" w:rsidRPr="00BA0FBF" w:rsidRDefault="0015554C" w:rsidP="008F24ED">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D7</w:t>
            </w:r>
          </w:p>
        </w:tc>
        <w:tc>
          <w:tcPr>
            <w:tcW w:w="370" w:type="pct"/>
          </w:tcPr>
          <w:p w:rsidR="0015554C" w:rsidRPr="00BA0FBF" w:rsidRDefault="0015554C" w:rsidP="008F24ED">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D8</w:t>
            </w:r>
          </w:p>
        </w:tc>
        <w:tc>
          <w:tcPr>
            <w:tcW w:w="370" w:type="pct"/>
          </w:tcPr>
          <w:p w:rsidR="0015554C" w:rsidRPr="00BA0FBF" w:rsidRDefault="0015554C" w:rsidP="008F24ED">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D9</w:t>
            </w:r>
          </w:p>
        </w:tc>
        <w:tc>
          <w:tcPr>
            <w:tcW w:w="370" w:type="pct"/>
          </w:tcPr>
          <w:p w:rsidR="0015554C" w:rsidRPr="00BA0FBF" w:rsidRDefault="0015554C" w:rsidP="008F24ED">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D10</w:t>
            </w:r>
          </w:p>
        </w:tc>
        <w:tc>
          <w:tcPr>
            <w:tcW w:w="370" w:type="pct"/>
          </w:tcPr>
          <w:p w:rsidR="0015554C" w:rsidRPr="00BA0FBF" w:rsidRDefault="0015554C" w:rsidP="008F24ED">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All</w:t>
            </w:r>
          </w:p>
        </w:tc>
      </w:tr>
      <w:tr w:rsidR="00CE3086" w:rsidRPr="00BA0FBF" w:rsidTr="00CE308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gridSpan w:val="13"/>
          </w:tcPr>
          <w:p w:rsidR="00CE3086" w:rsidRPr="00BA0FBF" w:rsidRDefault="00CE3086" w:rsidP="00CE3086">
            <w:pPr>
              <w:pStyle w:val="TableTextCentred"/>
              <w:keepNext/>
              <w:keepLines/>
              <w:jc w:val="left"/>
              <w:rPr>
                <w:sz w:val="18"/>
              </w:rPr>
            </w:pPr>
            <w:r w:rsidRPr="00BA0FBF">
              <w:rPr>
                <w:sz w:val="18"/>
              </w:rPr>
              <w:t>Household Saving Rate</w:t>
            </w:r>
          </w:p>
        </w:tc>
      </w:tr>
      <w:tr w:rsidR="0015554C" w:rsidRPr="00BA0FBF" w:rsidTr="00113A4E">
        <w:trPr>
          <w:cantSplit/>
        </w:trPr>
        <w:tc>
          <w:tcPr>
            <w:cnfStyle w:val="001000000000" w:firstRow="0" w:lastRow="0" w:firstColumn="1" w:lastColumn="0" w:oddVBand="0" w:evenVBand="0" w:oddHBand="0" w:evenHBand="0" w:firstRowFirstColumn="0" w:firstRowLastColumn="0" w:lastRowFirstColumn="0" w:lastRowLastColumn="0"/>
            <w:tcW w:w="936" w:type="pct"/>
          </w:tcPr>
          <w:p w:rsidR="0015554C" w:rsidRPr="00BA0FBF" w:rsidRDefault="0015554C" w:rsidP="00CE3086">
            <w:pPr>
              <w:pStyle w:val="TableText"/>
              <w:keepNext/>
              <w:keepLines/>
              <w:ind w:left="737"/>
              <w:rPr>
                <w:sz w:val="18"/>
              </w:rPr>
            </w:pPr>
            <w:r w:rsidRPr="00BA0FBF">
              <w:rPr>
                <w:sz w:val="18"/>
              </w:rPr>
              <w:t>Under 30 years</w:t>
            </w:r>
          </w:p>
        </w:tc>
        <w:tc>
          <w:tcPr>
            <w:tcW w:w="264" w:type="pct"/>
          </w:tcPr>
          <w:p w:rsidR="0015554C" w:rsidRPr="00BA0FBF" w:rsidRDefault="0015554C" w:rsidP="002A2619">
            <w:pPr>
              <w:pStyle w:val="TableTextCentred"/>
              <w:keepNext/>
              <w:keepLines/>
              <w:cnfStyle w:val="000000000000" w:firstRow="0" w:lastRow="0" w:firstColumn="0" w:lastColumn="0" w:oddVBand="0" w:evenVBand="0" w:oddHBand="0" w:evenHBand="0" w:firstRowFirstColumn="0" w:firstRowLastColumn="0" w:lastRowFirstColumn="0" w:lastRowLastColumn="0"/>
              <w:rPr>
                <w:sz w:val="18"/>
              </w:rPr>
            </w:pPr>
            <w:r w:rsidRPr="00BA0FBF">
              <w:rPr>
                <w:sz w:val="18"/>
              </w:rPr>
              <w:t>%</w:t>
            </w:r>
          </w:p>
        </w:tc>
        <w:tc>
          <w:tcPr>
            <w:tcW w:w="316" w:type="pct"/>
            <w:vAlign w:val="bottom"/>
          </w:tcPr>
          <w:p w:rsidR="0015554C" w:rsidRPr="00BA0FBF" w:rsidRDefault="0015554C" w:rsidP="002A2619">
            <w:pPr>
              <w:keepNext/>
              <w:keepLines/>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-115%</w:t>
            </w:r>
          </w:p>
        </w:tc>
        <w:tc>
          <w:tcPr>
            <w:tcW w:w="316" w:type="pct"/>
            <w:vAlign w:val="bottom"/>
          </w:tcPr>
          <w:p w:rsidR="0015554C" w:rsidRPr="00BA0FBF" w:rsidRDefault="0015554C" w:rsidP="002A2619">
            <w:pPr>
              <w:keepNext/>
              <w:keepLines/>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-22%</w:t>
            </w:r>
          </w:p>
        </w:tc>
        <w:tc>
          <w:tcPr>
            <w:tcW w:w="316" w:type="pct"/>
            <w:vAlign w:val="bottom"/>
          </w:tcPr>
          <w:p w:rsidR="0015554C" w:rsidRPr="00BA0FBF" w:rsidRDefault="0015554C" w:rsidP="002A2619">
            <w:pPr>
              <w:keepNext/>
              <w:keepLines/>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-42%</w:t>
            </w:r>
          </w:p>
        </w:tc>
        <w:tc>
          <w:tcPr>
            <w:tcW w:w="316" w:type="pct"/>
            <w:vAlign w:val="bottom"/>
          </w:tcPr>
          <w:p w:rsidR="0015554C" w:rsidRPr="00BA0FBF" w:rsidRDefault="0015554C" w:rsidP="002A2619">
            <w:pPr>
              <w:keepNext/>
              <w:keepLines/>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-4%</w:t>
            </w:r>
          </w:p>
        </w:tc>
        <w:tc>
          <w:tcPr>
            <w:tcW w:w="316" w:type="pct"/>
            <w:vAlign w:val="bottom"/>
          </w:tcPr>
          <w:p w:rsidR="0015554C" w:rsidRPr="00BA0FBF" w:rsidRDefault="0015554C" w:rsidP="002A2619">
            <w:pPr>
              <w:keepNext/>
              <w:keepLines/>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7%</w:t>
            </w:r>
          </w:p>
        </w:tc>
        <w:tc>
          <w:tcPr>
            <w:tcW w:w="370" w:type="pct"/>
            <w:vAlign w:val="bottom"/>
          </w:tcPr>
          <w:p w:rsidR="0015554C" w:rsidRPr="00BA0FBF" w:rsidRDefault="0015554C" w:rsidP="002A2619">
            <w:pPr>
              <w:keepNext/>
              <w:keepLines/>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6%</w:t>
            </w:r>
          </w:p>
        </w:tc>
        <w:tc>
          <w:tcPr>
            <w:tcW w:w="370" w:type="pct"/>
            <w:vAlign w:val="bottom"/>
          </w:tcPr>
          <w:p w:rsidR="0015554C" w:rsidRPr="00BA0FBF" w:rsidRDefault="0015554C" w:rsidP="002A2619">
            <w:pPr>
              <w:keepNext/>
              <w:keepLines/>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17%</w:t>
            </w:r>
          </w:p>
        </w:tc>
        <w:tc>
          <w:tcPr>
            <w:tcW w:w="370" w:type="pct"/>
            <w:vAlign w:val="bottom"/>
          </w:tcPr>
          <w:p w:rsidR="0015554C" w:rsidRPr="00BA0FBF" w:rsidRDefault="0015554C" w:rsidP="002A2619">
            <w:pPr>
              <w:keepNext/>
              <w:keepLines/>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17%</w:t>
            </w:r>
          </w:p>
        </w:tc>
        <w:tc>
          <w:tcPr>
            <w:tcW w:w="370" w:type="pct"/>
            <w:vAlign w:val="bottom"/>
          </w:tcPr>
          <w:p w:rsidR="0015554C" w:rsidRPr="00BA0FBF" w:rsidRDefault="0015554C" w:rsidP="002A2619">
            <w:pPr>
              <w:keepNext/>
              <w:keepLines/>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22%</w:t>
            </w:r>
          </w:p>
        </w:tc>
        <w:tc>
          <w:tcPr>
            <w:tcW w:w="370" w:type="pct"/>
            <w:vAlign w:val="bottom"/>
          </w:tcPr>
          <w:p w:rsidR="0015554C" w:rsidRPr="00BA0FBF" w:rsidRDefault="0015554C" w:rsidP="002A2619">
            <w:pPr>
              <w:keepNext/>
              <w:keepLines/>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35%</w:t>
            </w:r>
          </w:p>
        </w:tc>
        <w:tc>
          <w:tcPr>
            <w:tcW w:w="370" w:type="pct"/>
            <w:vAlign w:val="bottom"/>
          </w:tcPr>
          <w:p w:rsidR="0015554C" w:rsidRPr="00BA0FBF" w:rsidRDefault="0015554C" w:rsidP="002A2619">
            <w:pPr>
              <w:keepNext/>
              <w:keepLines/>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14%</w:t>
            </w:r>
          </w:p>
        </w:tc>
      </w:tr>
      <w:tr w:rsidR="0015554C" w:rsidRPr="00BA0FBF" w:rsidTr="00113A4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6" w:type="pct"/>
          </w:tcPr>
          <w:p w:rsidR="0015554C" w:rsidRPr="00BA0FBF" w:rsidRDefault="0015554C" w:rsidP="00CE3086">
            <w:pPr>
              <w:pStyle w:val="TableText"/>
              <w:keepNext/>
              <w:keepLines/>
              <w:ind w:left="737"/>
              <w:rPr>
                <w:sz w:val="18"/>
              </w:rPr>
            </w:pPr>
            <w:r w:rsidRPr="00BA0FBF">
              <w:rPr>
                <w:sz w:val="18"/>
              </w:rPr>
              <w:t>30 to 39 years</w:t>
            </w:r>
          </w:p>
        </w:tc>
        <w:tc>
          <w:tcPr>
            <w:tcW w:w="264" w:type="pct"/>
          </w:tcPr>
          <w:p w:rsidR="0015554C" w:rsidRPr="00BA0FBF" w:rsidRDefault="0015554C" w:rsidP="002A2619">
            <w:pPr>
              <w:pStyle w:val="TableTextCentred"/>
              <w:keepNext/>
              <w:keepLines/>
              <w:cnfStyle w:val="000000100000" w:firstRow="0" w:lastRow="0" w:firstColumn="0" w:lastColumn="0" w:oddVBand="0" w:evenVBand="0" w:oddHBand="1" w:evenHBand="0" w:firstRowFirstColumn="0" w:firstRowLastColumn="0" w:lastRowFirstColumn="0" w:lastRowLastColumn="0"/>
              <w:rPr>
                <w:sz w:val="18"/>
              </w:rPr>
            </w:pPr>
            <w:r w:rsidRPr="00BA0FBF">
              <w:rPr>
                <w:sz w:val="18"/>
              </w:rPr>
              <w:t>%</w:t>
            </w:r>
          </w:p>
        </w:tc>
        <w:tc>
          <w:tcPr>
            <w:tcW w:w="316" w:type="pct"/>
            <w:vAlign w:val="bottom"/>
          </w:tcPr>
          <w:p w:rsidR="0015554C" w:rsidRPr="00BA0FBF" w:rsidRDefault="0015554C" w:rsidP="002A2619">
            <w:pPr>
              <w:keepNext/>
              <w:keepLines/>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-173%</w:t>
            </w:r>
          </w:p>
        </w:tc>
        <w:tc>
          <w:tcPr>
            <w:tcW w:w="316" w:type="pct"/>
            <w:vAlign w:val="bottom"/>
          </w:tcPr>
          <w:p w:rsidR="0015554C" w:rsidRPr="00BA0FBF" w:rsidRDefault="0015554C" w:rsidP="002A2619">
            <w:pPr>
              <w:keepNext/>
              <w:keepLines/>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-34%</w:t>
            </w:r>
          </w:p>
        </w:tc>
        <w:tc>
          <w:tcPr>
            <w:tcW w:w="316" w:type="pct"/>
            <w:vAlign w:val="bottom"/>
          </w:tcPr>
          <w:p w:rsidR="0015554C" w:rsidRPr="00BA0FBF" w:rsidRDefault="0015554C" w:rsidP="002A2619">
            <w:pPr>
              <w:keepNext/>
              <w:keepLines/>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-16%</w:t>
            </w:r>
          </w:p>
        </w:tc>
        <w:tc>
          <w:tcPr>
            <w:tcW w:w="316" w:type="pct"/>
            <w:vAlign w:val="bottom"/>
          </w:tcPr>
          <w:p w:rsidR="0015554C" w:rsidRPr="00BA0FBF" w:rsidRDefault="0015554C" w:rsidP="002A2619">
            <w:pPr>
              <w:keepNext/>
              <w:keepLines/>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-6%</w:t>
            </w:r>
          </w:p>
        </w:tc>
        <w:tc>
          <w:tcPr>
            <w:tcW w:w="316" w:type="pct"/>
            <w:vAlign w:val="bottom"/>
          </w:tcPr>
          <w:p w:rsidR="0015554C" w:rsidRPr="00BA0FBF" w:rsidRDefault="0015554C" w:rsidP="002A2619">
            <w:pPr>
              <w:keepNext/>
              <w:keepLines/>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2%</w:t>
            </w:r>
          </w:p>
        </w:tc>
        <w:tc>
          <w:tcPr>
            <w:tcW w:w="370" w:type="pct"/>
            <w:vAlign w:val="bottom"/>
          </w:tcPr>
          <w:p w:rsidR="0015554C" w:rsidRPr="00BA0FBF" w:rsidRDefault="0015554C" w:rsidP="002A2619">
            <w:pPr>
              <w:keepNext/>
              <w:keepLines/>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3%</w:t>
            </w:r>
          </w:p>
        </w:tc>
        <w:tc>
          <w:tcPr>
            <w:tcW w:w="370" w:type="pct"/>
            <w:vAlign w:val="bottom"/>
          </w:tcPr>
          <w:p w:rsidR="0015554C" w:rsidRPr="00BA0FBF" w:rsidRDefault="0015554C" w:rsidP="002A2619">
            <w:pPr>
              <w:keepNext/>
              <w:keepLines/>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7%</w:t>
            </w:r>
          </w:p>
        </w:tc>
        <w:tc>
          <w:tcPr>
            <w:tcW w:w="370" w:type="pct"/>
            <w:vAlign w:val="bottom"/>
          </w:tcPr>
          <w:p w:rsidR="0015554C" w:rsidRPr="00BA0FBF" w:rsidRDefault="0015554C" w:rsidP="002A2619">
            <w:pPr>
              <w:keepNext/>
              <w:keepLines/>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10%</w:t>
            </w:r>
          </w:p>
        </w:tc>
        <w:tc>
          <w:tcPr>
            <w:tcW w:w="370" w:type="pct"/>
            <w:vAlign w:val="bottom"/>
          </w:tcPr>
          <w:p w:rsidR="0015554C" w:rsidRPr="00BA0FBF" w:rsidRDefault="0015554C" w:rsidP="002A2619">
            <w:pPr>
              <w:keepNext/>
              <w:keepLines/>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19%</w:t>
            </w:r>
          </w:p>
        </w:tc>
        <w:tc>
          <w:tcPr>
            <w:tcW w:w="370" w:type="pct"/>
            <w:vAlign w:val="bottom"/>
          </w:tcPr>
          <w:p w:rsidR="0015554C" w:rsidRPr="00BA0FBF" w:rsidRDefault="0015554C" w:rsidP="002A2619">
            <w:pPr>
              <w:keepNext/>
              <w:keepLines/>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32%</w:t>
            </w:r>
          </w:p>
        </w:tc>
        <w:tc>
          <w:tcPr>
            <w:tcW w:w="370" w:type="pct"/>
            <w:vAlign w:val="bottom"/>
          </w:tcPr>
          <w:p w:rsidR="0015554C" w:rsidRPr="00BA0FBF" w:rsidRDefault="0015554C" w:rsidP="002A2619">
            <w:pPr>
              <w:keepNext/>
              <w:keepLines/>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9%</w:t>
            </w:r>
          </w:p>
        </w:tc>
      </w:tr>
      <w:tr w:rsidR="0015554C" w:rsidRPr="00BA0FBF" w:rsidTr="00113A4E">
        <w:trPr>
          <w:cantSplit/>
        </w:trPr>
        <w:tc>
          <w:tcPr>
            <w:cnfStyle w:val="001000000000" w:firstRow="0" w:lastRow="0" w:firstColumn="1" w:lastColumn="0" w:oddVBand="0" w:evenVBand="0" w:oddHBand="0" w:evenHBand="0" w:firstRowFirstColumn="0" w:firstRowLastColumn="0" w:lastRowFirstColumn="0" w:lastRowLastColumn="0"/>
            <w:tcW w:w="936" w:type="pct"/>
          </w:tcPr>
          <w:p w:rsidR="0015554C" w:rsidRPr="00BA0FBF" w:rsidRDefault="0015554C" w:rsidP="00CE3086">
            <w:pPr>
              <w:pStyle w:val="TableText"/>
              <w:keepNext/>
              <w:keepLines/>
              <w:ind w:left="737"/>
              <w:rPr>
                <w:sz w:val="18"/>
              </w:rPr>
            </w:pPr>
            <w:r w:rsidRPr="00BA0FBF">
              <w:rPr>
                <w:sz w:val="18"/>
              </w:rPr>
              <w:t>40 to 54 years</w:t>
            </w:r>
          </w:p>
        </w:tc>
        <w:tc>
          <w:tcPr>
            <w:tcW w:w="264" w:type="pct"/>
          </w:tcPr>
          <w:p w:rsidR="0015554C" w:rsidRPr="00BA0FBF" w:rsidRDefault="0015554C" w:rsidP="002A2619">
            <w:pPr>
              <w:pStyle w:val="TableTextCentred"/>
              <w:keepNext/>
              <w:keepLines/>
              <w:cnfStyle w:val="000000000000" w:firstRow="0" w:lastRow="0" w:firstColumn="0" w:lastColumn="0" w:oddVBand="0" w:evenVBand="0" w:oddHBand="0" w:evenHBand="0" w:firstRowFirstColumn="0" w:firstRowLastColumn="0" w:lastRowFirstColumn="0" w:lastRowLastColumn="0"/>
              <w:rPr>
                <w:sz w:val="18"/>
              </w:rPr>
            </w:pPr>
            <w:r w:rsidRPr="00BA0FBF">
              <w:rPr>
                <w:sz w:val="18"/>
              </w:rPr>
              <w:t>%</w:t>
            </w:r>
          </w:p>
        </w:tc>
        <w:tc>
          <w:tcPr>
            <w:tcW w:w="316" w:type="pct"/>
            <w:vAlign w:val="bottom"/>
          </w:tcPr>
          <w:p w:rsidR="0015554C" w:rsidRPr="00BA0FBF" w:rsidRDefault="0015554C" w:rsidP="002A2619">
            <w:pPr>
              <w:keepNext/>
              <w:keepLines/>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-112%</w:t>
            </w:r>
          </w:p>
        </w:tc>
        <w:tc>
          <w:tcPr>
            <w:tcW w:w="316" w:type="pct"/>
            <w:vAlign w:val="bottom"/>
          </w:tcPr>
          <w:p w:rsidR="0015554C" w:rsidRPr="00BA0FBF" w:rsidRDefault="0015554C" w:rsidP="002A2619">
            <w:pPr>
              <w:keepNext/>
              <w:keepLines/>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-27%</w:t>
            </w:r>
          </w:p>
        </w:tc>
        <w:tc>
          <w:tcPr>
            <w:tcW w:w="316" w:type="pct"/>
            <w:vAlign w:val="bottom"/>
          </w:tcPr>
          <w:p w:rsidR="0015554C" w:rsidRPr="00BA0FBF" w:rsidRDefault="0015554C" w:rsidP="002A2619">
            <w:pPr>
              <w:keepNext/>
              <w:keepLines/>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-16%</w:t>
            </w:r>
          </w:p>
        </w:tc>
        <w:tc>
          <w:tcPr>
            <w:tcW w:w="316" w:type="pct"/>
            <w:vAlign w:val="bottom"/>
          </w:tcPr>
          <w:p w:rsidR="0015554C" w:rsidRPr="00BA0FBF" w:rsidRDefault="0015554C" w:rsidP="002A2619">
            <w:pPr>
              <w:keepNext/>
              <w:keepLines/>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-10%</w:t>
            </w:r>
          </w:p>
        </w:tc>
        <w:tc>
          <w:tcPr>
            <w:tcW w:w="316" w:type="pct"/>
            <w:vAlign w:val="bottom"/>
          </w:tcPr>
          <w:p w:rsidR="0015554C" w:rsidRPr="00BA0FBF" w:rsidRDefault="0015554C" w:rsidP="002A2619">
            <w:pPr>
              <w:keepNext/>
              <w:keepLines/>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6%</w:t>
            </w:r>
          </w:p>
        </w:tc>
        <w:tc>
          <w:tcPr>
            <w:tcW w:w="370" w:type="pct"/>
            <w:vAlign w:val="bottom"/>
          </w:tcPr>
          <w:p w:rsidR="0015554C" w:rsidRPr="00BA0FBF" w:rsidRDefault="0015554C" w:rsidP="002A2619">
            <w:pPr>
              <w:keepNext/>
              <w:keepLines/>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10%</w:t>
            </w:r>
          </w:p>
        </w:tc>
        <w:tc>
          <w:tcPr>
            <w:tcW w:w="370" w:type="pct"/>
            <w:vAlign w:val="bottom"/>
          </w:tcPr>
          <w:p w:rsidR="0015554C" w:rsidRPr="00BA0FBF" w:rsidRDefault="0015554C" w:rsidP="002A2619">
            <w:pPr>
              <w:keepNext/>
              <w:keepLines/>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12%</w:t>
            </w:r>
          </w:p>
        </w:tc>
        <w:tc>
          <w:tcPr>
            <w:tcW w:w="370" w:type="pct"/>
            <w:vAlign w:val="bottom"/>
          </w:tcPr>
          <w:p w:rsidR="0015554C" w:rsidRPr="00BA0FBF" w:rsidRDefault="0015554C" w:rsidP="002A2619">
            <w:pPr>
              <w:keepNext/>
              <w:keepLines/>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19%</w:t>
            </w:r>
          </w:p>
        </w:tc>
        <w:tc>
          <w:tcPr>
            <w:tcW w:w="370" w:type="pct"/>
            <w:vAlign w:val="bottom"/>
          </w:tcPr>
          <w:p w:rsidR="0015554C" w:rsidRPr="00BA0FBF" w:rsidRDefault="0015554C" w:rsidP="002A2619">
            <w:pPr>
              <w:keepNext/>
              <w:keepLines/>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17%</w:t>
            </w:r>
          </w:p>
        </w:tc>
        <w:tc>
          <w:tcPr>
            <w:tcW w:w="370" w:type="pct"/>
            <w:vAlign w:val="bottom"/>
          </w:tcPr>
          <w:p w:rsidR="0015554C" w:rsidRPr="00BA0FBF" w:rsidRDefault="0015554C" w:rsidP="002A2619">
            <w:pPr>
              <w:keepNext/>
              <w:keepLines/>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41%</w:t>
            </w:r>
          </w:p>
        </w:tc>
        <w:tc>
          <w:tcPr>
            <w:tcW w:w="370" w:type="pct"/>
            <w:vAlign w:val="bottom"/>
          </w:tcPr>
          <w:p w:rsidR="0015554C" w:rsidRPr="00BA0FBF" w:rsidRDefault="0015554C" w:rsidP="002A2619">
            <w:pPr>
              <w:keepNext/>
              <w:keepLines/>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15%</w:t>
            </w:r>
          </w:p>
        </w:tc>
      </w:tr>
      <w:tr w:rsidR="0015554C" w:rsidRPr="00BA0FBF" w:rsidTr="00113A4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6" w:type="pct"/>
          </w:tcPr>
          <w:p w:rsidR="0015554C" w:rsidRPr="00BA0FBF" w:rsidRDefault="0015554C" w:rsidP="00CE3086">
            <w:pPr>
              <w:pStyle w:val="TableText"/>
              <w:keepNext/>
              <w:keepLines/>
              <w:ind w:left="737"/>
              <w:rPr>
                <w:sz w:val="18"/>
              </w:rPr>
            </w:pPr>
            <w:r w:rsidRPr="00BA0FBF">
              <w:rPr>
                <w:sz w:val="18"/>
              </w:rPr>
              <w:t>54 to 64 years</w:t>
            </w:r>
          </w:p>
        </w:tc>
        <w:tc>
          <w:tcPr>
            <w:tcW w:w="264" w:type="pct"/>
          </w:tcPr>
          <w:p w:rsidR="0015554C" w:rsidRPr="00BA0FBF" w:rsidRDefault="0015554C" w:rsidP="002A2619">
            <w:pPr>
              <w:pStyle w:val="TableTextCentred"/>
              <w:keepNext/>
              <w:keepLines/>
              <w:cnfStyle w:val="000000100000" w:firstRow="0" w:lastRow="0" w:firstColumn="0" w:lastColumn="0" w:oddVBand="0" w:evenVBand="0" w:oddHBand="1" w:evenHBand="0" w:firstRowFirstColumn="0" w:firstRowLastColumn="0" w:lastRowFirstColumn="0" w:lastRowLastColumn="0"/>
              <w:rPr>
                <w:sz w:val="18"/>
              </w:rPr>
            </w:pPr>
            <w:r w:rsidRPr="00BA0FBF">
              <w:rPr>
                <w:sz w:val="18"/>
              </w:rPr>
              <w:t>%</w:t>
            </w:r>
          </w:p>
        </w:tc>
        <w:tc>
          <w:tcPr>
            <w:tcW w:w="316" w:type="pct"/>
            <w:vAlign w:val="bottom"/>
          </w:tcPr>
          <w:p w:rsidR="0015554C" w:rsidRPr="00BA0FBF" w:rsidRDefault="0015554C" w:rsidP="002A2619">
            <w:pPr>
              <w:keepNext/>
              <w:keepLines/>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-143%</w:t>
            </w:r>
          </w:p>
        </w:tc>
        <w:tc>
          <w:tcPr>
            <w:tcW w:w="316" w:type="pct"/>
            <w:vAlign w:val="bottom"/>
          </w:tcPr>
          <w:p w:rsidR="0015554C" w:rsidRPr="00BA0FBF" w:rsidRDefault="0015554C" w:rsidP="002A2619">
            <w:pPr>
              <w:keepNext/>
              <w:keepLines/>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-47%</w:t>
            </w:r>
          </w:p>
        </w:tc>
        <w:tc>
          <w:tcPr>
            <w:tcW w:w="316" w:type="pct"/>
            <w:vAlign w:val="bottom"/>
          </w:tcPr>
          <w:p w:rsidR="0015554C" w:rsidRPr="00BA0FBF" w:rsidRDefault="0015554C" w:rsidP="002A2619">
            <w:pPr>
              <w:keepNext/>
              <w:keepLines/>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-5%</w:t>
            </w:r>
          </w:p>
        </w:tc>
        <w:tc>
          <w:tcPr>
            <w:tcW w:w="316" w:type="pct"/>
            <w:vAlign w:val="bottom"/>
          </w:tcPr>
          <w:p w:rsidR="0015554C" w:rsidRPr="00BA0FBF" w:rsidRDefault="0015554C" w:rsidP="002A2619">
            <w:pPr>
              <w:keepNext/>
              <w:keepLines/>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-19%</w:t>
            </w:r>
          </w:p>
        </w:tc>
        <w:tc>
          <w:tcPr>
            <w:tcW w:w="316" w:type="pct"/>
            <w:vAlign w:val="bottom"/>
          </w:tcPr>
          <w:p w:rsidR="0015554C" w:rsidRPr="00BA0FBF" w:rsidRDefault="0015554C" w:rsidP="002A2619">
            <w:pPr>
              <w:keepNext/>
              <w:keepLines/>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-1%</w:t>
            </w:r>
          </w:p>
        </w:tc>
        <w:tc>
          <w:tcPr>
            <w:tcW w:w="370" w:type="pct"/>
            <w:vAlign w:val="bottom"/>
          </w:tcPr>
          <w:p w:rsidR="0015554C" w:rsidRPr="00BA0FBF" w:rsidRDefault="0015554C" w:rsidP="002A2619">
            <w:pPr>
              <w:keepNext/>
              <w:keepLines/>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7%</w:t>
            </w:r>
          </w:p>
        </w:tc>
        <w:tc>
          <w:tcPr>
            <w:tcW w:w="370" w:type="pct"/>
            <w:vAlign w:val="bottom"/>
          </w:tcPr>
          <w:p w:rsidR="0015554C" w:rsidRPr="00BA0FBF" w:rsidRDefault="0015554C" w:rsidP="002A2619">
            <w:pPr>
              <w:keepNext/>
              <w:keepLines/>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22%</w:t>
            </w:r>
          </w:p>
        </w:tc>
        <w:tc>
          <w:tcPr>
            <w:tcW w:w="370" w:type="pct"/>
            <w:vAlign w:val="bottom"/>
          </w:tcPr>
          <w:p w:rsidR="0015554C" w:rsidRPr="00BA0FBF" w:rsidRDefault="0015554C" w:rsidP="002A2619">
            <w:pPr>
              <w:keepNext/>
              <w:keepLines/>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27%</w:t>
            </w:r>
          </w:p>
        </w:tc>
        <w:tc>
          <w:tcPr>
            <w:tcW w:w="370" w:type="pct"/>
            <w:vAlign w:val="bottom"/>
          </w:tcPr>
          <w:p w:rsidR="0015554C" w:rsidRPr="00BA0FBF" w:rsidRDefault="0015554C" w:rsidP="002A2619">
            <w:pPr>
              <w:keepNext/>
              <w:keepLines/>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27%</w:t>
            </w:r>
          </w:p>
        </w:tc>
        <w:tc>
          <w:tcPr>
            <w:tcW w:w="370" w:type="pct"/>
            <w:vAlign w:val="bottom"/>
          </w:tcPr>
          <w:p w:rsidR="0015554C" w:rsidRPr="00BA0FBF" w:rsidRDefault="0015554C" w:rsidP="002A2619">
            <w:pPr>
              <w:keepNext/>
              <w:keepLines/>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39%</w:t>
            </w:r>
          </w:p>
        </w:tc>
        <w:tc>
          <w:tcPr>
            <w:tcW w:w="370" w:type="pct"/>
            <w:vAlign w:val="bottom"/>
          </w:tcPr>
          <w:p w:rsidR="0015554C" w:rsidRPr="00BA0FBF" w:rsidRDefault="0015554C" w:rsidP="002A2619">
            <w:pPr>
              <w:keepNext/>
              <w:keepLines/>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17%</w:t>
            </w:r>
          </w:p>
        </w:tc>
      </w:tr>
      <w:tr w:rsidR="0015554C" w:rsidRPr="00BA0FBF" w:rsidTr="00E81240">
        <w:trPr>
          <w:cantSplit/>
          <w:trHeight w:val="304"/>
        </w:trPr>
        <w:tc>
          <w:tcPr>
            <w:cnfStyle w:val="001000000000" w:firstRow="0" w:lastRow="0" w:firstColumn="1" w:lastColumn="0" w:oddVBand="0" w:evenVBand="0" w:oddHBand="0" w:evenHBand="0" w:firstRowFirstColumn="0" w:firstRowLastColumn="0" w:lastRowFirstColumn="0" w:lastRowLastColumn="0"/>
            <w:tcW w:w="936" w:type="pct"/>
          </w:tcPr>
          <w:p w:rsidR="0015554C" w:rsidRPr="00BA0FBF" w:rsidRDefault="0015554C" w:rsidP="00CE3086">
            <w:pPr>
              <w:pStyle w:val="TableText"/>
              <w:keepNext/>
              <w:keepLines/>
              <w:ind w:left="737"/>
              <w:rPr>
                <w:sz w:val="18"/>
              </w:rPr>
            </w:pPr>
            <w:r w:rsidRPr="00BA0FBF">
              <w:rPr>
                <w:sz w:val="18"/>
              </w:rPr>
              <w:t>65 + years</w:t>
            </w:r>
          </w:p>
        </w:tc>
        <w:tc>
          <w:tcPr>
            <w:tcW w:w="264" w:type="pct"/>
          </w:tcPr>
          <w:p w:rsidR="0015554C" w:rsidRPr="00BA0FBF" w:rsidRDefault="0015554C" w:rsidP="002A2619">
            <w:pPr>
              <w:pStyle w:val="TableTextCentred"/>
              <w:keepNext/>
              <w:keepLines/>
              <w:cnfStyle w:val="000000000000" w:firstRow="0" w:lastRow="0" w:firstColumn="0" w:lastColumn="0" w:oddVBand="0" w:evenVBand="0" w:oddHBand="0" w:evenHBand="0" w:firstRowFirstColumn="0" w:firstRowLastColumn="0" w:lastRowFirstColumn="0" w:lastRowLastColumn="0"/>
              <w:rPr>
                <w:sz w:val="18"/>
              </w:rPr>
            </w:pPr>
          </w:p>
        </w:tc>
        <w:tc>
          <w:tcPr>
            <w:tcW w:w="316" w:type="pct"/>
            <w:vAlign w:val="bottom"/>
          </w:tcPr>
          <w:p w:rsidR="0015554C" w:rsidRPr="00BA0FBF" w:rsidRDefault="0015554C" w:rsidP="002A2619">
            <w:pPr>
              <w:keepNext/>
              <w:keepLines/>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-57%</w:t>
            </w:r>
          </w:p>
        </w:tc>
        <w:tc>
          <w:tcPr>
            <w:tcW w:w="316" w:type="pct"/>
            <w:vAlign w:val="bottom"/>
          </w:tcPr>
          <w:p w:rsidR="0015554C" w:rsidRPr="00BA0FBF" w:rsidRDefault="0015554C" w:rsidP="002A2619">
            <w:pPr>
              <w:keepNext/>
              <w:keepLines/>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-5%</w:t>
            </w:r>
          </w:p>
        </w:tc>
        <w:tc>
          <w:tcPr>
            <w:tcW w:w="316" w:type="pct"/>
            <w:vAlign w:val="bottom"/>
          </w:tcPr>
          <w:p w:rsidR="0015554C" w:rsidRPr="00BA0FBF" w:rsidRDefault="0015554C" w:rsidP="002A2619">
            <w:pPr>
              <w:keepNext/>
              <w:keepLines/>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6%</w:t>
            </w:r>
          </w:p>
        </w:tc>
        <w:tc>
          <w:tcPr>
            <w:tcW w:w="316" w:type="pct"/>
            <w:vAlign w:val="bottom"/>
          </w:tcPr>
          <w:p w:rsidR="0015554C" w:rsidRPr="00BA0FBF" w:rsidRDefault="0015554C" w:rsidP="002A2619">
            <w:pPr>
              <w:keepNext/>
              <w:keepLines/>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-4%</w:t>
            </w:r>
          </w:p>
        </w:tc>
        <w:tc>
          <w:tcPr>
            <w:tcW w:w="316" w:type="pct"/>
            <w:vAlign w:val="bottom"/>
          </w:tcPr>
          <w:p w:rsidR="0015554C" w:rsidRPr="00BA0FBF" w:rsidRDefault="0015554C" w:rsidP="002A2619">
            <w:pPr>
              <w:keepNext/>
              <w:keepLines/>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6%</w:t>
            </w:r>
          </w:p>
        </w:tc>
        <w:tc>
          <w:tcPr>
            <w:tcW w:w="370" w:type="pct"/>
            <w:vAlign w:val="bottom"/>
          </w:tcPr>
          <w:p w:rsidR="0015554C" w:rsidRPr="00BA0FBF" w:rsidRDefault="0015554C" w:rsidP="002A2619">
            <w:pPr>
              <w:keepNext/>
              <w:keepLines/>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19%</w:t>
            </w:r>
          </w:p>
        </w:tc>
        <w:tc>
          <w:tcPr>
            <w:tcW w:w="370" w:type="pct"/>
            <w:vAlign w:val="bottom"/>
          </w:tcPr>
          <w:p w:rsidR="0015554C" w:rsidRPr="00BA0FBF" w:rsidRDefault="0015554C" w:rsidP="002A2619">
            <w:pPr>
              <w:keepNext/>
              <w:keepLines/>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17%</w:t>
            </w:r>
          </w:p>
        </w:tc>
        <w:tc>
          <w:tcPr>
            <w:tcW w:w="370" w:type="pct"/>
            <w:vAlign w:val="bottom"/>
          </w:tcPr>
          <w:p w:rsidR="0015554C" w:rsidRPr="00BA0FBF" w:rsidRDefault="0015554C" w:rsidP="002A2619">
            <w:pPr>
              <w:keepNext/>
              <w:keepLines/>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-2%</w:t>
            </w:r>
          </w:p>
        </w:tc>
        <w:tc>
          <w:tcPr>
            <w:tcW w:w="370" w:type="pct"/>
            <w:vAlign w:val="bottom"/>
          </w:tcPr>
          <w:p w:rsidR="0015554C" w:rsidRPr="00BA0FBF" w:rsidRDefault="0015554C" w:rsidP="002A2619">
            <w:pPr>
              <w:keepNext/>
              <w:keepLines/>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33%</w:t>
            </w:r>
          </w:p>
        </w:tc>
        <w:tc>
          <w:tcPr>
            <w:tcW w:w="370" w:type="pct"/>
            <w:vAlign w:val="bottom"/>
          </w:tcPr>
          <w:p w:rsidR="0015554C" w:rsidRPr="00BA0FBF" w:rsidRDefault="0015554C" w:rsidP="002A2619">
            <w:pPr>
              <w:keepNext/>
              <w:keepLines/>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43%</w:t>
            </w:r>
          </w:p>
        </w:tc>
        <w:tc>
          <w:tcPr>
            <w:tcW w:w="370" w:type="pct"/>
            <w:vAlign w:val="bottom"/>
          </w:tcPr>
          <w:p w:rsidR="0015554C" w:rsidRPr="00BA0FBF" w:rsidRDefault="0015554C" w:rsidP="002A2619">
            <w:pPr>
              <w:keepNext/>
              <w:keepLines/>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9%</w:t>
            </w:r>
          </w:p>
        </w:tc>
      </w:tr>
      <w:tr w:rsidR="00CE3086" w:rsidRPr="00BA0FBF" w:rsidTr="00CE3086">
        <w:trPr>
          <w:cnfStyle w:val="000000100000" w:firstRow="0" w:lastRow="0" w:firstColumn="0" w:lastColumn="0" w:oddVBand="0" w:evenVBand="0" w:oddHBand="1" w:evenHBand="0" w:firstRowFirstColumn="0" w:firstRowLastColumn="0" w:lastRowFirstColumn="0" w:lastRowLastColumn="0"/>
          <w:cantSplit/>
          <w:trHeight w:hRule="exact" w:val="283"/>
        </w:trPr>
        <w:tc>
          <w:tcPr>
            <w:cnfStyle w:val="001000000000" w:firstRow="0" w:lastRow="0" w:firstColumn="1" w:lastColumn="0" w:oddVBand="0" w:evenVBand="0" w:oddHBand="0" w:evenHBand="0" w:firstRowFirstColumn="0" w:firstRowLastColumn="0" w:lastRowFirstColumn="0" w:lastRowLastColumn="0"/>
            <w:tcW w:w="5000" w:type="pct"/>
            <w:gridSpan w:val="13"/>
          </w:tcPr>
          <w:p w:rsidR="00CE3086" w:rsidRPr="00BA0FBF" w:rsidRDefault="00CE3086" w:rsidP="00CE3086">
            <w:pPr>
              <w:pStyle w:val="TableTextCentred"/>
              <w:keepNext/>
              <w:keepLines/>
              <w:spacing w:before="0" w:after="0"/>
              <w:jc w:val="left"/>
              <w:rPr>
                <w:sz w:val="18"/>
              </w:rPr>
            </w:pPr>
          </w:p>
        </w:tc>
      </w:tr>
      <w:tr w:rsidR="00C74001" w:rsidRPr="00BA0FBF" w:rsidTr="00C74001">
        <w:trPr>
          <w:cantSplit/>
        </w:trPr>
        <w:tc>
          <w:tcPr>
            <w:cnfStyle w:val="001000000000" w:firstRow="0" w:lastRow="0" w:firstColumn="1" w:lastColumn="0" w:oddVBand="0" w:evenVBand="0" w:oddHBand="0" w:evenHBand="0" w:firstRowFirstColumn="0" w:firstRowLastColumn="0" w:lastRowFirstColumn="0" w:lastRowLastColumn="0"/>
            <w:tcW w:w="5000" w:type="pct"/>
            <w:gridSpan w:val="13"/>
          </w:tcPr>
          <w:p w:rsidR="00C74001" w:rsidRPr="00BA0FBF" w:rsidRDefault="00C74001" w:rsidP="00C74001">
            <w:pPr>
              <w:keepNext/>
              <w:keepLines/>
              <w:rPr>
                <w:rFonts w:ascii="Calibri" w:hAnsi="Calibri"/>
                <w:color w:val="000000"/>
              </w:rPr>
            </w:pPr>
            <w:r w:rsidRPr="00BA0FBF">
              <w:rPr>
                <w:sz w:val="18"/>
              </w:rPr>
              <w:t>Household Net Worth</w:t>
            </w:r>
          </w:p>
        </w:tc>
      </w:tr>
      <w:tr w:rsidR="0015554C" w:rsidRPr="00BA0FBF" w:rsidTr="00113A4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6" w:type="pct"/>
          </w:tcPr>
          <w:p w:rsidR="0015554C" w:rsidRPr="00BA0FBF" w:rsidRDefault="0015554C" w:rsidP="00CE3086">
            <w:pPr>
              <w:pStyle w:val="TableText"/>
              <w:keepNext/>
              <w:keepLines/>
              <w:ind w:left="737"/>
              <w:rPr>
                <w:sz w:val="18"/>
              </w:rPr>
            </w:pPr>
            <w:r w:rsidRPr="00BA0FBF">
              <w:rPr>
                <w:sz w:val="18"/>
              </w:rPr>
              <w:t>Under 30 years</w:t>
            </w:r>
          </w:p>
        </w:tc>
        <w:tc>
          <w:tcPr>
            <w:tcW w:w="264" w:type="pct"/>
          </w:tcPr>
          <w:p w:rsidR="0015554C" w:rsidRPr="00BA0FBF" w:rsidRDefault="0015554C" w:rsidP="002A2619">
            <w:pPr>
              <w:pStyle w:val="TableTextCentred"/>
              <w:keepNext/>
              <w:keepLines/>
              <w:cnfStyle w:val="000000100000" w:firstRow="0" w:lastRow="0" w:firstColumn="0" w:lastColumn="0" w:oddVBand="0" w:evenVBand="0" w:oddHBand="1" w:evenHBand="0" w:firstRowFirstColumn="0" w:firstRowLastColumn="0" w:lastRowFirstColumn="0" w:lastRowLastColumn="0"/>
              <w:rPr>
                <w:sz w:val="18"/>
              </w:rPr>
            </w:pPr>
            <w:r w:rsidRPr="00BA0FBF">
              <w:rPr>
                <w:sz w:val="18"/>
              </w:rPr>
              <w:t>$</w:t>
            </w:r>
          </w:p>
        </w:tc>
        <w:tc>
          <w:tcPr>
            <w:tcW w:w="316" w:type="pct"/>
            <w:vAlign w:val="bottom"/>
          </w:tcPr>
          <w:p w:rsidR="0015554C" w:rsidRPr="00BA0FBF" w:rsidRDefault="0015554C" w:rsidP="002A2619">
            <w:pPr>
              <w:keepNext/>
              <w:keepLines/>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20"/>
              </w:rPr>
            </w:pPr>
            <w:r w:rsidRPr="00BA0FBF">
              <w:rPr>
                <w:rFonts w:cs="Arial"/>
                <w:color w:val="000000"/>
                <w:sz w:val="18"/>
                <w:szCs w:val="20"/>
              </w:rPr>
              <w:t>138,368</w:t>
            </w:r>
          </w:p>
        </w:tc>
        <w:tc>
          <w:tcPr>
            <w:tcW w:w="316" w:type="pct"/>
            <w:vAlign w:val="bottom"/>
          </w:tcPr>
          <w:p w:rsidR="0015554C" w:rsidRPr="00BA0FBF" w:rsidRDefault="0015554C" w:rsidP="002A2619">
            <w:pPr>
              <w:keepNext/>
              <w:keepLines/>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20"/>
              </w:rPr>
            </w:pPr>
            <w:r w:rsidRPr="00BA0FBF">
              <w:rPr>
                <w:rFonts w:cs="Arial"/>
                <w:color w:val="000000"/>
                <w:sz w:val="18"/>
                <w:szCs w:val="20"/>
              </w:rPr>
              <w:t>49,506</w:t>
            </w:r>
          </w:p>
        </w:tc>
        <w:tc>
          <w:tcPr>
            <w:tcW w:w="316" w:type="pct"/>
            <w:vAlign w:val="bottom"/>
          </w:tcPr>
          <w:p w:rsidR="0015554C" w:rsidRPr="00BA0FBF" w:rsidRDefault="0015554C" w:rsidP="002A2619">
            <w:pPr>
              <w:keepNext/>
              <w:keepLines/>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20"/>
              </w:rPr>
            </w:pPr>
            <w:r w:rsidRPr="00BA0FBF">
              <w:rPr>
                <w:rFonts w:cs="Arial"/>
                <w:color w:val="000000"/>
                <w:sz w:val="18"/>
                <w:szCs w:val="20"/>
              </w:rPr>
              <w:t>90,349</w:t>
            </w:r>
          </w:p>
        </w:tc>
        <w:tc>
          <w:tcPr>
            <w:tcW w:w="316" w:type="pct"/>
            <w:vAlign w:val="bottom"/>
          </w:tcPr>
          <w:p w:rsidR="0015554C" w:rsidRPr="00BA0FBF" w:rsidRDefault="0015554C" w:rsidP="002A2619">
            <w:pPr>
              <w:keepNext/>
              <w:keepLines/>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20"/>
              </w:rPr>
            </w:pPr>
            <w:r w:rsidRPr="00BA0FBF">
              <w:rPr>
                <w:rFonts w:cs="Arial"/>
                <w:color w:val="000000"/>
                <w:sz w:val="18"/>
                <w:szCs w:val="20"/>
              </w:rPr>
              <w:t>111,742</w:t>
            </w:r>
          </w:p>
        </w:tc>
        <w:tc>
          <w:tcPr>
            <w:tcW w:w="316" w:type="pct"/>
            <w:vAlign w:val="bottom"/>
          </w:tcPr>
          <w:p w:rsidR="0015554C" w:rsidRPr="00BA0FBF" w:rsidRDefault="0015554C" w:rsidP="002A2619">
            <w:pPr>
              <w:keepNext/>
              <w:keepLines/>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20"/>
              </w:rPr>
            </w:pPr>
            <w:r w:rsidRPr="00BA0FBF">
              <w:rPr>
                <w:rFonts w:cs="Arial"/>
                <w:color w:val="000000"/>
                <w:sz w:val="18"/>
                <w:szCs w:val="20"/>
              </w:rPr>
              <w:t>86,478</w:t>
            </w:r>
          </w:p>
        </w:tc>
        <w:tc>
          <w:tcPr>
            <w:tcW w:w="370" w:type="pct"/>
            <w:vAlign w:val="bottom"/>
          </w:tcPr>
          <w:p w:rsidR="0015554C" w:rsidRPr="00BA0FBF" w:rsidRDefault="0015554C" w:rsidP="002A2619">
            <w:pPr>
              <w:keepNext/>
              <w:keepLines/>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20"/>
              </w:rPr>
            </w:pPr>
            <w:r w:rsidRPr="00BA0FBF">
              <w:rPr>
                <w:rFonts w:cs="Arial"/>
                <w:color w:val="000000"/>
                <w:sz w:val="18"/>
                <w:szCs w:val="20"/>
              </w:rPr>
              <w:t>154,901</w:t>
            </w:r>
          </w:p>
        </w:tc>
        <w:tc>
          <w:tcPr>
            <w:tcW w:w="370" w:type="pct"/>
            <w:vAlign w:val="bottom"/>
          </w:tcPr>
          <w:p w:rsidR="0015554C" w:rsidRPr="00BA0FBF" w:rsidRDefault="0015554C" w:rsidP="002A2619">
            <w:pPr>
              <w:keepNext/>
              <w:keepLines/>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20"/>
              </w:rPr>
            </w:pPr>
            <w:r w:rsidRPr="00BA0FBF">
              <w:rPr>
                <w:rFonts w:cs="Arial"/>
                <w:color w:val="000000"/>
                <w:sz w:val="18"/>
                <w:szCs w:val="20"/>
              </w:rPr>
              <w:t>140,835</w:t>
            </w:r>
          </w:p>
        </w:tc>
        <w:tc>
          <w:tcPr>
            <w:tcW w:w="370" w:type="pct"/>
            <w:vAlign w:val="bottom"/>
          </w:tcPr>
          <w:p w:rsidR="0015554C" w:rsidRPr="00BA0FBF" w:rsidRDefault="0015554C" w:rsidP="002A2619">
            <w:pPr>
              <w:keepNext/>
              <w:keepLines/>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20"/>
              </w:rPr>
            </w:pPr>
            <w:r w:rsidRPr="00BA0FBF">
              <w:rPr>
                <w:rFonts w:cs="Arial"/>
                <w:color w:val="000000"/>
                <w:sz w:val="18"/>
                <w:szCs w:val="20"/>
              </w:rPr>
              <w:t>155,602</w:t>
            </w:r>
          </w:p>
        </w:tc>
        <w:tc>
          <w:tcPr>
            <w:tcW w:w="370" w:type="pct"/>
            <w:vAlign w:val="bottom"/>
          </w:tcPr>
          <w:p w:rsidR="0015554C" w:rsidRPr="00BA0FBF" w:rsidRDefault="0015554C" w:rsidP="002A2619">
            <w:pPr>
              <w:keepNext/>
              <w:keepLines/>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20"/>
              </w:rPr>
            </w:pPr>
            <w:r w:rsidRPr="00BA0FBF">
              <w:rPr>
                <w:rFonts w:cs="Arial"/>
                <w:color w:val="000000"/>
                <w:sz w:val="18"/>
                <w:szCs w:val="20"/>
              </w:rPr>
              <w:t>199,322</w:t>
            </w:r>
          </w:p>
        </w:tc>
        <w:tc>
          <w:tcPr>
            <w:tcW w:w="370" w:type="pct"/>
            <w:vAlign w:val="bottom"/>
          </w:tcPr>
          <w:p w:rsidR="0015554C" w:rsidRPr="00BA0FBF" w:rsidRDefault="0015554C" w:rsidP="002A2619">
            <w:pPr>
              <w:keepNext/>
              <w:keepLines/>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20"/>
              </w:rPr>
            </w:pPr>
            <w:r w:rsidRPr="00BA0FBF">
              <w:rPr>
                <w:rFonts w:cs="Arial"/>
                <w:color w:val="000000"/>
                <w:sz w:val="18"/>
                <w:szCs w:val="20"/>
              </w:rPr>
              <w:t>442,284</w:t>
            </w:r>
          </w:p>
        </w:tc>
        <w:tc>
          <w:tcPr>
            <w:tcW w:w="370" w:type="pct"/>
            <w:vAlign w:val="bottom"/>
          </w:tcPr>
          <w:p w:rsidR="0015554C" w:rsidRPr="00BA0FBF" w:rsidRDefault="0015554C" w:rsidP="002A2619">
            <w:pPr>
              <w:keepNext/>
              <w:keepLines/>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20"/>
              </w:rPr>
            </w:pPr>
            <w:r w:rsidRPr="00BA0FBF">
              <w:rPr>
                <w:rFonts w:cs="Arial"/>
                <w:color w:val="000000"/>
                <w:sz w:val="18"/>
                <w:szCs w:val="20"/>
              </w:rPr>
              <w:t>169,712</w:t>
            </w:r>
          </w:p>
        </w:tc>
      </w:tr>
      <w:tr w:rsidR="0015554C" w:rsidRPr="00BA0FBF" w:rsidTr="00113A4E">
        <w:trPr>
          <w:cantSplit/>
        </w:trPr>
        <w:tc>
          <w:tcPr>
            <w:cnfStyle w:val="001000000000" w:firstRow="0" w:lastRow="0" w:firstColumn="1" w:lastColumn="0" w:oddVBand="0" w:evenVBand="0" w:oddHBand="0" w:evenHBand="0" w:firstRowFirstColumn="0" w:firstRowLastColumn="0" w:lastRowFirstColumn="0" w:lastRowLastColumn="0"/>
            <w:tcW w:w="936" w:type="pct"/>
          </w:tcPr>
          <w:p w:rsidR="0015554C" w:rsidRPr="00BA0FBF" w:rsidRDefault="0015554C" w:rsidP="00CE3086">
            <w:pPr>
              <w:pStyle w:val="TableText"/>
              <w:keepNext/>
              <w:keepLines/>
              <w:ind w:left="737"/>
              <w:rPr>
                <w:sz w:val="18"/>
              </w:rPr>
            </w:pPr>
            <w:r w:rsidRPr="00BA0FBF">
              <w:rPr>
                <w:sz w:val="18"/>
              </w:rPr>
              <w:t>30 to 39 years</w:t>
            </w:r>
          </w:p>
        </w:tc>
        <w:tc>
          <w:tcPr>
            <w:tcW w:w="264" w:type="pct"/>
          </w:tcPr>
          <w:p w:rsidR="0015554C" w:rsidRPr="00BA0FBF" w:rsidRDefault="0015554C" w:rsidP="002A2619">
            <w:pPr>
              <w:pStyle w:val="TableTextCentred"/>
              <w:keepNext/>
              <w:keepLines/>
              <w:cnfStyle w:val="000000000000" w:firstRow="0" w:lastRow="0" w:firstColumn="0" w:lastColumn="0" w:oddVBand="0" w:evenVBand="0" w:oddHBand="0" w:evenHBand="0" w:firstRowFirstColumn="0" w:firstRowLastColumn="0" w:lastRowFirstColumn="0" w:lastRowLastColumn="0"/>
              <w:rPr>
                <w:sz w:val="18"/>
              </w:rPr>
            </w:pPr>
            <w:r w:rsidRPr="00BA0FBF">
              <w:rPr>
                <w:sz w:val="18"/>
              </w:rPr>
              <w:t>$</w:t>
            </w:r>
          </w:p>
        </w:tc>
        <w:tc>
          <w:tcPr>
            <w:tcW w:w="316" w:type="pct"/>
            <w:vAlign w:val="bottom"/>
          </w:tcPr>
          <w:p w:rsidR="0015554C" w:rsidRPr="00BA0FBF" w:rsidRDefault="0015554C" w:rsidP="002A2619">
            <w:pPr>
              <w:keepNext/>
              <w:keepLines/>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291,954</w:t>
            </w:r>
          </w:p>
        </w:tc>
        <w:tc>
          <w:tcPr>
            <w:tcW w:w="316" w:type="pct"/>
            <w:vAlign w:val="bottom"/>
          </w:tcPr>
          <w:p w:rsidR="0015554C" w:rsidRPr="00BA0FBF" w:rsidRDefault="0015554C" w:rsidP="002A2619">
            <w:pPr>
              <w:keepNext/>
              <w:keepLines/>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140,371</w:t>
            </w:r>
          </w:p>
        </w:tc>
        <w:tc>
          <w:tcPr>
            <w:tcW w:w="316" w:type="pct"/>
            <w:vAlign w:val="bottom"/>
          </w:tcPr>
          <w:p w:rsidR="0015554C" w:rsidRPr="00BA0FBF" w:rsidRDefault="0015554C" w:rsidP="002A2619">
            <w:pPr>
              <w:keepNext/>
              <w:keepLines/>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249,114</w:t>
            </w:r>
          </w:p>
        </w:tc>
        <w:tc>
          <w:tcPr>
            <w:tcW w:w="316" w:type="pct"/>
            <w:vAlign w:val="bottom"/>
          </w:tcPr>
          <w:p w:rsidR="0015554C" w:rsidRPr="00BA0FBF" w:rsidRDefault="0015554C" w:rsidP="002A2619">
            <w:pPr>
              <w:keepNext/>
              <w:keepLines/>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260,309</w:t>
            </w:r>
          </w:p>
        </w:tc>
        <w:tc>
          <w:tcPr>
            <w:tcW w:w="316" w:type="pct"/>
            <w:vAlign w:val="bottom"/>
          </w:tcPr>
          <w:p w:rsidR="0015554C" w:rsidRPr="00BA0FBF" w:rsidRDefault="0015554C" w:rsidP="002A2619">
            <w:pPr>
              <w:keepNext/>
              <w:keepLines/>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261,367</w:t>
            </w:r>
          </w:p>
        </w:tc>
        <w:tc>
          <w:tcPr>
            <w:tcW w:w="370" w:type="pct"/>
            <w:vAlign w:val="bottom"/>
          </w:tcPr>
          <w:p w:rsidR="0015554C" w:rsidRPr="00BA0FBF" w:rsidRDefault="0015554C" w:rsidP="002A2619">
            <w:pPr>
              <w:keepNext/>
              <w:keepLines/>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315,504</w:t>
            </w:r>
          </w:p>
        </w:tc>
        <w:tc>
          <w:tcPr>
            <w:tcW w:w="370" w:type="pct"/>
            <w:vAlign w:val="bottom"/>
          </w:tcPr>
          <w:p w:rsidR="0015554C" w:rsidRPr="00BA0FBF" w:rsidRDefault="0015554C" w:rsidP="002A2619">
            <w:pPr>
              <w:keepNext/>
              <w:keepLines/>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386,779</w:t>
            </w:r>
          </w:p>
        </w:tc>
        <w:tc>
          <w:tcPr>
            <w:tcW w:w="370" w:type="pct"/>
            <w:vAlign w:val="bottom"/>
          </w:tcPr>
          <w:p w:rsidR="0015554C" w:rsidRPr="00BA0FBF" w:rsidRDefault="0015554C" w:rsidP="002A2619">
            <w:pPr>
              <w:keepNext/>
              <w:keepLines/>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394,226</w:t>
            </w:r>
          </w:p>
        </w:tc>
        <w:tc>
          <w:tcPr>
            <w:tcW w:w="370" w:type="pct"/>
            <w:vAlign w:val="bottom"/>
          </w:tcPr>
          <w:p w:rsidR="0015554C" w:rsidRPr="00BA0FBF" w:rsidRDefault="0015554C" w:rsidP="002A2619">
            <w:pPr>
              <w:keepNext/>
              <w:keepLines/>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480,273</w:t>
            </w:r>
          </w:p>
        </w:tc>
        <w:tc>
          <w:tcPr>
            <w:tcW w:w="370" w:type="pct"/>
            <w:vAlign w:val="bottom"/>
          </w:tcPr>
          <w:p w:rsidR="0015554C" w:rsidRPr="00BA0FBF" w:rsidRDefault="0015554C" w:rsidP="002A2619">
            <w:pPr>
              <w:keepNext/>
              <w:keepLines/>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747,966</w:t>
            </w:r>
          </w:p>
        </w:tc>
        <w:tc>
          <w:tcPr>
            <w:tcW w:w="370" w:type="pct"/>
            <w:vAlign w:val="bottom"/>
          </w:tcPr>
          <w:p w:rsidR="0015554C" w:rsidRPr="00BA0FBF" w:rsidRDefault="0015554C" w:rsidP="002A2619">
            <w:pPr>
              <w:keepNext/>
              <w:keepLines/>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384,583</w:t>
            </w:r>
          </w:p>
        </w:tc>
      </w:tr>
      <w:tr w:rsidR="0015554C" w:rsidRPr="00BA0FBF" w:rsidTr="00113A4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6" w:type="pct"/>
          </w:tcPr>
          <w:p w:rsidR="0015554C" w:rsidRPr="00BA0FBF" w:rsidRDefault="0015554C" w:rsidP="00CE3086">
            <w:pPr>
              <w:pStyle w:val="TableText"/>
              <w:keepNext/>
              <w:keepLines/>
              <w:ind w:left="737"/>
              <w:rPr>
                <w:sz w:val="18"/>
              </w:rPr>
            </w:pPr>
            <w:r w:rsidRPr="00BA0FBF">
              <w:rPr>
                <w:sz w:val="18"/>
              </w:rPr>
              <w:t>40 to 54 years</w:t>
            </w:r>
          </w:p>
        </w:tc>
        <w:tc>
          <w:tcPr>
            <w:tcW w:w="264" w:type="pct"/>
          </w:tcPr>
          <w:p w:rsidR="0015554C" w:rsidRPr="00BA0FBF" w:rsidRDefault="0015554C" w:rsidP="002A2619">
            <w:pPr>
              <w:pStyle w:val="TableTextCentred"/>
              <w:keepNext/>
              <w:keepLines/>
              <w:cnfStyle w:val="000000100000" w:firstRow="0" w:lastRow="0" w:firstColumn="0" w:lastColumn="0" w:oddVBand="0" w:evenVBand="0" w:oddHBand="1" w:evenHBand="0" w:firstRowFirstColumn="0" w:firstRowLastColumn="0" w:lastRowFirstColumn="0" w:lastRowLastColumn="0"/>
              <w:rPr>
                <w:sz w:val="18"/>
              </w:rPr>
            </w:pPr>
            <w:r w:rsidRPr="00BA0FBF">
              <w:rPr>
                <w:sz w:val="18"/>
              </w:rPr>
              <w:t>$</w:t>
            </w:r>
          </w:p>
        </w:tc>
        <w:tc>
          <w:tcPr>
            <w:tcW w:w="316" w:type="pct"/>
            <w:vAlign w:val="bottom"/>
          </w:tcPr>
          <w:p w:rsidR="0015554C" w:rsidRPr="00BA0FBF" w:rsidRDefault="0015554C" w:rsidP="002A2619">
            <w:pPr>
              <w:keepNext/>
              <w:keepLines/>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410,913</w:t>
            </w:r>
          </w:p>
        </w:tc>
        <w:tc>
          <w:tcPr>
            <w:tcW w:w="316" w:type="pct"/>
            <w:vAlign w:val="bottom"/>
          </w:tcPr>
          <w:p w:rsidR="0015554C" w:rsidRPr="00BA0FBF" w:rsidRDefault="0015554C" w:rsidP="002A2619">
            <w:pPr>
              <w:keepNext/>
              <w:keepLines/>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353,256</w:t>
            </w:r>
          </w:p>
        </w:tc>
        <w:tc>
          <w:tcPr>
            <w:tcW w:w="316" w:type="pct"/>
            <w:vAlign w:val="bottom"/>
          </w:tcPr>
          <w:p w:rsidR="0015554C" w:rsidRPr="00BA0FBF" w:rsidRDefault="0015554C" w:rsidP="002A2619">
            <w:pPr>
              <w:keepNext/>
              <w:keepLines/>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401,018</w:t>
            </w:r>
          </w:p>
        </w:tc>
        <w:tc>
          <w:tcPr>
            <w:tcW w:w="316" w:type="pct"/>
            <w:vAlign w:val="bottom"/>
          </w:tcPr>
          <w:p w:rsidR="0015554C" w:rsidRPr="00BA0FBF" w:rsidRDefault="0015554C" w:rsidP="002A2619">
            <w:pPr>
              <w:keepNext/>
              <w:keepLines/>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630,334</w:t>
            </w:r>
          </w:p>
        </w:tc>
        <w:tc>
          <w:tcPr>
            <w:tcW w:w="316" w:type="pct"/>
            <w:vAlign w:val="bottom"/>
          </w:tcPr>
          <w:p w:rsidR="0015554C" w:rsidRPr="00BA0FBF" w:rsidRDefault="0015554C" w:rsidP="002A2619">
            <w:pPr>
              <w:keepNext/>
              <w:keepLines/>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502,338</w:t>
            </w:r>
          </w:p>
        </w:tc>
        <w:tc>
          <w:tcPr>
            <w:tcW w:w="370" w:type="pct"/>
            <w:vAlign w:val="bottom"/>
          </w:tcPr>
          <w:p w:rsidR="0015554C" w:rsidRPr="00BA0FBF" w:rsidRDefault="0015554C" w:rsidP="002A2619">
            <w:pPr>
              <w:keepNext/>
              <w:keepLines/>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614,245</w:t>
            </w:r>
          </w:p>
        </w:tc>
        <w:tc>
          <w:tcPr>
            <w:tcW w:w="370" w:type="pct"/>
            <w:vAlign w:val="bottom"/>
          </w:tcPr>
          <w:p w:rsidR="0015554C" w:rsidRPr="00BA0FBF" w:rsidRDefault="0015554C" w:rsidP="002A2619">
            <w:pPr>
              <w:keepNext/>
              <w:keepLines/>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631,076</w:t>
            </w:r>
          </w:p>
        </w:tc>
        <w:tc>
          <w:tcPr>
            <w:tcW w:w="370" w:type="pct"/>
            <w:vAlign w:val="bottom"/>
          </w:tcPr>
          <w:p w:rsidR="0015554C" w:rsidRPr="00BA0FBF" w:rsidRDefault="0015554C" w:rsidP="002A2619">
            <w:pPr>
              <w:keepNext/>
              <w:keepLines/>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811,492</w:t>
            </w:r>
          </w:p>
        </w:tc>
        <w:tc>
          <w:tcPr>
            <w:tcW w:w="370" w:type="pct"/>
            <w:vAlign w:val="bottom"/>
          </w:tcPr>
          <w:p w:rsidR="0015554C" w:rsidRPr="00BA0FBF" w:rsidRDefault="0015554C" w:rsidP="002A2619">
            <w:pPr>
              <w:keepNext/>
              <w:keepLines/>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961,451</w:t>
            </w:r>
          </w:p>
        </w:tc>
        <w:tc>
          <w:tcPr>
            <w:tcW w:w="370" w:type="pct"/>
            <w:vAlign w:val="bottom"/>
          </w:tcPr>
          <w:p w:rsidR="0015554C" w:rsidRPr="00BA0FBF" w:rsidRDefault="0015554C" w:rsidP="002A2619">
            <w:pPr>
              <w:keepNext/>
              <w:keepLines/>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3,111,895</w:t>
            </w:r>
          </w:p>
        </w:tc>
        <w:tc>
          <w:tcPr>
            <w:tcW w:w="370" w:type="pct"/>
            <w:vAlign w:val="bottom"/>
          </w:tcPr>
          <w:p w:rsidR="0015554C" w:rsidRPr="00BA0FBF" w:rsidRDefault="0015554C" w:rsidP="002A2619">
            <w:pPr>
              <w:keepNext/>
              <w:keepLines/>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873,358</w:t>
            </w:r>
          </w:p>
        </w:tc>
      </w:tr>
      <w:tr w:rsidR="0015554C" w:rsidRPr="00BA0FBF" w:rsidTr="00113A4E">
        <w:trPr>
          <w:cantSplit/>
        </w:trPr>
        <w:tc>
          <w:tcPr>
            <w:cnfStyle w:val="001000000000" w:firstRow="0" w:lastRow="0" w:firstColumn="1" w:lastColumn="0" w:oddVBand="0" w:evenVBand="0" w:oddHBand="0" w:evenHBand="0" w:firstRowFirstColumn="0" w:firstRowLastColumn="0" w:lastRowFirstColumn="0" w:lastRowLastColumn="0"/>
            <w:tcW w:w="936" w:type="pct"/>
          </w:tcPr>
          <w:p w:rsidR="0015554C" w:rsidRPr="00BA0FBF" w:rsidRDefault="0015554C" w:rsidP="00CE3086">
            <w:pPr>
              <w:pStyle w:val="TableText"/>
              <w:keepNext/>
              <w:keepLines/>
              <w:ind w:left="737"/>
              <w:rPr>
                <w:sz w:val="18"/>
              </w:rPr>
            </w:pPr>
            <w:r w:rsidRPr="00BA0FBF">
              <w:rPr>
                <w:sz w:val="18"/>
              </w:rPr>
              <w:t>54 to 64 years</w:t>
            </w:r>
          </w:p>
        </w:tc>
        <w:tc>
          <w:tcPr>
            <w:tcW w:w="264" w:type="pct"/>
          </w:tcPr>
          <w:p w:rsidR="0015554C" w:rsidRPr="00BA0FBF" w:rsidRDefault="0015554C" w:rsidP="002A2619">
            <w:pPr>
              <w:pStyle w:val="TableTextCentred"/>
              <w:keepNext/>
              <w:keepLines/>
              <w:cnfStyle w:val="000000000000" w:firstRow="0" w:lastRow="0" w:firstColumn="0" w:lastColumn="0" w:oddVBand="0" w:evenVBand="0" w:oddHBand="0" w:evenHBand="0" w:firstRowFirstColumn="0" w:firstRowLastColumn="0" w:lastRowFirstColumn="0" w:lastRowLastColumn="0"/>
              <w:rPr>
                <w:sz w:val="18"/>
              </w:rPr>
            </w:pPr>
            <w:r w:rsidRPr="00BA0FBF">
              <w:rPr>
                <w:sz w:val="18"/>
              </w:rPr>
              <w:t>$</w:t>
            </w:r>
          </w:p>
        </w:tc>
        <w:tc>
          <w:tcPr>
            <w:tcW w:w="316" w:type="pct"/>
            <w:vAlign w:val="bottom"/>
          </w:tcPr>
          <w:p w:rsidR="0015554C" w:rsidRPr="00BA0FBF" w:rsidRDefault="0015554C" w:rsidP="002A2619">
            <w:pPr>
              <w:keepNext/>
              <w:keepLines/>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542,834</w:t>
            </w:r>
          </w:p>
        </w:tc>
        <w:tc>
          <w:tcPr>
            <w:tcW w:w="316" w:type="pct"/>
            <w:vAlign w:val="bottom"/>
          </w:tcPr>
          <w:p w:rsidR="0015554C" w:rsidRPr="00BA0FBF" w:rsidRDefault="0015554C" w:rsidP="002A2619">
            <w:pPr>
              <w:keepNext/>
              <w:keepLines/>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398,847</w:t>
            </w:r>
          </w:p>
        </w:tc>
        <w:tc>
          <w:tcPr>
            <w:tcW w:w="316" w:type="pct"/>
            <w:vAlign w:val="bottom"/>
          </w:tcPr>
          <w:p w:rsidR="0015554C" w:rsidRPr="00BA0FBF" w:rsidRDefault="0015554C" w:rsidP="002A2619">
            <w:pPr>
              <w:keepNext/>
              <w:keepLines/>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563,455</w:t>
            </w:r>
          </w:p>
        </w:tc>
        <w:tc>
          <w:tcPr>
            <w:tcW w:w="316" w:type="pct"/>
            <w:vAlign w:val="bottom"/>
          </w:tcPr>
          <w:p w:rsidR="0015554C" w:rsidRPr="00BA0FBF" w:rsidRDefault="0015554C" w:rsidP="002A2619">
            <w:pPr>
              <w:keepNext/>
              <w:keepLines/>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704,022</w:t>
            </w:r>
          </w:p>
        </w:tc>
        <w:tc>
          <w:tcPr>
            <w:tcW w:w="316" w:type="pct"/>
            <w:vAlign w:val="bottom"/>
          </w:tcPr>
          <w:p w:rsidR="0015554C" w:rsidRPr="00BA0FBF" w:rsidRDefault="0015554C" w:rsidP="002A2619">
            <w:pPr>
              <w:keepNext/>
              <w:keepLines/>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820,985</w:t>
            </w:r>
          </w:p>
        </w:tc>
        <w:tc>
          <w:tcPr>
            <w:tcW w:w="370" w:type="pct"/>
            <w:vAlign w:val="bottom"/>
          </w:tcPr>
          <w:p w:rsidR="0015554C" w:rsidRPr="00BA0FBF" w:rsidRDefault="0015554C" w:rsidP="002A2619">
            <w:pPr>
              <w:keepNext/>
              <w:keepLines/>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891,995</w:t>
            </w:r>
          </w:p>
        </w:tc>
        <w:tc>
          <w:tcPr>
            <w:tcW w:w="370" w:type="pct"/>
            <w:vAlign w:val="bottom"/>
          </w:tcPr>
          <w:p w:rsidR="0015554C" w:rsidRPr="00BA0FBF" w:rsidRDefault="0015554C" w:rsidP="002A2619">
            <w:pPr>
              <w:keepNext/>
              <w:keepLines/>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1,065,934</w:t>
            </w:r>
          </w:p>
        </w:tc>
        <w:tc>
          <w:tcPr>
            <w:tcW w:w="370" w:type="pct"/>
            <w:vAlign w:val="bottom"/>
          </w:tcPr>
          <w:p w:rsidR="0015554C" w:rsidRPr="00BA0FBF" w:rsidRDefault="0015554C" w:rsidP="002A2619">
            <w:pPr>
              <w:keepNext/>
              <w:keepLines/>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1,132,770</w:t>
            </w:r>
          </w:p>
        </w:tc>
        <w:tc>
          <w:tcPr>
            <w:tcW w:w="370" w:type="pct"/>
            <w:vAlign w:val="bottom"/>
          </w:tcPr>
          <w:p w:rsidR="0015554C" w:rsidRPr="00BA0FBF" w:rsidRDefault="0015554C" w:rsidP="002A2619">
            <w:pPr>
              <w:keepNext/>
              <w:keepLines/>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1,165,939</w:t>
            </w:r>
          </w:p>
        </w:tc>
        <w:tc>
          <w:tcPr>
            <w:tcW w:w="370" w:type="pct"/>
            <w:vAlign w:val="bottom"/>
          </w:tcPr>
          <w:p w:rsidR="0015554C" w:rsidRPr="00BA0FBF" w:rsidRDefault="0015554C" w:rsidP="002A2619">
            <w:pPr>
              <w:keepNext/>
              <w:keepLines/>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2,823,050</w:t>
            </w:r>
          </w:p>
        </w:tc>
        <w:tc>
          <w:tcPr>
            <w:tcW w:w="370" w:type="pct"/>
            <w:vAlign w:val="bottom"/>
          </w:tcPr>
          <w:p w:rsidR="0015554C" w:rsidRPr="00BA0FBF" w:rsidRDefault="0015554C" w:rsidP="002A2619">
            <w:pPr>
              <w:keepNext/>
              <w:keepLines/>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1,073,972</w:t>
            </w:r>
          </w:p>
        </w:tc>
      </w:tr>
      <w:tr w:rsidR="0015554C" w:rsidRPr="00BA0FBF" w:rsidTr="00113A4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6" w:type="pct"/>
          </w:tcPr>
          <w:p w:rsidR="0015554C" w:rsidRPr="00BA0FBF" w:rsidRDefault="0015554C" w:rsidP="00CE3086">
            <w:pPr>
              <w:pStyle w:val="TableText"/>
              <w:keepNext/>
              <w:keepLines/>
              <w:ind w:left="737"/>
              <w:rPr>
                <w:sz w:val="18"/>
              </w:rPr>
            </w:pPr>
            <w:r w:rsidRPr="00BA0FBF">
              <w:rPr>
                <w:sz w:val="18"/>
              </w:rPr>
              <w:t>65 + years</w:t>
            </w:r>
          </w:p>
        </w:tc>
        <w:tc>
          <w:tcPr>
            <w:tcW w:w="264" w:type="pct"/>
          </w:tcPr>
          <w:p w:rsidR="0015554C" w:rsidRPr="00BA0FBF" w:rsidRDefault="0015554C" w:rsidP="002A2619">
            <w:pPr>
              <w:pStyle w:val="TableTextCentred"/>
              <w:keepNext/>
              <w:keepLines/>
              <w:cnfStyle w:val="000000100000" w:firstRow="0" w:lastRow="0" w:firstColumn="0" w:lastColumn="0" w:oddVBand="0" w:evenVBand="0" w:oddHBand="1" w:evenHBand="0" w:firstRowFirstColumn="0" w:firstRowLastColumn="0" w:lastRowFirstColumn="0" w:lastRowLastColumn="0"/>
              <w:rPr>
                <w:sz w:val="18"/>
              </w:rPr>
            </w:pPr>
            <w:r w:rsidRPr="00BA0FBF">
              <w:rPr>
                <w:sz w:val="18"/>
              </w:rPr>
              <w:t>$</w:t>
            </w:r>
          </w:p>
        </w:tc>
        <w:tc>
          <w:tcPr>
            <w:tcW w:w="316" w:type="pct"/>
            <w:vAlign w:val="bottom"/>
          </w:tcPr>
          <w:p w:rsidR="0015554C" w:rsidRPr="00BA0FBF" w:rsidRDefault="0015554C" w:rsidP="002A2619">
            <w:pPr>
              <w:keepNext/>
              <w:keepLines/>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724,382</w:t>
            </w:r>
          </w:p>
        </w:tc>
        <w:tc>
          <w:tcPr>
            <w:tcW w:w="316" w:type="pct"/>
            <w:vAlign w:val="bottom"/>
          </w:tcPr>
          <w:p w:rsidR="0015554C" w:rsidRPr="00BA0FBF" w:rsidRDefault="0015554C" w:rsidP="002A2619">
            <w:pPr>
              <w:keepNext/>
              <w:keepLines/>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423,740</w:t>
            </w:r>
          </w:p>
        </w:tc>
        <w:tc>
          <w:tcPr>
            <w:tcW w:w="316" w:type="pct"/>
            <w:vAlign w:val="bottom"/>
          </w:tcPr>
          <w:p w:rsidR="0015554C" w:rsidRPr="00BA0FBF" w:rsidRDefault="0015554C" w:rsidP="002A2619">
            <w:pPr>
              <w:keepNext/>
              <w:keepLines/>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595,108</w:t>
            </w:r>
          </w:p>
        </w:tc>
        <w:tc>
          <w:tcPr>
            <w:tcW w:w="316" w:type="pct"/>
            <w:vAlign w:val="bottom"/>
          </w:tcPr>
          <w:p w:rsidR="0015554C" w:rsidRPr="00BA0FBF" w:rsidRDefault="0015554C" w:rsidP="002A2619">
            <w:pPr>
              <w:keepNext/>
              <w:keepLines/>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657,282</w:t>
            </w:r>
          </w:p>
        </w:tc>
        <w:tc>
          <w:tcPr>
            <w:tcW w:w="316" w:type="pct"/>
            <w:vAlign w:val="bottom"/>
          </w:tcPr>
          <w:p w:rsidR="0015554C" w:rsidRPr="00BA0FBF" w:rsidRDefault="0015554C" w:rsidP="002A2619">
            <w:pPr>
              <w:keepNext/>
              <w:keepLines/>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815,977</w:t>
            </w:r>
          </w:p>
        </w:tc>
        <w:tc>
          <w:tcPr>
            <w:tcW w:w="370" w:type="pct"/>
            <w:vAlign w:val="bottom"/>
          </w:tcPr>
          <w:p w:rsidR="0015554C" w:rsidRPr="00BA0FBF" w:rsidRDefault="0015554C" w:rsidP="002A2619">
            <w:pPr>
              <w:keepNext/>
              <w:keepLines/>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1,042,566</w:t>
            </w:r>
          </w:p>
        </w:tc>
        <w:tc>
          <w:tcPr>
            <w:tcW w:w="370" w:type="pct"/>
            <w:vAlign w:val="bottom"/>
          </w:tcPr>
          <w:p w:rsidR="0015554C" w:rsidRPr="00BA0FBF" w:rsidRDefault="0015554C" w:rsidP="002A2619">
            <w:pPr>
              <w:keepNext/>
              <w:keepLines/>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1,402,592</w:t>
            </w:r>
          </w:p>
        </w:tc>
        <w:tc>
          <w:tcPr>
            <w:tcW w:w="370" w:type="pct"/>
            <w:vAlign w:val="bottom"/>
          </w:tcPr>
          <w:p w:rsidR="0015554C" w:rsidRPr="00BA0FBF" w:rsidRDefault="0015554C" w:rsidP="002A2619">
            <w:pPr>
              <w:keepNext/>
              <w:keepLines/>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1,953,635</w:t>
            </w:r>
          </w:p>
        </w:tc>
        <w:tc>
          <w:tcPr>
            <w:tcW w:w="370" w:type="pct"/>
            <w:vAlign w:val="bottom"/>
          </w:tcPr>
          <w:p w:rsidR="0015554C" w:rsidRPr="00BA0FBF" w:rsidRDefault="0015554C" w:rsidP="002A2619">
            <w:pPr>
              <w:keepNext/>
              <w:keepLines/>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1,632,957</w:t>
            </w:r>
          </w:p>
        </w:tc>
        <w:tc>
          <w:tcPr>
            <w:tcW w:w="370" w:type="pct"/>
            <w:vAlign w:val="bottom"/>
          </w:tcPr>
          <w:p w:rsidR="0015554C" w:rsidRPr="00BA0FBF" w:rsidRDefault="0015554C" w:rsidP="002A2619">
            <w:pPr>
              <w:keepNext/>
              <w:keepLines/>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4,273,609</w:t>
            </w:r>
          </w:p>
        </w:tc>
        <w:tc>
          <w:tcPr>
            <w:tcW w:w="370" w:type="pct"/>
            <w:vAlign w:val="bottom"/>
          </w:tcPr>
          <w:p w:rsidR="0015554C" w:rsidRPr="00BA0FBF" w:rsidRDefault="0015554C" w:rsidP="002A2619">
            <w:pPr>
              <w:keepNext/>
              <w:keepLines/>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857,350</w:t>
            </w:r>
          </w:p>
        </w:tc>
      </w:tr>
      <w:tr w:rsidR="00CE3086" w:rsidRPr="00BA0FBF" w:rsidTr="00CE3086">
        <w:trPr>
          <w:cantSplit/>
          <w:trHeight w:hRule="exact" w:val="283"/>
        </w:trPr>
        <w:tc>
          <w:tcPr>
            <w:cnfStyle w:val="001000000000" w:firstRow="0" w:lastRow="0" w:firstColumn="1" w:lastColumn="0" w:oddVBand="0" w:evenVBand="0" w:oddHBand="0" w:evenHBand="0" w:firstRowFirstColumn="0" w:firstRowLastColumn="0" w:lastRowFirstColumn="0" w:lastRowLastColumn="0"/>
            <w:tcW w:w="5000" w:type="pct"/>
            <w:gridSpan w:val="13"/>
          </w:tcPr>
          <w:p w:rsidR="00CE3086" w:rsidRPr="00BA0FBF" w:rsidRDefault="00CE3086" w:rsidP="00CE3086">
            <w:pPr>
              <w:pStyle w:val="TableTextCentred"/>
              <w:keepNext/>
              <w:keepLines/>
              <w:spacing w:before="0" w:after="0"/>
              <w:jc w:val="left"/>
              <w:rPr>
                <w:sz w:val="18"/>
              </w:rPr>
            </w:pPr>
          </w:p>
        </w:tc>
      </w:tr>
      <w:tr w:rsidR="00CE3086" w:rsidRPr="00BA0FBF" w:rsidTr="00CE308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gridSpan w:val="13"/>
          </w:tcPr>
          <w:p w:rsidR="00CE3086" w:rsidRPr="00BA0FBF" w:rsidRDefault="00CE3086" w:rsidP="00CE3086">
            <w:pPr>
              <w:pStyle w:val="TableTextCentred"/>
              <w:keepNext/>
              <w:keepLines/>
              <w:jc w:val="left"/>
              <w:rPr>
                <w:sz w:val="18"/>
              </w:rPr>
            </w:pPr>
            <w:r w:rsidRPr="00BA0FBF">
              <w:rPr>
                <w:sz w:val="18"/>
              </w:rPr>
              <w:t>Zero Income</w:t>
            </w:r>
          </w:p>
        </w:tc>
      </w:tr>
      <w:tr w:rsidR="0015554C" w:rsidRPr="00BA0FBF" w:rsidTr="00113A4E">
        <w:trPr>
          <w:cantSplit/>
        </w:trPr>
        <w:tc>
          <w:tcPr>
            <w:cnfStyle w:val="001000000000" w:firstRow="0" w:lastRow="0" w:firstColumn="1" w:lastColumn="0" w:oddVBand="0" w:evenVBand="0" w:oddHBand="0" w:evenHBand="0" w:firstRowFirstColumn="0" w:firstRowLastColumn="0" w:lastRowFirstColumn="0" w:lastRowLastColumn="0"/>
            <w:tcW w:w="936" w:type="pct"/>
          </w:tcPr>
          <w:p w:rsidR="0015554C" w:rsidRPr="00BA0FBF" w:rsidRDefault="0015554C" w:rsidP="00CE3086">
            <w:pPr>
              <w:pStyle w:val="TableText"/>
              <w:keepNext/>
              <w:keepLines/>
              <w:ind w:left="737"/>
              <w:rPr>
                <w:sz w:val="18"/>
              </w:rPr>
            </w:pPr>
            <w:r w:rsidRPr="00BA0FBF">
              <w:rPr>
                <w:sz w:val="18"/>
              </w:rPr>
              <w:t>Under 30 years</w:t>
            </w:r>
          </w:p>
        </w:tc>
        <w:tc>
          <w:tcPr>
            <w:tcW w:w="264" w:type="pct"/>
          </w:tcPr>
          <w:p w:rsidR="0015554C" w:rsidRPr="00BA0FBF" w:rsidRDefault="0015554C" w:rsidP="002A2619">
            <w:pPr>
              <w:pStyle w:val="TableTextCentred"/>
              <w:keepNext/>
              <w:keepLines/>
              <w:cnfStyle w:val="000000000000" w:firstRow="0" w:lastRow="0" w:firstColumn="0" w:lastColumn="0" w:oddVBand="0" w:evenVBand="0" w:oddHBand="0" w:evenHBand="0" w:firstRowFirstColumn="0" w:firstRowLastColumn="0" w:lastRowFirstColumn="0" w:lastRowLastColumn="0"/>
              <w:rPr>
                <w:sz w:val="18"/>
              </w:rPr>
            </w:pPr>
            <w:r w:rsidRPr="00BA0FBF">
              <w:rPr>
                <w:sz w:val="18"/>
              </w:rPr>
              <w:t>%</w:t>
            </w:r>
          </w:p>
        </w:tc>
        <w:tc>
          <w:tcPr>
            <w:tcW w:w="316" w:type="pct"/>
          </w:tcPr>
          <w:p w:rsidR="0015554C" w:rsidRPr="00BA0FBF" w:rsidRDefault="0015554C" w:rsidP="002A2619">
            <w:pPr>
              <w:pStyle w:val="TableTextCentred"/>
              <w:keepNext/>
              <w:keepLines/>
              <w:cnfStyle w:val="000000000000" w:firstRow="0" w:lastRow="0" w:firstColumn="0" w:lastColumn="0" w:oddVBand="0" w:evenVBand="0" w:oddHBand="0" w:evenHBand="0" w:firstRowFirstColumn="0" w:firstRowLastColumn="0" w:lastRowFirstColumn="0" w:lastRowLastColumn="0"/>
              <w:rPr>
                <w:sz w:val="18"/>
              </w:rPr>
            </w:pPr>
            <w:r w:rsidRPr="00BA0FBF">
              <w:rPr>
                <w:sz w:val="18"/>
              </w:rPr>
              <w:t>4.0%</w:t>
            </w:r>
          </w:p>
        </w:tc>
        <w:tc>
          <w:tcPr>
            <w:tcW w:w="316" w:type="pct"/>
          </w:tcPr>
          <w:p w:rsidR="0015554C" w:rsidRPr="00BA0FBF" w:rsidRDefault="0015554C" w:rsidP="002A2619">
            <w:pPr>
              <w:pStyle w:val="TableTextCentred"/>
              <w:keepNext/>
              <w:keepLines/>
              <w:cnfStyle w:val="000000000000" w:firstRow="0" w:lastRow="0" w:firstColumn="0" w:lastColumn="0" w:oddVBand="0" w:evenVBand="0" w:oddHBand="0" w:evenHBand="0" w:firstRowFirstColumn="0" w:firstRowLastColumn="0" w:lastRowFirstColumn="0" w:lastRowLastColumn="0"/>
              <w:rPr>
                <w:sz w:val="18"/>
              </w:rPr>
            </w:pPr>
            <w:r w:rsidRPr="00BA0FBF">
              <w:rPr>
                <w:sz w:val="18"/>
              </w:rPr>
              <w:t>n/a</w:t>
            </w:r>
          </w:p>
        </w:tc>
        <w:tc>
          <w:tcPr>
            <w:tcW w:w="316" w:type="pct"/>
          </w:tcPr>
          <w:p w:rsidR="0015554C" w:rsidRPr="00BA0FBF" w:rsidRDefault="0015554C" w:rsidP="002A2619">
            <w:pPr>
              <w:pStyle w:val="TableTextCentred"/>
              <w:keepNext/>
              <w:keepLines/>
              <w:cnfStyle w:val="000000000000" w:firstRow="0" w:lastRow="0" w:firstColumn="0" w:lastColumn="0" w:oddVBand="0" w:evenVBand="0" w:oddHBand="0" w:evenHBand="0" w:firstRowFirstColumn="0" w:firstRowLastColumn="0" w:lastRowFirstColumn="0" w:lastRowLastColumn="0"/>
              <w:rPr>
                <w:sz w:val="18"/>
              </w:rPr>
            </w:pPr>
            <w:r w:rsidRPr="00BA0FBF">
              <w:rPr>
                <w:sz w:val="18"/>
              </w:rPr>
              <w:t>n/a</w:t>
            </w:r>
          </w:p>
        </w:tc>
        <w:tc>
          <w:tcPr>
            <w:tcW w:w="316" w:type="pct"/>
          </w:tcPr>
          <w:p w:rsidR="0015554C" w:rsidRPr="00BA0FBF" w:rsidRDefault="0015554C" w:rsidP="002A2619">
            <w:pPr>
              <w:pStyle w:val="TableTextCentred"/>
              <w:keepNext/>
              <w:keepLines/>
              <w:cnfStyle w:val="000000000000" w:firstRow="0" w:lastRow="0" w:firstColumn="0" w:lastColumn="0" w:oddVBand="0" w:evenVBand="0" w:oddHBand="0" w:evenHBand="0" w:firstRowFirstColumn="0" w:firstRowLastColumn="0" w:lastRowFirstColumn="0" w:lastRowLastColumn="0"/>
              <w:rPr>
                <w:sz w:val="18"/>
              </w:rPr>
            </w:pPr>
            <w:r w:rsidRPr="00BA0FBF">
              <w:rPr>
                <w:sz w:val="18"/>
              </w:rPr>
              <w:t>n/a</w:t>
            </w:r>
          </w:p>
        </w:tc>
        <w:tc>
          <w:tcPr>
            <w:tcW w:w="316" w:type="pct"/>
          </w:tcPr>
          <w:p w:rsidR="0015554C" w:rsidRPr="00BA0FBF" w:rsidRDefault="0015554C" w:rsidP="002A2619">
            <w:pPr>
              <w:pStyle w:val="TableTextCentred"/>
              <w:keepNext/>
              <w:keepLines/>
              <w:cnfStyle w:val="000000000000" w:firstRow="0" w:lastRow="0" w:firstColumn="0" w:lastColumn="0" w:oddVBand="0" w:evenVBand="0" w:oddHBand="0" w:evenHBand="0" w:firstRowFirstColumn="0" w:firstRowLastColumn="0" w:lastRowFirstColumn="0" w:lastRowLastColumn="0"/>
              <w:rPr>
                <w:sz w:val="18"/>
              </w:rPr>
            </w:pPr>
            <w:r w:rsidRPr="00BA0FBF">
              <w:rPr>
                <w:sz w:val="18"/>
              </w:rPr>
              <w:t>n/a</w:t>
            </w:r>
          </w:p>
        </w:tc>
        <w:tc>
          <w:tcPr>
            <w:tcW w:w="370" w:type="pct"/>
          </w:tcPr>
          <w:p w:rsidR="0015554C" w:rsidRPr="00BA0FBF" w:rsidRDefault="0015554C" w:rsidP="002A2619">
            <w:pPr>
              <w:pStyle w:val="TableTextCentred"/>
              <w:keepNext/>
              <w:keepLines/>
              <w:cnfStyle w:val="000000000000" w:firstRow="0" w:lastRow="0" w:firstColumn="0" w:lastColumn="0" w:oddVBand="0" w:evenVBand="0" w:oddHBand="0" w:evenHBand="0" w:firstRowFirstColumn="0" w:firstRowLastColumn="0" w:lastRowFirstColumn="0" w:lastRowLastColumn="0"/>
              <w:rPr>
                <w:sz w:val="18"/>
              </w:rPr>
            </w:pPr>
            <w:r w:rsidRPr="00BA0FBF">
              <w:rPr>
                <w:sz w:val="18"/>
              </w:rPr>
              <w:t>n/a</w:t>
            </w:r>
          </w:p>
        </w:tc>
        <w:tc>
          <w:tcPr>
            <w:tcW w:w="370" w:type="pct"/>
          </w:tcPr>
          <w:p w:rsidR="0015554C" w:rsidRPr="00BA0FBF" w:rsidRDefault="0015554C" w:rsidP="002A2619">
            <w:pPr>
              <w:pStyle w:val="TableTextCentred"/>
              <w:keepNext/>
              <w:keepLines/>
              <w:cnfStyle w:val="000000000000" w:firstRow="0" w:lastRow="0" w:firstColumn="0" w:lastColumn="0" w:oddVBand="0" w:evenVBand="0" w:oddHBand="0" w:evenHBand="0" w:firstRowFirstColumn="0" w:firstRowLastColumn="0" w:lastRowFirstColumn="0" w:lastRowLastColumn="0"/>
              <w:rPr>
                <w:sz w:val="18"/>
              </w:rPr>
            </w:pPr>
            <w:r w:rsidRPr="00BA0FBF">
              <w:rPr>
                <w:sz w:val="18"/>
              </w:rPr>
              <w:t>n/a</w:t>
            </w:r>
          </w:p>
        </w:tc>
        <w:tc>
          <w:tcPr>
            <w:tcW w:w="370" w:type="pct"/>
          </w:tcPr>
          <w:p w:rsidR="0015554C" w:rsidRPr="00BA0FBF" w:rsidRDefault="0015554C" w:rsidP="002A2619">
            <w:pPr>
              <w:pStyle w:val="TableTextCentred"/>
              <w:keepNext/>
              <w:keepLines/>
              <w:cnfStyle w:val="000000000000" w:firstRow="0" w:lastRow="0" w:firstColumn="0" w:lastColumn="0" w:oddVBand="0" w:evenVBand="0" w:oddHBand="0" w:evenHBand="0" w:firstRowFirstColumn="0" w:firstRowLastColumn="0" w:lastRowFirstColumn="0" w:lastRowLastColumn="0"/>
              <w:rPr>
                <w:sz w:val="18"/>
              </w:rPr>
            </w:pPr>
            <w:r w:rsidRPr="00BA0FBF">
              <w:rPr>
                <w:sz w:val="18"/>
              </w:rPr>
              <w:t>n/a</w:t>
            </w:r>
          </w:p>
        </w:tc>
        <w:tc>
          <w:tcPr>
            <w:tcW w:w="370" w:type="pct"/>
          </w:tcPr>
          <w:p w:rsidR="0015554C" w:rsidRPr="00BA0FBF" w:rsidRDefault="0015554C" w:rsidP="002A2619">
            <w:pPr>
              <w:pStyle w:val="TableTextCentred"/>
              <w:keepNext/>
              <w:keepLines/>
              <w:cnfStyle w:val="000000000000" w:firstRow="0" w:lastRow="0" w:firstColumn="0" w:lastColumn="0" w:oddVBand="0" w:evenVBand="0" w:oddHBand="0" w:evenHBand="0" w:firstRowFirstColumn="0" w:firstRowLastColumn="0" w:lastRowFirstColumn="0" w:lastRowLastColumn="0"/>
              <w:rPr>
                <w:sz w:val="18"/>
              </w:rPr>
            </w:pPr>
            <w:r w:rsidRPr="00BA0FBF">
              <w:rPr>
                <w:sz w:val="18"/>
              </w:rPr>
              <w:t>n/a</w:t>
            </w:r>
          </w:p>
        </w:tc>
        <w:tc>
          <w:tcPr>
            <w:tcW w:w="370" w:type="pct"/>
          </w:tcPr>
          <w:p w:rsidR="0015554C" w:rsidRPr="00BA0FBF" w:rsidRDefault="0015554C" w:rsidP="002A2619">
            <w:pPr>
              <w:pStyle w:val="TableTextCentred"/>
              <w:keepNext/>
              <w:keepLines/>
              <w:cnfStyle w:val="000000000000" w:firstRow="0" w:lastRow="0" w:firstColumn="0" w:lastColumn="0" w:oddVBand="0" w:evenVBand="0" w:oddHBand="0" w:evenHBand="0" w:firstRowFirstColumn="0" w:firstRowLastColumn="0" w:lastRowFirstColumn="0" w:lastRowLastColumn="0"/>
              <w:rPr>
                <w:sz w:val="18"/>
              </w:rPr>
            </w:pPr>
            <w:r w:rsidRPr="00BA0FBF">
              <w:rPr>
                <w:sz w:val="18"/>
              </w:rPr>
              <w:t>n/a</w:t>
            </w:r>
          </w:p>
        </w:tc>
        <w:tc>
          <w:tcPr>
            <w:tcW w:w="370" w:type="pct"/>
            <w:vAlign w:val="bottom"/>
          </w:tcPr>
          <w:p w:rsidR="0015554C" w:rsidRPr="00BA0FBF" w:rsidRDefault="0015554C" w:rsidP="002A2619">
            <w:pPr>
              <w:keepNext/>
              <w:keepLines/>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0.3%</w:t>
            </w:r>
          </w:p>
        </w:tc>
      </w:tr>
      <w:tr w:rsidR="0015554C" w:rsidRPr="00BA0FBF" w:rsidTr="00113A4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6" w:type="pct"/>
          </w:tcPr>
          <w:p w:rsidR="0015554C" w:rsidRPr="00BA0FBF" w:rsidRDefault="0015554C" w:rsidP="00CE3086">
            <w:pPr>
              <w:pStyle w:val="TableText"/>
              <w:keepNext/>
              <w:keepLines/>
              <w:ind w:left="737"/>
              <w:rPr>
                <w:sz w:val="18"/>
              </w:rPr>
            </w:pPr>
            <w:r w:rsidRPr="00BA0FBF">
              <w:rPr>
                <w:sz w:val="18"/>
              </w:rPr>
              <w:t>30 to 39 years</w:t>
            </w:r>
          </w:p>
        </w:tc>
        <w:tc>
          <w:tcPr>
            <w:tcW w:w="264" w:type="pct"/>
          </w:tcPr>
          <w:p w:rsidR="0015554C" w:rsidRPr="00BA0FBF" w:rsidRDefault="0015554C" w:rsidP="002A2619">
            <w:pPr>
              <w:pStyle w:val="TableTextCentred"/>
              <w:keepNext/>
              <w:keepLines/>
              <w:cnfStyle w:val="000000100000" w:firstRow="0" w:lastRow="0" w:firstColumn="0" w:lastColumn="0" w:oddVBand="0" w:evenVBand="0" w:oddHBand="1" w:evenHBand="0" w:firstRowFirstColumn="0" w:firstRowLastColumn="0" w:lastRowFirstColumn="0" w:lastRowLastColumn="0"/>
              <w:rPr>
                <w:sz w:val="18"/>
              </w:rPr>
            </w:pPr>
            <w:r w:rsidRPr="00BA0FBF">
              <w:rPr>
                <w:sz w:val="18"/>
              </w:rPr>
              <w:t>%</w:t>
            </w:r>
          </w:p>
        </w:tc>
        <w:tc>
          <w:tcPr>
            <w:tcW w:w="316" w:type="pct"/>
          </w:tcPr>
          <w:p w:rsidR="0015554C" w:rsidRPr="00BA0FBF" w:rsidRDefault="0015554C" w:rsidP="002A2619">
            <w:pPr>
              <w:pStyle w:val="TableTextCentred"/>
              <w:keepNext/>
              <w:keepLines/>
              <w:cnfStyle w:val="000000100000" w:firstRow="0" w:lastRow="0" w:firstColumn="0" w:lastColumn="0" w:oddVBand="0" w:evenVBand="0" w:oddHBand="1" w:evenHBand="0" w:firstRowFirstColumn="0" w:firstRowLastColumn="0" w:lastRowFirstColumn="0" w:lastRowLastColumn="0"/>
              <w:rPr>
                <w:sz w:val="18"/>
              </w:rPr>
            </w:pPr>
            <w:r w:rsidRPr="00BA0FBF">
              <w:rPr>
                <w:sz w:val="18"/>
              </w:rPr>
              <w:t>9.2%</w:t>
            </w:r>
          </w:p>
        </w:tc>
        <w:tc>
          <w:tcPr>
            <w:tcW w:w="316" w:type="pct"/>
          </w:tcPr>
          <w:p w:rsidR="0015554C" w:rsidRPr="00BA0FBF" w:rsidRDefault="0015554C" w:rsidP="002A2619">
            <w:pPr>
              <w:pStyle w:val="TableTextCentred"/>
              <w:keepNext/>
              <w:keepLines/>
              <w:cnfStyle w:val="000000100000" w:firstRow="0" w:lastRow="0" w:firstColumn="0" w:lastColumn="0" w:oddVBand="0" w:evenVBand="0" w:oddHBand="1" w:evenHBand="0" w:firstRowFirstColumn="0" w:firstRowLastColumn="0" w:lastRowFirstColumn="0" w:lastRowLastColumn="0"/>
              <w:rPr>
                <w:sz w:val="18"/>
              </w:rPr>
            </w:pPr>
            <w:r w:rsidRPr="00BA0FBF">
              <w:rPr>
                <w:sz w:val="18"/>
              </w:rPr>
              <w:t>n/a</w:t>
            </w:r>
          </w:p>
        </w:tc>
        <w:tc>
          <w:tcPr>
            <w:tcW w:w="316" w:type="pct"/>
          </w:tcPr>
          <w:p w:rsidR="0015554C" w:rsidRPr="00BA0FBF" w:rsidRDefault="0015554C" w:rsidP="002A2619">
            <w:pPr>
              <w:pStyle w:val="TableTextCentred"/>
              <w:keepNext/>
              <w:keepLines/>
              <w:cnfStyle w:val="000000100000" w:firstRow="0" w:lastRow="0" w:firstColumn="0" w:lastColumn="0" w:oddVBand="0" w:evenVBand="0" w:oddHBand="1" w:evenHBand="0" w:firstRowFirstColumn="0" w:firstRowLastColumn="0" w:lastRowFirstColumn="0" w:lastRowLastColumn="0"/>
              <w:rPr>
                <w:sz w:val="18"/>
              </w:rPr>
            </w:pPr>
            <w:r w:rsidRPr="00BA0FBF">
              <w:rPr>
                <w:sz w:val="18"/>
              </w:rPr>
              <w:t>n/a</w:t>
            </w:r>
          </w:p>
        </w:tc>
        <w:tc>
          <w:tcPr>
            <w:tcW w:w="316" w:type="pct"/>
          </w:tcPr>
          <w:p w:rsidR="0015554C" w:rsidRPr="00BA0FBF" w:rsidRDefault="0015554C" w:rsidP="002A2619">
            <w:pPr>
              <w:pStyle w:val="TableTextCentred"/>
              <w:keepNext/>
              <w:keepLines/>
              <w:cnfStyle w:val="000000100000" w:firstRow="0" w:lastRow="0" w:firstColumn="0" w:lastColumn="0" w:oddVBand="0" w:evenVBand="0" w:oddHBand="1" w:evenHBand="0" w:firstRowFirstColumn="0" w:firstRowLastColumn="0" w:lastRowFirstColumn="0" w:lastRowLastColumn="0"/>
              <w:rPr>
                <w:sz w:val="18"/>
              </w:rPr>
            </w:pPr>
            <w:r w:rsidRPr="00BA0FBF">
              <w:rPr>
                <w:sz w:val="18"/>
              </w:rPr>
              <w:t>n/a</w:t>
            </w:r>
          </w:p>
        </w:tc>
        <w:tc>
          <w:tcPr>
            <w:tcW w:w="316" w:type="pct"/>
          </w:tcPr>
          <w:p w:rsidR="0015554C" w:rsidRPr="00BA0FBF" w:rsidRDefault="0015554C" w:rsidP="002A2619">
            <w:pPr>
              <w:pStyle w:val="TableTextCentred"/>
              <w:keepNext/>
              <w:keepLines/>
              <w:cnfStyle w:val="000000100000" w:firstRow="0" w:lastRow="0" w:firstColumn="0" w:lastColumn="0" w:oddVBand="0" w:evenVBand="0" w:oddHBand="1" w:evenHBand="0" w:firstRowFirstColumn="0" w:firstRowLastColumn="0" w:lastRowFirstColumn="0" w:lastRowLastColumn="0"/>
              <w:rPr>
                <w:sz w:val="18"/>
              </w:rPr>
            </w:pPr>
            <w:r w:rsidRPr="00BA0FBF">
              <w:rPr>
                <w:sz w:val="18"/>
              </w:rPr>
              <w:t>n/a</w:t>
            </w:r>
          </w:p>
        </w:tc>
        <w:tc>
          <w:tcPr>
            <w:tcW w:w="370" w:type="pct"/>
          </w:tcPr>
          <w:p w:rsidR="0015554C" w:rsidRPr="00BA0FBF" w:rsidRDefault="0015554C" w:rsidP="002A2619">
            <w:pPr>
              <w:pStyle w:val="TableTextCentred"/>
              <w:keepNext/>
              <w:keepLines/>
              <w:cnfStyle w:val="000000100000" w:firstRow="0" w:lastRow="0" w:firstColumn="0" w:lastColumn="0" w:oddVBand="0" w:evenVBand="0" w:oddHBand="1" w:evenHBand="0" w:firstRowFirstColumn="0" w:firstRowLastColumn="0" w:lastRowFirstColumn="0" w:lastRowLastColumn="0"/>
              <w:rPr>
                <w:sz w:val="18"/>
              </w:rPr>
            </w:pPr>
            <w:r w:rsidRPr="00BA0FBF">
              <w:rPr>
                <w:sz w:val="18"/>
              </w:rPr>
              <w:t>n/a</w:t>
            </w:r>
          </w:p>
        </w:tc>
        <w:tc>
          <w:tcPr>
            <w:tcW w:w="370" w:type="pct"/>
          </w:tcPr>
          <w:p w:rsidR="0015554C" w:rsidRPr="00BA0FBF" w:rsidRDefault="0015554C" w:rsidP="002A2619">
            <w:pPr>
              <w:pStyle w:val="TableTextCentred"/>
              <w:keepNext/>
              <w:keepLines/>
              <w:cnfStyle w:val="000000100000" w:firstRow="0" w:lastRow="0" w:firstColumn="0" w:lastColumn="0" w:oddVBand="0" w:evenVBand="0" w:oddHBand="1" w:evenHBand="0" w:firstRowFirstColumn="0" w:firstRowLastColumn="0" w:lastRowFirstColumn="0" w:lastRowLastColumn="0"/>
              <w:rPr>
                <w:sz w:val="18"/>
              </w:rPr>
            </w:pPr>
            <w:r w:rsidRPr="00BA0FBF">
              <w:rPr>
                <w:sz w:val="18"/>
              </w:rPr>
              <w:t>n/a</w:t>
            </w:r>
          </w:p>
        </w:tc>
        <w:tc>
          <w:tcPr>
            <w:tcW w:w="370" w:type="pct"/>
          </w:tcPr>
          <w:p w:rsidR="0015554C" w:rsidRPr="00BA0FBF" w:rsidRDefault="0015554C" w:rsidP="002A2619">
            <w:pPr>
              <w:pStyle w:val="TableTextCentred"/>
              <w:keepNext/>
              <w:keepLines/>
              <w:cnfStyle w:val="000000100000" w:firstRow="0" w:lastRow="0" w:firstColumn="0" w:lastColumn="0" w:oddVBand="0" w:evenVBand="0" w:oddHBand="1" w:evenHBand="0" w:firstRowFirstColumn="0" w:firstRowLastColumn="0" w:lastRowFirstColumn="0" w:lastRowLastColumn="0"/>
              <w:rPr>
                <w:sz w:val="18"/>
              </w:rPr>
            </w:pPr>
            <w:r w:rsidRPr="00BA0FBF">
              <w:rPr>
                <w:sz w:val="18"/>
              </w:rPr>
              <w:t>n/a</w:t>
            </w:r>
          </w:p>
        </w:tc>
        <w:tc>
          <w:tcPr>
            <w:tcW w:w="370" w:type="pct"/>
          </w:tcPr>
          <w:p w:rsidR="0015554C" w:rsidRPr="00BA0FBF" w:rsidRDefault="0015554C" w:rsidP="002A2619">
            <w:pPr>
              <w:pStyle w:val="TableTextCentred"/>
              <w:keepNext/>
              <w:keepLines/>
              <w:cnfStyle w:val="000000100000" w:firstRow="0" w:lastRow="0" w:firstColumn="0" w:lastColumn="0" w:oddVBand="0" w:evenVBand="0" w:oddHBand="1" w:evenHBand="0" w:firstRowFirstColumn="0" w:firstRowLastColumn="0" w:lastRowFirstColumn="0" w:lastRowLastColumn="0"/>
              <w:rPr>
                <w:sz w:val="18"/>
              </w:rPr>
            </w:pPr>
            <w:r w:rsidRPr="00BA0FBF">
              <w:rPr>
                <w:sz w:val="18"/>
              </w:rPr>
              <w:t>n/a</w:t>
            </w:r>
          </w:p>
        </w:tc>
        <w:tc>
          <w:tcPr>
            <w:tcW w:w="370" w:type="pct"/>
          </w:tcPr>
          <w:p w:rsidR="0015554C" w:rsidRPr="00BA0FBF" w:rsidRDefault="0015554C" w:rsidP="002A2619">
            <w:pPr>
              <w:pStyle w:val="TableTextCentred"/>
              <w:keepNext/>
              <w:keepLines/>
              <w:cnfStyle w:val="000000100000" w:firstRow="0" w:lastRow="0" w:firstColumn="0" w:lastColumn="0" w:oddVBand="0" w:evenVBand="0" w:oddHBand="1" w:evenHBand="0" w:firstRowFirstColumn="0" w:firstRowLastColumn="0" w:lastRowFirstColumn="0" w:lastRowLastColumn="0"/>
              <w:rPr>
                <w:sz w:val="18"/>
              </w:rPr>
            </w:pPr>
            <w:r w:rsidRPr="00BA0FBF">
              <w:rPr>
                <w:sz w:val="18"/>
              </w:rPr>
              <w:t>n/a</w:t>
            </w:r>
          </w:p>
        </w:tc>
        <w:tc>
          <w:tcPr>
            <w:tcW w:w="370" w:type="pct"/>
            <w:vAlign w:val="bottom"/>
          </w:tcPr>
          <w:p w:rsidR="0015554C" w:rsidRPr="00BA0FBF" w:rsidRDefault="0015554C" w:rsidP="002A2619">
            <w:pPr>
              <w:keepNext/>
              <w:keepLines/>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0.7%</w:t>
            </w:r>
          </w:p>
        </w:tc>
      </w:tr>
      <w:tr w:rsidR="0015554C" w:rsidRPr="00BA0FBF" w:rsidTr="00113A4E">
        <w:trPr>
          <w:cantSplit/>
        </w:trPr>
        <w:tc>
          <w:tcPr>
            <w:cnfStyle w:val="001000000000" w:firstRow="0" w:lastRow="0" w:firstColumn="1" w:lastColumn="0" w:oddVBand="0" w:evenVBand="0" w:oddHBand="0" w:evenHBand="0" w:firstRowFirstColumn="0" w:firstRowLastColumn="0" w:lastRowFirstColumn="0" w:lastRowLastColumn="0"/>
            <w:tcW w:w="936" w:type="pct"/>
          </w:tcPr>
          <w:p w:rsidR="0015554C" w:rsidRPr="00BA0FBF" w:rsidRDefault="0015554C" w:rsidP="00CE3086">
            <w:pPr>
              <w:pStyle w:val="TableText"/>
              <w:keepNext/>
              <w:keepLines/>
              <w:ind w:left="737"/>
              <w:rPr>
                <w:sz w:val="18"/>
              </w:rPr>
            </w:pPr>
            <w:r w:rsidRPr="00BA0FBF">
              <w:rPr>
                <w:sz w:val="18"/>
              </w:rPr>
              <w:t>40 to 54 years</w:t>
            </w:r>
          </w:p>
        </w:tc>
        <w:tc>
          <w:tcPr>
            <w:tcW w:w="264" w:type="pct"/>
          </w:tcPr>
          <w:p w:rsidR="0015554C" w:rsidRPr="00BA0FBF" w:rsidRDefault="0015554C" w:rsidP="002A2619">
            <w:pPr>
              <w:pStyle w:val="TableTextCentred"/>
              <w:keepNext/>
              <w:keepLines/>
              <w:cnfStyle w:val="000000000000" w:firstRow="0" w:lastRow="0" w:firstColumn="0" w:lastColumn="0" w:oddVBand="0" w:evenVBand="0" w:oddHBand="0" w:evenHBand="0" w:firstRowFirstColumn="0" w:firstRowLastColumn="0" w:lastRowFirstColumn="0" w:lastRowLastColumn="0"/>
              <w:rPr>
                <w:sz w:val="18"/>
              </w:rPr>
            </w:pPr>
            <w:r w:rsidRPr="00BA0FBF">
              <w:rPr>
                <w:sz w:val="18"/>
              </w:rPr>
              <w:t>%</w:t>
            </w:r>
          </w:p>
        </w:tc>
        <w:tc>
          <w:tcPr>
            <w:tcW w:w="316" w:type="pct"/>
          </w:tcPr>
          <w:p w:rsidR="0015554C" w:rsidRPr="00BA0FBF" w:rsidRDefault="0015554C" w:rsidP="002A2619">
            <w:pPr>
              <w:pStyle w:val="TableTextCentred"/>
              <w:keepNext/>
              <w:keepLines/>
              <w:cnfStyle w:val="000000000000" w:firstRow="0" w:lastRow="0" w:firstColumn="0" w:lastColumn="0" w:oddVBand="0" w:evenVBand="0" w:oddHBand="0" w:evenHBand="0" w:firstRowFirstColumn="0" w:firstRowLastColumn="0" w:lastRowFirstColumn="0" w:lastRowLastColumn="0"/>
              <w:rPr>
                <w:sz w:val="18"/>
              </w:rPr>
            </w:pPr>
            <w:r w:rsidRPr="00BA0FBF">
              <w:rPr>
                <w:sz w:val="18"/>
              </w:rPr>
              <w:t>7.4%</w:t>
            </w:r>
          </w:p>
        </w:tc>
        <w:tc>
          <w:tcPr>
            <w:tcW w:w="316" w:type="pct"/>
          </w:tcPr>
          <w:p w:rsidR="0015554C" w:rsidRPr="00BA0FBF" w:rsidRDefault="0015554C" w:rsidP="002A2619">
            <w:pPr>
              <w:pStyle w:val="TableTextCentred"/>
              <w:keepNext/>
              <w:keepLines/>
              <w:cnfStyle w:val="000000000000" w:firstRow="0" w:lastRow="0" w:firstColumn="0" w:lastColumn="0" w:oddVBand="0" w:evenVBand="0" w:oddHBand="0" w:evenHBand="0" w:firstRowFirstColumn="0" w:firstRowLastColumn="0" w:lastRowFirstColumn="0" w:lastRowLastColumn="0"/>
              <w:rPr>
                <w:sz w:val="18"/>
              </w:rPr>
            </w:pPr>
            <w:r w:rsidRPr="00BA0FBF">
              <w:rPr>
                <w:sz w:val="18"/>
              </w:rPr>
              <w:t>n/a</w:t>
            </w:r>
          </w:p>
        </w:tc>
        <w:tc>
          <w:tcPr>
            <w:tcW w:w="316" w:type="pct"/>
          </w:tcPr>
          <w:p w:rsidR="0015554C" w:rsidRPr="00BA0FBF" w:rsidRDefault="0015554C" w:rsidP="002A2619">
            <w:pPr>
              <w:pStyle w:val="TableTextCentred"/>
              <w:keepNext/>
              <w:keepLines/>
              <w:cnfStyle w:val="000000000000" w:firstRow="0" w:lastRow="0" w:firstColumn="0" w:lastColumn="0" w:oddVBand="0" w:evenVBand="0" w:oddHBand="0" w:evenHBand="0" w:firstRowFirstColumn="0" w:firstRowLastColumn="0" w:lastRowFirstColumn="0" w:lastRowLastColumn="0"/>
              <w:rPr>
                <w:sz w:val="18"/>
              </w:rPr>
            </w:pPr>
            <w:r w:rsidRPr="00BA0FBF">
              <w:rPr>
                <w:sz w:val="18"/>
              </w:rPr>
              <w:t>n/a</w:t>
            </w:r>
          </w:p>
        </w:tc>
        <w:tc>
          <w:tcPr>
            <w:tcW w:w="316" w:type="pct"/>
          </w:tcPr>
          <w:p w:rsidR="0015554C" w:rsidRPr="00BA0FBF" w:rsidRDefault="0015554C" w:rsidP="002A2619">
            <w:pPr>
              <w:pStyle w:val="TableTextCentred"/>
              <w:keepNext/>
              <w:keepLines/>
              <w:cnfStyle w:val="000000000000" w:firstRow="0" w:lastRow="0" w:firstColumn="0" w:lastColumn="0" w:oddVBand="0" w:evenVBand="0" w:oddHBand="0" w:evenHBand="0" w:firstRowFirstColumn="0" w:firstRowLastColumn="0" w:lastRowFirstColumn="0" w:lastRowLastColumn="0"/>
              <w:rPr>
                <w:sz w:val="18"/>
              </w:rPr>
            </w:pPr>
            <w:r w:rsidRPr="00BA0FBF">
              <w:rPr>
                <w:sz w:val="18"/>
              </w:rPr>
              <w:t>n/a</w:t>
            </w:r>
          </w:p>
        </w:tc>
        <w:tc>
          <w:tcPr>
            <w:tcW w:w="316" w:type="pct"/>
          </w:tcPr>
          <w:p w:rsidR="0015554C" w:rsidRPr="00BA0FBF" w:rsidRDefault="0015554C" w:rsidP="002A2619">
            <w:pPr>
              <w:pStyle w:val="TableTextCentred"/>
              <w:keepNext/>
              <w:keepLines/>
              <w:cnfStyle w:val="000000000000" w:firstRow="0" w:lastRow="0" w:firstColumn="0" w:lastColumn="0" w:oddVBand="0" w:evenVBand="0" w:oddHBand="0" w:evenHBand="0" w:firstRowFirstColumn="0" w:firstRowLastColumn="0" w:lastRowFirstColumn="0" w:lastRowLastColumn="0"/>
              <w:rPr>
                <w:sz w:val="18"/>
              </w:rPr>
            </w:pPr>
            <w:r w:rsidRPr="00BA0FBF">
              <w:rPr>
                <w:sz w:val="18"/>
              </w:rPr>
              <w:t>n/a</w:t>
            </w:r>
          </w:p>
        </w:tc>
        <w:tc>
          <w:tcPr>
            <w:tcW w:w="370" w:type="pct"/>
          </w:tcPr>
          <w:p w:rsidR="0015554C" w:rsidRPr="00BA0FBF" w:rsidRDefault="0015554C" w:rsidP="002A2619">
            <w:pPr>
              <w:pStyle w:val="TableTextCentred"/>
              <w:keepNext/>
              <w:keepLines/>
              <w:cnfStyle w:val="000000000000" w:firstRow="0" w:lastRow="0" w:firstColumn="0" w:lastColumn="0" w:oddVBand="0" w:evenVBand="0" w:oddHBand="0" w:evenHBand="0" w:firstRowFirstColumn="0" w:firstRowLastColumn="0" w:lastRowFirstColumn="0" w:lastRowLastColumn="0"/>
              <w:rPr>
                <w:sz w:val="18"/>
              </w:rPr>
            </w:pPr>
            <w:r w:rsidRPr="00BA0FBF">
              <w:rPr>
                <w:sz w:val="18"/>
              </w:rPr>
              <w:t>n/a</w:t>
            </w:r>
          </w:p>
        </w:tc>
        <w:tc>
          <w:tcPr>
            <w:tcW w:w="370" w:type="pct"/>
          </w:tcPr>
          <w:p w:rsidR="0015554C" w:rsidRPr="00BA0FBF" w:rsidRDefault="0015554C" w:rsidP="002A2619">
            <w:pPr>
              <w:pStyle w:val="TableTextCentred"/>
              <w:keepNext/>
              <w:keepLines/>
              <w:cnfStyle w:val="000000000000" w:firstRow="0" w:lastRow="0" w:firstColumn="0" w:lastColumn="0" w:oddVBand="0" w:evenVBand="0" w:oddHBand="0" w:evenHBand="0" w:firstRowFirstColumn="0" w:firstRowLastColumn="0" w:lastRowFirstColumn="0" w:lastRowLastColumn="0"/>
              <w:rPr>
                <w:sz w:val="18"/>
              </w:rPr>
            </w:pPr>
            <w:r w:rsidRPr="00BA0FBF">
              <w:rPr>
                <w:sz w:val="18"/>
              </w:rPr>
              <w:t>n/a</w:t>
            </w:r>
          </w:p>
        </w:tc>
        <w:tc>
          <w:tcPr>
            <w:tcW w:w="370" w:type="pct"/>
          </w:tcPr>
          <w:p w:rsidR="0015554C" w:rsidRPr="00BA0FBF" w:rsidRDefault="0015554C" w:rsidP="002A2619">
            <w:pPr>
              <w:pStyle w:val="TableTextCentred"/>
              <w:keepNext/>
              <w:keepLines/>
              <w:cnfStyle w:val="000000000000" w:firstRow="0" w:lastRow="0" w:firstColumn="0" w:lastColumn="0" w:oddVBand="0" w:evenVBand="0" w:oddHBand="0" w:evenHBand="0" w:firstRowFirstColumn="0" w:firstRowLastColumn="0" w:lastRowFirstColumn="0" w:lastRowLastColumn="0"/>
              <w:rPr>
                <w:sz w:val="18"/>
              </w:rPr>
            </w:pPr>
            <w:r w:rsidRPr="00BA0FBF">
              <w:rPr>
                <w:sz w:val="18"/>
              </w:rPr>
              <w:t>n/a</w:t>
            </w:r>
          </w:p>
        </w:tc>
        <w:tc>
          <w:tcPr>
            <w:tcW w:w="370" w:type="pct"/>
          </w:tcPr>
          <w:p w:rsidR="0015554C" w:rsidRPr="00BA0FBF" w:rsidRDefault="0015554C" w:rsidP="002A2619">
            <w:pPr>
              <w:pStyle w:val="TableTextCentred"/>
              <w:keepNext/>
              <w:keepLines/>
              <w:cnfStyle w:val="000000000000" w:firstRow="0" w:lastRow="0" w:firstColumn="0" w:lastColumn="0" w:oddVBand="0" w:evenVBand="0" w:oddHBand="0" w:evenHBand="0" w:firstRowFirstColumn="0" w:firstRowLastColumn="0" w:lastRowFirstColumn="0" w:lastRowLastColumn="0"/>
              <w:rPr>
                <w:sz w:val="18"/>
              </w:rPr>
            </w:pPr>
            <w:r w:rsidRPr="00BA0FBF">
              <w:rPr>
                <w:sz w:val="18"/>
              </w:rPr>
              <w:t>n/a</w:t>
            </w:r>
          </w:p>
        </w:tc>
        <w:tc>
          <w:tcPr>
            <w:tcW w:w="370" w:type="pct"/>
          </w:tcPr>
          <w:p w:rsidR="0015554C" w:rsidRPr="00BA0FBF" w:rsidRDefault="0015554C" w:rsidP="002A2619">
            <w:pPr>
              <w:pStyle w:val="TableTextCentred"/>
              <w:keepNext/>
              <w:keepLines/>
              <w:cnfStyle w:val="000000000000" w:firstRow="0" w:lastRow="0" w:firstColumn="0" w:lastColumn="0" w:oddVBand="0" w:evenVBand="0" w:oddHBand="0" w:evenHBand="0" w:firstRowFirstColumn="0" w:firstRowLastColumn="0" w:lastRowFirstColumn="0" w:lastRowLastColumn="0"/>
              <w:rPr>
                <w:sz w:val="18"/>
              </w:rPr>
            </w:pPr>
            <w:r w:rsidRPr="00BA0FBF">
              <w:rPr>
                <w:sz w:val="18"/>
              </w:rPr>
              <w:t>n/a</w:t>
            </w:r>
          </w:p>
        </w:tc>
        <w:tc>
          <w:tcPr>
            <w:tcW w:w="370" w:type="pct"/>
            <w:vAlign w:val="bottom"/>
          </w:tcPr>
          <w:p w:rsidR="0015554C" w:rsidRPr="00BA0FBF" w:rsidRDefault="0015554C" w:rsidP="002A2619">
            <w:pPr>
              <w:keepNext/>
              <w:keepLines/>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0.6%</w:t>
            </w:r>
          </w:p>
        </w:tc>
      </w:tr>
      <w:tr w:rsidR="0015554C" w:rsidRPr="00BA0FBF" w:rsidTr="00113A4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6" w:type="pct"/>
          </w:tcPr>
          <w:p w:rsidR="0015554C" w:rsidRPr="00BA0FBF" w:rsidRDefault="0015554C" w:rsidP="00CE3086">
            <w:pPr>
              <w:pStyle w:val="TableText"/>
              <w:keepNext/>
              <w:keepLines/>
              <w:ind w:left="737"/>
              <w:rPr>
                <w:sz w:val="18"/>
              </w:rPr>
            </w:pPr>
            <w:r w:rsidRPr="00BA0FBF">
              <w:rPr>
                <w:sz w:val="18"/>
              </w:rPr>
              <w:t>54 to 64 years</w:t>
            </w:r>
          </w:p>
        </w:tc>
        <w:tc>
          <w:tcPr>
            <w:tcW w:w="264" w:type="pct"/>
          </w:tcPr>
          <w:p w:rsidR="0015554C" w:rsidRPr="00BA0FBF" w:rsidRDefault="0015554C" w:rsidP="002A2619">
            <w:pPr>
              <w:pStyle w:val="TableTextCentred"/>
              <w:keepNext/>
              <w:keepLines/>
              <w:cnfStyle w:val="000000100000" w:firstRow="0" w:lastRow="0" w:firstColumn="0" w:lastColumn="0" w:oddVBand="0" w:evenVBand="0" w:oddHBand="1" w:evenHBand="0" w:firstRowFirstColumn="0" w:firstRowLastColumn="0" w:lastRowFirstColumn="0" w:lastRowLastColumn="0"/>
              <w:rPr>
                <w:sz w:val="18"/>
              </w:rPr>
            </w:pPr>
            <w:r w:rsidRPr="00BA0FBF">
              <w:rPr>
                <w:sz w:val="18"/>
              </w:rPr>
              <w:t>%</w:t>
            </w:r>
          </w:p>
        </w:tc>
        <w:tc>
          <w:tcPr>
            <w:tcW w:w="316" w:type="pct"/>
          </w:tcPr>
          <w:p w:rsidR="0015554C" w:rsidRPr="00BA0FBF" w:rsidRDefault="0015554C" w:rsidP="002A2619">
            <w:pPr>
              <w:pStyle w:val="TableTextCentred"/>
              <w:keepNext/>
              <w:keepLines/>
              <w:cnfStyle w:val="000000100000" w:firstRow="0" w:lastRow="0" w:firstColumn="0" w:lastColumn="0" w:oddVBand="0" w:evenVBand="0" w:oddHBand="1" w:evenHBand="0" w:firstRowFirstColumn="0" w:firstRowLastColumn="0" w:lastRowFirstColumn="0" w:lastRowLastColumn="0"/>
              <w:rPr>
                <w:sz w:val="18"/>
              </w:rPr>
            </w:pPr>
            <w:r w:rsidRPr="00BA0FBF">
              <w:rPr>
                <w:sz w:val="18"/>
              </w:rPr>
              <w:t>7.8%</w:t>
            </w:r>
          </w:p>
        </w:tc>
        <w:tc>
          <w:tcPr>
            <w:tcW w:w="316" w:type="pct"/>
          </w:tcPr>
          <w:p w:rsidR="0015554C" w:rsidRPr="00BA0FBF" w:rsidRDefault="0015554C" w:rsidP="002A2619">
            <w:pPr>
              <w:pStyle w:val="TableTextCentred"/>
              <w:keepNext/>
              <w:keepLines/>
              <w:cnfStyle w:val="000000100000" w:firstRow="0" w:lastRow="0" w:firstColumn="0" w:lastColumn="0" w:oddVBand="0" w:evenVBand="0" w:oddHBand="1" w:evenHBand="0" w:firstRowFirstColumn="0" w:firstRowLastColumn="0" w:lastRowFirstColumn="0" w:lastRowLastColumn="0"/>
              <w:rPr>
                <w:sz w:val="18"/>
              </w:rPr>
            </w:pPr>
            <w:r w:rsidRPr="00BA0FBF">
              <w:rPr>
                <w:sz w:val="18"/>
              </w:rPr>
              <w:t>n/a</w:t>
            </w:r>
          </w:p>
        </w:tc>
        <w:tc>
          <w:tcPr>
            <w:tcW w:w="316" w:type="pct"/>
          </w:tcPr>
          <w:p w:rsidR="0015554C" w:rsidRPr="00BA0FBF" w:rsidRDefault="0015554C" w:rsidP="002A2619">
            <w:pPr>
              <w:pStyle w:val="TableTextCentred"/>
              <w:keepNext/>
              <w:keepLines/>
              <w:cnfStyle w:val="000000100000" w:firstRow="0" w:lastRow="0" w:firstColumn="0" w:lastColumn="0" w:oddVBand="0" w:evenVBand="0" w:oddHBand="1" w:evenHBand="0" w:firstRowFirstColumn="0" w:firstRowLastColumn="0" w:lastRowFirstColumn="0" w:lastRowLastColumn="0"/>
              <w:rPr>
                <w:sz w:val="18"/>
              </w:rPr>
            </w:pPr>
            <w:r w:rsidRPr="00BA0FBF">
              <w:rPr>
                <w:sz w:val="18"/>
              </w:rPr>
              <w:t>n/a</w:t>
            </w:r>
          </w:p>
        </w:tc>
        <w:tc>
          <w:tcPr>
            <w:tcW w:w="316" w:type="pct"/>
          </w:tcPr>
          <w:p w:rsidR="0015554C" w:rsidRPr="00BA0FBF" w:rsidRDefault="0015554C" w:rsidP="002A2619">
            <w:pPr>
              <w:pStyle w:val="TableTextCentred"/>
              <w:keepNext/>
              <w:keepLines/>
              <w:cnfStyle w:val="000000100000" w:firstRow="0" w:lastRow="0" w:firstColumn="0" w:lastColumn="0" w:oddVBand="0" w:evenVBand="0" w:oddHBand="1" w:evenHBand="0" w:firstRowFirstColumn="0" w:firstRowLastColumn="0" w:lastRowFirstColumn="0" w:lastRowLastColumn="0"/>
              <w:rPr>
                <w:sz w:val="18"/>
              </w:rPr>
            </w:pPr>
            <w:r w:rsidRPr="00BA0FBF">
              <w:rPr>
                <w:sz w:val="18"/>
              </w:rPr>
              <w:t>n/a</w:t>
            </w:r>
          </w:p>
        </w:tc>
        <w:tc>
          <w:tcPr>
            <w:tcW w:w="316" w:type="pct"/>
          </w:tcPr>
          <w:p w:rsidR="0015554C" w:rsidRPr="00BA0FBF" w:rsidRDefault="0015554C" w:rsidP="002A2619">
            <w:pPr>
              <w:pStyle w:val="TableTextCentred"/>
              <w:keepNext/>
              <w:keepLines/>
              <w:cnfStyle w:val="000000100000" w:firstRow="0" w:lastRow="0" w:firstColumn="0" w:lastColumn="0" w:oddVBand="0" w:evenVBand="0" w:oddHBand="1" w:evenHBand="0" w:firstRowFirstColumn="0" w:firstRowLastColumn="0" w:lastRowFirstColumn="0" w:lastRowLastColumn="0"/>
              <w:rPr>
                <w:sz w:val="18"/>
              </w:rPr>
            </w:pPr>
            <w:r w:rsidRPr="00BA0FBF">
              <w:rPr>
                <w:sz w:val="18"/>
              </w:rPr>
              <w:t>n/a</w:t>
            </w:r>
          </w:p>
        </w:tc>
        <w:tc>
          <w:tcPr>
            <w:tcW w:w="370" w:type="pct"/>
          </w:tcPr>
          <w:p w:rsidR="0015554C" w:rsidRPr="00BA0FBF" w:rsidRDefault="0015554C" w:rsidP="002A2619">
            <w:pPr>
              <w:pStyle w:val="TableTextCentred"/>
              <w:keepNext/>
              <w:keepLines/>
              <w:cnfStyle w:val="000000100000" w:firstRow="0" w:lastRow="0" w:firstColumn="0" w:lastColumn="0" w:oddVBand="0" w:evenVBand="0" w:oddHBand="1" w:evenHBand="0" w:firstRowFirstColumn="0" w:firstRowLastColumn="0" w:lastRowFirstColumn="0" w:lastRowLastColumn="0"/>
              <w:rPr>
                <w:sz w:val="18"/>
              </w:rPr>
            </w:pPr>
            <w:r w:rsidRPr="00BA0FBF">
              <w:rPr>
                <w:sz w:val="18"/>
              </w:rPr>
              <w:t>n/a</w:t>
            </w:r>
          </w:p>
        </w:tc>
        <w:tc>
          <w:tcPr>
            <w:tcW w:w="370" w:type="pct"/>
          </w:tcPr>
          <w:p w:rsidR="0015554C" w:rsidRPr="00BA0FBF" w:rsidRDefault="0015554C" w:rsidP="002A2619">
            <w:pPr>
              <w:pStyle w:val="TableTextCentred"/>
              <w:keepNext/>
              <w:keepLines/>
              <w:cnfStyle w:val="000000100000" w:firstRow="0" w:lastRow="0" w:firstColumn="0" w:lastColumn="0" w:oddVBand="0" w:evenVBand="0" w:oddHBand="1" w:evenHBand="0" w:firstRowFirstColumn="0" w:firstRowLastColumn="0" w:lastRowFirstColumn="0" w:lastRowLastColumn="0"/>
              <w:rPr>
                <w:sz w:val="18"/>
              </w:rPr>
            </w:pPr>
            <w:r w:rsidRPr="00BA0FBF">
              <w:rPr>
                <w:sz w:val="18"/>
              </w:rPr>
              <w:t>n/a</w:t>
            </w:r>
          </w:p>
        </w:tc>
        <w:tc>
          <w:tcPr>
            <w:tcW w:w="370" w:type="pct"/>
          </w:tcPr>
          <w:p w:rsidR="0015554C" w:rsidRPr="00BA0FBF" w:rsidRDefault="0015554C" w:rsidP="002A2619">
            <w:pPr>
              <w:pStyle w:val="TableTextCentred"/>
              <w:keepNext/>
              <w:keepLines/>
              <w:cnfStyle w:val="000000100000" w:firstRow="0" w:lastRow="0" w:firstColumn="0" w:lastColumn="0" w:oddVBand="0" w:evenVBand="0" w:oddHBand="1" w:evenHBand="0" w:firstRowFirstColumn="0" w:firstRowLastColumn="0" w:lastRowFirstColumn="0" w:lastRowLastColumn="0"/>
              <w:rPr>
                <w:sz w:val="18"/>
              </w:rPr>
            </w:pPr>
            <w:r w:rsidRPr="00BA0FBF">
              <w:rPr>
                <w:sz w:val="18"/>
              </w:rPr>
              <w:t>n/a</w:t>
            </w:r>
          </w:p>
        </w:tc>
        <w:tc>
          <w:tcPr>
            <w:tcW w:w="370" w:type="pct"/>
          </w:tcPr>
          <w:p w:rsidR="0015554C" w:rsidRPr="00BA0FBF" w:rsidRDefault="0015554C" w:rsidP="002A2619">
            <w:pPr>
              <w:pStyle w:val="TableTextCentred"/>
              <w:keepNext/>
              <w:keepLines/>
              <w:cnfStyle w:val="000000100000" w:firstRow="0" w:lastRow="0" w:firstColumn="0" w:lastColumn="0" w:oddVBand="0" w:evenVBand="0" w:oddHBand="1" w:evenHBand="0" w:firstRowFirstColumn="0" w:firstRowLastColumn="0" w:lastRowFirstColumn="0" w:lastRowLastColumn="0"/>
              <w:rPr>
                <w:sz w:val="18"/>
              </w:rPr>
            </w:pPr>
            <w:r w:rsidRPr="00BA0FBF">
              <w:rPr>
                <w:sz w:val="18"/>
              </w:rPr>
              <w:t>n/a</w:t>
            </w:r>
          </w:p>
        </w:tc>
        <w:tc>
          <w:tcPr>
            <w:tcW w:w="370" w:type="pct"/>
          </w:tcPr>
          <w:p w:rsidR="0015554C" w:rsidRPr="00BA0FBF" w:rsidRDefault="0015554C" w:rsidP="002A2619">
            <w:pPr>
              <w:pStyle w:val="TableTextCentred"/>
              <w:keepNext/>
              <w:keepLines/>
              <w:cnfStyle w:val="000000100000" w:firstRow="0" w:lastRow="0" w:firstColumn="0" w:lastColumn="0" w:oddVBand="0" w:evenVBand="0" w:oddHBand="1" w:evenHBand="0" w:firstRowFirstColumn="0" w:firstRowLastColumn="0" w:lastRowFirstColumn="0" w:lastRowLastColumn="0"/>
              <w:rPr>
                <w:sz w:val="18"/>
              </w:rPr>
            </w:pPr>
            <w:r w:rsidRPr="00BA0FBF">
              <w:rPr>
                <w:sz w:val="18"/>
              </w:rPr>
              <w:t>n/a</w:t>
            </w:r>
          </w:p>
        </w:tc>
        <w:tc>
          <w:tcPr>
            <w:tcW w:w="370" w:type="pct"/>
            <w:vAlign w:val="bottom"/>
          </w:tcPr>
          <w:p w:rsidR="0015554C" w:rsidRPr="00BA0FBF" w:rsidRDefault="0015554C" w:rsidP="002A2619">
            <w:pPr>
              <w:keepNext/>
              <w:keepLines/>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1.0%</w:t>
            </w:r>
          </w:p>
        </w:tc>
      </w:tr>
      <w:tr w:rsidR="0015554C" w:rsidRPr="00BA0FBF" w:rsidTr="00113A4E">
        <w:trPr>
          <w:cantSplit/>
        </w:trPr>
        <w:tc>
          <w:tcPr>
            <w:cnfStyle w:val="001000000000" w:firstRow="0" w:lastRow="0" w:firstColumn="1" w:lastColumn="0" w:oddVBand="0" w:evenVBand="0" w:oddHBand="0" w:evenHBand="0" w:firstRowFirstColumn="0" w:firstRowLastColumn="0" w:lastRowFirstColumn="0" w:lastRowLastColumn="0"/>
            <w:tcW w:w="936" w:type="pct"/>
          </w:tcPr>
          <w:p w:rsidR="0015554C" w:rsidRPr="00BA0FBF" w:rsidRDefault="0015554C" w:rsidP="00CE3086">
            <w:pPr>
              <w:pStyle w:val="TableText"/>
              <w:keepNext/>
              <w:keepLines/>
              <w:ind w:left="737"/>
              <w:rPr>
                <w:sz w:val="18"/>
              </w:rPr>
            </w:pPr>
            <w:r w:rsidRPr="00BA0FBF">
              <w:rPr>
                <w:sz w:val="18"/>
              </w:rPr>
              <w:t>65 + years</w:t>
            </w:r>
          </w:p>
        </w:tc>
        <w:tc>
          <w:tcPr>
            <w:tcW w:w="264" w:type="pct"/>
          </w:tcPr>
          <w:p w:rsidR="0015554C" w:rsidRPr="00BA0FBF" w:rsidRDefault="0015554C" w:rsidP="002A2619">
            <w:pPr>
              <w:pStyle w:val="TableTextCentred"/>
              <w:keepNext/>
              <w:keepLines/>
              <w:cnfStyle w:val="000000000000" w:firstRow="0" w:lastRow="0" w:firstColumn="0" w:lastColumn="0" w:oddVBand="0" w:evenVBand="0" w:oddHBand="0" w:evenHBand="0" w:firstRowFirstColumn="0" w:firstRowLastColumn="0" w:lastRowFirstColumn="0" w:lastRowLastColumn="0"/>
              <w:rPr>
                <w:sz w:val="18"/>
              </w:rPr>
            </w:pPr>
            <w:r w:rsidRPr="00BA0FBF">
              <w:rPr>
                <w:sz w:val="18"/>
              </w:rPr>
              <w:t>%</w:t>
            </w:r>
          </w:p>
        </w:tc>
        <w:tc>
          <w:tcPr>
            <w:tcW w:w="316" w:type="pct"/>
          </w:tcPr>
          <w:p w:rsidR="0015554C" w:rsidRPr="00BA0FBF" w:rsidRDefault="0015554C" w:rsidP="002A2619">
            <w:pPr>
              <w:pStyle w:val="TableTextCentred"/>
              <w:keepNext/>
              <w:keepLines/>
              <w:cnfStyle w:val="000000000000" w:firstRow="0" w:lastRow="0" w:firstColumn="0" w:lastColumn="0" w:oddVBand="0" w:evenVBand="0" w:oddHBand="0" w:evenHBand="0" w:firstRowFirstColumn="0" w:firstRowLastColumn="0" w:lastRowFirstColumn="0" w:lastRowLastColumn="0"/>
              <w:rPr>
                <w:sz w:val="18"/>
              </w:rPr>
            </w:pPr>
            <w:r w:rsidRPr="00BA0FBF">
              <w:rPr>
                <w:sz w:val="18"/>
              </w:rPr>
              <w:t>0.3%</w:t>
            </w:r>
          </w:p>
        </w:tc>
        <w:tc>
          <w:tcPr>
            <w:tcW w:w="316" w:type="pct"/>
          </w:tcPr>
          <w:p w:rsidR="0015554C" w:rsidRPr="00BA0FBF" w:rsidRDefault="0015554C" w:rsidP="002A2619">
            <w:pPr>
              <w:pStyle w:val="TableTextCentred"/>
              <w:keepNext/>
              <w:keepLines/>
              <w:cnfStyle w:val="000000000000" w:firstRow="0" w:lastRow="0" w:firstColumn="0" w:lastColumn="0" w:oddVBand="0" w:evenVBand="0" w:oddHBand="0" w:evenHBand="0" w:firstRowFirstColumn="0" w:firstRowLastColumn="0" w:lastRowFirstColumn="0" w:lastRowLastColumn="0"/>
              <w:rPr>
                <w:sz w:val="18"/>
              </w:rPr>
            </w:pPr>
            <w:r w:rsidRPr="00BA0FBF">
              <w:rPr>
                <w:sz w:val="18"/>
              </w:rPr>
              <w:t>n/a</w:t>
            </w:r>
          </w:p>
        </w:tc>
        <w:tc>
          <w:tcPr>
            <w:tcW w:w="316" w:type="pct"/>
          </w:tcPr>
          <w:p w:rsidR="0015554C" w:rsidRPr="00BA0FBF" w:rsidRDefault="0015554C" w:rsidP="002A2619">
            <w:pPr>
              <w:pStyle w:val="TableTextCentred"/>
              <w:keepNext/>
              <w:keepLines/>
              <w:cnfStyle w:val="000000000000" w:firstRow="0" w:lastRow="0" w:firstColumn="0" w:lastColumn="0" w:oddVBand="0" w:evenVBand="0" w:oddHBand="0" w:evenHBand="0" w:firstRowFirstColumn="0" w:firstRowLastColumn="0" w:lastRowFirstColumn="0" w:lastRowLastColumn="0"/>
              <w:rPr>
                <w:sz w:val="18"/>
              </w:rPr>
            </w:pPr>
            <w:r w:rsidRPr="00BA0FBF">
              <w:rPr>
                <w:sz w:val="18"/>
              </w:rPr>
              <w:t>n/a</w:t>
            </w:r>
          </w:p>
        </w:tc>
        <w:tc>
          <w:tcPr>
            <w:tcW w:w="316" w:type="pct"/>
          </w:tcPr>
          <w:p w:rsidR="0015554C" w:rsidRPr="00BA0FBF" w:rsidRDefault="0015554C" w:rsidP="002A2619">
            <w:pPr>
              <w:pStyle w:val="TableTextCentred"/>
              <w:keepNext/>
              <w:keepLines/>
              <w:cnfStyle w:val="000000000000" w:firstRow="0" w:lastRow="0" w:firstColumn="0" w:lastColumn="0" w:oddVBand="0" w:evenVBand="0" w:oddHBand="0" w:evenHBand="0" w:firstRowFirstColumn="0" w:firstRowLastColumn="0" w:lastRowFirstColumn="0" w:lastRowLastColumn="0"/>
              <w:rPr>
                <w:sz w:val="18"/>
              </w:rPr>
            </w:pPr>
            <w:r w:rsidRPr="00BA0FBF">
              <w:rPr>
                <w:sz w:val="18"/>
              </w:rPr>
              <w:t>n/a</w:t>
            </w:r>
          </w:p>
        </w:tc>
        <w:tc>
          <w:tcPr>
            <w:tcW w:w="316" w:type="pct"/>
          </w:tcPr>
          <w:p w:rsidR="0015554C" w:rsidRPr="00BA0FBF" w:rsidRDefault="0015554C" w:rsidP="002A2619">
            <w:pPr>
              <w:pStyle w:val="TableTextCentred"/>
              <w:keepNext/>
              <w:keepLines/>
              <w:cnfStyle w:val="000000000000" w:firstRow="0" w:lastRow="0" w:firstColumn="0" w:lastColumn="0" w:oddVBand="0" w:evenVBand="0" w:oddHBand="0" w:evenHBand="0" w:firstRowFirstColumn="0" w:firstRowLastColumn="0" w:lastRowFirstColumn="0" w:lastRowLastColumn="0"/>
              <w:rPr>
                <w:sz w:val="18"/>
              </w:rPr>
            </w:pPr>
            <w:r w:rsidRPr="00BA0FBF">
              <w:rPr>
                <w:sz w:val="18"/>
              </w:rPr>
              <w:t>n/a</w:t>
            </w:r>
          </w:p>
        </w:tc>
        <w:tc>
          <w:tcPr>
            <w:tcW w:w="370" w:type="pct"/>
          </w:tcPr>
          <w:p w:rsidR="0015554C" w:rsidRPr="00BA0FBF" w:rsidRDefault="0015554C" w:rsidP="002A2619">
            <w:pPr>
              <w:pStyle w:val="TableTextCentred"/>
              <w:keepNext/>
              <w:keepLines/>
              <w:cnfStyle w:val="000000000000" w:firstRow="0" w:lastRow="0" w:firstColumn="0" w:lastColumn="0" w:oddVBand="0" w:evenVBand="0" w:oddHBand="0" w:evenHBand="0" w:firstRowFirstColumn="0" w:firstRowLastColumn="0" w:lastRowFirstColumn="0" w:lastRowLastColumn="0"/>
              <w:rPr>
                <w:sz w:val="18"/>
              </w:rPr>
            </w:pPr>
            <w:r w:rsidRPr="00BA0FBF">
              <w:rPr>
                <w:sz w:val="18"/>
              </w:rPr>
              <w:t>n/a</w:t>
            </w:r>
          </w:p>
        </w:tc>
        <w:tc>
          <w:tcPr>
            <w:tcW w:w="370" w:type="pct"/>
          </w:tcPr>
          <w:p w:rsidR="0015554C" w:rsidRPr="00BA0FBF" w:rsidRDefault="0015554C" w:rsidP="002A2619">
            <w:pPr>
              <w:pStyle w:val="TableTextCentred"/>
              <w:keepNext/>
              <w:keepLines/>
              <w:cnfStyle w:val="000000000000" w:firstRow="0" w:lastRow="0" w:firstColumn="0" w:lastColumn="0" w:oddVBand="0" w:evenVBand="0" w:oddHBand="0" w:evenHBand="0" w:firstRowFirstColumn="0" w:firstRowLastColumn="0" w:lastRowFirstColumn="0" w:lastRowLastColumn="0"/>
              <w:rPr>
                <w:sz w:val="18"/>
              </w:rPr>
            </w:pPr>
            <w:r w:rsidRPr="00BA0FBF">
              <w:rPr>
                <w:sz w:val="18"/>
              </w:rPr>
              <w:t>n/a</w:t>
            </w:r>
          </w:p>
        </w:tc>
        <w:tc>
          <w:tcPr>
            <w:tcW w:w="370" w:type="pct"/>
          </w:tcPr>
          <w:p w:rsidR="0015554C" w:rsidRPr="00BA0FBF" w:rsidRDefault="0015554C" w:rsidP="002A2619">
            <w:pPr>
              <w:pStyle w:val="TableTextCentred"/>
              <w:keepNext/>
              <w:keepLines/>
              <w:cnfStyle w:val="000000000000" w:firstRow="0" w:lastRow="0" w:firstColumn="0" w:lastColumn="0" w:oddVBand="0" w:evenVBand="0" w:oddHBand="0" w:evenHBand="0" w:firstRowFirstColumn="0" w:firstRowLastColumn="0" w:lastRowFirstColumn="0" w:lastRowLastColumn="0"/>
              <w:rPr>
                <w:sz w:val="18"/>
              </w:rPr>
            </w:pPr>
            <w:r w:rsidRPr="00BA0FBF">
              <w:rPr>
                <w:sz w:val="18"/>
              </w:rPr>
              <w:t>n/a</w:t>
            </w:r>
          </w:p>
        </w:tc>
        <w:tc>
          <w:tcPr>
            <w:tcW w:w="370" w:type="pct"/>
          </w:tcPr>
          <w:p w:rsidR="0015554C" w:rsidRPr="00BA0FBF" w:rsidRDefault="0015554C" w:rsidP="002A2619">
            <w:pPr>
              <w:pStyle w:val="TableTextCentred"/>
              <w:keepNext/>
              <w:keepLines/>
              <w:cnfStyle w:val="000000000000" w:firstRow="0" w:lastRow="0" w:firstColumn="0" w:lastColumn="0" w:oddVBand="0" w:evenVBand="0" w:oddHBand="0" w:evenHBand="0" w:firstRowFirstColumn="0" w:firstRowLastColumn="0" w:lastRowFirstColumn="0" w:lastRowLastColumn="0"/>
              <w:rPr>
                <w:sz w:val="18"/>
              </w:rPr>
            </w:pPr>
            <w:r w:rsidRPr="00BA0FBF">
              <w:rPr>
                <w:sz w:val="18"/>
              </w:rPr>
              <w:t>n/a</w:t>
            </w:r>
          </w:p>
        </w:tc>
        <w:tc>
          <w:tcPr>
            <w:tcW w:w="370" w:type="pct"/>
          </w:tcPr>
          <w:p w:rsidR="0015554C" w:rsidRPr="00BA0FBF" w:rsidRDefault="0015554C" w:rsidP="002A2619">
            <w:pPr>
              <w:pStyle w:val="TableTextCentred"/>
              <w:keepNext/>
              <w:keepLines/>
              <w:cnfStyle w:val="000000000000" w:firstRow="0" w:lastRow="0" w:firstColumn="0" w:lastColumn="0" w:oddVBand="0" w:evenVBand="0" w:oddHBand="0" w:evenHBand="0" w:firstRowFirstColumn="0" w:firstRowLastColumn="0" w:lastRowFirstColumn="0" w:lastRowLastColumn="0"/>
              <w:rPr>
                <w:sz w:val="18"/>
              </w:rPr>
            </w:pPr>
            <w:r w:rsidRPr="00BA0FBF">
              <w:rPr>
                <w:sz w:val="18"/>
              </w:rPr>
              <w:t>n/a</w:t>
            </w:r>
          </w:p>
        </w:tc>
        <w:tc>
          <w:tcPr>
            <w:tcW w:w="370" w:type="pct"/>
            <w:vAlign w:val="bottom"/>
          </w:tcPr>
          <w:p w:rsidR="0015554C" w:rsidRPr="00BA0FBF" w:rsidRDefault="0015554C" w:rsidP="002A2619">
            <w:pPr>
              <w:keepNext/>
              <w:keepLines/>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20"/>
              </w:rPr>
            </w:pPr>
            <w:r w:rsidRPr="00BA0FBF">
              <w:rPr>
                <w:rFonts w:ascii="Calibri" w:hAnsi="Calibri"/>
                <w:color w:val="000000"/>
                <w:sz w:val="18"/>
                <w:szCs w:val="20"/>
              </w:rPr>
              <w:t>0.0%</w:t>
            </w:r>
          </w:p>
        </w:tc>
      </w:tr>
    </w:tbl>
    <w:p w:rsidR="0015554C" w:rsidRPr="00BA0FBF" w:rsidRDefault="00011C76" w:rsidP="00011C76">
      <w:pPr>
        <w:pStyle w:val="Source"/>
        <w:sectPr w:rsidR="0015554C" w:rsidRPr="00BA0FBF" w:rsidSect="00F256DF">
          <w:headerReference w:type="even" r:id="rId77"/>
          <w:headerReference w:type="default" r:id="rId78"/>
          <w:footerReference w:type="even" r:id="rId79"/>
          <w:footerReference w:type="default" r:id="rId80"/>
          <w:pgSz w:w="16838" w:h="11906" w:orient="landscape" w:code="9"/>
          <w:pgMar w:top="1361" w:right="1797" w:bottom="1474" w:left="1797" w:header="283" w:footer="454" w:gutter="0"/>
          <w:cols w:space="708"/>
          <w:docGrid w:linePitch="360"/>
        </w:sectPr>
      </w:pPr>
      <w:r>
        <w:t xml:space="preserve">Source: </w:t>
      </w:r>
      <w:r w:rsidR="004E109F">
        <w:t>PBO analysis based on data from the ABS and Treasury</w:t>
      </w:r>
    </w:p>
    <w:p w:rsidR="00393A29" w:rsidRPr="007209AE" w:rsidRDefault="00BC0EA5" w:rsidP="00393A29">
      <w:pPr>
        <w:pStyle w:val="Heading8"/>
        <w:rPr>
          <w:sz w:val="36"/>
          <w:szCs w:val="36"/>
        </w:rPr>
      </w:pPr>
      <w:bookmarkStart w:id="299" w:name="_Toc436400363"/>
      <w:bookmarkStart w:id="300" w:name="_Toc436652248"/>
      <w:bookmarkStart w:id="301" w:name="_Toc436652286"/>
      <w:r w:rsidRPr="007209AE">
        <w:rPr>
          <w:sz w:val="36"/>
          <w:szCs w:val="36"/>
        </w:rPr>
        <w:t xml:space="preserve"> </w:t>
      </w:r>
      <w:bookmarkStart w:id="302" w:name="_Toc436917837"/>
      <w:bookmarkStart w:id="303" w:name="_Ref436925051"/>
      <w:bookmarkStart w:id="304" w:name="_Toc437438456"/>
      <w:r w:rsidRPr="007209AE">
        <w:rPr>
          <w:sz w:val="36"/>
          <w:szCs w:val="36"/>
        </w:rPr>
        <w:t xml:space="preserve">– </w:t>
      </w:r>
      <w:r w:rsidR="00393A29" w:rsidRPr="007209AE">
        <w:rPr>
          <w:sz w:val="36"/>
          <w:szCs w:val="36"/>
        </w:rPr>
        <w:t xml:space="preserve">Net GST </w:t>
      </w:r>
      <w:r w:rsidR="003A5642" w:rsidRPr="007209AE">
        <w:rPr>
          <w:sz w:val="36"/>
          <w:szCs w:val="36"/>
        </w:rPr>
        <w:t>r</w:t>
      </w:r>
      <w:r w:rsidR="00393A29" w:rsidRPr="007209AE">
        <w:rPr>
          <w:sz w:val="36"/>
          <w:szCs w:val="36"/>
        </w:rPr>
        <w:t xml:space="preserve">evenue from </w:t>
      </w:r>
      <w:r w:rsidR="007831A5" w:rsidRPr="007209AE">
        <w:rPr>
          <w:sz w:val="36"/>
          <w:szCs w:val="36"/>
        </w:rPr>
        <w:t>s</w:t>
      </w:r>
      <w:r w:rsidR="00393A29" w:rsidRPr="007209AE">
        <w:rPr>
          <w:sz w:val="36"/>
          <w:szCs w:val="36"/>
        </w:rPr>
        <w:t>cenarios</w:t>
      </w:r>
      <w:bookmarkEnd w:id="302"/>
      <w:bookmarkEnd w:id="303"/>
      <w:bookmarkEnd w:id="304"/>
    </w:p>
    <w:bookmarkEnd w:id="299"/>
    <w:bookmarkEnd w:id="300"/>
    <w:bookmarkEnd w:id="301"/>
    <w:p w:rsidR="00F95381" w:rsidRPr="0015554C" w:rsidRDefault="00F95381" w:rsidP="0015554C">
      <w:pPr>
        <w:pStyle w:val="BodyText"/>
      </w:pPr>
      <w:r w:rsidRPr="0015554C">
        <w:t xml:space="preserve">This </w:t>
      </w:r>
      <w:r w:rsidR="007831A5">
        <w:t>a</w:t>
      </w:r>
      <w:r w:rsidRPr="0015554C">
        <w:t xml:space="preserve">ppendix provides details of the </w:t>
      </w:r>
      <w:r w:rsidR="002F0796" w:rsidRPr="0015554C">
        <w:t xml:space="preserve">net </w:t>
      </w:r>
      <w:r w:rsidR="002945E8">
        <w:t xml:space="preserve">additional </w:t>
      </w:r>
      <w:r w:rsidR="002F0796" w:rsidRPr="0015554C">
        <w:t xml:space="preserve">GST </w:t>
      </w:r>
      <w:r w:rsidR="007831A5">
        <w:t>r</w:t>
      </w:r>
      <w:r w:rsidR="002F0796" w:rsidRPr="0015554C">
        <w:t>evenue</w:t>
      </w:r>
      <w:r w:rsidRPr="0015554C">
        <w:t xml:space="preserve"> of each of the GST </w:t>
      </w:r>
      <w:r w:rsidR="007831A5">
        <w:t>r</w:t>
      </w:r>
      <w:r w:rsidRPr="0015554C">
        <w:t xml:space="preserve">eform </w:t>
      </w:r>
      <w:r w:rsidR="007831A5">
        <w:t>s</w:t>
      </w:r>
      <w:r w:rsidRPr="0015554C">
        <w:t>cenarios analysed in this paper.</w:t>
      </w:r>
    </w:p>
    <w:p w:rsidR="00F95381" w:rsidRPr="0015554C" w:rsidRDefault="00F95381" w:rsidP="0015554C">
      <w:pPr>
        <w:pStyle w:val="BodyText"/>
      </w:pPr>
      <w:r w:rsidRPr="0015554C">
        <w:t>Estimates are provided from 2017</w:t>
      </w:r>
      <w:r w:rsidR="007831A5">
        <w:t>–</w:t>
      </w:r>
      <w:r w:rsidRPr="0015554C">
        <w:t>18 to 2025</w:t>
      </w:r>
      <w:r w:rsidR="007831A5">
        <w:t>–</w:t>
      </w:r>
      <w:r w:rsidRPr="0015554C">
        <w:t>26, with summary totals provided for the medium term.</w:t>
      </w:r>
    </w:p>
    <w:p w:rsidR="00F95381" w:rsidRPr="0015554C" w:rsidRDefault="00F95381" w:rsidP="0015554C">
      <w:pPr>
        <w:pStyle w:val="BodyText"/>
      </w:pPr>
      <w:r w:rsidRPr="0015554C">
        <w:t>The second set of tables provides details of the composition of additional GST revenue under each scenario.  It shows the revenue impact of a change in the rate of the GST separate from the revenue impact of changes in different components of the base (based on the current 10</w:t>
      </w:r>
      <w:r w:rsidR="007831A5">
        <w:t> </w:t>
      </w:r>
      <w:r w:rsidRPr="0015554C">
        <w:t>per</w:t>
      </w:r>
      <w:r w:rsidR="007831A5">
        <w:t> </w:t>
      </w:r>
      <w:r w:rsidRPr="0015554C">
        <w:t xml:space="preserve">cent GST rate).  Total </w:t>
      </w:r>
      <w:r w:rsidR="002C1D2D">
        <w:t xml:space="preserve">additional </w:t>
      </w:r>
      <w:r w:rsidRPr="0015554C">
        <w:t>GST revenue under each scenario also takes into account interactions between these proposals.</w:t>
      </w:r>
    </w:p>
    <w:p w:rsidR="00F95381" w:rsidRPr="0015554C" w:rsidRDefault="00F95381" w:rsidP="0015554C">
      <w:pPr>
        <w:pStyle w:val="BodyText"/>
        <w:sectPr w:rsidR="00F95381" w:rsidRPr="0015554C" w:rsidSect="00393A29">
          <w:headerReference w:type="even" r:id="rId81"/>
          <w:headerReference w:type="default" r:id="rId82"/>
          <w:footerReference w:type="even" r:id="rId83"/>
          <w:footerReference w:type="default" r:id="rId84"/>
          <w:headerReference w:type="first" r:id="rId85"/>
          <w:footerReference w:type="first" r:id="rId86"/>
          <w:pgSz w:w="11907" w:h="16839" w:code="9"/>
          <w:pgMar w:top="1361" w:right="1797" w:bottom="1474" w:left="1797" w:header="283" w:footer="454" w:gutter="0"/>
          <w:cols w:space="708"/>
          <w:docGrid w:linePitch="360"/>
        </w:sectPr>
      </w:pPr>
    </w:p>
    <w:p w:rsidR="00F95381" w:rsidRPr="00BA0FBF" w:rsidRDefault="00F95381" w:rsidP="0002275E">
      <w:pPr>
        <w:pStyle w:val="Heading9"/>
        <w:numPr>
          <w:ilvl w:val="0"/>
          <w:numId w:val="0"/>
        </w:numPr>
        <w:ind w:left="765" w:hanging="765"/>
      </w:pPr>
      <w:bookmarkStart w:id="305" w:name="_Toc436400364"/>
      <w:bookmarkStart w:id="306" w:name="_Ref436836917"/>
      <w:bookmarkStart w:id="307" w:name="_Ref436836996"/>
      <w:bookmarkStart w:id="308" w:name="_Toc437438457"/>
      <w:r w:rsidRPr="00BA0FBF">
        <w:t xml:space="preserve">Scenario 1: </w:t>
      </w:r>
      <w:r w:rsidR="0027470C">
        <w:t>b</w:t>
      </w:r>
      <w:r w:rsidR="001D5F01" w:rsidRPr="00BA0FBF">
        <w:t xml:space="preserve">asic food </w:t>
      </w:r>
      <w:r w:rsidR="00F24652" w:rsidRPr="00BA0FBF">
        <w:t xml:space="preserve">subject </w:t>
      </w:r>
      <w:r w:rsidR="001D5F01" w:rsidRPr="00BA0FBF">
        <w:t>to GST</w:t>
      </w:r>
      <w:bookmarkEnd w:id="305"/>
      <w:bookmarkEnd w:id="306"/>
      <w:bookmarkEnd w:id="307"/>
      <w:bookmarkEnd w:id="308"/>
      <w:r w:rsidR="001D5F01" w:rsidRPr="00BA0FBF">
        <w:t xml:space="preserve"> </w:t>
      </w:r>
    </w:p>
    <w:p w:rsidR="00F95381" w:rsidRPr="00BA0FBF" w:rsidRDefault="001D5F01" w:rsidP="00F95381">
      <w:pPr>
        <w:pStyle w:val="Caption"/>
        <w:rPr>
          <w:sz w:val="20"/>
        </w:rPr>
      </w:pPr>
      <w:r w:rsidRPr="00BA0FBF">
        <w:rPr>
          <w:sz w:val="20"/>
        </w:rPr>
        <w:t>Table C–1:  Net</w:t>
      </w:r>
      <w:r w:rsidR="0045532B">
        <w:rPr>
          <w:sz w:val="20"/>
        </w:rPr>
        <w:t xml:space="preserve"> additional</w:t>
      </w:r>
      <w:r w:rsidRPr="00BA0FBF">
        <w:rPr>
          <w:sz w:val="20"/>
        </w:rPr>
        <w:t xml:space="preserve"> GST </w:t>
      </w:r>
      <w:r w:rsidR="0027470C">
        <w:rPr>
          <w:sz w:val="20"/>
        </w:rPr>
        <w:t>r</w:t>
      </w:r>
      <w:r w:rsidRPr="00BA0FBF">
        <w:rPr>
          <w:sz w:val="20"/>
        </w:rPr>
        <w:t>evenue</w:t>
      </w:r>
      <w:r w:rsidR="00F0489B">
        <w:rPr>
          <w:sz w:val="20"/>
        </w:rPr>
        <w:t>:</w:t>
      </w:r>
      <w:r w:rsidRPr="00BA0FBF">
        <w:rPr>
          <w:sz w:val="20"/>
        </w:rPr>
        <w:t xml:space="preserve"> Scenario 1</w:t>
      </w:r>
      <w:r w:rsidR="00F0489B">
        <w:rPr>
          <w:sz w:val="20"/>
        </w:rPr>
        <w:t xml:space="preserve"> (</w:t>
      </w:r>
      <w:r w:rsidR="0027470C">
        <w:rPr>
          <w:sz w:val="20"/>
        </w:rPr>
        <w:t>b</w:t>
      </w:r>
      <w:r w:rsidRPr="00BA0FBF">
        <w:rPr>
          <w:sz w:val="20"/>
        </w:rPr>
        <w:t>asic food subject to GST</w:t>
      </w:r>
      <w:r w:rsidR="00F0489B">
        <w:rPr>
          <w:sz w:val="20"/>
        </w:rPr>
        <w:t>)</w:t>
      </w:r>
    </w:p>
    <w:tbl>
      <w:tblPr>
        <w:tblStyle w:val="TableGrid"/>
        <w:tblW w:w="4665" w:type="pct"/>
        <w:tblLook w:val="04A0" w:firstRow="1" w:lastRow="0" w:firstColumn="1" w:lastColumn="0" w:noHBand="0" w:noVBand="1"/>
      </w:tblPr>
      <w:tblGrid>
        <w:gridCol w:w="3216"/>
        <w:gridCol w:w="915"/>
        <w:gridCol w:w="915"/>
        <w:gridCol w:w="915"/>
        <w:gridCol w:w="915"/>
        <w:gridCol w:w="915"/>
        <w:gridCol w:w="915"/>
        <w:gridCol w:w="914"/>
        <w:gridCol w:w="914"/>
        <w:gridCol w:w="914"/>
        <w:gridCol w:w="909"/>
      </w:tblGrid>
      <w:tr w:rsidR="001D5F01" w:rsidRPr="00BA0FBF" w:rsidTr="001D5F01">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301" w:type="pct"/>
          </w:tcPr>
          <w:p w:rsidR="001D5F01" w:rsidRPr="00BA0FBF" w:rsidRDefault="001D5F01" w:rsidP="0045532B">
            <w:pPr>
              <w:pStyle w:val="TableHeading"/>
              <w:rPr>
                <w:sz w:val="18"/>
              </w:rPr>
            </w:pPr>
            <w:r w:rsidRPr="00BA0FBF">
              <w:rPr>
                <w:sz w:val="18"/>
              </w:rPr>
              <w:t>($b)</w:t>
            </w:r>
          </w:p>
        </w:tc>
        <w:tc>
          <w:tcPr>
            <w:tcW w:w="370" w:type="pct"/>
          </w:tcPr>
          <w:p w:rsidR="001D5F01" w:rsidRPr="00BA0FBF" w:rsidRDefault="000B1326" w:rsidP="00F95381">
            <w:pPr>
              <w:pStyle w:val="TableHeadingCentred"/>
              <w:cnfStyle w:val="100000000000" w:firstRow="1" w:lastRow="0" w:firstColumn="0" w:lastColumn="0" w:oddVBand="0" w:evenVBand="0" w:oddHBand="0" w:evenHBand="0" w:firstRowFirstColumn="0" w:firstRowLastColumn="0" w:lastRowFirstColumn="0" w:lastRowLastColumn="0"/>
              <w:rPr>
                <w:sz w:val="18"/>
              </w:rPr>
            </w:pPr>
            <w:r>
              <w:rPr>
                <w:sz w:val="18"/>
              </w:rPr>
              <w:t>2017–</w:t>
            </w:r>
            <w:r w:rsidR="001D5F01" w:rsidRPr="00BA0FBF">
              <w:rPr>
                <w:sz w:val="18"/>
              </w:rPr>
              <w:t>18</w:t>
            </w:r>
          </w:p>
        </w:tc>
        <w:tc>
          <w:tcPr>
            <w:tcW w:w="370" w:type="pct"/>
          </w:tcPr>
          <w:p w:rsidR="001D5F01" w:rsidRPr="00BA0FBF" w:rsidRDefault="001D5F01" w:rsidP="000B1326">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2018</w:t>
            </w:r>
            <w:r w:rsidR="000B1326">
              <w:rPr>
                <w:sz w:val="18"/>
              </w:rPr>
              <w:t>–</w:t>
            </w:r>
            <w:r w:rsidRPr="00BA0FBF">
              <w:rPr>
                <w:sz w:val="18"/>
              </w:rPr>
              <w:t>19</w:t>
            </w:r>
          </w:p>
        </w:tc>
        <w:tc>
          <w:tcPr>
            <w:tcW w:w="370" w:type="pct"/>
          </w:tcPr>
          <w:p w:rsidR="001D5F01" w:rsidRPr="00BA0FBF" w:rsidRDefault="000B1326" w:rsidP="00F95381">
            <w:pPr>
              <w:pStyle w:val="TableHeadingCentred"/>
              <w:cnfStyle w:val="100000000000" w:firstRow="1" w:lastRow="0" w:firstColumn="0" w:lastColumn="0" w:oddVBand="0" w:evenVBand="0" w:oddHBand="0" w:evenHBand="0" w:firstRowFirstColumn="0" w:firstRowLastColumn="0" w:lastRowFirstColumn="0" w:lastRowLastColumn="0"/>
              <w:rPr>
                <w:sz w:val="18"/>
              </w:rPr>
            </w:pPr>
            <w:r>
              <w:rPr>
                <w:sz w:val="18"/>
              </w:rPr>
              <w:t>2019–</w:t>
            </w:r>
            <w:r w:rsidR="001D5F01" w:rsidRPr="00BA0FBF">
              <w:rPr>
                <w:sz w:val="18"/>
              </w:rPr>
              <w:t>20</w:t>
            </w:r>
          </w:p>
        </w:tc>
        <w:tc>
          <w:tcPr>
            <w:tcW w:w="370" w:type="pct"/>
          </w:tcPr>
          <w:p w:rsidR="001D5F01" w:rsidRPr="00BA0FBF" w:rsidRDefault="000B1326" w:rsidP="00F95381">
            <w:pPr>
              <w:pStyle w:val="TableHeadingCentred"/>
              <w:cnfStyle w:val="100000000000" w:firstRow="1" w:lastRow="0" w:firstColumn="0" w:lastColumn="0" w:oddVBand="0" w:evenVBand="0" w:oddHBand="0" w:evenHBand="0" w:firstRowFirstColumn="0" w:firstRowLastColumn="0" w:lastRowFirstColumn="0" w:lastRowLastColumn="0"/>
              <w:rPr>
                <w:sz w:val="18"/>
              </w:rPr>
            </w:pPr>
            <w:r>
              <w:rPr>
                <w:sz w:val="18"/>
              </w:rPr>
              <w:t>2020–</w:t>
            </w:r>
            <w:r w:rsidR="001D5F01" w:rsidRPr="00BA0FBF">
              <w:rPr>
                <w:sz w:val="18"/>
              </w:rPr>
              <w:t>21</w:t>
            </w:r>
          </w:p>
        </w:tc>
        <w:tc>
          <w:tcPr>
            <w:tcW w:w="370" w:type="pct"/>
          </w:tcPr>
          <w:p w:rsidR="001D5F01" w:rsidRPr="00BA0FBF" w:rsidRDefault="000B1326" w:rsidP="00F95381">
            <w:pPr>
              <w:pStyle w:val="TableHeadingCentred"/>
              <w:cnfStyle w:val="100000000000" w:firstRow="1" w:lastRow="0" w:firstColumn="0" w:lastColumn="0" w:oddVBand="0" w:evenVBand="0" w:oddHBand="0" w:evenHBand="0" w:firstRowFirstColumn="0" w:firstRowLastColumn="0" w:lastRowFirstColumn="0" w:lastRowLastColumn="0"/>
              <w:rPr>
                <w:sz w:val="18"/>
              </w:rPr>
            </w:pPr>
            <w:r>
              <w:rPr>
                <w:sz w:val="18"/>
              </w:rPr>
              <w:t>2021–</w:t>
            </w:r>
            <w:r w:rsidR="001D5F01" w:rsidRPr="00BA0FBF">
              <w:rPr>
                <w:sz w:val="18"/>
              </w:rPr>
              <w:t>22</w:t>
            </w:r>
          </w:p>
        </w:tc>
        <w:tc>
          <w:tcPr>
            <w:tcW w:w="370" w:type="pct"/>
          </w:tcPr>
          <w:p w:rsidR="001D5F01" w:rsidRPr="00BA0FBF" w:rsidRDefault="000B1326" w:rsidP="00F95381">
            <w:pPr>
              <w:pStyle w:val="TableHeadingCentred"/>
              <w:cnfStyle w:val="100000000000" w:firstRow="1" w:lastRow="0" w:firstColumn="0" w:lastColumn="0" w:oddVBand="0" w:evenVBand="0" w:oddHBand="0" w:evenHBand="0" w:firstRowFirstColumn="0" w:firstRowLastColumn="0" w:lastRowFirstColumn="0" w:lastRowLastColumn="0"/>
              <w:rPr>
                <w:sz w:val="18"/>
              </w:rPr>
            </w:pPr>
            <w:r>
              <w:rPr>
                <w:sz w:val="18"/>
              </w:rPr>
              <w:t>2022–</w:t>
            </w:r>
            <w:r w:rsidR="001D5F01" w:rsidRPr="00BA0FBF">
              <w:rPr>
                <w:sz w:val="18"/>
              </w:rPr>
              <w:t>23</w:t>
            </w:r>
          </w:p>
        </w:tc>
        <w:tc>
          <w:tcPr>
            <w:tcW w:w="370" w:type="pct"/>
          </w:tcPr>
          <w:p w:rsidR="001D5F01" w:rsidRPr="00BA0FBF" w:rsidRDefault="000B1326" w:rsidP="00F95381">
            <w:pPr>
              <w:pStyle w:val="TableHeadingCentred"/>
              <w:cnfStyle w:val="100000000000" w:firstRow="1" w:lastRow="0" w:firstColumn="0" w:lastColumn="0" w:oddVBand="0" w:evenVBand="0" w:oddHBand="0" w:evenHBand="0" w:firstRowFirstColumn="0" w:firstRowLastColumn="0" w:lastRowFirstColumn="0" w:lastRowLastColumn="0"/>
              <w:rPr>
                <w:sz w:val="18"/>
              </w:rPr>
            </w:pPr>
            <w:r>
              <w:rPr>
                <w:sz w:val="18"/>
              </w:rPr>
              <w:t>2023–</w:t>
            </w:r>
            <w:r w:rsidR="001D5F01" w:rsidRPr="00BA0FBF">
              <w:rPr>
                <w:sz w:val="18"/>
              </w:rPr>
              <w:t>24</w:t>
            </w:r>
          </w:p>
        </w:tc>
        <w:tc>
          <w:tcPr>
            <w:tcW w:w="370" w:type="pct"/>
          </w:tcPr>
          <w:p w:rsidR="001D5F01" w:rsidRPr="00BA0FBF" w:rsidRDefault="000B1326" w:rsidP="00F95381">
            <w:pPr>
              <w:pStyle w:val="TableHeadingCentred"/>
              <w:cnfStyle w:val="100000000000" w:firstRow="1" w:lastRow="0" w:firstColumn="0" w:lastColumn="0" w:oddVBand="0" w:evenVBand="0" w:oddHBand="0" w:evenHBand="0" w:firstRowFirstColumn="0" w:firstRowLastColumn="0" w:lastRowFirstColumn="0" w:lastRowLastColumn="0"/>
              <w:rPr>
                <w:sz w:val="18"/>
              </w:rPr>
            </w:pPr>
            <w:r>
              <w:rPr>
                <w:sz w:val="18"/>
              </w:rPr>
              <w:t>2024–</w:t>
            </w:r>
            <w:r w:rsidR="001D5F01" w:rsidRPr="00BA0FBF">
              <w:rPr>
                <w:sz w:val="18"/>
              </w:rPr>
              <w:t>25</w:t>
            </w:r>
          </w:p>
        </w:tc>
        <w:tc>
          <w:tcPr>
            <w:tcW w:w="370" w:type="pct"/>
          </w:tcPr>
          <w:p w:rsidR="001D5F01" w:rsidRPr="00BA0FBF" w:rsidRDefault="000B1326" w:rsidP="00F95381">
            <w:pPr>
              <w:pStyle w:val="TableHeadingCentred"/>
              <w:cnfStyle w:val="100000000000" w:firstRow="1" w:lastRow="0" w:firstColumn="0" w:lastColumn="0" w:oddVBand="0" w:evenVBand="0" w:oddHBand="0" w:evenHBand="0" w:firstRowFirstColumn="0" w:firstRowLastColumn="0" w:lastRowFirstColumn="0" w:lastRowLastColumn="0"/>
              <w:rPr>
                <w:sz w:val="18"/>
              </w:rPr>
            </w:pPr>
            <w:r>
              <w:rPr>
                <w:sz w:val="18"/>
              </w:rPr>
              <w:t>2025–</w:t>
            </w:r>
            <w:r w:rsidR="001D5F01" w:rsidRPr="00BA0FBF">
              <w:rPr>
                <w:sz w:val="18"/>
              </w:rPr>
              <w:t>26</w:t>
            </w:r>
          </w:p>
        </w:tc>
        <w:tc>
          <w:tcPr>
            <w:tcW w:w="368" w:type="pct"/>
          </w:tcPr>
          <w:p w:rsidR="001D5F01" w:rsidRPr="00BA0FBF" w:rsidRDefault="001D5F01" w:rsidP="00F95381">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Medium Term</w:t>
            </w:r>
          </w:p>
        </w:tc>
      </w:tr>
      <w:tr w:rsidR="00391F51" w:rsidRPr="00BA0FBF" w:rsidTr="001D5F0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01" w:type="pct"/>
          </w:tcPr>
          <w:p w:rsidR="00391F51" w:rsidRPr="00BA0FBF" w:rsidRDefault="0045532B" w:rsidP="00F95381">
            <w:pPr>
              <w:pStyle w:val="TableText"/>
              <w:rPr>
                <w:sz w:val="18"/>
              </w:rPr>
            </w:pPr>
            <w:r>
              <w:rPr>
                <w:sz w:val="18"/>
              </w:rPr>
              <w:t xml:space="preserve">Additional </w:t>
            </w:r>
            <w:r w:rsidR="00391F51" w:rsidRPr="00BA0FBF">
              <w:rPr>
                <w:sz w:val="18"/>
              </w:rPr>
              <w:t>GST revenue</w:t>
            </w:r>
          </w:p>
        </w:tc>
        <w:tc>
          <w:tcPr>
            <w:tcW w:w="370" w:type="pct"/>
            <w:vAlign w:val="top"/>
          </w:tcPr>
          <w:p w:rsidR="00391F51" w:rsidRPr="00BA0FBF" w:rsidRDefault="00391F51" w:rsidP="00AA76A6">
            <w:pPr>
              <w:jc w:val="right"/>
              <w:cnfStyle w:val="000000100000" w:firstRow="0" w:lastRow="0" w:firstColumn="0" w:lastColumn="0" w:oddVBand="0" w:evenVBand="0" w:oddHBand="1" w:evenHBand="0" w:firstRowFirstColumn="0" w:firstRowLastColumn="0" w:lastRowFirstColumn="0" w:lastRowLastColumn="0"/>
              <w:rPr>
                <w:sz w:val="18"/>
              </w:rPr>
            </w:pPr>
            <w:r w:rsidRPr="00BA0FBF">
              <w:rPr>
                <w:sz w:val="18"/>
              </w:rPr>
              <w:t>7.2</w:t>
            </w:r>
          </w:p>
        </w:tc>
        <w:tc>
          <w:tcPr>
            <w:tcW w:w="370" w:type="pct"/>
            <w:vAlign w:val="top"/>
          </w:tcPr>
          <w:p w:rsidR="00391F51" w:rsidRPr="00BA0FBF" w:rsidRDefault="00391F51" w:rsidP="00AA76A6">
            <w:pPr>
              <w:jc w:val="right"/>
              <w:cnfStyle w:val="000000100000" w:firstRow="0" w:lastRow="0" w:firstColumn="0" w:lastColumn="0" w:oddVBand="0" w:evenVBand="0" w:oddHBand="1" w:evenHBand="0" w:firstRowFirstColumn="0" w:firstRowLastColumn="0" w:lastRowFirstColumn="0" w:lastRowLastColumn="0"/>
              <w:rPr>
                <w:sz w:val="18"/>
              </w:rPr>
            </w:pPr>
            <w:r w:rsidRPr="00BA0FBF">
              <w:rPr>
                <w:sz w:val="18"/>
              </w:rPr>
              <w:t>7.5</w:t>
            </w:r>
          </w:p>
        </w:tc>
        <w:tc>
          <w:tcPr>
            <w:tcW w:w="370" w:type="pct"/>
            <w:vAlign w:val="top"/>
          </w:tcPr>
          <w:p w:rsidR="00391F51" w:rsidRPr="00BA0FBF" w:rsidRDefault="00391F51" w:rsidP="00AA76A6">
            <w:pPr>
              <w:jc w:val="right"/>
              <w:cnfStyle w:val="000000100000" w:firstRow="0" w:lastRow="0" w:firstColumn="0" w:lastColumn="0" w:oddVBand="0" w:evenVBand="0" w:oddHBand="1" w:evenHBand="0" w:firstRowFirstColumn="0" w:firstRowLastColumn="0" w:lastRowFirstColumn="0" w:lastRowLastColumn="0"/>
              <w:rPr>
                <w:sz w:val="18"/>
              </w:rPr>
            </w:pPr>
            <w:r w:rsidRPr="00BA0FBF">
              <w:rPr>
                <w:sz w:val="18"/>
              </w:rPr>
              <w:t>7.8</w:t>
            </w:r>
          </w:p>
        </w:tc>
        <w:tc>
          <w:tcPr>
            <w:tcW w:w="370" w:type="pct"/>
            <w:vAlign w:val="top"/>
          </w:tcPr>
          <w:p w:rsidR="00391F51" w:rsidRPr="00BA0FBF" w:rsidRDefault="00391F51" w:rsidP="00AA76A6">
            <w:pPr>
              <w:jc w:val="right"/>
              <w:cnfStyle w:val="000000100000" w:firstRow="0" w:lastRow="0" w:firstColumn="0" w:lastColumn="0" w:oddVBand="0" w:evenVBand="0" w:oddHBand="1" w:evenHBand="0" w:firstRowFirstColumn="0" w:firstRowLastColumn="0" w:lastRowFirstColumn="0" w:lastRowLastColumn="0"/>
              <w:rPr>
                <w:sz w:val="18"/>
              </w:rPr>
            </w:pPr>
            <w:r w:rsidRPr="00BA0FBF">
              <w:rPr>
                <w:sz w:val="18"/>
              </w:rPr>
              <w:t>8.2</w:t>
            </w:r>
          </w:p>
        </w:tc>
        <w:tc>
          <w:tcPr>
            <w:tcW w:w="370" w:type="pct"/>
            <w:vAlign w:val="top"/>
          </w:tcPr>
          <w:p w:rsidR="00391F51" w:rsidRPr="00BA0FBF" w:rsidRDefault="00391F51" w:rsidP="00AA76A6">
            <w:pPr>
              <w:jc w:val="right"/>
              <w:cnfStyle w:val="000000100000" w:firstRow="0" w:lastRow="0" w:firstColumn="0" w:lastColumn="0" w:oddVBand="0" w:evenVBand="0" w:oddHBand="1" w:evenHBand="0" w:firstRowFirstColumn="0" w:firstRowLastColumn="0" w:lastRowFirstColumn="0" w:lastRowLastColumn="0"/>
              <w:rPr>
                <w:sz w:val="18"/>
              </w:rPr>
            </w:pPr>
            <w:r w:rsidRPr="00BA0FBF">
              <w:rPr>
                <w:sz w:val="18"/>
              </w:rPr>
              <w:t>8.5</w:t>
            </w:r>
          </w:p>
        </w:tc>
        <w:tc>
          <w:tcPr>
            <w:tcW w:w="370" w:type="pct"/>
            <w:vAlign w:val="top"/>
          </w:tcPr>
          <w:p w:rsidR="00391F51" w:rsidRPr="00BA0FBF" w:rsidRDefault="00391F51" w:rsidP="00AA76A6">
            <w:pPr>
              <w:jc w:val="right"/>
              <w:cnfStyle w:val="000000100000" w:firstRow="0" w:lastRow="0" w:firstColumn="0" w:lastColumn="0" w:oddVBand="0" w:evenVBand="0" w:oddHBand="1" w:evenHBand="0" w:firstRowFirstColumn="0" w:firstRowLastColumn="0" w:lastRowFirstColumn="0" w:lastRowLastColumn="0"/>
              <w:rPr>
                <w:sz w:val="18"/>
              </w:rPr>
            </w:pPr>
            <w:r w:rsidRPr="00BA0FBF">
              <w:rPr>
                <w:sz w:val="18"/>
              </w:rPr>
              <w:t>8.9</w:t>
            </w:r>
          </w:p>
        </w:tc>
        <w:tc>
          <w:tcPr>
            <w:tcW w:w="370" w:type="pct"/>
            <w:vAlign w:val="top"/>
          </w:tcPr>
          <w:p w:rsidR="00391F51" w:rsidRPr="00BA0FBF" w:rsidRDefault="00391F51" w:rsidP="00AA76A6">
            <w:pPr>
              <w:jc w:val="right"/>
              <w:cnfStyle w:val="000000100000" w:firstRow="0" w:lastRow="0" w:firstColumn="0" w:lastColumn="0" w:oddVBand="0" w:evenVBand="0" w:oddHBand="1" w:evenHBand="0" w:firstRowFirstColumn="0" w:firstRowLastColumn="0" w:lastRowFirstColumn="0" w:lastRowLastColumn="0"/>
              <w:rPr>
                <w:sz w:val="18"/>
              </w:rPr>
            </w:pPr>
            <w:r w:rsidRPr="00BA0FBF">
              <w:rPr>
                <w:sz w:val="18"/>
              </w:rPr>
              <w:t>9.3</w:t>
            </w:r>
          </w:p>
        </w:tc>
        <w:tc>
          <w:tcPr>
            <w:tcW w:w="370" w:type="pct"/>
            <w:vAlign w:val="top"/>
          </w:tcPr>
          <w:p w:rsidR="00391F51" w:rsidRPr="00BA0FBF" w:rsidRDefault="00391F51" w:rsidP="00AA76A6">
            <w:pPr>
              <w:jc w:val="right"/>
              <w:cnfStyle w:val="000000100000" w:firstRow="0" w:lastRow="0" w:firstColumn="0" w:lastColumn="0" w:oddVBand="0" w:evenVBand="0" w:oddHBand="1" w:evenHBand="0" w:firstRowFirstColumn="0" w:firstRowLastColumn="0" w:lastRowFirstColumn="0" w:lastRowLastColumn="0"/>
              <w:rPr>
                <w:sz w:val="18"/>
              </w:rPr>
            </w:pPr>
            <w:r w:rsidRPr="00BA0FBF">
              <w:rPr>
                <w:sz w:val="18"/>
              </w:rPr>
              <w:t>9.7</w:t>
            </w:r>
          </w:p>
        </w:tc>
        <w:tc>
          <w:tcPr>
            <w:tcW w:w="370" w:type="pct"/>
            <w:vAlign w:val="top"/>
          </w:tcPr>
          <w:p w:rsidR="00391F51" w:rsidRPr="00BA0FBF" w:rsidRDefault="00391F51" w:rsidP="00AA76A6">
            <w:pPr>
              <w:jc w:val="right"/>
              <w:cnfStyle w:val="000000100000" w:firstRow="0" w:lastRow="0" w:firstColumn="0" w:lastColumn="0" w:oddVBand="0" w:evenVBand="0" w:oddHBand="1" w:evenHBand="0" w:firstRowFirstColumn="0" w:firstRowLastColumn="0" w:lastRowFirstColumn="0" w:lastRowLastColumn="0"/>
              <w:rPr>
                <w:sz w:val="18"/>
              </w:rPr>
            </w:pPr>
            <w:r w:rsidRPr="00BA0FBF">
              <w:rPr>
                <w:sz w:val="18"/>
              </w:rPr>
              <w:t>10.1</w:t>
            </w:r>
          </w:p>
        </w:tc>
        <w:tc>
          <w:tcPr>
            <w:tcW w:w="368" w:type="pct"/>
            <w:vAlign w:val="top"/>
          </w:tcPr>
          <w:p w:rsidR="00391F51" w:rsidRPr="00BA0FBF" w:rsidRDefault="00391F51" w:rsidP="00AA76A6">
            <w:pPr>
              <w:jc w:val="right"/>
              <w:cnfStyle w:val="000000100000" w:firstRow="0" w:lastRow="0" w:firstColumn="0" w:lastColumn="0" w:oddVBand="0" w:evenVBand="0" w:oddHBand="1" w:evenHBand="0" w:firstRowFirstColumn="0" w:firstRowLastColumn="0" w:lastRowFirstColumn="0" w:lastRowLastColumn="0"/>
              <w:rPr>
                <w:sz w:val="18"/>
              </w:rPr>
            </w:pPr>
            <w:r w:rsidRPr="00BA0FBF">
              <w:rPr>
                <w:sz w:val="18"/>
              </w:rPr>
              <w:t>77.2</w:t>
            </w:r>
          </w:p>
        </w:tc>
      </w:tr>
      <w:tr w:rsidR="00391F51" w:rsidRPr="00BA0FBF" w:rsidTr="001D5F01">
        <w:trPr>
          <w:cantSplit/>
        </w:trPr>
        <w:tc>
          <w:tcPr>
            <w:cnfStyle w:val="001000000000" w:firstRow="0" w:lastRow="0" w:firstColumn="1" w:lastColumn="0" w:oddVBand="0" w:evenVBand="0" w:oddHBand="0" w:evenHBand="0" w:firstRowFirstColumn="0" w:firstRowLastColumn="0" w:lastRowFirstColumn="0" w:lastRowLastColumn="0"/>
            <w:tcW w:w="1301" w:type="pct"/>
          </w:tcPr>
          <w:p w:rsidR="00391F51" w:rsidRPr="00BA0FBF" w:rsidRDefault="00391F51" w:rsidP="00422E1E">
            <w:pPr>
              <w:pStyle w:val="TableText"/>
              <w:rPr>
                <w:sz w:val="18"/>
              </w:rPr>
            </w:pPr>
            <w:r w:rsidRPr="00BA0FBF">
              <w:rPr>
                <w:sz w:val="18"/>
              </w:rPr>
              <w:t>Compensation: Technical Assumption</w:t>
            </w:r>
          </w:p>
        </w:tc>
        <w:tc>
          <w:tcPr>
            <w:tcW w:w="370" w:type="pct"/>
            <w:vAlign w:val="top"/>
          </w:tcPr>
          <w:p w:rsidR="00391F51" w:rsidRPr="00BA0FBF" w:rsidRDefault="00391F51" w:rsidP="00AA76A6">
            <w:pPr>
              <w:jc w:val="right"/>
              <w:cnfStyle w:val="000000000000" w:firstRow="0" w:lastRow="0" w:firstColumn="0" w:lastColumn="0" w:oddVBand="0" w:evenVBand="0" w:oddHBand="0" w:evenHBand="0" w:firstRowFirstColumn="0" w:firstRowLastColumn="0" w:lastRowFirstColumn="0" w:lastRowLastColumn="0"/>
              <w:rPr>
                <w:sz w:val="18"/>
              </w:rPr>
            </w:pPr>
            <w:r w:rsidRPr="00BA0FBF">
              <w:rPr>
                <w:sz w:val="18"/>
              </w:rPr>
              <w:t>-2.4</w:t>
            </w:r>
          </w:p>
        </w:tc>
        <w:tc>
          <w:tcPr>
            <w:tcW w:w="370" w:type="pct"/>
            <w:vAlign w:val="top"/>
          </w:tcPr>
          <w:p w:rsidR="00391F51" w:rsidRPr="00BA0FBF" w:rsidRDefault="00391F51" w:rsidP="00AA76A6">
            <w:pPr>
              <w:jc w:val="right"/>
              <w:cnfStyle w:val="000000000000" w:firstRow="0" w:lastRow="0" w:firstColumn="0" w:lastColumn="0" w:oddVBand="0" w:evenVBand="0" w:oddHBand="0" w:evenHBand="0" w:firstRowFirstColumn="0" w:firstRowLastColumn="0" w:lastRowFirstColumn="0" w:lastRowLastColumn="0"/>
              <w:rPr>
                <w:sz w:val="18"/>
              </w:rPr>
            </w:pPr>
            <w:r w:rsidRPr="00BA0FBF">
              <w:rPr>
                <w:sz w:val="18"/>
              </w:rPr>
              <w:t>-2.5</w:t>
            </w:r>
          </w:p>
        </w:tc>
        <w:tc>
          <w:tcPr>
            <w:tcW w:w="370" w:type="pct"/>
            <w:vAlign w:val="top"/>
          </w:tcPr>
          <w:p w:rsidR="00391F51" w:rsidRPr="00BA0FBF" w:rsidRDefault="00391F51" w:rsidP="00AA76A6">
            <w:pPr>
              <w:jc w:val="right"/>
              <w:cnfStyle w:val="000000000000" w:firstRow="0" w:lastRow="0" w:firstColumn="0" w:lastColumn="0" w:oddVBand="0" w:evenVBand="0" w:oddHBand="0" w:evenHBand="0" w:firstRowFirstColumn="0" w:firstRowLastColumn="0" w:lastRowFirstColumn="0" w:lastRowLastColumn="0"/>
              <w:rPr>
                <w:sz w:val="18"/>
              </w:rPr>
            </w:pPr>
            <w:r w:rsidRPr="00BA0FBF">
              <w:rPr>
                <w:sz w:val="18"/>
              </w:rPr>
              <w:t>-2.6</w:t>
            </w:r>
          </w:p>
        </w:tc>
        <w:tc>
          <w:tcPr>
            <w:tcW w:w="370" w:type="pct"/>
            <w:vAlign w:val="top"/>
          </w:tcPr>
          <w:p w:rsidR="00391F51" w:rsidRPr="00BA0FBF" w:rsidRDefault="00391F51" w:rsidP="00AA76A6">
            <w:pPr>
              <w:jc w:val="right"/>
              <w:cnfStyle w:val="000000000000" w:firstRow="0" w:lastRow="0" w:firstColumn="0" w:lastColumn="0" w:oddVBand="0" w:evenVBand="0" w:oddHBand="0" w:evenHBand="0" w:firstRowFirstColumn="0" w:firstRowLastColumn="0" w:lastRowFirstColumn="0" w:lastRowLastColumn="0"/>
              <w:rPr>
                <w:sz w:val="18"/>
              </w:rPr>
            </w:pPr>
            <w:r w:rsidRPr="00BA0FBF">
              <w:rPr>
                <w:sz w:val="18"/>
              </w:rPr>
              <w:t>-2.7</w:t>
            </w:r>
          </w:p>
        </w:tc>
        <w:tc>
          <w:tcPr>
            <w:tcW w:w="370" w:type="pct"/>
            <w:vAlign w:val="top"/>
          </w:tcPr>
          <w:p w:rsidR="00391F51" w:rsidRPr="00BA0FBF" w:rsidRDefault="00391F51" w:rsidP="00AA76A6">
            <w:pPr>
              <w:jc w:val="right"/>
              <w:cnfStyle w:val="000000000000" w:firstRow="0" w:lastRow="0" w:firstColumn="0" w:lastColumn="0" w:oddVBand="0" w:evenVBand="0" w:oddHBand="0" w:evenHBand="0" w:firstRowFirstColumn="0" w:firstRowLastColumn="0" w:lastRowFirstColumn="0" w:lastRowLastColumn="0"/>
              <w:rPr>
                <w:sz w:val="18"/>
              </w:rPr>
            </w:pPr>
            <w:r w:rsidRPr="00BA0FBF">
              <w:rPr>
                <w:sz w:val="18"/>
              </w:rPr>
              <w:t>-2.8</w:t>
            </w:r>
          </w:p>
        </w:tc>
        <w:tc>
          <w:tcPr>
            <w:tcW w:w="370" w:type="pct"/>
            <w:vAlign w:val="top"/>
          </w:tcPr>
          <w:p w:rsidR="00391F51" w:rsidRPr="00BA0FBF" w:rsidRDefault="00391F51" w:rsidP="00AA76A6">
            <w:pPr>
              <w:jc w:val="right"/>
              <w:cnfStyle w:val="000000000000" w:firstRow="0" w:lastRow="0" w:firstColumn="0" w:lastColumn="0" w:oddVBand="0" w:evenVBand="0" w:oddHBand="0" w:evenHBand="0" w:firstRowFirstColumn="0" w:firstRowLastColumn="0" w:lastRowFirstColumn="0" w:lastRowLastColumn="0"/>
              <w:rPr>
                <w:sz w:val="18"/>
              </w:rPr>
            </w:pPr>
            <w:r w:rsidRPr="00BA0FBF">
              <w:rPr>
                <w:sz w:val="18"/>
              </w:rPr>
              <w:t>-2.9</w:t>
            </w:r>
          </w:p>
        </w:tc>
        <w:tc>
          <w:tcPr>
            <w:tcW w:w="370" w:type="pct"/>
            <w:vAlign w:val="top"/>
          </w:tcPr>
          <w:p w:rsidR="00391F51" w:rsidRPr="00BA0FBF" w:rsidRDefault="00391F51" w:rsidP="00AA76A6">
            <w:pPr>
              <w:jc w:val="right"/>
              <w:cnfStyle w:val="000000000000" w:firstRow="0" w:lastRow="0" w:firstColumn="0" w:lastColumn="0" w:oddVBand="0" w:evenVBand="0" w:oddHBand="0" w:evenHBand="0" w:firstRowFirstColumn="0" w:firstRowLastColumn="0" w:lastRowFirstColumn="0" w:lastRowLastColumn="0"/>
              <w:rPr>
                <w:sz w:val="18"/>
              </w:rPr>
            </w:pPr>
            <w:r w:rsidRPr="00BA0FBF">
              <w:rPr>
                <w:sz w:val="18"/>
              </w:rPr>
              <w:t>-3.1</w:t>
            </w:r>
          </w:p>
        </w:tc>
        <w:tc>
          <w:tcPr>
            <w:tcW w:w="370" w:type="pct"/>
            <w:vAlign w:val="top"/>
          </w:tcPr>
          <w:p w:rsidR="00391F51" w:rsidRPr="00BA0FBF" w:rsidRDefault="00391F51" w:rsidP="00AA76A6">
            <w:pPr>
              <w:jc w:val="right"/>
              <w:cnfStyle w:val="000000000000" w:firstRow="0" w:lastRow="0" w:firstColumn="0" w:lastColumn="0" w:oddVBand="0" w:evenVBand="0" w:oddHBand="0" w:evenHBand="0" w:firstRowFirstColumn="0" w:firstRowLastColumn="0" w:lastRowFirstColumn="0" w:lastRowLastColumn="0"/>
              <w:rPr>
                <w:sz w:val="18"/>
              </w:rPr>
            </w:pPr>
            <w:r w:rsidRPr="00BA0FBF">
              <w:rPr>
                <w:sz w:val="18"/>
              </w:rPr>
              <w:t>-3.2</w:t>
            </w:r>
          </w:p>
        </w:tc>
        <w:tc>
          <w:tcPr>
            <w:tcW w:w="370" w:type="pct"/>
            <w:vAlign w:val="top"/>
          </w:tcPr>
          <w:p w:rsidR="00391F51" w:rsidRPr="00BA0FBF" w:rsidRDefault="00391F51" w:rsidP="00AA76A6">
            <w:pPr>
              <w:jc w:val="right"/>
              <w:cnfStyle w:val="000000000000" w:firstRow="0" w:lastRow="0" w:firstColumn="0" w:lastColumn="0" w:oddVBand="0" w:evenVBand="0" w:oddHBand="0" w:evenHBand="0" w:firstRowFirstColumn="0" w:firstRowLastColumn="0" w:lastRowFirstColumn="0" w:lastRowLastColumn="0"/>
              <w:rPr>
                <w:sz w:val="18"/>
              </w:rPr>
            </w:pPr>
            <w:r w:rsidRPr="00BA0FBF">
              <w:rPr>
                <w:sz w:val="18"/>
              </w:rPr>
              <w:t>-3.3</w:t>
            </w:r>
          </w:p>
        </w:tc>
        <w:tc>
          <w:tcPr>
            <w:tcW w:w="368" w:type="pct"/>
            <w:vAlign w:val="top"/>
          </w:tcPr>
          <w:p w:rsidR="00391F51" w:rsidRPr="00BA0FBF" w:rsidRDefault="00391F51" w:rsidP="00AA76A6">
            <w:pPr>
              <w:jc w:val="right"/>
              <w:cnfStyle w:val="000000000000" w:firstRow="0" w:lastRow="0" w:firstColumn="0" w:lastColumn="0" w:oddVBand="0" w:evenVBand="0" w:oddHBand="0" w:evenHBand="0" w:firstRowFirstColumn="0" w:firstRowLastColumn="0" w:lastRowFirstColumn="0" w:lastRowLastColumn="0"/>
              <w:rPr>
                <w:sz w:val="18"/>
              </w:rPr>
            </w:pPr>
            <w:r w:rsidRPr="00BA0FBF">
              <w:rPr>
                <w:sz w:val="18"/>
              </w:rPr>
              <w:t>-25.5</w:t>
            </w:r>
          </w:p>
        </w:tc>
      </w:tr>
      <w:tr w:rsidR="00391F51" w:rsidRPr="00BA0FBF" w:rsidTr="001D5F0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01" w:type="pct"/>
          </w:tcPr>
          <w:p w:rsidR="00391F51" w:rsidRPr="00BA0FBF" w:rsidRDefault="00391F51" w:rsidP="00F95381">
            <w:pPr>
              <w:pStyle w:val="TableText"/>
              <w:rPr>
                <w:sz w:val="18"/>
              </w:rPr>
            </w:pPr>
            <w:r w:rsidRPr="00BA0FBF">
              <w:rPr>
                <w:b/>
                <w:sz w:val="18"/>
              </w:rPr>
              <w:t xml:space="preserve">Net </w:t>
            </w:r>
            <w:r w:rsidR="0045532B">
              <w:rPr>
                <w:b/>
                <w:sz w:val="18"/>
              </w:rPr>
              <w:t xml:space="preserve">additional </w:t>
            </w:r>
            <w:r w:rsidRPr="00BA0FBF">
              <w:rPr>
                <w:b/>
                <w:sz w:val="18"/>
              </w:rPr>
              <w:t>GST revenue: Scenario 1</w:t>
            </w:r>
          </w:p>
        </w:tc>
        <w:tc>
          <w:tcPr>
            <w:tcW w:w="370" w:type="pct"/>
            <w:vAlign w:val="top"/>
          </w:tcPr>
          <w:p w:rsidR="00391F51" w:rsidRPr="00BA0FBF" w:rsidRDefault="00391F51" w:rsidP="00AA76A6">
            <w:pPr>
              <w:jc w:val="right"/>
              <w:cnfStyle w:val="000000100000" w:firstRow="0" w:lastRow="0" w:firstColumn="0" w:lastColumn="0" w:oddVBand="0" w:evenVBand="0" w:oddHBand="1" w:evenHBand="0" w:firstRowFirstColumn="0" w:firstRowLastColumn="0" w:lastRowFirstColumn="0" w:lastRowLastColumn="0"/>
              <w:rPr>
                <w:b/>
                <w:sz w:val="18"/>
              </w:rPr>
            </w:pPr>
            <w:r w:rsidRPr="00BA0FBF">
              <w:rPr>
                <w:b/>
                <w:sz w:val="18"/>
              </w:rPr>
              <w:t>4.8</w:t>
            </w:r>
          </w:p>
        </w:tc>
        <w:tc>
          <w:tcPr>
            <w:tcW w:w="370" w:type="pct"/>
            <w:vAlign w:val="top"/>
          </w:tcPr>
          <w:p w:rsidR="00391F51" w:rsidRPr="00BA0FBF" w:rsidRDefault="00391F51" w:rsidP="00AA76A6">
            <w:pPr>
              <w:jc w:val="right"/>
              <w:cnfStyle w:val="000000100000" w:firstRow="0" w:lastRow="0" w:firstColumn="0" w:lastColumn="0" w:oddVBand="0" w:evenVBand="0" w:oddHBand="1" w:evenHBand="0" w:firstRowFirstColumn="0" w:firstRowLastColumn="0" w:lastRowFirstColumn="0" w:lastRowLastColumn="0"/>
              <w:rPr>
                <w:b/>
                <w:sz w:val="18"/>
              </w:rPr>
            </w:pPr>
            <w:r w:rsidRPr="00BA0FBF">
              <w:rPr>
                <w:b/>
                <w:sz w:val="18"/>
              </w:rPr>
              <w:t>5.0</w:t>
            </w:r>
          </w:p>
        </w:tc>
        <w:tc>
          <w:tcPr>
            <w:tcW w:w="370" w:type="pct"/>
            <w:vAlign w:val="top"/>
          </w:tcPr>
          <w:p w:rsidR="00391F51" w:rsidRPr="00BA0FBF" w:rsidRDefault="00391F51" w:rsidP="00AA76A6">
            <w:pPr>
              <w:jc w:val="right"/>
              <w:cnfStyle w:val="000000100000" w:firstRow="0" w:lastRow="0" w:firstColumn="0" w:lastColumn="0" w:oddVBand="0" w:evenVBand="0" w:oddHBand="1" w:evenHBand="0" w:firstRowFirstColumn="0" w:firstRowLastColumn="0" w:lastRowFirstColumn="0" w:lastRowLastColumn="0"/>
              <w:rPr>
                <w:b/>
                <w:sz w:val="18"/>
              </w:rPr>
            </w:pPr>
            <w:r w:rsidRPr="00BA0FBF">
              <w:rPr>
                <w:b/>
                <w:sz w:val="18"/>
              </w:rPr>
              <w:t>5.2</w:t>
            </w:r>
          </w:p>
        </w:tc>
        <w:tc>
          <w:tcPr>
            <w:tcW w:w="370" w:type="pct"/>
            <w:vAlign w:val="top"/>
          </w:tcPr>
          <w:p w:rsidR="00391F51" w:rsidRPr="00BA0FBF" w:rsidRDefault="00391F51" w:rsidP="00AA76A6">
            <w:pPr>
              <w:jc w:val="right"/>
              <w:cnfStyle w:val="000000100000" w:firstRow="0" w:lastRow="0" w:firstColumn="0" w:lastColumn="0" w:oddVBand="0" w:evenVBand="0" w:oddHBand="1" w:evenHBand="0" w:firstRowFirstColumn="0" w:firstRowLastColumn="0" w:lastRowFirstColumn="0" w:lastRowLastColumn="0"/>
              <w:rPr>
                <w:b/>
                <w:sz w:val="18"/>
              </w:rPr>
            </w:pPr>
            <w:r w:rsidRPr="00BA0FBF">
              <w:rPr>
                <w:b/>
                <w:sz w:val="18"/>
              </w:rPr>
              <w:t>5.5</w:t>
            </w:r>
          </w:p>
        </w:tc>
        <w:tc>
          <w:tcPr>
            <w:tcW w:w="370" w:type="pct"/>
            <w:vAlign w:val="top"/>
          </w:tcPr>
          <w:p w:rsidR="00391F51" w:rsidRPr="00BA0FBF" w:rsidRDefault="00391F51" w:rsidP="00AA76A6">
            <w:pPr>
              <w:jc w:val="right"/>
              <w:cnfStyle w:val="000000100000" w:firstRow="0" w:lastRow="0" w:firstColumn="0" w:lastColumn="0" w:oddVBand="0" w:evenVBand="0" w:oddHBand="1" w:evenHBand="0" w:firstRowFirstColumn="0" w:firstRowLastColumn="0" w:lastRowFirstColumn="0" w:lastRowLastColumn="0"/>
              <w:rPr>
                <w:b/>
                <w:sz w:val="18"/>
              </w:rPr>
            </w:pPr>
            <w:r w:rsidRPr="00BA0FBF">
              <w:rPr>
                <w:b/>
                <w:sz w:val="18"/>
              </w:rPr>
              <w:t>5.7</w:t>
            </w:r>
          </w:p>
        </w:tc>
        <w:tc>
          <w:tcPr>
            <w:tcW w:w="370" w:type="pct"/>
            <w:vAlign w:val="top"/>
          </w:tcPr>
          <w:p w:rsidR="00391F51" w:rsidRPr="00BA0FBF" w:rsidRDefault="00391F51" w:rsidP="00AA76A6">
            <w:pPr>
              <w:jc w:val="right"/>
              <w:cnfStyle w:val="000000100000" w:firstRow="0" w:lastRow="0" w:firstColumn="0" w:lastColumn="0" w:oddVBand="0" w:evenVBand="0" w:oddHBand="1" w:evenHBand="0" w:firstRowFirstColumn="0" w:firstRowLastColumn="0" w:lastRowFirstColumn="0" w:lastRowLastColumn="0"/>
              <w:rPr>
                <w:b/>
                <w:sz w:val="18"/>
              </w:rPr>
            </w:pPr>
            <w:r w:rsidRPr="00BA0FBF">
              <w:rPr>
                <w:b/>
                <w:sz w:val="18"/>
              </w:rPr>
              <w:t>6.0</w:t>
            </w:r>
          </w:p>
        </w:tc>
        <w:tc>
          <w:tcPr>
            <w:tcW w:w="370" w:type="pct"/>
            <w:vAlign w:val="top"/>
          </w:tcPr>
          <w:p w:rsidR="00391F51" w:rsidRPr="00BA0FBF" w:rsidRDefault="00391F51" w:rsidP="00AA76A6">
            <w:pPr>
              <w:jc w:val="right"/>
              <w:cnfStyle w:val="000000100000" w:firstRow="0" w:lastRow="0" w:firstColumn="0" w:lastColumn="0" w:oddVBand="0" w:evenVBand="0" w:oddHBand="1" w:evenHBand="0" w:firstRowFirstColumn="0" w:firstRowLastColumn="0" w:lastRowFirstColumn="0" w:lastRowLastColumn="0"/>
              <w:rPr>
                <w:b/>
                <w:sz w:val="18"/>
              </w:rPr>
            </w:pPr>
            <w:r w:rsidRPr="00BA0FBF">
              <w:rPr>
                <w:b/>
                <w:sz w:val="18"/>
              </w:rPr>
              <w:t>6.2</w:t>
            </w:r>
          </w:p>
        </w:tc>
        <w:tc>
          <w:tcPr>
            <w:tcW w:w="370" w:type="pct"/>
            <w:vAlign w:val="top"/>
          </w:tcPr>
          <w:p w:rsidR="00391F51" w:rsidRPr="00BA0FBF" w:rsidRDefault="00391F51" w:rsidP="00AA76A6">
            <w:pPr>
              <w:jc w:val="right"/>
              <w:cnfStyle w:val="000000100000" w:firstRow="0" w:lastRow="0" w:firstColumn="0" w:lastColumn="0" w:oddVBand="0" w:evenVBand="0" w:oddHBand="1" w:evenHBand="0" w:firstRowFirstColumn="0" w:firstRowLastColumn="0" w:lastRowFirstColumn="0" w:lastRowLastColumn="0"/>
              <w:rPr>
                <w:b/>
                <w:sz w:val="18"/>
              </w:rPr>
            </w:pPr>
            <w:r w:rsidRPr="00BA0FBF">
              <w:rPr>
                <w:b/>
                <w:sz w:val="18"/>
              </w:rPr>
              <w:t>6.5</w:t>
            </w:r>
          </w:p>
        </w:tc>
        <w:tc>
          <w:tcPr>
            <w:tcW w:w="370" w:type="pct"/>
            <w:vAlign w:val="top"/>
          </w:tcPr>
          <w:p w:rsidR="00391F51" w:rsidRPr="00BA0FBF" w:rsidRDefault="00391F51" w:rsidP="00AA76A6">
            <w:pPr>
              <w:jc w:val="right"/>
              <w:cnfStyle w:val="000000100000" w:firstRow="0" w:lastRow="0" w:firstColumn="0" w:lastColumn="0" w:oddVBand="0" w:evenVBand="0" w:oddHBand="1" w:evenHBand="0" w:firstRowFirstColumn="0" w:firstRowLastColumn="0" w:lastRowFirstColumn="0" w:lastRowLastColumn="0"/>
              <w:rPr>
                <w:b/>
                <w:sz w:val="18"/>
              </w:rPr>
            </w:pPr>
            <w:r w:rsidRPr="00BA0FBF">
              <w:rPr>
                <w:b/>
                <w:sz w:val="18"/>
              </w:rPr>
              <w:t>6.8</w:t>
            </w:r>
          </w:p>
        </w:tc>
        <w:tc>
          <w:tcPr>
            <w:tcW w:w="368" w:type="pct"/>
            <w:vAlign w:val="top"/>
          </w:tcPr>
          <w:p w:rsidR="00391F51" w:rsidRPr="00BA0FBF" w:rsidRDefault="00391F51" w:rsidP="00AA76A6">
            <w:pPr>
              <w:jc w:val="right"/>
              <w:cnfStyle w:val="000000100000" w:firstRow="0" w:lastRow="0" w:firstColumn="0" w:lastColumn="0" w:oddVBand="0" w:evenVBand="0" w:oddHBand="1" w:evenHBand="0" w:firstRowFirstColumn="0" w:firstRowLastColumn="0" w:lastRowFirstColumn="0" w:lastRowLastColumn="0"/>
              <w:rPr>
                <w:b/>
                <w:sz w:val="18"/>
              </w:rPr>
            </w:pPr>
            <w:r w:rsidRPr="00BA0FBF">
              <w:rPr>
                <w:b/>
                <w:sz w:val="18"/>
              </w:rPr>
              <w:t>51.7</w:t>
            </w:r>
          </w:p>
        </w:tc>
      </w:tr>
    </w:tbl>
    <w:p w:rsidR="00726BED" w:rsidRDefault="00726BED" w:rsidP="00726BED">
      <w:pPr>
        <w:pStyle w:val="Source"/>
      </w:pPr>
      <w:r>
        <w:t xml:space="preserve">Source: </w:t>
      </w:r>
      <w:r w:rsidR="004E109F">
        <w:t>PBO analysis based on data from the ABS and Treasury</w:t>
      </w:r>
    </w:p>
    <w:p w:rsidR="002F0796" w:rsidRPr="00BA0FBF" w:rsidRDefault="002F0796" w:rsidP="002F0796">
      <w:pPr>
        <w:pStyle w:val="BodyText"/>
        <w:rPr>
          <w:color w:val="2B3B5F" w:themeColor="text2"/>
          <w:spacing w:val="-4"/>
          <w:sz w:val="20"/>
        </w:rPr>
      </w:pPr>
      <w:r w:rsidRPr="00BA0FBF">
        <w:rPr>
          <w:sz w:val="20"/>
        </w:rPr>
        <w:br w:type="page"/>
      </w:r>
    </w:p>
    <w:p w:rsidR="00F95381" w:rsidRPr="00BA0FBF" w:rsidRDefault="001D5F01" w:rsidP="00F95381">
      <w:pPr>
        <w:pStyle w:val="Caption"/>
        <w:rPr>
          <w:sz w:val="20"/>
        </w:rPr>
      </w:pPr>
      <w:r w:rsidRPr="00BA0FBF">
        <w:rPr>
          <w:sz w:val="20"/>
        </w:rPr>
        <w:t xml:space="preserve">Table C–2: Composition of </w:t>
      </w:r>
      <w:r w:rsidR="00811CE4">
        <w:rPr>
          <w:sz w:val="20"/>
        </w:rPr>
        <w:t>a</w:t>
      </w:r>
      <w:r w:rsidRPr="00BA0FBF">
        <w:rPr>
          <w:sz w:val="20"/>
        </w:rPr>
        <w:t xml:space="preserve">dditional GST </w:t>
      </w:r>
      <w:r w:rsidR="00811CE4">
        <w:rPr>
          <w:sz w:val="20"/>
        </w:rPr>
        <w:t>r</w:t>
      </w:r>
      <w:r w:rsidRPr="00BA0FBF">
        <w:rPr>
          <w:sz w:val="20"/>
        </w:rPr>
        <w:t>evenue</w:t>
      </w:r>
      <w:r w:rsidR="00F0489B">
        <w:rPr>
          <w:sz w:val="20"/>
        </w:rPr>
        <w:t>:</w:t>
      </w:r>
      <w:r w:rsidRPr="00BA0FBF">
        <w:rPr>
          <w:sz w:val="20"/>
        </w:rPr>
        <w:t xml:space="preserve"> Scenario 1</w:t>
      </w:r>
      <w:r w:rsidR="00F0489B">
        <w:rPr>
          <w:sz w:val="20"/>
        </w:rPr>
        <w:t xml:space="preserve"> (</w:t>
      </w:r>
      <w:r w:rsidR="00811CE4">
        <w:rPr>
          <w:sz w:val="20"/>
        </w:rPr>
        <w:t>b</w:t>
      </w:r>
      <w:r w:rsidRPr="00BA0FBF">
        <w:rPr>
          <w:sz w:val="20"/>
        </w:rPr>
        <w:t>asic food subject to GST</w:t>
      </w:r>
      <w:r w:rsidR="00F0489B">
        <w:rPr>
          <w:sz w:val="20"/>
        </w:rPr>
        <w:t>)</w:t>
      </w:r>
    </w:p>
    <w:tbl>
      <w:tblPr>
        <w:tblStyle w:val="TableGrid"/>
        <w:tblW w:w="4631" w:type="pct"/>
        <w:tblLook w:val="04A0" w:firstRow="1" w:lastRow="0" w:firstColumn="1" w:lastColumn="0" w:noHBand="0" w:noVBand="1"/>
      </w:tblPr>
      <w:tblGrid>
        <w:gridCol w:w="2999"/>
        <w:gridCol w:w="926"/>
        <w:gridCol w:w="927"/>
        <w:gridCol w:w="927"/>
        <w:gridCol w:w="927"/>
        <w:gridCol w:w="930"/>
        <w:gridCol w:w="927"/>
        <w:gridCol w:w="927"/>
        <w:gridCol w:w="930"/>
        <w:gridCol w:w="927"/>
        <w:gridCol w:w="920"/>
      </w:tblGrid>
      <w:tr w:rsidR="001D5F01" w:rsidRPr="00BA0FBF" w:rsidTr="00DC3471">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222" w:type="pct"/>
          </w:tcPr>
          <w:p w:rsidR="001D5F01" w:rsidRPr="00BA0FBF" w:rsidRDefault="001D5F01" w:rsidP="0045532B">
            <w:pPr>
              <w:pStyle w:val="TableHeading"/>
              <w:rPr>
                <w:sz w:val="18"/>
              </w:rPr>
            </w:pPr>
            <w:r w:rsidRPr="00BA0FBF">
              <w:rPr>
                <w:sz w:val="18"/>
              </w:rPr>
              <w:t>($b)</w:t>
            </w:r>
          </w:p>
        </w:tc>
        <w:tc>
          <w:tcPr>
            <w:tcW w:w="377" w:type="pct"/>
          </w:tcPr>
          <w:p w:rsidR="001D5F01" w:rsidRPr="00BA0FBF" w:rsidRDefault="000B1326" w:rsidP="00F95381">
            <w:pPr>
              <w:pStyle w:val="TableHeadingCentred"/>
              <w:cnfStyle w:val="100000000000" w:firstRow="1" w:lastRow="0" w:firstColumn="0" w:lastColumn="0" w:oddVBand="0" w:evenVBand="0" w:oddHBand="0" w:evenHBand="0" w:firstRowFirstColumn="0" w:firstRowLastColumn="0" w:lastRowFirstColumn="0" w:lastRowLastColumn="0"/>
              <w:rPr>
                <w:sz w:val="18"/>
              </w:rPr>
            </w:pPr>
            <w:r>
              <w:rPr>
                <w:sz w:val="18"/>
              </w:rPr>
              <w:t>2017–</w:t>
            </w:r>
            <w:r w:rsidR="001D5F01" w:rsidRPr="00BA0FBF">
              <w:rPr>
                <w:sz w:val="18"/>
              </w:rPr>
              <w:t>18</w:t>
            </w:r>
          </w:p>
        </w:tc>
        <w:tc>
          <w:tcPr>
            <w:tcW w:w="378" w:type="pct"/>
          </w:tcPr>
          <w:p w:rsidR="001D5F01" w:rsidRPr="00BA0FBF" w:rsidRDefault="000B1326" w:rsidP="00F95381">
            <w:pPr>
              <w:pStyle w:val="TableHeadingCentred"/>
              <w:cnfStyle w:val="100000000000" w:firstRow="1" w:lastRow="0" w:firstColumn="0" w:lastColumn="0" w:oddVBand="0" w:evenVBand="0" w:oddHBand="0" w:evenHBand="0" w:firstRowFirstColumn="0" w:firstRowLastColumn="0" w:lastRowFirstColumn="0" w:lastRowLastColumn="0"/>
              <w:rPr>
                <w:sz w:val="18"/>
              </w:rPr>
            </w:pPr>
            <w:r>
              <w:rPr>
                <w:sz w:val="18"/>
              </w:rPr>
              <w:t>2018–</w:t>
            </w:r>
            <w:r w:rsidR="001D5F01" w:rsidRPr="00BA0FBF">
              <w:rPr>
                <w:sz w:val="18"/>
              </w:rPr>
              <w:t>19</w:t>
            </w:r>
          </w:p>
        </w:tc>
        <w:tc>
          <w:tcPr>
            <w:tcW w:w="378" w:type="pct"/>
          </w:tcPr>
          <w:p w:rsidR="001D5F01" w:rsidRPr="00BA0FBF" w:rsidRDefault="000B1326" w:rsidP="00F95381">
            <w:pPr>
              <w:pStyle w:val="TableHeadingCentred"/>
              <w:cnfStyle w:val="100000000000" w:firstRow="1" w:lastRow="0" w:firstColumn="0" w:lastColumn="0" w:oddVBand="0" w:evenVBand="0" w:oddHBand="0" w:evenHBand="0" w:firstRowFirstColumn="0" w:firstRowLastColumn="0" w:lastRowFirstColumn="0" w:lastRowLastColumn="0"/>
              <w:rPr>
                <w:sz w:val="18"/>
              </w:rPr>
            </w:pPr>
            <w:r>
              <w:rPr>
                <w:sz w:val="18"/>
              </w:rPr>
              <w:t>2019–</w:t>
            </w:r>
            <w:r w:rsidR="001D5F01" w:rsidRPr="00BA0FBF">
              <w:rPr>
                <w:sz w:val="18"/>
              </w:rPr>
              <w:t>20</w:t>
            </w:r>
          </w:p>
        </w:tc>
        <w:tc>
          <w:tcPr>
            <w:tcW w:w="378" w:type="pct"/>
          </w:tcPr>
          <w:p w:rsidR="001D5F01" w:rsidRPr="00BA0FBF" w:rsidRDefault="000B1326" w:rsidP="00F95381">
            <w:pPr>
              <w:pStyle w:val="TableHeadingCentred"/>
              <w:cnfStyle w:val="100000000000" w:firstRow="1" w:lastRow="0" w:firstColumn="0" w:lastColumn="0" w:oddVBand="0" w:evenVBand="0" w:oddHBand="0" w:evenHBand="0" w:firstRowFirstColumn="0" w:firstRowLastColumn="0" w:lastRowFirstColumn="0" w:lastRowLastColumn="0"/>
              <w:rPr>
                <w:sz w:val="18"/>
              </w:rPr>
            </w:pPr>
            <w:r>
              <w:rPr>
                <w:sz w:val="18"/>
              </w:rPr>
              <w:t>2020–</w:t>
            </w:r>
            <w:r w:rsidR="001D5F01" w:rsidRPr="00BA0FBF">
              <w:rPr>
                <w:sz w:val="18"/>
              </w:rPr>
              <w:t>21</w:t>
            </w:r>
          </w:p>
        </w:tc>
        <w:tc>
          <w:tcPr>
            <w:tcW w:w="379" w:type="pct"/>
          </w:tcPr>
          <w:p w:rsidR="001D5F01" w:rsidRPr="00BA0FBF" w:rsidRDefault="000B1326" w:rsidP="00F95381">
            <w:pPr>
              <w:pStyle w:val="TableHeadingCentred"/>
              <w:cnfStyle w:val="100000000000" w:firstRow="1" w:lastRow="0" w:firstColumn="0" w:lastColumn="0" w:oddVBand="0" w:evenVBand="0" w:oddHBand="0" w:evenHBand="0" w:firstRowFirstColumn="0" w:firstRowLastColumn="0" w:lastRowFirstColumn="0" w:lastRowLastColumn="0"/>
              <w:rPr>
                <w:sz w:val="18"/>
              </w:rPr>
            </w:pPr>
            <w:r>
              <w:rPr>
                <w:sz w:val="18"/>
              </w:rPr>
              <w:t>2021–</w:t>
            </w:r>
            <w:r w:rsidR="001D5F01" w:rsidRPr="00BA0FBF">
              <w:rPr>
                <w:sz w:val="18"/>
              </w:rPr>
              <w:t>22</w:t>
            </w:r>
          </w:p>
        </w:tc>
        <w:tc>
          <w:tcPr>
            <w:tcW w:w="378" w:type="pct"/>
          </w:tcPr>
          <w:p w:rsidR="001D5F01" w:rsidRPr="00BA0FBF" w:rsidRDefault="001D5F01" w:rsidP="000B1326">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2022</w:t>
            </w:r>
            <w:r w:rsidR="000B1326">
              <w:rPr>
                <w:sz w:val="18"/>
              </w:rPr>
              <w:t>–</w:t>
            </w:r>
            <w:r w:rsidRPr="00BA0FBF">
              <w:rPr>
                <w:sz w:val="18"/>
              </w:rPr>
              <w:t>23</w:t>
            </w:r>
          </w:p>
        </w:tc>
        <w:tc>
          <w:tcPr>
            <w:tcW w:w="378" w:type="pct"/>
          </w:tcPr>
          <w:p w:rsidR="001D5F01" w:rsidRPr="00BA0FBF" w:rsidRDefault="000B1326" w:rsidP="00F95381">
            <w:pPr>
              <w:pStyle w:val="TableHeadingCentred"/>
              <w:cnfStyle w:val="100000000000" w:firstRow="1" w:lastRow="0" w:firstColumn="0" w:lastColumn="0" w:oddVBand="0" w:evenVBand="0" w:oddHBand="0" w:evenHBand="0" w:firstRowFirstColumn="0" w:firstRowLastColumn="0" w:lastRowFirstColumn="0" w:lastRowLastColumn="0"/>
              <w:rPr>
                <w:sz w:val="18"/>
              </w:rPr>
            </w:pPr>
            <w:r>
              <w:rPr>
                <w:sz w:val="18"/>
              </w:rPr>
              <w:t>2023–</w:t>
            </w:r>
            <w:r w:rsidR="001D5F01" w:rsidRPr="00BA0FBF">
              <w:rPr>
                <w:sz w:val="18"/>
              </w:rPr>
              <w:t>24</w:t>
            </w:r>
          </w:p>
        </w:tc>
        <w:tc>
          <w:tcPr>
            <w:tcW w:w="379" w:type="pct"/>
          </w:tcPr>
          <w:p w:rsidR="001D5F01" w:rsidRPr="00BA0FBF" w:rsidRDefault="000B1326" w:rsidP="00F95381">
            <w:pPr>
              <w:pStyle w:val="TableHeadingCentred"/>
              <w:cnfStyle w:val="100000000000" w:firstRow="1" w:lastRow="0" w:firstColumn="0" w:lastColumn="0" w:oddVBand="0" w:evenVBand="0" w:oddHBand="0" w:evenHBand="0" w:firstRowFirstColumn="0" w:firstRowLastColumn="0" w:lastRowFirstColumn="0" w:lastRowLastColumn="0"/>
              <w:rPr>
                <w:sz w:val="18"/>
              </w:rPr>
            </w:pPr>
            <w:r>
              <w:rPr>
                <w:sz w:val="18"/>
              </w:rPr>
              <w:t>2024–</w:t>
            </w:r>
            <w:r w:rsidR="001D5F01" w:rsidRPr="00BA0FBF">
              <w:rPr>
                <w:sz w:val="18"/>
              </w:rPr>
              <w:t>25</w:t>
            </w:r>
          </w:p>
        </w:tc>
        <w:tc>
          <w:tcPr>
            <w:tcW w:w="378" w:type="pct"/>
          </w:tcPr>
          <w:p w:rsidR="001D5F01" w:rsidRPr="00BA0FBF" w:rsidRDefault="000B1326" w:rsidP="00F95381">
            <w:pPr>
              <w:pStyle w:val="TableHeadingCentred"/>
              <w:cnfStyle w:val="100000000000" w:firstRow="1" w:lastRow="0" w:firstColumn="0" w:lastColumn="0" w:oddVBand="0" w:evenVBand="0" w:oddHBand="0" w:evenHBand="0" w:firstRowFirstColumn="0" w:firstRowLastColumn="0" w:lastRowFirstColumn="0" w:lastRowLastColumn="0"/>
              <w:rPr>
                <w:sz w:val="18"/>
              </w:rPr>
            </w:pPr>
            <w:r>
              <w:rPr>
                <w:sz w:val="18"/>
              </w:rPr>
              <w:t>2025–</w:t>
            </w:r>
            <w:r w:rsidR="001D5F01" w:rsidRPr="00BA0FBF">
              <w:rPr>
                <w:sz w:val="18"/>
              </w:rPr>
              <w:t>26</w:t>
            </w:r>
          </w:p>
        </w:tc>
        <w:tc>
          <w:tcPr>
            <w:tcW w:w="375" w:type="pct"/>
          </w:tcPr>
          <w:p w:rsidR="001D5F01" w:rsidRPr="00BA0FBF" w:rsidRDefault="001D5F01" w:rsidP="00F95381">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Medium Term</w:t>
            </w:r>
          </w:p>
        </w:tc>
      </w:tr>
      <w:tr w:rsidR="00DC3471" w:rsidRPr="00BA0FBF" w:rsidTr="00DC347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gridSpan w:val="11"/>
            <w:vAlign w:val="top"/>
          </w:tcPr>
          <w:p w:rsidR="00DC3471" w:rsidRPr="00BA0FBF" w:rsidRDefault="00DC3471" w:rsidP="0002160B">
            <w:pPr>
              <w:rPr>
                <w:sz w:val="18"/>
              </w:rPr>
            </w:pPr>
            <w:r w:rsidRPr="00BA0FBF">
              <w:rPr>
                <w:b/>
                <w:sz w:val="18"/>
              </w:rPr>
              <w:t>Impact of Rate Change</w:t>
            </w:r>
          </w:p>
        </w:tc>
      </w:tr>
      <w:tr w:rsidR="00391F51" w:rsidRPr="00BA0FBF" w:rsidTr="00DC3471">
        <w:trPr>
          <w:cantSplit/>
        </w:trPr>
        <w:tc>
          <w:tcPr>
            <w:cnfStyle w:val="001000000000" w:firstRow="0" w:lastRow="0" w:firstColumn="1" w:lastColumn="0" w:oddVBand="0" w:evenVBand="0" w:oddHBand="0" w:evenHBand="0" w:firstRowFirstColumn="0" w:firstRowLastColumn="0" w:lastRowFirstColumn="0" w:lastRowLastColumn="0"/>
            <w:tcW w:w="1222" w:type="pct"/>
            <w:vAlign w:val="top"/>
          </w:tcPr>
          <w:p w:rsidR="00391F51" w:rsidRPr="00BA0FBF" w:rsidRDefault="00391F51" w:rsidP="00EC34D9">
            <w:pPr>
              <w:rPr>
                <w:sz w:val="18"/>
              </w:rPr>
            </w:pPr>
            <w:r w:rsidRPr="00BA0FBF">
              <w:rPr>
                <w:sz w:val="18"/>
              </w:rPr>
              <w:t>Increase GST</w:t>
            </w:r>
            <w:r w:rsidR="00471585">
              <w:rPr>
                <w:sz w:val="18"/>
              </w:rPr>
              <w:t xml:space="preserve"> rate</w:t>
            </w:r>
            <w:r w:rsidRPr="00BA0FBF">
              <w:rPr>
                <w:sz w:val="18"/>
              </w:rPr>
              <w:t xml:space="preserve"> to 15 per cent</w:t>
            </w:r>
          </w:p>
        </w:tc>
        <w:tc>
          <w:tcPr>
            <w:tcW w:w="377" w:type="pct"/>
            <w:vAlign w:val="top"/>
          </w:tcPr>
          <w:p w:rsidR="00391F51" w:rsidRPr="00BA0FBF" w:rsidRDefault="00391F51" w:rsidP="00391F51">
            <w:pPr>
              <w:jc w:val="right"/>
              <w:cnfStyle w:val="000000000000" w:firstRow="0" w:lastRow="0" w:firstColumn="0" w:lastColumn="0" w:oddVBand="0" w:evenVBand="0" w:oddHBand="0" w:evenHBand="0" w:firstRowFirstColumn="0" w:firstRowLastColumn="0" w:lastRowFirstColumn="0" w:lastRowLastColumn="0"/>
              <w:rPr>
                <w:sz w:val="18"/>
              </w:rPr>
            </w:pPr>
            <w:r w:rsidRPr="00BA0FBF">
              <w:rPr>
                <w:sz w:val="18"/>
              </w:rPr>
              <w:t>0.0</w:t>
            </w:r>
          </w:p>
        </w:tc>
        <w:tc>
          <w:tcPr>
            <w:tcW w:w="378" w:type="pct"/>
            <w:vAlign w:val="top"/>
          </w:tcPr>
          <w:p w:rsidR="00391F51" w:rsidRPr="00BA0FBF" w:rsidRDefault="00391F51" w:rsidP="00391F51">
            <w:pPr>
              <w:jc w:val="right"/>
              <w:cnfStyle w:val="000000000000" w:firstRow="0" w:lastRow="0" w:firstColumn="0" w:lastColumn="0" w:oddVBand="0" w:evenVBand="0" w:oddHBand="0" w:evenHBand="0" w:firstRowFirstColumn="0" w:firstRowLastColumn="0" w:lastRowFirstColumn="0" w:lastRowLastColumn="0"/>
              <w:rPr>
                <w:sz w:val="18"/>
              </w:rPr>
            </w:pPr>
            <w:r w:rsidRPr="00BA0FBF">
              <w:rPr>
                <w:sz w:val="18"/>
              </w:rPr>
              <w:t>0.0</w:t>
            </w:r>
          </w:p>
        </w:tc>
        <w:tc>
          <w:tcPr>
            <w:tcW w:w="378" w:type="pct"/>
            <w:vAlign w:val="top"/>
          </w:tcPr>
          <w:p w:rsidR="00391F51" w:rsidRPr="00BA0FBF" w:rsidRDefault="00391F51" w:rsidP="00391F51">
            <w:pPr>
              <w:jc w:val="right"/>
              <w:cnfStyle w:val="000000000000" w:firstRow="0" w:lastRow="0" w:firstColumn="0" w:lastColumn="0" w:oddVBand="0" w:evenVBand="0" w:oddHBand="0" w:evenHBand="0" w:firstRowFirstColumn="0" w:firstRowLastColumn="0" w:lastRowFirstColumn="0" w:lastRowLastColumn="0"/>
              <w:rPr>
                <w:sz w:val="18"/>
              </w:rPr>
            </w:pPr>
            <w:r w:rsidRPr="00BA0FBF">
              <w:rPr>
                <w:sz w:val="18"/>
              </w:rPr>
              <w:t>0.0</w:t>
            </w:r>
          </w:p>
        </w:tc>
        <w:tc>
          <w:tcPr>
            <w:tcW w:w="378" w:type="pct"/>
            <w:vAlign w:val="top"/>
          </w:tcPr>
          <w:p w:rsidR="00391F51" w:rsidRPr="00BA0FBF" w:rsidRDefault="00391F51" w:rsidP="00391F51">
            <w:pPr>
              <w:jc w:val="right"/>
              <w:cnfStyle w:val="000000000000" w:firstRow="0" w:lastRow="0" w:firstColumn="0" w:lastColumn="0" w:oddVBand="0" w:evenVBand="0" w:oddHBand="0" w:evenHBand="0" w:firstRowFirstColumn="0" w:firstRowLastColumn="0" w:lastRowFirstColumn="0" w:lastRowLastColumn="0"/>
              <w:rPr>
                <w:sz w:val="18"/>
              </w:rPr>
            </w:pPr>
            <w:r w:rsidRPr="00BA0FBF">
              <w:rPr>
                <w:sz w:val="18"/>
              </w:rPr>
              <w:t>0.0</w:t>
            </w:r>
          </w:p>
        </w:tc>
        <w:tc>
          <w:tcPr>
            <w:tcW w:w="379" w:type="pct"/>
            <w:vAlign w:val="top"/>
          </w:tcPr>
          <w:p w:rsidR="00391F51" w:rsidRPr="00BA0FBF" w:rsidRDefault="00391F51" w:rsidP="00391F51">
            <w:pPr>
              <w:jc w:val="right"/>
              <w:cnfStyle w:val="000000000000" w:firstRow="0" w:lastRow="0" w:firstColumn="0" w:lastColumn="0" w:oddVBand="0" w:evenVBand="0" w:oddHBand="0" w:evenHBand="0" w:firstRowFirstColumn="0" w:firstRowLastColumn="0" w:lastRowFirstColumn="0" w:lastRowLastColumn="0"/>
              <w:rPr>
                <w:sz w:val="18"/>
              </w:rPr>
            </w:pPr>
            <w:r w:rsidRPr="00BA0FBF">
              <w:rPr>
                <w:sz w:val="18"/>
              </w:rPr>
              <w:t>0.0</w:t>
            </w:r>
          </w:p>
        </w:tc>
        <w:tc>
          <w:tcPr>
            <w:tcW w:w="378" w:type="pct"/>
            <w:vAlign w:val="top"/>
          </w:tcPr>
          <w:p w:rsidR="00391F51" w:rsidRPr="00BA0FBF" w:rsidRDefault="00391F51" w:rsidP="00391F51">
            <w:pPr>
              <w:jc w:val="right"/>
              <w:cnfStyle w:val="000000000000" w:firstRow="0" w:lastRow="0" w:firstColumn="0" w:lastColumn="0" w:oddVBand="0" w:evenVBand="0" w:oddHBand="0" w:evenHBand="0" w:firstRowFirstColumn="0" w:firstRowLastColumn="0" w:lastRowFirstColumn="0" w:lastRowLastColumn="0"/>
              <w:rPr>
                <w:sz w:val="18"/>
              </w:rPr>
            </w:pPr>
            <w:r w:rsidRPr="00BA0FBF">
              <w:rPr>
                <w:sz w:val="18"/>
              </w:rPr>
              <w:t>0.0</w:t>
            </w:r>
          </w:p>
        </w:tc>
        <w:tc>
          <w:tcPr>
            <w:tcW w:w="378" w:type="pct"/>
            <w:vAlign w:val="top"/>
          </w:tcPr>
          <w:p w:rsidR="00391F51" w:rsidRPr="00BA0FBF" w:rsidRDefault="00391F51" w:rsidP="00391F51">
            <w:pPr>
              <w:jc w:val="right"/>
              <w:cnfStyle w:val="000000000000" w:firstRow="0" w:lastRow="0" w:firstColumn="0" w:lastColumn="0" w:oddVBand="0" w:evenVBand="0" w:oddHBand="0" w:evenHBand="0" w:firstRowFirstColumn="0" w:firstRowLastColumn="0" w:lastRowFirstColumn="0" w:lastRowLastColumn="0"/>
              <w:rPr>
                <w:sz w:val="18"/>
              </w:rPr>
            </w:pPr>
            <w:r w:rsidRPr="00BA0FBF">
              <w:rPr>
                <w:sz w:val="18"/>
              </w:rPr>
              <w:t>0.0</w:t>
            </w:r>
          </w:p>
        </w:tc>
        <w:tc>
          <w:tcPr>
            <w:tcW w:w="379" w:type="pct"/>
            <w:vAlign w:val="top"/>
          </w:tcPr>
          <w:p w:rsidR="00391F51" w:rsidRPr="00BA0FBF" w:rsidRDefault="00391F51" w:rsidP="00391F51">
            <w:pPr>
              <w:jc w:val="right"/>
              <w:cnfStyle w:val="000000000000" w:firstRow="0" w:lastRow="0" w:firstColumn="0" w:lastColumn="0" w:oddVBand="0" w:evenVBand="0" w:oddHBand="0" w:evenHBand="0" w:firstRowFirstColumn="0" w:firstRowLastColumn="0" w:lastRowFirstColumn="0" w:lastRowLastColumn="0"/>
              <w:rPr>
                <w:sz w:val="18"/>
              </w:rPr>
            </w:pPr>
            <w:r w:rsidRPr="00BA0FBF">
              <w:rPr>
                <w:sz w:val="18"/>
              </w:rPr>
              <w:t>0.0</w:t>
            </w:r>
          </w:p>
        </w:tc>
        <w:tc>
          <w:tcPr>
            <w:tcW w:w="378" w:type="pct"/>
            <w:vAlign w:val="top"/>
          </w:tcPr>
          <w:p w:rsidR="00391F51" w:rsidRPr="00BA0FBF" w:rsidRDefault="00391F51" w:rsidP="00391F51">
            <w:pPr>
              <w:jc w:val="right"/>
              <w:cnfStyle w:val="000000000000" w:firstRow="0" w:lastRow="0" w:firstColumn="0" w:lastColumn="0" w:oddVBand="0" w:evenVBand="0" w:oddHBand="0" w:evenHBand="0" w:firstRowFirstColumn="0" w:firstRowLastColumn="0" w:lastRowFirstColumn="0" w:lastRowLastColumn="0"/>
              <w:rPr>
                <w:sz w:val="18"/>
              </w:rPr>
            </w:pPr>
            <w:r w:rsidRPr="00BA0FBF">
              <w:rPr>
                <w:sz w:val="18"/>
              </w:rPr>
              <w:t>0.0</w:t>
            </w:r>
          </w:p>
        </w:tc>
        <w:tc>
          <w:tcPr>
            <w:tcW w:w="375" w:type="pct"/>
            <w:vAlign w:val="top"/>
          </w:tcPr>
          <w:p w:rsidR="00391F51" w:rsidRPr="00BA0FBF" w:rsidRDefault="00391F51" w:rsidP="00391F51">
            <w:pPr>
              <w:jc w:val="right"/>
              <w:cnfStyle w:val="000000000000" w:firstRow="0" w:lastRow="0" w:firstColumn="0" w:lastColumn="0" w:oddVBand="0" w:evenVBand="0" w:oddHBand="0" w:evenHBand="0" w:firstRowFirstColumn="0" w:firstRowLastColumn="0" w:lastRowFirstColumn="0" w:lastRowLastColumn="0"/>
              <w:rPr>
                <w:sz w:val="18"/>
              </w:rPr>
            </w:pPr>
            <w:r w:rsidRPr="00BA0FBF">
              <w:rPr>
                <w:sz w:val="18"/>
              </w:rPr>
              <w:t>0.0</w:t>
            </w:r>
          </w:p>
        </w:tc>
      </w:tr>
      <w:tr w:rsidR="00DC3471" w:rsidRPr="00BA0FBF" w:rsidTr="00DC347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gridSpan w:val="11"/>
            <w:vAlign w:val="top"/>
          </w:tcPr>
          <w:p w:rsidR="00DC3471" w:rsidRPr="00BA0FBF" w:rsidRDefault="00DC3471" w:rsidP="00DC3471">
            <w:pPr>
              <w:rPr>
                <w:sz w:val="18"/>
              </w:rPr>
            </w:pPr>
            <w:r w:rsidRPr="00BA0FBF">
              <w:rPr>
                <w:b/>
                <w:sz w:val="18"/>
              </w:rPr>
              <w:t>Impact of Base Change</w:t>
            </w:r>
          </w:p>
        </w:tc>
      </w:tr>
      <w:tr w:rsidR="00391F51" w:rsidRPr="00BA0FBF" w:rsidTr="00DC3471">
        <w:trPr>
          <w:cantSplit/>
        </w:trPr>
        <w:tc>
          <w:tcPr>
            <w:cnfStyle w:val="001000000000" w:firstRow="0" w:lastRow="0" w:firstColumn="1" w:lastColumn="0" w:oddVBand="0" w:evenVBand="0" w:oddHBand="0" w:evenHBand="0" w:firstRowFirstColumn="0" w:firstRowLastColumn="0" w:lastRowFirstColumn="0" w:lastRowLastColumn="0"/>
            <w:tcW w:w="1222" w:type="pct"/>
          </w:tcPr>
          <w:p w:rsidR="00391F51" w:rsidRPr="00BA0FBF" w:rsidRDefault="00391F51" w:rsidP="00EC34D9">
            <w:pPr>
              <w:pStyle w:val="TableText"/>
              <w:rPr>
                <w:sz w:val="18"/>
              </w:rPr>
            </w:pPr>
            <w:r w:rsidRPr="00BA0FBF">
              <w:rPr>
                <w:sz w:val="18"/>
              </w:rPr>
              <w:t>Basic Food</w:t>
            </w:r>
          </w:p>
        </w:tc>
        <w:tc>
          <w:tcPr>
            <w:tcW w:w="377" w:type="pct"/>
            <w:vAlign w:val="top"/>
          </w:tcPr>
          <w:p w:rsidR="00391F51" w:rsidRPr="00BA0FBF" w:rsidRDefault="00391F51" w:rsidP="00DC3471">
            <w:pPr>
              <w:jc w:val="right"/>
              <w:cnfStyle w:val="000000000000" w:firstRow="0" w:lastRow="0" w:firstColumn="0" w:lastColumn="0" w:oddVBand="0" w:evenVBand="0" w:oddHBand="0" w:evenHBand="0" w:firstRowFirstColumn="0" w:firstRowLastColumn="0" w:lastRowFirstColumn="0" w:lastRowLastColumn="0"/>
              <w:rPr>
                <w:sz w:val="18"/>
              </w:rPr>
            </w:pPr>
            <w:r w:rsidRPr="00BA0FBF">
              <w:rPr>
                <w:sz w:val="18"/>
              </w:rPr>
              <w:t>7.2</w:t>
            </w:r>
          </w:p>
        </w:tc>
        <w:tc>
          <w:tcPr>
            <w:tcW w:w="378" w:type="pct"/>
            <w:vAlign w:val="top"/>
          </w:tcPr>
          <w:p w:rsidR="00391F51" w:rsidRPr="00BA0FBF" w:rsidRDefault="00391F51" w:rsidP="00DC3471">
            <w:pPr>
              <w:jc w:val="right"/>
              <w:cnfStyle w:val="000000000000" w:firstRow="0" w:lastRow="0" w:firstColumn="0" w:lastColumn="0" w:oddVBand="0" w:evenVBand="0" w:oddHBand="0" w:evenHBand="0" w:firstRowFirstColumn="0" w:firstRowLastColumn="0" w:lastRowFirstColumn="0" w:lastRowLastColumn="0"/>
              <w:rPr>
                <w:sz w:val="18"/>
              </w:rPr>
            </w:pPr>
            <w:r w:rsidRPr="00BA0FBF">
              <w:rPr>
                <w:sz w:val="18"/>
              </w:rPr>
              <w:t>7.5</w:t>
            </w:r>
          </w:p>
        </w:tc>
        <w:tc>
          <w:tcPr>
            <w:tcW w:w="378" w:type="pct"/>
            <w:vAlign w:val="top"/>
          </w:tcPr>
          <w:p w:rsidR="00391F51" w:rsidRPr="00BA0FBF" w:rsidRDefault="00391F51" w:rsidP="00DC3471">
            <w:pPr>
              <w:jc w:val="right"/>
              <w:cnfStyle w:val="000000000000" w:firstRow="0" w:lastRow="0" w:firstColumn="0" w:lastColumn="0" w:oddVBand="0" w:evenVBand="0" w:oddHBand="0" w:evenHBand="0" w:firstRowFirstColumn="0" w:firstRowLastColumn="0" w:lastRowFirstColumn="0" w:lastRowLastColumn="0"/>
              <w:rPr>
                <w:sz w:val="18"/>
              </w:rPr>
            </w:pPr>
            <w:r w:rsidRPr="00BA0FBF">
              <w:rPr>
                <w:sz w:val="18"/>
              </w:rPr>
              <w:t>7.8</w:t>
            </w:r>
          </w:p>
        </w:tc>
        <w:tc>
          <w:tcPr>
            <w:tcW w:w="378" w:type="pct"/>
            <w:vAlign w:val="top"/>
          </w:tcPr>
          <w:p w:rsidR="00391F51" w:rsidRPr="00BA0FBF" w:rsidRDefault="00391F51" w:rsidP="00DC3471">
            <w:pPr>
              <w:jc w:val="right"/>
              <w:cnfStyle w:val="000000000000" w:firstRow="0" w:lastRow="0" w:firstColumn="0" w:lastColumn="0" w:oddVBand="0" w:evenVBand="0" w:oddHBand="0" w:evenHBand="0" w:firstRowFirstColumn="0" w:firstRowLastColumn="0" w:lastRowFirstColumn="0" w:lastRowLastColumn="0"/>
              <w:rPr>
                <w:sz w:val="18"/>
              </w:rPr>
            </w:pPr>
            <w:r w:rsidRPr="00BA0FBF">
              <w:rPr>
                <w:sz w:val="18"/>
              </w:rPr>
              <w:t>8.2</w:t>
            </w:r>
          </w:p>
        </w:tc>
        <w:tc>
          <w:tcPr>
            <w:tcW w:w="379" w:type="pct"/>
            <w:vAlign w:val="top"/>
          </w:tcPr>
          <w:p w:rsidR="00391F51" w:rsidRPr="00BA0FBF" w:rsidRDefault="00391F51" w:rsidP="00DC3471">
            <w:pPr>
              <w:jc w:val="right"/>
              <w:cnfStyle w:val="000000000000" w:firstRow="0" w:lastRow="0" w:firstColumn="0" w:lastColumn="0" w:oddVBand="0" w:evenVBand="0" w:oddHBand="0" w:evenHBand="0" w:firstRowFirstColumn="0" w:firstRowLastColumn="0" w:lastRowFirstColumn="0" w:lastRowLastColumn="0"/>
              <w:rPr>
                <w:sz w:val="18"/>
              </w:rPr>
            </w:pPr>
            <w:r w:rsidRPr="00BA0FBF">
              <w:rPr>
                <w:sz w:val="18"/>
              </w:rPr>
              <w:t>8.5</w:t>
            </w:r>
          </w:p>
        </w:tc>
        <w:tc>
          <w:tcPr>
            <w:tcW w:w="378" w:type="pct"/>
            <w:vAlign w:val="top"/>
          </w:tcPr>
          <w:p w:rsidR="00391F51" w:rsidRPr="00BA0FBF" w:rsidRDefault="00391F51" w:rsidP="00DC3471">
            <w:pPr>
              <w:jc w:val="right"/>
              <w:cnfStyle w:val="000000000000" w:firstRow="0" w:lastRow="0" w:firstColumn="0" w:lastColumn="0" w:oddVBand="0" w:evenVBand="0" w:oddHBand="0" w:evenHBand="0" w:firstRowFirstColumn="0" w:firstRowLastColumn="0" w:lastRowFirstColumn="0" w:lastRowLastColumn="0"/>
              <w:rPr>
                <w:sz w:val="18"/>
              </w:rPr>
            </w:pPr>
            <w:r w:rsidRPr="00BA0FBF">
              <w:rPr>
                <w:sz w:val="18"/>
              </w:rPr>
              <w:t>8.9</w:t>
            </w:r>
          </w:p>
        </w:tc>
        <w:tc>
          <w:tcPr>
            <w:tcW w:w="378" w:type="pct"/>
            <w:vAlign w:val="top"/>
          </w:tcPr>
          <w:p w:rsidR="00391F51" w:rsidRPr="00BA0FBF" w:rsidRDefault="00391F51" w:rsidP="00DC3471">
            <w:pPr>
              <w:jc w:val="right"/>
              <w:cnfStyle w:val="000000000000" w:firstRow="0" w:lastRow="0" w:firstColumn="0" w:lastColumn="0" w:oddVBand="0" w:evenVBand="0" w:oddHBand="0" w:evenHBand="0" w:firstRowFirstColumn="0" w:firstRowLastColumn="0" w:lastRowFirstColumn="0" w:lastRowLastColumn="0"/>
              <w:rPr>
                <w:sz w:val="18"/>
              </w:rPr>
            </w:pPr>
            <w:r w:rsidRPr="00BA0FBF">
              <w:rPr>
                <w:sz w:val="18"/>
              </w:rPr>
              <w:t>9.3</w:t>
            </w:r>
          </w:p>
        </w:tc>
        <w:tc>
          <w:tcPr>
            <w:tcW w:w="379" w:type="pct"/>
            <w:vAlign w:val="top"/>
          </w:tcPr>
          <w:p w:rsidR="00391F51" w:rsidRPr="00BA0FBF" w:rsidRDefault="00391F51" w:rsidP="00DC3471">
            <w:pPr>
              <w:jc w:val="right"/>
              <w:cnfStyle w:val="000000000000" w:firstRow="0" w:lastRow="0" w:firstColumn="0" w:lastColumn="0" w:oddVBand="0" w:evenVBand="0" w:oddHBand="0" w:evenHBand="0" w:firstRowFirstColumn="0" w:firstRowLastColumn="0" w:lastRowFirstColumn="0" w:lastRowLastColumn="0"/>
              <w:rPr>
                <w:sz w:val="18"/>
              </w:rPr>
            </w:pPr>
            <w:r w:rsidRPr="00BA0FBF">
              <w:rPr>
                <w:sz w:val="18"/>
              </w:rPr>
              <w:t>9.7</w:t>
            </w:r>
          </w:p>
        </w:tc>
        <w:tc>
          <w:tcPr>
            <w:tcW w:w="378" w:type="pct"/>
            <w:vAlign w:val="top"/>
          </w:tcPr>
          <w:p w:rsidR="00391F51" w:rsidRPr="00BA0FBF" w:rsidRDefault="00391F51" w:rsidP="00DC3471">
            <w:pPr>
              <w:jc w:val="right"/>
              <w:cnfStyle w:val="000000000000" w:firstRow="0" w:lastRow="0" w:firstColumn="0" w:lastColumn="0" w:oddVBand="0" w:evenVBand="0" w:oddHBand="0" w:evenHBand="0" w:firstRowFirstColumn="0" w:firstRowLastColumn="0" w:lastRowFirstColumn="0" w:lastRowLastColumn="0"/>
              <w:rPr>
                <w:sz w:val="18"/>
              </w:rPr>
            </w:pPr>
            <w:r w:rsidRPr="00BA0FBF">
              <w:rPr>
                <w:sz w:val="18"/>
              </w:rPr>
              <w:t>10.1</w:t>
            </w:r>
          </w:p>
        </w:tc>
        <w:tc>
          <w:tcPr>
            <w:tcW w:w="375" w:type="pct"/>
            <w:vAlign w:val="top"/>
          </w:tcPr>
          <w:p w:rsidR="00391F51" w:rsidRPr="00BA0FBF" w:rsidRDefault="00391F51" w:rsidP="00DC3471">
            <w:pPr>
              <w:jc w:val="right"/>
              <w:cnfStyle w:val="000000000000" w:firstRow="0" w:lastRow="0" w:firstColumn="0" w:lastColumn="0" w:oddVBand="0" w:evenVBand="0" w:oddHBand="0" w:evenHBand="0" w:firstRowFirstColumn="0" w:firstRowLastColumn="0" w:lastRowFirstColumn="0" w:lastRowLastColumn="0"/>
              <w:rPr>
                <w:sz w:val="18"/>
              </w:rPr>
            </w:pPr>
            <w:r w:rsidRPr="00BA0FBF">
              <w:rPr>
                <w:sz w:val="18"/>
              </w:rPr>
              <w:t>77.2</w:t>
            </w:r>
          </w:p>
        </w:tc>
      </w:tr>
      <w:tr w:rsidR="009C65BD" w:rsidRPr="00BA0FBF" w:rsidTr="00DC347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22" w:type="pct"/>
          </w:tcPr>
          <w:p w:rsidR="009C65BD" w:rsidRPr="00BA0FBF" w:rsidRDefault="009C65BD" w:rsidP="00C259BC">
            <w:pPr>
              <w:pStyle w:val="TableText"/>
              <w:rPr>
                <w:sz w:val="18"/>
              </w:rPr>
            </w:pPr>
            <w:r w:rsidRPr="00BA0FBF">
              <w:rPr>
                <w:sz w:val="18"/>
              </w:rPr>
              <w:t>Health and Medical Care</w:t>
            </w:r>
          </w:p>
        </w:tc>
        <w:tc>
          <w:tcPr>
            <w:tcW w:w="377" w:type="pct"/>
            <w:vAlign w:val="top"/>
          </w:tcPr>
          <w:p w:rsidR="009C65BD" w:rsidRPr="00BA0FBF" w:rsidRDefault="009C65BD" w:rsidP="00C259BC">
            <w:pPr>
              <w:jc w:val="right"/>
              <w:cnfStyle w:val="000000100000" w:firstRow="0" w:lastRow="0" w:firstColumn="0" w:lastColumn="0" w:oddVBand="0" w:evenVBand="0" w:oddHBand="1" w:evenHBand="0" w:firstRowFirstColumn="0" w:firstRowLastColumn="0" w:lastRowFirstColumn="0" w:lastRowLastColumn="0"/>
              <w:rPr>
                <w:sz w:val="18"/>
              </w:rPr>
            </w:pPr>
            <w:r w:rsidRPr="00BA0FBF">
              <w:rPr>
                <w:sz w:val="18"/>
              </w:rPr>
              <w:t>0.0</w:t>
            </w:r>
          </w:p>
        </w:tc>
        <w:tc>
          <w:tcPr>
            <w:tcW w:w="378" w:type="pct"/>
            <w:vAlign w:val="top"/>
          </w:tcPr>
          <w:p w:rsidR="009C65BD" w:rsidRPr="00BA0FBF" w:rsidRDefault="009C65BD" w:rsidP="00C259BC">
            <w:pPr>
              <w:jc w:val="right"/>
              <w:cnfStyle w:val="000000100000" w:firstRow="0" w:lastRow="0" w:firstColumn="0" w:lastColumn="0" w:oddVBand="0" w:evenVBand="0" w:oddHBand="1" w:evenHBand="0" w:firstRowFirstColumn="0" w:firstRowLastColumn="0" w:lastRowFirstColumn="0" w:lastRowLastColumn="0"/>
              <w:rPr>
                <w:sz w:val="18"/>
              </w:rPr>
            </w:pPr>
            <w:r w:rsidRPr="00BA0FBF">
              <w:rPr>
                <w:sz w:val="18"/>
              </w:rPr>
              <w:t>0.0</w:t>
            </w:r>
          </w:p>
        </w:tc>
        <w:tc>
          <w:tcPr>
            <w:tcW w:w="378" w:type="pct"/>
            <w:vAlign w:val="top"/>
          </w:tcPr>
          <w:p w:rsidR="009C65BD" w:rsidRPr="00BA0FBF" w:rsidRDefault="009C65BD" w:rsidP="00C259BC">
            <w:pPr>
              <w:jc w:val="right"/>
              <w:cnfStyle w:val="000000100000" w:firstRow="0" w:lastRow="0" w:firstColumn="0" w:lastColumn="0" w:oddVBand="0" w:evenVBand="0" w:oddHBand="1" w:evenHBand="0" w:firstRowFirstColumn="0" w:firstRowLastColumn="0" w:lastRowFirstColumn="0" w:lastRowLastColumn="0"/>
              <w:rPr>
                <w:sz w:val="18"/>
              </w:rPr>
            </w:pPr>
            <w:r w:rsidRPr="00BA0FBF">
              <w:rPr>
                <w:sz w:val="18"/>
              </w:rPr>
              <w:t>0.0</w:t>
            </w:r>
          </w:p>
        </w:tc>
        <w:tc>
          <w:tcPr>
            <w:tcW w:w="378" w:type="pct"/>
            <w:vAlign w:val="top"/>
          </w:tcPr>
          <w:p w:rsidR="009C65BD" w:rsidRPr="00BA0FBF" w:rsidRDefault="009C65BD" w:rsidP="00C259BC">
            <w:pPr>
              <w:jc w:val="right"/>
              <w:cnfStyle w:val="000000100000" w:firstRow="0" w:lastRow="0" w:firstColumn="0" w:lastColumn="0" w:oddVBand="0" w:evenVBand="0" w:oddHBand="1" w:evenHBand="0" w:firstRowFirstColumn="0" w:firstRowLastColumn="0" w:lastRowFirstColumn="0" w:lastRowLastColumn="0"/>
              <w:rPr>
                <w:sz w:val="18"/>
              </w:rPr>
            </w:pPr>
            <w:r w:rsidRPr="00BA0FBF">
              <w:rPr>
                <w:sz w:val="18"/>
              </w:rPr>
              <w:t>0.0</w:t>
            </w:r>
          </w:p>
        </w:tc>
        <w:tc>
          <w:tcPr>
            <w:tcW w:w="379" w:type="pct"/>
            <w:vAlign w:val="top"/>
          </w:tcPr>
          <w:p w:rsidR="009C65BD" w:rsidRPr="00BA0FBF" w:rsidRDefault="009C65BD" w:rsidP="00C259BC">
            <w:pPr>
              <w:jc w:val="right"/>
              <w:cnfStyle w:val="000000100000" w:firstRow="0" w:lastRow="0" w:firstColumn="0" w:lastColumn="0" w:oddVBand="0" w:evenVBand="0" w:oddHBand="1" w:evenHBand="0" w:firstRowFirstColumn="0" w:firstRowLastColumn="0" w:lastRowFirstColumn="0" w:lastRowLastColumn="0"/>
              <w:rPr>
                <w:sz w:val="18"/>
              </w:rPr>
            </w:pPr>
            <w:r w:rsidRPr="00BA0FBF">
              <w:rPr>
                <w:sz w:val="18"/>
              </w:rPr>
              <w:t>0.0</w:t>
            </w:r>
          </w:p>
        </w:tc>
        <w:tc>
          <w:tcPr>
            <w:tcW w:w="378" w:type="pct"/>
            <w:vAlign w:val="top"/>
          </w:tcPr>
          <w:p w:rsidR="009C65BD" w:rsidRPr="00BA0FBF" w:rsidRDefault="009C65BD" w:rsidP="00C259BC">
            <w:pPr>
              <w:jc w:val="right"/>
              <w:cnfStyle w:val="000000100000" w:firstRow="0" w:lastRow="0" w:firstColumn="0" w:lastColumn="0" w:oddVBand="0" w:evenVBand="0" w:oddHBand="1" w:evenHBand="0" w:firstRowFirstColumn="0" w:firstRowLastColumn="0" w:lastRowFirstColumn="0" w:lastRowLastColumn="0"/>
              <w:rPr>
                <w:sz w:val="18"/>
              </w:rPr>
            </w:pPr>
            <w:r w:rsidRPr="00BA0FBF">
              <w:rPr>
                <w:sz w:val="18"/>
              </w:rPr>
              <w:t>0.0</w:t>
            </w:r>
          </w:p>
        </w:tc>
        <w:tc>
          <w:tcPr>
            <w:tcW w:w="378" w:type="pct"/>
            <w:vAlign w:val="top"/>
          </w:tcPr>
          <w:p w:rsidR="009C65BD" w:rsidRPr="00BA0FBF" w:rsidRDefault="009C65BD" w:rsidP="00C259BC">
            <w:pPr>
              <w:jc w:val="right"/>
              <w:cnfStyle w:val="000000100000" w:firstRow="0" w:lastRow="0" w:firstColumn="0" w:lastColumn="0" w:oddVBand="0" w:evenVBand="0" w:oddHBand="1" w:evenHBand="0" w:firstRowFirstColumn="0" w:firstRowLastColumn="0" w:lastRowFirstColumn="0" w:lastRowLastColumn="0"/>
              <w:rPr>
                <w:sz w:val="18"/>
              </w:rPr>
            </w:pPr>
            <w:r w:rsidRPr="00BA0FBF">
              <w:rPr>
                <w:sz w:val="18"/>
              </w:rPr>
              <w:t>0.0</w:t>
            </w:r>
          </w:p>
        </w:tc>
        <w:tc>
          <w:tcPr>
            <w:tcW w:w="379" w:type="pct"/>
            <w:vAlign w:val="top"/>
          </w:tcPr>
          <w:p w:rsidR="009C65BD" w:rsidRPr="00BA0FBF" w:rsidRDefault="009C65BD" w:rsidP="00C259BC">
            <w:pPr>
              <w:jc w:val="right"/>
              <w:cnfStyle w:val="000000100000" w:firstRow="0" w:lastRow="0" w:firstColumn="0" w:lastColumn="0" w:oddVBand="0" w:evenVBand="0" w:oddHBand="1" w:evenHBand="0" w:firstRowFirstColumn="0" w:firstRowLastColumn="0" w:lastRowFirstColumn="0" w:lastRowLastColumn="0"/>
              <w:rPr>
                <w:sz w:val="18"/>
              </w:rPr>
            </w:pPr>
            <w:r w:rsidRPr="00BA0FBF">
              <w:rPr>
                <w:sz w:val="18"/>
              </w:rPr>
              <w:t>0.0</w:t>
            </w:r>
          </w:p>
        </w:tc>
        <w:tc>
          <w:tcPr>
            <w:tcW w:w="378" w:type="pct"/>
            <w:vAlign w:val="top"/>
          </w:tcPr>
          <w:p w:rsidR="009C65BD" w:rsidRPr="00BA0FBF" w:rsidRDefault="009C65BD" w:rsidP="00C259BC">
            <w:pPr>
              <w:jc w:val="right"/>
              <w:cnfStyle w:val="000000100000" w:firstRow="0" w:lastRow="0" w:firstColumn="0" w:lastColumn="0" w:oddVBand="0" w:evenVBand="0" w:oddHBand="1" w:evenHBand="0" w:firstRowFirstColumn="0" w:firstRowLastColumn="0" w:lastRowFirstColumn="0" w:lastRowLastColumn="0"/>
              <w:rPr>
                <w:sz w:val="18"/>
              </w:rPr>
            </w:pPr>
            <w:r w:rsidRPr="00BA0FBF">
              <w:rPr>
                <w:sz w:val="18"/>
              </w:rPr>
              <w:t>0.0</w:t>
            </w:r>
          </w:p>
        </w:tc>
        <w:tc>
          <w:tcPr>
            <w:tcW w:w="375" w:type="pct"/>
            <w:vAlign w:val="top"/>
          </w:tcPr>
          <w:p w:rsidR="009C65BD" w:rsidRPr="00BA0FBF" w:rsidRDefault="009C65BD" w:rsidP="00C259BC">
            <w:pPr>
              <w:jc w:val="right"/>
              <w:cnfStyle w:val="000000100000" w:firstRow="0" w:lastRow="0" w:firstColumn="0" w:lastColumn="0" w:oddVBand="0" w:evenVBand="0" w:oddHBand="1" w:evenHBand="0" w:firstRowFirstColumn="0" w:firstRowLastColumn="0" w:lastRowFirstColumn="0" w:lastRowLastColumn="0"/>
              <w:rPr>
                <w:sz w:val="18"/>
              </w:rPr>
            </w:pPr>
            <w:r w:rsidRPr="00BA0FBF">
              <w:rPr>
                <w:sz w:val="18"/>
              </w:rPr>
              <w:t>0.0</w:t>
            </w:r>
          </w:p>
        </w:tc>
      </w:tr>
      <w:tr w:rsidR="009C65BD" w:rsidRPr="00BA0FBF" w:rsidTr="00DC3471">
        <w:trPr>
          <w:cantSplit/>
        </w:trPr>
        <w:tc>
          <w:tcPr>
            <w:cnfStyle w:val="001000000000" w:firstRow="0" w:lastRow="0" w:firstColumn="1" w:lastColumn="0" w:oddVBand="0" w:evenVBand="0" w:oddHBand="0" w:evenHBand="0" w:firstRowFirstColumn="0" w:firstRowLastColumn="0" w:lastRowFirstColumn="0" w:lastRowLastColumn="0"/>
            <w:tcW w:w="1222" w:type="pct"/>
          </w:tcPr>
          <w:p w:rsidR="009C65BD" w:rsidRPr="00BA0FBF" w:rsidRDefault="009C65BD" w:rsidP="00C259BC">
            <w:pPr>
              <w:pStyle w:val="TableText"/>
              <w:rPr>
                <w:sz w:val="18"/>
              </w:rPr>
            </w:pPr>
            <w:r w:rsidRPr="00BA0FBF">
              <w:rPr>
                <w:sz w:val="18"/>
              </w:rPr>
              <w:t>Education</w:t>
            </w:r>
          </w:p>
        </w:tc>
        <w:tc>
          <w:tcPr>
            <w:tcW w:w="377" w:type="pct"/>
            <w:vAlign w:val="top"/>
          </w:tcPr>
          <w:p w:rsidR="009C65BD" w:rsidRPr="00BA0FBF" w:rsidRDefault="009C65BD" w:rsidP="00C259BC">
            <w:pPr>
              <w:jc w:val="right"/>
              <w:cnfStyle w:val="000000000000" w:firstRow="0" w:lastRow="0" w:firstColumn="0" w:lastColumn="0" w:oddVBand="0" w:evenVBand="0" w:oddHBand="0" w:evenHBand="0" w:firstRowFirstColumn="0" w:firstRowLastColumn="0" w:lastRowFirstColumn="0" w:lastRowLastColumn="0"/>
              <w:rPr>
                <w:sz w:val="18"/>
              </w:rPr>
            </w:pPr>
            <w:r w:rsidRPr="00BA0FBF">
              <w:rPr>
                <w:sz w:val="18"/>
              </w:rPr>
              <w:t>0.0</w:t>
            </w:r>
          </w:p>
        </w:tc>
        <w:tc>
          <w:tcPr>
            <w:tcW w:w="378" w:type="pct"/>
            <w:vAlign w:val="top"/>
          </w:tcPr>
          <w:p w:rsidR="009C65BD" w:rsidRPr="00BA0FBF" w:rsidRDefault="009C65BD" w:rsidP="00C259BC">
            <w:pPr>
              <w:jc w:val="right"/>
              <w:cnfStyle w:val="000000000000" w:firstRow="0" w:lastRow="0" w:firstColumn="0" w:lastColumn="0" w:oddVBand="0" w:evenVBand="0" w:oddHBand="0" w:evenHBand="0" w:firstRowFirstColumn="0" w:firstRowLastColumn="0" w:lastRowFirstColumn="0" w:lastRowLastColumn="0"/>
              <w:rPr>
                <w:sz w:val="18"/>
              </w:rPr>
            </w:pPr>
            <w:r w:rsidRPr="00BA0FBF">
              <w:rPr>
                <w:sz w:val="18"/>
              </w:rPr>
              <w:t>0.0</w:t>
            </w:r>
          </w:p>
        </w:tc>
        <w:tc>
          <w:tcPr>
            <w:tcW w:w="378" w:type="pct"/>
            <w:vAlign w:val="top"/>
          </w:tcPr>
          <w:p w:rsidR="009C65BD" w:rsidRPr="00BA0FBF" w:rsidRDefault="009C65BD" w:rsidP="00C259BC">
            <w:pPr>
              <w:jc w:val="right"/>
              <w:cnfStyle w:val="000000000000" w:firstRow="0" w:lastRow="0" w:firstColumn="0" w:lastColumn="0" w:oddVBand="0" w:evenVBand="0" w:oddHBand="0" w:evenHBand="0" w:firstRowFirstColumn="0" w:firstRowLastColumn="0" w:lastRowFirstColumn="0" w:lastRowLastColumn="0"/>
              <w:rPr>
                <w:sz w:val="18"/>
              </w:rPr>
            </w:pPr>
            <w:r w:rsidRPr="00BA0FBF">
              <w:rPr>
                <w:sz w:val="18"/>
              </w:rPr>
              <w:t>0.0</w:t>
            </w:r>
          </w:p>
        </w:tc>
        <w:tc>
          <w:tcPr>
            <w:tcW w:w="378" w:type="pct"/>
            <w:vAlign w:val="top"/>
          </w:tcPr>
          <w:p w:rsidR="009C65BD" w:rsidRPr="00BA0FBF" w:rsidRDefault="009C65BD" w:rsidP="00C259BC">
            <w:pPr>
              <w:jc w:val="right"/>
              <w:cnfStyle w:val="000000000000" w:firstRow="0" w:lastRow="0" w:firstColumn="0" w:lastColumn="0" w:oddVBand="0" w:evenVBand="0" w:oddHBand="0" w:evenHBand="0" w:firstRowFirstColumn="0" w:firstRowLastColumn="0" w:lastRowFirstColumn="0" w:lastRowLastColumn="0"/>
              <w:rPr>
                <w:sz w:val="18"/>
              </w:rPr>
            </w:pPr>
            <w:r w:rsidRPr="00BA0FBF">
              <w:rPr>
                <w:sz w:val="18"/>
              </w:rPr>
              <w:t>0.0</w:t>
            </w:r>
          </w:p>
        </w:tc>
        <w:tc>
          <w:tcPr>
            <w:tcW w:w="379" w:type="pct"/>
            <w:vAlign w:val="top"/>
          </w:tcPr>
          <w:p w:rsidR="009C65BD" w:rsidRPr="00BA0FBF" w:rsidRDefault="009C65BD" w:rsidP="00C259BC">
            <w:pPr>
              <w:jc w:val="right"/>
              <w:cnfStyle w:val="000000000000" w:firstRow="0" w:lastRow="0" w:firstColumn="0" w:lastColumn="0" w:oddVBand="0" w:evenVBand="0" w:oddHBand="0" w:evenHBand="0" w:firstRowFirstColumn="0" w:firstRowLastColumn="0" w:lastRowFirstColumn="0" w:lastRowLastColumn="0"/>
              <w:rPr>
                <w:sz w:val="18"/>
              </w:rPr>
            </w:pPr>
            <w:r w:rsidRPr="00BA0FBF">
              <w:rPr>
                <w:sz w:val="18"/>
              </w:rPr>
              <w:t>0.0</w:t>
            </w:r>
          </w:p>
        </w:tc>
        <w:tc>
          <w:tcPr>
            <w:tcW w:w="378" w:type="pct"/>
            <w:vAlign w:val="top"/>
          </w:tcPr>
          <w:p w:rsidR="009C65BD" w:rsidRPr="00BA0FBF" w:rsidRDefault="009C65BD" w:rsidP="00C259BC">
            <w:pPr>
              <w:jc w:val="right"/>
              <w:cnfStyle w:val="000000000000" w:firstRow="0" w:lastRow="0" w:firstColumn="0" w:lastColumn="0" w:oddVBand="0" w:evenVBand="0" w:oddHBand="0" w:evenHBand="0" w:firstRowFirstColumn="0" w:firstRowLastColumn="0" w:lastRowFirstColumn="0" w:lastRowLastColumn="0"/>
              <w:rPr>
                <w:sz w:val="18"/>
              </w:rPr>
            </w:pPr>
            <w:r w:rsidRPr="00BA0FBF">
              <w:rPr>
                <w:sz w:val="18"/>
              </w:rPr>
              <w:t>0.0</w:t>
            </w:r>
          </w:p>
        </w:tc>
        <w:tc>
          <w:tcPr>
            <w:tcW w:w="378" w:type="pct"/>
            <w:vAlign w:val="top"/>
          </w:tcPr>
          <w:p w:rsidR="009C65BD" w:rsidRPr="00BA0FBF" w:rsidRDefault="009C65BD" w:rsidP="00C259BC">
            <w:pPr>
              <w:jc w:val="right"/>
              <w:cnfStyle w:val="000000000000" w:firstRow="0" w:lastRow="0" w:firstColumn="0" w:lastColumn="0" w:oddVBand="0" w:evenVBand="0" w:oddHBand="0" w:evenHBand="0" w:firstRowFirstColumn="0" w:firstRowLastColumn="0" w:lastRowFirstColumn="0" w:lastRowLastColumn="0"/>
              <w:rPr>
                <w:sz w:val="18"/>
              </w:rPr>
            </w:pPr>
            <w:r w:rsidRPr="00BA0FBF">
              <w:rPr>
                <w:sz w:val="18"/>
              </w:rPr>
              <w:t>0.0</w:t>
            </w:r>
          </w:p>
        </w:tc>
        <w:tc>
          <w:tcPr>
            <w:tcW w:w="379" w:type="pct"/>
            <w:vAlign w:val="top"/>
          </w:tcPr>
          <w:p w:rsidR="009C65BD" w:rsidRPr="00BA0FBF" w:rsidRDefault="009C65BD" w:rsidP="00C259BC">
            <w:pPr>
              <w:jc w:val="right"/>
              <w:cnfStyle w:val="000000000000" w:firstRow="0" w:lastRow="0" w:firstColumn="0" w:lastColumn="0" w:oddVBand="0" w:evenVBand="0" w:oddHBand="0" w:evenHBand="0" w:firstRowFirstColumn="0" w:firstRowLastColumn="0" w:lastRowFirstColumn="0" w:lastRowLastColumn="0"/>
              <w:rPr>
                <w:sz w:val="18"/>
              </w:rPr>
            </w:pPr>
            <w:r w:rsidRPr="00BA0FBF">
              <w:rPr>
                <w:sz w:val="18"/>
              </w:rPr>
              <w:t>0.0</w:t>
            </w:r>
          </w:p>
        </w:tc>
        <w:tc>
          <w:tcPr>
            <w:tcW w:w="378" w:type="pct"/>
            <w:vAlign w:val="top"/>
          </w:tcPr>
          <w:p w:rsidR="009C65BD" w:rsidRPr="00BA0FBF" w:rsidRDefault="009C65BD" w:rsidP="00C259BC">
            <w:pPr>
              <w:jc w:val="right"/>
              <w:cnfStyle w:val="000000000000" w:firstRow="0" w:lastRow="0" w:firstColumn="0" w:lastColumn="0" w:oddVBand="0" w:evenVBand="0" w:oddHBand="0" w:evenHBand="0" w:firstRowFirstColumn="0" w:firstRowLastColumn="0" w:lastRowFirstColumn="0" w:lastRowLastColumn="0"/>
              <w:rPr>
                <w:sz w:val="18"/>
              </w:rPr>
            </w:pPr>
            <w:r w:rsidRPr="00BA0FBF">
              <w:rPr>
                <w:sz w:val="18"/>
              </w:rPr>
              <w:t>0.0</w:t>
            </w:r>
          </w:p>
        </w:tc>
        <w:tc>
          <w:tcPr>
            <w:tcW w:w="375" w:type="pct"/>
            <w:vAlign w:val="top"/>
          </w:tcPr>
          <w:p w:rsidR="009C65BD" w:rsidRPr="00BA0FBF" w:rsidRDefault="009C65BD" w:rsidP="00C259BC">
            <w:pPr>
              <w:jc w:val="right"/>
              <w:cnfStyle w:val="000000000000" w:firstRow="0" w:lastRow="0" w:firstColumn="0" w:lastColumn="0" w:oddVBand="0" w:evenVBand="0" w:oddHBand="0" w:evenHBand="0" w:firstRowFirstColumn="0" w:firstRowLastColumn="0" w:lastRowFirstColumn="0" w:lastRowLastColumn="0"/>
              <w:rPr>
                <w:sz w:val="18"/>
              </w:rPr>
            </w:pPr>
            <w:r w:rsidRPr="00BA0FBF">
              <w:rPr>
                <w:sz w:val="18"/>
              </w:rPr>
              <w:t>0.0</w:t>
            </w:r>
          </w:p>
        </w:tc>
      </w:tr>
      <w:tr w:rsidR="001C4F81" w:rsidRPr="00BA0FBF" w:rsidTr="00DC347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22" w:type="pct"/>
          </w:tcPr>
          <w:p w:rsidR="001C4F81" w:rsidRPr="00BA0FBF" w:rsidRDefault="001C4F81" w:rsidP="00C259BC">
            <w:pPr>
              <w:pStyle w:val="TableText"/>
              <w:rPr>
                <w:sz w:val="18"/>
              </w:rPr>
            </w:pPr>
            <w:r w:rsidRPr="00BA0FBF">
              <w:rPr>
                <w:sz w:val="18"/>
              </w:rPr>
              <w:t>Child Care</w:t>
            </w:r>
          </w:p>
        </w:tc>
        <w:tc>
          <w:tcPr>
            <w:tcW w:w="377" w:type="pct"/>
            <w:vAlign w:val="top"/>
          </w:tcPr>
          <w:p w:rsidR="001C4F81" w:rsidRPr="00BA0FBF" w:rsidRDefault="001C4F81" w:rsidP="00C259BC">
            <w:pPr>
              <w:jc w:val="right"/>
              <w:cnfStyle w:val="000000100000" w:firstRow="0" w:lastRow="0" w:firstColumn="0" w:lastColumn="0" w:oddVBand="0" w:evenVBand="0" w:oddHBand="1" w:evenHBand="0" w:firstRowFirstColumn="0" w:firstRowLastColumn="0" w:lastRowFirstColumn="0" w:lastRowLastColumn="0"/>
              <w:rPr>
                <w:sz w:val="18"/>
              </w:rPr>
            </w:pPr>
            <w:r w:rsidRPr="00BA0FBF">
              <w:rPr>
                <w:sz w:val="18"/>
              </w:rPr>
              <w:t>0.0</w:t>
            </w:r>
          </w:p>
        </w:tc>
        <w:tc>
          <w:tcPr>
            <w:tcW w:w="378" w:type="pct"/>
            <w:vAlign w:val="top"/>
          </w:tcPr>
          <w:p w:rsidR="001C4F81" w:rsidRPr="00BA0FBF" w:rsidRDefault="001C4F81" w:rsidP="00C259BC">
            <w:pPr>
              <w:jc w:val="right"/>
              <w:cnfStyle w:val="000000100000" w:firstRow="0" w:lastRow="0" w:firstColumn="0" w:lastColumn="0" w:oddVBand="0" w:evenVBand="0" w:oddHBand="1" w:evenHBand="0" w:firstRowFirstColumn="0" w:firstRowLastColumn="0" w:lastRowFirstColumn="0" w:lastRowLastColumn="0"/>
              <w:rPr>
                <w:sz w:val="18"/>
              </w:rPr>
            </w:pPr>
            <w:r w:rsidRPr="00BA0FBF">
              <w:rPr>
                <w:sz w:val="18"/>
              </w:rPr>
              <w:t>0.0</w:t>
            </w:r>
          </w:p>
        </w:tc>
        <w:tc>
          <w:tcPr>
            <w:tcW w:w="378" w:type="pct"/>
            <w:vAlign w:val="top"/>
          </w:tcPr>
          <w:p w:rsidR="001C4F81" w:rsidRPr="00BA0FBF" w:rsidRDefault="001C4F81" w:rsidP="00C259BC">
            <w:pPr>
              <w:jc w:val="right"/>
              <w:cnfStyle w:val="000000100000" w:firstRow="0" w:lastRow="0" w:firstColumn="0" w:lastColumn="0" w:oddVBand="0" w:evenVBand="0" w:oddHBand="1" w:evenHBand="0" w:firstRowFirstColumn="0" w:firstRowLastColumn="0" w:lastRowFirstColumn="0" w:lastRowLastColumn="0"/>
              <w:rPr>
                <w:sz w:val="18"/>
              </w:rPr>
            </w:pPr>
            <w:r w:rsidRPr="00BA0FBF">
              <w:rPr>
                <w:sz w:val="18"/>
              </w:rPr>
              <w:t>0.0</w:t>
            </w:r>
          </w:p>
        </w:tc>
        <w:tc>
          <w:tcPr>
            <w:tcW w:w="378" w:type="pct"/>
            <w:vAlign w:val="top"/>
          </w:tcPr>
          <w:p w:rsidR="001C4F81" w:rsidRPr="00BA0FBF" w:rsidRDefault="001C4F81" w:rsidP="00C259BC">
            <w:pPr>
              <w:jc w:val="right"/>
              <w:cnfStyle w:val="000000100000" w:firstRow="0" w:lastRow="0" w:firstColumn="0" w:lastColumn="0" w:oddVBand="0" w:evenVBand="0" w:oddHBand="1" w:evenHBand="0" w:firstRowFirstColumn="0" w:firstRowLastColumn="0" w:lastRowFirstColumn="0" w:lastRowLastColumn="0"/>
              <w:rPr>
                <w:sz w:val="18"/>
              </w:rPr>
            </w:pPr>
            <w:r w:rsidRPr="00BA0FBF">
              <w:rPr>
                <w:sz w:val="18"/>
              </w:rPr>
              <w:t>0.0</w:t>
            </w:r>
          </w:p>
        </w:tc>
        <w:tc>
          <w:tcPr>
            <w:tcW w:w="379" w:type="pct"/>
            <w:vAlign w:val="top"/>
          </w:tcPr>
          <w:p w:rsidR="001C4F81" w:rsidRPr="00BA0FBF" w:rsidRDefault="001C4F81" w:rsidP="00C259BC">
            <w:pPr>
              <w:jc w:val="right"/>
              <w:cnfStyle w:val="000000100000" w:firstRow="0" w:lastRow="0" w:firstColumn="0" w:lastColumn="0" w:oddVBand="0" w:evenVBand="0" w:oddHBand="1" w:evenHBand="0" w:firstRowFirstColumn="0" w:firstRowLastColumn="0" w:lastRowFirstColumn="0" w:lastRowLastColumn="0"/>
              <w:rPr>
                <w:sz w:val="18"/>
              </w:rPr>
            </w:pPr>
            <w:r w:rsidRPr="00BA0FBF">
              <w:rPr>
                <w:sz w:val="18"/>
              </w:rPr>
              <w:t>0.0</w:t>
            </w:r>
          </w:p>
        </w:tc>
        <w:tc>
          <w:tcPr>
            <w:tcW w:w="378" w:type="pct"/>
            <w:vAlign w:val="top"/>
          </w:tcPr>
          <w:p w:rsidR="001C4F81" w:rsidRPr="00BA0FBF" w:rsidRDefault="001C4F81" w:rsidP="00C259BC">
            <w:pPr>
              <w:jc w:val="right"/>
              <w:cnfStyle w:val="000000100000" w:firstRow="0" w:lastRow="0" w:firstColumn="0" w:lastColumn="0" w:oddVBand="0" w:evenVBand="0" w:oddHBand="1" w:evenHBand="0" w:firstRowFirstColumn="0" w:firstRowLastColumn="0" w:lastRowFirstColumn="0" w:lastRowLastColumn="0"/>
              <w:rPr>
                <w:sz w:val="18"/>
              </w:rPr>
            </w:pPr>
            <w:r w:rsidRPr="00BA0FBF">
              <w:rPr>
                <w:sz w:val="18"/>
              </w:rPr>
              <w:t>0.0</w:t>
            </w:r>
          </w:p>
        </w:tc>
        <w:tc>
          <w:tcPr>
            <w:tcW w:w="378" w:type="pct"/>
            <w:vAlign w:val="top"/>
          </w:tcPr>
          <w:p w:rsidR="001C4F81" w:rsidRPr="00BA0FBF" w:rsidRDefault="001C4F81" w:rsidP="00C259BC">
            <w:pPr>
              <w:jc w:val="right"/>
              <w:cnfStyle w:val="000000100000" w:firstRow="0" w:lastRow="0" w:firstColumn="0" w:lastColumn="0" w:oddVBand="0" w:evenVBand="0" w:oddHBand="1" w:evenHBand="0" w:firstRowFirstColumn="0" w:firstRowLastColumn="0" w:lastRowFirstColumn="0" w:lastRowLastColumn="0"/>
              <w:rPr>
                <w:sz w:val="18"/>
              </w:rPr>
            </w:pPr>
            <w:r w:rsidRPr="00BA0FBF">
              <w:rPr>
                <w:sz w:val="18"/>
              </w:rPr>
              <w:t>0.0</w:t>
            </w:r>
          </w:p>
        </w:tc>
        <w:tc>
          <w:tcPr>
            <w:tcW w:w="379" w:type="pct"/>
            <w:vAlign w:val="top"/>
          </w:tcPr>
          <w:p w:rsidR="001C4F81" w:rsidRPr="00BA0FBF" w:rsidRDefault="001C4F81" w:rsidP="00C259BC">
            <w:pPr>
              <w:jc w:val="right"/>
              <w:cnfStyle w:val="000000100000" w:firstRow="0" w:lastRow="0" w:firstColumn="0" w:lastColumn="0" w:oddVBand="0" w:evenVBand="0" w:oddHBand="1" w:evenHBand="0" w:firstRowFirstColumn="0" w:firstRowLastColumn="0" w:lastRowFirstColumn="0" w:lastRowLastColumn="0"/>
              <w:rPr>
                <w:sz w:val="18"/>
              </w:rPr>
            </w:pPr>
            <w:r w:rsidRPr="00BA0FBF">
              <w:rPr>
                <w:sz w:val="18"/>
              </w:rPr>
              <w:t>0.0</w:t>
            </w:r>
          </w:p>
        </w:tc>
        <w:tc>
          <w:tcPr>
            <w:tcW w:w="378" w:type="pct"/>
            <w:vAlign w:val="top"/>
          </w:tcPr>
          <w:p w:rsidR="001C4F81" w:rsidRPr="00BA0FBF" w:rsidRDefault="001C4F81" w:rsidP="00C259BC">
            <w:pPr>
              <w:jc w:val="right"/>
              <w:cnfStyle w:val="000000100000" w:firstRow="0" w:lastRow="0" w:firstColumn="0" w:lastColumn="0" w:oddVBand="0" w:evenVBand="0" w:oddHBand="1" w:evenHBand="0" w:firstRowFirstColumn="0" w:firstRowLastColumn="0" w:lastRowFirstColumn="0" w:lastRowLastColumn="0"/>
              <w:rPr>
                <w:sz w:val="18"/>
              </w:rPr>
            </w:pPr>
            <w:r w:rsidRPr="00BA0FBF">
              <w:rPr>
                <w:sz w:val="18"/>
              </w:rPr>
              <w:t>0.0</w:t>
            </w:r>
          </w:p>
        </w:tc>
        <w:tc>
          <w:tcPr>
            <w:tcW w:w="375" w:type="pct"/>
            <w:vAlign w:val="top"/>
          </w:tcPr>
          <w:p w:rsidR="001C4F81" w:rsidRPr="00BA0FBF" w:rsidRDefault="001C4F81" w:rsidP="00C259BC">
            <w:pPr>
              <w:jc w:val="right"/>
              <w:cnfStyle w:val="000000100000" w:firstRow="0" w:lastRow="0" w:firstColumn="0" w:lastColumn="0" w:oddVBand="0" w:evenVBand="0" w:oddHBand="1" w:evenHBand="0" w:firstRowFirstColumn="0" w:firstRowLastColumn="0" w:lastRowFirstColumn="0" w:lastRowLastColumn="0"/>
              <w:rPr>
                <w:sz w:val="18"/>
              </w:rPr>
            </w:pPr>
            <w:r w:rsidRPr="00BA0FBF">
              <w:rPr>
                <w:sz w:val="18"/>
              </w:rPr>
              <w:t>0.0</w:t>
            </w:r>
          </w:p>
        </w:tc>
      </w:tr>
      <w:tr w:rsidR="001C4F81" w:rsidRPr="00BA0FBF" w:rsidTr="00DC3471">
        <w:trPr>
          <w:cantSplit/>
        </w:trPr>
        <w:tc>
          <w:tcPr>
            <w:cnfStyle w:val="001000000000" w:firstRow="0" w:lastRow="0" w:firstColumn="1" w:lastColumn="0" w:oddVBand="0" w:evenVBand="0" w:oddHBand="0" w:evenHBand="0" w:firstRowFirstColumn="0" w:firstRowLastColumn="0" w:lastRowFirstColumn="0" w:lastRowLastColumn="0"/>
            <w:tcW w:w="1222" w:type="pct"/>
          </w:tcPr>
          <w:p w:rsidR="001C4F81" w:rsidRPr="00BA0FBF" w:rsidRDefault="001C4F81" w:rsidP="00C259BC">
            <w:pPr>
              <w:pStyle w:val="TableText"/>
              <w:rPr>
                <w:sz w:val="18"/>
              </w:rPr>
            </w:pPr>
            <w:r w:rsidRPr="00BA0FBF">
              <w:rPr>
                <w:sz w:val="18"/>
              </w:rPr>
              <w:t>Water and Sewerage</w:t>
            </w:r>
          </w:p>
        </w:tc>
        <w:tc>
          <w:tcPr>
            <w:tcW w:w="377" w:type="pct"/>
            <w:vAlign w:val="top"/>
          </w:tcPr>
          <w:p w:rsidR="001C4F81" w:rsidRPr="00BA0FBF" w:rsidRDefault="001C4F81" w:rsidP="00C259BC">
            <w:pPr>
              <w:jc w:val="right"/>
              <w:cnfStyle w:val="000000000000" w:firstRow="0" w:lastRow="0" w:firstColumn="0" w:lastColumn="0" w:oddVBand="0" w:evenVBand="0" w:oddHBand="0" w:evenHBand="0" w:firstRowFirstColumn="0" w:firstRowLastColumn="0" w:lastRowFirstColumn="0" w:lastRowLastColumn="0"/>
              <w:rPr>
                <w:sz w:val="18"/>
              </w:rPr>
            </w:pPr>
            <w:r w:rsidRPr="00BA0FBF">
              <w:rPr>
                <w:sz w:val="18"/>
              </w:rPr>
              <w:t>0.0</w:t>
            </w:r>
          </w:p>
        </w:tc>
        <w:tc>
          <w:tcPr>
            <w:tcW w:w="378" w:type="pct"/>
            <w:vAlign w:val="top"/>
          </w:tcPr>
          <w:p w:rsidR="001C4F81" w:rsidRPr="00BA0FBF" w:rsidRDefault="001C4F81" w:rsidP="00C259BC">
            <w:pPr>
              <w:jc w:val="right"/>
              <w:cnfStyle w:val="000000000000" w:firstRow="0" w:lastRow="0" w:firstColumn="0" w:lastColumn="0" w:oddVBand="0" w:evenVBand="0" w:oddHBand="0" w:evenHBand="0" w:firstRowFirstColumn="0" w:firstRowLastColumn="0" w:lastRowFirstColumn="0" w:lastRowLastColumn="0"/>
              <w:rPr>
                <w:sz w:val="18"/>
              </w:rPr>
            </w:pPr>
            <w:r w:rsidRPr="00BA0FBF">
              <w:rPr>
                <w:sz w:val="18"/>
              </w:rPr>
              <w:t>0.0</w:t>
            </w:r>
          </w:p>
        </w:tc>
        <w:tc>
          <w:tcPr>
            <w:tcW w:w="378" w:type="pct"/>
            <w:vAlign w:val="top"/>
          </w:tcPr>
          <w:p w:rsidR="001C4F81" w:rsidRPr="00BA0FBF" w:rsidRDefault="001C4F81" w:rsidP="00C259BC">
            <w:pPr>
              <w:jc w:val="right"/>
              <w:cnfStyle w:val="000000000000" w:firstRow="0" w:lastRow="0" w:firstColumn="0" w:lastColumn="0" w:oddVBand="0" w:evenVBand="0" w:oddHBand="0" w:evenHBand="0" w:firstRowFirstColumn="0" w:firstRowLastColumn="0" w:lastRowFirstColumn="0" w:lastRowLastColumn="0"/>
              <w:rPr>
                <w:sz w:val="18"/>
              </w:rPr>
            </w:pPr>
            <w:r w:rsidRPr="00BA0FBF">
              <w:rPr>
                <w:sz w:val="18"/>
              </w:rPr>
              <w:t>0.0</w:t>
            </w:r>
          </w:p>
        </w:tc>
        <w:tc>
          <w:tcPr>
            <w:tcW w:w="378" w:type="pct"/>
            <w:vAlign w:val="top"/>
          </w:tcPr>
          <w:p w:rsidR="001C4F81" w:rsidRPr="00BA0FBF" w:rsidRDefault="001C4F81" w:rsidP="00C259BC">
            <w:pPr>
              <w:jc w:val="right"/>
              <w:cnfStyle w:val="000000000000" w:firstRow="0" w:lastRow="0" w:firstColumn="0" w:lastColumn="0" w:oddVBand="0" w:evenVBand="0" w:oddHBand="0" w:evenHBand="0" w:firstRowFirstColumn="0" w:firstRowLastColumn="0" w:lastRowFirstColumn="0" w:lastRowLastColumn="0"/>
              <w:rPr>
                <w:sz w:val="18"/>
              </w:rPr>
            </w:pPr>
            <w:r w:rsidRPr="00BA0FBF">
              <w:rPr>
                <w:sz w:val="18"/>
              </w:rPr>
              <w:t>0.0</w:t>
            </w:r>
          </w:p>
        </w:tc>
        <w:tc>
          <w:tcPr>
            <w:tcW w:w="379" w:type="pct"/>
            <w:vAlign w:val="top"/>
          </w:tcPr>
          <w:p w:rsidR="001C4F81" w:rsidRPr="00BA0FBF" w:rsidRDefault="001C4F81" w:rsidP="00C259BC">
            <w:pPr>
              <w:jc w:val="right"/>
              <w:cnfStyle w:val="000000000000" w:firstRow="0" w:lastRow="0" w:firstColumn="0" w:lastColumn="0" w:oddVBand="0" w:evenVBand="0" w:oddHBand="0" w:evenHBand="0" w:firstRowFirstColumn="0" w:firstRowLastColumn="0" w:lastRowFirstColumn="0" w:lastRowLastColumn="0"/>
              <w:rPr>
                <w:sz w:val="18"/>
              </w:rPr>
            </w:pPr>
            <w:r w:rsidRPr="00BA0FBF">
              <w:rPr>
                <w:sz w:val="18"/>
              </w:rPr>
              <w:t>0.0</w:t>
            </w:r>
          </w:p>
        </w:tc>
        <w:tc>
          <w:tcPr>
            <w:tcW w:w="378" w:type="pct"/>
            <w:vAlign w:val="top"/>
          </w:tcPr>
          <w:p w:rsidR="001C4F81" w:rsidRPr="00BA0FBF" w:rsidRDefault="001C4F81" w:rsidP="00C259BC">
            <w:pPr>
              <w:jc w:val="right"/>
              <w:cnfStyle w:val="000000000000" w:firstRow="0" w:lastRow="0" w:firstColumn="0" w:lastColumn="0" w:oddVBand="0" w:evenVBand="0" w:oddHBand="0" w:evenHBand="0" w:firstRowFirstColumn="0" w:firstRowLastColumn="0" w:lastRowFirstColumn="0" w:lastRowLastColumn="0"/>
              <w:rPr>
                <w:sz w:val="18"/>
              </w:rPr>
            </w:pPr>
            <w:r w:rsidRPr="00BA0FBF">
              <w:rPr>
                <w:sz w:val="18"/>
              </w:rPr>
              <w:t>0.0</w:t>
            </w:r>
          </w:p>
        </w:tc>
        <w:tc>
          <w:tcPr>
            <w:tcW w:w="378" w:type="pct"/>
            <w:vAlign w:val="top"/>
          </w:tcPr>
          <w:p w:rsidR="001C4F81" w:rsidRPr="00BA0FBF" w:rsidRDefault="001C4F81" w:rsidP="00C259BC">
            <w:pPr>
              <w:jc w:val="right"/>
              <w:cnfStyle w:val="000000000000" w:firstRow="0" w:lastRow="0" w:firstColumn="0" w:lastColumn="0" w:oddVBand="0" w:evenVBand="0" w:oddHBand="0" w:evenHBand="0" w:firstRowFirstColumn="0" w:firstRowLastColumn="0" w:lastRowFirstColumn="0" w:lastRowLastColumn="0"/>
              <w:rPr>
                <w:sz w:val="18"/>
              </w:rPr>
            </w:pPr>
            <w:r w:rsidRPr="00BA0FBF">
              <w:rPr>
                <w:sz w:val="18"/>
              </w:rPr>
              <w:t>0.0</w:t>
            </w:r>
          </w:p>
        </w:tc>
        <w:tc>
          <w:tcPr>
            <w:tcW w:w="379" w:type="pct"/>
            <w:vAlign w:val="top"/>
          </w:tcPr>
          <w:p w:rsidR="001C4F81" w:rsidRPr="00BA0FBF" w:rsidRDefault="001C4F81" w:rsidP="00C259BC">
            <w:pPr>
              <w:jc w:val="right"/>
              <w:cnfStyle w:val="000000000000" w:firstRow="0" w:lastRow="0" w:firstColumn="0" w:lastColumn="0" w:oddVBand="0" w:evenVBand="0" w:oddHBand="0" w:evenHBand="0" w:firstRowFirstColumn="0" w:firstRowLastColumn="0" w:lastRowFirstColumn="0" w:lastRowLastColumn="0"/>
              <w:rPr>
                <w:sz w:val="18"/>
              </w:rPr>
            </w:pPr>
            <w:r w:rsidRPr="00BA0FBF">
              <w:rPr>
                <w:sz w:val="18"/>
              </w:rPr>
              <w:t>0.0</w:t>
            </w:r>
          </w:p>
        </w:tc>
        <w:tc>
          <w:tcPr>
            <w:tcW w:w="378" w:type="pct"/>
            <w:vAlign w:val="top"/>
          </w:tcPr>
          <w:p w:rsidR="001C4F81" w:rsidRPr="00BA0FBF" w:rsidRDefault="001C4F81" w:rsidP="00C259BC">
            <w:pPr>
              <w:jc w:val="right"/>
              <w:cnfStyle w:val="000000000000" w:firstRow="0" w:lastRow="0" w:firstColumn="0" w:lastColumn="0" w:oddVBand="0" w:evenVBand="0" w:oddHBand="0" w:evenHBand="0" w:firstRowFirstColumn="0" w:firstRowLastColumn="0" w:lastRowFirstColumn="0" w:lastRowLastColumn="0"/>
              <w:rPr>
                <w:sz w:val="18"/>
              </w:rPr>
            </w:pPr>
            <w:r w:rsidRPr="00BA0FBF">
              <w:rPr>
                <w:sz w:val="18"/>
              </w:rPr>
              <w:t>0.0</w:t>
            </w:r>
          </w:p>
        </w:tc>
        <w:tc>
          <w:tcPr>
            <w:tcW w:w="375" w:type="pct"/>
            <w:vAlign w:val="top"/>
          </w:tcPr>
          <w:p w:rsidR="001C4F81" w:rsidRPr="00BA0FBF" w:rsidRDefault="001C4F81" w:rsidP="00C259BC">
            <w:pPr>
              <w:jc w:val="right"/>
              <w:cnfStyle w:val="000000000000" w:firstRow="0" w:lastRow="0" w:firstColumn="0" w:lastColumn="0" w:oddVBand="0" w:evenVBand="0" w:oddHBand="0" w:evenHBand="0" w:firstRowFirstColumn="0" w:firstRowLastColumn="0" w:lastRowFirstColumn="0" w:lastRowLastColumn="0"/>
              <w:rPr>
                <w:sz w:val="18"/>
              </w:rPr>
            </w:pPr>
            <w:r w:rsidRPr="00BA0FBF">
              <w:rPr>
                <w:sz w:val="18"/>
              </w:rPr>
              <w:t>0.0</w:t>
            </w:r>
          </w:p>
        </w:tc>
      </w:tr>
      <w:tr w:rsidR="001C4F81" w:rsidRPr="00BA0FBF" w:rsidTr="00DC347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22" w:type="pct"/>
            <w:vAlign w:val="top"/>
          </w:tcPr>
          <w:p w:rsidR="001C4F81" w:rsidRPr="00BA0FBF" w:rsidRDefault="001C4F81" w:rsidP="00EC34D9">
            <w:pPr>
              <w:rPr>
                <w:i/>
                <w:sz w:val="18"/>
              </w:rPr>
            </w:pPr>
            <w:r w:rsidRPr="00BA0FBF">
              <w:rPr>
                <w:i/>
                <w:sz w:val="18"/>
              </w:rPr>
              <w:t>Interaction Effect</w:t>
            </w:r>
          </w:p>
        </w:tc>
        <w:tc>
          <w:tcPr>
            <w:tcW w:w="377" w:type="pct"/>
            <w:vAlign w:val="top"/>
          </w:tcPr>
          <w:p w:rsidR="001C4F81" w:rsidRPr="00BA0FBF" w:rsidRDefault="001C4F81" w:rsidP="00391F51">
            <w:pPr>
              <w:jc w:val="right"/>
              <w:cnfStyle w:val="000000100000" w:firstRow="0" w:lastRow="0" w:firstColumn="0" w:lastColumn="0" w:oddVBand="0" w:evenVBand="0" w:oddHBand="1" w:evenHBand="0" w:firstRowFirstColumn="0" w:firstRowLastColumn="0" w:lastRowFirstColumn="0" w:lastRowLastColumn="0"/>
              <w:rPr>
                <w:sz w:val="18"/>
              </w:rPr>
            </w:pPr>
            <w:r w:rsidRPr="00BA0FBF">
              <w:rPr>
                <w:sz w:val="18"/>
              </w:rPr>
              <w:t>0.0</w:t>
            </w:r>
          </w:p>
        </w:tc>
        <w:tc>
          <w:tcPr>
            <w:tcW w:w="378" w:type="pct"/>
            <w:vAlign w:val="top"/>
          </w:tcPr>
          <w:p w:rsidR="001C4F81" w:rsidRPr="00BA0FBF" w:rsidRDefault="001C4F81" w:rsidP="00391F51">
            <w:pPr>
              <w:jc w:val="right"/>
              <w:cnfStyle w:val="000000100000" w:firstRow="0" w:lastRow="0" w:firstColumn="0" w:lastColumn="0" w:oddVBand="0" w:evenVBand="0" w:oddHBand="1" w:evenHBand="0" w:firstRowFirstColumn="0" w:firstRowLastColumn="0" w:lastRowFirstColumn="0" w:lastRowLastColumn="0"/>
              <w:rPr>
                <w:sz w:val="18"/>
              </w:rPr>
            </w:pPr>
            <w:r w:rsidRPr="00BA0FBF">
              <w:rPr>
                <w:sz w:val="18"/>
              </w:rPr>
              <w:t>0.0</w:t>
            </w:r>
          </w:p>
        </w:tc>
        <w:tc>
          <w:tcPr>
            <w:tcW w:w="378" w:type="pct"/>
            <w:vAlign w:val="top"/>
          </w:tcPr>
          <w:p w:rsidR="001C4F81" w:rsidRPr="00BA0FBF" w:rsidRDefault="001C4F81" w:rsidP="00391F51">
            <w:pPr>
              <w:jc w:val="right"/>
              <w:cnfStyle w:val="000000100000" w:firstRow="0" w:lastRow="0" w:firstColumn="0" w:lastColumn="0" w:oddVBand="0" w:evenVBand="0" w:oddHBand="1" w:evenHBand="0" w:firstRowFirstColumn="0" w:firstRowLastColumn="0" w:lastRowFirstColumn="0" w:lastRowLastColumn="0"/>
              <w:rPr>
                <w:sz w:val="18"/>
              </w:rPr>
            </w:pPr>
            <w:r w:rsidRPr="00BA0FBF">
              <w:rPr>
                <w:sz w:val="18"/>
              </w:rPr>
              <w:t>0.0</w:t>
            </w:r>
          </w:p>
        </w:tc>
        <w:tc>
          <w:tcPr>
            <w:tcW w:w="378" w:type="pct"/>
            <w:vAlign w:val="top"/>
          </w:tcPr>
          <w:p w:rsidR="001C4F81" w:rsidRPr="00BA0FBF" w:rsidRDefault="001C4F81" w:rsidP="00391F51">
            <w:pPr>
              <w:jc w:val="right"/>
              <w:cnfStyle w:val="000000100000" w:firstRow="0" w:lastRow="0" w:firstColumn="0" w:lastColumn="0" w:oddVBand="0" w:evenVBand="0" w:oddHBand="1" w:evenHBand="0" w:firstRowFirstColumn="0" w:firstRowLastColumn="0" w:lastRowFirstColumn="0" w:lastRowLastColumn="0"/>
              <w:rPr>
                <w:sz w:val="18"/>
              </w:rPr>
            </w:pPr>
            <w:r w:rsidRPr="00BA0FBF">
              <w:rPr>
                <w:sz w:val="18"/>
              </w:rPr>
              <w:t>0.0</w:t>
            </w:r>
          </w:p>
        </w:tc>
        <w:tc>
          <w:tcPr>
            <w:tcW w:w="379" w:type="pct"/>
            <w:vAlign w:val="top"/>
          </w:tcPr>
          <w:p w:rsidR="001C4F81" w:rsidRPr="00BA0FBF" w:rsidRDefault="001C4F81" w:rsidP="00391F51">
            <w:pPr>
              <w:jc w:val="right"/>
              <w:cnfStyle w:val="000000100000" w:firstRow="0" w:lastRow="0" w:firstColumn="0" w:lastColumn="0" w:oddVBand="0" w:evenVBand="0" w:oddHBand="1" w:evenHBand="0" w:firstRowFirstColumn="0" w:firstRowLastColumn="0" w:lastRowFirstColumn="0" w:lastRowLastColumn="0"/>
              <w:rPr>
                <w:sz w:val="18"/>
              </w:rPr>
            </w:pPr>
            <w:r w:rsidRPr="00BA0FBF">
              <w:rPr>
                <w:sz w:val="18"/>
              </w:rPr>
              <w:t>0.0</w:t>
            </w:r>
          </w:p>
        </w:tc>
        <w:tc>
          <w:tcPr>
            <w:tcW w:w="378" w:type="pct"/>
            <w:vAlign w:val="top"/>
          </w:tcPr>
          <w:p w:rsidR="001C4F81" w:rsidRPr="00BA0FBF" w:rsidRDefault="001C4F81" w:rsidP="00391F51">
            <w:pPr>
              <w:jc w:val="right"/>
              <w:cnfStyle w:val="000000100000" w:firstRow="0" w:lastRow="0" w:firstColumn="0" w:lastColumn="0" w:oddVBand="0" w:evenVBand="0" w:oddHBand="1" w:evenHBand="0" w:firstRowFirstColumn="0" w:firstRowLastColumn="0" w:lastRowFirstColumn="0" w:lastRowLastColumn="0"/>
              <w:rPr>
                <w:sz w:val="18"/>
              </w:rPr>
            </w:pPr>
            <w:r w:rsidRPr="00BA0FBF">
              <w:rPr>
                <w:sz w:val="18"/>
              </w:rPr>
              <w:t>0.0</w:t>
            </w:r>
          </w:p>
        </w:tc>
        <w:tc>
          <w:tcPr>
            <w:tcW w:w="378" w:type="pct"/>
            <w:vAlign w:val="top"/>
          </w:tcPr>
          <w:p w:rsidR="001C4F81" w:rsidRPr="00BA0FBF" w:rsidRDefault="001C4F81" w:rsidP="00391F51">
            <w:pPr>
              <w:jc w:val="right"/>
              <w:cnfStyle w:val="000000100000" w:firstRow="0" w:lastRow="0" w:firstColumn="0" w:lastColumn="0" w:oddVBand="0" w:evenVBand="0" w:oddHBand="1" w:evenHBand="0" w:firstRowFirstColumn="0" w:firstRowLastColumn="0" w:lastRowFirstColumn="0" w:lastRowLastColumn="0"/>
              <w:rPr>
                <w:sz w:val="18"/>
              </w:rPr>
            </w:pPr>
            <w:r w:rsidRPr="00BA0FBF">
              <w:rPr>
                <w:sz w:val="18"/>
              </w:rPr>
              <w:t>0.0</w:t>
            </w:r>
          </w:p>
        </w:tc>
        <w:tc>
          <w:tcPr>
            <w:tcW w:w="379" w:type="pct"/>
            <w:vAlign w:val="top"/>
          </w:tcPr>
          <w:p w:rsidR="001C4F81" w:rsidRPr="00BA0FBF" w:rsidRDefault="001C4F81" w:rsidP="00391F51">
            <w:pPr>
              <w:jc w:val="right"/>
              <w:cnfStyle w:val="000000100000" w:firstRow="0" w:lastRow="0" w:firstColumn="0" w:lastColumn="0" w:oddVBand="0" w:evenVBand="0" w:oddHBand="1" w:evenHBand="0" w:firstRowFirstColumn="0" w:firstRowLastColumn="0" w:lastRowFirstColumn="0" w:lastRowLastColumn="0"/>
              <w:rPr>
                <w:sz w:val="18"/>
              </w:rPr>
            </w:pPr>
            <w:r w:rsidRPr="00BA0FBF">
              <w:rPr>
                <w:sz w:val="18"/>
              </w:rPr>
              <w:t>0.0</w:t>
            </w:r>
          </w:p>
        </w:tc>
        <w:tc>
          <w:tcPr>
            <w:tcW w:w="378" w:type="pct"/>
            <w:vAlign w:val="top"/>
          </w:tcPr>
          <w:p w:rsidR="001C4F81" w:rsidRPr="00BA0FBF" w:rsidRDefault="001C4F81" w:rsidP="00391F51">
            <w:pPr>
              <w:jc w:val="right"/>
              <w:cnfStyle w:val="000000100000" w:firstRow="0" w:lastRow="0" w:firstColumn="0" w:lastColumn="0" w:oddVBand="0" w:evenVBand="0" w:oddHBand="1" w:evenHBand="0" w:firstRowFirstColumn="0" w:firstRowLastColumn="0" w:lastRowFirstColumn="0" w:lastRowLastColumn="0"/>
              <w:rPr>
                <w:sz w:val="18"/>
              </w:rPr>
            </w:pPr>
            <w:r w:rsidRPr="00BA0FBF">
              <w:rPr>
                <w:sz w:val="18"/>
              </w:rPr>
              <w:t>0.0</w:t>
            </w:r>
          </w:p>
        </w:tc>
        <w:tc>
          <w:tcPr>
            <w:tcW w:w="375" w:type="pct"/>
            <w:vAlign w:val="top"/>
          </w:tcPr>
          <w:p w:rsidR="001C4F81" w:rsidRPr="00BA0FBF" w:rsidRDefault="001C4F81" w:rsidP="00391F51">
            <w:pPr>
              <w:jc w:val="right"/>
              <w:cnfStyle w:val="000000100000" w:firstRow="0" w:lastRow="0" w:firstColumn="0" w:lastColumn="0" w:oddVBand="0" w:evenVBand="0" w:oddHBand="1" w:evenHBand="0" w:firstRowFirstColumn="0" w:firstRowLastColumn="0" w:lastRowFirstColumn="0" w:lastRowLastColumn="0"/>
              <w:rPr>
                <w:sz w:val="18"/>
              </w:rPr>
            </w:pPr>
            <w:r w:rsidRPr="00BA0FBF">
              <w:rPr>
                <w:sz w:val="18"/>
              </w:rPr>
              <w:t>0.0</w:t>
            </w:r>
          </w:p>
        </w:tc>
      </w:tr>
      <w:tr w:rsidR="001C4F81" w:rsidRPr="00BA0FBF" w:rsidTr="00DC3471">
        <w:trPr>
          <w:cantSplit/>
        </w:trPr>
        <w:tc>
          <w:tcPr>
            <w:cnfStyle w:val="001000000000" w:firstRow="0" w:lastRow="0" w:firstColumn="1" w:lastColumn="0" w:oddVBand="0" w:evenVBand="0" w:oddHBand="0" w:evenHBand="0" w:firstRowFirstColumn="0" w:firstRowLastColumn="0" w:lastRowFirstColumn="0" w:lastRowLastColumn="0"/>
            <w:tcW w:w="1222" w:type="pct"/>
            <w:vAlign w:val="top"/>
          </w:tcPr>
          <w:p w:rsidR="001C4F81" w:rsidRPr="00BA0FBF" w:rsidRDefault="001C4F81" w:rsidP="00EC34D9">
            <w:pPr>
              <w:rPr>
                <w:b/>
                <w:sz w:val="18"/>
              </w:rPr>
            </w:pPr>
            <w:r>
              <w:rPr>
                <w:b/>
                <w:sz w:val="18"/>
              </w:rPr>
              <w:t xml:space="preserve">Additional </w:t>
            </w:r>
            <w:r w:rsidRPr="00BA0FBF">
              <w:rPr>
                <w:b/>
                <w:sz w:val="18"/>
              </w:rPr>
              <w:t>GST revenue</w:t>
            </w:r>
          </w:p>
        </w:tc>
        <w:tc>
          <w:tcPr>
            <w:tcW w:w="377" w:type="pct"/>
            <w:vAlign w:val="top"/>
          </w:tcPr>
          <w:p w:rsidR="001C4F81" w:rsidRPr="00BA0FBF" w:rsidRDefault="001C4F81" w:rsidP="00391F51">
            <w:pPr>
              <w:jc w:val="right"/>
              <w:cnfStyle w:val="000000000000" w:firstRow="0" w:lastRow="0" w:firstColumn="0" w:lastColumn="0" w:oddVBand="0" w:evenVBand="0" w:oddHBand="0" w:evenHBand="0" w:firstRowFirstColumn="0" w:firstRowLastColumn="0" w:lastRowFirstColumn="0" w:lastRowLastColumn="0"/>
              <w:rPr>
                <w:b/>
                <w:sz w:val="18"/>
              </w:rPr>
            </w:pPr>
            <w:r w:rsidRPr="00BA0FBF">
              <w:rPr>
                <w:b/>
                <w:sz w:val="18"/>
              </w:rPr>
              <w:t>7.2</w:t>
            </w:r>
          </w:p>
        </w:tc>
        <w:tc>
          <w:tcPr>
            <w:tcW w:w="378" w:type="pct"/>
            <w:vAlign w:val="top"/>
          </w:tcPr>
          <w:p w:rsidR="001C4F81" w:rsidRPr="00BA0FBF" w:rsidRDefault="001C4F81" w:rsidP="00391F51">
            <w:pPr>
              <w:jc w:val="right"/>
              <w:cnfStyle w:val="000000000000" w:firstRow="0" w:lastRow="0" w:firstColumn="0" w:lastColumn="0" w:oddVBand="0" w:evenVBand="0" w:oddHBand="0" w:evenHBand="0" w:firstRowFirstColumn="0" w:firstRowLastColumn="0" w:lastRowFirstColumn="0" w:lastRowLastColumn="0"/>
              <w:rPr>
                <w:b/>
                <w:sz w:val="18"/>
              </w:rPr>
            </w:pPr>
            <w:r w:rsidRPr="00BA0FBF">
              <w:rPr>
                <w:b/>
                <w:sz w:val="18"/>
              </w:rPr>
              <w:t>7.5</w:t>
            </w:r>
          </w:p>
        </w:tc>
        <w:tc>
          <w:tcPr>
            <w:tcW w:w="378" w:type="pct"/>
            <w:vAlign w:val="top"/>
          </w:tcPr>
          <w:p w:rsidR="001C4F81" w:rsidRPr="00BA0FBF" w:rsidRDefault="001C4F81" w:rsidP="00391F51">
            <w:pPr>
              <w:jc w:val="right"/>
              <w:cnfStyle w:val="000000000000" w:firstRow="0" w:lastRow="0" w:firstColumn="0" w:lastColumn="0" w:oddVBand="0" w:evenVBand="0" w:oddHBand="0" w:evenHBand="0" w:firstRowFirstColumn="0" w:firstRowLastColumn="0" w:lastRowFirstColumn="0" w:lastRowLastColumn="0"/>
              <w:rPr>
                <w:b/>
                <w:sz w:val="18"/>
              </w:rPr>
            </w:pPr>
            <w:r w:rsidRPr="00BA0FBF">
              <w:rPr>
                <w:b/>
                <w:sz w:val="18"/>
              </w:rPr>
              <w:t>7.8</w:t>
            </w:r>
          </w:p>
        </w:tc>
        <w:tc>
          <w:tcPr>
            <w:tcW w:w="378" w:type="pct"/>
            <w:vAlign w:val="top"/>
          </w:tcPr>
          <w:p w:rsidR="001C4F81" w:rsidRPr="00BA0FBF" w:rsidRDefault="001C4F81" w:rsidP="00391F51">
            <w:pPr>
              <w:jc w:val="right"/>
              <w:cnfStyle w:val="000000000000" w:firstRow="0" w:lastRow="0" w:firstColumn="0" w:lastColumn="0" w:oddVBand="0" w:evenVBand="0" w:oddHBand="0" w:evenHBand="0" w:firstRowFirstColumn="0" w:firstRowLastColumn="0" w:lastRowFirstColumn="0" w:lastRowLastColumn="0"/>
              <w:rPr>
                <w:b/>
                <w:sz w:val="18"/>
              </w:rPr>
            </w:pPr>
            <w:r w:rsidRPr="00BA0FBF">
              <w:rPr>
                <w:b/>
                <w:sz w:val="18"/>
              </w:rPr>
              <w:t>8.2</w:t>
            </w:r>
          </w:p>
        </w:tc>
        <w:tc>
          <w:tcPr>
            <w:tcW w:w="379" w:type="pct"/>
            <w:vAlign w:val="top"/>
          </w:tcPr>
          <w:p w:rsidR="001C4F81" w:rsidRPr="00BA0FBF" w:rsidRDefault="001C4F81" w:rsidP="00391F51">
            <w:pPr>
              <w:jc w:val="right"/>
              <w:cnfStyle w:val="000000000000" w:firstRow="0" w:lastRow="0" w:firstColumn="0" w:lastColumn="0" w:oddVBand="0" w:evenVBand="0" w:oddHBand="0" w:evenHBand="0" w:firstRowFirstColumn="0" w:firstRowLastColumn="0" w:lastRowFirstColumn="0" w:lastRowLastColumn="0"/>
              <w:rPr>
                <w:b/>
                <w:sz w:val="18"/>
              </w:rPr>
            </w:pPr>
            <w:r w:rsidRPr="00BA0FBF">
              <w:rPr>
                <w:b/>
                <w:sz w:val="18"/>
              </w:rPr>
              <w:t>8.5</w:t>
            </w:r>
          </w:p>
        </w:tc>
        <w:tc>
          <w:tcPr>
            <w:tcW w:w="378" w:type="pct"/>
            <w:vAlign w:val="top"/>
          </w:tcPr>
          <w:p w:rsidR="001C4F81" w:rsidRPr="00BA0FBF" w:rsidRDefault="001C4F81" w:rsidP="00391F51">
            <w:pPr>
              <w:jc w:val="right"/>
              <w:cnfStyle w:val="000000000000" w:firstRow="0" w:lastRow="0" w:firstColumn="0" w:lastColumn="0" w:oddVBand="0" w:evenVBand="0" w:oddHBand="0" w:evenHBand="0" w:firstRowFirstColumn="0" w:firstRowLastColumn="0" w:lastRowFirstColumn="0" w:lastRowLastColumn="0"/>
              <w:rPr>
                <w:b/>
                <w:sz w:val="18"/>
              </w:rPr>
            </w:pPr>
            <w:r w:rsidRPr="00BA0FBF">
              <w:rPr>
                <w:b/>
                <w:sz w:val="18"/>
              </w:rPr>
              <w:t>8.9</w:t>
            </w:r>
          </w:p>
        </w:tc>
        <w:tc>
          <w:tcPr>
            <w:tcW w:w="378" w:type="pct"/>
            <w:vAlign w:val="top"/>
          </w:tcPr>
          <w:p w:rsidR="001C4F81" w:rsidRPr="00BA0FBF" w:rsidRDefault="001C4F81" w:rsidP="00391F51">
            <w:pPr>
              <w:jc w:val="right"/>
              <w:cnfStyle w:val="000000000000" w:firstRow="0" w:lastRow="0" w:firstColumn="0" w:lastColumn="0" w:oddVBand="0" w:evenVBand="0" w:oddHBand="0" w:evenHBand="0" w:firstRowFirstColumn="0" w:firstRowLastColumn="0" w:lastRowFirstColumn="0" w:lastRowLastColumn="0"/>
              <w:rPr>
                <w:b/>
                <w:sz w:val="18"/>
              </w:rPr>
            </w:pPr>
            <w:r w:rsidRPr="00BA0FBF">
              <w:rPr>
                <w:b/>
                <w:sz w:val="18"/>
              </w:rPr>
              <w:t>9.3</w:t>
            </w:r>
          </w:p>
        </w:tc>
        <w:tc>
          <w:tcPr>
            <w:tcW w:w="379" w:type="pct"/>
            <w:vAlign w:val="top"/>
          </w:tcPr>
          <w:p w:rsidR="001C4F81" w:rsidRPr="00BA0FBF" w:rsidRDefault="001C4F81" w:rsidP="00391F51">
            <w:pPr>
              <w:jc w:val="right"/>
              <w:cnfStyle w:val="000000000000" w:firstRow="0" w:lastRow="0" w:firstColumn="0" w:lastColumn="0" w:oddVBand="0" w:evenVBand="0" w:oddHBand="0" w:evenHBand="0" w:firstRowFirstColumn="0" w:firstRowLastColumn="0" w:lastRowFirstColumn="0" w:lastRowLastColumn="0"/>
              <w:rPr>
                <w:b/>
                <w:sz w:val="18"/>
              </w:rPr>
            </w:pPr>
            <w:r w:rsidRPr="00BA0FBF">
              <w:rPr>
                <w:b/>
                <w:sz w:val="18"/>
              </w:rPr>
              <w:t>9.7</w:t>
            </w:r>
          </w:p>
        </w:tc>
        <w:tc>
          <w:tcPr>
            <w:tcW w:w="378" w:type="pct"/>
            <w:vAlign w:val="top"/>
          </w:tcPr>
          <w:p w:rsidR="001C4F81" w:rsidRPr="00BA0FBF" w:rsidRDefault="001C4F81" w:rsidP="00391F51">
            <w:pPr>
              <w:jc w:val="right"/>
              <w:cnfStyle w:val="000000000000" w:firstRow="0" w:lastRow="0" w:firstColumn="0" w:lastColumn="0" w:oddVBand="0" w:evenVBand="0" w:oddHBand="0" w:evenHBand="0" w:firstRowFirstColumn="0" w:firstRowLastColumn="0" w:lastRowFirstColumn="0" w:lastRowLastColumn="0"/>
              <w:rPr>
                <w:b/>
                <w:sz w:val="18"/>
              </w:rPr>
            </w:pPr>
            <w:r w:rsidRPr="00BA0FBF">
              <w:rPr>
                <w:b/>
                <w:sz w:val="18"/>
              </w:rPr>
              <w:t>10.1</w:t>
            </w:r>
          </w:p>
        </w:tc>
        <w:tc>
          <w:tcPr>
            <w:tcW w:w="375" w:type="pct"/>
            <w:vAlign w:val="top"/>
          </w:tcPr>
          <w:p w:rsidR="001C4F81" w:rsidRPr="00BA0FBF" w:rsidRDefault="001C4F81" w:rsidP="00391F51">
            <w:pPr>
              <w:jc w:val="right"/>
              <w:cnfStyle w:val="000000000000" w:firstRow="0" w:lastRow="0" w:firstColumn="0" w:lastColumn="0" w:oddVBand="0" w:evenVBand="0" w:oddHBand="0" w:evenHBand="0" w:firstRowFirstColumn="0" w:firstRowLastColumn="0" w:lastRowFirstColumn="0" w:lastRowLastColumn="0"/>
              <w:rPr>
                <w:b/>
                <w:sz w:val="18"/>
              </w:rPr>
            </w:pPr>
            <w:r w:rsidRPr="00BA0FBF">
              <w:rPr>
                <w:b/>
                <w:sz w:val="18"/>
              </w:rPr>
              <w:t>77.2</w:t>
            </w:r>
          </w:p>
        </w:tc>
      </w:tr>
    </w:tbl>
    <w:p w:rsidR="00726BED" w:rsidRDefault="00726BED" w:rsidP="00726BED">
      <w:pPr>
        <w:pStyle w:val="Source"/>
      </w:pPr>
      <w:r>
        <w:t xml:space="preserve">Source: </w:t>
      </w:r>
      <w:r w:rsidR="004E109F">
        <w:t>PBO analysis based on data from the ABS and Treasury</w:t>
      </w:r>
    </w:p>
    <w:p w:rsidR="00F95381" w:rsidRPr="00BA0FBF" w:rsidRDefault="00F95381" w:rsidP="00726BED">
      <w:pPr>
        <w:pStyle w:val="Source"/>
        <w:rPr>
          <w:spacing w:val="-1"/>
        </w:rPr>
      </w:pPr>
      <w:r w:rsidRPr="00BA0FBF">
        <w:br w:type="page"/>
      </w:r>
    </w:p>
    <w:p w:rsidR="00422E1E" w:rsidRPr="00BA0FBF" w:rsidRDefault="00422E1E" w:rsidP="0002275E">
      <w:pPr>
        <w:pStyle w:val="Heading9"/>
        <w:numPr>
          <w:ilvl w:val="0"/>
          <w:numId w:val="0"/>
        </w:numPr>
        <w:ind w:left="765" w:hanging="765"/>
      </w:pPr>
      <w:bookmarkStart w:id="309" w:name="_Toc436400365"/>
      <w:bookmarkStart w:id="310" w:name="_Ref436836969"/>
      <w:bookmarkStart w:id="311" w:name="_Toc437438458"/>
      <w:r w:rsidRPr="00BA0FBF">
        <w:t xml:space="preserve">Scenario 2: </w:t>
      </w:r>
      <w:r w:rsidR="001D5F01" w:rsidRPr="00BA0FBF">
        <w:t>Remove concessions from GST base</w:t>
      </w:r>
      <w:bookmarkEnd w:id="309"/>
      <w:bookmarkEnd w:id="310"/>
      <w:bookmarkEnd w:id="311"/>
    </w:p>
    <w:p w:rsidR="00422E1E" w:rsidRPr="00BA0FBF" w:rsidRDefault="005867ED" w:rsidP="00422E1E">
      <w:pPr>
        <w:pStyle w:val="Caption"/>
        <w:rPr>
          <w:sz w:val="20"/>
        </w:rPr>
      </w:pPr>
      <w:r>
        <w:rPr>
          <w:sz w:val="20"/>
        </w:rPr>
        <w:t>Table C–3</w:t>
      </w:r>
      <w:r w:rsidR="00422E1E" w:rsidRPr="00BA0FBF">
        <w:rPr>
          <w:sz w:val="20"/>
        </w:rPr>
        <w:t xml:space="preserve">: </w:t>
      </w:r>
      <w:r w:rsidR="00591E0E" w:rsidRPr="00BA0FBF">
        <w:rPr>
          <w:sz w:val="20"/>
        </w:rPr>
        <w:t>Net</w:t>
      </w:r>
      <w:r w:rsidR="0045532B">
        <w:rPr>
          <w:sz w:val="20"/>
        </w:rPr>
        <w:t xml:space="preserve"> additional </w:t>
      </w:r>
      <w:r w:rsidR="00591E0E" w:rsidRPr="00BA0FBF">
        <w:rPr>
          <w:sz w:val="20"/>
        </w:rPr>
        <w:t xml:space="preserve">GST </w:t>
      </w:r>
      <w:r w:rsidR="00811CE4">
        <w:rPr>
          <w:sz w:val="20"/>
        </w:rPr>
        <w:t>r</w:t>
      </w:r>
      <w:r w:rsidR="00591E0E" w:rsidRPr="00BA0FBF">
        <w:rPr>
          <w:sz w:val="20"/>
        </w:rPr>
        <w:t>evenue</w:t>
      </w:r>
      <w:r w:rsidR="00F0489B">
        <w:rPr>
          <w:sz w:val="20"/>
        </w:rPr>
        <w:t>:</w:t>
      </w:r>
      <w:r w:rsidR="00422E1E" w:rsidRPr="00BA0FBF">
        <w:rPr>
          <w:sz w:val="20"/>
        </w:rPr>
        <w:t xml:space="preserve"> Scenario 2</w:t>
      </w:r>
      <w:r w:rsidR="00F0489B">
        <w:rPr>
          <w:sz w:val="20"/>
        </w:rPr>
        <w:t xml:space="preserve"> (</w:t>
      </w:r>
      <w:r w:rsidR="00811CE4">
        <w:rPr>
          <w:sz w:val="20"/>
        </w:rPr>
        <w:t>r</w:t>
      </w:r>
      <w:r w:rsidR="001D5F01" w:rsidRPr="00BA0FBF">
        <w:rPr>
          <w:sz w:val="20"/>
        </w:rPr>
        <w:t>emove concessions from GST base</w:t>
      </w:r>
      <w:r w:rsidR="00F0489B">
        <w:rPr>
          <w:sz w:val="20"/>
        </w:rPr>
        <w:t>)</w:t>
      </w:r>
    </w:p>
    <w:tbl>
      <w:tblPr>
        <w:tblStyle w:val="TableGrid"/>
        <w:tblW w:w="4665" w:type="pct"/>
        <w:tblLook w:val="04A0" w:firstRow="1" w:lastRow="0" w:firstColumn="1" w:lastColumn="0" w:noHBand="0" w:noVBand="1"/>
      </w:tblPr>
      <w:tblGrid>
        <w:gridCol w:w="3216"/>
        <w:gridCol w:w="915"/>
        <w:gridCol w:w="915"/>
        <w:gridCol w:w="915"/>
        <w:gridCol w:w="915"/>
        <w:gridCol w:w="915"/>
        <w:gridCol w:w="915"/>
        <w:gridCol w:w="914"/>
        <w:gridCol w:w="914"/>
        <w:gridCol w:w="914"/>
        <w:gridCol w:w="909"/>
      </w:tblGrid>
      <w:tr w:rsidR="001D5F01" w:rsidRPr="00BA0FBF" w:rsidTr="001D5F01">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301" w:type="pct"/>
          </w:tcPr>
          <w:p w:rsidR="001D5F01" w:rsidRPr="00BA0FBF" w:rsidRDefault="001D5F01" w:rsidP="0045532B">
            <w:pPr>
              <w:pStyle w:val="TableHeading"/>
              <w:rPr>
                <w:sz w:val="18"/>
              </w:rPr>
            </w:pPr>
            <w:r w:rsidRPr="00BA0FBF">
              <w:rPr>
                <w:sz w:val="18"/>
              </w:rPr>
              <w:t>($b)</w:t>
            </w:r>
          </w:p>
        </w:tc>
        <w:tc>
          <w:tcPr>
            <w:tcW w:w="370" w:type="pct"/>
          </w:tcPr>
          <w:p w:rsidR="001D5F01" w:rsidRPr="00BA0FBF" w:rsidRDefault="001D5F01" w:rsidP="000B1326">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2017</w:t>
            </w:r>
            <w:r w:rsidR="000B1326">
              <w:rPr>
                <w:sz w:val="18"/>
              </w:rPr>
              <w:t>–</w:t>
            </w:r>
            <w:r w:rsidRPr="00BA0FBF">
              <w:rPr>
                <w:sz w:val="18"/>
              </w:rPr>
              <w:t>18</w:t>
            </w:r>
          </w:p>
        </w:tc>
        <w:tc>
          <w:tcPr>
            <w:tcW w:w="370" w:type="pct"/>
          </w:tcPr>
          <w:p w:rsidR="001D5F01" w:rsidRPr="00BA0FBF" w:rsidRDefault="001D5F01" w:rsidP="000B1326">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2018</w:t>
            </w:r>
            <w:r w:rsidR="000B1326">
              <w:rPr>
                <w:sz w:val="18"/>
              </w:rPr>
              <w:t>–</w:t>
            </w:r>
            <w:r w:rsidRPr="00BA0FBF">
              <w:rPr>
                <w:sz w:val="18"/>
              </w:rPr>
              <w:t>19</w:t>
            </w:r>
          </w:p>
        </w:tc>
        <w:tc>
          <w:tcPr>
            <w:tcW w:w="370" w:type="pct"/>
          </w:tcPr>
          <w:p w:rsidR="001D5F01" w:rsidRPr="00BA0FBF" w:rsidRDefault="000B1326" w:rsidP="00422E1E">
            <w:pPr>
              <w:pStyle w:val="TableHeadingCentred"/>
              <w:cnfStyle w:val="100000000000" w:firstRow="1" w:lastRow="0" w:firstColumn="0" w:lastColumn="0" w:oddVBand="0" w:evenVBand="0" w:oddHBand="0" w:evenHBand="0" w:firstRowFirstColumn="0" w:firstRowLastColumn="0" w:lastRowFirstColumn="0" w:lastRowLastColumn="0"/>
              <w:rPr>
                <w:sz w:val="18"/>
              </w:rPr>
            </w:pPr>
            <w:r>
              <w:rPr>
                <w:sz w:val="18"/>
              </w:rPr>
              <w:t>2019–</w:t>
            </w:r>
            <w:r w:rsidR="001D5F01" w:rsidRPr="00BA0FBF">
              <w:rPr>
                <w:sz w:val="18"/>
              </w:rPr>
              <w:t>20</w:t>
            </w:r>
          </w:p>
        </w:tc>
        <w:tc>
          <w:tcPr>
            <w:tcW w:w="370" w:type="pct"/>
          </w:tcPr>
          <w:p w:rsidR="001D5F01" w:rsidRPr="00BA0FBF" w:rsidRDefault="000B1326" w:rsidP="00422E1E">
            <w:pPr>
              <w:pStyle w:val="TableHeadingCentred"/>
              <w:cnfStyle w:val="100000000000" w:firstRow="1" w:lastRow="0" w:firstColumn="0" w:lastColumn="0" w:oddVBand="0" w:evenVBand="0" w:oddHBand="0" w:evenHBand="0" w:firstRowFirstColumn="0" w:firstRowLastColumn="0" w:lastRowFirstColumn="0" w:lastRowLastColumn="0"/>
              <w:rPr>
                <w:sz w:val="18"/>
              </w:rPr>
            </w:pPr>
            <w:r>
              <w:rPr>
                <w:sz w:val="18"/>
              </w:rPr>
              <w:t>2020–</w:t>
            </w:r>
            <w:r w:rsidR="001D5F01" w:rsidRPr="00BA0FBF">
              <w:rPr>
                <w:sz w:val="18"/>
              </w:rPr>
              <w:t>21</w:t>
            </w:r>
          </w:p>
        </w:tc>
        <w:tc>
          <w:tcPr>
            <w:tcW w:w="370" w:type="pct"/>
          </w:tcPr>
          <w:p w:rsidR="001D5F01" w:rsidRPr="00BA0FBF" w:rsidRDefault="000B1326" w:rsidP="00422E1E">
            <w:pPr>
              <w:pStyle w:val="TableHeadingCentred"/>
              <w:cnfStyle w:val="100000000000" w:firstRow="1" w:lastRow="0" w:firstColumn="0" w:lastColumn="0" w:oddVBand="0" w:evenVBand="0" w:oddHBand="0" w:evenHBand="0" w:firstRowFirstColumn="0" w:firstRowLastColumn="0" w:lastRowFirstColumn="0" w:lastRowLastColumn="0"/>
              <w:rPr>
                <w:sz w:val="18"/>
              </w:rPr>
            </w:pPr>
            <w:r>
              <w:rPr>
                <w:sz w:val="18"/>
              </w:rPr>
              <w:t>2021–</w:t>
            </w:r>
            <w:r w:rsidR="001D5F01" w:rsidRPr="00BA0FBF">
              <w:rPr>
                <w:sz w:val="18"/>
              </w:rPr>
              <w:t>22</w:t>
            </w:r>
          </w:p>
        </w:tc>
        <w:tc>
          <w:tcPr>
            <w:tcW w:w="370" w:type="pct"/>
          </w:tcPr>
          <w:p w:rsidR="001D5F01" w:rsidRPr="00BA0FBF" w:rsidRDefault="000B1326" w:rsidP="00422E1E">
            <w:pPr>
              <w:pStyle w:val="TableHeadingCentred"/>
              <w:cnfStyle w:val="100000000000" w:firstRow="1" w:lastRow="0" w:firstColumn="0" w:lastColumn="0" w:oddVBand="0" w:evenVBand="0" w:oddHBand="0" w:evenHBand="0" w:firstRowFirstColumn="0" w:firstRowLastColumn="0" w:lastRowFirstColumn="0" w:lastRowLastColumn="0"/>
              <w:rPr>
                <w:sz w:val="18"/>
              </w:rPr>
            </w:pPr>
            <w:r>
              <w:rPr>
                <w:sz w:val="18"/>
              </w:rPr>
              <w:t>2022–</w:t>
            </w:r>
            <w:r w:rsidR="001D5F01" w:rsidRPr="00BA0FBF">
              <w:rPr>
                <w:sz w:val="18"/>
              </w:rPr>
              <w:t>23</w:t>
            </w:r>
          </w:p>
        </w:tc>
        <w:tc>
          <w:tcPr>
            <w:tcW w:w="370" w:type="pct"/>
          </w:tcPr>
          <w:p w:rsidR="001D5F01" w:rsidRPr="00BA0FBF" w:rsidRDefault="001D5F01" w:rsidP="000B1326">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2023</w:t>
            </w:r>
            <w:r w:rsidR="000B1326">
              <w:rPr>
                <w:sz w:val="18"/>
              </w:rPr>
              <w:t>–</w:t>
            </w:r>
            <w:r w:rsidRPr="00BA0FBF">
              <w:rPr>
                <w:sz w:val="18"/>
              </w:rPr>
              <w:t>24</w:t>
            </w:r>
          </w:p>
        </w:tc>
        <w:tc>
          <w:tcPr>
            <w:tcW w:w="370" w:type="pct"/>
          </w:tcPr>
          <w:p w:rsidR="001D5F01" w:rsidRPr="00BA0FBF" w:rsidRDefault="000B1326" w:rsidP="00422E1E">
            <w:pPr>
              <w:pStyle w:val="TableHeadingCentred"/>
              <w:cnfStyle w:val="100000000000" w:firstRow="1" w:lastRow="0" w:firstColumn="0" w:lastColumn="0" w:oddVBand="0" w:evenVBand="0" w:oddHBand="0" w:evenHBand="0" w:firstRowFirstColumn="0" w:firstRowLastColumn="0" w:lastRowFirstColumn="0" w:lastRowLastColumn="0"/>
              <w:rPr>
                <w:sz w:val="18"/>
              </w:rPr>
            </w:pPr>
            <w:r>
              <w:rPr>
                <w:sz w:val="18"/>
              </w:rPr>
              <w:t>2024–</w:t>
            </w:r>
            <w:r w:rsidR="001D5F01" w:rsidRPr="00BA0FBF">
              <w:rPr>
                <w:sz w:val="18"/>
              </w:rPr>
              <w:t>25</w:t>
            </w:r>
          </w:p>
        </w:tc>
        <w:tc>
          <w:tcPr>
            <w:tcW w:w="370" w:type="pct"/>
          </w:tcPr>
          <w:p w:rsidR="001D5F01" w:rsidRPr="00BA0FBF" w:rsidRDefault="000B1326" w:rsidP="00422E1E">
            <w:pPr>
              <w:pStyle w:val="TableHeadingCentred"/>
              <w:cnfStyle w:val="100000000000" w:firstRow="1" w:lastRow="0" w:firstColumn="0" w:lastColumn="0" w:oddVBand="0" w:evenVBand="0" w:oddHBand="0" w:evenHBand="0" w:firstRowFirstColumn="0" w:firstRowLastColumn="0" w:lastRowFirstColumn="0" w:lastRowLastColumn="0"/>
              <w:rPr>
                <w:sz w:val="18"/>
              </w:rPr>
            </w:pPr>
            <w:r>
              <w:rPr>
                <w:sz w:val="18"/>
              </w:rPr>
              <w:t>2025–</w:t>
            </w:r>
            <w:r w:rsidR="001D5F01" w:rsidRPr="00BA0FBF">
              <w:rPr>
                <w:sz w:val="18"/>
              </w:rPr>
              <w:t>26</w:t>
            </w:r>
          </w:p>
        </w:tc>
        <w:tc>
          <w:tcPr>
            <w:tcW w:w="368" w:type="pct"/>
          </w:tcPr>
          <w:p w:rsidR="001D5F01" w:rsidRPr="00BA0FBF" w:rsidRDefault="001D5F01" w:rsidP="00422E1E">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Medium Term</w:t>
            </w:r>
          </w:p>
        </w:tc>
      </w:tr>
      <w:tr w:rsidR="00391F51" w:rsidRPr="00BA0FBF" w:rsidTr="001D5F0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01" w:type="pct"/>
          </w:tcPr>
          <w:p w:rsidR="00391F51" w:rsidRPr="00BA0FBF" w:rsidRDefault="0045532B" w:rsidP="00422E1E">
            <w:pPr>
              <w:pStyle w:val="TableText"/>
              <w:rPr>
                <w:b/>
                <w:sz w:val="18"/>
              </w:rPr>
            </w:pPr>
            <w:r>
              <w:rPr>
                <w:b/>
                <w:sz w:val="18"/>
              </w:rPr>
              <w:t xml:space="preserve">Additional </w:t>
            </w:r>
            <w:r w:rsidR="00391F51" w:rsidRPr="00BA0FBF">
              <w:rPr>
                <w:b/>
                <w:sz w:val="18"/>
              </w:rPr>
              <w:t>GST revenue</w:t>
            </w:r>
          </w:p>
        </w:tc>
        <w:tc>
          <w:tcPr>
            <w:tcW w:w="370" w:type="pct"/>
            <w:vAlign w:val="top"/>
          </w:tcPr>
          <w:p w:rsidR="00391F51" w:rsidRPr="00BA0FBF" w:rsidRDefault="00391F51" w:rsidP="00820291">
            <w:pPr>
              <w:jc w:val="right"/>
              <w:cnfStyle w:val="000000100000" w:firstRow="0" w:lastRow="0" w:firstColumn="0" w:lastColumn="0" w:oddVBand="0" w:evenVBand="0" w:oddHBand="1" w:evenHBand="0" w:firstRowFirstColumn="0" w:firstRowLastColumn="0" w:lastRowFirstColumn="0" w:lastRowLastColumn="0"/>
              <w:rPr>
                <w:sz w:val="18"/>
              </w:rPr>
            </w:pPr>
            <w:r w:rsidRPr="00BA0FBF">
              <w:rPr>
                <w:sz w:val="18"/>
              </w:rPr>
              <w:t>21.6</w:t>
            </w:r>
          </w:p>
        </w:tc>
        <w:tc>
          <w:tcPr>
            <w:tcW w:w="370" w:type="pct"/>
            <w:vAlign w:val="top"/>
          </w:tcPr>
          <w:p w:rsidR="00391F51" w:rsidRPr="00BA0FBF" w:rsidRDefault="00391F51" w:rsidP="00820291">
            <w:pPr>
              <w:jc w:val="right"/>
              <w:cnfStyle w:val="000000100000" w:firstRow="0" w:lastRow="0" w:firstColumn="0" w:lastColumn="0" w:oddVBand="0" w:evenVBand="0" w:oddHBand="1" w:evenHBand="0" w:firstRowFirstColumn="0" w:firstRowLastColumn="0" w:lastRowFirstColumn="0" w:lastRowLastColumn="0"/>
              <w:rPr>
                <w:sz w:val="18"/>
              </w:rPr>
            </w:pPr>
            <w:r w:rsidRPr="00BA0FBF">
              <w:rPr>
                <w:sz w:val="18"/>
              </w:rPr>
              <w:t>23.1</w:t>
            </w:r>
          </w:p>
        </w:tc>
        <w:tc>
          <w:tcPr>
            <w:tcW w:w="370" w:type="pct"/>
            <w:vAlign w:val="top"/>
          </w:tcPr>
          <w:p w:rsidR="00391F51" w:rsidRPr="00BA0FBF" w:rsidRDefault="00391F51" w:rsidP="00820291">
            <w:pPr>
              <w:jc w:val="right"/>
              <w:cnfStyle w:val="000000100000" w:firstRow="0" w:lastRow="0" w:firstColumn="0" w:lastColumn="0" w:oddVBand="0" w:evenVBand="0" w:oddHBand="1" w:evenHBand="0" w:firstRowFirstColumn="0" w:firstRowLastColumn="0" w:lastRowFirstColumn="0" w:lastRowLastColumn="0"/>
              <w:rPr>
                <w:sz w:val="18"/>
              </w:rPr>
            </w:pPr>
            <w:r w:rsidRPr="00BA0FBF">
              <w:rPr>
                <w:sz w:val="18"/>
              </w:rPr>
              <w:t>24.7</w:t>
            </w:r>
          </w:p>
        </w:tc>
        <w:tc>
          <w:tcPr>
            <w:tcW w:w="370" w:type="pct"/>
            <w:vAlign w:val="top"/>
          </w:tcPr>
          <w:p w:rsidR="00391F51" w:rsidRPr="00BA0FBF" w:rsidRDefault="00391F51" w:rsidP="00820291">
            <w:pPr>
              <w:jc w:val="right"/>
              <w:cnfStyle w:val="000000100000" w:firstRow="0" w:lastRow="0" w:firstColumn="0" w:lastColumn="0" w:oddVBand="0" w:evenVBand="0" w:oddHBand="1" w:evenHBand="0" w:firstRowFirstColumn="0" w:firstRowLastColumn="0" w:lastRowFirstColumn="0" w:lastRowLastColumn="0"/>
              <w:rPr>
                <w:sz w:val="18"/>
              </w:rPr>
            </w:pPr>
            <w:r w:rsidRPr="00BA0FBF">
              <w:rPr>
                <w:sz w:val="18"/>
              </w:rPr>
              <w:t>26.3</w:t>
            </w:r>
          </w:p>
        </w:tc>
        <w:tc>
          <w:tcPr>
            <w:tcW w:w="370" w:type="pct"/>
            <w:vAlign w:val="top"/>
          </w:tcPr>
          <w:p w:rsidR="00391F51" w:rsidRPr="00BA0FBF" w:rsidRDefault="00391F51" w:rsidP="00820291">
            <w:pPr>
              <w:jc w:val="right"/>
              <w:cnfStyle w:val="000000100000" w:firstRow="0" w:lastRow="0" w:firstColumn="0" w:lastColumn="0" w:oddVBand="0" w:evenVBand="0" w:oddHBand="1" w:evenHBand="0" w:firstRowFirstColumn="0" w:firstRowLastColumn="0" w:lastRowFirstColumn="0" w:lastRowLastColumn="0"/>
              <w:rPr>
                <w:sz w:val="18"/>
              </w:rPr>
            </w:pPr>
            <w:r w:rsidRPr="00BA0FBF">
              <w:rPr>
                <w:sz w:val="18"/>
              </w:rPr>
              <w:t>28.1</w:t>
            </w:r>
          </w:p>
        </w:tc>
        <w:tc>
          <w:tcPr>
            <w:tcW w:w="370" w:type="pct"/>
            <w:vAlign w:val="top"/>
          </w:tcPr>
          <w:p w:rsidR="00391F51" w:rsidRPr="00BA0FBF" w:rsidRDefault="00391F51" w:rsidP="00820291">
            <w:pPr>
              <w:jc w:val="right"/>
              <w:cnfStyle w:val="000000100000" w:firstRow="0" w:lastRow="0" w:firstColumn="0" w:lastColumn="0" w:oddVBand="0" w:evenVBand="0" w:oddHBand="1" w:evenHBand="0" w:firstRowFirstColumn="0" w:firstRowLastColumn="0" w:lastRowFirstColumn="0" w:lastRowLastColumn="0"/>
              <w:rPr>
                <w:sz w:val="18"/>
              </w:rPr>
            </w:pPr>
            <w:r w:rsidRPr="00BA0FBF">
              <w:rPr>
                <w:sz w:val="18"/>
              </w:rPr>
              <w:t>30.1</w:t>
            </w:r>
          </w:p>
        </w:tc>
        <w:tc>
          <w:tcPr>
            <w:tcW w:w="370" w:type="pct"/>
            <w:vAlign w:val="top"/>
          </w:tcPr>
          <w:p w:rsidR="00391F51" w:rsidRPr="00BA0FBF" w:rsidRDefault="00391F51" w:rsidP="00820291">
            <w:pPr>
              <w:jc w:val="right"/>
              <w:cnfStyle w:val="000000100000" w:firstRow="0" w:lastRow="0" w:firstColumn="0" w:lastColumn="0" w:oddVBand="0" w:evenVBand="0" w:oddHBand="1" w:evenHBand="0" w:firstRowFirstColumn="0" w:firstRowLastColumn="0" w:lastRowFirstColumn="0" w:lastRowLastColumn="0"/>
              <w:rPr>
                <w:sz w:val="18"/>
              </w:rPr>
            </w:pPr>
            <w:r w:rsidRPr="00BA0FBF">
              <w:rPr>
                <w:sz w:val="18"/>
              </w:rPr>
              <w:t>32.2</w:t>
            </w:r>
          </w:p>
        </w:tc>
        <w:tc>
          <w:tcPr>
            <w:tcW w:w="370" w:type="pct"/>
            <w:vAlign w:val="top"/>
          </w:tcPr>
          <w:p w:rsidR="00391F51" w:rsidRPr="00BA0FBF" w:rsidRDefault="00391F51" w:rsidP="00820291">
            <w:pPr>
              <w:jc w:val="right"/>
              <w:cnfStyle w:val="000000100000" w:firstRow="0" w:lastRow="0" w:firstColumn="0" w:lastColumn="0" w:oddVBand="0" w:evenVBand="0" w:oddHBand="1" w:evenHBand="0" w:firstRowFirstColumn="0" w:firstRowLastColumn="0" w:lastRowFirstColumn="0" w:lastRowLastColumn="0"/>
              <w:rPr>
                <w:sz w:val="18"/>
              </w:rPr>
            </w:pPr>
            <w:r w:rsidRPr="00BA0FBF">
              <w:rPr>
                <w:sz w:val="18"/>
              </w:rPr>
              <w:t>34.4</w:t>
            </w:r>
          </w:p>
        </w:tc>
        <w:tc>
          <w:tcPr>
            <w:tcW w:w="370" w:type="pct"/>
            <w:vAlign w:val="top"/>
          </w:tcPr>
          <w:p w:rsidR="00391F51" w:rsidRPr="00BA0FBF" w:rsidRDefault="00391F51" w:rsidP="00820291">
            <w:pPr>
              <w:jc w:val="right"/>
              <w:cnfStyle w:val="000000100000" w:firstRow="0" w:lastRow="0" w:firstColumn="0" w:lastColumn="0" w:oddVBand="0" w:evenVBand="0" w:oddHBand="1" w:evenHBand="0" w:firstRowFirstColumn="0" w:firstRowLastColumn="0" w:lastRowFirstColumn="0" w:lastRowLastColumn="0"/>
              <w:rPr>
                <w:sz w:val="18"/>
              </w:rPr>
            </w:pPr>
            <w:r w:rsidRPr="00BA0FBF">
              <w:rPr>
                <w:sz w:val="18"/>
              </w:rPr>
              <w:t>36.8</w:t>
            </w:r>
          </w:p>
        </w:tc>
        <w:tc>
          <w:tcPr>
            <w:tcW w:w="368" w:type="pct"/>
            <w:vAlign w:val="top"/>
          </w:tcPr>
          <w:p w:rsidR="00391F51" w:rsidRPr="00BA0FBF" w:rsidRDefault="00391F51" w:rsidP="00820291">
            <w:pPr>
              <w:jc w:val="right"/>
              <w:cnfStyle w:val="000000100000" w:firstRow="0" w:lastRow="0" w:firstColumn="0" w:lastColumn="0" w:oddVBand="0" w:evenVBand="0" w:oddHBand="1" w:evenHBand="0" w:firstRowFirstColumn="0" w:firstRowLastColumn="0" w:lastRowFirstColumn="0" w:lastRowLastColumn="0"/>
              <w:rPr>
                <w:sz w:val="18"/>
              </w:rPr>
            </w:pPr>
            <w:r w:rsidRPr="00BA0FBF">
              <w:rPr>
                <w:sz w:val="18"/>
              </w:rPr>
              <w:t>257.3</w:t>
            </w:r>
          </w:p>
        </w:tc>
      </w:tr>
      <w:tr w:rsidR="00391F51" w:rsidRPr="00BA0FBF" w:rsidTr="001D5F01">
        <w:trPr>
          <w:cantSplit/>
        </w:trPr>
        <w:tc>
          <w:tcPr>
            <w:cnfStyle w:val="001000000000" w:firstRow="0" w:lastRow="0" w:firstColumn="1" w:lastColumn="0" w:oddVBand="0" w:evenVBand="0" w:oddHBand="0" w:evenHBand="0" w:firstRowFirstColumn="0" w:firstRowLastColumn="0" w:lastRowFirstColumn="0" w:lastRowLastColumn="0"/>
            <w:tcW w:w="1301" w:type="pct"/>
          </w:tcPr>
          <w:p w:rsidR="00391F51" w:rsidRPr="00BA0FBF" w:rsidRDefault="00391F51" w:rsidP="00422E1E">
            <w:pPr>
              <w:pStyle w:val="TableText"/>
              <w:rPr>
                <w:b/>
                <w:sz w:val="18"/>
              </w:rPr>
            </w:pPr>
            <w:r w:rsidRPr="00BA0FBF">
              <w:rPr>
                <w:b/>
                <w:sz w:val="18"/>
              </w:rPr>
              <w:t>Compensation: Technical Assumption</w:t>
            </w:r>
          </w:p>
        </w:tc>
        <w:tc>
          <w:tcPr>
            <w:tcW w:w="370" w:type="pct"/>
            <w:vAlign w:val="top"/>
          </w:tcPr>
          <w:p w:rsidR="00391F51" w:rsidRPr="00BA0FBF" w:rsidRDefault="00391F51" w:rsidP="00820291">
            <w:pPr>
              <w:jc w:val="right"/>
              <w:cnfStyle w:val="000000000000" w:firstRow="0" w:lastRow="0" w:firstColumn="0" w:lastColumn="0" w:oddVBand="0" w:evenVBand="0" w:oddHBand="0" w:evenHBand="0" w:firstRowFirstColumn="0" w:firstRowLastColumn="0" w:lastRowFirstColumn="0" w:lastRowLastColumn="0"/>
              <w:rPr>
                <w:sz w:val="18"/>
              </w:rPr>
            </w:pPr>
            <w:r w:rsidRPr="00BA0FBF">
              <w:rPr>
                <w:sz w:val="18"/>
              </w:rPr>
              <w:t>-5.6</w:t>
            </w:r>
          </w:p>
        </w:tc>
        <w:tc>
          <w:tcPr>
            <w:tcW w:w="370" w:type="pct"/>
            <w:vAlign w:val="top"/>
          </w:tcPr>
          <w:p w:rsidR="00391F51" w:rsidRPr="00BA0FBF" w:rsidRDefault="00391F51" w:rsidP="00820291">
            <w:pPr>
              <w:jc w:val="right"/>
              <w:cnfStyle w:val="000000000000" w:firstRow="0" w:lastRow="0" w:firstColumn="0" w:lastColumn="0" w:oddVBand="0" w:evenVBand="0" w:oddHBand="0" w:evenHBand="0" w:firstRowFirstColumn="0" w:firstRowLastColumn="0" w:lastRowFirstColumn="0" w:lastRowLastColumn="0"/>
              <w:rPr>
                <w:sz w:val="18"/>
              </w:rPr>
            </w:pPr>
            <w:r w:rsidRPr="00BA0FBF">
              <w:rPr>
                <w:sz w:val="18"/>
              </w:rPr>
              <w:t>-6.0</w:t>
            </w:r>
          </w:p>
        </w:tc>
        <w:tc>
          <w:tcPr>
            <w:tcW w:w="370" w:type="pct"/>
            <w:vAlign w:val="top"/>
          </w:tcPr>
          <w:p w:rsidR="00391F51" w:rsidRPr="00BA0FBF" w:rsidRDefault="00391F51" w:rsidP="00820291">
            <w:pPr>
              <w:jc w:val="right"/>
              <w:cnfStyle w:val="000000000000" w:firstRow="0" w:lastRow="0" w:firstColumn="0" w:lastColumn="0" w:oddVBand="0" w:evenVBand="0" w:oddHBand="0" w:evenHBand="0" w:firstRowFirstColumn="0" w:firstRowLastColumn="0" w:lastRowFirstColumn="0" w:lastRowLastColumn="0"/>
              <w:rPr>
                <w:sz w:val="18"/>
              </w:rPr>
            </w:pPr>
            <w:r w:rsidRPr="00BA0FBF">
              <w:rPr>
                <w:sz w:val="18"/>
              </w:rPr>
              <w:t>-6.4</w:t>
            </w:r>
          </w:p>
        </w:tc>
        <w:tc>
          <w:tcPr>
            <w:tcW w:w="370" w:type="pct"/>
            <w:vAlign w:val="top"/>
          </w:tcPr>
          <w:p w:rsidR="00391F51" w:rsidRPr="00BA0FBF" w:rsidRDefault="00391F51" w:rsidP="00820291">
            <w:pPr>
              <w:jc w:val="right"/>
              <w:cnfStyle w:val="000000000000" w:firstRow="0" w:lastRow="0" w:firstColumn="0" w:lastColumn="0" w:oddVBand="0" w:evenVBand="0" w:oddHBand="0" w:evenHBand="0" w:firstRowFirstColumn="0" w:firstRowLastColumn="0" w:lastRowFirstColumn="0" w:lastRowLastColumn="0"/>
              <w:rPr>
                <w:sz w:val="18"/>
              </w:rPr>
            </w:pPr>
            <w:r w:rsidRPr="00BA0FBF">
              <w:rPr>
                <w:sz w:val="18"/>
              </w:rPr>
              <w:t>-6.8</w:t>
            </w:r>
          </w:p>
        </w:tc>
        <w:tc>
          <w:tcPr>
            <w:tcW w:w="370" w:type="pct"/>
            <w:vAlign w:val="top"/>
          </w:tcPr>
          <w:p w:rsidR="00391F51" w:rsidRPr="00BA0FBF" w:rsidRDefault="00391F51" w:rsidP="00820291">
            <w:pPr>
              <w:jc w:val="right"/>
              <w:cnfStyle w:val="000000000000" w:firstRow="0" w:lastRow="0" w:firstColumn="0" w:lastColumn="0" w:oddVBand="0" w:evenVBand="0" w:oddHBand="0" w:evenHBand="0" w:firstRowFirstColumn="0" w:firstRowLastColumn="0" w:lastRowFirstColumn="0" w:lastRowLastColumn="0"/>
              <w:rPr>
                <w:sz w:val="18"/>
              </w:rPr>
            </w:pPr>
            <w:r w:rsidRPr="00BA0FBF">
              <w:rPr>
                <w:sz w:val="18"/>
              </w:rPr>
              <w:t>-7.3</w:t>
            </w:r>
          </w:p>
        </w:tc>
        <w:tc>
          <w:tcPr>
            <w:tcW w:w="370" w:type="pct"/>
            <w:vAlign w:val="top"/>
          </w:tcPr>
          <w:p w:rsidR="00391F51" w:rsidRPr="00BA0FBF" w:rsidRDefault="00391F51" w:rsidP="00820291">
            <w:pPr>
              <w:jc w:val="right"/>
              <w:cnfStyle w:val="000000000000" w:firstRow="0" w:lastRow="0" w:firstColumn="0" w:lastColumn="0" w:oddVBand="0" w:evenVBand="0" w:oddHBand="0" w:evenHBand="0" w:firstRowFirstColumn="0" w:firstRowLastColumn="0" w:lastRowFirstColumn="0" w:lastRowLastColumn="0"/>
              <w:rPr>
                <w:sz w:val="18"/>
              </w:rPr>
            </w:pPr>
            <w:r w:rsidRPr="00BA0FBF">
              <w:rPr>
                <w:sz w:val="18"/>
              </w:rPr>
              <w:t>-7.8</w:t>
            </w:r>
          </w:p>
        </w:tc>
        <w:tc>
          <w:tcPr>
            <w:tcW w:w="370" w:type="pct"/>
            <w:vAlign w:val="top"/>
          </w:tcPr>
          <w:p w:rsidR="00391F51" w:rsidRPr="00BA0FBF" w:rsidRDefault="00391F51" w:rsidP="00820291">
            <w:pPr>
              <w:jc w:val="right"/>
              <w:cnfStyle w:val="000000000000" w:firstRow="0" w:lastRow="0" w:firstColumn="0" w:lastColumn="0" w:oddVBand="0" w:evenVBand="0" w:oddHBand="0" w:evenHBand="0" w:firstRowFirstColumn="0" w:firstRowLastColumn="0" w:lastRowFirstColumn="0" w:lastRowLastColumn="0"/>
              <w:rPr>
                <w:sz w:val="18"/>
              </w:rPr>
            </w:pPr>
            <w:r w:rsidRPr="00BA0FBF">
              <w:rPr>
                <w:sz w:val="18"/>
              </w:rPr>
              <w:t>-8.3</w:t>
            </w:r>
          </w:p>
        </w:tc>
        <w:tc>
          <w:tcPr>
            <w:tcW w:w="370" w:type="pct"/>
            <w:vAlign w:val="top"/>
          </w:tcPr>
          <w:p w:rsidR="00391F51" w:rsidRPr="00BA0FBF" w:rsidRDefault="00391F51" w:rsidP="00820291">
            <w:pPr>
              <w:jc w:val="right"/>
              <w:cnfStyle w:val="000000000000" w:firstRow="0" w:lastRow="0" w:firstColumn="0" w:lastColumn="0" w:oddVBand="0" w:evenVBand="0" w:oddHBand="0" w:evenHBand="0" w:firstRowFirstColumn="0" w:firstRowLastColumn="0" w:lastRowFirstColumn="0" w:lastRowLastColumn="0"/>
              <w:rPr>
                <w:sz w:val="18"/>
              </w:rPr>
            </w:pPr>
            <w:r w:rsidRPr="00BA0FBF">
              <w:rPr>
                <w:sz w:val="18"/>
              </w:rPr>
              <w:t>-8.9</w:t>
            </w:r>
          </w:p>
        </w:tc>
        <w:tc>
          <w:tcPr>
            <w:tcW w:w="370" w:type="pct"/>
            <w:vAlign w:val="top"/>
          </w:tcPr>
          <w:p w:rsidR="00391F51" w:rsidRPr="00BA0FBF" w:rsidRDefault="00391F51" w:rsidP="00820291">
            <w:pPr>
              <w:jc w:val="right"/>
              <w:cnfStyle w:val="000000000000" w:firstRow="0" w:lastRow="0" w:firstColumn="0" w:lastColumn="0" w:oddVBand="0" w:evenVBand="0" w:oddHBand="0" w:evenHBand="0" w:firstRowFirstColumn="0" w:firstRowLastColumn="0" w:lastRowFirstColumn="0" w:lastRowLastColumn="0"/>
              <w:rPr>
                <w:sz w:val="18"/>
              </w:rPr>
            </w:pPr>
            <w:r w:rsidRPr="00BA0FBF">
              <w:rPr>
                <w:sz w:val="18"/>
              </w:rPr>
              <w:t>-9.5</w:t>
            </w:r>
          </w:p>
        </w:tc>
        <w:tc>
          <w:tcPr>
            <w:tcW w:w="368" w:type="pct"/>
            <w:vAlign w:val="top"/>
          </w:tcPr>
          <w:p w:rsidR="00391F51" w:rsidRPr="00BA0FBF" w:rsidRDefault="00391F51" w:rsidP="00820291">
            <w:pPr>
              <w:jc w:val="right"/>
              <w:cnfStyle w:val="000000000000" w:firstRow="0" w:lastRow="0" w:firstColumn="0" w:lastColumn="0" w:oddVBand="0" w:evenVBand="0" w:oddHBand="0" w:evenHBand="0" w:firstRowFirstColumn="0" w:firstRowLastColumn="0" w:lastRowFirstColumn="0" w:lastRowLastColumn="0"/>
              <w:rPr>
                <w:sz w:val="18"/>
              </w:rPr>
            </w:pPr>
            <w:r w:rsidRPr="00BA0FBF">
              <w:rPr>
                <w:sz w:val="18"/>
              </w:rPr>
              <w:t>-66.6</w:t>
            </w:r>
          </w:p>
        </w:tc>
      </w:tr>
      <w:tr w:rsidR="00391F51" w:rsidRPr="00BA0FBF" w:rsidTr="001D5F0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01" w:type="pct"/>
          </w:tcPr>
          <w:p w:rsidR="00391F51" w:rsidRPr="00BA0FBF" w:rsidRDefault="00391F51" w:rsidP="00422E1E">
            <w:pPr>
              <w:pStyle w:val="TableText"/>
              <w:rPr>
                <w:b/>
                <w:sz w:val="18"/>
              </w:rPr>
            </w:pPr>
            <w:r w:rsidRPr="00BA0FBF">
              <w:rPr>
                <w:b/>
                <w:sz w:val="18"/>
              </w:rPr>
              <w:t>Net</w:t>
            </w:r>
            <w:r w:rsidR="0045532B">
              <w:rPr>
                <w:b/>
                <w:sz w:val="18"/>
              </w:rPr>
              <w:t xml:space="preserve"> additional</w:t>
            </w:r>
            <w:r w:rsidRPr="00BA0FBF">
              <w:rPr>
                <w:b/>
                <w:sz w:val="18"/>
              </w:rPr>
              <w:t xml:space="preserve"> GST revenue: Scenario 2</w:t>
            </w:r>
          </w:p>
        </w:tc>
        <w:tc>
          <w:tcPr>
            <w:tcW w:w="370" w:type="pct"/>
            <w:vAlign w:val="top"/>
          </w:tcPr>
          <w:p w:rsidR="00391F51" w:rsidRPr="00BA0FBF" w:rsidRDefault="00391F51" w:rsidP="00820291">
            <w:pPr>
              <w:jc w:val="right"/>
              <w:cnfStyle w:val="000000100000" w:firstRow="0" w:lastRow="0" w:firstColumn="0" w:lastColumn="0" w:oddVBand="0" w:evenVBand="0" w:oddHBand="1" w:evenHBand="0" w:firstRowFirstColumn="0" w:firstRowLastColumn="0" w:lastRowFirstColumn="0" w:lastRowLastColumn="0"/>
              <w:rPr>
                <w:b/>
                <w:sz w:val="18"/>
              </w:rPr>
            </w:pPr>
            <w:r w:rsidRPr="00BA0FBF">
              <w:rPr>
                <w:b/>
                <w:sz w:val="18"/>
              </w:rPr>
              <w:t>16.0</w:t>
            </w:r>
          </w:p>
        </w:tc>
        <w:tc>
          <w:tcPr>
            <w:tcW w:w="370" w:type="pct"/>
            <w:vAlign w:val="top"/>
          </w:tcPr>
          <w:p w:rsidR="00391F51" w:rsidRPr="00BA0FBF" w:rsidRDefault="00391F51" w:rsidP="00820291">
            <w:pPr>
              <w:jc w:val="right"/>
              <w:cnfStyle w:val="000000100000" w:firstRow="0" w:lastRow="0" w:firstColumn="0" w:lastColumn="0" w:oddVBand="0" w:evenVBand="0" w:oddHBand="1" w:evenHBand="0" w:firstRowFirstColumn="0" w:firstRowLastColumn="0" w:lastRowFirstColumn="0" w:lastRowLastColumn="0"/>
              <w:rPr>
                <w:b/>
                <w:sz w:val="18"/>
              </w:rPr>
            </w:pPr>
            <w:r w:rsidRPr="00BA0FBF">
              <w:rPr>
                <w:b/>
                <w:sz w:val="18"/>
              </w:rPr>
              <w:t>17.1</w:t>
            </w:r>
          </w:p>
        </w:tc>
        <w:tc>
          <w:tcPr>
            <w:tcW w:w="370" w:type="pct"/>
            <w:vAlign w:val="top"/>
          </w:tcPr>
          <w:p w:rsidR="00391F51" w:rsidRPr="00BA0FBF" w:rsidRDefault="00391F51" w:rsidP="00820291">
            <w:pPr>
              <w:jc w:val="right"/>
              <w:cnfStyle w:val="000000100000" w:firstRow="0" w:lastRow="0" w:firstColumn="0" w:lastColumn="0" w:oddVBand="0" w:evenVBand="0" w:oddHBand="1" w:evenHBand="0" w:firstRowFirstColumn="0" w:firstRowLastColumn="0" w:lastRowFirstColumn="0" w:lastRowLastColumn="0"/>
              <w:rPr>
                <w:b/>
                <w:sz w:val="18"/>
              </w:rPr>
            </w:pPr>
            <w:r w:rsidRPr="00BA0FBF">
              <w:rPr>
                <w:b/>
                <w:sz w:val="18"/>
              </w:rPr>
              <w:t>18.3</w:t>
            </w:r>
          </w:p>
        </w:tc>
        <w:tc>
          <w:tcPr>
            <w:tcW w:w="370" w:type="pct"/>
            <w:vAlign w:val="top"/>
          </w:tcPr>
          <w:p w:rsidR="00391F51" w:rsidRPr="00BA0FBF" w:rsidRDefault="00391F51" w:rsidP="00820291">
            <w:pPr>
              <w:jc w:val="right"/>
              <w:cnfStyle w:val="000000100000" w:firstRow="0" w:lastRow="0" w:firstColumn="0" w:lastColumn="0" w:oddVBand="0" w:evenVBand="0" w:oddHBand="1" w:evenHBand="0" w:firstRowFirstColumn="0" w:firstRowLastColumn="0" w:lastRowFirstColumn="0" w:lastRowLastColumn="0"/>
              <w:rPr>
                <w:b/>
                <w:sz w:val="18"/>
              </w:rPr>
            </w:pPr>
            <w:r w:rsidRPr="00BA0FBF">
              <w:rPr>
                <w:b/>
                <w:sz w:val="18"/>
              </w:rPr>
              <w:t>19.5</w:t>
            </w:r>
          </w:p>
        </w:tc>
        <w:tc>
          <w:tcPr>
            <w:tcW w:w="370" w:type="pct"/>
            <w:vAlign w:val="top"/>
          </w:tcPr>
          <w:p w:rsidR="00391F51" w:rsidRPr="00BA0FBF" w:rsidRDefault="00391F51" w:rsidP="00820291">
            <w:pPr>
              <w:jc w:val="right"/>
              <w:cnfStyle w:val="000000100000" w:firstRow="0" w:lastRow="0" w:firstColumn="0" w:lastColumn="0" w:oddVBand="0" w:evenVBand="0" w:oddHBand="1" w:evenHBand="0" w:firstRowFirstColumn="0" w:firstRowLastColumn="0" w:lastRowFirstColumn="0" w:lastRowLastColumn="0"/>
              <w:rPr>
                <w:b/>
                <w:sz w:val="18"/>
              </w:rPr>
            </w:pPr>
            <w:r w:rsidRPr="00BA0FBF">
              <w:rPr>
                <w:b/>
                <w:sz w:val="18"/>
              </w:rPr>
              <w:t>20.8</w:t>
            </w:r>
          </w:p>
        </w:tc>
        <w:tc>
          <w:tcPr>
            <w:tcW w:w="370" w:type="pct"/>
            <w:vAlign w:val="top"/>
          </w:tcPr>
          <w:p w:rsidR="00391F51" w:rsidRPr="00BA0FBF" w:rsidRDefault="00391F51" w:rsidP="00820291">
            <w:pPr>
              <w:jc w:val="right"/>
              <w:cnfStyle w:val="000000100000" w:firstRow="0" w:lastRow="0" w:firstColumn="0" w:lastColumn="0" w:oddVBand="0" w:evenVBand="0" w:oddHBand="1" w:evenHBand="0" w:firstRowFirstColumn="0" w:firstRowLastColumn="0" w:lastRowFirstColumn="0" w:lastRowLastColumn="0"/>
              <w:rPr>
                <w:b/>
                <w:sz w:val="18"/>
              </w:rPr>
            </w:pPr>
            <w:r w:rsidRPr="00BA0FBF">
              <w:rPr>
                <w:b/>
                <w:sz w:val="18"/>
              </w:rPr>
              <w:t>22.3</w:t>
            </w:r>
          </w:p>
        </w:tc>
        <w:tc>
          <w:tcPr>
            <w:tcW w:w="370" w:type="pct"/>
            <w:vAlign w:val="top"/>
          </w:tcPr>
          <w:p w:rsidR="00391F51" w:rsidRPr="00BA0FBF" w:rsidRDefault="00391F51" w:rsidP="00820291">
            <w:pPr>
              <w:jc w:val="right"/>
              <w:cnfStyle w:val="000000100000" w:firstRow="0" w:lastRow="0" w:firstColumn="0" w:lastColumn="0" w:oddVBand="0" w:evenVBand="0" w:oddHBand="1" w:evenHBand="0" w:firstRowFirstColumn="0" w:firstRowLastColumn="0" w:lastRowFirstColumn="0" w:lastRowLastColumn="0"/>
              <w:rPr>
                <w:b/>
                <w:sz w:val="18"/>
              </w:rPr>
            </w:pPr>
            <w:r w:rsidRPr="00BA0FBF">
              <w:rPr>
                <w:b/>
                <w:sz w:val="18"/>
              </w:rPr>
              <w:t>23.9</w:t>
            </w:r>
          </w:p>
        </w:tc>
        <w:tc>
          <w:tcPr>
            <w:tcW w:w="370" w:type="pct"/>
            <w:vAlign w:val="top"/>
          </w:tcPr>
          <w:p w:rsidR="00391F51" w:rsidRPr="00BA0FBF" w:rsidRDefault="00391F51" w:rsidP="00820291">
            <w:pPr>
              <w:jc w:val="right"/>
              <w:cnfStyle w:val="000000100000" w:firstRow="0" w:lastRow="0" w:firstColumn="0" w:lastColumn="0" w:oddVBand="0" w:evenVBand="0" w:oddHBand="1" w:evenHBand="0" w:firstRowFirstColumn="0" w:firstRowLastColumn="0" w:lastRowFirstColumn="0" w:lastRowLastColumn="0"/>
              <w:rPr>
                <w:b/>
                <w:sz w:val="18"/>
              </w:rPr>
            </w:pPr>
            <w:r w:rsidRPr="00BA0FBF">
              <w:rPr>
                <w:b/>
                <w:sz w:val="18"/>
              </w:rPr>
              <w:t>25.5</w:t>
            </w:r>
          </w:p>
        </w:tc>
        <w:tc>
          <w:tcPr>
            <w:tcW w:w="370" w:type="pct"/>
            <w:vAlign w:val="top"/>
          </w:tcPr>
          <w:p w:rsidR="00391F51" w:rsidRPr="00BA0FBF" w:rsidRDefault="00391F51" w:rsidP="00820291">
            <w:pPr>
              <w:jc w:val="right"/>
              <w:cnfStyle w:val="000000100000" w:firstRow="0" w:lastRow="0" w:firstColumn="0" w:lastColumn="0" w:oddVBand="0" w:evenVBand="0" w:oddHBand="1" w:evenHBand="0" w:firstRowFirstColumn="0" w:firstRowLastColumn="0" w:lastRowFirstColumn="0" w:lastRowLastColumn="0"/>
              <w:rPr>
                <w:b/>
                <w:sz w:val="18"/>
              </w:rPr>
            </w:pPr>
            <w:r w:rsidRPr="00BA0FBF">
              <w:rPr>
                <w:b/>
                <w:sz w:val="18"/>
              </w:rPr>
              <w:t>27.3</w:t>
            </w:r>
          </w:p>
        </w:tc>
        <w:tc>
          <w:tcPr>
            <w:tcW w:w="368" w:type="pct"/>
            <w:vAlign w:val="top"/>
          </w:tcPr>
          <w:p w:rsidR="00391F51" w:rsidRPr="00BA0FBF" w:rsidRDefault="00391F51" w:rsidP="00820291">
            <w:pPr>
              <w:jc w:val="right"/>
              <w:cnfStyle w:val="000000100000" w:firstRow="0" w:lastRow="0" w:firstColumn="0" w:lastColumn="0" w:oddVBand="0" w:evenVBand="0" w:oddHBand="1" w:evenHBand="0" w:firstRowFirstColumn="0" w:firstRowLastColumn="0" w:lastRowFirstColumn="0" w:lastRowLastColumn="0"/>
              <w:rPr>
                <w:b/>
                <w:sz w:val="18"/>
              </w:rPr>
            </w:pPr>
            <w:r w:rsidRPr="00BA0FBF">
              <w:rPr>
                <w:b/>
                <w:sz w:val="18"/>
              </w:rPr>
              <w:t>190.7</w:t>
            </w:r>
          </w:p>
        </w:tc>
      </w:tr>
    </w:tbl>
    <w:p w:rsidR="00726BED" w:rsidRDefault="00726BED" w:rsidP="00726BED">
      <w:pPr>
        <w:pStyle w:val="Source"/>
      </w:pPr>
      <w:r>
        <w:t xml:space="preserve">Source: </w:t>
      </w:r>
      <w:r w:rsidR="004E109F">
        <w:t>PBO analysis based on data from the ABS and Treasury</w:t>
      </w:r>
    </w:p>
    <w:p w:rsidR="00422E1E" w:rsidRPr="00BA0FBF" w:rsidRDefault="00422E1E" w:rsidP="00726BED">
      <w:pPr>
        <w:pStyle w:val="Source"/>
        <w:rPr>
          <w:color w:val="2B3B5F" w:themeColor="text2"/>
          <w:spacing w:val="-4"/>
        </w:rPr>
      </w:pPr>
      <w:r w:rsidRPr="00BA0FBF">
        <w:br w:type="page"/>
      </w:r>
    </w:p>
    <w:p w:rsidR="00422E1E" w:rsidRPr="00BA0FBF" w:rsidRDefault="00422E1E" w:rsidP="00422E1E">
      <w:pPr>
        <w:pStyle w:val="Caption"/>
        <w:rPr>
          <w:sz w:val="20"/>
        </w:rPr>
      </w:pPr>
      <w:r w:rsidRPr="00BA0FBF">
        <w:rPr>
          <w:sz w:val="20"/>
        </w:rPr>
        <w:t>Table C–</w:t>
      </w:r>
      <w:r w:rsidR="005867ED">
        <w:rPr>
          <w:sz w:val="20"/>
        </w:rPr>
        <w:t>4</w:t>
      </w:r>
      <w:r w:rsidRPr="00BA0FBF">
        <w:rPr>
          <w:sz w:val="20"/>
        </w:rPr>
        <w:t xml:space="preserve">: Composition of </w:t>
      </w:r>
      <w:r w:rsidR="00435EE1">
        <w:rPr>
          <w:sz w:val="20"/>
        </w:rPr>
        <w:t>a</w:t>
      </w:r>
      <w:r w:rsidRPr="00BA0FBF">
        <w:rPr>
          <w:sz w:val="20"/>
        </w:rPr>
        <w:t xml:space="preserve">dditional GST </w:t>
      </w:r>
      <w:r w:rsidR="00435EE1">
        <w:rPr>
          <w:sz w:val="20"/>
        </w:rPr>
        <w:t>r</w:t>
      </w:r>
      <w:r w:rsidRPr="00BA0FBF">
        <w:rPr>
          <w:sz w:val="20"/>
        </w:rPr>
        <w:t>evenue</w:t>
      </w:r>
      <w:r w:rsidR="00416CD9">
        <w:rPr>
          <w:sz w:val="20"/>
        </w:rPr>
        <w:t>:</w:t>
      </w:r>
      <w:r w:rsidR="00435EE1">
        <w:rPr>
          <w:sz w:val="20"/>
        </w:rPr>
        <w:t xml:space="preserve"> </w:t>
      </w:r>
      <w:r w:rsidRPr="00BA0FBF">
        <w:rPr>
          <w:sz w:val="20"/>
        </w:rPr>
        <w:t>Scenario 2</w:t>
      </w:r>
      <w:r w:rsidR="00416CD9">
        <w:rPr>
          <w:sz w:val="20"/>
        </w:rPr>
        <w:t xml:space="preserve"> (</w:t>
      </w:r>
      <w:r w:rsidR="00435EE1">
        <w:rPr>
          <w:sz w:val="20"/>
        </w:rPr>
        <w:t>r</w:t>
      </w:r>
      <w:r w:rsidR="001D5F01" w:rsidRPr="00BA0FBF">
        <w:rPr>
          <w:sz w:val="20"/>
        </w:rPr>
        <w:t>emove concessions from GST base</w:t>
      </w:r>
      <w:r w:rsidR="00416CD9">
        <w:rPr>
          <w:sz w:val="20"/>
        </w:rPr>
        <w:t>)</w:t>
      </w:r>
    </w:p>
    <w:tbl>
      <w:tblPr>
        <w:tblStyle w:val="TableGrid"/>
        <w:tblW w:w="4631" w:type="pct"/>
        <w:tblLook w:val="04A0" w:firstRow="1" w:lastRow="0" w:firstColumn="1" w:lastColumn="0" w:noHBand="0" w:noVBand="1"/>
      </w:tblPr>
      <w:tblGrid>
        <w:gridCol w:w="2999"/>
        <w:gridCol w:w="926"/>
        <w:gridCol w:w="927"/>
        <w:gridCol w:w="927"/>
        <w:gridCol w:w="927"/>
        <w:gridCol w:w="930"/>
        <w:gridCol w:w="927"/>
        <w:gridCol w:w="927"/>
        <w:gridCol w:w="930"/>
        <w:gridCol w:w="927"/>
        <w:gridCol w:w="920"/>
      </w:tblGrid>
      <w:tr w:rsidR="0002160B" w:rsidRPr="00BA0FBF" w:rsidTr="007666C6">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222" w:type="pct"/>
          </w:tcPr>
          <w:p w:rsidR="0002160B" w:rsidRPr="00BA0FBF" w:rsidRDefault="0002160B" w:rsidP="0045532B">
            <w:pPr>
              <w:pStyle w:val="TableHeading"/>
              <w:rPr>
                <w:sz w:val="18"/>
              </w:rPr>
            </w:pPr>
            <w:r w:rsidRPr="00BA0FBF">
              <w:rPr>
                <w:sz w:val="18"/>
              </w:rPr>
              <w:t>($b)</w:t>
            </w:r>
          </w:p>
        </w:tc>
        <w:tc>
          <w:tcPr>
            <w:tcW w:w="377" w:type="pct"/>
          </w:tcPr>
          <w:p w:rsidR="0002160B" w:rsidRPr="00BA0FBF" w:rsidRDefault="000B1326" w:rsidP="00422E1E">
            <w:pPr>
              <w:pStyle w:val="TableHeadingCentred"/>
              <w:cnfStyle w:val="100000000000" w:firstRow="1" w:lastRow="0" w:firstColumn="0" w:lastColumn="0" w:oddVBand="0" w:evenVBand="0" w:oddHBand="0" w:evenHBand="0" w:firstRowFirstColumn="0" w:firstRowLastColumn="0" w:lastRowFirstColumn="0" w:lastRowLastColumn="0"/>
              <w:rPr>
                <w:sz w:val="18"/>
              </w:rPr>
            </w:pPr>
            <w:r>
              <w:rPr>
                <w:sz w:val="18"/>
              </w:rPr>
              <w:t>2017–</w:t>
            </w:r>
            <w:r w:rsidR="0002160B" w:rsidRPr="00BA0FBF">
              <w:rPr>
                <w:sz w:val="18"/>
              </w:rPr>
              <w:t>18</w:t>
            </w:r>
          </w:p>
        </w:tc>
        <w:tc>
          <w:tcPr>
            <w:tcW w:w="378" w:type="pct"/>
          </w:tcPr>
          <w:p w:rsidR="0002160B" w:rsidRPr="00BA0FBF" w:rsidRDefault="000B1326" w:rsidP="00422E1E">
            <w:pPr>
              <w:pStyle w:val="TableHeadingCentred"/>
              <w:cnfStyle w:val="100000000000" w:firstRow="1" w:lastRow="0" w:firstColumn="0" w:lastColumn="0" w:oddVBand="0" w:evenVBand="0" w:oddHBand="0" w:evenHBand="0" w:firstRowFirstColumn="0" w:firstRowLastColumn="0" w:lastRowFirstColumn="0" w:lastRowLastColumn="0"/>
              <w:rPr>
                <w:sz w:val="18"/>
              </w:rPr>
            </w:pPr>
            <w:r>
              <w:rPr>
                <w:sz w:val="18"/>
              </w:rPr>
              <w:t>2018–</w:t>
            </w:r>
            <w:r w:rsidR="0002160B" w:rsidRPr="00BA0FBF">
              <w:rPr>
                <w:sz w:val="18"/>
              </w:rPr>
              <w:t>19</w:t>
            </w:r>
          </w:p>
        </w:tc>
        <w:tc>
          <w:tcPr>
            <w:tcW w:w="378" w:type="pct"/>
          </w:tcPr>
          <w:p w:rsidR="0002160B" w:rsidRPr="00BA0FBF" w:rsidRDefault="000B1326" w:rsidP="00422E1E">
            <w:pPr>
              <w:pStyle w:val="TableHeadingCentred"/>
              <w:cnfStyle w:val="100000000000" w:firstRow="1" w:lastRow="0" w:firstColumn="0" w:lastColumn="0" w:oddVBand="0" w:evenVBand="0" w:oddHBand="0" w:evenHBand="0" w:firstRowFirstColumn="0" w:firstRowLastColumn="0" w:lastRowFirstColumn="0" w:lastRowLastColumn="0"/>
              <w:rPr>
                <w:sz w:val="18"/>
              </w:rPr>
            </w:pPr>
            <w:r>
              <w:rPr>
                <w:sz w:val="18"/>
              </w:rPr>
              <w:t>2019–</w:t>
            </w:r>
            <w:r w:rsidR="0002160B" w:rsidRPr="00BA0FBF">
              <w:rPr>
                <w:sz w:val="18"/>
              </w:rPr>
              <w:t>20</w:t>
            </w:r>
          </w:p>
        </w:tc>
        <w:tc>
          <w:tcPr>
            <w:tcW w:w="378" w:type="pct"/>
          </w:tcPr>
          <w:p w:rsidR="0002160B" w:rsidRPr="00BA0FBF" w:rsidRDefault="000B1326" w:rsidP="00422E1E">
            <w:pPr>
              <w:pStyle w:val="TableHeadingCentred"/>
              <w:cnfStyle w:val="100000000000" w:firstRow="1" w:lastRow="0" w:firstColumn="0" w:lastColumn="0" w:oddVBand="0" w:evenVBand="0" w:oddHBand="0" w:evenHBand="0" w:firstRowFirstColumn="0" w:firstRowLastColumn="0" w:lastRowFirstColumn="0" w:lastRowLastColumn="0"/>
              <w:rPr>
                <w:sz w:val="18"/>
              </w:rPr>
            </w:pPr>
            <w:r>
              <w:rPr>
                <w:sz w:val="18"/>
              </w:rPr>
              <w:t>2020–</w:t>
            </w:r>
            <w:r w:rsidR="0002160B" w:rsidRPr="00BA0FBF">
              <w:rPr>
                <w:sz w:val="18"/>
              </w:rPr>
              <w:t>21</w:t>
            </w:r>
          </w:p>
        </w:tc>
        <w:tc>
          <w:tcPr>
            <w:tcW w:w="379" w:type="pct"/>
          </w:tcPr>
          <w:p w:rsidR="0002160B" w:rsidRPr="00BA0FBF" w:rsidRDefault="000B1326" w:rsidP="00422E1E">
            <w:pPr>
              <w:pStyle w:val="TableHeadingCentred"/>
              <w:cnfStyle w:val="100000000000" w:firstRow="1" w:lastRow="0" w:firstColumn="0" w:lastColumn="0" w:oddVBand="0" w:evenVBand="0" w:oddHBand="0" w:evenHBand="0" w:firstRowFirstColumn="0" w:firstRowLastColumn="0" w:lastRowFirstColumn="0" w:lastRowLastColumn="0"/>
              <w:rPr>
                <w:sz w:val="18"/>
              </w:rPr>
            </w:pPr>
            <w:r>
              <w:rPr>
                <w:sz w:val="18"/>
              </w:rPr>
              <w:t>2021–</w:t>
            </w:r>
            <w:r w:rsidR="0002160B" w:rsidRPr="00BA0FBF">
              <w:rPr>
                <w:sz w:val="18"/>
              </w:rPr>
              <w:t>22</w:t>
            </w:r>
          </w:p>
        </w:tc>
        <w:tc>
          <w:tcPr>
            <w:tcW w:w="378" w:type="pct"/>
          </w:tcPr>
          <w:p w:rsidR="0002160B" w:rsidRPr="00BA0FBF" w:rsidRDefault="000B1326" w:rsidP="00422E1E">
            <w:pPr>
              <w:pStyle w:val="TableHeadingCentred"/>
              <w:cnfStyle w:val="100000000000" w:firstRow="1" w:lastRow="0" w:firstColumn="0" w:lastColumn="0" w:oddVBand="0" w:evenVBand="0" w:oddHBand="0" w:evenHBand="0" w:firstRowFirstColumn="0" w:firstRowLastColumn="0" w:lastRowFirstColumn="0" w:lastRowLastColumn="0"/>
              <w:rPr>
                <w:sz w:val="18"/>
              </w:rPr>
            </w:pPr>
            <w:r>
              <w:rPr>
                <w:sz w:val="18"/>
              </w:rPr>
              <w:t>2022–</w:t>
            </w:r>
            <w:r w:rsidR="0002160B" w:rsidRPr="00BA0FBF">
              <w:rPr>
                <w:sz w:val="18"/>
              </w:rPr>
              <w:t>23</w:t>
            </w:r>
          </w:p>
        </w:tc>
        <w:tc>
          <w:tcPr>
            <w:tcW w:w="378" w:type="pct"/>
          </w:tcPr>
          <w:p w:rsidR="0002160B" w:rsidRPr="00BA0FBF" w:rsidRDefault="000B1326" w:rsidP="00422E1E">
            <w:pPr>
              <w:pStyle w:val="TableHeadingCentred"/>
              <w:cnfStyle w:val="100000000000" w:firstRow="1" w:lastRow="0" w:firstColumn="0" w:lastColumn="0" w:oddVBand="0" w:evenVBand="0" w:oddHBand="0" w:evenHBand="0" w:firstRowFirstColumn="0" w:firstRowLastColumn="0" w:lastRowFirstColumn="0" w:lastRowLastColumn="0"/>
              <w:rPr>
                <w:sz w:val="18"/>
              </w:rPr>
            </w:pPr>
            <w:r>
              <w:rPr>
                <w:sz w:val="18"/>
              </w:rPr>
              <w:t>2023–</w:t>
            </w:r>
            <w:r w:rsidR="0002160B" w:rsidRPr="00BA0FBF">
              <w:rPr>
                <w:sz w:val="18"/>
              </w:rPr>
              <w:t>24</w:t>
            </w:r>
          </w:p>
        </w:tc>
        <w:tc>
          <w:tcPr>
            <w:tcW w:w="379" w:type="pct"/>
          </w:tcPr>
          <w:p w:rsidR="0002160B" w:rsidRPr="00BA0FBF" w:rsidRDefault="000B1326" w:rsidP="00422E1E">
            <w:pPr>
              <w:pStyle w:val="TableHeadingCentred"/>
              <w:cnfStyle w:val="100000000000" w:firstRow="1" w:lastRow="0" w:firstColumn="0" w:lastColumn="0" w:oddVBand="0" w:evenVBand="0" w:oddHBand="0" w:evenHBand="0" w:firstRowFirstColumn="0" w:firstRowLastColumn="0" w:lastRowFirstColumn="0" w:lastRowLastColumn="0"/>
              <w:rPr>
                <w:sz w:val="18"/>
              </w:rPr>
            </w:pPr>
            <w:r>
              <w:rPr>
                <w:sz w:val="18"/>
              </w:rPr>
              <w:t>2024–</w:t>
            </w:r>
            <w:r w:rsidR="0002160B" w:rsidRPr="00BA0FBF">
              <w:rPr>
                <w:sz w:val="18"/>
              </w:rPr>
              <w:t>25</w:t>
            </w:r>
          </w:p>
        </w:tc>
        <w:tc>
          <w:tcPr>
            <w:tcW w:w="378" w:type="pct"/>
          </w:tcPr>
          <w:p w:rsidR="0002160B" w:rsidRPr="00BA0FBF" w:rsidRDefault="000B1326" w:rsidP="00422E1E">
            <w:pPr>
              <w:pStyle w:val="TableHeadingCentred"/>
              <w:cnfStyle w:val="100000000000" w:firstRow="1" w:lastRow="0" w:firstColumn="0" w:lastColumn="0" w:oddVBand="0" w:evenVBand="0" w:oddHBand="0" w:evenHBand="0" w:firstRowFirstColumn="0" w:firstRowLastColumn="0" w:lastRowFirstColumn="0" w:lastRowLastColumn="0"/>
              <w:rPr>
                <w:sz w:val="18"/>
              </w:rPr>
            </w:pPr>
            <w:r>
              <w:rPr>
                <w:sz w:val="18"/>
              </w:rPr>
              <w:t>2025–</w:t>
            </w:r>
            <w:r w:rsidR="0002160B" w:rsidRPr="00BA0FBF">
              <w:rPr>
                <w:sz w:val="18"/>
              </w:rPr>
              <w:t>26</w:t>
            </w:r>
          </w:p>
        </w:tc>
        <w:tc>
          <w:tcPr>
            <w:tcW w:w="375" w:type="pct"/>
          </w:tcPr>
          <w:p w:rsidR="0002160B" w:rsidRPr="00BA0FBF" w:rsidRDefault="0002160B" w:rsidP="00422E1E">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Medium Term</w:t>
            </w:r>
          </w:p>
        </w:tc>
      </w:tr>
      <w:tr w:rsidR="007666C6" w:rsidRPr="00BA0FBF" w:rsidTr="007666C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gridSpan w:val="11"/>
          </w:tcPr>
          <w:p w:rsidR="007666C6" w:rsidRPr="00BA0FBF" w:rsidRDefault="007666C6" w:rsidP="007666C6">
            <w:pPr>
              <w:pStyle w:val="TableTextCentred"/>
              <w:jc w:val="left"/>
              <w:rPr>
                <w:sz w:val="18"/>
              </w:rPr>
            </w:pPr>
            <w:r w:rsidRPr="00BA0FBF">
              <w:rPr>
                <w:b/>
                <w:sz w:val="18"/>
              </w:rPr>
              <w:t>Impact of Rate Change</w:t>
            </w:r>
          </w:p>
        </w:tc>
      </w:tr>
      <w:tr w:rsidR="00391F51" w:rsidRPr="00BA0FBF" w:rsidTr="007666C6">
        <w:trPr>
          <w:cantSplit/>
        </w:trPr>
        <w:tc>
          <w:tcPr>
            <w:cnfStyle w:val="001000000000" w:firstRow="0" w:lastRow="0" w:firstColumn="1" w:lastColumn="0" w:oddVBand="0" w:evenVBand="0" w:oddHBand="0" w:evenHBand="0" w:firstRowFirstColumn="0" w:firstRowLastColumn="0" w:lastRowFirstColumn="0" w:lastRowLastColumn="0"/>
            <w:tcW w:w="1222" w:type="pct"/>
          </w:tcPr>
          <w:p w:rsidR="00391F51" w:rsidRPr="00BA0FBF" w:rsidRDefault="00391F51" w:rsidP="00422E1E">
            <w:pPr>
              <w:pStyle w:val="TableText"/>
              <w:rPr>
                <w:sz w:val="18"/>
              </w:rPr>
            </w:pPr>
            <w:r w:rsidRPr="00BA0FBF">
              <w:rPr>
                <w:sz w:val="18"/>
              </w:rPr>
              <w:t>Increase GST</w:t>
            </w:r>
            <w:r w:rsidR="00471585">
              <w:rPr>
                <w:sz w:val="18"/>
              </w:rPr>
              <w:t xml:space="preserve"> rate</w:t>
            </w:r>
            <w:r w:rsidRPr="00BA0FBF">
              <w:rPr>
                <w:sz w:val="18"/>
              </w:rPr>
              <w:t xml:space="preserve"> to 15 per cent</w:t>
            </w:r>
          </w:p>
        </w:tc>
        <w:tc>
          <w:tcPr>
            <w:tcW w:w="377" w:type="pct"/>
            <w:vAlign w:val="top"/>
          </w:tcPr>
          <w:p w:rsidR="00391F51" w:rsidRPr="00BA0FBF" w:rsidRDefault="00391F51" w:rsidP="00391F51">
            <w:pPr>
              <w:jc w:val="right"/>
              <w:cnfStyle w:val="000000000000" w:firstRow="0" w:lastRow="0" w:firstColumn="0" w:lastColumn="0" w:oddVBand="0" w:evenVBand="0" w:oddHBand="0" w:evenHBand="0" w:firstRowFirstColumn="0" w:firstRowLastColumn="0" w:lastRowFirstColumn="0" w:lastRowLastColumn="0"/>
              <w:rPr>
                <w:sz w:val="18"/>
              </w:rPr>
            </w:pPr>
            <w:r w:rsidRPr="00BA0FBF">
              <w:rPr>
                <w:sz w:val="18"/>
              </w:rPr>
              <w:t>0.0</w:t>
            </w:r>
          </w:p>
        </w:tc>
        <w:tc>
          <w:tcPr>
            <w:tcW w:w="378" w:type="pct"/>
            <w:vAlign w:val="top"/>
          </w:tcPr>
          <w:p w:rsidR="00391F51" w:rsidRPr="00BA0FBF" w:rsidRDefault="00391F51" w:rsidP="00391F51">
            <w:pPr>
              <w:jc w:val="right"/>
              <w:cnfStyle w:val="000000000000" w:firstRow="0" w:lastRow="0" w:firstColumn="0" w:lastColumn="0" w:oddVBand="0" w:evenVBand="0" w:oddHBand="0" w:evenHBand="0" w:firstRowFirstColumn="0" w:firstRowLastColumn="0" w:lastRowFirstColumn="0" w:lastRowLastColumn="0"/>
              <w:rPr>
                <w:sz w:val="18"/>
              </w:rPr>
            </w:pPr>
            <w:r w:rsidRPr="00BA0FBF">
              <w:rPr>
                <w:sz w:val="18"/>
              </w:rPr>
              <w:t>0.0</w:t>
            </w:r>
          </w:p>
        </w:tc>
        <w:tc>
          <w:tcPr>
            <w:tcW w:w="378" w:type="pct"/>
            <w:vAlign w:val="top"/>
          </w:tcPr>
          <w:p w:rsidR="00391F51" w:rsidRPr="00BA0FBF" w:rsidRDefault="00391F51" w:rsidP="00391F51">
            <w:pPr>
              <w:jc w:val="right"/>
              <w:cnfStyle w:val="000000000000" w:firstRow="0" w:lastRow="0" w:firstColumn="0" w:lastColumn="0" w:oddVBand="0" w:evenVBand="0" w:oddHBand="0" w:evenHBand="0" w:firstRowFirstColumn="0" w:firstRowLastColumn="0" w:lastRowFirstColumn="0" w:lastRowLastColumn="0"/>
              <w:rPr>
                <w:sz w:val="18"/>
              </w:rPr>
            </w:pPr>
            <w:r w:rsidRPr="00BA0FBF">
              <w:rPr>
                <w:sz w:val="18"/>
              </w:rPr>
              <w:t>0.0</w:t>
            </w:r>
          </w:p>
        </w:tc>
        <w:tc>
          <w:tcPr>
            <w:tcW w:w="378" w:type="pct"/>
            <w:vAlign w:val="top"/>
          </w:tcPr>
          <w:p w:rsidR="00391F51" w:rsidRPr="00BA0FBF" w:rsidRDefault="00391F51" w:rsidP="00391F51">
            <w:pPr>
              <w:jc w:val="right"/>
              <w:cnfStyle w:val="000000000000" w:firstRow="0" w:lastRow="0" w:firstColumn="0" w:lastColumn="0" w:oddVBand="0" w:evenVBand="0" w:oddHBand="0" w:evenHBand="0" w:firstRowFirstColumn="0" w:firstRowLastColumn="0" w:lastRowFirstColumn="0" w:lastRowLastColumn="0"/>
              <w:rPr>
                <w:sz w:val="18"/>
              </w:rPr>
            </w:pPr>
            <w:r w:rsidRPr="00BA0FBF">
              <w:rPr>
                <w:sz w:val="18"/>
              </w:rPr>
              <w:t>0.0</w:t>
            </w:r>
          </w:p>
        </w:tc>
        <w:tc>
          <w:tcPr>
            <w:tcW w:w="379" w:type="pct"/>
            <w:vAlign w:val="top"/>
          </w:tcPr>
          <w:p w:rsidR="00391F51" w:rsidRPr="00BA0FBF" w:rsidRDefault="00391F51" w:rsidP="00391F51">
            <w:pPr>
              <w:jc w:val="right"/>
              <w:cnfStyle w:val="000000000000" w:firstRow="0" w:lastRow="0" w:firstColumn="0" w:lastColumn="0" w:oddVBand="0" w:evenVBand="0" w:oddHBand="0" w:evenHBand="0" w:firstRowFirstColumn="0" w:firstRowLastColumn="0" w:lastRowFirstColumn="0" w:lastRowLastColumn="0"/>
              <w:rPr>
                <w:sz w:val="18"/>
              </w:rPr>
            </w:pPr>
            <w:r w:rsidRPr="00BA0FBF">
              <w:rPr>
                <w:sz w:val="18"/>
              </w:rPr>
              <w:t>0.0</w:t>
            </w:r>
          </w:p>
        </w:tc>
        <w:tc>
          <w:tcPr>
            <w:tcW w:w="378" w:type="pct"/>
            <w:vAlign w:val="top"/>
          </w:tcPr>
          <w:p w:rsidR="00391F51" w:rsidRPr="00BA0FBF" w:rsidRDefault="00391F51" w:rsidP="00391F51">
            <w:pPr>
              <w:jc w:val="right"/>
              <w:cnfStyle w:val="000000000000" w:firstRow="0" w:lastRow="0" w:firstColumn="0" w:lastColumn="0" w:oddVBand="0" w:evenVBand="0" w:oddHBand="0" w:evenHBand="0" w:firstRowFirstColumn="0" w:firstRowLastColumn="0" w:lastRowFirstColumn="0" w:lastRowLastColumn="0"/>
              <w:rPr>
                <w:sz w:val="18"/>
              </w:rPr>
            </w:pPr>
            <w:r w:rsidRPr="00BA0FBF">
              <w:rPr>
                <w:sz w:val="18"/>
              </w:rPr>
              <w:t>0.0</w:t>
            </w:r>
          </w:p>
        </w:tc>
        <w:tc>
          <w:tcPr>
            <w:tcW w:w="378" w:type="pct"/>
            <w:vAlign w:val="top"/>
          </w:tcPr>
          <w:p w:rsidR="00391F51" w:rsidRPr="00BA0FBF" w:rsidRDefault="00391F51" w:rsidP="00391F51">
            <w:pPr>
              <w:jc w:val="right"/>
              <w:cnfStyle w:val="000000000000" w:firstRow="0" w:lastRow="0" w:firstColumn="0" w:lastColumn="0" w:oddVBand="0" w:evenVBand="0" w:oddHBand="0" w:evenHBand="0" w:firstRowFirstColumn="0" w:firstRowLastColumn="0" w:lastRowFirstColumn="0" w:lastRowLastColumn="0"/>
              <w:rPr>
                <w:sz w:val="18"/>
              </w:rPr>
            </w:pPr>
            <w:r w:rsidRPr="00BA0FBF">
              <w:rPr>
                <w:sz w:val="18"/>
              </w:rPr>
              <w:t>0.0</w:t>
            </w:r>
          </w:p>
        </w:tc>
        <w:tc>
          <w:tcPr>
            <w:tcW w:w="379" w:type="pct"/>
            <w:vAlign w:val="top"/>
          </w:tcPr>
          <w:p w:rsidR="00391F51" w:rsidRPr="00BA0FBF" w:rsidRDefault="00391F51" w:rsidP="00391F51">
            <w:pPr>
              <w:jc w:val="right"/>
              <w:cnfStyle w:val="000000000000" w:firstRow="0" w:lastRow="0" w:firstColumn="0" w:lastColumn="0" w:oddVBand="0" w:evenVBand="0" w:oddHBand="0" w:evenHBand="0" w:firstRowFirstColumn="0" w:firstRowLastColumn="0" w:lastRowFirstColumn="0" w:lastRowLastColumn="0"/>
              <w:rPr>
                <w:sz w:val="18"/>
              </w:rPr>
            </w:pPr>
            <w:r w:rsidRPr="00BA0FBF">
              <w:rPr>
                <w:sz w:val="18"/>
              </w:rPr>
              <w:t>0.0</w:t>
            </w:r>
          </w:p>
        </w:tc>
        <w:tc>
          <w:tcPr>
            <w:tcW w:w="378" w:type="pct"/>
            <w:vAlign w:val="top"/>
          </w:tcPr>
          <w:p w:rsidR="00391F51" w:rsidRPr="00BA0FBF" w:rsidRDefault="00391F51" w:rsidP="00391F51">
            <w:pPr>
              <w:jc w:val="right"/>
              <w:cnfStyle w:val="000000000000" w:firstRow="0" w:lastRow="0" w:firstColumn="0" w:lastColumn="0" w:oddVBand="0" w:evenVBand="0" w:oddHBand="0" w:evenHBand="0" w:firstRowFirstColumn="0" w:firstRowLastColumn="0" w:lastRowFirstColumn="0" w:lastRowLastColumn="0"/>
              <w:rPr>
                <w:sz w:val="18"/>
              </w:rPr>
            </w:pPr>
            <w:r w:rsidRPr="00BA0FBF">
              <w:rPr>
                <w:sz w:val="18"/>
              </w:rPr>
              <w:t>0.0</w:t>
            </w:r>
          </w:p>
        </w:tc>
        <w:tc>
          <w:tcPr>
            <w:tcW w:w="375" w:type="pct"/>
            <w:vAlign w:val="top"/>
          </w:tcPr>
          <w:p w:rsidR="00391F51" w:rsidRPr="00BA0FBF" w:rsidRDefault="00391F51" w:rsidP="00391F51">
            <w:pPr>
              <w:jc w:val="right"/>
              <w:cnfStyle w:val="000000000000" w:firstRow="0" w:lastRow="0" w:firstColumn="0" w:lastColumn="0" w:oddVBand="0" w:evenVBand="0" w:oddHBand="0" w:evenHBand="0" w:firstRowFirstColumn="0" w:firstRowLastColumn="0" w:lastRowFirstColumn="0" w:lastRowLastColumn="0"/>
              <w:rPr>
                <w:sz w:val="18"/>
              </w:rPr>
            </w:pPr>
            <w:r w:rsidRPr="00BA0FBF">
              <w:rPr>
                <w:sz w:val="18"/>
              </w:rPr>
              <w:t>0.0</w:t>
            </w:r>
          </w:p>
        </w:tc>
      </w:tr>
      <w:tr w:rsidR="007666C6" w:rsidRPr="00BA0FBF" w:rsidTr="007666C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gridSpan w:val="11"/>
          </w:tcPr>
          <w:p w:rsidR="007666C6" w:rsidRPr="00BA0FBF" w:rsidRDefault="007666C6" w:rsidP="007666C6">
            <w:pPr>
              <w:rPr>
                <w:sz w:val="18"/>
              </w:rPr>
            </w:pPr>
            <w:r w:rsidRPr="00BA0FBF">
              <w:rPr>
                <w:b/>
                <w:sz w:val="18"/>
              </w:rPr>
              <w:t>Impact of Base Change</w:t>
            </w:r>
          </w:p>
        </w:tc>
      </w:tr>
      <w:tr w:rsidR="00A76698" w:rsidRPr="00BA0FBF" w:rsidTr="007666C6">
        <w:trPr>
          <w:cantSplit/>
        </w:trPr>
        <w:tc>
          <w:tcPr>
            <w:cnfStyle w:val="001000000000" w:firstRow="0" w:lastRow="0" w:firstColumn="1" w:lastColumn="0" w:oddVBand="0" w:evenVBand="0" w:oddHBand="0" w:evenHBand="0" w:firstRowFirstColumn="0" w:firstRowLastColumn="0" w:lastRowFirstColumn="0" w:lastRowLastColumn="0"/>
            <w:tcW w:w="1222" w:type="pct"/>
          </w:tcPr>
          <w:p w:rsidR="00A76698" w:rsidRPr="00BA0FBF" w:rsidRDefault="00A76698" w:rsidP="000738D4">
            <w:pPr>
              <w:pStyle w:val="TableText"/>
              <w:rPr>
                <w:sz w:val="18"/>
              </w:rPr>
            </w:pPr>
            <w:r w:rsidRPr="00BA0FBF">
              <w:rPr>
                <w:sz w:val="18"/>
              </w:rPr>
              <w:t>Basic Food</w:t>
            </w:r>
          </w:p>
        </w:tc>
        <w:tc>
          <w:tcPr>
            <w:tcW w:w="377" w:type="pct"/>
            <w:vAlign w:val="top"/>
          </w:tcPr>
          <w:p w:rsidR="00A76698" w:rsidRPr="00BA0FBF" w:rsidRDefault="00A76698" w:rsidP="007666C6">
            <w:pPr>
              <w:jc w:val="right"/>
              <w:cnfStyle w:val="000000000000" w:firstRow="0" w:lastRow="0" w:firstColumn="0" w:lastColumn="0" w:oddVBand="0" w:evenVBand="0" w:oddHBand="0" w:evenHBand="0" w:firstRowFirstColumn="0" w:firstRowLastColumn="0" w:lastRowFirstColumn="0" w:lastRowLastColumn="0"/>
              <w:rPr>
                <w:sz w:val="18"/>
              </w:rPr>
            </w:pPr>
            <w:r w:rsidRPr="00BA0FBF">
              <w:rPr>
                <w:sz w:val="18"/>
              </w:rPr>
              <w:t>7.2</w:t>
            </w:r>
          </w:p>
        </w:tc>
        <w:tc>
          <w:tcPr>
            <w:tcW w:w="378" w:type="pct"/>
            <w:vAlign w:val="top"/>
          </w:tcPr>
          <w:p w:rsidR="00A76698" w:rsidRPr="00BA0FBF" w:rsidRDefault="00A76698" w:rsidP="007666C6">
            <w:pPr>
              <w:jc w:val="right"/>
              <w:cnfStyle w:val="000000000000" w:firstRow="0" w:lastRow="0" w:firstColumn="0" w:lastColumn="0" w:oddVBand="0" w:evenVBand="0" w:oddHBand="0" w:evenHBand="0" w:firstRowFirstColumn="0" w:firstRowLastColumn="0" w:lastRowFirstColumn="0" w:lastRowLastColumn="0"/>
              <w:rPr>
                <w:sz w:val="18"/>
              </w:rPr>
            </w:pPr>
            <w:r w:rsidRPr="00BA0FBF">
              <w:rPr>
                <w:sz w:val="18"/>
              </w:rPr>
              <w:t>7.5</w:t>
            </w:r>
          </w:p>
        </w:tc>
        <w:tc>
          <w:tcPr>
            <w:tcW w:w="378" w:type="pct"/>
            <w:vAlign w:val="top"/>
          </w:tcPr>
          <w:p w:rsidR="00A76698" w:rsidRPr="00BA0FBF" w:rsidRDefault="00A76698" w:rsidP="007666C6">
            <w:pPr>
              <w:jc w:val="right"/>
              <w:cnfStyle w:val="000000000000" w:firstRow="0" w:lastRow="0" w:firstColumn="0" w:lastColumn="0" w:oddVBand="0" w:evenVBand="0" w:oddHBand="0" w:evenHBand="0" w:firstRowFirstColumn="0" w:firstRowLastColumn="0" w:lastRowFirstColumn="0" w:lastRowLastColumn="0"/>
              <w:rPr>
                <w:sz w:val="18"/>
              </w:rPr>
            </w:pPr>
            <w:r w:rsidRPr="00BA0FBF">
              <w:rPr>
                <w:sz w:val="18"/>
              </w:rPr>
              <w:t>7.8</w:t>
            </w:r>
          </w:p>
        </w:tc>
        <w:tc>
          <w:tcPr>
            <w:tcW w:w="378" w:type="pct"/>
            <w:vAlign w:val="top"/>
          </w:tcPr>
          <w:p w:rsidR="00A76698" w:rsidRPr="00BA0FBF" w:rsidRDefault="00A76698" w:rsidP="007666C6">
            <w:pPr>
              <w:jc w:val="right"/>
              <w:cnfStyle w:val="000000000000" w:firstRow="0" w:lastRow="0" w:firstColumn="0" w:lastColumn="0" w:oddVBand="0" w:evenVBand="0" w:oddHBand="0" w:evenHBand="0" w:firstRowFirstColumn="0" w:firstRowLastColumn="0" w:lastRowFirstColumn="0" w:lastRowLastColumn="0"/>
              <w:rPr>
                <w:sz w:val="18"/>
              </w:rPr>
            </w:pPr>
            <w:r w:rsidRPr="00BA0FBF">
              <w:rPr>
                <w:sz w:val="18"/>
              </w:rPr>
              <w:t>8.2</w:t>
            </w:r>
          </w:p>
        </w:tc>
        <w:tc>
          <w:tcPr>
            <w:tcW w:w="379" w:type="pct"/>
            <w:vAlign w:val="top"/>
          </w:tcPr>
          <w:p w:rsidR="00A76698" w:rsidRPr="00BA0FBF" w:rsidRDefault="00A76698" w:rsidP="007666C6">
            <w:pPr>
              <w:jc w:val="right"/>
              <w:cnfStyle w:val="000000000000" w:firstRow="0" w:lastRow="0" w:firstColumn="0" w:lastColumn="0" w:oddVBand="0" w:evenVBand="0" w:oddHBand="0" w:evenHBand="0" w:firstRowFirstColumn="0" w:firstRowLastColumn="0" w:lastRowFirstColumn="0" w:lastRowLastColumn="0"/>
              <w:rPr>
                <w:sz w:val="18"/>
              </w:rPr>
            </w:pPr>
            <w:r w:rsidRPr="00BA0FBF">
              <w:rPr>
                <w:sz w:val="18"/>
              </w:rPr>
              <w:t>8.5</w:t>
            </w:r>
          </w:p>
        </w:tc>
        <w:tc>
          <w:tcPr>
            <w:tcW w:w="378" w:type="pct"/>
            <w:vAlign w:val="top"/>
          </w:tcPr>
          <w:p w:rsidR="00A76698" w:rsidRPr="00BA0FBF" w:rsidRDefault="00A76698" w:rsidP="007666C6">
            <w:pPr>
              <w:jc w:val="right"/>
              <w:cnfStyle w:val="000000000000" w:firstRow="0" w:lastRow="0" w:firstColumn="0" w:lastColumn="0" w:oddVBand="0" w:evenVBand="0" w:oddHBand="0" w:evenHBand="0" w:firstRowFirstColumn="0" w:firstRowLastColumn="0" w:lastRowFirstColumn="0" w:lastRowLastColumn="0"/>
              <w:rPr>
                <w:sz w:val="18"/>
              </w:rPr>
            </w:pPr>
            <w:r w:rsidRPr="00BA0FBF">
              <w:rPr>
                <w:sz w:val="18"/>
              </w:rPr>
              <w:t>8.9</w:t>
            </w:r>
          </w:p>
        </w:tc>
        <w:tc>
          <w:tcPr>
            <w:tcW w:w="378" w:type="pct"/>
            <w:vAlign w:val="top"/>
          </w:tcPr>
          <w:p w:rsidR="00A76698" w:rsidRPr="00BA0FBF" w:rsidRDefault="00A76698" w:rsidP="007666C6">
            <w:pPr>
              <w:jc w:val="right"/>
              <w:cnfStyle w:val="000000000000" w:firstRow="0" w:lastRow="0" w:firstColumn="0" w:lastColumn="0" w:oddVBand="0" w:evenVBand="0" w:oddHBand="0" w:evenHBand="0" w:firstRowFirstColumn="0" w:firstRowLastColumn="0" w:lastRowFirstColumn="0" w:lastRowLastColumn="0"/>
              <w:rPr>
                <w:sz w:val="18"/>
              </w:rPr>
            </w:pPr>
            <w:r w:rsidRPr="00BA0FBF">
              <w:rPr>
                <w:sz w:val="18"/>
              </w:rPr>
              <w:t>9.3</w:t>
            </w:r>
          </w:p>
        </w:tc>
        <w:tc>
          <w:tcPr>
            <w:tcW w:w="379" w:type="pct"/>
            <w:vAlign w:val="top"/>
          </w:tcPr>
          <w:p w:rsidR="00A76698" w:rsidRPr="00BA0FBF" w:rsidRDefault="00A76698" w:rsidP="007666C6">
            <w:pPr>
              <w:jc w:val="right"/>
              <w:cnfStyle w:val="000000000000" w:firstRow="0" w:lastRow="0" w:firstColumn="0" w:lastColumn="0" w:oddVBand="0" w:evenVBand="0" w:oddHBand="0" w:evenHBand="0" w:firstRowFirstColumn="0" w:firstRowLastColumn="0" w:lastRowFirstColumn="0" w:lastRowLastColumn="0"/>
              <w:rPr>
                <w:sz w:val="18"/>
              </w:rPr>
            </w:pPr>
            <w:r w:rsidRPr="00BA0FBF">
              <w:rPr>
                <w:sz w:val="18"/>
              </w:rPr>
              <w:t>9.7</w:t>
            </w:r>
          </w:p>
        </w:tc>
        <w:tc>
          <w:tcPr>
            <w:tcW w:w="378" w:type="pct"/>
            <w:vAlign w:val="top"/>
          </w:tcPr>
          <w:p w:rsidR="00A76698" w:rsidRPr="00BA0FBF" w:rsidRDefault="00A76698" w:rsidP="007666C6">
            <w:pPr>
              <w:jc w:val="right"/>
              <w:cnfStyle w:val="000000000000" w:firstRow="0" w:lastRow="0" w:firstColumn="0" w:lastColumn="0" w:oddVBand="0" w:evenVBand="0" w:oddHBand="0" w:evenHBand="0" w:firstRowFirstColumn="0" w:firstRowLastColumn="0" w:lastRowFirstColumn="0" w:lastRowLastColumn="0"/>
              <w:rPr>
                <w:sz w:val="18"/>
              </w:rPr>
            </w:pPr>
            <w:r w:rsidRPr="00BA0FBF">
              <w:rPr>
                <w:sz w:val="18"/>
              </w:rPr>
              <w:t>10.1</w:t>
            </w:r>
          </w:p>
        </w:tc>
        <w:tc>
          <w:tcPr>
            <w:tcW w:w="375" w:type="pct"/>
            <w:vAlign w:val="top"/>
          </w:tcPr>
          <w:p w:rsidR="00A76698" w:rsidRPr="00BA0FBF" w:rsidRDefault="00A76698" w:rsidP="007666C6">
            <w:pPr>
              <w:jc w:val="right"/>
              <w:cnfStyle w:val="000000000000" w:firstRow="0" w:lastRow="0" w:firstColumn="0" w:lastColumn="0" w:oddVBand="0" w:evenVBand="0" w:oddHBand="0" w:evenHBand="0" w:firstRowFirstColumn="0" w:firstRowLastColumn="0" w:lastRowFirstColumn="0" w:lastRowLastColumn="0"/>
              <w:rPr>
                <w:sz w:val="18"/>
              </w:rPr>
            </w:pPr>
            <w:r w:rsidRPr="00BA0FBF">
              <w:rPr>
                <w:sz w:val="18"/>
              </w:rPr>
              <w:t>77.2</w:t>
            </w:r>
          </w:p>
        </w:tc>
      </w:tr>
      <w:tr w:rsidR="00417654" w:rsidRPr="00BA0FBF" w:rsidTr="007666C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22" w:type="pct"/>
          </w:tcPr>
          <w:p w:rsidR="00417654" w:rsidRPr="00BA0FBF" w:rsidRDefault="00417654" w:rsidP="00C259BC">
            <w:pPr>
              <w:pStyle w:val="TableText"/>
              <w:rPr>
                <w:sz w:val="18"/>
              </w:rPr>
            </w:pPr>
            <w:r w:rsidRPr="00BA0FBF">
              <w:rPr>
                <w:sz w:val="18"/>
              </w:rPr>
              <w:t>Health and Medical Care</w:t>
            </w:r>
          </w:p>
        </w:tc>
        <w:tc>
          <w:tcPr>
            <w:tcW w:w="377" w:type="pct"/>
            <w:vAlign w:val="top"/>
          </w:tcPr>
          <w:p w:rsidR="00417654" w:rsidRPr="00BA0FBF" w:rsidRDefault="00417654" w:rsidP="007666C6">
            <w:pPr>
              <w:jc w:val="right"/>
              <w:cnfStyle w:val="000000100000" w:firstRow="0" w:lastRow="0" w:firstColumn="0" w:lastColumn="0" w:oddVBand="0" w:evenVBand="0" w:oddHBand="1" w:evenHBand="0" w:firstRowFirstColumn="0" w:firstRowLastColumn="0" w:lastRowFirstColumn="0" w:lastRowLastColumn="0"/>
              <w:rPr>
                <w:sz w:val="18"/>
              </w:rPr>
            </w:pPr>
            <w:r w:rsidRPr="00BA0FBF">
              <w:rPr>
                <w:sz w:val="18"/>
              </w:rPr>
              <w:t>6.4</w:t>
            </w:r>
          </w:p>
        </w:tc>
        <w:tc>
          <w:tcPr>
            <w:tcW w:w="378" w:type="pct"/>
            <w:vAlign w:val="top"/>
          </w:tcPr>
          <w:p w:rsidR="00417654" w:rsidRPr="00BA0FBF" w:rsidRDefault="00417654" w:rsidP="007666C6">
            <w:pPr>
              <w:jc w:val="right"/>
              <w:cnfStyle w:val="000000100000" w:firstRow="0" w:lastRow="0" w:firstColumn="0" w:lastColumn="0" w:oddVBand="0" w:evenVBand="0" w:oddHBand="1" w:evenHBand="0" w:firstRowFirstColumn="0" w:firstRowLastColumn="0" w:lastRowFirstColumn="0" w:lastRowLastColumn="0"/>
              <w:rPr>
                <w:sz w:val="18"/>
              </w:rPr>
            </w:pPr>
            <w:r w:rsidRPr="00BA0FBF">
              <w:rPr>
                <w:sz w:val="18"/>
              </w:rPr>
              <w:t>6.9</w:t>
            </w:r>
          </w:p>
        </w:tc>
        <w:tc>
          <w:tcPr>
            <w:tcW w:w="378" w:type="pct"/>
            <w:vAlign w:val="top"/>
          </w:tcPr>
          <w:p w:rsidR="00417654" w:rsidRPr="00BA0FBF" w:rsidRDefault="00417654" w:rsidP="007666C6">
            <w:pPr>
              <w:jc w:val="right"/>
              <w:cnfStyle w:val="000000100000" w:firstRow="0" w:lastRow="0" w:firstColumn="0" w:lastColumn="0" w:oddVBand="0" w:evenVBand="0" w:oddHBand="1" w:evenHBand="0" w:firstRowFirstColumn="0" w:firstRowLastColumn="0" w:lastRowFirstColumn="0" w:lastRowLastColumn="0"/>
              <w:rPr>
                <w:sz w:val="18"/>
              </w:rPr>
            </w:pPr>
            <w:r w:rsidRPr="00BA0FBF">
              <w:rPr>
                <w:sz w:val="18"/>
              </w:rPr>
              <w:t>7.4</w:t>
            </w:r>
          </w:p>
        </w:tc>
        <w:tc>
          <w:tcPr>
            <w:tcW w:w="378" w:type="pct"/>
            <w:vAlign w:val="top"/>
          </w:tcPr>
          <w:p w:rsidR="00417654" w:rsidRPr="00BA0FBF" w:rsidRDefault="00417654" w:rsidP="007666C6">
            <w:pPr>
              <w:jc w:val="right"/>
              <w:cnfStyle w:val="000000100000" w:firstRow="0" w:lastRow="0" w:firstColumn="0" w:lastColumn="0" w:oddVBand="0" w:evenVBand="0" w:oddHBand="1" w:evenHBand="0" w:firstRowFirstColumn="0" w:firstRowLastColumn="0" w:lastRowFirstColumn="0" w:lastRowLastColumn="0"/>
              <w:rPr>
                <w:sz w:val="18"/>
              </w:rPr>
            </w:pPr>
            <w:r w:rsidRPr="00BA0FBF">
              <w:rPr>
                <w:sz w:val="18"/>
              </w:rPr>
              <w:t>7.9</w:t>
            </w:r>
          </w:p>
        </w:tc>
        <w:tc>
          <w:tcPr>
            <w:tcW w:w="379" w:type="pct"/>
            <w:vAlign w:val="top"/>
          </w:tcPr>
          <w:p w:rsidR="00417654" w:rsidRPr="00BA0FBF" w:rsidRDefault="00417654" w:rsidP="007666C6">
            <w:pPr>
              <w:jc w:val="right"/>
              <w:cnfStyle w:val="000000100000" w:firstRow="0" w:lastRow="0" w:firstColumn="0" w:lastColumn="0" w:oddVBand="0" w:evenVBand="0" w:oddHBand="1" w:evenHBand="0" w:firstRowFirstColumn="0" w:firstRowLastColumn="0" w:lastRowFirstColumn="0" w:lastRowLastColumn="0"/>
              <w:rPr>
                <w:sz w:val="18"/>
              </w:rPr>
            </w:pPr>
            <w:r w:rsidRPr="00BA0FBF">
              <w:rPr>
                <w:sz w:val="18"/>
              </w:rPr>
              <w:t>8.5</w:t>
            </w:r>
          </w:p>
        </w:tc>
        <w:tc>
          <w:tcPr>
            <w:tcW w:w="378" w:type="pct"/>
            <w:vAlign w:val="top"/>
          </w:tcPr>
          <w:p w:rsidR="00417654" w:rsidRPr="00BA0FBF" w:rsidRDefault="00417654" w:rsidP="007666C6">
            <w:pPr>
              <w:jc w:val="right"/>
              <w:cnfStyle w:val="000000100000" w:firstRow="0" w:lastRow="0" w:firstColumn="0" w:lastColumn="0" w:oddVBand="0" w:evenVBand="0" w:oddHBand="1" w:evenHBand="0" w:firstRowFirstColumn="0" w:firstRowLastColumn="0" w:lastRowFirstColumn="0" w:lastRowLastColumn="0"/>
              <w:rPr>
                <w:sz w:val="18"/>
              </w:rPr>
            </w:pPr>
            <w:r w:rsidRPr="00BA0FBF">
              <w:rPr>
                <w:sz w:val="18"/>
              </w:rPr>
              <w:t>9.1</w:t>
            </w:r>
          </w:p>
        </w:tc>
        <w:tc>
          <w:tcPr>
            <w:tcW w:w="378" w:type="pct"/>
            <w:vAlign w:val="top"/>
          </w:tcPr>
          <w:p w:rsidR="00417654" w:rsidRPr="00BA0FBF" w:rsidRDefault="00417654" w:rsidP="007666C6">
            <w:pPr>
              <w:jc w:val="right"/>
              <w:cnfStyle w:val="000000100000" w:firstRow="0" w:lastRow="0" w:firstColumn="0" w:lastColumn="0" w:oddVBand="0" w:evenVBand="0" w:oddHBand="1" w:evenHBand="0" w:firstRowFirstColumn="0" w:firstRowLastColumn="0" w:lastRowFirstColumn="0" w:lastRowLastColumn="0"/>
              <w:rPr>
                <w:sz w:val="18"/>
              </w:rPr>
            </w:pPr>
            <w:r w:rsidRPr="00BA0FBF">
              <w:rPr>
                <w:sz w:val="18"/>
              </w:rPr>
              <w:t>9.7</w:t>
            </w:r>
          </w:p>
        </w:tc>
        <w:tc>
          <w:tcPr>
            <w:tcW w:w="379" w:type="pct"/>
            <w:vAlign w:val="top"/>
          </w:tcPr>
          <w:p w:rsidR="00417654" w:rsidRPr="00BA0FBF" w:rsidRDefault="00417654" w:rsidP="007666C6">
            <w:pPr>
              <w:jc w:val="right"/>
              <w:cnfStyle w:val="000000100000" w:firstRow="0" w:lastRow="0" w:firstColumn="0" w:lastColumn="0" w:oddVBand="0" w:evenVBand="0" w:oddHBand="1" w:evenHBand="0" w:firstRowFirstColumn="0" w:firstRowLastColumn="0" w:lastRowFirstColumn="0" w:lastRowLastColumn="0"/>
              <w:rPr>
                <w:sz w:val="18"/>
              </w:rPr>
            </w:pPr>
            <w:r w:rsidRPr="00BA0FBF">
              <w:rPr>
                <w:sz w:val="18"/>
              </w:rPr>
              <w:t>10.4</w:t>
            </w:r>
          </w:p>
        </w:tc>
        <w:tc>
          <w:tcPr>
            <w:tcW w:w="378" w:type="pct"/>
            <w:vAlign w:val="top"/>
          </w:tcPr>
          <w:p w:rsidR="00417654" w:rsidRPr="00BA0FBF" w:rsidRDefault="00417654" w:rsidP="007666C6">
            <w:pPr>
              <w:jc w:val="right"/>
              <w:cnfStyle w:val="000000100000" w:firstRow="0" w:lastRow="0" w:firstColumn="0" w:lastColumn="0" w:oddVBand="0" w:evenVBand="0" w:oddHBand="1" w:evenHBand="0" w:firstRowFirstColumn="0" w:firstRowLastColumn="0" w:lastRowFirstColumn="0" w:lastRowLastColumn="0"/>
              <w:rPr>
                <w:sz w:val="18"/>
              </w:rPr>
            </w:pPr>
            <w:r w:rsidRPr="00BA0FBF">
              <w:rPr>
                <w:sz w:val="18"/>
              </w:rPr>
              <w:t>11.2</w:t>
            </w:r>
          </w:p>
        </w:tc>
        <w:tc>
          <w:tcPr>
            <w:tcW w:w="375" w:type="pct"/>
            <w:vAlign w:val="top"/>
          </w:tcPr>
          <w:p w:rsidR="00417654" w:rsidRPr="00BA0FBF" w:rsidRDefault="00417654" w:rsidP="007666C6">
            <w:pPr>
              <w:jc w:val="right"/>
              <w:cnfStyle w:val="000000100000" w:firstRow="0" w:lastRow="0" w:firstColumn="0" w:lastColumn="0" w:oddVBand="0" w:evenVBand="0" w:oddHBand="1" w:evenHBand="0" w:firstRowFirstColumn="0" w:firstRowLastColumn="0" w:lastRowFirstColumn="0" w:lastRowLastColumn="0"/>
              <w:rPr>
                <w:sz w:val="18"/>
              </w:rPr>
            </w:pPr>
            <w:r w:rsidRPr="00BA0FBF">
              <w:rPr>
                <w:sz w:val="18"/>
              </w:rPr>
              <w:t>77.5</w:t>
            </w:r>
          </w:p>
        </w:tc>
      </w:tr>
      <w:tr w:rsidR="00417654" w:rsidRPr="00BA0FBF" w:rsidTr="007666C6">
        <w:trPr>
          <w:cantSplit/>
        </w:trPr>
        <w:tc>
          <w:tcPr>
            <w:cnfStyle w:val="001000000000" w:firstRow="0" w:lastRow="0" w:firstColumn="1" w:lastColumn="0" w:oddVBand="0" w:evenVBand="0" w:oddHBand="0" w:evenHBand="0" w:firstRowFirstColumn="0" w:firstRowLastColumn="0" w:lastRowFirstColumn="0" w:lastRowLastColumn="0"/>
            <w:tcW w:w="1222" w:type="pct"/>
          </w:tcPr>
          <w:p w:rsidR="00417654" w:rsidRPr="00BA0FBF" w:rsidRDefault="00417654" w:rsidP="00C259BC">
            <w:pPr>
              <w:pStyle w:val="TableText"/>
              <w:rPr>
                <w:sz w:val="18"/>
              </w:rPr>
            </w:pPr>
            <w:r w:rsidRPr="00BA0FBF">
              <w:rPr>
                <w:sz w:val="18"/>
              </w:rPr>
              <w:t>Education</w:t>
            </w:r>
          </w:p>
        </w:tc>
        <w:tc>
          <w:tcPr>
            <w:tcW w:w="377" w:type="pct"/>
            <w:vAlign w:val="top"/>
          </w:tcPr>
          <w:p w:rsidR="00417654" w:rsidRPr="00BA0FBF" w:rsidRDefault="00417654" w:rsidP="00C259BC">
            <w:pPr>
              <w:jc w:val="right"/>
              <w:cnfStyle w:val="000000000000" w:firstRow="0" w:lastRow="0" w:firstColumn="0" w:lastColumn="0" w:oddVBand="0" w:evenVBand="0" w:oddHBand="0" w:evenHBand="0" w:firstRowFirstColumn="0" w:firstRowLastColumn="0" w:lastRowFirstColumn="0" w:lastRowLastColumn="0"/>
              <w:rPr>
                <w:sz w:val="18"/>
              </w:rPr>
            </w:pPr>
            <w:r w:rsidRPr="00BA0FBF">
              <w:rPr>
                <w:sz w:val="18"/>
              </w:rPr>
              <w:t>4.9</w:t>
            </w:r>
          </w:p>
        </w:tc>
        <w:tc>
          <w:tcPr>
            <w:tcW w:w="378" w:type="pct"/>
            <w:vAlign w:val="top"/>
          </w:tcPr>
          <w:p w:rsidR="00417654" w:rsidRPr="00BA0FBF" w:rsidRDefault="00417654" w:rsidP="00C259BC">
            <w:pPr>
              <w:jc w:val="right"/>
              <w:cnfStyle w:val="000000000000" w:firstRow="0" w:lastRow="0" w:firstColumn="0" w:lastColumn="0" w:oddVBand="0" w:evenVBand="0" w:oddHBand="0" w:evenHBand="0" w:firstRowFirstColumn="0" w:firstRowLastColumn="0" w:lastRowFirstColumn="0" w:lastRowLastColumn="0"/>
              <w:rPr>
                <w:sz w:val="18"/>
              </w:rPr>
            </w:pPr>
            <w:r w:rsidRPr="00BA0FBF">
              <w:rPr>
                <w:sz w:val="18"/>
              </w:rPr>
              <w:t>5.3</w:t>
            </w:r>
          </w:p>
        </w:tc>
        <w:tc>
          <w:tcPr>
            <w:tcW w:w="378" w:type="pct"/>
            <w:vAlign w:val="top"/>
          </w:tcPr>
          <w:p w:rsidR="00417654" w:rsidRPr="00BA0FBF" w:rsidRDefault="00417654" w:rsidP="00C259BC">
            <w:pPr>
              <w:jc w:val="right"/>
              <w:cnfStyle w:val="000000000000" w:firstRow="0" w:lastRow="0" w:firstColumn="0" w:lastColumn="0" w:oddVBand="0" w:evenVBand="0" w:oddHBand="0" w:evenHBand="0" w:firstRowFirstColumn="0" w:firstRowLastColumn="0" w:lastRowFirstColumn="0" w:lastRowLastColumn="0"/>
              <w:rPr>
                <w:sz w:val="18"/>
              </w:rPr>
            </w:pPr>
            <w:r w:rsidRPr="00BA0FBF">
              <w:rPr>
                <w:sz w:val="18"/>
              </w:rPr>
              <w:t>5.8</w:t>
            </w:r>
          </w:p>
        </w:tc>
        <w:tc>
          <w:tcPr>
            <w:tcW w:w="378" w:type="pct"/>
            <w:vAlign w:val="top"/>
          </w:tcPr>
          <w:p w:rsidR="00417654" w:rsidRPr="00BA0FBF" w:rsidRDefault="00417654" w:rsidP="00C259BC">
            <w:pPr>
              <w:jc w:val="right"/>
              <w:cnfStyle w:val="000000000000" w:firstRow="0" w:lastRow="0" w:firstColumn="0" w:lastColumn="0" w:oddVBand="0" w:evenVBand="0" w:oddHBand="0" w:evenHBand="0" w:firstRowFirstColumn="0" w:firstRowLastColumn="0" w:lastRowFirstColumn="0" w:lastRowLastColumn="0"/>
              <w:rPr>
                <w:sz w:val="18"/>
              </w:rPr>
            </w:pPr>
            <w:r w:rsidRPr="00BA0FBF">
              <w:rPr>
                <w:sz w:val="18"/>
              </w:rPr>
              <w:t>6.3</w:t>
            </w:r>
          </w:p>
        </w:tc>
        <w:tc>
          <w:tcPr>
            <w:tcW w:w="379" w:type="pct"/>
            <w:vAlign w:val="top"/>
          </w:tcPr>
          <w:p w:rsidR="00417654" w:rsidRPr="00BA0FBF" w:rsidRDefault="00417654" w:rsidP="00C259BC">
            <w:pPr>
              <w:jc w:val="right"/>
              <w:cnfStyle w:val="000000000000" w:firstRow="0" w:lastRow="0" w:firstColumn="0" w:lastColumn="0" w:oddVBand="0" w:evenVBand="0" w:oddHBand="0" w:evenHBand="0" w:firstRowFirstColumn="0" w:firstRowLastColumn="0" w:lastRowFirstColumn="0" w:lastRowLastColumn="0"/>
              <w:rPr>
                <w:sz w:val="18"/>
              </w:rPr>
            </w:pPr>
            <w:r w:rsidRPr="00BA0FBF">
              <w:rPr>
                <w:sz w:val="18"/>
              </w:rPr>
              <w:t>6.8</w:t>
            </w:r>
          </w:p>
        </w:tc>
        <w:tc>
          <w:tcPr>
            <w:tcW w:w="378" w:type="pct"/>
            <w:vAlign w:val="top"/>
          </w:tcPr>
          <w:p w:rsidR="00417654" w:rsidRPr="00BA0FBF" w:rsidRDefault="00417654" w:rsidP="00C259BC">
            <w:pPr>
              <w:jc w:val="right"/>
              <w:cnfStyle w:val="000000000000" w:firstRow="0" w:lastRow="0" w:firstColumn="0" w:lastColumn="0" w:oddVBand="0" w:evenVBand="0" w:oddHBand="0" w:evenHBand="0" w:firstRowFirstColumn="0" w:firstRowLastColumn="0" w:lastRowFirstColumn="0" w:lastRowLastColumn="0"/>
              <w:rPr>
                <w:sz w:val="18"/>
              </w:rPr>
            </w:pPr>
            <w:r w:rsidRPr="00BA0FBF">
              <w:rPr>
                <w:sz w:val="18"/>
              </w:rPr>
              <w:t>7.4</w:t>
            </w:r>
          </w:p>
        </w:tc>
        <w:tc>
          <w:tcPr>
            <w:tcW w:w="378" w:type="pct"/>
            <w:vAlign w:val="top"/>
          </w:tcPr>
          <w:p w:rsidR="00417654" w:rsidRPr="00BA0FBF" w:rsidRDefault="00417654" w:rsidP="00C259BC">
            <w:pPr>
              <w:jc w:val="right"/>
              <w:cnfStyle w:val="000000000000" w:firstRow="0" w:lastRow="0" w:firstColumn="0" w:lastColumn="0" w:oddVBand="0" w:evenVBand="0" w:oddHBand="0" w:evenHBand="0" w:firstRowFirstColumn="0" w:firstRowLastColumn="0" w:lastRowFirstColumn="0" w:lastRowLastColumn="0"/>
              <w:rPr>
                <w:sz w:val="18"/>
              </w:rPr>
            </w:pPr>
            <w:r w:rsidRPr="00BA0FBF">
              <w:rPr>
                <w:sz w:val="18"/>
              </w:rPr>
              <w:t>8.0</w:t>
            </w:r>
          </w:p>
        </w:tc>
        <w:tc>
          <w:tcPr>
            <w:tcW w:w="379" w:type="pct"/>
            <w:vAlign w:val="top"/>
          </w:tcPr>
          <w:p w:rsidR="00417654" w:rsidRPr="00BA0FBF" w:rsidRDefault="00417654" w:rsidP="00C259BC">
            <w:pPr>
              <w:jc w:val="right"/>
              <w:cnfStyle w:val="000000000000" w:firstRow="0" w:lastRow="0" w:firstColumn="0" w:lastColumn="0" w:oddVBand="0" w:evenVBand="0" w:oddHBand="0" w:evenHBand="0" w:firstRowFirstColumn="0" w:firstRowLastColumn="0" w:lastRowFirstColumn="0" w:lastRowLastColumn="0"/>
              <w:rPr>
                <w:sz w:val="18"/>
              </w:rPr>
            </w:pPr>
            <w:r w:rsidRPr="00BA0FBF">
              <w:rPr>
                <w:sz w:val="18"/>
              </w:rPr>
              <w:t>8.7</w:t>
            </w:r>
          </w:p>
        </w:tc>
        <w:tc>
          <w:tcPr>
            <w:tcW w:w="378" w:type="pct"/>
            <w:vAlign w:val="top"/>
          </w:tcPr>
          <w:p w:rsidR="00417654" w:rsidRPr="00BA0FBF" w:rsidRDefault="00417654" w:rsidP="00C259BC">
            <w:pPr>
              <w:jc w:val="right"/>
              <w:cnfStyle w:val="000000000000" w:firstRow="0" w:lastRow="0" w:firstColumn="0" w:lastColumn="0" w:oddVBand="0" w:evenVBand="0" w:oddHBand="0" w:evenHBand="0" w:firstRowFirstColumn="0" w:firstRowLastColumn="0" w:lastRowFirstColumn="0" w:lastRowLastColumn="0"/>
              <w:rPr>
                <w:sz w:val="18"/>
              </w:rPr>
            </w:pPr>
            <w:r w:rsidRPr="00BA0FBF">
              <w:rPr>
                <w:sz w:val="18"/>
              </w:rPr>
              <w:t>9.4</w:t>
            </w:r>
          </w:p>
        </w:tc>
        <w:tc>
          <w:tcPr>
            <w:tcW w:w="375" w:type="pct"/>
            <w:vAlign w:val="top"/>
          </w:tcPr>
          <w:p w:rsidR="00417654" w:rsidRPr="00BA0FBF" w:rsidRDefault="00417654" w:rsidP="007666C6">
            <w:pPr>
              <w:jc w:val="right"/>
              <w:cnfStyle w:val="000000000000" w:firstRow="0" w:lastRow="0" w:firstColumn="0" w:lastColumn="0" w:oddVBand="0" w:evenVBand="0" w:oddHBand="0" w:evenHBand="0" w:firstRowFirstColumn="0" w:firstRowLastColumn="0" w:lastRowFirstColumn="0" w:lastRowLastColumn="0"/>
              <w:rPr>
                <w:sz w:val="18"/>
              </w:rPr>
            </w:pPr>
            <w:r w:rsidRPr="00BA0FBF">
              <w:rPr>
                <w:sz w:val="18"/>
              </w:rPr>
              <w:t>62.6</w:t>
            </w:r>
          </w:p>
        </w:tc>
      </w:tr>
      <w:tr w:rsidR="00417654" w:rsidRPr="00BA0FBF" w:rsidTr="007666C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22" w:type="pct"/>
          </w:tcPr>
          <w:p w:rsidR="00417654" w:rsidRPr="00BA0FBF" w:rsidRDefault="00417654" w:rsidP="00C259BC">
            <w:pPr>
              <w:pStyle w:val="TableText"/>
              <w:rPr>
                <w:sz w:val="18"/>
              </w:rPr>
            </w:pPr>
            <w:r w:rsidRPr="00BA0FBF">
              <w:rPr>
                <w:sz w:val="18"/>
              </w:rPr>
              <w:t>Child Care</w:t>
            </w:r>
          </w:p>
        </w:tc>
        <w:tc>
          <w:tcPr>
            <w:tcW w:w="377" w:type="pct"/>
            <w:vAlign w:val="top"/>
          </w:tcPr>
          <w:p w:rsidR="00417654" w:rsidRPr="00BA0FBF" w:rsidRDefault="00417654" w:rsidP="007666C6">
            <w:pPr>
              <w:jc w:val="right"/>
              <w:cnfStyle w:val="000000100000" w:firstRow="0" w:lastRow="0" w:firstColumn="0" w:lastColumn="0" w:oddVBand="0" w:evenVBand="0" w:oddHBand="1" w:evenHBand="0" w:firstRowFirstColumn="0" w:firstRowLastColumn="0" w:lastRowFirstColumn="0" w:lastRowLastColumn="0"/>
              <w:rPr>
                <w:sz w:val="18"/>
              </w:rPr>
            </w:pPr>
            <w:r w:rsidRPr="00BA0FBF">
              <w:rPr>
                <w:sz w:val="18"/>
              </w:rPr>
              <w:t>1.6</w:t>
            </w:r>
          </w:p>
        </w:tc>
        <w:tc>
          <w:tcPr>
            <w:tcW w:w="378" w:type="pct"/>
            <w:vAlign w:val="top"/>
          </w:tcPr>
          <w:p w:rsidR="00417654" w:rsidRPr="00BA0FBF" w:rsidRDefault="00417654" w:rsidP="007666C6">
            <w:pPr>
              <w:jc w:val="right"/>
              <w:cnfStyle w:val="000000100000" w:firstRow="0" w:lastRow="0" w:firstColumn="0" w:lastColumn="0" w:oddVBand="0" w:evenVBand="0" w:oddHBand="1" w:evenHBand="0" w:firstRowFirstColumn="0" w:firstRowLastColumn="0" w:lastRowFirstColumn="0" w:lastRowLastColumn="0"/>
              <w:rPr>
                <w:sz w:val="18"/>
              </w:rPr>
            </w:pPr>
            <w:r w:rsidRPr="00BA0FBF">
              <w:rPr>
                <w:sz w:val="18"/>
              </w:rPr>
              <w:t>1.7</w:t>
            </w:r>
          </w:p>
        </w:tc>
        <w:tc>
          <w:tcPr>
            <w:tcW w:w="378" w:type="pct"/>
            <w:vAlign w:val="top"/>
          </w:tcPr>
          <w:p w:rsidR="00417654" w:rsidRPr="00BA0FBF" w:rsidRDefault="00417654" w:rsidP="007666C6">
            <w:pPr>
              <w:jc w:val="right"/>
              <w:cnfStyle w:val="000000100000" w:firstRow="0" w:lastRow="0" w:firstColumn="0" w:lastColumn="0" w:oddVBand="0" w:evenVBand="0" w:oddHBand="1" w:evenHBand="0" w:firstRowFirstColumn="0" w:firstRowLastColumn="0" w:lastRowFirstColumn="0" w:lastRowLastColumn="0"/>
              <w:rPr>
                <w:sz w:val="18"/>
              </w:rPr>
            </w:pPr>
            <w:r w:rsidRPr="00BA0FBF">
              <w:rPr>
                <w:sz w:val="18"/>
              </w:rPr>
              <w:t>1.9</w:t>
            </w:r>
          </w:p>
        </w:tc>
        <w:tc>
          <w:tcPr>
            <w:tcW w:w="378" w:type="pct"/>
            <w:vAlign w:val="top"/>
          </w:tcPr>
          <w:p w:rsidR="00417654" w:rsidRPr="00BA0FBF" w:rsidRDefault="00417654" w:rsidP="007666C6">
            <w:pPr>
              <w:jc w:val="right"/>
              <w:cnfStyle w:val="000000100000" w:firstRow="0" w:lastRow="0" w:firstColumn="0" w:lastColumn="0" w:oddVBand="0" w:evenVBand="0" w:oddHBand="1" w:evenHBand="0" w:firstRowFirstColumn="0" w:firstRowLastColumn="0" w:lastRowFirstColumn="0" w:lastRowLastColumn="0"/>
              <w:rPr>
                <w:sz w:val="18"/>
              </w:rPr>
            </w:pPr>
            <w:r w:rsidRPr="00BA0FBF">
              <w:rPr>
                <w:sz w:val="18"/>
              </w:rPr>
              <w:t>2.1</w:t>
            </w:r>
          </w:p>
        </w:tc>
        <w:tc>
          <w:tcPr>
            <w:tcW w:w="379" w:type="pct"/>
            <w:vAlign w:val="top"/>
          </w:tcPr>
          <w:p w:rsidR="00417654" w:rsidRPr="00BA0FBF" w:rsidRDefault="00417654" w:rsidP="007666C6">
            <w:pPr>
              <w:jc w:val="right"/>
              <w:cnfStyle w:val="000000100000" w:firstRow="0" w:lastRow="0" w:firstColumn="0" w:lastColumn="0" w:oddVBand="0" w:evenVBand="0" w:oddHBand="1" w:evenHBand="0" w:firstRowFirstColumn="0" w:firstRowLastColumn="0" w:lastRowFirstColumn="0" w:lastRowLastColumn="0"/>
              <w:rPr>
                <w:sz w:val="18"/>
              </w:rPr>
            </w:pPr>
            <w:r w:rsidRPr="00BA0FBF">
              <w:rPr>
                <w:sz w:val="18"/>
              </w:rPr>
              <w:t>2.3</w:t>
            </w:r>
          </w:p>
        </w:tc>
        <w:tc>
          <w:tcPr>
            <w:tcW w:w="378" w:type="pct"/>
            <w:vAlign w:val="top"/>
          </w:tcPr>
          <w:p w:rsidR="00417654" w:rsidRPr="00BA0FBF" w:rsidRDefault="00417654" w:rsidP="007666C6">
            <w:pPr>
              <w:jc w:val="right"/>
              <w:cnfStyle w:val="000000100000" w:firstRow="0" w:lastRow="0" w:firstColumn="0" w:lastColumn="0" w:oddVBand="0" w:evenVBand="0" w:oddHBand="1" w:evenHBand="0" w:firstRowFirstColumn="0" w:firstRowLastColumn="0" w:lastRowFirstColumn="0" w:lastRowLastColumn="0"/>
              <w:rPr>
                <w:sz w:val="18"/>
              </w:rPr>
            </w:pPr>
            <w:r w:rsidRPr="00BA0FBF">
              <w:rPr>
                <w:sz w:val="18"/>
              </w:rPr>
              <w:t>2.5</w:t>
            </w:r>
          </w:p>
        </w:tc>
        <w:tc>
          <w:tcPr>
            <w:tcW w:w="378" w:type="pct"/>
            <w:vAlign w:val="top"/>
          </w:tcPr>
          <w:p w:rsidR="00417654" w:rsidRPr="00BA0FBF" w:rsidRDefault="00417654" w:rsidP="007666C6">
            <w:pPr>
              <w:jc w:val="right"/>
              <w:cnfStyle w:val="000000100000" w:firstRow="0" w:lastRow="0" w:firstColumn="0" w:lastColumn="0" w:oddVBand="0" w:evenVBand="0" w:oddHBand="1" w:evenHBand="0" w:firstRowFirstColumn="0" w:firstRowLastColumn="0" w:lastRowFirstColumn="0" w:lastRowLastColumn="0"/>
              <w:rPr>
                <w:sz w:val="18"/>
              </w:rPr>
            </w:pPr>
            <w:r w:rsidRPr="00BA0FBF">
              <w:rPr>
                <w:sz w:val="18"/>
              </w:rPr>
              <w:t>2.8</w:t>
            </w:r>
          </w:p>
        </w:tc>
        <w:tc>
          <w:tcPr>
            <w:tcW w:w="379" w:type="pct"/>
            <w:vAlign w:val="top"/>
          </w:tcPr>
          <w:p w:rsidR="00417654" w:rsidRPr="00BA0FBF" w:rsidRDefault="00417654" w:rsidP="007666C6">
            <w:pPr>
              <w:jc w:val="right"/>
              <w:cnfStyle w:val="000000100000" w:firstRow="0" w:lastRow="0" w:firstColumn="0" w:lastColumn="0" w:oddVBand="0" w:evenVBand="0" w:oddHBand="1" w:evenHBand="0" w:firstRowFirstColumn="0" w:firstRowLastColumn="0" w:lastRowFirstColumn="0" w:lastRowLastColumn="0"/>
              <w:rPr>
                <w:sz w:val="18"/>
              </w:rPr>
            </w:pPr>
            <w:r w:rsidRPr="00BA0FBF">
              <w:rPr>
                <w:sz w:val="18"/>
              </w:rPr>
              <w:t>3.0</w:t>
            </w:r>
          </w:p>
        </w:tc>
        <w:tc>
          <w:tcPr>
            <w:tcW w:w="378" w:type="pct"/>
            <w:vAlign w:val="top"/>
          </w:tcPr>
          <w:p w:rsidR="00417654" w:rsidRPr="00BA0FBF" w:rsidRDefault="00417654" w:rsidP="007666C6">
            <w:pPr>
              <w:jc w:val="right"/>
              <w:cnfStyle w:val="000000100000" w:firstRow="0" w:lastRow="0" w:firstColumn="0" w:lastColumn="0" w:oddVBand="0" w:evenVBand="0" w:oddHBand="1" w:evenHBand="0" w:firstRowFirstColumn="0" w:firstRowLastColumn="0" w:lastRowFirstColumn="0" w:lastRowLastColumn="0"/>
              <w:rPr>
                <w:sz w:val="18"/>
              </w:rPr>
            </w:pPr>
            <w:r w:rsidRPr="00BA0FBF">
              <w:rPr>
                <w:sz w:val="18"/>
              </w:rPr>
              <w:t>3.3</w:t>
            </w:r>
          </w:p>
        </w:tc>
        <w:tc>
          <w:tcPr>
            <w:tcW w:w="375" w:type="pct"/>
            <w:vAlign w:val="top"/>
          </w:tcPr>
          <w:p w:rsidR="00417654" w:rsidRPr="00BA0FBF" w:rsidRDefault="00417654" w:rsidP="007666C6">
            <w:pPr>
              <w:jc w:val="right"/>
              <w:cnfStyle w:val="000000100000" w:firstRow="0" w:lastRow="0" w:firstColumn="0" w:lastColumn="0" w:oddVBand="0" w:evenVBand="0" w:oddHBand="1" w:evenHBand="0" w:firstRowFirstColumn="0" w:firstRowLastColumn="0" w:lastRowFirstColumn="0" w:lastRowLastColumn="0"/>
              <w:rPr>
                <w:sz w:val="18"/>
              </w:rPr>
            </w:pPr>
            <w:r w:rsidRPr="00BA0FBF">
              <w:rPr>
                <w:sz w:val="18"/>
              </w:rPr>
              <w:t>21.2</w:t>
            </w:r>
          </w:p>
        </w:tc>
      </w:tr>
      <w:tr w:rsidR="00417654" w:rsidRPr="00BA0FBF" w:rsidTr="007666C6">
        <w:trPr>
          <w:cantSplit/>
        </w:trPr>
        <w:tc>
          <w:tcPr>
            <w:cnfStyle w:val="001000000000" w:firstRow="0" w:lastRow="0" w:firstColumn="1" w:lastColumn="0" w:oddVBand="0" w:evenVBand="0" w:oddHBand="0" w:evenHBand="0" w:firstRowFirstColumn="0" w:firstRowLastColumn="0" w:lastRowFirstColumn="0" w:lastRowLastColumn="0"/>
            <w:tcW w:w="1222" w:type="pct"/>
          </w:tcPr>
          <w:p w:rsidR="00417654" w:rsidRPr="00BA0FBF" w:rsidRDefault="00417654" w:rsidP="00C259BC">
            <w:pPr>
              <w:pStyle w:val="TableText"/>
              <w:rPr>
                <w:sz w:val="18"/>
              </w:rPr>
            </w:pPr>
            <w:r w:rsidRPr="00BA0FBF">
              <w:rPr>
                <w:sz w:val="18"/>
              </w:rPr>
              <w:t>Water and Sewerage</w:t>
            </w:r>
          </w:p>
        </w:tc>
        <w:tc>
          <w:tcPr>
            <w:tcW w:w="377" w:type="pct"/>
            <w:vAlign w:val="top"/>
          </w:tcPr>
          <w:p w:rsidR="00417654" w:rsidRPr="00BA0FBF" w:rsidRDefault="00417654" w:rsidP="00C259BC">
            <w:pPr>
              <w:jc w:val="right"/>
              <w:cnfStyle w:val="000000000000" w:firstRow="0" w:lastRow="0" w:firstColumn="0" w:lastColumn="0" w:oddVBand="0" w:evenVBand="0" w:oddHBand="0" w:evenHBand="0" w:firstRowFirstColumn="0" w:firstRowLastColumn="0" w:lastRowFirstColumn="0" w:lastRowLastColumn="0"/>
              <w:rPr>
                <w:sz w:val="18"/>
              </w:rPr>
            </w:pPr>
            <w:r w:rsidRPr="00BA0FBF">
              <w:rPr>
                <w:sz w:val="18"/>
              </w:rPr>
              <w:t>1.1</w:t>
            </w:r>
          </w:p>
        </w:tc>
        <w:tc>
          <w:tcPr>
            <w:tcW w:w="378" w:type="pct"/>
            <w:vAlign w:val="top"/>
          </w:tcPr>
          <w:p w:rsidR="00417654" w:rsidRPr="00BA0FBF" w:rsidRDefault="00417654" w:rsidP="00C259BC">
            <w:pPr>
              <w:jc w:val="right"/>
              <w:cnfStyle w:val="000000000000" w:firstRow="0" w:lastRow="0" w:firstColumn="0" w:lastColumn="0" w:oddVBand="0" w:evenVBand="0" w:oddHBand="0" w:evenHBand="0" w:firstRowFirstColumn="0" w:firstRowLastColumn="0" w:lastRowFirstColumn="0" w:lastRowLastColumn="0"/>
              <w:rPr>
                <w:sz w:val="18"/>
              </w:rPr>
            </w:pPr>
            <w:r w:rsidRPr="00BA0FBF">
              <w:rPr>
                <w:sz w:val="18"/>
              </w:rPr>
              <w:t>1.2</w:t>
            </w:r>
          </w:p>
        </w:tc>
        <w:tc>
          <w:tcPr>
            <w:tcW w:w="378" w:type="pct"/>
            <w:vAlign w:val="top"/>
          </w:tcPr>
          <w:p w:rsidR="00417654" w:rsidRPr="00BA0FBF" w:rsidRDefault="00417654" w:rsidP="00C259BC">
            <w:pPr>
              <w:jc w:val="right"/>
              <w:cnfStyle w:val="000000000000" w:firstRow="0" w:lastRow="0" w:firstColumn="0" w:lastColumn="0" w:oddVBand="0" w:evenVBand="0" w:oddHBand="0" w:evenHBand="0" w:firstRowFirstColumn="0" w:firstRowLastColumn="0" w:lastRowFirstColumn="0" w:lastRowLastColumn="0"/>
              <w:rPr>
                <w:sz w:val="18"/>
              </w:rPr>
            </w:pPr>
            <w:r w:rsidRPr="00BA0FBF">
              <w:rPr>
                <w:sz w:val="18"/>
              </w:rPr>
              <w:t>1.3</w:t>
            </w:r>
          </w:p>
        </w:tc>
        <w:tc>
          <w:tcPr>
            <w:tcW w:w="378" w:type="pct"/>
            <w:vAlign w:val="top"/>
          </w:tcPr>
          <w:p w:rsidR="00417654" w:rsidRPr="00BA0FBF" w:rsidRDefault="00417654" w:rsidP="00C259BC">
            <w:pPr>
              <w:jc w:val="right"/>
              <w:cnfStyle w:val="000000000000" w:firstRow="0" w:lastRow="0" w:firstColumn="0" w:lastColumn="0" w:oddVBand="0" w:evenVBand="0" w:oddHBand="0" w:evenHBand="0" w:firstRowFirstColumn="0" w:firstRowLastColumn="0" w:lastRowFirstColumn="0" w:lastRowLastColumn="0"/>
              <w:rPr>
                <w:sz w:val="18"/>
              </w:rPr>
            </w:pPr>
            <w:r w:rsidRPr="00BA0FBF">
              <w:rPr>
                <w:sz w:val="18"/>
              </w:rPr>
              <w:t>1.4</w:t>
            </w:r>
          </w:p>
        </w:tc>
        <w:tc>
          <w:tcPr>
            <w:tcW w:w="379" w:type="pct"/>
            <w:vAlign w:val="top"/>
          </w:tcPr>
          <w:p w:rsidR="00417654" w:rsidRPr="00BA0FBF" w:rsidRDefault="00417654" w:rsidP="00C259BC">
            <w:pPr>
              <w:jc w:val="right"/>
              <w:cnfStyle w:val="000000000000" w:firstRow="0" w:lastRow="0" w:firstColumn="0" w:lastColumn="0" w:oddVBand="0" w:evenVBand="0" w:oddHBand="0" w:evenHBand="0" w:firstRowFirstColumn="0" w:firstRowLastColumn="0" w:lastRowFirstColumn="0" w:lastRowLastColumn="0"/>
              <w:rPr>
                <w:sz w:val="18"/>
              </w:rPr>
            </w:pPr>
            <w:r w:rsidRPr="00BA0FBF">
              <w:rPr>
                <w:sz w:val="18"/>
              </w:rPr>
              <w:t>1.5</w:t>
            </w:r>
          </w:p>
        </w:tc>
        <w:tc>
          <w:tcPr>
            <w:tcW w:w="378" w:type="pct"/>
            <w:vAlign w:val="top"/>
          </w:tcPr>
          <w:p w:rsidR="00417654" w:rsidRPr="00BA0FBF" w:rsidRDefault="00417654" w:rsidP="00C259BC">
            <w:pPr>
              <w:jc w:val="right"/>
              <w:cnfStyle w:val="000000000000" w:firstRow="0" w:lastRow="0" w:firstColumn="0" w:lastColumn="0" w:oddVBand="0" w:evenVBand="0" w:oddHBand="0" w:evenHBand="0" w:firstRowFirstColumn="0" w:firstRowLastColumn="0" w:lastRowFirstColumn="0" w:lastRowLastColumn="0"/>
              <w:rPr>
                <w:sz w:val="18"/>
              </w:rPr>
            </w:pPr>
            <w:r w:rsidRPr="00BA0FBF">
              <w:rPr>
                <w:sz w:val="18"/>
              </w:rPr>
              <w:t>1.6</w:t>
            </w:r>
          </w:p>
        </w:tc>
        <w:tc>
          <w:tcPr>
            <w:tcW w:w="378" w:type="pct"/>
            <w:vAlign w:val="top"/>
          </w:tcPr>
          <w:p w:rsidR="00417654" w:rsidRPr="00BA0FBF" w:rsidRDefault="00417654" w:rsidP="00C259BC">
            <w:pPr>
              <w:jc w:val="right"/>
              <w:cnfStyle w:val="000000000000" w:firstRow="0" w:lastRow="0" w:firstColumn="0" w:lastColumn="0" w:oddVBand="0" w:evenVBand="0" w:oddHBand="0" w:evenHBand="0" w:firstRowFirstColumn="0" w:firstRowLastColumn="0" w:lastRowFirstColumn="0" w:lastRowLastColumn="0"/>
              <w:rPr>
                <w:sz w:val="18"/>
              </w:rPr>
            </w:pPr>
            <w:r w:rsidRPr="00BA0FBF">
              <w:rPr>
                <w:sz w:val="18"/>
              </w:rPr>
              <w:t>1.8</w:t>
            </w:r>
          </w:p>
        </w:tc>
        <w:tc>
          <w:tcPr>
            <w:tcW w:w="379" w:type="pct"/>
            <w:vAlign w:val="top"/>
          </w:tcPr>
          <w:p w:rsidR="00417654" w:rsidRPr="00BA0FBF" w:rsidRDefault="00417654" w:rsidP="00C259BC">
            <w:pPr>
              <w:jc w:val="right"/>
              <w:cnfStyle w:val="000000000000" w:firstRow="0" w:lastRow="0" w:firstColumn="0" w:lastColumn="0" w:oddVBand="0" w:evenVBand="0" w:oddHBand="0" w:evenHBand="0" w:firstRowFirstColumn="0" w:firstRowLastColumn="0" w:lastRowFirstColumn="0" w:lastRowLastColumn="0"/>
              <w:rPr>
                <w:sz w:val="18"/>
              </w:rPr>
            </w:pPr>
            <w:r w:rsidRPr="00BA0FBF">
              <w:rPr>
                <w:sz w:val="18"/>
              </w:rPr>
              <w:t>1.9</w:t>
            </w:r>
          </w:p>
        </w:tc>
        <w:tc>
          <w:tcPr>
            <w:tcW w:w="378" w:type="pct"/>
            <w:vAlign w:val="top"/>
          </w:tcPr>
          <w:p w:rsidR="00417654" w:rsidRPr="00BA0FBF" w:rsidRDefault="00417654" w:rsidP="00C259BC">
            <w:pPr>
              <w:jc w:val="right"/>
              <w:cnfStyle w:val="000000000000" w:firstRow="0" w:lastRow="0" w:firstColumn="0" w:lastColumn="0" w:oddVBand="0" w:evenVBand="0" w:oddHBand="0" w:evenHBand="0" w:firstRowFirstColumn="0" w:firstRowLastColumn="0" w:lastRowFirstColumn="0" w:lastRowLastColumn="0"/>
              <w:rPr>
                <w:sz w:val="18"/>
              </w:rPr>
            </w:pPr>
            <w:r w:rsidRPr="00BA0FBF">
              <w:rPr>
                <w:sz w:val="18"/>
              </w:rPr>
              <w:t>2.1</w:t>
            </w:r>
          </w:p>
        </w:tc>
        <w:tc>
          <w:tcPr>
            <w:tcW w:w="375" w:type="pct"/>
            <w:vAlign w:val="top"/>
          </w:tcPr>
          <w:p w:rsidR="00417654" w:rsidRPr="00BA0FBF" w:rsidRDefault="00417654" w:rsidP="007666C6">
            <w:pPr>
              <w:jc w:val="right"/>
              <w:cnfStyle w:val="000000000000" w:firstRow="0" w:lastRow="0" w:firstColumn="0" w:lastColumn="0" w:oddVBand="0" w:evenVBand="0" w:oddHBand="0" w:evenHBand="0" w:firstRowFirstColumn="0" w:firstRowLastColumn="0" w:lastRowFirstColumn="0" w:lastRowLastColumn="0"/>
              <w:rPr>
                <w:sz w:val="18"/>
              </w:rPr>
            </w:pPr>
            <w:r w:rsidRPr="00BA0FBF">
              <w:rPr>
                <w:sz w:val="18"/>
              </w:rPr>
              <w:t>13.9</w:t>
            </w:r>
          </w:p>
        </w:tc>
      </w:tr>
      <w:tr w:rsidR="00417654" w:rsidRPr="00BA0FBF" w:rsidTr="007666C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22" w:type="pct"/>
          </w:tcPr>
          <w:p w:rsidR="00417654" w:rsidRPr="00BA0FBF" w:rsidRDefault="00417654" w:rsidP="00422E1E">
            <w:pPr>
              <w:pStyle w:val="TableText"/>
              <w:rPr>
                <w:i/>
                <w:sz w:val="18"/>
              </w:rPr>
            </w:pPr>
            <w:r w:rsidRPr="00BA0FBF">
              <w:rPr>
                <w:i/>
                <w:sz w:val="18"/>
              </w:rPr>
              <w:t>Interaction Effect</w:t>
            </w:r>
          </w:p>
        </w:tc>
        <w:tc>
          <w:tcPr>
            <w:tcW w:w="377" w:type="pct"/>
            <w:vAlign w:val="top"/>
          </w:tcPr>
          <w:p w:rsidR="00417654" w:rsidRPr="00BA0FBF" w:rsidRDefault="00417654" w:rsidP="00391F51">
            <w:pPr>
              <w:jc w:val="right"/>
              <w:cnfStyle w:val="000000100000" w:firstRow="0" w:lastRow="0" w:firstColumn="0" w:lastColumn="0" w:oddVBand="0" w:evenVBand="0" w:oddHBand="1" w:evenHBand="0" w:firstRowFirstColumn="0" w:firstRowLastColumn="0" w:lastRowFirstColumn="0" w:lastRowLastColumn="0"/>
              <w:rPr>
                <w:sz w:val="18"/>
              </w:rPr>
            </w:pPr>
            <w:r w:rsidRPr="00BA0FBF">
              <w:rPr>
                <w:sz w:val="18"/>
              </w:rPr>
              <w:t>0.4</w:t>
            </w:r>
          </w:p>
        </w:tc>
        <w:tc>
          <w:tcPr>
            <w:tcW w:w="378" w:type="pct"/>
            <w:vAlign w:val="top"/>
          </w:tcPr>
          <w:p w:rsidR="00417654" w:rsidRPr="00BA0FBF" w:rsidRDefault="00417654" w:rsidP="00391F51">
            <w:pPr>
              <w:jc w:val="right"/>
              <w:cnfStyle w:val="000000100000" w:firstRow="0" w:lastRow="0" w:firstColumn="0" w:lastColumn="0" w:oddVBand="0" w:evenVBand="0" w:oddHBand="1" w:evenHBand="0" w:firstRowFirstColumn="0" w:firstRowLastColumn="0" w:lastRowFirstColumn="0" w:lastRowLastColumn="0"/>
              <w:rPr>
                <w:sz w:val="18"/>
              </w:rPr>
            </w:pPr>
            <w:r w:rsidRPr="00BA0FBF">
              <w:rPr>
                <w:sz w:val="18"/>
              </w:rPr>
              <w:t>0.5</w:t>
            </w:r>
          </w:p>
        </w:tc>
        <w:tc>
          <w:tcPr>
            <w:tcW w:w="378" w:type="pct"/>
            <w:vAlign w:val="top"/>
          </w:tcPr>
          <w:p w:rsidR="00417654" w:rsidRPr="00BA0FBF" w:rsidRDefault="00417654" w:rsidP="00391F51">
            <w:pPr>
              <w:jc w:val="right"/>
              <w:cnfStyle w:val="000000100000" w:firstRow="0" w:lastRow="0" w:firstColumn="0" w:lastColumn="0" w:oddVBand="0" w:evenVBand="0" w:oddHBand="1" w:evenHBand="0" w:firstRowFirstColumn="0" w:firstRowLastColumn="0" w:lastRowFirstColumn="0" w:lastRowLastColumn="0"/>
              <w:rPr>
                <w:sz w:val="18"/>
              </w:rPr>
            </w:pPr>
            <w:r w:rsidRPr="00BA0FBF">
              <w:rPr>
                <w:sz w:val="18"/>
              </w:rPr>
              <w:t>0.5</w:t>
            </w:r>
          </w:p>
        </w:tc>
        <w:tc>
          <w:tcPr>
            <w:tcW w:w="378" w:type="pct"/>
            <w:vAlign w:val="top"/>
          </w:tcPr>
          <w:p w:rsidR="00417654" w:rsidRPr="00BA0FBF" w:rsidRDefault="00417654" w:rsidP="00391F51">
            <w:pPr>
              <w:jc w:val="right"/>
              <w:cnfStyle w:val="000000100000" w:firstRow="0" w:lastRow="0" w:firstColumn="0" w:lastColumn="0" w:oddVBand="0" w:evenVBand="0" w:oddHBand="1" w:evenHBand="0" w:firstRowFirstColumn="0" w:firstRowLastColumn="0" w:lastRowFirstColumn="0" w:lastRowLastColumn="0"/>
              <w:rPr>
                <w:sz w:val="18"/>
              </w:rPr>
            </w:pPr>
            <w:r w:rsidRPr="00BA0FBF">
              <w:rPr>
                <w:sz w:val="18"/>
              </w:rPr>
              <w:t>0.4</w:t>
            </w:r>
          </w:p>
        </w:tc>
        <w:tc>
          <w:tcPr>
            <w:tcW w:w="379" w:type="pct"/>
            <w:vAlign w:val="top"/>
          </w:tcPr>
          <w:p w:rsidR="00417654" w:rsidRPr="00BA0FBF" w:rsidRDefault="00417654" w:rsidP="00391F51">
            <w:pPr>
              <w:jc w:val="right"/>
              <w:cnfStyle w:val="000000100000" w:firstRow="0" w:lastRow="0" w:firstColumn="0" w:lastColumn="0" w:oddVBand="0" w:evenVBand="0" w:oddHBand="1" w:evenHBand="0" w:firstRowFirstColumn="0" w:firstRowLastColumn="0" w:lastRowFirstColumn="0" w:lastRowLastColumn="0"/>
              <w:rPr>
                <w:sz w:val="18"/>
              </w:rPr>
            </w:pPr>
            <w:r w:rsidRPr="00BA0FBF">
              <w:rPr>
                <w:sz w:val="18"/>
              </w:rPr>
              <w:t>0.5</w:t>
            </w:r>
          </w:p>
        </w:tc>
        <w:tc>
          <w:tcPr>
            <w:tcW w:w="378" w:type="pct"/>
            <w:vAlign w:val="top"/>
          </w:tcPr>
          <w:p w:rsidR="00417654" w:rsidRPr="00BA0FBF" w:rsidRDefault="00417654" w:rsidP="00391F51">
            <w:pPr>
              <w:jc w:val="right"/>
              <w:cnfStyle w:val="000000100000" w:firstRow="0" w:lastRow="0" w:firstColumn="0" w:lastColumn="0" w:oddVBand="0" w:evenVBand="0" w:oddHBand="1" w:evenHBand="0" w:firstRowFirstColumn="0" w:firstRowLastColumn="0" w:lastRowFirstColumn="0" w:lastRowLastColumn="0"/>
              <w:rPr>
                <w:sz w:val="18"/>
              </w:rPr>
            </w:pPr>
            <w:r w:rsidRPr="00BA0FBF">
              <w:rPr>
                <w:sz w:val="18"/>
              </w:rPr>
              <w:t>0.6</w:t>
            </w:r>
          </w:p>
        </w:tc>
        <w:tc>
          <w:tcPr>
            <w:tcW w:w="378" w:type="pct"/>
            <w:vAlign w:val="top"/>
          </w:tcPr>
          <w:p w:rsidR="00417654" w:rsidRPr="00BA0FBF" w:rsidRDefault="00417654" w:rsidP="00391F51">
            <w:pPr>
              <w:jc w:val="right"/>
              <w:cnfStyle w:val="000000100000" w:firstRow="0" w:lastRow="0" w:firstColumn="0" w:lastColumn="0" w:oddVBand="0" w:evenVBand="0" w:oddHBand="1" w:evenHBand="0" w:firstRowFirstColumn="0" w:firstRowLastColumn="0" w:lastRowFirstColumn="0" w:lastRowLastColumn="0"/>
              <w:rPr>
                <w:sz w:val="18"/>
              </w:rPr>
            </w:pPr>
            <w:r w:rsidRPr="00BA0FBF">
              <w:rPr>
                <w:sz w:val="18"/>
              </w:rPr>
              <w:t>0.6</w:t>
            </w:r>
          </w:p>
        </w:tc>
        <w:tc>
          <w:tcPr>
            <w:tcW w:w="379" w:type="pct"/>
            <w:vAlign w:val="top"/>
          </w:tcPr>
          <w:p w:rsidR="00417654" w:rsidRPr="00BA0FBF" w:rsidRDefault="00417654" w:rsidP="00391F51">
            <w:pPr>
              <w:jc w:val="right"/>
              <w:cnfStyle w:val="000000100000" w:firstRow="0" w:lastRow="0" w:firstColumn="0" w:lastColumn="0" w:oddVBand="0" w:evenVBand="0" w:oddHBand="1" w:evenHBand="0" w:firstRowFirstColumn="0" w:firstRowLastColumn="0" w:lastRowFirstColumn="0" w:lastRowLastColumn="0"/>
              <w:rPr>
                <w:sz w:val="18"/>
              </w:rPr>
            </w:pPr>
            <w:r w:rsidRPr="00BA0FBF">
              <w:rPr>
                <w:sz w:val="18"/>
              </w:rPr>
              <w:t>0.7</w:t>
            </w:r>
          </w:p>
        </w:tc>
        <w:tc>
          <w:tcPr>
            <w:tcW w:w="378" w:type="pct"/>
            <w:vAlign w:val="top"/>
          </w:tcPr>
          <w:p w:rsidR="00417654" w:rsidRPr="00BA0FBF" w:rsidRDefault="00417654" w:rsidP="00391F51">
            <w:pPr>
              <w:jc w:val="right"/>
              <w:cnfStyle w:val="000000100000" w:firstRow="0" w:lastRow="0" w:firstColumn="0" w:lastColumn="0" w:oddVBand="0" w:evenVBand="0" w:oddHBand="1" w:evenHBand="0" w:firstRowFirstColumn="0" w:firstRowLastColumn="0" w:lastRowFirstColumn="0" w:lastRowLastColumn="0"/>
              <w:rPr>
                <w:sz w:val="18"/>
              </w:rPr>
            </w:pPr>
            <w:r w:rsidRPr="00BA0FBF">
              <w:rPr>
                <w:sz w:val="18"/>
              </w:rPr>
              <w:t>0.7</w:t>
            </w:r>
          </w:p>
        </w:tc>
        <w:tc>
          <w:tcPr>
            <w:tcW w:w="375" w:type="pct"/>
            <w:vAlign w:val="top"/>
          </w:tcPr>
          <w:p w:rsidR="00417654" w:rsidRPr="00BA0FBF" w:rsidRDefault="00417654" w:rsidP="007666C6">
            <w:pPr>
              <w:jc w:val="right"/>
              <w:cnfStyle w:val="000000100000" w:firstRow="0" w:lastRow="0" w:firstColumn="0" w:lastColumn="0" w:oddVBand="0" w:evenVBand="0" w:oddHBand="1" w:evenHBand="0" w:firstRowFirstColumn="0" w:firstRowLastColumn="0" w:lastRowFirstColumn="0" w:lastRowLastColumn="0"/>
              <w:rPr>
                <w:sz w:val="18"/>
              </w:rPr>
            </w:pPr>
            <w:r w:rsidRPr="00BA0FBF">
              <w:rPr>
                <w:sz w:val="18"/>
              </w:rPr>
              <w:t>4.9</w:t>
            </w:r>
          </w:p>
        </w:tc>
      </w:tr>
      <w:tr w:rsidR="00417654" w:rsidRPr="00BA0FBF" w:rsidTr="007666C6">
        <w:trPr>
          <w:cantSplit/>
        </w:trPr>
        <w:tc>
          <w:tcPr>
            <w:cnfStyle w:val="001000000000" w:firstRow="0" w:lastRow="0" w:firstColumn="1" w:lastColumn="0" w:oddVBand="0" w:evenVBand="0" w:oddHBand="0" w:evenHBand="0" w:firstRowFirstColumn="0" w:firstRowLastColumn="0" w:lastRowFirstColumn="0" w:lastRowLastColumn="0"/>
            <w:tcW w:w="1222" w:type="pct"/>
          </w:tcPr>
          <w:p w:rsidR="00417654" w:rsidRPr="00BA0FBF" w:rsidRDefault="00417654" w:rsidP="00422E1E">
            <w:pPr>
              <w:pStyle w:val="TableText"/>
              <w:rPr>
                <w:b/>
                <w:sz w:val="18"/>
              </w:rPr>
            </w:pPr>
            <w:r>
              <w:rPr>
                <w:b/>
                <w:sz w:val="18"/>
              </w:rPr>
              <w:t xml:space="preserve">Additional </w:t>
            </w:r>
            <w:r w:rsidRPr="00BA0FBF">
              <w:rPr>
                <w:b/>
                <w:sz w:val="18"/>
              </w:rPr>
              <w:t>GST revenue</w:t>
            </w:r>
          </w:p>
        </w:tc>
        <w:tc>
          <w:tcPr>
            <w:tcW w:w="377" w:type="pct"/>
            <w:vAlign w:val="top"/>
          </w:tcPr>
          <w:p w:rsidR="00417654" w:rsidRPr="00BA0FBF" w:rsidRDefault="00417654" w:rsidP="007666C6">
            <w:pPr>
              <w:jc w:val="right"/>
              <w:cnfStyle w:val="000000000000" w:firstRow="0" w:lastRow="0" w:firstColumn="0" w:lastColumn="0" w:oddVBand="0" w:evenVBand="0" w:oddHBand="0" w:evenHBand="0" w:firstRowFirstColumn="0" w:firstRowLastColumn="0" w:lastRowFirstColumn="0" w:lastRowLastColumn="0"/>
              <w:rPr>
                <w:b/>
                <w:sz w:val="18"/>
              </w:rPr>
            </w:pPr>
            <w:r w:rsidRPr="00BA0FBF">
              <w:rPr>
                <w:b/>
                <w:sz w:val="18"/>
              </w:rPr>
              <w:t>21.6</w:t>
            </w:r>
          </w:p>
        </w:tc>
        <w:tc>
          <w:tcPr>
            <w:tcW w:w="378" w:type="pct"/>
            <w:vAlign w:val="top"/>
          </w:tcPr>
          <w:p w:rsidR="00417654" w:rsidRPr="00BA0FBF" w:rsidRDefault="00417654" w:rsidP="007666C6">
            <w:pPr>
              <w:jc w:val="right"/>
              <w:cnfStyle w:val="000000000000" w:firstRow="0" w:lastRow="0" w:firstColumn="0" w:lastColumn="0" w:oddVBand="0" w:evenVBand="0" w:oddHBand="0" w:evenHBand="0" w:firstRowFirstColumn="0" w:firstRowLastColumn="0" w:lastRowFirstColumn="0" w:lastRowLastColumn="0"/>
              <w:rPr>
                <w:b/>
                <w:sz w:val="18"/>
              </w:rPr>
            </w:pPr>
            <w:r w:rsidRPr="00BA0FBF">
              <w:rPr>
                <w:b/>
                <w:sz w:val="18"/>
              </w:rPr>
              <w:t>23.1</w:t>
            </w:r>
          </w:p>
        </w:tc>
        <w:tc>
          <w:tcPr>
            <w:tcW w:w="378" w:type="pct"/>
            <w:vAlign w:val="top"/>
          </w:tcPr>
          <w:p w:rsidR="00417654" w:rsidRPr="00BA0FBF" w:rsidRDefault="00417654" w:rsidP="007666C6">
            <w:pPr>
              <w:jc w:val="right"/>
              <w:cnfStyle w:val="000000000000" w:firstRow="0" w:lastRow="0" w:firstColumn="0" w:lastColumn="0" w:oddVBand="0" w:evenVBand="0" w:oddHBand="0" w:evenHBand="0" w:firstRowFirstColumn="0" w:firstRowLastColumn="0" w:lastRowFirstColumn="0" w:lastRowLastColumn="0"/>
              <w:rPr>
                <w:b/>
                <w:sz w:val="18"/>
              </w:rPr>
            </w:pPr>
            <w:r w:rsidRPr="00BA0FBF">
              <w:rPr>
                <w:b/>
                <w:sz w:val="18"/>
              </w:rPr>
              <w:t>24.7</w:t>
            </w:r>
          </w:p>
        </w:tc>
        <w:tc>
          <w:tcPr>
            <w:tcW w:w="378" w:type="pct"/>
            <w:vAlign w:val="top"/>
          </w:tcPr>
          <w:p w:rsidR="00417654" w:rsidRPr="00BA0FBF" w:rsidRDefault="00417654" w:rsidP="007666C6">
            <w:pPr>
              <w:jc w:val="right"/>
              <w:cnfStyle w:val="000000000000" w:firstRow="0" w:lastRow="0" w:firstColumn="0" w:lastColumn="0" w:oddVBand="0" w:evenVBand="0" w:oddHBand="0" w:evenHBand="0" w:firstRowFirstColumn="0" w:firstRowLastColumn="0" w:lastRowFirstColumn="0" w:lastRowLastColumn="0"/>
              <w:rPr>
                <w:b/>
                <w:sz w:val="18"/>
              </w:rPr>
            </w:pPr>
            <w:r w:rsidRPr="00BA0FBF">
              <w:rPr>
                <w:b/>
                <w:sz w:val="18"/>
              </w:rPr>
              <w:t>26.3</w:t>
            </w:r>
          </w:p>
        </w:tc>
        <w:tc>
          <w:tcPr>
            <w:tcW w:w="379" w:type="pct"/>
            <w:vAlign w:val="top"/>
          </w:tcPr>
          <w:p w:rsidR="00417654" w:rsidRPr="00BA0FBF" w:rsidRDefault="00417654" w:rsidP="007666C6">
            <w:pPr>
              <w:jc w:val="right"/>
              <w:cnfStyle w:val="000000000000" w:firstRow="0" w:lastRow="0" w:firstColumn="0" w:lastColumn="0" w:oddVBand="0" w:evenVBand="0" w:oddHBand="0" w:evenHBand="0" w:firstRowFirstColumn="0" w:firstRowLastColumn="0" w:lastRowFirstColumn="0" w:lastRowLastColumn="0"/>
              <w:rPr>
                <w:b/>
                <w:sz w:val="18"/>
              </w:rPr>
            </w:pPr>
            <w:r w:rsidRPr="00BA0FBF">
              <w:rPr>
                <w:b/>
                <w:sz w:val="18"/>
              </w:rPr>
              <w:t>28.1</w:t>
            </w:r>
          </w:p>
        </w:tc>
        <w:tc>
          <w:tcPr>
            <w:tcW w:w="378" w:type="pct"/>
            <w:vAlign w:val="top"/>
          </w:tcPr>
          <w:p w:rsidR="00417654" w:rsidRPr="00BA0FBF" w:rsidRDefault="00417654" w:rsidP="007666C6">
            <w:pPr>
              <w:jc w:val="right"/>
              <w:cnfStyle w:val="000000000000" w:firstRow="0" w:lastRow="0" w:firstColumn="0" w:lastColumn="0" w:oddVBand="0" w:evenVBand="0" w:oddHBand="0" w:evenHBand="0" w:firstRowFirstColumn="0" w:firstRowLastColumn="0" w:lastRowFirstColumn="0" w:lastRowLastColumn="0"/>
              <w:rPr>
                <w:b/>
                <w:sz w:val="18"/>
              </w:rPr>
            </w:pPr>
            <w:r w:rsidRPr="00BA0FBF">
              <w:rPr>
                <w:b/>
                <w:sz w:val="18"/>
              </w:rPr>
              <w:t>30.1</w:t>
            </w:r>
          </w:p>
        </w:tc>
        <w:tc>
          <w:tcPr>
            <w:tcW w:w="378" w:type="pct"/>
            <w:vAlign w:val="top"/>
          </w:tcPr>
          <w:p w:rsidR="00417654" w:rsidRPr="00BA0FBF" w:rsidRDefault="00417654" w:rsidP="007666C6">
            <w:pPr>
              <w:jc w:val="right"/>
              <w:cnfStyle w:val="000000000000" w:firstRow="0" w:lastRow="0" w:firstColumn="0" w:lastColumn="0" w:oddVBand="0" w:evenVBand="0" w:oddHBand="0" w:evenHBand="0" w:firstRowFirstColumn="0" w:firstRowLastColumn="0" w:lastRowFirstColumn="0" w:lastRowLastColumn="0"/>
              <w:rPr>
                <w:b/>
                <w:sz w:val="18"/>
              </w:rPr>
            </w:pPr>
            <w:r w:rsidRPr="00BA0FBF">
              <w:rPr>
                <w:b/>
                <w:sz w:val="18"/>
              </w:rPr>
              <w:t>32.2</w:t>
            </w:r>
          </w:p>
        </w:tc>
        <w:tc>
          <w:tcPr>
            <w:tcW w:w="379" w:type="pct"/>
            <w:vAlign w:val="top"/>
          </w:tcPr>
          <w:p w:rsidR="00417654" w:rsidRPr="00BA0FBF" w:rsidRDefault="00417654" w:rsidP="007666C6">
            <w:pPr>
              <w:jc w:val="right"/>
              <w:cnfStyle w:val="000000000000" w:firstRow="0" w:lastRow="0" w:firstColumn="0" w:lastColumn="0" w:oddVBand="0" w:evenVBand="0" w:oddHBand="0" w:evenHBand="0" w:firstRowFirstColumn="0" w:firstRowLastColumn="0" w:lastRowFirstColumn="0" w:lastRowLastColumn="0"/>
              <w:rPr>
                <w:b/>
                <w:sz w:val="18"/>
              </w:rPr>
            </w:pPr>
            <w:r w:rsidRPr="00BA0FBF">
              <w:rPr>
                <w:b/>
                <w:sz w:val="18"/>
              </w:rPr>
              <w:t>34.4</w:t>
            </w:r>
          </w:p>
        </w:tc>
        <w:tc>
          <w:tcPr>
            <w:tcW w:w="378" w:type="pct"/>
            <w:vAlign w:val="top"/>
          </w:tcPr>
          <w:p w:rsidR="00417654" w:rsidRPr="00BA0FBF" w:rsidRDefault="00417654" w:rsidP="007666C6">
            <w:pPr>
              <w:jc w:val="right"/>
              <w:cnfStyle w:val="000000000000" w:firstRow="0" w:lastRow="0" w:firstColumn="0" w:lastColumn="0" w:oddVBand="0" w:evenVBand="0" w:oddHBand="0" w:evenHBand="0" w:firstRowFirstColumn="0" w:firstRowLastColumn="0" w:lastRowFirstColumn="0" w:lastRowLastColumn="0"/>
              <w:rPr>
                <w:b/>
                <w:sz w:val="18"/>
              </w:rPr>
            </w:pPr>
            <w:r w:rsidRPr="00BA0FBF">
              <w:rPr>
                <w:b/>
                <w:sz w:val="18"/>
              </w:rPr>
              <w:t>36.8</w:t>
            </w:r>
          </w:p>
        </w:tc>
        <w:tc>
          <w:tcPr>
            <w:tcW w:w="375" w:type="pct"/>
            <w:vAlign w:val="top"/>
          </w:tcPr>
          <w:p w:rsidR="00417654" w:rsidRPr="00BA0FBF" w:rsidRDefault="00417654" w:rsidP="007666C6">
            <w:pPr>
              <w:jc w:val="right"/>
              <w:cnfStyle w:val="000000000000" w:firstRow="0" w:lastRow="0" w:firstColumn="0" w:lastColumn="0" w:oddVBand="0" w:evenVBand="0" w:oddHBand="0" w:evenHBand="0" w:firstRowFirstColumn="0" w:firstRowLastColumn="0" w:lastRowFirstColumn="0" w:lastRowLastColumn="0"/>
              <w:rPr>
                <w:b/>
                <w:sz w:val="18"/>
              </w:rPr>
            </w:pPr>
            <w:r w:rsidRPr="00BA0FBF">
              <w:rPr>
                <w:b/>
                <w:sz w:val="18"/>
              </w:rPr>
              <w:t>257.3</w:t>
            </w:r>
          </w:p>
        </w:tc>
      </w:tr>
    </w:tbl>
    <w:p w:rsidR="00726BED" w:rsidRDefault="00726BED" w:rsidP="00726BED">
      <w:pPr>
        <w:pStyle w:val="Source"/>
      </w:pPr>
      <w:r>
        <w:t xml:space="preserve">Source: </w:t>
      </w:r>
      <w:r w:rsidR="004E109F">
        <w:t>PBO analysis based on data from the ABS and Treasury</w:t>
      </w:r>
    </w:p>
    <w:p w:rsidR="00422E1E" w:rsidRPr="00BA0FBF" w:rsidRDefault="00422E1E" w:rsidP="00726BED">
      <w:pPr>
        <w:pStyle w:val="Source"/>
        <w:rPr>
          <w:spacing w:val="-1"/>
        </w:rPr>
      </w:pPr>
      <w:r w:rsidRPr="00BA0FBF">
        <w:br w:type="page"/>
      </w:r>
    </w:p>
    <w:p w:rsidR="00F95381" w:rsidRPr="00BA0FBF" w:rsidRDefault="00591E0E" w:rsidP="0002275E">
      <w:pPr>
        <w:pStyle w:val="Heading9"/>
        <w:numPr>
          <w:ilvl w:val="0"/>
          <w:numId w:val="0"/>
        </w:numPr>
        <w:ind w:left="765" w:hanging="765"/>
      </w:pPr>
      <w:bookmarkStart w:id="312" w:name="_Toc436400366"/>
      <w:bookmarkStart w:id="313" w:name="_Ref436837100"/>
      <w:bookmarkStart w:id="314" w:name="_Toc437438459"/>
      <w:r w:rsidRPr="00BA0FBF">
        <w:t>Scenario 3</w:t>
      </w:r>
      <w:r w:rsidR="00F95381" w:rsidRPr="00BA0FBF">
        <w:t xml:space="preserve">: </w:t>
      </w:r>
      <w:r w:rsidR="001D5F01" w:rsidRPr="00BA0FBF">
        <w:t>Increase the GST rate to 15 per cent</w:t>
      </w:r>
      <w:bookmarkEnd w:id="312"/>
      <w:bookmarkEnd w:id="313"/>
      <w:bookmarkEnd w:id="314"/>
    </w:p>
    <w:p w:rsidR="00F95381" w:rsidRPr="00BA0FBF" w:rsidRDefault="00F95381" w:rsidP="00F95381">
      <w:pPr>
        <w:pStyle w:val="Caption"/>
        <w:rPr>
          <w:sz w:val="20"/>
        </w:rPr>
      </w:pPr>
      <w:r w:rsidRPr="00BA0FBF">
        <w:rPr>
          <w:sz w:val="20"/>
        </w:rPr>
        <w:t xml:space="preserve">Table </w:t>
      </w:r>
      <w:r w:rsidR="00591E0E" w:rsidRPr="00BA0FBF">
        <w:rPr>
          <w:sz w:val="20"/>
        </w:rPr>
        <w:t>C</w:t>
      </w:r>
      <w:r w:rsidRPr="00BA0FBF">
        <w:rPr>
          <w:sz w:val="20"/>
        </w:rPr>
        <w:t>–</w:t>
      </w:r>
      <w:r w:rsidR="005867ED">
        <w:rPr>
          <w:sz w:val="20"/>
        </w:rPr>
        <w:t>5</w:t>
      </w:r>
      <w:r w:rsidRPr="00BA0FBF">
        <w:rPr>
          <w:sz w:val="20"/>
        </w:rPr>
        <w:t xml:space="preserve">:  </w:t>
      </w:r>
      <w:r w:rsidR="00591E0E" w:rsidRPr="00BA0FBF">
        <w:rPr>
          <w:sz w:val="20"/>
        </w:rPr>
        <w:t xml:space="preserve">Net </w:t>
      </w:r>
      <w:r w:rsidR="0045532B">
        <w:rPr>
          <w:sz w:val="20"/>
        </w:rPr>
        <w:t xml:space="preserve">additional </w:t>
      </w:r>
      <w:r w:rsidR="00591E0E" w:rsidRPr="00BA0FBF">
        <w:rPr>
          <w:sz w:val="20"/>
        </w:rPr>
        <w:t xml:space="preserve">GST </w:t>
      </w:r>
      <w:r w:rsidR="008672C7">
        <w:rPr>
          <w:sz w:val="20"/>
        </w:rPr>
        <w:t>r</w:t>
      </w:r>
      <w:r w:rsidR="00591E0E" w:rsidRPr="00BA0FBF">
        <w:rPr>
          <w:sz w:val="20"/>
        </w:rPr>
        <w:t>evenue</w:t>
      </w:r>
      <w:r w:rsidR="003D6275">
        <w:rPr>
          <w:sz w:val="20"/>
        </w:rPr>
        <w:t>:</w:t>
      </w:r>
      <w:r w:rsidR="00591E0E" w:rsidRPr="00BA0FBF">
        <w:rPr>
          <w:sz w:val="20"/>
        </w:rPr>
        <w:t xml:space="preserve"> Scenario 3</w:t>
      </w:r>
      <w:r w:rsidR="003D6275">
        <w:rPr>
          <w:sz w:val="20"/>
        </w:rPr>
        <w:t xml:space="preserve"> (</w:t>
      </w:r>
      <w:r w:rsidR="008672C7">
        <w:rPr>
          <w:sz w:val="20"/>
        </w:rPr>
        <w:t>i</w:t>
      </w:r>
      <w:r w:rsidR="0002160B" w:rsidRPr="00BA0FBF">
        <w:rPr>
          <w:sz w:val="20"/>
        </w:rPr>
        <w:t>ncrease the GST rate to 15 per cent</w:t>
      </w:r>
      <w:r w:rsidR="003D6275">
        <w:rPr>
          <w:sz w:val="20"/>
        </w:rPr>
        <w:t>)</w:t>
      </w:r>
    </w:p>
    <w:tbl>
      <w:tblPr>
        <w:tblStyle w:val="TableGrid"/>
        <w:tblW w:w="4665" w:type="pct"/>
        <w:tblLook w:val="04A0" w:firstRow="1" w:lastRow="0" w:firstColumn="1" w:lastColumn="0" w:noHBand="0" w:noVBand="1"/>
      </w:tblPr>
      <w:tblGrid>
        <w:gridCol w:w="3216"/>
        <w:gridCol w:w="915"/>
        <w:gridCol w:w="915"/>
        <w:gridCol w:w="915"/>
        <w:gridCol w:w="915"/>
        <w:gridCol w:w="915"/>
        <w:gridCol w:w="915"/>
        <w:gridCol w:w="914"/>
        <w:gridCol w:w="914"/>
        <w:gridCol w:w="914"/>
        <w:gridCol w:w="909"/>
      </w:tblGrid>
      <w:tr w:rsidR="0002160B" w:rsidRPr="00BA0FBF" w:rsidTr="0002160B">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301" w:type="pct"/>
          </w:tcPr>
          <w:p w:rsidR="0002160B" w:rsidRPr="00BA0FBF" w:rsidRDefault="0002160B" w:rsidP="0045532B">
            <w:pPr>
              <w:pStyle w:val="TableHeading"/>
              <w:rPr>
                <w:sz w:val="18"/>
              </w:rPr>
            </w:pPr>
            <w:r w:rsidRPr="00BA0FBF">
              <w:rPr>
                <w:sz w:val="18"/>
              </w:rPr>
              <w:t>($b)</w:t>
            </w:r>
          </w:p>
        </w:tc>
        <w:tc>
          <w:tcPr>
            <w:tcW w:w="370" w:type="pct"/>
          </w:tcPr>
          <w:p w:rsidR="0002160B" w:rsidRPr="00BA0FBF" w:rsidRDefault="0002160B" w:rsidP="00F95381">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2017</w:t>
            </w:r>
            <w:r w:rsidR="000B1326">
              <w:rPr>
                <w:sz w:val="18"/>
              </w:rPr>
              <w:t>–</w:t>
            </w:r>
            <w:r w:rsidRPr="00BA0FBF">
              <w:rPr>
                <w:sz w:val="18"/>
              </w:rPr>
              <w:t>18</w:t>
            </w:r>
          </w:p>
        </w:tc>
        <w:tc>
          <w:tcPr>
            <w:tcW w:w="370" w:type="pct"/>
          </w:tcPr>
          <w:p w:rsidR="0002160B" w:rsidRPr="00BA0FBF" w:rsidRDefault="0002160B" w:rsidP="00F95381">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2018</w:t>
            </w:r>
            <w:r w:rsidR="000B1326">
              <w:rPr>
                <w:sz w:val="18"/>
              </w:rPr>
              <w:t>–</w:t>
            </w:r>
            <w:r w:rsidRPr="00BA0FBF">
              <w:rPr>
                <w:sz w:val="18"/>
              </w:rPr>
              <w:t>19</w:t>
            </w:r>
          </w:p>
        </w:tc>
        <w:tc>
          <w:tcPr>
            <w:tcW w:w="370" w:type="pct"/>
          </w:tcPr>
          <w:p w:rsidR="0002160B" w:rsidRPr="00BA0FBF" w:rsidRDefault="0002160B" w:rsidP="00F95381">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2019</w:t>
            </w:r>
            <w:r w:rsidR="000B1326">
              <w:rPr>
                <w:sz w:val="18"/>
              </w:rPr>
              <w:t>–</w:t>
            </w:r>
            <w:r w:rsidRPr="00BA0FBF">
              <w:rPr>
                <w:sz w:val="18"/>
              </w:rPr>
              <w:t>20</w:t>
            </w:r>
          </w:p>
        </w:tc>
        <w:tc>
          <w:tcPr>
            <w:tcW w:w="370" w:type="pct"/>
          </w:tcPr>
          <w:p w:rsidR="0002160B" w:rsidRPr="00BA0FBF" w:rsidRDefault="0002160B" w:rsidP="00F95381">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2020</w:t>
            </w:r>
            <w:r w:rsidR="000B1326">
              <w:rPr>
                <w:sz w:val="18"/>
              </w:rPr>
              <w:t>–</w:t>
            </w:r>
            <w:r w:rsidRPr="00BA0FBF">
              <w:rPr>
                <w:sz w:val="18"/>
              </w:rPr>
              <w:t>21</w:t>
            </w:r>
          </w:p>
        </w:tc>
        <w:tc>
          <w:tcPr>
            <w:tcW w:w="370" w:type="pct"/>
          </w:tcPr>
          <w:p w:rsidR="0002160B" w:rsidRPr="00BA0FBF" w:rsidRDefault="0002160B" w:rsidP="00F95381">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2021</w:t>
            </w:r>
            <w:r w:rsidR="000B1326">
              <w:rPr>
                <w:sz w:val="18"/>
              </w:rPr>
              <w:t>–</w:t>
            </w:r>
            <w:r w:rsidRPr="00BA0FBF">
              <w:rPr>
                <w:sz w:val="18"/>
              </w:rPr>
              <w:t>22</w:t>
            </w:r>
          </w:p>
        </w:tc>
        <w:tc>
          <w:tcPr>
            <w:tcW w:w="370" w:type="pct"/>
          </w:tcPr>
          <w:p w:rsidR="0002160B" w:rsidRPr="00BA0FBF" w:rsidRDefault="0002160B" w:rsidP="00F95381">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2022</w:t>
            </w:r>
            <w:r w:rsidR="000B1326">
              <w:rPr>
                <w:sz w:val="18"/>
              </w:rPr>
              <w:t>–</w:t>
            </w:r>
            <w:r w:rsidRPr="00BA0FBF">
              <w:rPr>
                <w:sz w:val="18"/>
              </w:rPr>
              <w:t>23</w:t>
            </w:r>
          </w:p>
        </w:tc>
        <w:tc>
          <w:tcPr>
            <w:tcW w:w="370" w:type="pct"/>
          </w:tcPr>
          <w:p w:rsidR="0002160B" w:rsidRPr="00BA0FBF" w:rsidRDefault="0002160B" w:rsidP="00F95381">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2023</w:t>
            </w:r>
            <w:r w:rsidR="000B1326">
              <w:rPr>
                <w:sz w:val="18"/>
              </w:rPr>
              <w:t>–</w:t>
            </w:r>
            <w:r w:rsidRPr="00BA0FBF">
              <w:rPr>
                <w:sz w:val="18"/>
              </w:rPr>
              <w:t>24</w:t>
            </w:r>
          </w:p>
        </w:tc>
        <w:tc>
          <w:tcPr>
            <w:tcW w:w="370" w:type="pct"/>
          </w:tcPr>
          <w:p w:rsidR="0002160B" w:rsidRPr="00BA0FBF" w:rsidRDefault="0002160B" w:rsidP="00F95381">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2024</w:t>
            </w:r>
            <w:r w:rsidR="000B1326">
              <w:rPr>
                <w:sz w:val="18"/>
              </w:rPr>
              <w:t>–</w:t>
            </w:r>
            <w:r w:rsidRPr="00BA0FBF">
              <w:rPr>
                <w:sz w:val="18"/>
              </w:rPr>
              <w:t>25</w:t>
            </w:r>
          </w:p>
        </w:tc>
        <w:tc>
          <w:tcPr>
            <w:tcW w:w="370" w:type="pct"/>
          </w:tcPr>
          <w:p w:rsidR="0002160B" w:rsidRPr="00BA0FBF" w:rsidRDefault="0002160B" w:rsidP="00F95381">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2025</w:t>
            </w:r>
            <w:r w:rsidR="000B1326">
              <w:rPr>
                <w:sz w:val="18"/>
              </w:rPr>
              <w:t>–</w:t>
            </w:r>
            <w:r w:rsidRPr="00BA0FBF">
              <w:rPr>
                <w:sz w:val="18"/>
              </w:rPr>
              <w:t>26</w:t>
            </w:r>
          </w:p>
        </w:tc>
        <w:tc>
          <w:tcPr>
            <w:tcW w:w="368" w:type="pct"/>
          </w:tcPr>
          <w:p w:rsidR="0002160B" w:rsidRPr="00BA0FBF" w:rsidRDefault="0002160B" w:rsidP="00F95381">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Medium Term</w:t>
            </w:r>
          </w:p>
        </w:tc>
      </w:tr>
      <w:tr w:rsidR="009760C0" w:rsidRPr="00BA0FBF" w:rsidTr="0002160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01" w:type="pct"/>
          </w:tcPr>
          <w:p w:rsidR="009760C0" w:rsidRPr="00BA0FBF" w:rsidRDefault="009760C0" w:rsidP="00F95381">
            <w:pPr>
              <w:pStyle w:val="TableText"/>
              <w:rPr>
                <w:b/>
                <w:sz w:val="18"/>
              </w:rPr>
            </w:pPr>
            <w:r w:rsidRPr="00BA0FBF">
              <w:rPr>
                <w:b/>
                <w:sz w:val="18"/>
              </w:rPr>
              <w:t>GST revenue</w:t>
            </w:r>
          </w:p>
        </w:tc>
        <w:tc>
          <w:tcPr>
            <w:tcW w:w="370" w:type="pct"/>
            <w:vAlign w:val="top"/>
          </w:tcPr>
          <w:p w:rsidR="009760C0" w:rsidRPr="009760C0" w:rsidRDefault="009760C0" w:rsidP="00884AB3">
            <w:pPr>
              <w:jc w:val="right"/>
              <w:cnfStyle w:val="000000100000" w:firstRow="0" w:lastRow="0" w:firstColumn="0" w:lastColumn="0" w:oddVBand="0" w:evenVBand="0" w:oddHBand="1" w:evenHBand="0" w:firstRowFirstColumn="0" w:firstRowLastColumn="0" w:lastRowFirstColumn="0" w:lastRowLastColumn="0"/>
              <w:rPr>
                <w:sz w:val="18"/>
              </w:rPr>
            </w:pPr>
            <w:r w:rsidRPr="009760C0">
              <w:rPr>
                <w:sz w:val="18"/>
              </w:rPr>
              <w:t>32.5</w:t>
            </w:r>
          </w:p>
        </w:tc>
        <w:tc>
          <w:tcPr>
            <w:tcW w:w="370" w:type="pct"/>
            <w:vAlign w:val="top"/>
          </w:tcPr>
          <w:p w:rsidR="009760C0" w:rsidRPr="009760C0" w:rsidRDefault="009760C0" w:rsidP="00884AB3">
            <w:pPr>
              <w:jc w:val="right"/>
              <w:cnfStyle w:val="000000100000" w:firstRow="0" w:lastRow="0" w:firstColumn="0" w:lastColumn="0" w:oddVBand="0" w:evenVBand="0" w:oddHBand="1" w:evenHBand="0" w:firstRowFirstColumn="0" w:firstRowLastColumn="0" w:lastRowFirstColumn="0" w:lastRowLastColumn="0"/>
              <w:rPr>
                <w:sz w:val="18"/>
              </w:rPr>
            </w:pPr>
            <w:r w:rsidRPr="009760C0">
              <w:rPr>
                <w:sz w:val="18"/>
              </w:rPr>
              <w:t>34.4</w:t>
            </w:r>
          </w:p>
        </w:tc>
        <w:tc>
          <w:tcPr>
            <w:tcW w:w="370" w:type="pct"/>
            <w:vAlign w:val="top"/>
          </w:tcPr>
          <w:p w:rsidR="009760C0" w:rsidRPr="009760C0" w:rsidRDefault="009760C0" w:rsidP="00884AB3">
            <w:pPr>
              <w:jc w:val="right"/>
              <w:cnfStyle w:val="000000100000" w:firstRow="0" w:lastRow="0" w:firstColumn="0" w:lastColumn="0" w:oddVBand="0" w:evenVBand="0" w:oddHBand="1" w:evenHBand="0" w:firstRowFirstColumn="0" w:firstRowLastColumn="0" w:lastRowFirstColumn="0" w:lastRowLastColumn="0"/>
              <w:rPr>
                <w:sz w:val="18"/>
              </w:rPr>
            </w:pPr>
            <w:r w:rsidRPr="009760C0">
              <w:rPr>
                <w:sz w:val="18"/>
              </w:rPr>
              <w:t>35.8</w:t>
            </w:r>
          </w:p>
        </w:tc>
        <w:tc>
          <w:tcPr>
            <w:tcW w:w="370" w:type="pct"/>
            <w:vAlign w:val="top"/>
          </w:tcPr>
          <w:p w:rsidR="009760C0" w:rsidRPr="009760C0" w:rsidRDefault="009760C0" w:rsidP="00884AB3">
            <w:pPr>
              <w:jc w:val="right"/>
              <w:cnfStyle w:val="000000100000" w:firstRow="0" w:lastRow="0" w:firstColumn="0" w:lastColumn="0" w:oddVBand="0" w:evenVBand="0" w:oddHBand="1" w:evenHBand="0" w:firstRowFirstColumn="0" w:firstRowLastColumn="0" w:lastRowFirstColumn="0" w:lastRowLastColumn="0"/>
              <w:rPr>
                <w:sz w:val="18"/>
              </w:rPr>
            </w:pPr>
            <w:r w:rsidRPr="009760C0">
              <w:rPr>
                <w:sz w:val="18"/>
              </w:rPr>
              <w:t>37.8</w:t>
            </w:r>
          </w:p>
        </w:tc>
        <w:tc>
          <w:tcPr>
            <w:tcW w:w="370" w:type="pct"/>
            <w:vAlign w:val="top"/>
          </w:tcPr>
          <w:p w:rsidR="009760C0" w:rsidRPr="009760C0" w:rsidRDefault="009760C0" w:rsidP="00884AB3">
            <w:pPr>
              <w:jc w:val="right"/>
              <w:cnfStyle w:val="000000100000" w:firstRow="0" w:lastRow="0" w:firstColumn="0" w:lastColumn="0" w:oddVBand="0" w:evenVBand="0" w:oddHBand="1" w:evenHBand="0" w:firstRowFirstColumn="0" w:firstRowLastColumn="0" w:lastRowFirstColumn="0" w:lastRowLastColumn="0"/>
              <w:rPr>
                <w:sz w:val="18"/>
              </w:rPr>
            </w:pPr>
            <w:r w:rsidRPr="009760C0">
              <w:rPr>
                <w:sz w:val="18"/>
              </w:rPr>
              <w:t>40.1</w:t>
            </w:r>
          </w:p>
        </w:tc>
        <w:tc>
          <w:tcPr>
            <w:tcW w:w="370" w:type="pct"/>
            <w:vAlign w:val="top"/>
          </w:tcPr>
          <w:p w:rsidR="009760C0" w:rsidRPr="009760C0" w:rsidRDefault="009760C0" w:rsidP="00884AB3">
            <w:pPr>
              <w:jc w:val="right"/>
              <w:cnfStyle w:val="000000100000" w:firstRow="0" w:lastRow="0" w:firstColumn="0" w:lastColumn="0" w:oddVBand="0" w:evenVBand="0" w:oddHBand="1" w:evenHBand="0" w:firstRowFirstColumn="0" w:firstRowLastColumn="0" w:lastRowFirstColumn="0" w:lastRowLastColumn="0"/>
              <w:rPr>
                <w:sz w:val="18"/>
              </w:rPr>
            </w:pPr>
            <w:r w:rsidRPr="009760C0">
              <w:rPr>
                <w:sz w:val="18"/>
              </w:rPr>
              <w:t>42.4</w:t>
            </w:r>
          </w:p>
        </w:tc>
        <w:tc>
          <w:tcPr>
            <w:tcW w:w="370" w:type="pct"/>
            <w:vAlign w:val="top"/>
          </w:tcPr>
          <w:p w:rsidR="009760C0" w:rsidRPr="009760C0" w:rsidRDefault="009760C0" w:rsidP="00884AB3">
            <w:pPr>
              <w:jc w:val="right"/>
              <w:cnfStyle w:val="000000100000" w:firstRow="0" w:lastRow="0" w:firstColumn="0" w:lastColumn="0" w:oddVBand="0" w:evenVBand="0" w:oddHBand="1" w:evenHBand="0" w:firstRowFirstColumn="0" w:firstRowLastColumn="0" w:lastRowFirstColumn="0" w:lastRowLastColumn="0"/>
              <w:rPr>
                <w:sz w:val="18"/>
              </w:rPr>
            </w:pPr>
            <w:r w:rsidRPr="009760C0">
              <w:rPr>
                <w:sz w:val="18"/>
              </w:rPr>
              <w:t>44.7</w:t>
            </w:r>
          </w:p>
        </w:tc>
        <w:tc>
          <w:tcPr>
            <w:tcW w:w="370" w:type="pct"/>
            <w:vAlign w:val="top"/>
          </w:tcPr>
          <w:p w:rsidR="009760C0" w:rsidRPr="009760C0" w:rsidRDefault="009760C0" w:rsidP="00884AB3">
            <w:pPr>
              <w:jc w:val="right"/>
              <w:cnfStyle w:val="000000100000" w:firstRow="0" w:lastRow="0" w:firstColumn="0" w:lastColumn="0" w:oddVBand="0" w:evenVBand="0" w:oddHBand="1" w:evenHBand="0" w:firstRowFirstColumn="0" w:firstRowLastColumn="0" w:lastRowFirstColumn="0" w:lastRowLastColumn="0"/>
              <w:rPr>
                <w:sz w:val="18"/>
              </w:rPr>
            </w:pPr>
            <w:r w:rsidRPr="009760C0">
              <w:rPr>
                <w:sz w:val="18"/>
              </w:rPr>
              <w:t>47.1</w:t>
            </w:r>
          </w:p>
        </w:tc>
        <w:tc>
          <w:tcPr>
            <w:tcW w:w="370" w:type="pct"/>
            <w:vAlign w:val="top"/>
          </w:tcPr>
          <w:p w:rsidR="009760C0" w:rsidRPr="009760C0" w:rsidRDefault="009760C0" w:rsidP="00884AB3">
            <w:pPr>
              <w:jc w:val="right"/>
              <w:cnfStyle w:val="000000100000" w:firstRow="0" w:lastRow="0" w:firstColumn="0" w:lastColumn="0" w:oddVBand="0" w:evenVBand="0" w:oddHBand="1" w:evenHBand="0" w:firstRowFirstColumn="0" w:firstRowLastColumn="0" w:lastRowFirstColumn="0" w:lastRowLastColumn="0"/>
              <w:rPr>
                <w:sz w:val="18"/>
              </w:rPr>
            </w:pPr>
            <w:r w:rsidRPr="009760C0">
              <w:rPr>
                <w:sz w:val="18"/>
              </w:rPr>
              <w:t>49.7</w:t>
            </w:r>
          </w:p>
        </w:tc>
        <w:tc>
          <w:tcPr>
            <w:tcW w:w="368" w:type="pct"/>
            <w:vAlign w:val="top"/>
          </w:tcPr>
          <w:p w:rsidR="009760C0" w:rsidRPr="009760C0" w:rsidRDefault="009760C0" w:rsidP="00884AB3">
            <w:pPr>
              <w:jc w:val="right"/>
              <w:cnfStyle w:val="000000100000" w:firstRow="0" w:lastRow="0" w:firstColumn="0" w:lastColumn="0" w:oddVBand="0" w:evenVBand="0" w:oddHBand="1" w:evenHBand="0" w:firstRowFirstColumn="0" w:firstRowLastColumn="0" w:lastRowFirstColumn="0" w:lastRowLastColumn="0"/>
              <w:rPr>
                <w:sz w:val="18"/>
              </w:rPr>
            </w:pPr>
            <w:r w:rsidRPr="009760C0">
              <w:rPr>
                <w:sz w:val="18"/>
              </w:rPr>
              <w:t>364.5</w:t>
            </w:r>
          </w:p>
        </w:tc>
      </w:tr>
      <w:tr w:rsidR="009760C0" w:rsidRPr="00BA0FBF" w:rsidTr="0002160B">
        <w:trPr>
          <w:cantSplit/>
        </w:trPr>
        <w:tc>
          <w:tcPr>
            <w:cnfStyle w:val="001000000000" w:firstRow="0" w:lastRow="0" w:firstColumn="1" w:lastColumn="0" w:oddVBand="0" w:evenVBand="0" w:oddHBand="0" w:evenHBand="0" w:firstRowFirstColumn="0" w:firstRowLastColumn="0" w:lastRowFirstColumn="0" w:lastRowLastColumn="0"/>
            <w:tcW w:w="1301" w:type="pct"/>
          </w:tcPr>
          <w:p w:rsidR="009760C0" w:rsidRPr="00BA0FBF" w:rsidRDefault="009760C0" w:rsidP="00F95381">
            <w:pPr>
              <w:pStyle w:val="TableText"/>
              <w:rPr>
                <w:sz w:val="18"/>
              </w:rPr>
            </w:pPr>
            <w:r w:rsidRPr="00BA0FBF">
              <w:rPr>
                <w:b/>
                <w:sz w:val="18"/>
              </w:rPr>
              <w:t>Compensation: Technical Assumption</w:t>
            </w:r>
          </w:p>
        </w:tc>
        <w:tc>
          <w:tcPr>
            <w:tcW w:w="370" w:type="pct"/>
            <w:vAlign w:val="top"/>
          </w:tcPr>
          <w:p w:rsidR="009760C0" w:rsidRPr="009760C0" w:rsidRDefault="009760C0" w:rsidP="00884AB3">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-7.9</w:t>
            </w:r>
          </w:p>
        </w:tc>
        <w:tc>
          <w:tcPr>
            <w:tcW w:w="370" w:type="pct"/>
            <w:vAlign w:val="top"/>
          </w:tcPr>
          <w:p w:rsidR="009760C0" w:rsidRPr="009760C0" w:rsidRDefault="009760C0" w:rsidP="00884AB3">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-8.4</w:t>
            </w:r>
          </w:p>
        </w:tc>
        <w:tc>
          <w:tcPr>
            <w:tcW w:w="370" w:type="pct"/>
            <w:vAlign w:val="top"/>
          </w:tcPr>
          <w:p w:rsidR="009760C0" w:rsidRPr="009760C0" w:rsidRDefault="009760C0" w:rsidP="00884AB3">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-8.7</w:t>
            </w:r>
          </w:p>
        </w:tc>
        <w:tc>
          <w:tcPr>
            <w:tcW w:w="370" w:type="pct"/>
            <w:vAlign w:val="top"/>
          </w:tcPr>
          <w:p w:rsidR="009760C0" w:rsidRPr="009760C0" w:rsidRDefault="009760C0" w:rsidP="00884AB3">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-9.2</w:t>
            </w:r>
          </w:p>
        </w:tc>
        <w:tc>
          <w:tcPr>
            <w:tcW w:w="370" w:type="pct"/>
            <w:vAlign w:val="top"/>
          </w:tcPr>
          <w:p w:rsidR="009760C0" w:rsidRPr="009760C0" w:rsidRDefault="009760C0" w:rsidP="00884AB3">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-9.7</w:t>
            </w:r>
          </w:p>
        </w:tc>
        <w:tc>
          <w:tcPr>
            <w:tcW w:w="370" w:type="pct"/>
            <w:vAlign w:val="top"/>
          </w:tcPr>
          <w:p w:rsidR="009760C0" w:rsidRPr="009760C0" w:rsidRDefault="009760C0" w:rsidP="00884AB3">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-10.3</w:t>
            </w:r>
          </w:p>
        </w:tc>
        <w:tc>
          <w:tcPr>
            <w:tcW w:w="370" w:type="pct"/>
            <w:vAlign w:val="top"/>
          </w:tcPr>
          <w:p w:rsidR="009760C0" w:rsidRPr="009760C0" w:rsidRDefault="009760C0" w:rsidP="00884AB3">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-10.8</w:t>
            </w:r>
          </w:p>
        </w:tc>
        <w:tc>
          <w:tcPr>
            <w:tcW w:w="370" w:type="pct"/>
            <w:vAlign w:val="top"/>
          </w:tcPr>
          <w:p w:rsidR="009760C0" w:rsidRPr="009760C0" w:rsidRDefault="009760C0" w:rsidP="00884AB3">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-11.4</w:t>
            </w:r>
          </w:p>
        </w:tc>
        <w:tc>
          <w:tcPr>
            <w:tcW w:w="370" w:type="pct"/>
            <w:vAlign w:val="top"/>
          </w:tcPr>
          <w:p w:rsidR="009760C0" w:rsidRPr="009760C0" w:rsidRDefault="009760C0" w:rsidP="00884AB3">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-12.0</w:t>
            </w:r>
          </w:p>
        </w:tc>
        <w:tc>
          <w:tcPr>
            <w:tcW w:w="368" w:type="pct"/>
            <w:vAlign w:val="top"/>
          </w:tcPr>
          <w:p w:rsidR="009760C0" w:rsidRPr="009760C0" w:rsidRDefault="009760C0" w:rsidP="00884AB3">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-88.4</w:t>
            </w:r>
          </w:p>
        </w:tc>
      </w:tr>
      <w:tr w:rsidR="009760C0" w:rsidRPr="00BA0FBF" w:rsidTr="0002160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01" w:type="pct"/>
          </w:tcPr>
          <w:p w:rsidR="009760C0" w:rsidRPr="00BA0FBF" w:rsidRDefault="009760C0" w:rsidP="00591E0E">
            <w:pPr>
              <w:pStyle w:val="TableText"/>
              <w:rPr>
                <w:b/>
                <w:sz w:val="18"/>
              </w:rPr>
            </w:pPr>
            <w:r w:rsidRPr="00BA0FBF">
              <w:rPr>
                <w:b/>
                <w:sz w:val="18"/>
              </w:rPr>
              <w:t>Net</w:t>
            </w:r>
            <w:r w:rsidR="0045532B">
              <w:rPr>
                <w:b/>
                <w:sz w:val="18"/>
              </w:rPr>
              <w:t xml:space="preserve"> additional</w:t>
            </w:r>
            <w:r w:rsidRPr="00BA0FBF">
              <w:rPr>
                <w:b/>
                <w:sz w:val="18"/>
              </w:rPr>
              <w:t xml:space="preserve"> GST revenue: Scenario 3</w:t>
            </w:r>
          </w:p>
        </w:tc>
        <w:tc>
          <w:tcPr>
            <w:tcW w:w="370" w:type="pct"/>
            <w:vAlign w:val="top"/>
          </w:tcPr>
          <w:p w:rsidR="009760C0" w:rsidRPr="009760C0" w:rsidRDefault="009760C0" w:rsidP="00884AB3">
            <w:pPr>
              <w:jc w:val="right"/>
              <w:cnfStyle w:val="000000100000" w:firstRow="0" w:lastRow="0" w:firstColumn="0" w:lastColumn="0" w:oddVBand="0" w:evenVBand="0" w:oddHBand="1" w:evenHBand="0" w:firstRowFirstColumn="0" w:firstRowLastColumn="0" w:lastRowFirstColumn="0" w:lastRowLastColumn="0"/>
              <w:rPr>
                <w:b/>
                <w:sz w:val="18"/>
              </w:rPr>
            </w:pPr>
            <w:r w:rsidRPr="009760C0">
              <w:rPr>
                <w:b/>
                <w:sz w:val="18"/>
              </w:rPr>
              <w:t>24.6</w:t>
            </w:r>
          </w:p>
        </w:tc>
        <w:tc>
          <w:tcPr>
            <w:tcW w:w="370" w:type="pct"/>
            <w:vAlign w:val="top"/>
          </w:tcPr>
          <w:p w:rsidR="009760C0" w:rsidRPr="009760C0" w:rsidRDefault="009760C0" w:rsidP="00884AB3">
            <w:pPr>
              <w:jc w:val="right"/>
              <w:cnfStyle w:val="000000100000" w:firstRow="0" w:lastRow="0" w:firstColumn="0" w:lastColumn="0" w:oddVBand="0" w:evenVBand="0" w:oddHBand="1" w:evenHBand="0" w:firstRowFirstColumn="0" w:firstRowLastColumn="0" w:lastRowFirstColumn="0" w:lastRowLastColumn="0"/>
              <w:rPr>
                <w:b/>
                <w:sz w:val="18"/>
              </w:rPr>
            </w:pPr>
            <w:r w:rsidRPr="009760C0">
              <w:rPr>
                <w:b/>
                <w:sz w:val="18"/>
              </w:rPr>
              <w:t>26.0</w:t>
            </w:r>
          </w:p>
        </w:tc>
        <w:tc>
          <w:tcPr>
            <w:tcW w:w="370" w:type="pct"/>
            <w:vAlign w:val="top"/>
          </w:tcPr>
          <w:p w:rsidR="009760C0" w:rsidRPr="009760C0" w:rsidRDefault="009760C0" w:rsidP="00884AB3">
            <w:pPr>
              <w:jc w:val="right"/>
              <w:cnfStyle w:val="000000100000" w:firstRow="0" w:lastRow="0" w:firstColumn="0" w:lastColumn="0" w:oddVBand="0" w:evenVBand="0" w:oddHBand="1" w:evenHBand="0" w:firstRowFirstColumn="0" w:firstRowLastColumn="0" w:lastRowFirstColumn="0" w:lastRowLastColumn="0"/>
              <w:rPr>
                <w:b/>
                <w:sz w:val="18"/>
              </w:rPr>
            </w:pPr>
            <w:r w:rsidRPr="009760C0">
              <w:rPr>
                <w:b/>
                <w:sz w:val="18"/>
              </w:rPr>
              <w:t>27.1</w:t>
            </w:r>
          </w:p>
        </w:tc>
        <w:tc>
          <w:tcPr>
            <w:tcW w:w="370" w:type="pct"/>
            <w:vAlign w:val="top"/>
          </w:tcPr>
          <w:p w:rsidR="009760C0" w:rsidRPr="009760C0" w:rsidRDefault="009760C0" w:rsidP="00884AB3">
            <w:pPr>
              <w:jc w:val="right"/>
              <w:cnfStyle w:val="000000100000" w:firstRow="0" w:lastRow="0" w:firstColumn="0" w:lastColumn="0" w:oddVBand="0" w:evenVBand="0" w:oddHBand="1" w:evenHBand="0" w:firstRowFirstColumn="0" w:firstRowLastColumn="0" w:lastRowFirstColumn="0" w:lastRowLastColumn="0"/>
              <w:rPr>
                <w:b/>
                <w:sz w:val="18"/>
              </w:rPr>
            </w:pPr>
            <w:r w:rsidRPr="009760C0">
              <w:rPr>
                <w:b/>
                <w:sz w:val="18"/>
              </w:rPr>
              <w:t>28.6</w:t>
            </w:r>
          </w:p>
        </w:tc>
        <w:tc>
          <w:tcPr>
            <w:tcW w:w="370" w:type="pct"/>
            <w:vAlign w:val="top"/>
          </w:tcPr>
          <w:p w:rsidR="009760C0" w:rsidRPr="009760C0" w:rsidRDefault="009760C0" w:rsidP="00884AB3">
            <w:pPr>
              <w:jc w:val="right"/>
              <w:cnfStyle w:val="000000100000" w:firstRow="0" w:lastRow="0" w:firstColumn="0" w:lastColumn="0" w:oddVBand="0" w:evenVBand="0" w:oddHBand="1" w:evenHBand="0" w:firstRowFirstColumn="0" w:firstRowLastColumn="0" w:lastRowFirstColumn="0" w:lastRowLastColumn="0"/>
              <w:rPr>
                <w:b/>
                <w:sz w:val="18"/>
              </w:rPr>
            </w:pPr>
            <w:r w:rsidRPr="009760C0">
              <w:rPr>
                <w:b/>
                <w:sz w:val="18"/>
              </w:rPr>
              <w:t>30.4</w:t>
            </w:r>
          </w:p>
        </w:tc>
        <w:tc>
          <w:tcPr>
            <w:tcW w:w="370" w:type="pct"/>
            <w:vAlign w:val="top"/>
          </w:tcPr>
          <w:p w:rsidR="009760C0" w:rsidRPr="009760C0" w:rsidRDefault="009760C0" w:rsidP="00884AB3">
            <w:pPr>
              <w:jc w:val="right"/>
              <w:cnfStyle w:val="000000100000" w:firstRow="0" w:lastRow="0" w:firstColumn="0" w:lastColumn="0" w:oddVBand="0" w:evenVBand="0" w:oddHBand="1" w:evenHBand="0" w:firstRowFirstColumn="0" w:firstRowLastColumn="0" w:lastRowFirstColumn="0" w:lastRowLastColumn="0"/>
              <w:rPr>
                <w:b/>
                <w:sz w:val="18"/>
              </w:rPr>
            </w:pPr>
            <w:r w:rsidRPr="009760C0">
              <w:rPr>
                <w:b/>
                <w:sz w:val="18"/>
              </w:rPr>
              <w:t>32.1</w:t>
            </w:r>
          </w:p>
        </w:tc>
        <w:tc>
          <w:tcPr>
            <w:tcW w:w="370" w:type="pct"/>
            <w:vAlign w:val="top"/>
          </w:tcPr>
          <w:p w:rsidR="009760C0" w:rsidRPr="009760C0" w:rsidRDefault="009760C0" w:rsidP="00884AB3">
            <w:pPr>
              <w:jc w:val="right"/>
              <w:cnfStyle w:val="000000100000" w:firstRow="0" w:lastRow="0" w:firstColumn="0" w:lastColumn="0" w:oddVBand="0" w:evenVBand="0" w:oddHBand="1" w:evenHBand="0" w:firstRowFirstColumn="0" w:firstRowLastColumn="0" w:lastRowFirstColumn="0" w:lastRowLastColumn="0"/>
              <w:rPr>
                <w:b/>
                <w:sz w:val="18"/>
              </w:rPr>
            </w:pPr>
            <w:r w:rsidRPr="009760C0">
              <w:rPr>
                <w:b/>
                <w:sz w:val="18"/>
              </w:rPr>
              <w:t>33.9</w:t>
            </w:r>
          </w:p>
        </w:tc>
        <w:tc>
          <w:tcPr>
            <w:tcW w:w="370" w:type="pct"/>
            <w:vAlign w:val="top"/>
          </w:tcPr>
          <w:p w:rsidR="009760C0" w:rsidRPr="009760C0" w:rsidRDefault="009760C0" w:rsidP="00884AB3">
            <w:pPr>
              <w:jc w:val="right"/>
              <w:cnfStyle w:val="000000100000" w:firstRow="0" w:lastRow="0" w:firstColumn="0" w:lastColumn="0" w:oddVBand="0" w:evenVBand="0" w:oddHBand="1" w:evenHBand="0" w:firstRowFirstColumn="0" w:firstRowLastColumn="0" w:lastRowFirstColumn="0" w:lastRowLastColumn="0"/>
              <w:rPr>
                <w:b/>
                <w:sz w:val="18"/>
              </w:rPr>
            </w:pPr>
            <w:r w:rsidRPr="009760C0">
              <w:rPr>
                <w:b/>
                <w:sz w:val="18"/>
              </w:rPr>
              <w:t>35.7</w:t>
            </w:r>
          </w:p>
        </w:tc>
        <w:tc>
          <w:tcPr>
            <w:tcW w:w="370" w:type="pct"/>
            <w:vAlign w:val="top"/>
          </w:tcPr>
          <w:p w:rsidR="009760C0" w:rsidRPr="009760C0" w:rsidRDefault="009760C0" w:rsidP="00884AB3">
            <w:pPr>
              <w:jc w:val="right"/>
              <w:cnfStyle w:val="000000100000" w:firstRow="0" w:lastRow="0" w:firstColumn="0" w:lastColumn="0" w:oddVBand="0" w:evenVBand="0" w:oddHBand="1" w:evenHBand="0" w:firstRowFirstColumn="0" w:firstRowLastColumn="0" w:lastRowFirstColumn="0" w:lastRowLastColumn="0"/>
              <w:rPr>
                <w:b/>
                <w:sz w:val="18"/>
              </w:rPr>
            </w:pPr>
            <w:r w:rsidRPr="009760C0">
              <w:rPr>
                <w:b/>
                <w:sz w:val="18"/>
              </w:rPr>
              <w:t>37.7</w:t>
            </w:r>
          </w:p>
        </w:tc>
        <w:tc>
          <w:tcPr>
            <w:tcW w:w="368" w:type="pct"/>
            <w:vAlign w:val="top"/>
          </w:tcPr>
          <w:p w:rsidR="009760C0" w:rsidRPr="009760C0" w:rsidRDefault="009760C0" w:rsidP="00884AB3">
            <w:pPr>
              <w:jc w:val="right"/>
              <w:cnfStyle w:val="000000100000" w:firstRow="0" w:lastRow="0" w:firstColumn="0" w:lastColumn="0" w:oddVBand="0" w:evenVBand="0" w:oddHBand="1" w:evenHBand="0" w:firstRowFirstColumn="0" w:firstRowLastColumn="0" w:lastRowFirstColumn="0" w:lastRowLastColumn="0"/>
              <w:rPr>
                <w:b/>
                <w:sz w:val="18"/>
              </w:rPr>
            </w:pPr>
            <w:r w:rsidRPr="009760C0">
              <w:rPr>
                <w:b/>
                <w:sz w:val="18"/>
              </w:rPr>
              <w:t>276.1</w:t>
            </w:r>
          </w:p>
        </w:tc>
      </w:tr>
    </w:tbl>
    <w:p w:rsidR="00726BED" w:rsidRDefault="00726BED" w:rsidP="00726BED">
      <w:pPr>
        <w:pStyle w:val="Source"/>
      </w:pPr>
      <w:r>
        <w:t xml:space="preserve">Source: </w:t>
      </w:r>
      <w:r w:rsidR="004E109F">
        <w:t>PBO analysis based on data from the ABS and Treasury</w:t>
      </w:r>
    </w:p>
    <w:p w:rsidR="00591E0E" w:rsidRPr="00BA0FBF" w:rsidRDefault="00591E0E" w:rsidP="00726BED">
      <w:pPr>
        <w:pStyle w:val="Source"/>
        <w:rPr>
          <w:color w:val="2B3B5F" w:themeColor="text2"/>
          <w:spacing w:val="-4"/>
        </w:rPr>
      </w:pPr>
      <w:r w:rsidRPr="00BA0FBF">
        <w:br w:type="page"/>
      </w:r>
    </w:p>
    <w:p w:rsidR="00F95381" w:rsidRPr="00BA0FBF" w:rsidRDefault="00F95381" w:rsidP="00F95381">
      <w:pPr>
        <w:pStyle w:val="Caption"/>
        <w:rPr>
          <w:sz w:val="20"/>
        </w:rPr>
      </w:pPr>
      <w:r w:rsidRPr="00BA0FBF">
        <w:rPr>
          <w:sz w:val="20"/>
        </w:rPr>
        <w:t xml:space="preserve">Table </w:t>
      </w:r>
      <w:r w:rsidR="00591E0E" w:rsidRPr="00BA0FBF">
        <w:rPr>
          <w:sz w:val="20"/>
        </w:rPr>
        <w:t>C</w:t>
      </w:r>
      <w:r w:rsidRPr="00BA0FBF">
        <w:rPr>
          <w:sz w:val="20"/>
        </w:rPr>
        <w:t>–</w:t>
      </w:r>
      <w:r w:rsidR="005867ED">
        <w:rPr>
          <w:sz w:val="20"/>
        </w:rPr>
        <w:t>6</w:t>
      </w:r>
      <w:r w:rsidRPr="00BA0FBF">
        <w:rPr>
          <w:sz w:val="20"/>
        </w:rPr>
        <w:t xml:space="preserve">: Composition of </w:t>
      </w:r>
      <w:r w:rsidR="00D30E71">
        <w:rPr>
          <w:sz w:val="20"/>
        </w:rPr>
        <w:t>a</w:t>
      </w:r>
      <w:r w:rsidRPr="00BA0FBF">
        <w:rPr>
          <w:sz w:val="20"/>
        </w:rPr>
        <w:t>d</w:t>
      </w:r>
      <w:r w:rsidR="00591E0E" w:rsidRPr="00BA0FBF">
        <w:rPr>
          <w:sz w:val="20"/>
        </w:rPr>
        <w:t xml:space="preserve">ditional GST </w:t>
      </w:r>
      <w:r w:rsidR="00D30E71">
        <w:rPr>
          <w:sz w:val="20"/>
        </w:rPr>
        <w:t>r</w:t>
      </w:r>
      <w:r w:rsidR="00591E0E" w:rsidRPr="00BA0FBF">
        <w:rPr>
          <w:sz w:val="20"/>
        </w:rPr>
        <w:t>evenue</w:t>
      </w:r>
      <w:r w:rsidR="00685305">
        <w:rPr>
          <w:sz w:val="20"/>
        </w:rPr>
        <w:t>:</w:t>
      </w:r>
      <w:r w:rsidR="00591E0E" w:rsidRPr="00BA0FBF">
        <w:rPr>
          <w:sz w:val="20"/>
        </w:rPr>
        <w:t xml:space="preserve"> Scenario 3</w:t>
      </w:r>
      <w:r w:rsidRPr="00BA0FBF">
        <w:rPr>
          <w:sz w:val="20"/>
        </w:rPr>
        <w:t xml:space="preserve"> </w:t>
      </w:r>
      <w:r w:rsidR="00685305">
        <w:rPr>
          <w:sz w:val="20"/>
        </w:rPr>
        <w:t>(</w:t>
      </w:r>
      <w:r w:rsidR="00D30E71">
        <w:rPr>
          <w:sz w:val="20"/>
        </w:rPr>
        <w:t>i</w:t>
      </w:r>
      <w:r w:rsidR="0002160B" w:rsidRPr="00BA0FBF">
        <w:rPr>
          <w:sz w:val="20"/>
        </w:rPr>
        <w:t>ncrease the GST rate to 15 per cent</w:t>
      </w:r>
      <w:r w:rsidR="00685305">
        <w:rPr>
          <w:sz w:val="20"/>
        </w:rPr>
        <w:t>)</w:t>
      </w:r>
    </w:p>
    <w:tbl>
      <w:tblPr>
        <w:tblStyle w:val="TableGrid"/>
        <w:tblW w:w="4631" w:type="pct"/>
        <w:tblLook w:val="04A0" w:firstRow="1" w:lastRow="0" w:firstColumn="1" w:lastColumn="0" w:noHBand="0" w:noVBand="1"/>
      </w:tblPr>
      <w:tblGrid>
        <w:gridCol w:w="2999"/>
        <w:gridCol w:w="926"/>
        <w:gridCol w:w="927"/>
        <w:gridCol w:w="927"/>
        <w:gridCol w:w="927"/>
        <w:gridCol w:w="930"/>
        <w:gridCol w:w="927"/>
        <w:gridCol w:w="927"/>
        <w:gridCol w:w="930"/>
        <w:gridCol w:w="927"/>
        <w:gridCol w:w="920"/>
      </w:tblGrid>
      <w:tr w:rsidR="0002160B" w:rsidRPr="00BA0FBF" w:rsidTr="0072646C">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222" w:type="pct"/>
          </w:tcPr>
          <w:p w:rsidR="0002160B" w:rsidRPr="00BA0FBF" w:rsidRDefault="0002160B" w:rsidP="0045532B">
            <w:pPr>
              <w:pStyle w:val="TableHeading"/>
              <w:rPr>
                <w:sz w:val="18"/>
              </w:rPr>
            </w:pPr>
            <w:r w:rsidRPr="00BA0FBF">
              <w:rPr>
                <w:sz w:val="18"/>
              </w:rPr>
              <w:t>($b)</w:t>
            </w:r>
          </w:p>
        </w:tc>
        <w:tc>
          <w:tcPr>
            <w:tcW w:w="377" w:type="pct"/>
          </w:tcPr>
          <w:p w:rsidR="0002160B" w:rsidRPr="00BA0FBF" w:rsidRDefault="0002160B" w:rsidP="00F95381">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2017</w:t>
            </w:r>
            <w:r w:rsidR="000B1326">
              <w:rPr>
                <w:sz w:val="18"/>
              </w:rPr>
              <w:t>–</w:t>
            </w:r>
            <w:r w:rsidRPr="00BA0FBF">
              <w:rPr>
                <w:sz w:val="18"/>
              </w:rPr>
              <w:t>18</w:t>
            </w:r>
          </w:p>
        </w:tc>
        <w:tc>
          <w:tcPr>
            <w:tcW w:w="378" w:type="pct"/>
          </w:tcPr>
          <w:p w:rsidR="0002160B" w:rsidRPr="00BA0FBF" w:rsidRDefault="0002160B" w:rsidP="00F95381">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2018</w:t>
            </w:r>
            <w:r w:rsidR="000B1326">
              <w:rPr>
                <w:sz w:val="18"/>
              </w:rPr>
              <w:t>–</w:t>
            </w:r>
            <w:r w:rsidRPr="00BA0FBF">
              <w:rPr>
                <w:sz w:val="18"/>
              </w:rPr>
              <w:t>19</w:t>
            </w:r>
          </w:p>
        </w:tc>
        <w:tc>
          <w:tcPr>
            <w:tcW w:w="378" w:type="pct"/>
          </w:tcPr>
          <w:p w:rsidR="0002160B" w:rsidRPr="00BA0FBF" w:rsidRDefault="0002160B" w:rsidP="00F95381">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2019</w:t>
            </w:r>
            <w:r w:rsidR="000B1326">
              <w:rPr>
                <w:sz w:val="18"/>
              </w:rPr>
              <w:t>–</w:t>
            </w:r>
            <w:r w:rsidRPr="00BA0FBF">
              <w:rPr>
                <w:sz w:val="18"/>
              </w:rPr>
              <w:t>20</w:t>
            </w:r>
          </w:p>
        </w:tc>
        <w:tc>
          <w:tcPr>
            <w:tcW w:w="378" w:type="pct"/>
          </w:tcPr>
          <w:p w:rsidR="0002160B" w:rsidRPr="00BA0FBF" w:rsidRDefault="0002160B" w:rsidP="00F95381">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2020</w:t>
            </w:r>
            <w:r w:rsidR="000B1326">
              <w:rPr>
                <w:sz w:val="18"/>
              </w:rPr>
              <w:t>–</w:t>
            </w:r>
            <w:r w:rsidRPr="00BA0FBF">
              <w:rPr>
                <w:sz w:val="18"/>
              </w:rPr>
              <w:t>21</w:t>
            </w:r>
          </w:p>
        </w:tc>
        <w:tc>
          <w:tcPr>
            <w:tcW w:w="379" w:type="pct"/>
          </w:tcPr>
          <w:p w:rsidR="0002160B" w:rsidRPr="00BA0FBF" w:rsidRDefault="0002160B" w:rsidP="00F95381">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2021</w:t>
            </w:r>
            <w:r w:rsidR="000B1326">
              <w:rPr>
                <w:sz w:val="18"/>
              </w:rPr>
              <w:t>–</w:t>
            </w:r>
            <w:r w:rsidRPr="00BA0FBF">
              <w:rPr>
                <w:sz w:val="18"/>
              </w:rPr>
              <w:t>22</w:t>
            </w:r>
          </w:p>
        </w:tc>
        <w:tc>
          <w:tcPr>
            <w:tcW w:w="378" w:type="pct"/>
          </w:tcPr>
          <w:p w:rsidR="0002160B" w:rsidRPr="00BA0FBF" w:rsidRDefault="0002160B" w:rsidP="00F95381">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2022</w:t>
            </w:r>
            <w:r w:rsidR="000B1326">
              <w:rPr>
                <w:sz w:val="18"/>
              </w:rPr>
              <w:t>–</w:t>
            </w:r>
            <w:r w:rsidRPr="00BA0FBF">
              <w:rPr>
                <w:sz w:val="18"/>
              </w:rPr>
              <w:t>23</w:t>
            </w:r>
          </w:p>
        </w:tc>
        <w:tc>
          <w:tcPr>
            <w:tcW w:w="378" w:type="pct"/>
          </w:tcPr>
          <w:p w:rsidR="0002160B" w:rsidRPr="00BA0FBF" w:rsidRDefault="0002160B" w:rsidP="00F95381">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2023</w:t>
            </w:r>
            <w:r w:rsidR="000B1326">
              <w:rPr>
                <w:sz w:val="18"/>
              </w:rPr>
              <w:t>–</w:t>
            </w:r>
            <w:r w:rsidRPr="00BA0FBF">
              <w:rPr>
                <w:sz w:val="18"/>
              </w:rPr>
              <w:t>24</w:t>
            </w:r>
          </w:p>
        </w:tc>
        <w:tc>
          <w:tcPr>
            <w:tcW w:w="379" w:type="pct"/>
          </w:tcPr>
          <w:p w:rsidR="0002160B" w:rsidRPr="00BA0FBF" w:rsidRDefault="0002160B" w:rsidP="00F95381">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2024</w:t>
            </w:r>
            <w:r w:rsidR="000B1326">
              <w:rPr>
                <w:sz w:val="18"/>
              </w:rPr>
              <w:t>–</w:t>
            </w:r>
            <w:r w:rsidRPr="00BA0FBF">
              <w:rPr>
                <w:sz w:val="18"/>
              </w:rPr>
              <w:t>25</w:t>
            </w:r>
          </w:p>
        </w:tc>
        <w:tc>
          <w:tcPr>
            <w:tcW w:w="378" w:type="pct"/>
          </w:tcPr>
          <w:p w:rsidR="0002160B" w:rsidRPr="00BA0FBF" w:rsidRDefault="0002160B" w:rsidP="00F95381">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2025</w:t>
            </w:r>
            <w:r w:rsidR="000B1326">
              <w:rPr>
                <w:sz w:val="18"/>
              </w:rPr>
              <w:t>–</w:t>
            </w:r>
            <w:r w:rsidRPr="00BA0FBF">
              <w:rPr>
                <w:sz w:val="18"/>
              </w:rPr>
              <w:t>26</w:t>
            </w:r>
          </w:p>
        </w:tc>
        <w:tc>
          <w:tcPr>
            <w:tcW w:w="375" w:type="pct"/>
          </w:tcPr>
          <w:p w:rsidR="0002160B" w:rsidRPr="00BA0FBF" w:rsidRDefault="0002160B" w:rsidP="00F95381">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Medium Term</w:t>
            </w:r>
          </w:p>
        </w:tc>
      </w:tr>
      <w:tr w:rsidR="0072646C" w:rsidRPr="00BA0FBF" w:rsidTr="0072646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gridSpan w:val="11"/>
          </w:tcPr>
          <w:p w:rsidR="0072646C" w:rsidRPr="00BA0FBF" w:rsidRDefault="0072646C" w:rsidP="0072646C">
            <w:pPr>
              <w:rPr>
                <w:sz w:val="18"/>
              </w:rPr>
            </w:pPr>
            <w:r w:rsidRPr="00BA0FBF">
              <w:rPr>
                <w:b/>
                <w:sz w:val="18"/>
              </w:rPr>
              <w:t>Impact of Rate Change</w:t>
            </w:r>
          </w:p>
        </w:tc>
      </w:tr>
      <w:tr w:rsidR="009760C0" w:rsidRPr="00BA0FBF" w:rsidTr="0072646C">
        <w:trPr>
          <w:cantSplit/>
        </w:trPr>
        <w:tc>
          <w:tcPr>
            <w:cnfStyle w:val="001000000000" w:firstRow="0" w:lastRow="0" w:firstColumn="1" w:lastColumn="0" w:oddVBand="0" w:evenVBand="0" w:oddHBand="0" w:evenHBand="0" w:firstRowFirstColumn="0" w:firstRowLastColumn="0" w:lastRowFirstColumn="0" w:lastRowLastColumn="0"/>
            <w:tcW w:w="1222" w:type="pct"/>
          </w:tcPr>
          <w:p w:rsidR="009760C0" w:rsidRPr="00BA0FBF" w:rsidRDefault="009760C0" w:rsidP="00F95381">
            <w:pPr>
              <w:pStyle w:val="TableText"/>
              <w:rPr>
                <w:sz w:val="18"/>
              </w:rPr>
            </w:pPr>
            <w:r w:rsidRPr="00BA0FBF">
              <w:rPr>
                <w:sz w:val="18"/>
              </w:rPr>
              <w:t>Increase GST</w:t>
            </w:r>
            <w:r w:rsidR="00471585">
              <w:rPr>
                <w:sz w:val="18"/>
              </w:rPr>
              <w:t xml:space="preserve"> rate</w:t>
            </w:r>
            <w:r w:rsidRPr="00BA0FBF">
              <w:rPr>
                <w:sz w:val="18"/>
              </w:rPr>
              <w:t xml:space="preserve"> to 15 per cent</w:t>
            </w:r>
          </w:p>
        </w:tc>
        <w:tc>
          <w:tcPr>
            <w:tcW w:w="377" w:type="pct"/>
            <w:vAlign w:val="top"/>
          </w:tcPr>
          <w:p w:rsidR="009760C0" w:rsidRPr="009760C0" w:rsidRDefault="009760C0" w:rsidP="009760C0">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32.5</w:t>
            </w:r>
          </w:p>
        </w:tc>
        <w:tc>
          <w:tcPr>
            <w:tcW w:w="378" w:type="pct"/>
            <w:vAlign w:val="top"/>
          </w:tcPr>
          <w:p w:rsidR="009760C0" w:rsidRPr="009760C0" w:rsidRDefault="009760C0" w:rsidP="009760C0">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34.4</w:t>
            </w:r>
          </w:p>
        </w:tc>
        <w:tc>
          <w:tcPr>
            <w:tcW w:w="378" w:type="pct"/>
            <w:vAlign w:val="top"/>
          </w:tcPr>
          <w:p w:rsidR="009760C0" w:rsidRPr="009760C0" w:rsidRDefault="009760C0" w:rsidP="009760C0">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35.8</w:t>
            </w:r>
          </w:p>
        </w:tc>
        <w:tc>
          <w:tcPr>
            <w:tcW w:w="378" w:type="pct"/>
            <w:vAlign w:val="top"/>
          </w:tcPr>
          <w:p w:rsidR="009760C0" w:rsidRPr="009760C0" w:rsidRDefault="009760C0" w:rsidP="009760C0">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37.8</w:t>
            </w:r>
          </w:p>
        </w:tc>
        <w:tc>
          <w:tcPr>
            <w:tcW w:w="379" w:type="pct"/>
            <w:vAlign w:val="top"/>
          </w:tcPr>
          <w:p w:rsidR="009760C0" w:rsidRPr="009760C0" w:rsidRDefault="009760C0" w:rsidP="009760C0">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40.1</w:t>
            </w:r>
          </w:p>
        </w:tc>
        <w:tc>
          <w:tcPr>
            <w:tcW w:w="378" w:type="pct"/>
            <w:vAlign w:val="top"/>
          </w:tcPr>
          <w:p w:rsidR="009760C0" w:rsidRPr="009760C0" w:rsidRDefault="009760C0" w:rsidP="009760C0">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42.4</w:t>
            </w:r>
          </w:p>
        </w:tc>
        <w:tc>
          <w:tcPr>
            <w:tcW w:w="378" w:type="pct"/>
            <w:vAlign w:val="top"/>
          </w:tcPr>
          <w:p w:rsidR="009760C0" w:rsidRPr="009760C0" w:rsidRDefault="009760C0" w:rsidP="009760C0">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44.7</w:t>
            </w:r>
          </w:p>
        </w:tc>
        <w:tc>
          <w:tcPr>
            <w:tcW w:w="379" w:type="pct"/>
            <w:vAlign w:val="top"/>
          </w:tcPr>
          <w:p w:rsidR="009760C0" w:rsidRPr="009760C0" w:rsidRDefault="009760C0" w:rsidP="009760C0">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47.1</w:t>
            </w:r>
          </w:p>
        </w:tc>
        <w:tc>
          <w:tcPr>
            <w:tcW w:w="378" w:type="pct"/>
            <w:vAlign w:val="top"/>
          </w:tcPr>
          <w:p w:rsidR="009760C0" w:rsidRPr="009760C0" w:rsidRDefault="009760C0" w:rsidP="009760C0">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49.7</w:t>
            </w:r>
          </w:p>
        </w:tc>
        <w:tc>
          <w:tcPr>
            <w:tcW w:w="375" w:type="pct"/>
            <w:vAlign w:val="top"/>
          </w:tcPr>
          <w:p w:rsidR="009760C0" w:rsidRPr="009760C0" w:rsidRDefault="009760C0" w:rsidP="009760C0">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364.5</w:t>
            </w:r>
          </w:p>
        </w:tc>
      </w:tr>
      <w:tr w:rsidR="0072646C" w:rsidRPr="00BA0FBF" w:rsidTr="0072646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gridSpan w:val="11"/>
          </w:tcPr>
          <w:p w:rsidR="0072646C" w:rsidRPr="009760C0" w:rsidRDefault="0072646C" w:rsidP="0072646C">
            <w:pPr>
              <w:rPr>
                <w:sz w:val="18"/>
              </w:rPr>
            </w:pPr>
            <w:r w:rsidRPr="00BA0FBF">
              <w:rPr>
                <w:b/>
                <w:sz w:val="18"/>
              </w:rPr>
              <w:t>Impact of Base Change</w:t>
            </w:r>
          </w:p>
        </w:tc>
      </w:tr>
      <w:tr w:rsidR="009760C0" w:rsidRPr="00BA0FBF" w:rsidTr="0072646C">
        <w:trPr>
          <w:cantSplit/>
        </w:trPr>
        <w:tc>
          <w:tcPr>
            <w:cnfStyle w:val="001000000000" w:firstRow="0" w:lastRow="0" w:firstColumn="1" w:lastColumn="0" w:oddVBand="0" w:evenVBand="0" w:oddHBand="0" w:evenHBand="0" w:firstRowFirstColumn="0" w:firstRowLastColumn="0" w:lastRowFirstColumn="0" w:lastRowLastColumn="0"/>
            <w:tcW w:w="1222" w:type="pct"/>
          </w:tcPr>
          <w:p w:rsidR="009760C0" w:rsidRPr="00BA0FBF" w:rsidRDefault="009760C0" w:rsidP="000738D4">
            <w:pPr>
              <w:pStyle w:val="TableText"/>
              <w:rPr>
                <w:sz w:val="18"/>
              </w:rPr>
            </w:pPr>
            <w:r w:rsidRPr="00BA0FBF">
              <w:rPr>
                <w:sz w:val="18"/>
              </w:rPr>
              <w:t>Basic Food</w:t>
            </w:r>
          </w:p>
        </w:tc>
        <w:tc>
          <w:tcPr>
            <w:tcW w:w="377" w:type="pct"/>
            <w:vAlign w:val="top"/>
          </w:tcPr>
          <w:p w:rsidR="009760C0" w:rsidRPr="009760C0" w:rsidRDefault="009760C0" w:rsidP="009760C0">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0.0</w:t>
            </w:r>
          </w:p>
        </w:tc>
        <w:tc>
          <w:tcPr>
            <w:tcW w:w="378" w:type="pct"/>
            <w:vAlign w:val="top"/>
          </w:tcPr>
          <w:p w:rsidR="009760C0" w:rsidRPr="009760C0" w:rsidRDefault="009760C0" w:rsidP="009760C0">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0.0</w:t>
            </w:r>
          </w:p>
        </w:tc>
        <w:tc>
          <w:tcPr>
            <w:tcW w:w="378" w:type="pct"/>
            <w:vAlign w:val="top"/>
          </w:tcPr>
          <w:p w:rsidR="009760C0" w:rsidRPr="009760C0" w:rsidRDefault="009760C0" w:rsidP="009760C0">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0.0</w:t>
            </w:r>
          </w:p>
        </w:tc>
        <w:tc>
          <w:tcPr>
            <w:tcW w:w="378" w:type="pct"/>
            <w:vAlign w:val="top"/>
          </w:tcPr>
          <w:p w:rsidR="009760C0" w:rsidRPr="009760C0" w:rsidRDefault="009760C0" w:rsidP="009760C0">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0.0</w:t>
            </w:r>
          </w:p>
        </w:tc>
        <w:tc>
          <w:tcPr>
            <w:tcW w:w="379" w:type="pct"/>
            <w:vAlign w:val="top"/>
          </w:tcPr>
          <w:p w:rsidR="009760C0" w:rsidRPr="009760C0" w:rsidRDefault="009760C0" w:rsidP="009760C0">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0.0</w:t>
            </w:r>
          </w:p>
        </w:tc>
        <w:tc>
          <w:tcPr>
            <w:tcW w:w="378" w:type="pct"/>
            <w:vAlign w:val="top"/>
          </w:tcPr>
          <w:p w:rsidR="009760C0" w:rsidRPr="009760C0" w:rsidRDefault="009760C0" w:rsidP="009760C0">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0.0</w:t>
            </w:r>
          </w:p>
        </w:tc>
        <w:tc>
          <w:tcPr>
            <w:tcW w:w="378" w:type="pct"/>
            <w:vAlign w:val="top"/>
          </w:tcPr>
          <w:p w:rsidR="009760C0" w:rsidRPr="009760C0" w:rsidRDefault="009760C0" w:rsidP="009760C0">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0.0</w:t>
            </w:r>
          </w:p>
        </w:tc>
        <w:tc>
          <w:tcPr>
            <w:tcW w:w="379" w:type="pct"/>
            <w:vAlign w:val="top"/>
          </w:tcPr>
          <w:p w:rsidR="009760C0" w:rsidRPr="009760C0" w:rsidRDefault="009760C0" w:rsidP="009760C0">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0.0</w:t>
            </w:r>
          </w:p>
        </w:tc>
        <w:tc>
          <w:tcPr>
            <w:tcW w:w="378" w:type="pct"/>
            <w:vAlign w:val="top"/>
          </w:tcPr>
          <w:p w:rsidR="009760C0" w:rsidRPr="009760C0" w:rsidRDefault="009760C0" w:rsidP="009760C0">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0.0</w:t>
            </w:r>
          </w:p>
        </w:tc>
        <w:tc>
          <w:tcPr>
            <w:tcW w:w="375" w:type="pct"/>
            <w:vAlign w:val="top"/>
          </w:tcPr>
          <w:p w:rsidR="009760C0" w:rsidRPr="009760C0" w:rsidRDefault="009760C0" w:rsidP="009760C0">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0.0</w:t>
            </w:r>
          </w:p>
        </w:tc>
      </w:tr>
      <w:tr w:rsidR="007F10F4" w:rsidRPr="00BA0FBF" w:rsidTr="0072646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22" w:type="pct"/>
          </w:tcPr>
          <w:p w:rsidR="007F10F4" w:rsidRPr="00BA0FBF" w:rsidRDefault="007F10F4" w:rsidP="00C259BC">
            <w:pPr>
              <w:pStyle w:val="TableText"/>
              <w:rPr>
                <w:sz w:val="18"/>
              </w:rPr>
            </w:pPr>
            <w:r w:rsidRPr="00BA0FBF">
              <w:rPr>
                <w:sz w:val="18"/>
              </w:rPr>
              <w:t>Health and Medical Care</w:t>
            </w:r>
          </w:p>
        </w:tc>
        <w:tc>
          <w:tcPr>
            <w:tcW w:w="377" w:type="pct"/>
            <w:vAlign w:val="top"/>
          </w:tcPr>
          <w:p w:rsidR="007F10F4" w:rsidRPr="009760C0" w:rsidRDefault="007F10F4" w:rsidP="00C259BC">
            <w:pPr>
              <w:jc w:val="right"/>
              <w:cnfStyle w:val="000000100000" w:firstRow="0" w:lastRow="0" w:firstColumn="0" w:lastColumn="0" w:oddVBand="0" w:evenVBand="0" w:oddHBand="1" w:evenHBand="0" w:firstRowFirstColumn="0" w:firstRowLastColumn="0" w:lastRowFirstColumn="0" w:lastRowLastColumn="0"/>
              <w:rPr>
                <w:sz w:val="18"/>
              </w:rPr>
            </w:pPr>
            <w:r w:rsidRPr="009760C0">
              <w:rPr>
                <w:sz w:val="18"/>
              </w:rPr>
              <w:t>0.0</w:t>
            </w:r>
          </w:p>
        </w:tc>
        <w:tc>
          <w:tcPr>
            <w:tcW w:w="378" w:type="pct"/>
            <w:vAlign w:val="top"/>
          </w:tcPr>
          <w:p w:rsidR="007F10F4" w:rsidRPr="009760C0" w:rsidRDefault="007F10F4" w:rsidP="00C259BC">
            <w:pPr>
              <w:jc w:val="right"/>
              <w:cnfStyle w:val="000000100000" w:firstRow="0" w:lastRow="0" w:firstColumn="0" w:lastColumn="0" w:oddVBand="0" w:evenVBand="0" w:oddHBand="1" w:evenHBand="0" w:firstRowFirstColumn="0" w:firstRowLastColumn="0" w:lastRowFirstColumn="0" w:lastRowLastColumn="0"/>
              <w:rPr>
                <w:sz w:val="18"/>
              </w:rPr>
            </w:pPr>
            <w:r w:rsidRPr="009760C0">
              <w:rPr>
                <w:sz w:val="18"/>
              </w:rPr>
              <w:t>0.0</w:t>
            </w:r>
          </w:p>
        </w:tc>
        <w:tc>
          <w:tcPr>
            <w:tcW w:w="378" w:type="pct"/>
            <w:vAlign w:val="top"/>
          </w:tcPr>
          <w:p w:rsidR="007F10F4" w:rsidRPr="009760C0" w:rsidRDefault="007F10F4" w:rsidP="00C259BC">
            <w:pPr>
              <w:jc w:val="right"/>
              <w:cnfStyle w:val="000000100000" w:firstRow="0" w:lastRow="0" w:firstColumn="0" w:lastColumn="0" w:oddVBand="0" w:evenVBand="0" w:oddHBand="1" w:evenHBand="0" w:firstRowFirstColumn="0" w:firstRowLastColumn="0" w:lastRowFirstColumn="0" w:lastRowLastColumn="0"/>
              <w:rPr>
                <w:sz w:val="18"/>
              </w:rPr>
            </w:pPr>
            <w:r w:rsidRPr="009760C0">
              <w:rPr>
                <w:sz w:val="18"/>
              </w:rPr>
              <w:t>0.0</w:t>
            </w:r>
          </w:p>
        </w:tc>
        <w:tc>
          <w:tcPr>
            <w:tcW w:w="378" w:type="pct"/>
            <w:vAlign w:val="top"/>
          </w:tcPr>
          <w:p w:rsidR="007F10F4" w:rsidRPr="009760C0" w:rsidRDefault="007F10F4" w:rsidP="00C259BC">
            <w:pPr>
              <w:jc w:val="right"/>
              <w:cnfStyle w:val="000000100000" w:firstRow="0" w:lastRow="0" w:firstColumn="0" w:lastColumn="0" w:oddVBand="0" w:evenVBand="0" w:oddHBand="1" w:evenHBand="0" w:firstRowFirstColumn="0" w:firstRowLastColumn="0" w:lastRowFirstColumn="0" w:lastRowLastColumn="0"/>
              <w:rPr>
                <w:sz w:val="18"/>
              </w:rPr>
            </w:pPr>
            <w:r w:rsidRPr="009760C0">
              <w:rPr>
                <w:sz w:val="18"/>
              </w:rPr>
              <w:t>0.0</w:t>
            </w:r>
          </w:p>
        </w:tc>
        <w:tc>
          <w:tcPr>
            <w:tcW w:w="379" w:type="pct"/>
            <w:vAlign w:val="top"/>
          </w:tcPr>
          <w:p w:rsidR="007F10F4" w:rsidRPr="009760C0" w:rsidRDefault="007F10F4" w:rsidP="00C259BC">
            <w:pPr>
              <w:jc w:val="right"/>
              <w:cnfStyle w:val="000000100000" w:firstRow="0" w:lastRow="0" w:firstColumn="0" w:lastColumn="0" w:oddVBand="0" w:evenVBand="0" w:oddHBand="1" w:evenHBand="0" w:firstRowFirstColumn="0" w:firstRowLastColumn="0" w:lastRowFirstColumn="0" w:lastRowLastColumn="0"/>
              <w:rPr>
                <w:sz w:val="18"/>
              </w:rPr>
            </w:pPr>
            <w:r w:rsidRPr="009760C0">
              <w:rPr>
                <w:sz w:val="18"/>
              </w:rPr>
              <w:t>0.0</w:t>
            </w:r>
          </w:p>
        </w:tc>
        <w:tc>
          <w:tcPr>
            <w:tcW w:w="378" w:type="pct"/>
            <w:vAlign w:val="top"/>
          </w:tcPr>
          <w:p w:rsidR="007F10F4" w:rsidRPr="009760C0" w:rsidRDefault="007F10F4" w:rsidP="00C259BC">
            <w:pPr>
              <w:jc w:val="right"/>
              <w:cnfStyle w:val="000000100000" w:firstRow="0" w:lastRow="0" w:firstColumn="0" w:lastColumn="0" w:oddVBand="0" w:evenVBand="0" w:oddHBand="1" w:evenHBand="0" w:firstRowFirstColumn="0" w:firstRowLastColumn="0" w:lastRowFirstColumn="0" w:lastRowLastColumn="0"/>
              <w:rPr>
                <w:sz w:val="18"/>
              </w:rPr>
            </w:pPr>
            <w:r w:rsidRPr="009760C0">
              <w:rPr>
                <w:sz w:val="18"/>
              </w:rPr>
              <w:t>0.0</w:t>
            </w:r>
          </w:p>
        </w:tc>
        <w:tc>
          <w:tcPr>
            <w:tcW w:w="378" w:type="pct"/>
            <w:vAlign w:val="top"/>
          </w:tcPr>
          <w:p w:rsidR="007F10F4" w:rsidRPr="009760C0" w:rsidRDefault="007F10F4" w:rsidP="00C259BC">
            <w:pPr>
              <w:jc w:val="right"/>
              <w:cnfStyle w:val="000000100000" w:firstRow="0" w:lastRow="0" w:firstColumn="0" w:lastColumn="0" w:oddVBand="0" w:evenVBand="0" w:oddHBand="1" w:evenHBand="0" w:firstRowFirstColumn="0" w:firstRowLastColumn="0" w:lastRowFirstColumn="0" w:lastRowLastColumn="0"/>
              <w:rPr>
                <w:sz w:val="18"/>
              </w:rPr>
            </w:pPr>
            <w:r w:rsidRPr="009760C0">
              <w:rPr>
                <w:sz w:val="18"/>
              </w:rPr>
              <w:t>0.0</w:t>
            </w:r>
          </w:p>
        </w:tc>
        <w:tc>
          <w:tcPr>
            <w:tcW w:w="379" w:type="pct"/>
            <w:vAlign w:val="top"/>
          </w:tcPr>
          <w:p w:rsidR="007F10F4" w:rsidRPr="009760C0" w:rsidRDefault="007F10F4" w:rsidP="00C259BC">
            <w:pPr>
              <w:jc w:val="right"/>
              <w:cnfStyle w:val="000000100000" w:firstRow="0" w:lastRow="0" w:firstColumn="0" w:lastColumn="0" w:oddVBand="0" w:evenVBand="0" w:oddHBand="1" w:evenHBand="0" w:firstRowFirstColumn="0" w:firstRowLastColumn="0" w:lastRowFirstColumn="0" w:lastRowLastColumn="0"/>
              <w:rPr>
                <w:sz w:val="18"/>
              </w:rPr>
            </w:pPr>
            <w:r w:rsidRPr="009760C0">
              <w:rPr>
                <w:sz w:val="18"/>
              </w:rPr>
              <w:t>0.0</w:t>
            </w:r>
          </w:p>
        </w:tc>
        <w:tc>
          <w:tcPr>
            <w:tcW w:w="378" w:type="pct"/>
            <w:vAlign w:val="top"/>
          </w:tcPr>
          <w:p w:rsidR="007F10F4" w:rsidRPr="009760C0" w:rsidRDefault="007F10F4" w:rsidP="00C259BC">
            <w:pPr>
              <w:jc w:val="right"/>
              <w:cnfStyle w:val="000000100000" w:firstRow="0" w:lastRow="0" w:firstColumn="0" w:lastColumn="0" w:oddVBand="0" w:evenVBand="0" w:oddHBand="1" w:evenHBand="0" w:firstRowFirstColumn="0" w:firstRowLastColumn="0" w:lastRowFirstColumn="0" w:lastRowLastColumn="0"/>
              <w:rPr>
                <w:sz w:val="18"/>
              </w:rPr>
            </w:pPr>
            <w:r w:rsidRPr="009760C0">
              <w:rPr>
                <w:sz w:val="18"/>
              </w:rPr>
              <w:t>0.0</w:t>
            </w:r>
          </w:p>
        </w:tc>
        <w:tc>
          <w:tcPr>
            <w:tcW w:w="375" w:type="pct"/>
            <w:vAlign w:val="top"/>
          </w:tcPr>
          <w:p w:rsidR="007F10F4" w:rsidRPr="009760C0" w:rsidRDefault="007F10F4" w:rsidP="00C259BC">
            <w:pPr>
              <w:jc w:val="right"/>
              <w:cnfStyle w:val="000000100000" w:firstRow="0" w:lastRow="0" w:firstColumn="0" w:lastColumn="0" w:oddVBand="0" w:evenVBand="0" w:oddHBand="1" w:evenHBand="0" w:firstRowFirstColumn="0" w:firstRowLastColumn="0" w:lastRowFirstColumn="0" w:lastRowLastColumn="0"/>
              <w:rPr>
                <w:sz w:val="18"/>
              </w:rPr>
            </w:pPr>
            <w:r w:rsidRPr="009760C0">
              <w:rPr>
                <w:sz w:val="18"/>
              </w:rPr>
              <w:t>0.0</w:t>
            </w:r>
          </w:p>
        </w:tc>
      </w:tr>
      <w:tr w:rsidR="007F10F4" w:rsidRPr="00BA0FBF" w:rsidTr="0072646C">
        <w:trPr>
          <w:cantSplit/>
        </w:trPr>
        <w:tc>
          <w:tcPr>
            <w:cnfStyle w:val="001000000000" w:firstRow="0" w:lastRow="0" w:firstColumn="1" w:lastColumn="0" w:oddVBand="0" w:evenVBand="0" w:oddHBand="0" w:evenHBand="0" w:firstRowFirstColumn="0" w:firstRowLastColumn="0" w:lastRowFirstColumn="0" w:lastRowLastColumn="0"/>
            <w:tcW w:w="1222" w:type="pct"/>
          </w:tcPr>
          <w:p w:rsidR="007F10F4" w:rsidRPr="00BA0FBF" w:rsidRDefault="007F10F4" w:rsidP="00C259BC">
            <w:pPr>
              <w:pStyle w:val="TableText"/>
              <w:rPr>
                <w:sz w:val="18"/>
              </w:rPr>
            </w:pPr>
            <w:r w:rsidRPr="00BA0FBF">
              <w:rPr>
                <w:sz w:val="18"/>
              </w:rPr>
              <w:t>Education</w:t>
            </w:r>
          </w:p>
        </w:tc>
        <w:tc>
          <w:tcPr>
            <w:tcW w:w="377" w:type="pct"/>
            <w:vAlign w:val="top"/>
          </w:tcPr>
          <w:p w:rsidR="007F10F4" w:rsidRPr="009760C0" w:rsidRDefault="007F10F4" w:rsidP="00C259BC">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0.0</w:t>
            </w:r>
          </w:p>
        </w:tc>
        <w:tc>
          <w:tcPr>
            <w:tcW w:w="378" w:type="pct"/>
            <w:vAlign w:val="top"/>
          </w:tcPr>
          <w:p w:rsidR="007F10F4" w:rsidRPr="009760C0" w:rsidRDefault="007F10F4" w:rsidP="00C259BC">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0.0</w:t>
            </w:r>
          </w:p>
        </w:tc>
        <w:tc>
          <w:tcPr>
            <w:tcW w:w="378" w:type="pct"/>
            <w:vAlign w:val="top"/>
          </w:tcPr>
          <w:p w:rsidR="007F10F4" w:rsidRPr="009760C0" w:rsidRDefault="007F10F4" w:rsidP="00C259BC">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0.0</w:t>
            </w:r>
          </w:p>
        </w:tc>
        <w:tc>
          <w:tcPr>
            <w:tcW w:w="378" w:type="pct"/>
            <w:vAlign w:val="top"/>
          </w:tcPr>
          <w:p w:rsidR="007F10F4" w:rsidRPr="009760C0" w:rsidRDefault="007F10F4" w:rsidP="00C259BC">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0.0</w:t>
            </w:r>
          </w:p>
        </w:tc>
        <w:tc>
          <w:tcPr>
            <w:tcW w:w="379" w:type="pct"/>
            <w:vAlign w:val="top"/>
          </w:tcPr>
          <w:p w:rsidR="007F10F4" w:rsidRPr="009760C0" w:rsidRDefault="007F10F4" w:rsidP="00C259BC">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0.0</w:t>
            </w:r>
          </w:p>
        </w:tc>
        <w:tc>
          <w:tcPr>
            <w:tcW w:w="378" w:type="pct"/>
            <w:vAlign w:val="top"/>
          </w:tcPr>
          <w:p w:rsidR="007F10F4" w:rsidRPr="009760C0" w:rsidRDefault="007F10F4" w:rsidP="00C259BC">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0.0</w:t>
            </w:r>
          </w:p>
        </w:tc>
        <w:tc>
          <w:tcPr>
            <w:tcW w:w="378" w:type="pct"/>
            <w:vAlign w:val="top"/>
          </w:tcPr>
          <w:p w:rsidR="007F10F4" w:rsidRPr="009760C0" w:rsidRDefault="007F10F4" w:rsidP="00C259BC">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0.0</w:t>
            </w:r>
          </w:p>
        </w:tc>
        <w:tc>
          <w:tcPr>
            <w:tcW w:w="379" w:type="pct"/>
            <w:vAlign w:val="top"/>
          </w:tcPr>
          <w:p w:rsidR="007F10F4" w:rsidRPr="009760C0" w:rsidRDefault="007F10F4" w:rsidP="00C259BC">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0.0</w:t>
            </w:r>
          </w:p>
        </w:tc>
        <w:tc>
          <w:tcPr>
            <w:tcW w:w="378" w:type="pct"/>
            <w:vAlign w:val="top"/>
          </w:tcPr>
          <w:p w:rsidR="007F10F4" w:rsidRPr="009760C0" w:rsidRDefault="007F10F4" w:rsidP="00C259BC">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0.0</w:t>
            </w:r>
          </w:p>
        </w:tc>
        <w:tc>
          <w:tcPr>
            <w:tcW w:w="375" w:type="pct"/>
            <w:vAlign w:val="top"/>
          </w:tcPr>
          <w:p w:rsidR="007F10F4" w:rsidRPr="009760C0" w:rsidRDefault="007F10F4" w:rsidP="00C259BC">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0.0</w:t>
            </w:r>
          </w:p>
        </w:tc>
      </w:tr>
      <w:tr w:rsidR="007F10F4" w:rsidRPr="00BA0FBF" w:rsidTr="0072646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22" w:type="pct"/>
          </w:tcPr>
          <w:p w:rsidR="007F10F4" w:rsidRPr="00BA0FBF" w:rsidRDefault="007F10F4" w:rsidP="00C259BC">
            <w:pPr>
              <w:pStyle w:val="TableText"/>
              <w:rPr>
                <w:sz w:val="18"/>
              </w:rPr>
            </w:pPr>
            <w:r w:rsidRPr="00BA0FBF">
              <w:rPr>
                <w:sz w:val="18"/>
              </w:rPr>
              <w:t>Child Care</w:t>
            </w:r>
          </w:p>
        </w:tc>
        <w:tc>
          <w:tcPr>
            <w:tcW w:w="377" w:type="pct"/>
            <w:vAlign w:val="top"/>
          </w:tcPr>
          <w:p w:rsidR="007F10F4" w:rsidRPr="009760C0" w:rsidRDefault="007F10F4" w:rsidP="00C259BC">
            <w:pPr>
              <w:jc w:val="right"/>
              <w:cnfStyle w:val="000000100000" w:firstRow="0" w:lastRow="0" w:firstColumn="0" w:lastColumn="0" w:oddVBand="0" w:evenVBand="0" w:oddHBand="1" w:evenHBand="0" w:firstRowFirstColumn="0" w:firstRowLastColumn="0" w:lastRowFirstColumn="0" w:lastRowLastColumn="0"/>
              <w:rPr>
                <w:sz w:val="18"/>
              </w:rPr>
            </w:pPr>
            <w:r w:rsidRPr="009760C0">
              <w:rPr>
                <w:sz w:val="18"/>
              </w:rPr>
              <w:t>0.0</w:t>
            </w:r>
          </w:p>
        </w:tc>
        <w:tc>
          <w:tcPr>
            <w:tcW w:w="378" w:type="pct"/>
            <w:vAlign w:val="top"/>
          </w:tcPr>
          <w:p w:rsidR="007F10F4" w:rsidRPr="009760C0" w:rsidRDefault="007F10F4" w:rsidP="00C259BC">
            <w:pPr>
              <w:jc w:val="right"/>
              <w:cnfStyle w:val="000000100000" w:firstRow="0" w:lastRow="0" w:firstColumn="0" w:lastColumn="0" w:oddVBand="0" w:evenVBand="0" w:oddHBand="1" w:evenHBand="0" w:firstRowFirstColumn="0" w:firstRowLastColumn="0" w:lastRowFirstColumn="0" w:lastRowLastColumn="0"/>
              <w:rPr>
                <w:sz w:val="18"/>
              </w:rPr>
            </w:pPr>
            <w:r w:rsidRPr="009760C0">
              <w:rPr>
                <w:sz w:val="18"/>
              </w:rPr>
              <w:t>0.0</w:t>
            </w:r>
          </w:p>
        </w:tc>
        <w:tc>
          <w:tcPr>
            <w:tcW w:w="378" w:type="pct"/>
            <w:vAlign w:val="top"/>
          </w:tcPr>
          <w:p w:rsidR="007F10F4" w:rsidRPr="009760C0" w:rsidRDefault="007F10F4" w:rsidP="00C259BC">
            <w:pPr>
              <w:jc w:val="right"/>
              <w:cnfStyle w:val="000000100000" w:firstRow="0" w:lastRow="0" w:firstColumn="0" w:lastColumn="0" w:oddVBand="0" w:evenVBand="0" w:oddHBand="1" w:evenHBand="0" w:firstRowFirstColumn="0" w:firstRowLastColumn="0" w:lastRowFirstColumn="0" w:lastRowLastColumn="0"/>
              <w:rPr>
                <w:sz w:val="18"/>
              </w:rPr>
            </w:pPr>
            <w:r w:rsidRPr="009760C0">
              <w:rPr>
                <w:sz w:val="18"/>
              </w:rPr>
              <w:t>0.0</w:t>
            </w:r>
          </w:p>
        </w:tc>
        <w:tc>
          <w:tcPr>
            <w:tcW w:w="378" w:type="pct"/>
            <w:vAlign w:val="top"/>
          </w:tcPr>
          <w:p w:rsidR="007F10F4" w:rsidRPr="009760C0" w:rsidRDefault="007F10F4" w:rsidP="00C259BC">
            <w:pPr>
              <w:jc w:val="right"/>
              <w:cnfStyle w:val="000000100000" w:firstRow="0" w:lastRow="0" w:firstColumn="0" w:lastColumn="0" w:oddVBand="0" w:evenVBand="0" w:oddHBand="1" w:evenHBand="0" w:firstRowFirstColumn="0" w:firstRowLastColumn="0" w:lastRowFirstColumn="0" w:lastRowLastColumn="0"/>
              <w:rPr>
                <w:sz w:val="18"/>
              </w:rPr>
            </w:pPr>
            <w:r w:rsidRPr="009760C0">
              <w:rPr>
                <w:sz w:val="18"/>
              </w:rPr>
              <w:t>0.0</w:t>
            </w:r>
          </w:p>
        </w:tc>
        <w:tc>
          <w:tcPr>
            <w:tcW w:w="379" w:type="pct"/>
            <w:vAlign w:val="top"/>
          </w:tcPr>
          <w:p w:rsidR="007F10F4" w:rsidRPr="009760C0" w:rsidRDefault="007F10F4" w:rsidP="00C259BC">
            <w:pPr>
              <w:jc w:val="right"/>
              <w:cnfStyle w:val="000000100000" w:firstRow="0" w:lastRow="0" w:firstColumn="0" w:lastColumn="0" w:oddVBand="0" w:evenVBand="0" w:oddHBand="1" w:evenHBand="0" w:firstRowFirstColumn="0" w:firstRowLastColumn="0" w:lastRowFirstColumn="0" w:lastRowLastColumn="0"/>
              <w:rPr>
                <w:sz w:val="18"/>
              </w:rPr>
            </w:pPr>
            <w:r w:rsidRPr="009760C0">
              <w:rPr>
                <w:sz w:val="18"/>
              </w:rPr>
              <w:t>0.0</w:t>
            </w:r>
          </w:p>
        </w:tc>
        <w:tc>
          <w:tcPr>
            <w:tcW w:w="378" w:type="pct"/>
            <w:vAlign w:val="top"/>
          </w:tcPr>
          <w:p w:rsidR="007F10F4" w:rsidRPr="009760C0" w:rsidRDefault="007F10F4" w:rsidP="00C259BC">
            <w:pPr>
              <w:jc w:val="right"/>
              <w:cnfStyle w:val="000000100000" w:firstRow="0" w:lastRow="0" w:firstColumn="0" w:lastColumn="0" w:oddVBand="0" w:evenVBand="0" w:oddHBand="1" w:evenHBand="0" w:firstRowFirstColumn="0" w:firstRowLastColumn="0" w:lastRowFirstColumn="0" w:lastRowLastColumn="0"/>
              <w:rPr>
                <w:sz w:val="18"/>
              </w:rPr>
            </w:pPr>
            <w:r w:rsidRPr="009760C0">
              <w:rPr>
                <w:sz w:val="18"/>
              </w:rPr>
              <w:t>0.0</w:t>
            </w:r>
          </w:p>
        </w:tc>
        <w:tc>
          <w:tcPr>
            <w:tcW w:w="378" w:type="pct"/>
            <w:vAlign w:val="top"/>
          </w:tcPr>
          <w:p w:rsidR="007F10F4" w:rsidRPr="009760C0" w:rsidRDefault="007F10F4" w:rsidP="00C259BC">
            <w:pPr>
              <w:jc w:val="right"/>
              <w:cnfStyle w:val="000000100000" w:firstRow="0" w:lastRow="0" w:firstColumn="0" w:lastColumn="0" w:oddVBand="0" w:evenVBand="0" w:oddHBand="1" w:evenHBand="0" w:firstRowFirstColumn="0" w:firstRowLastColumn="0" w:lastRowFirstColumn="0" w:lastRowLastColumn="0"/>
              <w:rPr>
                <w:sz w:val="18"/>
              </w:rPr>
            </w:pPr>
            <w:r w:rsidRPr="009760C0">
              <w:rPr>
                <w:sz w:val="18"/>
              </w:rPr>
              <w:t>0.0</w:t>
            </w:r>
          </w:p>
        </w:tc>
        <w:tc>
          <w:tcPr>
            <w:tcW w:w="379" w:type="pct"/>
            <w:vAlign w:val="top"/>
          </w:tcPr>
          <w:p w:rsidR="007F10F4" w:rsidRPr="009760C0" w:rsidRDefault="007F10F4" w:rsidP="00C259BC">
            <w:pPr>
              <w:jc w:val="right"/>
              <w:cnfStyle w:val="000000100000" w:firstRow="0" w:lastRow="0" w:firstColumn="0" w:lastColumn="0" w:oddVBand="0" w:evenVBand="0" w:oddHBand="1" w:evenHBand="0" w:firstRowFirstColumn="0" w:firstRowLastColumn="0" w:lastRowFirstColumn="0" w:lastRowLastColumn="0"/>
              <w:rPr>
                <w:sz w:val="18"/>
              </w:rPr>
            </w:pPr>
            <w:r w:rsidRPr="009760C0">
              <w:rPr>
                <w:sz w:val="18"/>
              </w:rPr>
              <w:t>0.0</w:t>
            </w:r>
          </w:p>
        </w:tc>
        <w:tc>
          <w:tcPr>
            <w:tcW w:w="378" w:type="pct"/>
            <w:vAlign w:val="top"/>
          </w:tcPr>
          <w:p w:rsidR="007F10F4" w:rsidRPr="009760C0" w:rsidRDefault="007F10F4" w:rsidP="00C259BC">
            <w:pPr>
              <w:jc w:val="right"/>
              <w:cnfStyle w:val="000000100000" w:firstRow="0" w:lastRow="0" w:firstColumn="0" w:lastColumn="0" w:oddVBand="0" w:evenVBand="0" w:oddHBand="1" w:evenHBand="0" w:firstRowFirstColumn="0" w:firstRowLastColumn="0" w:lastRowFirstColumn="0" w:lastRowLastColumn="0"/>
              <w:rPr>
                <w:sz w:val="18"/>
              </w:rPr>
            </w:pPr>
            <w:r w:rsidRPr="009760C0">
              <w:rPr>
                <w:sz w:val="18"/>
              </w:rPr>
              <w:t>0.0</w:t>
            </w:r>
          </w:p>
        </w:tc>
        <w:tc>
          <w:tcPr>
            <w:tcW w:w="375" w:type="pct"/>
            <w:vAlign w:val="top"/>
          </w:tcPr>
          <w:p w:rsidR="007F10F4" w:rsidRPr="009760C0" w:rsidRDefault="007F10F4" w:rsidP="00C259BC">
            <w:pPr>
              <w:jc w:val="right"/>
              <w:cnfStyle w:val="000000100000" w:firstRow="0" w:lastRow="0" w:firstColumn="0" w:lastColumn="0" w:oddVBand="0" w:evenVBand="0" w:oddHBand="1" w:evenHBand="0" w:firstRowFirstColumn="0" w:firstRowLastColumn="0" w:lastRowFirstColumn="0" w:lastRowLastColumn="0"/>
              <w:rPr>
                <w:sz w:val="18"/>
              </w:rPr>
            </w:pPr>
            <w:r w:rsidRPr="009760C0">
              <w:rPr>
                <w:sz w:val="18"/>
              </w:rPr>
              <w:t>0.0</w:t>
            </w:r>
          </w:p>
        </w:tc>
      </w:tr>
      <w:tr w:rsidR="007F10F4" w:rsidRPr="00BA0FBF" w:rsidTr="0072646C">
        <w:trPr>
          <w:cantSplit/>
        </w:trPr>
        <w:tc>
          <w:tcPr>
            <w:cnfStyle w:val="001000000000" w:firstRow="0" w:lastRow="0" w:firstColumn="1" w:lastColumn="0" w:oddVBand="0" w:evenVBand="0" w:oddHBand="0" w:evenHBand="0" w:firstRowFirstColumn="0" w:firstRowLastColumn="0" w:lastRowFirstColumn="0" w:lastRowLastColumn="0"/>
            <w:tcW w:w="1222" w:type="pct"/>
          </w:tcPr>
          <w:p w:rsidR="007F10F4" w:rsidRPr="00BA0FBF" w:rsidRDefault="007F10F4" w:rsidP="00C259BC">
            <w:pPr>
              <w:pStyle w:val="TableText"/>
              <w:rPr>
                <w:sz w:val="18"/>
              </w:rPr>
            </w:pPr>
            <w:r w:rsidRPr="00BA0FBF">
              <w:rPr>
                <w:sz w:val="18"/>
              </w:rPr>
              <w:t>Water and Sewerage</w:t>
            </w:r>
          </w:p>
        </w:tc>
        <w:tc>
          <w:tcPr>
            <w:tcW w:w="377" w:type="pct"/>
            <w:vAlign w:val="top"/>
          </w:tcPr>
          <w:p w:rsidR="007F10F4" w:rsidRPr="009760C0" w:rsidRDefault="007F10F4" w:rsidP="00C259BC">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0.0</w:t>
            </w:r>
          </w:p>
        </w:tc>
        <w:tc>
          <w:tcPr>
            <w:tcW w:w="378" w:type="pct"/>
            <w:vAlign w:val="top"/>
          </w:tcPr>
          <w:p w:rsidR="007F10F4" w:rsidRPr="009760C0" w:rsidRDefault="007F10F4" w:rsidP="00C259BC">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0.0</w:t>
            </w:r>
          </w:p>
        </w:tc>
        <w:tc>
          <w:tcPr>
            <w:tcW w:w="378" w:type="pct"/>
            <w:vAlign w:val="top"/>
          </w:tcPr>
          <w:p w:rsidR="007F10F4" w:rsidRPr="009760C0" w:rsidRDefault="007F10F4" w:rsidP="00C259BC">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0.0</w:t>
            </w:r>
          </w:p>
        </w:tc>
        <w:tc>
          <w:tcPr>
            <w:tcW w:w="378" w:type="pct"/>
            <w:vAlign w:val="top"/>
          </w:tcPr>
          <w:p w:rsidR="007F10F4" w:rsidRPr="009760C0" w:rsidRDefault="007F10F4" w:rsidP="00C259BC">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0.0</w:t>
            </w:r>
          </w:p>
        </w:tc>
        <w:tc>
          <w:tcPr>
            <w:tcW w:w="379" w:type="pct"/>
            <w:vAlign w:val="top"/>
          </w:tcPr>
          <w:p w:rsidR="007F10F4" w:rsidRPr="009760C0" w:rsidRDefault="007F10F4" w:rsidP="00C259BC">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0.0</w:t>
            </w:r>
          </w:p>
        </w:tc>
        <w:tc>
          <w:tcPr>
            <w:tcW w:w="378" w:type="pct"/>
            <w:vAlign w:val="top"/>
          </w:tcPr>
          <w:p w:rsidR="007F10F4" w:rsidRPr="009760C0" w:rsidRDefault="007F10F4" w:rsidP="00C259BC">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0.0</w:t>
            </w:r>
          </w:p>
        </w:tc>
        <w:tc>
          <w:tcPr>
            <w:tcW w:w="378" w:type="pct"/>
            <w:vAlign w:val="top"/>
          </w:tcPr>
          <w:p w:rsidR="007F10F4" w:rsidRPr="009760C0" w:rsidRDefault="007F10F4" w:rsidP="00C259BC">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0.0</w:t>
            </w:r>
          </w:p>
        </w:tc>
        <w:tc>
          <w:tcPr>
            <w:tcW w:w="379" w:type="pct"/>
            <w:vAlign w:val="top"/>
          </w:tcPr>
          <w:p w:rsidR="007F10F4" w:rsidRPr="009760C0" w:rsidRDefault="007F10F4" w:rsidP="00C259BC">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0.0</w:t>
            </w:r>
          </w:p>
        </w:tc>
        <w:tc>
          <w:tcPr>
            <w:tcW w:w="378" w:type="pct"/>
            <w:vAlign w:val="top"/>
          </w:tcPr>
          <w:p w:rsidR="007F10F4" w:rsidRPr="009760C0" w:rsidRDefault="007F10F4" w:rsidP="00C259BC">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0.0</w:t>
            </w:r>
          </w:p>
        </w:tc>
        <w:tc>
          <w:tcPr>
            <w:tcW w:w="375" w:type="pct"/>
            <w:vAlign w:val="top"/>
          </w:tcPr>
          <w:p w:rsidR="007F10F4" w:rsidRPr="009760C0" w:rsidRDefault="007F10F4" w:rsidP="00C259BC">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0.0</w:t>
            </w:r>
          </w:p>
        </w:tc>
      </w:tr>
      <w:tr w:rsidR="007F10F4" w:rsidRPr="00BA0FBF" w:rsidTr="0072646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22" w:type="pct"/>
          </w:tcPr>
          <w:p w:rsidR="007F10F4" w:rsidRPr="00BA0FBF" w:rsidRDefault="007F10F4" w:rsidP="00F95381">
            <w:pPr>
              <w:pStyle w:val="TableText"/>
              <w:rPr>
                <w:i/>
                <w:sz w:val="18"/>
              </w:rPr>
            </w:pPr>
            <w:r w:rsidRPr="00BA0FBF">
              <w:rPr>
                <w:i/>
                <w:sz w:val="18"/>
              </w:rPr>
              <w:t>Interaction Effect</w:t>
            </w:r>
          </w:p>
        </w:tc>
        <w:tc>
          <w:tcPr>
            <w:tcW w:w="377" w:type="pct"/>
            <w:vAlign w:val="top"/>
          </w:tcPr>
          <w:p w:rsidR="007F10F4" w:rsidRPr="009760C0" w:rsidRDefault="007F10F4" w:rsidP="009760C0">
            <w:pPr>
              <w:jc w:val="right"/>
              <w:cnfStyle w:val="000000100000" w:firstRow="0" w:lastRow="0" w:firstColumn="0" w:lastColumn="0" w:oddVBand="0" w:evenVBand="0" w:oddHBand="1" w:evenHBand="0" w:firstRowFirstColumn="0" w:firstRowLastColumn="0" w:lastRowFirstColumn="0" w:lastRowLastColumn="0"/>
              <w:rPr>
                <w:sz w:val="18"/>
              </w:rPr>
            </w:pPr>
            <w:r w:rsidRPr="009760C0">
              <w:rPr>
                <w:sz w:val="18"/>
              </w:rPr>
              <w:t>0.0</w:t>
            </w:r>
          </w:p>
        </w:tc>
        <w:tc>
          <w:tcPr>
            <w:tcW w:w="378" w:type="pct"/>
            <w:vAlign w:val="top"/>
          </w:tcPr>
          <w:p w:rsidR="007F10F4" w:rsidRPr="009760C0" w:rsidRDefault="007F10F4" w:rsidP="009760C0">
            <w:pPr>
              <w:jc w:val="right"/>
              <w:cnfStyle w:val="000000100000" w:firstRow="0" w:lastRow="0" w:firstColumn="0" w:lastColumn="0" w:oddVBand="0" w:evenVBand="0" w:oddHBand="1" w:evenHBand="0" w:firstRowFirstColumn="0" w:firstRowLastColumn="0" w:lastRowFirstColumn="0" w:lastRowLastColumn="0"/>
              <w:rPr>
                <w:sz w:val="18"/>
              </w:rPr>
            </w:pPr>
            <w:r w:rsidRPr="009760C0">
              <w:rPr>
                <w:sz w:val="18"/>
              </w:rPr>
              <w:t>0.0</w:t>
            </w:r>
          </w:p>
        </w:tc>
        <w:tc>
          <w:tcPr>
            <w:tcW w:w="378" w:type="pct"/>
            <w:vAlign w:val="top"/>
          </w:tcPr>
          <w:p w:rsidR="007F10F4" w:rsidRPr="009760C0" w:rsidRDefault="007F10F4" w:rsidP="009760C0">
            <w:pPr>
              <w:jc w:val="right"/>
              <w:cnfStyle w:val="000000100000" w:firstRow="0" w:lastRow="0" w:firstColumn="0" w:lastColumn="0" w:oddVBand="0" w:evenVBand="0" w:oddHBand="1" w:evenHBand="0" w:firstRowFirstColumn="0" w:firstRowLastColumn="0" w:lastRowFirstColumn="0" w:lastRowLastColumn="0"/>
              <w:rPr>
                <w:sz w:val="18"/>
              </w:rPr>
            </w:pPr>
            <w:r w:rsidRPr="009760C0">
              <w:rPr>
                <w:sz w:val="18"/>
              </w:rPr>
              <w:t>0.0</w:t>
            </w:r>
          </w:p>
        </w:tc>
        <w:tc>
          <w:tcPr>
            <w:tcW w:w="378" w:type="pct"/>
            <w:vAlign w:val="top"/>
          </w:tcPr>
          <w:p w:rsidR="007F10F4" w:rsidRPr="009760C0" w:rsidRDefault="007F10F4" w:rsidP="009760C0">
            <w:pPr>
              <w:jc w:val="right"/>
              <w:cnfStyle w:val="000000100000" w:firstRow="0" w:lastRow="0" w:firstColumn="0" w:lastColumn="0" w:oddVBand="0" w:evenVBand="0" w:oddHBand="1" w:evenHBand="0" w:firstRowFirstColumn="0" w:firstRowLastColumn="0" w:lastRowFirstColumn="0" w:lastRowLastColumn="0"/>
              <w:rPr>
                <w:sz w:val="18"/>
              </w:rPr>
            </w:pPr>
            <w:r w:rsidRPr="009760C0">
              <w:rPr>
                <w:sz w:val="18"/>
              </w:rPr>
              <w:t>0.0</w:t>
            </w:r>
          </w:p>
        </w:tc>
        <w:tc>
          <w:tcPr>
            <w:tcW w:w="379" w:type="pct"/>
            <w:vAlign w:val="top"/>
          </w:tcPr>
          <w:p w:rsidR="007F10F4" w:rsidRPr="009760C0" w:rsidRDefault="007F10F4" w:rsidP="009760C0">
            <w:pPr>
              <w:jc w:val="right"/>
              <w:cnfStyle w:val="000000100000" w:firstRow="0" w:lastRow="0" w:firstColumn="0" w:lastColumn="0" w:oddVBand="0" w:evenVBand="0" w:oddHBand="1" w:evenHBand="0" w:firstRowFirstColumn="0" w:firstRowLastColumn="0" w:lastRowFirstColumn="0" w:lastRowLastColumn="0"/>
              <w:rPr>
                <w:sz w:val="18"/>
              </w:rPr>
            </w:pPr>
            <w:r w:rsidRPr="009760C0">
              <w:rPr>
                <w:sz w:val="18"/>
              </w:rPr>
              <w:t>0.0</w:t>
            </w:r>
          </w:p>
        </w:tc>
        <w:tc>
          <w:tcPr>
            <w:tcW w:w="378" w:type="pct"/>
            <w:vAlign w:val="top"/>
          </w:tcPr>
          <w:p w:rsidR="007F10F4" w:rsidRPr="009760C0" w:rsidRDefault="007F10F4" w:rsidP="009760C0">
            <w:pPr>
              <w:jc w:val="right"/>
              <w:cnfStyle w:val="000000100000" w:firstRow="0" w:lastRow="0" w:firstColumn="0" w:lastColumn="0" w:oddVBand="0" w:evenVBand="0" w:oddHBand="1" w:evenHBand="0" w:firstRowFirstColumn="0" w:firstRowLastColumn="0" w:lastRowFirstColumn="0" w:lastRowLastColumn="0"/>
              <w:rPr>
                <w:sz w:val="18"/>
              </w:rPr>
            </w:pPr>
            <w:r w:rsidRPr="009760C0">
              <w:rPr>
                <w:sz w:val="18"/>
              </w:rPr>
              <w:t>0.0</w:t>
            </w:r>
          </w:p>
        </w:tc>
        <w:tc>
          <w:tcPr>
            <w:tcW w:w="378" w:type="pct"/>
            <w:vAlign w:val="top"/>
          </w:tcPr>
          <w:p w:rsidR="007F10F4" w:rsidRPr="009760C0" w:rsidRDefault="007F10F4" w:rsidP="009760C0">
            <w:pPr>
              <w:jc w:val="right"/>
              <w:cnfStyle w:val="000000100000" w:firstRow="0" w:lastRow="0" w:firstColumn="0" w:lastColumn="0" w:oddVBand="0" w:evenVBand="0" w:oddHBand="1" w:evenHBand="0" w:firstRowFirstColumn="0" w:firstRowLastColumn="0" w:lastRowFirstColumn="0" w:lastRowLastColumn="0"/>
              <w:rPr>
                <w:sz w:val="18"/>
              </w:rPr>
            </w:pPr>
            <w:r w:rsidRPr="009760C0">
              <w:rPr>
                <w:sz w:val="18"/>
              </w:rPr>
              <w:t>0.0</w:t>
            </w:r>
          </w:p>
        </w:tc>
        <w:tc>
          <w:tcPr>
            <w:tcW w:w="379" w:type="pct"/>
            <w:vAlign w:val="top"/>
          </w:tcPr>
          <w:p w:rsidR="007F10F4" w:rsidRPr="009760C0" w:rsidRDefault="007F10F4" w:rsidP="009760C0">
            <w:pPr>
              <w:jc w:val="right"/>
              <w:cnfStyle w:val="000000100000" w:firstRow="0" w:lastRow="0" w:firstColumn="0" w:lastColumn="0" w:oddVBand="0" w:evenVBand="0" w:oddHBand="1" w:evenHBand="0" w:firstRowFirstColumn="0" w:firstRowLastColumn="0" w:lastRowFirstColumn="0" w:lastRowLastColumn="0"/>
              <w:rPr>
                <w:sz w:val="18"/>
              </w:rPr>
            </w:pPr>
            <w:r w:rsidRPr="009760C0">
              <w:rPr>
                <w:sz w:val="18"/>
              </w:rPr>
              <w:t>0.0</w:t>
            </w:r>
          </w:p>
        </w:tc>
        <w:tc>
          <w:tcPr>
            <w:tcW w:w="378" w:type="pct"/>
            <w:vAlign w:val="top"/>
          </w:tcPr>
          <w:p w:rsidR="007F10F4" w:rsidRPr="009760C0" w:rsidRDefault="007F10F4" w:rsidP="009760C0">
            <w:pPr>
              <w:jc w:val="right"/>
              <w:cnfStyle w:val="000000100000" w:firstRow="0" w:lastRow="0" w:firstColumn="0" w:lastColumn="0" w:oddVBand="0" w:evenVBand="0" w:oddHBand="1" w:evenHBand="0" w:firstRowFirstColumn="0" w:firstRowLastColumn="0" w:lastRowFirstColumn="0" w:lastRowLastColumn="0"/>
              <w:rPr>
                <w:sz w:val="18"/>
              </w:rPr>
            </w:pPr>
            <w:r w:rsidRPr="009760C0">
              <w:rPr>
                <w:sz w:val="18"/>
              </w:rPr>
              <w:t>0.0</w:t>
            </w:r>
          </w:p>
        </w:tc>
        <w:tc>
          <w:tcPr>
            <w:tcW w:w="375" w:type="pct"/>
            <w:vAlign w:val="top"/>
          </w:tcPr>
          <w:p w:rsidR="007F10F4" w:rsidRPr="009760C0" w:rsidRDefault="007F10F4" w:rsidP="009760C0">
            <w:pPr>
              <w:jc w:val="right"/>
              <w:cnfStyle w:val="000000100000" w:firstRow="0" w:lastRow="0" w:firstColumn="0" w:lastColumn="0" w:oddVBand="0" w:evenVBand="0" w:oddHBand="1" w:evenHBand="0" w:firstRowFirstColumn="0" w:firstRowLastColumn="0" w:lastRowFirstColumn="0" w:lastRowLastColumn="0"/>
              <w:rPr>
                <w:sz w:val="18"/>
              </w:rPr>
            </w:pPr>
            <w:r w:rsidRPr="009760C0">
              <w:rPr>
                <w:sz w:val="18"/>
              </w:rPr>
              <w:t>0.0</w:t>
            </w:r>
          </w:p>
        </w:tc>
      </w:tr>
      <w:tr w:rsidR="007F10F4" w:rsidRPr="00BA0FBF" w:rsidTr="0072646C">
        <w:trPr>
          <w:cantSplit/>
        </w:trPr>
        <w:tc>
          <w:tcPr>
            <w:cnfStyle w:val="001000000000" w:firstRow="0" w:lastRow="0" w:firstColumn="1" w:lastColumn="0" w:oddVBand="0" w:evenVBand="0" w:oddHBand="0" w:evenHBand="0" w:firstRowFirstColumn="0" w:firstRowLastColumn="0" w:lastRowFirstColumn="0" w:lastRowLastColumn="0"/>
            <w:tcW w:w="1222" w:type="pct"/>
          </w:tcPr>
          <w:p w:rsidR="007F10F4" w:rsidRPr="00BA0FBF" w:rsidRDefault="007F10F4" w:rsidP="00F95381">
            <w:pPr>
              <w:pStyle w:val="TableText"/>
              <w:rPr>
                <w:b/>
                <w:sz w:val="18"/>
              </w:rPr>
            </w:pPr>
            <w:r>
              <w:rPr>
                <w:b/>
                <w:sz w:val="18"/>
              </w:rPr>
              <w:t xml:space="preserve">Additional </w:t>
            </w:r>
            <w:r w:rsidRPr="00BA0FBF">
              <w:rPr>
                <w:b/>
                <w:sz w:val="18"/>
              </w:rPr>
              <w:t>GST revenue</w:t>
            </w:r>
          </w:p>
        </w:tc>
        <w:tc>
          <w:tcPr>
            <w:tcW w:w="377" w:type="pct"/>
            <w:vAlign w:val="top"/>
          </w:tcPr>
          <w:p w:rsidR="007F10F4" w:rsidRPr="009760C0" w:rsidRDefault="007F10F4" w:rsidP="0072646C">
            <w:pPr>
              <w:jc w:val="right"/>
              <w:cnfStyle w:val="000000000000" w:firstRow="0" w:lastRow="0" w:firstColumn="0" w:lastColumn="0" w:oddVBand="0" w:evenVBand="0" w:oddHBand="0" w:evenHBand="0" w:firstRowFirstColumn="0" w:firstRowLastColumn="0" w:lastRowFirstColumn="0" w:lastRowLastColumn="0"/>
              <w:rPr>
                <w:b/>
                <w:sz w:val="18"/>
              </w:rPr>
            </w:pPr>
            <w:r w:rsidRPr="009760C0">
              <w:rPr>
                <w:b/>
                <w:sz w:val="18"/>
              </w:rPr>
              <w:t>32.5</w:t>
            </w:r>
          </w:p>
        </w:tc>
        <w:tc>
          <w:tcPr>
            <w:tcW w:w="378" w:type="pct"/>
            <w:vAlign w:val="top"/>
          </w:tcPr>
          <w:p w:rsidR="007F10F4" w:rsidRPr="009760C0" w:rsidRDefault="007F10F4" w:rsidP="0072646C">
            <w:pPr>
              <w:jc w:val="right"/>
              <w:cnfStyle w:val="000000000000" w:firstRow="0" w:lastRow="0" w:firstColumn="0" w:lastColumn="0" w:oddVBand="0" w:evenVBand="0" w:oddHBand="0" w:evenHBand="0" w:firstRowFirstColumn="0" w:firstRowLastColumn="0" w:lastRowFirstColumn="0" w:lastRowLastColumn="0"/>
              <w:rPr>
                <w:b/>
                <w:sz w:val="18"/>
              </w:rPr>
            </w:pPr>
            <w:r w:rsidRPr="009760C0">
              <w:rPr>
                <w:b/>
                <w:sz w:val="18"/>
              </w:rPr>
              <w:t>34.4</w:t>
            </w:r>
          </w:p>
        </w:tc>
        <w:tc>
          <w:tcPr>
            <w:tcW w:w="378" w:type="pct"/>
            <w:vAlign w:val="top"/>
          </w:tcPr>
          <w:p w:rsidR="007F10F4" w:rsidRPr="009760C0" w:rsidRDefault="007F10F4" w:rsidP="0072646C">
            <w:pPr>
              <w:jc w:val="right"/>
              <w:cnfStyle w:val="000000000000" w:firstRow="0" w:lastRow="0" w:firstColumn="0" w:lastColumn="0" w:oddVBand="0" w:evenVBand="0" w:oddHBand="0" w:evenHBand="0" w:firstRowFirstColumn="0" w:firstRowLastColumn="0" w:lastRowFirstColumn="0" w:lastRowLastColumn="0"/>
              <w:rPr>
                <w:b/>
                <w:sz w:val="18"/>
              </w:rPr>
            </w:pPr>
            <w:r w:rsidRPr="009760C0">
              <w:rPr>
                <w:b/>
                <w:sz w:val="18"/>
              </w:rPr>
              <w:t>35.8</w:t>
            </w:r>
          </w:p>
        </w:tc>
        <w:tc>
          <w:tcPr>
            <w:tcW w:w="378" w:type="pct"/>
            <w:vAlign w:val="top"/>
          </w:tcPr>
          <w:p w:rsidR="007F10F4" w:rsidRPr="009760C0" w:rsidRDefault="007F10F4" w:rsidP="0072646C">
            <w:pPr>
              <w:jc w:val="right"/>
              <w:cnfStyle w:val="000000000000" w:firstRow="0" w:lastRow="0" w:firstColumn="0" w:lastColumn="0" w:oddVBand="0" w:evenVBand="0" w:oddHBand="0" w:evenHBand="0" w:firstRowFirstColumn="0" w:firstRowLastColumn="0" w:lastRowFirstColumn="0" w:lastRowLastColumn="0"/>
              <w:rPr>
                <w:b/>
                <w:sz w:val="18"/>
              </w:rPr>
            </w:pPr>
            <w:r w:rsidRPr="009760C0">
              <w:rPr>
                <w:b/>
                <w:sz w:val="18"/>
              </w:rPr>
              <w:t>37.8</w:t>
            </w:r>
          </w:p>
        </w:tc>
        <w:tc>
          <w:tcPr>
            <w:tcW w:w="379" w:type="pct"/>
            <w:vAlign w:val="top"/>
          </w:tcPr>
          <w:p w:rsidR="007F10F4" w:rsidRPr="009760C0" w:rsidRDefault="007F10F4" w:rsidP="0072646C">
            <w:pPr>
              <w:jc w:val="right"/>
              <w:cnfStyle w:val="000000000000" w:firstRow="0" w:lastRow="0" w:firstColumn="0" w:lastColumn="0" w:oddVBand="0" w:evenVBand="0" w:oddHBand="0" w:evenHBand="0" w:firstRowFirstColumn="0" w:firstRowLastColumn="0" w:lastRowFirstColumn="0" w:lastRowLastColumn="0"/>
              <w:rPr>
                <w:b/>
                <w:sz w:val="18"/>
              </w:rPr>
            </w:pPr>
            <w:r w:rsidRPr="009760C0">
              <w:rPr>
                <w:b/>
                <w:sz w:val="18"/>
              </w:rPr>
              <w:t>40.1</w:t>
            </w:r>
          </w:p>
        </w:tc>
        <w:tc>
          <w:tcPr>
            <w:tcW w:w="378" w:type="pct"/>
            <w:vAlign w:val="top"/>
          </w:tcPr>
          <w:p w:rsidR="007F10F4" w:rsidRPr="009760C0" w:rsidRDefault="007F10F4" w:rsidP="0072646C">
            <w:pPr>
              <w:jc w:val="right"/>
              <w:cnfStyle w:val="000000000000" w:firstRow="0" w:lastRow="0" w:firstColumn="0" w:lastColumn="0" w:oddVBand="0" w:evenVBand="0" w:oddHBand="0" w:evenHBand="0" w:firstRowFirstColumn="0" w:firstRowLastColumn="0" w:lastRowFirstColumn="0" w:lastRowLastColumn="0"/>
              <w:rPr>
                <w:b/>
                <w:sz w:val="18"/>
              </w:rPr>
            </w:pPr>
            <w:r w:rsidRPr="009760C0">
              <w:rPr>
                <w:b/>
                <w:sz w:val="18"/>
              </w:rPr>
              <w:t>42.4</w:t>
            </w:r>
          </w:p>
        </w:tc>
        <w:tc>
          <w:tcPr>
            <w:tcW w:w="378" w:type="pct"/>
            <w:vAlign w:val="top"/>
          </w:tcPr>
          <w:p w:rsidR="007F10F4" w:rsidRPr="009760C0" w:rsidRDefault="007F10F4" w:rsidP="0072646C">
            <w:pPr>
              <w:jc w:val="right"/>
              <w:cnfStyle w:val="000000000000" w:firstRow="0" w:lastRow="0" w:firstColumn="0" w:lastColumn="0" w:oddVBand="0" w:evenVBand="0" w:oddHBand="0" w:evenHBand="0" w:firstRowFirstColumn="0" w:firstRowLastColumn="0" w:lastRowFirstColumn="0" w:lastRowLastColumn="0"/>
              <w:rPr>
                <w:b/>
                <w:sz w:val="18"/>
              </w:rPr>
            </w:pPr>
            <w:r w:rsidRPr="009760C0">
              <w:rPr>
                <w:b/>
                <w:sz w:val="18"/>
              </w:rPr>
              <w:t>44.7</w:t>
            </w:r>
          </w:p>
        </w:tc>
        <w:tc>
          <w:tcPr>
            <w:tcW w:w="379" w:type="pct"/>
            <w:vAlign w:val="top"/>
          </w:tcPr>
          <w:p w:rsidR="007F10F4" w:rsidRPr="009760C0" w:rsidRDefault="007F10F4" w:rsidP="0072646C">
            <w:pPr>
              <w:jc w:val="right"/>
              <w:cnfStyle w:val="000000000000" w:firstRow="0" w:lastRow="0" w:firstColumn="0" w:lastColumn="0" w:oddVBand="0" w:evenVBand="0" w:oddHBand="0" w:evenHBand="0" w:firstRowFirstColumn="0" w:firstRowLastColumn="0" w:lastRowFirstColumn="0" w:lastRowLastColumn="0"/>
              <w:rPr>
                <w:b/>
                <w:sz w:val="18"/>
              </w:rPr>
            </w:pPr>
            <w:r w:rsidRPr="009760C0">
              <w:rPr>
                <w:b/>
                <w:sz w:val="18"/>
              </w:rPr>
              <w:t>47.1</w:t>
            </w:r>
          </w:p>
        </w:tc>
        <w:tc>
          <w:tcPr>
            <w:tcW w:w="378" w:type="pct"/>
            <w:vAlign w:val="top"/>
          </w:tcPr>
          <w:p w:rsidR="007F10F4" w:rsidRPr="009760C0" w:rsidRDefault="007F10F4" w:rsidP="0072646C">
            <w:pPr>
              <w:jc w:val="right"/>
              <w:cnfStyle w:val="000000000000" w:firstRow="0" w:lastRow="0" w:firstColumn="0" w:lastColumn="0" w:oddVBand="0" w:evenVBand="0" w:oddHBand="0" w:evenHBand="0" w:firstRowFirstColumn="0" w:firstRowLastColumn="0" w:lastRowFirstColumn="0" w:lastRowLastColumn="0"/>
              <w:rPr>
                <w:b/>
                <w:sz w:val="18"/>
              </w:rPr>
            </w:pPr>
            <w:r w:rsidRPr="009760C0">
              <w:rPr>
                <w:b/>
                <w:sz w:val="18"/>
              </w:rPr>
              <w:t>49.7</w:t>
            </w:r>
          </w:p>
        </w:tc>
        <w:tc>
          <w:tcPr>
            <w:tcW w:w="375" w:type="pct"/>
            <w:vAlign w:val="top"/>
          </w:tcPr>
          <w:p w:rsidR="007F10F4" w:rsidRPr="009760C0" w:rsidRDefault="007F10F4" w:rsidP="0072646C">
            <w:pPr>
              <w:jc w:val="right"/>
              <w:cnfStyle w:val="000000000000" w:firstRow="0" w:lastRow="0" w:firstColumn="0" w:lastColumn="0" w:oddVBand="0" w:evenVBand="0" w:oddHBand="0" w:evenHBand="0" w:firstRowFirstColumn="0" w:firstRowLastColumn="0" w:lastRowFirstColumn="0" w:lastRowLastColumn="0"/>
              <w:rPr>
                <w:b/>
                <w:sz w:val="18"/>
              </w:rPr>
            </w:pPr>
            <w:r w:rsidRPr="009760C0">
              <w:rPr>
                <w:b/>
                <w:sz w:val="18"/>
              </w:rPr>
              <w:t>364.5</w:t>
            </w:r>
          </w:p>
        </w:tc>
      </w:tr>
    </w:tbl>
    <w:p w:rsidR="00726BED" w:rsidRDefault="00726BED" w:rsidP="00726BED">
      <w:pPr>
        <w:pStyle w:val="Source"/>
      </w:pPr>
      <w:r>
        <w:t xml:space="preserve">Source: </w:t>
      </w:r>
      <w:r w:rsidR="004E109F">
        <w:t>PBO analysis based on data from the ABS and Treasury</w:t>
      </w:r>
    </w:p>
    <w:p w:rsidR="00F95381" w:rsidRPr="00BA0FBF" w:rsidRDefault="00F95381" w:rsidP="00726BED">
      <w:pPr>
        <w:pStyle w:val="Source"/>
        <w:rPr>
          <w:spacing w:val="-1"/>
        </w:rPr>
      </w:pPr>
      <w:r w:rsidRPr="00BA0FBF">
        <w:br w:type="page"/>
      </w:r>
    </w:p>
    <w:p w:rsidR="00591E0E" w:rsidRPr="00BA0FBF" w:rsidRDefault="00591E0E" w:rsidP="0002275E">
      <w:pPr>
        <w:pStyle w:val="Heading9"/>
        <w:numPr>
          <w:ilvl w:val="0"/>
          <w:numId w:val="0"/>
        </w:numPr>
        <w:ind w:left="765" w:hanging="765"/>
      </w:pPr>
      <w:bookmarkStart w:id="315" w:name="_Toc436400367"/>
      <w:bookmarkStart w:id="316" w:name="_Ref436837154"/>
      <w:bookmarkStart w:id="317" w:name="_Toc437438460"/>
      <w:r w:rsidRPr="00BA0FBF">
        <w:t xml:space="preserve">Scenario 4: Increase the GST rate to 15 per cent; basic food </w:t>
      </w:r>
      <w:r w:rsidR="00F24652" w:rsidRPr="00BA0FBF">
        <w:t>subject to GST</w:t>
      </w:r>
      <w:bookmarkEnd w:id="315"/>
      <w:bookmarkEnd w:id="316"/>
      <w:bookmarkEnd w:id="317"/>
    </w:p>
    <w:p w:rsidR="00591E0E" w:rsidRPr="00BA0FBF" w:rsidRDefault="00591E0E" w:rsidP="00591E0E">
      <w:pPr>
        <w:pStyle w:val="Caption"/>
        <w:rPr>
          <w:sz w:val="20"/>
        </w:rPr>
      </w:pPr>
      <w:r w:rsidRPr="00BA0FBF">
        <w:rPr>
          <w:sz w:val="20"/>
        </w:rPr>
        <w:t>Table C–</w:t>
      </w:r>
      <w:r w:rsidR="005867ED">
        <w:rPr>
          <w:sz w:val="20"/>
        </w:rPr>
        <w:t>7</w:t>
      </w:r>
      <w:r w:rsidRPr="00BA0FBF">
        <w:rPr>
          <w:sz w:val="20"/>
        </w:rPr>
        <w:t>: Net</w:t>
      </w:r>
      <w:r w:rsidR="0045532B">
        <w:rPr>
          <w:sz w:val="20"/>
        </w:rPr>
        <w:t xml:space="preserve"> additional</w:t>
      </w:r>
      <w:r w:rsidRPr="00BA0FBF">
        <w:rPr>
          <w:sz w:val="20"/>
        </w:rPr>
        <w:t xml:space="preserve"> GST </w:t>
      </w:r>
      <w:r w:rsidR="00A92F06">
        <w:rPr>
          <w:sz w:val="20"/>
        </w:rPr>
        <w:t>r</w:t>
      </w:r>
      <w:r w:rsidRPr="00BA0FBF">
        <w:rPr>
          <w:sz w:val="20"/>
        </w:rPr>
        <w:t>evenue</w:t>
      </w:r>
      <w:r w:rsidR="00A92F06">
        <w:rPr>
          <w:sz w:val="20"/>
        </w:rPr>
        <w:t>:</w:t>
      </w:r>
      <w:r w:rsidRPr="00BA0FBF">
        <w:rPr>
          <w:sz w:val="20"/>
        </w:rPr>
        <w:t xml:space="preserve"> Scenario 4 </w:t>
      </w:r>
      <w:r w:rsidR="00A92F06">
        <w:rPr>
          <w:sz w:val="20"/>
        </w:rPr>
        <w:t xml:space="preserve"> (</w:t>
      </w:r>
      <w:r w:rsidRPr="00BA0FBF">
        <w:rPr>
          <w:sz w:val="20"/>
        </w:rPr>
        <w:t>15 per cent GST</w:t>
      </w:r>
      <w:r w:rsidR="00A92F06">
        <w:rPr>
          <w:sz w:val="20"/>
        </w:rPr>
        <w:t>;</w:t>
      </w:r>
      <w:r w:rsidRPr="00BA0FBF">
        <w:rPr>
          <w:sz w:val="20"/>
        </w:rPr>
        <w:t xml:space="preserve"> </w:t>
      </w:r>
      <w:r w:rsidR="00F24652" w:rsidRPr="00BA0FBF">
        <w:rPr>
          <w:sz w:val="20"/>
        </w:rPr>
        <w:t>basic food subject to GST</w:t>
      </w:r>
      <w:r w:rsidR="00A92F06">
        <w:rPr>
          <w:sz w:val="20"/>
        </w:rPr>
        <w:t>)</w:t>
      </w:r>
    </w:p>
    <w:tbl>
      <w:tblPr>
        <w:tblStyle w:val="TableGrid"/>
        <w:tblW w:w="4665" w:type="pct"/>
        <w:tblLook w:val="04A0" w:firstRow="1" w:lastRow="0" w:firstColumn="1" w:lastColumn="0" w:noHBand="0" w:noVBand="1"/>
      </w:tblPr>
      <w:tblGrid>
        <w:gridCol w:w="3216"/>
        <w:gridCol w:w="915"/>
        <w:gridCol w:w="915"/>
        <w:gridCol w:w="915"/>
        <w:gridCol w:w="915"/>
        <w:gridCol w:w="915"/>
        <w:gridCol w:w="915"/>
        <w:gridCol w:w="914"/>
        <w:gridCol w:w="914"/>
        <w:gridCol w:w="914"/>
        <w:gridCol w:w="909"/>
      </w:tblGrid>
      <w:tr w:rsidR="0002160B" w:rsidRPr="00BA0FBF" w:rsidTr="0002160B">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301" w:type="pct"/>
          </w:tcPr>
          <w:p w:rsidR="0002160B" w:rsidRPr="00BA0FBF" w:rsidRDefault="0002160B" w:rsidP="00591E0E">
            <w:pPr>
              <w:pStyle w:val="TableHeading"/>
              <w:rPr>
                <w:sz w:val="18"/>
              </w:rPr>
            </w:pPr>
            <w:r w:rsidRPr="00BA0FBF">
              <w:rPr>
                <w:sz w:val="18"/>
              </w:rPr>
              <w:t>($b)</w:t>
            </w:r>
          </w:p>
        </w:tc>
        <w:tc>
          <w:tcPr>
            <w:tcW w:w="370" w:type="pct"/>
          </w:tcPr>
          <w:p w:rsidR="0002160B" w:rsidRPr="00BA0FBF" w:rsidRDefault="0002160B" w:rsidP="005335D1">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2017</w:t>
            </w:r>
            <w:r w:rsidR="000B1326">
              <w:rPr>
                <w:sz w:val="18"/>
              </w:rPr>
              <w:t>–</w:t>
            </w:r>
            <w:r w:rsidRPr="00BA0FBF">
              <w:rPr>
                <w:sz w:val="18"/>
              </w:rPr>
              <w:t>18</w:t>
            </w:r>
          </w:p>
        </w:tc>
        <w:tc>
          <w:tcPr>
            <w:tcW w:w="370" w:type="pct"/>
          </w:tcPr>
          <w:p w:rsidR="0002160B" w:rsidRPr="00BA0FBF" w:rsidRDefault="0002160B" w:rsidP="005335D1">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2018</w:t>
            </w:r>
            <w:r w:rsidR="000B1326">
              <w:rPr>
                <w:sz w:val="18"/>
              </w:rPr>
              <w:t>–</w:t>
            </w:r>
            <w:r w:rsidRPr="00BA0FBF">
              <w:rPr>
                <w:sz w:val="18"/>
              </w:rPr>
              <w:t>19</w:t>
            </w:r>
          </w:p>
        </w:tc>
        <w:tc>
          <w:tcPr>
            <w:tcW w:w="370" w:type="pct"/>
          </w:tcPr>
          <w:p w:rsidR="0002160B" w:rsidRPr="00BA0FBF" w:rsidRDefault="0002160B" w:rsidP="005335D1">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2019</w:t>
            </w:r>
            <w:r w:rsidR="000B1326">
              <w:rPr>
                <w:sz w:val="18"/>
              </w:rPr>
              <w:t>–</w:t>
            </w:r>
            <w:r w:rsidRPr="00BA0FBF">
              <w:rPr>
                <w:sz w:val="18"/>
              </w:rPr>
              <w:t>20</w:t>
            </w:r>
          </w:p>
        </w:tc>
        <w:tc>
          <w:tcPr>
            <w:tcW w:w="370" w:type="pct"/>
          </w:tcPr>
          <w:p w:rsidR="0002160B" w:rsidRPr="00BA0FBF" w:rsidRDefault="0002160B" w:rsidP="005335D1">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2020</w:t>
            </w:r>
            <w:r w:rsidR="000B1326">
              <w:rPr>
                <w:sz w:val="18"/>
              </w:rPr>
              <w:t>–</w:t>
            </w:r>
            <w:r w:rsidRPr="00BA0FBF">
              <w:rPr>
                <w:sz w:val="18"/>
              </w:rPr>
              <w:t>21</w:t>
            </w:r>
          </w:p>
        </w:tc>
        <w:tc>
          <w:tcPr>
            <w:tcW w:w="370" w:type="pct"/>
          </w:tcPr>
          <w:p w:rsidR="0002160B" w:rsidRPr="00BA0FBF" w:rsidRDefault="0002160B" w:rsidP="005335D1">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2021</w:t>
            </w:r>
            <w:r w:rsidR="000B1326">
              <w:rPr>
                <w:sz w:val="18"/>
              </w:rPr>
              <w:t>–</w:t>
            </w:r>
            <w:r w:rsidRPr="00BA0FBF">
              <w:rPr>
                <w:sz w:val="18"/>
              </w:rPr>
              <w:t>22</w:t>
            </w:r>
          </w:p>
        </w:tc>
        <w:tc>
          <w:tcPr>
            <w:tcW w:w="370" w:type="pct"/>
          </w:tcPr>
          <w:p w:rsidR="0002160B" w:rsidRPr="00BA0FBF" w:rsidRDefault="0002160B" w:rsidP="005335D1">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2022</w:t>
            </w:r>
            <w:r w:rsidR="000B1326">
              <w:rPr>
                <w:sz w:val="18"/>
              </w:rPr>
              <w:t>–</w:t>
            </w:r>
            <w:r w:rsidRPr="00BA0FBF">
              <w:rPr>
                <w:sz w:val="18"/>
              </w:rPr>
              <w:t>23</w:t>
            </w:r>
          </w:p>
        </w:tc>
        <w:tc>
          <w:tcPr>
            <w:tcW w:w="370" w:type="pct"/>
          </w:tcPr>
          <w:p w:rsidR="0002160B" w:rsidRPr="00BA0FBF" w:rsidRDefault="0002160B" w:rsidP="005335D1">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2023</w:t>
            </w:r>
            <w:r w:rsidR="000B1326">
              <w:rPr>
                <w:sz w:val="18"/>
              </w:rPr>
              <w:t>–</w:t>
            </w:r>
            <w:r w:rsidRPr="00BA0FBF">
              <w:rPr>
                <w:sz w:val="18"/>
              </w:rPr>
              <w:t>24</w:t>
            </w:r>
          </w:p>
        </w:tc>
        <w:tc>
          <w:tcPr>
            <w:tcW w:w="370" w:type="pct"/>
          </w:tcPr>
          <w:p w:rsidR="0002160B" w:rsidRPr="00BA0FBF" w:rsidRDefault="0002160B" w:rsidP="005335D1">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2024</w:t>
            </w:r>
            <w:r w:rsidR="000B1326">
              <w:rPr>
                <w:sz w:val="18"/>
              </w:rPr>
              <w:t>–</w:t>
            </w:r>
            <w:r w:rsidRPr="00BA0FBF">
              <w:rPr>
                <w:sz w:val="18"/>
              </w:rPr>
              <w:t>25</w:t>
            </w:r>
          </w:p>
        </w:tc>
        <w:tc>
          <w:tcPr>
            <w:tcW w:w="370" w:type="pct"/>
          </w:tcPr>
          <w:p w:rsidR="0002160B" w:rsidRPr="00BA0FBF" w:rsidRDefault="0002160B" w:rsidP="005335D1">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2025</w:t>
            </w:r>
            <w:r w:rsidR="000B1326">
              <w:rPr>
                <w:sz w:val="18"/>
              </w:rPr>
              <w:t>–</w:t>
            </w:r>
            <w:r w:rsidRPr="00BA0FBF">
              <w:rPr>
                <w:sz w:val="18"/>
              </w:rPr>
              <w:t>26</w:t>
            </w:r>
          </w:p>
        </w:tc>
        <w:tc>
          <w:tcPr>
            <w:tcW w:w="368" w:type="pct"/>
          </w:tcPr>
          <w:p w:rsidR="0002160B" w:rsidRPr="00BA0FBF" w:rsidRDefault="0002160B" w:rsidP="005335D1">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Medium Term</w:t>
            </w:r>
          </w:p>
        </w:tc>
      </w:tr>
      <w:tr w:rsidR="009760C0" w:rsidRPr="00BA0FBF" w:rsidTr="0002160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01" w:type="pct"/>
          </w:tcPr>
          <w:p w:rsidR="009760C0" w:rsidRPr="00BA0FBF" w:rsidRDefault="0045532B" w:rsidP="005335D1">
            <w:pPr>
              <w:pStyle w:val="TableText"/>
              <w:rPr>
                <w:b/>
                <w:sz w:val="18"/>
              </w:rPr>
            </w:pPr>
            <w:r>
              <w:rPr>
                <w:b/>
                <w:sz w:val="18"/>
              </w:rPr>
              <w:t xml:space="preserve">Additional </w:t>
            </w:r>
            <w:r w:rsidR="009760C0" w:rsidRPr="00BA0FBF">
              <w:rPr>
                <w:b/>
                <w:sz w:val="18"/>
              </w:rPr>
              <w:t>GST revenue</w:t>
            </w:r>
          </w:p>
        </w:tc>
        <w:tc>
          <w:tcPr>
            <w:tcW w:w="370" w:type="pct"/>
            <w:vAlign w:val="top"/>
          </w:tcPr>
          <w:p w:rsidR="009760C0" w:rsidRPr="009760C0" w:rsidRDefault="009760C0" w:rsidP="00035108">
            <w:pPr>
              <w:jc w:val="right"/>
              <w:cnfStyle w:val="000000100000" w:firstRow="0" w:lastRow="0" w:firstColumn="0" w:lastColumn="0" w:oddVBand="0" w:evenVBand="0" w:oddHBand="1" w:evenHBand="0" w:firstRowFirstColumn="0" w:firstRowLastColumn="0" w:lastRowFirstColumn="0" w:lastRowLastColumn="0"/>
              <w:rPr>
                <w:sz w:val="18"/>
              </w:rPr>
            </w:pPr>
            <w:r w:rsidRPr="009760C0">
              <w:rPr>
                <w:sz w:val="18"/>
              </w:rPr>
              <w:t>42.7</w:t>
            </w:r>
          </w:p>
        </w:tc>
        <w:tc>
          <w:tcPr>
            <w:tcW w:w="370" w:type="pct"/>
            <w:vAlign w:val="top"/>
          </w:tcPr>
          <w:p w:rsidR="009760C0" w:rsidRPr="009760C0" w:rsidRDefault="009760C0" w:rsidP="00035108">
            <w:pPr>
              <w:jc w:val="right"/>
              <w:cnfStyle w:val="000000100000" w:firstRow="0" w:lastRow="0" w:firstColumn="0" w:lastColumn="0" w:oddVBand="0" w:evenVBand="0" w:oddHBand="1" w:evenHBand="0" w:firstRowFirstColumn="0" w:firstRowLastColumn="0" w:lastRowFirstColumn="0" w:lastRowLastColumn="0"/>
              <w:rPr>
                <w:sz w:val="18"/>
              </w:rPr>
            </w:pPr>
            <w:r w:rsidRPr="009760C0">
              <w:rPr>
                <w:sz w:val="18"/>
              </w:rPr>
              <w:t>45.0</w:t>
            </w:r>
          </w:p>
        </w:tc>
        <w:tc>
          <w:tcPr>
            <w:tcW w:w="370" w:type="pct"/>
            <w:vAlign w:val="top"/>
          </w:tcPr>
          <w:p w:rsidR="009760C0" w:rsidRPr="009760C0" w:rsidRDefault="009760C0" w:rsidP="00035108">
            <w:pPr>
              <w:jc w:val="right"/>
              <w:cnfStyle w:val="000000100000" w:firstRow="0" w:lastRow="0" w:firstColumn="0" w:lastColumn="0" w:oddVBand="0" w:evenVBand="0" w:oddHBand="1" w:evenHBand="0" w:firstRowFirstColumn="0" w:firstRowLastColumn="0" w:lastRowFirstColumn="0" w:lastRowLastColumn="0"/>
              <w:rPr>
                <w:sz w:val="18"/>
              </w:rPr>
            </w:pPr>
            <w:r w:rsidRPr="009760C0">
              <w:rPr>
                <w:sz w:val="18"/>
              </w:rPr>
              <w:t>46.8</w:t>
            </w:r>
          </w:p>
        </w:tc>
        <w:tc>
          <w:tcPr>
            <w:tcW w:w="370" w:type="pct"/>
            <w:vAlign w:val="top"/>
          </w:tcPr>
          <w:p w:rsidR="009760C0" w:rsidRPr="009760C0" w:rsidRDefault="009760C0" w:rsidP="00035108">
            <w:pPr>
              <w:jc w:val="right"/>
              <w:cnfStyle w:val="000000100000" w:firstRow="0" w:lastRow="0" w:firstColumn="0" w:lastColumn="0" w:oddVBand="0" w:evenVBand="0" w:oddHBand="1" w:evenHBand="0" w:firstRowFirstColumn="0" w:firstRowLastColumn="0" w:lastRowFirstColumn="0" w:lastRowLastColumn="0"/>
              <w:rPr>
                <w:sz w:val="18"/>
              </w:rPr>
            </w:pPr>
            <w:r w:rsidRPr="009760C0">
              <w:rPr>
                <w:sz w:val="18"/>
              </w:rPr>
              <w:t>49.4</w:t>
            </w:r>
          </w:p>
        </w:tc>
        <w:tc>
          <w:tcPr>
            <w:tcW w:w="370" w:type="pct"/>
            <w:vAlign w:val="top"/>
          </w:tcPr>
          <w:p w:rsidR="009760C0" w:rsidRPr="009760C0" w:rsidRDefault="009760C0" w:rsidP="00035108">
            <w:pPr>
              <w:jc w:val="right"/>
              <w:cnfStyle w:val="000000100000" w:firstRow="0" w:lastRow="0" w:firstColumn="0" w:lastColumn="0" w:oddVBand="0" w:evenVBand="0" w:oddHBand="1" w:evenHBand="0" w:firstRowFirstColumn="0" w:firstRowLastColumn="0" w:lastRowFirstColumn="0" w:lastRowLastColumn="0"/>
              <w:rPr>
                <w:sz w:val="18"/>
              </w:rPr>
            </w:pPr>
            <w:r w:rsidRPr="009760C0">
              <w:rPr>
                <w:sz w:val="18"/>
              </w:rPr>
              <w:t>52.1</w:t>
            </w:r>
          </w:p>
        </w:tc>
        <w:tc>
          <w:tcPr>
            <w:tcW w:w="370" w:type="pct"/>
            <w:vAlign w:val="top"/>
          </w:tcPr>
          <w:p w:rsidR="009760C0" w:rsidRPr="009760C0" w:rsidRDefault="009760C0" w:rsidP="00035108">
            <w:pPr>
              <w:jc w:val="right"/>
              <w:cnfStyle w:val="000000100000" w:firstRow="0" w:lastRow="0" w:firstColumn="0" w:lastColumn="0" w:oddVBand="0" w:evenVBand="0" w:oddHBand="1" w:evenHBand="0" w:firstRowFirstColumn="0" w:firstRowLastColumn="0" w:lastRowFirstColumn="0" w:lastRowLastColumn="0"/>
              <w:rPr>
                <w:sz w:val="18"/>
              </w:rPr>
            </w:pPr>
            <w:r w:rsidRPr="009760C0">
              <w:rPr>
                <w:sz w:val="18"/>
              </w:rPr>
              <w:t>54.9</w:t>
            </w:r>
          </w:p>
        </w:tc>
        <w:tc>
          <w:tcPr>
            <w:tcW w:w="370" w:type="pct"/>
            <w:vAlign w:val="top"/>
          </w:tcPr>
          <w:p w:rsidR="009760C0" w:rsidRPr="009760C0" w:rsidRDefault="009760C0" w:rsidP="00035108">
            <w:pPr>
              <w:jc w:val="right"/>
              <w:cnfStyle w:val="000000100000" w:firstRow="0" w:lastRow="0" w:firstColumn="0" w:lastColumn="0" w:oddVBand="0" w:evenVBand="0" w:oddHBand="1" w:evenHBand="0" w:firstRowFirstColumn="0" w:firstRowLastColumn="0" w:lastRowFirstColumn="0" w:lastRowLastColumn="0"/>
              <w:rPr>
                <w:sz w:val="18"/>
              </w:rPr>
            </w:pPr>
            <w:r w:rsidRPr="009760C0">
              <w:rPr>
                <w:sz w:val="18"/>
              </w:rPr>
              <w:t>57.8</w:t>
            </w:r>
          </w:p>
        </w:tc>
        <w:tc>
          <w:tcPr>
            <w:tcW w:w="370" w:type="pct"/>
            <w:vAlign w:val="top"/>
          </w:tcPr>
          <w:p w:rsidR="009760C0" w:rsidRPr="009760C0" w:rsidRDefault="009760C0" w:rsidP="00035108">
            <w:pPr>
              <w:jc w:val="right"/>
              <w:cnfStyle w:val="000000100000" w:firstRow="0" w:lastRow="0" w:firstColumn="0" w:lastColumn="0" w:oddVBand="0" w:evenVBand="0" w:oddHBand="1" w:evenHBand="0" w:firstRowFirstColumn="0" w:firstRowLastColumn="0" w:lastRowFirstColumn="0" w:lastRowLastColumn="0"/>
              <w:rPr>
                <w:sz w:val="18"/>
              </w:rPr>
            </w:pPr>
            <w:r w:rsidRPr="009760C0">
              <w:rPr>
                <w:sz w:val="18"/>
              </w:rPr>
              <w:t>60.8</w:t>
            </w:r>
          </w:p>
        </w:tc>
        <w:tc>
          <w:tcPr>
            <w:tcW w:w="370" w:type="pct"/>
            <w:vAlign w:val="top"/>
          </w:tcPr>
          <w:p w:rsidR="009760C0" w:rsidRPr="009760C0" w:rsidRDefault="009760C0" w:rsidP="00035108">
            <w:pPr>
              <w:jc w:val="right"/>
              <w:cnfStyle w:val="000000100000" w:firstRow="0" w:lastRow="0" w:firstColumn="0" w:lastColumn="0" w:oddVBand="0" w:evenVBand="0" w:oddHBand="1" w:evenHBand="0" w:firstRowFirstColumn="0" w:firstRowLastColumn="0" w:lastRowFirstColumn="0" w:lastRowLastColumn="0"/>
              <w:rPr>
                <w:sz w:val="18"/>
              </w:rPr>
            </w:pPr>
            <w:r w:rsidRPr="009760C0">
              <w:rPr>
                <w:sz w:val="18"/>
              </w:rPr>
              <w:t>63.9</w:t>
            </w:r>
          </w:p>
        </w:tc>
        <w:tc>
          <w:tcPr>
            <w:tcW w:w="368" w:type="pct"/>
            <w:vAlign w:val="top"/>
          </w:tcPr>
          <w:p w:rsidR="009760C0" w:rsidRPr="009760C0" w:rsidRDefault="009760C0" w:rsidP="00035108">
            <w:pPr>
              <w:jc w:val="right"/>
              <w:cnfStyle w:val="000000100000" w:firstRow="0" w:lastRow="0" w:firstColumn="0" w:lastColumn="0" w:oddVBand="0" w:evenVBand="0" w:oddHBand="1" w:evenHBand="0" w:firstRowFirstColumn="0" w:firstRowLastColumn="0" w:lastRowFirstColumn="0" w:lastRowLastColumn="0"/>
              <w:rPr>
                <w:sz w:val="18"/>
              </w:rPr>
            </w:pPr>
            <w:r w:rsidRPr="009760C0">
              <w:rPr>
                <w:sz w:val="18"/>
              </w:rPr>
              <w:t>473.4</w:t>
            </w:r>
          </w:p>
        </w:tc>
      </w:tr>
      <w:tr w:rsidR="009760C0" w:rsidRPr="00BA0FBF" w:rsidTr="0002160B">
        <w:trPr>
          <w:cantSplit/>
        </w:trPr>
        <w:tc>
          <w:tcPr>
            <w:cnfStyle w:val="001000000000" w:firstRow="0" w:lastRow="0" w:firstColumn="1" w:lastColumn="0" w:oddVBand="0" w:evenVBand="0" w:oddHBand="0" w:evenHBand="0" w:firstRowFirstColumn="0" w:firstRowLastColumn="0" w:lastRowFirstColumn="0" w:lastRowLastColumn="0"/>
            <w:tcW w:w="1301" w:type="pct"/>
          </w:tcPr>
          <w:p w:rsidR="009760C0" w:rsidRPr="00BA0FBF" w:rsidRDefault="009760C0" w:rsidP="00591E0E">
            <w:pPr>
              <w:pStyle w:val="TableText"/>
              <w:rPr>
                <w:sz w:val="18"/>
              </w:rPr>
            </w:pPr>
            <w:r w:rsidRPr="00BA0FBF">
              <w:rPr>
                <w:b/>
                <w:sz w:val="18"/>
              </w:rPr>
              <w:t>Compensation: Technical Assumption</w:t>
            </w:r>
            <w:r w:rsidRPr="00BA0FBF">
              <w:rPr>
                <w:sz w:val="18"/>
                <w:szCs w:val="20"/>
              </w:rPr>
              <w:t xml:space="preserve"> </w:t>
            </w:r>
          </w:p>
        </w:tc>
        <w:tc>
          <w:tcPr>
            <w:tcW w:w="370" w:type="pct"/>
            <w:vAlign w:val="top"/>
          </w:tcPr>
          <w:p w:rsidR="009760C0" w:rsidRPr="009760C0" w:rsidRDefault="009760C0" w:rsidP="00035108">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-11.3</w:t>
            </w:r>
          </w:p>
        </w:tc>
        <w:tc>
          <w:tcPr>
            <w:tcW w:w="370" w:type="pct"/>
            <w:vAlign w:val="top"/>
          </w:tcPr>
          <w:p w:rsidR="009760C0" w:rsidRPr="009760C0" w:rsidRDefault="009760C0" w:rsidP="00035108">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-11.9</w:t>
            </w:r>
          </w:p>
        </w:tc>
        <w:tc>
          <w:tcPr>
            <w:tcW w:w="370" w:type="pct"/>
            <w:vAlign w:val="top"/>
          </w:tcPr>
          <w:p w:rsidR="009760C0" w:rsidRPr="009760C0" w:rsidRDefault="009760C0" w:rsidP="00035108">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-12.4</w:t>
            </w:r>
          </w:p>
        </w:tc>
        <w:tc>
          <w:tcPr>
            <w:tcW w:w="370" w:type="pct"/>
            <w:vAlign w:val="top"/>
          </w:tcPr>
          <w:p w:rsidR="009760C0" w:rsidRPr="009760C0" w:rsidRDefault="009760C0" w:rsidP="00035108">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-13.0</w:t>
            </w:r>
          </w:p>
        </w:tc>
        <w:tc>
          <w:tcPr>
            <w:tcW w:w="370" w:type="pct"/>
            <w:vAlign w:val="top"/>
          </w:tcPr>
          <w:p w:rsidR="009760C0" w:rsidRPr="009760C0" w:rsidRDefault="009760C0" w:rsidP="00035108">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-13.8</w:t>
            </w:r>
          </w:p>
        </w:tc>
        <w:tc>
          <w:tcPr>
            <w:tcW w:w="370" w:type="pct"/>
            <w:vAlign w:val="top"/>
          </w:tcPr>
          <w:p w:rsidR="009760C0" w:rsidRPr="009760C0" w:rsidRDefault="009760C0" w:rsidP="00035108">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-14.5</w:t>
            </w:r>
          </w:p>
        </w:tc>
        <w:tc>
          <w:tcPr>
            <w:tcW w:w="370" w:type="pct"/>
            <w:vAlign w:val="top"/>
          </w:tcPr>
          <w:p w:rsidR="009760C0" w:rsidRPr="009760C0" w:rsidRDefault="009760C0" w:rsidP="00035108">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-15.3</w:t>
            </w:r>
          </w:p>
        </w:tc>
        <w:tc>
          <w:tcPr>
            <w:tcW w:w="370" w:type="pct"/>
            <w:vAlign w:val="top"/>
          </w:tcPr>
          <w:p w:rsidR="009760C0" w:rsidRPr="009760C0" w:rsidRDefault="009760C0" w:rsidP="00035108">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-16.1</w:t>
            </w:r>
          </w:p>
        </w:tc>
        <w:tc>
          <w:tcPr>
            <w:tcW w:w="370" w:type="pct"/>
            <w:vAlign w:val="top"/>
          </w:tcPr>
          <w:p w:rsidR="009760C0" w:rsidRPr="009760C0" w:rsidRDefault="009760C0" w:rsidP="00035108">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-16.9</w:t>
            </w:r>
          </w:p>
        </w:tc>
        <w:tc>
          <w:tcPr>
            <w:tcW w:w="368" w:type="pct"/>
            <w:vAlign w:val="top"/>
          </w:tcPr>
          <w:p w:rsidR="009760C0" w:rsidRPr="009760C0" w:rsidRDefault="009760C0" w:rsidP="00035108">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-125.2</w:t>
            </w:r>
          </w:p>
        </w:tc>
      </w:tr>
      <w:tr w:rsidR="009760C0" w:rsidRPr="00BA0FBF" w:rsidTr="0002160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01" w:type="pct"/>
          </w:tcPr>
          <w:p w:rsidR="009760C0" w:rsidRPr="00BA0FBF" w:rsidRDefault="009760C0" w:rsidP="00591E0E">
            <w:pPr>
              <w:pStyle w:val="TableText"/>
              <w:rPr>
                <w:b/>
                <w:sz w:val="18"/>
              </w:rPr>
            </w:pPr>
            <w:r w:rsidRPr="00BA0FBF">
              <w:rPr>
                <w:b/>
                <w:sz w:val="18"/>
              </w:rPr>
              <w:t>Net</w:t>
            </w:r>
            <w:r w:rsidR="0045532B">
              <w:rPr>
                <w:b/>
                <w:sz w:val="18"/>
              </w:rPr>
              <w:t xml:space="preserve"> additional</w:t>
            </w:r>
            <w:r w:rsidRPr="00BA0FBF">
              <w:rPr>
                <w:b/>
                <w:sz w:val="18"/>
              </w:rPr>
              <w:t xml:space="preserve"> GST revenue: Scenario 4</w:t>
            </w:r>
          </w:p>
        </w:tc>
        <w:tc>
          <w:tcPr>
            <w:tcW w:w="370" w:type="pct"/>
            <w:vAlign w:val="top"/>
          </w:tcPr>
          <w:p w:rsidR="009760C0" w:rsidRPr="009760C0" w:rsidRDefault="009760C0" w:rsidP="00035108">
            <w:pPr>
              <w:jc w:val="right"/>
              <w:cnfStyle w:val="000000100000" w:firstRow="0" w:lastRow="0" w:firstColumn="0" w:lastColumn="0" w:oddVBand="0" w:evenVBand="0" w:oddHBand="1" w:evenHBand="0" w:firstRowFirstColumn="0" w:firstRowLastColumn="0" w:lastRowFirstColumn="0" w:lastRowLastColumn="0"/>
              <w:rPr>
                <w:b/>
                <w:sz w:val="18"/>
              </w:rPr>
            </w:pPr>
            <w:r w:rsidRPr="009760C0">
              <w:rPr>
                <w:b/>
                <w:sz w:val="18"/>
              </w:rPr>
              <w:t>31.4</w:t>
            </w:r>
          </w:p>
        </w:tc>
        <w:tc>
          <w:tcPr>
            <w:tcW w:w="370" w:type="pct"/>
            <w:vAlign w:val="top"/>
          </w:tcPr>
          <w:p w:rsidR="009760C0" w:rsidRPr="009760C0" w:rsidRDefault="009760C0" w:rsidP="00035108">
            <w:pPr>
              <w:jc w:val="right"/>
              <w:cnfStyle w:val="000000100000" w:firstRow="0" w:lastRow="0" w:firstColumn="0" w:lastColumn="0" w:oddVBand="0" w:evenVBand="0" w:oddHBand="1" w:evenHBand="0" w:firstRowFirstColumn="0" w:firstRowLastColumn="0" w:lastRowFirstColumn="0" w:lastRowLastColumn="0"/>
              <w:rPr>
                <w:b/>
                <w:sz w:val="18"/>
              </w:rPr>
            </w:pPr>
            <w:r w:rsidRPr="009760C0">
              <w:rPr>
                <w:b/>
                <w:sz w:val="18"/>
              </w:rPr>
              <w:t>33.1</w:t>
            </w:r>
          </w:p>
        </w:tc>
        <w:tc>
          <w:tcPr>
            <w:tcW w:w="370" w:type="pct"/>
            <w:vAlign w:val="top"/>
          </w:tcPr>
          <w:p w:rsidR="009760C0" w:rsidRPr="009760C0" w:rsidRDefault="009760C0" w:rsidP="00035108">
            <w:pPr>
              <w:jc w:val="right"/>
              <w:cnfStyle w:val="000000100000" w:firstRow="0" w:lastRow="0" w:firstColumn="0" w:lastColumn="0" w:oddVBand="0" w:evenVBand="0" w:oddHBand="1" w:evenHBand="0" w:firstRowFirstColumn="0" w:firstRowLastColumn="0" w:lastRowFirstColumn="0" w:lastRowLastColumn="0"/>
              <w:rPr>
                <w:b/>
                <w:sz w:val="18"/>
              </w:rPr>
            </w:pPr>
            <w:r w:rsidRPr="009760C0">
              <w:rPr>
                <w:b/>
                <w:sz w:val="18"/>
              </w:rPr>
              <w:t>34.4</w:t>
            </w:r>
          </w:p>
        </w:tc>
        <w:tc>
          <w:tcPr>
            <w:tcW w:w="370" w:type="pct"/>
            <w:vAlign w:val="top"/>
          </w:tcPr>
          <w:p w:rsidR="009760C0" w:rsidRPr="009760C0" w:rsidRDefault="009760C0" w:rsidP="00035108">
            <w:pPr>
              <w:jc w:val="right"/>
              <w:cnfStyle w:val="000000100000" w:firstRow="0" w:lastRow="0" w:firstColumn="0" w:lastColumn="0" w:oddVBand="0" w:evenVBand="0" w:oddHBand="1" w:evenHBand="0" w:firstRowFirstColumn="0" w:firstRowLastColumn="0" w:lastRowFirstColumn="0" w:lastRowLastColumn="0"/>
              <w:rPr>
                <w:b/>
                <w:sz w:val="18"/>
              </w:rPr>
            </w:pPr>
            <w:r w:rsidRPr="009760C0">
              <w:rPr>
                <w:b/>
                <w:sz w:val="18"/>
              </w:rPr>
              <w:t>36.4</w:t>
            </w:r>
          </w:p>
        </w:tc>
        <w:tc>
          <w:tcPr>
            <w:tcW w:w="370" w:type="pct"/>
            <w:vAlign w:val="top"/>
          </w:tcPr>
          <w:p w:rsidR="009760C0" w:rsidRPr="009760C0" w:rsidRDefault="009760C0" w:rsidP="00035108">
            <w:pPr>
              <w:jc w:val="right"/>
              <w:cnfStyle w:val="000000100000" w:firstRow="0" w:lastRow="0" w:firstColumn="0" w:lastColumn="0" w:oddVBand="0" w:evenVBand="0" w:oddHBand="1" w:evenHBand="0" w:firstRowFirstColumn="0" w:firstRowLastColumn="0" w:lastRowFirstColumn="0" w:lastRowLastColumn="0"/>
              <w:rPr>
                <w:b/>
                <w:sz w:val="18"/>
              </w:rPr>
            </w:pPr>
            <w:r w:rsidRPr="009760C0">
              <w:rPr>
                <w:b/>
                <w:sz w:val="18"/>
              </w:rPr>
              <w:t>38.3</w:t>
            </w:r>
          </w:p>
        </w:tc>
        <w:tc>
          <w:tcPr>
            <w:tcW w:w="370" w:type="pct"/>
            <w:vAlign w:val="top"/>
          </w:tcPr>
          <w:p w:rsidR="009760C0" w:rsidRPr="009760C0" w:rsidRDefault="009760C0" w:rsidP="00035108">
            <w:pPr>
              <w:jc w:val="right"/>
              <w:cnfStyle w:val="000000100000" w:firstRow="0" w:lastRow="0" w:firstColumn="0" w:lastColumn="0" w:oddVBand="0" w:evenVBand="0" w:oddHBand="1" w:evenHBand="0" w:firstRowFirstColumn="0" w:firstRowLastColumn="0" w:lastRowFirstColumn="0" w:lastRowLastColumn="0"/>
              <w:rPr>
                <w:b/>
                <w:sz w:val="18"/>
              </w:rPr>
            </w:pPr>
            <w:r w:rsidRPr="009760C0">
              <w:rPr>
                <w:b/>
                <w:sz w:val="18"/>
              </w:rPr>
              <w:t>40.4</w:t>
            </w:r>
          </w:p>
        </w:tc>
        <w:tc>
          <w:tcPr>
            <w:tcW w:w="370" w:type="pct"/>
            <w:vAlign w:val="top"/>
          </w:tcPr>
          <w:p w:rsidR="009760C0" w:rsidRPr="009760C0" w:rsidRDefault="009760C0" w:rsidP="00035108">
            <w:pPr>
              <w:jc w:val="right"/>
              <w:cnfStyle w:val="000000100000" w:firstRow="0" w:lastRow="0" w:firstColumn="0" w:lastColumn="0" w:oddVBand="0" w:evenVBand="0" w:oddHBand="1" w:evenHBand="0" w:firstRowFirstColumn="0" w:firstRowLastColumn="0" w:lastRowFirstColumn="0" w:lastRowLastColumn="0"/>
              <w:rPr>
                <w:b/>
                <w:sz w:val="18"/>
              </w:rPr>
            </w:pPr>
            <w:r w:rsidRPr="009760C0">
              <w:rPr>
                <w:b/>
                <w:sz w:val="18"/>
              </w:rPr>
              <w:t>42.5</w:t>
            </w:r>
          </w:p>
        </w:tc>
        <w:tc>
          <w:tcPr>
            <w:tcW w:w="370" w:type="pct"/>
            <w:vAlign w:val="top"/>
          </w:tcPr>
          <w:p w:rsidR="009760C0" w:rsidRPr="009760C0" w:rsidRDefault="009760C0" w:rsidP="00035108">
            <w:pPr>
              <w:jc w:val="right"/>
              <w:cnfStyle w:val="000000100000" w:firstRow="0" w:lastRow="0" w:firstColumn="0" w:lastColumn="0" w:oddVBand="0" w:evenVBand="0" w:oddHBand="1" w:evenHBand="0" w:firstRowFirstColumn="0" w:firstRowLastColumn="0" w:lastRowFirstColumn="0" w:lastRowLastColumn="0"/>
              <w:rPr>
                <w:b/>
                <w:sz w:val="18"/>
              </w:rPr>
            </w:pPr>
            <w:r w:rsidRPr="009760C0">
              <w:rPr>
                <w:b/>
                <w:sz w:val="18"/>
              </w:rPr>
              <w:t>44.7</w:t>
            </w:r>
          </w:p>
        </w:tc>
        <w:tc>
          <w:tcPr>
            <w:tcW w:w="370" w:type="pct"/>
            <w:vAlign w:val="top"/>
          </w:tcPr>
          <w:p w:rsidR="009760C0" w:rsidRPr="009760C0" w:rsidRDefault="009760C0" w:rsidP="00035108">
            <w:pPr>
              <w:jc w:val="right"/>
              <w:cnfStyle w:val="000000100000" w:firstRow="0" w:lastRow="0" w:firstColumn="0" w:lastColumn="0" w:oddVBand="0" w:evenVBand="0" w:oddHBand="1" w:evenHBand="0" w:firstRowFirstColumn="0" w:firstRowLastColumn="0" w:lastRowFirstColumn="0" w:lastRowLastColumn="0"/>
              <w:rPr>
                <w:b/>
                <w:sz w:val="18"/>
              </w:rPr>
            </w:pPr>
            <w:r w:rsidRPr="009760C0">
              <w:rPr>
                <w:b/>
                <w:sz w:val="18"/>
              </w:rPr>
              <w:t>47.0</w:t>
            </w:r>
          </w:p>
        </w:tc>
        <w:tc>
          <w:tcPr>
            <w:tcW w:w="368" w:type="pct"/>
            <w:vAlign w:val="top"/>
          </w:tcPr>
          <w:p w:rsidR="009760C0" w:rsidRPr="009760C0" w:rsidRDefault="009760C0" w:rsidP="00035108">
            <w:pPr>
              <w:jc w:val="right"/>
              <w:cnfStyle w:val="000000100000" w:firstRow="0" w:lastRow="0" w:firstColumn="0" w:lastColumn="0" w:oddVBand="0" w:evenVBand="0" w:oddHBand="1" w:evenHBand="0" w:firstRowFirstColumn="0" w:firstRowLastColumn="0" w:lastRowFirstColumn="0" w:lastRowLastColumn="0"/>
              <w:rPr>
                <w:b/>
                <w:sz w:val="18"/>
              </w:rPr>
            </w:pPr>
            <w:r w:rsidRPr="009760C0">
              <w:rPr>
                <w:b/>
                <w:sz w:val="18"/>
              </w:rPr>
              <w:t>348.2</w:t>
            </w:r>
          </w:p>
        </w:tc>
      </w:tr>
    </w:tbl>
    <w:p w:rsidR="00726BED" w:rsidRDefault="00726BED" w:rsidP="00726BED">
      <w:pPr>
        <w:pStyle w:val="Source"/>
      </w:pPr>
      <w:r>
        <w:t xml:space="preserve">Source: </w:t>
      </w:r>
      <w:r w:rsidR="004E109F">
        <w:t>PBO analysis based on data from the ABS and Treasury</w:t>
      </w:r>
    </w:p>
    <w:p w:rsidR="00591E0E" w:rsidRPr="00BA0FBF" w:rsidRDefault="00591E0E" w:rsidP="00726BED">
      <w:pPr>
        <w:pStyle w:val="Source"/>
        <w:rPr>
          <w:color w:val="2B3B5F" w:themeColor="text2"/>
          <w:spacing w:val="-4"/>
        </w:rPr>
      </w:pPr>
      <w:r w:rsidRPr="00BA0FBF">
        <w:br w:type="page"/>
      </w:r>
    </w:p>
    <w:p w:rsidR="00591E0E" w:rsidRPr="00BA0FBF" w:rsidRDefault="00591E0E" w:rsidP="00591E0E">
      <w:pPr>
        <w:pStyle w:val="Caption"/>
        <w:rPr>
          <w:sz w:val="20"/>
        </w:rPr>
      </w:pPr>
      <w:r w:rsidRPr="00BA0FBF">
        <w:rPr>
          <w:sz w:val="20"/>
        </w:rPr>
        <w:t>Table C–</w:t>
      </w:r>
      <w:r w:rsidR="005867ED">
        <w:rPr>
          <w:sz w:val="20"/>
        </w:rPr>
        <w:t>8</w:t>
      </w:r>
      <w:r w:rsidRPr="00BA0FBF">
        <w:rPr>
          <w:sz w:val="20"/>
        </w:rPr>
        <w:t xml:space="preserve">: Composition of </w:t>
      </w:r>
      <w:r w:rsidR="00A92F06">
        <w:rPr>
          <w:sz w:val="20"/>
        </w:rPr>
        <w:t>a</w:t>
      </w:r>
      <w:r w:rsidRPr="00BA0FBF">
        <w:rPr>
          <w:sz w:val="20"/>
        </w:rPr>
        <w:t xml:space="preserve">dditional GST </w:t>
      </w:r>
      <w:r w:rsidR="00A92F06">
        <w:rPr>
          <w:sz w:val="20"/>
        </w:rPr>
        <w:t>r</w:t>
      </w:r>
      <w:r w:rsidRPr="00BA0FBF">
        <w:rPr>
          <w:sz w:val="20"/>
        </w:rPr>
        <w:t>evenue</w:t>
      </w:r>
      <w:r w:rsidR="00A92F06">
        <w:rPr>
          <w:sz w:val="20"/>
        </w:rPr>
        <w:t>:</w:t>
      </w:r>
      <w:r w:rsidRPr="00BA0FBF">
        <w:rPr>
          <w:sz w:val="20"/>
        </w:rPr>
        <w:t xml:space="preserve"> Scenario 4</w:t>
      </w:r>
      <w:r w:rsidR="00A92F06">
        <w:rPr>
          <w:sz w:val="20"/>
        </w:rPr>
        <w:t xml:space="preserve"> (</w:t>
      </w:r>
      <w:r w:rsidRPr="00BA0FBF">
        <w:rPr>
          <w:sz w:val="20"/>
        </w:rPr>
        <w:t>15 per cent GST</w:t>
      </w:r>
      <w:r w:rsidR="00A92F06">
        <w:rPr>
          <w:sz w:val="20"/>
        </w:rPr>
        <w:t>;</w:t>
      </w:r>
      <w:r w:rsidRPr="00BA0FBF">
        <w:rPr>
          <w:sz w:val="20"/>
        </w:rPr>
        <w:t xml:space="preserve"> </w:t>
      </w:r>
      <w:r w:rsidR="00F24652" w:rsidRPr="00BA0FBF">
        <w:rPr>
          <w:sz w:val="20"/>
        </w:rPr>
        <w:t>basic food subject to GST</w:t>
      </w:r>
      <w:r w:rsidR="00A92F06">
        <w:rPr>
          <w:sz w:val="20"/>
        </w:rPr>
        <w:t>)</w:t>
      </w:r>
    </w:p>
    <w:tbl>
      <w:tblPr>
        <w:tblStyle w:val="TableGrid"/>
        <w:tblW w:w="4631" w:type="pct"/>
        <w:tblLook w:val="04A0" w:firstRow="1" w:lastRow="0" w:firstColumn="1" w:lastColumn="0" w:noHBand="0" w:noVBand="1"/>
      </w:tblPr>
      <w:tblGrid>
        <w:gridCol w:w="2999"/>
        <w:gridCol w:w="926"/>
        <w:gridCol w:w="927"/>
        <w:gridCol w:w="927"/>
        <w:gridCol w:w="927"/>
        <w:gridCol w:w="930"/>
        <w:gridCol w:w="927"/>
        <w:gridCol w:w="927"/>
        <w:gridCol w:w="930"/>
        <w:gridCol w:w="927"/>
        <w:gridCol w:w="920"/>
      </w:tblGrid>
      <w:tr w:rsidR="0002160B" w:rsidRPr="00BA0FBF" w:rsidTr="00033825">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222" w:type="pct"/>
          </w:tcPr>
          <w:p w:rsidR="0002160B" w:rsidRPr="00BA0FBF" w:rsidRDefault="0002160B" w:rsidP="0045532B">
            <w:pPr>
              <w:pStyle w:val="TableHeading"/>
              <w:rPr>
                <w:sz w:val="18"/>
              </w:rPr>
            </w:pPr>
            <w:r w:rsidRPr="00BA0FBF">
              <w:rPr>
                <w:sz w:val="18"/>
              </w:rPr>
              <w:t>($b)</w:t>
            </w:r>
          </w:p>
        </w:tc>
        <w:tc>
          <w:tcPr>
            <w:tcW w:w="377" w:type="pct"/>
          </w:tcPr>
          <w:p w:rsidR="0002160B" w:rsidRPr="00BA0FBF" w:rsidRDefault="0002160B" w:rsidP="000B1326">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2017</w:t>
            </w:r>
            <w:r w:rsidR="000B1326">
              <w:rPr>
                <w:sz w:val="18"/>
              </w:rPr>
              <w:t>–</w:t>
            </w:r>
            <w:r w:rsidRPr="00BA0FBF">
              <w:rPr>
                <w:sz w:val="18"/>
              </w:rPr>
              <w:t>18</w:t>
            </w:r>
          </w:p>
        </w:tc>
        <w:tc>
          <w:tcPr>
            <w:tcW w:w="378" w:type="pct"/>
          </w:tcPr>
          <w:p w:rsidR="0002160B" w:rsidRPr="00BA0FBF" w:rsidRDefault="0002160B" w:rsidP="005335D1">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2018</w:t>
            </w:r>
            <w:r w:rsidR="000B1326">
              <w:rPr>
                <w:sz w:val="18"/>
              </w:rPr>
              <w:t>–</w:t>
            </w:r>
            <w:r w:rsidRPr="00BA0FBF">
              <w:rPr>
                <w:sz w:val="18"/>
              </w:rPr>
              <w:t>19</w:t>
            </w:r>
          </w:p>
        </w:tc>
        <w:tc>
          <w:tcPr>
            <w:tcW w:w="378" w:type="pct"/>
          </w:tcPr>
          <w:p w:rsidR="0002160B" w:rsidRPr="00BA0FBF" w:rsidRDefault="0002160B" w:rsidP="005335D1">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2019</w:t>
            </w:r>
            <w:r w:rsidR="000B1326">
              <w:rPr>
                <w:sz w:val="18"/>
              </w:rPr>
              <w:t>–</w:t>
            </w:r>
            <w:r w:rsidRPr="00BA0FBF">
              <w:rPr>
                <w:sz w:val="18"/>
              </w:rPr>
              <w:t>20</w:t>
            </w:r>
          </w:p>
        </w:tc>
        <w:tc>
          <w:tcPr>
            <w:tcW w:w="378" w:type="pct"/>
          </w:tcPr>
          <w:p w:rsidR="0002160B" w:rsidRPr="00BA0FBF" w:rsidRDefault="0002160B" w:rsidP="005335D1">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2020</w:t>
            </w:r>
            <w:r w:rsidR="000B1326">
              <w:rPr>
                <w:sz w:val="18"/>
              </w:rPr>
              <w:t>–</w:t>
            </w:r>
            <w:r w:rsidRPr="00BA0FBF">
              <w:rPr>
                <w:sz w:val="18"/>
              </w:rPr>
              <w:t>21</w:t>
            </w:r>
          </w:p>
        </w:tc>
        <w:tc>
          <w:tcPr>
            <w:tcW w:w="379" w:type="pct"/>
          </w:tcPr>
          <w:p w:rsidR="0002160B" w:rsidRPr="00BA0FBF" w:rsidRDefault="0002160B" w:rsidP="005335D1">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2021</w:t>
            </w:r>
            <w:r w:rsidR="000B1326">
              <w:rPr>
                <w:sz w:val="18"/>
              </w:rPr>
              <w:t>–</w:t>
            </w:r>
            <w:r w:rsidRPr="00BA0FBF">
              <w:rPr>
                <w:sz w:val="18"/>
              </w:rPr>
              <w:t>22</w:t>
            </w:r>
          </w:p>
        </w:tc>
        <w:tc>
          <w:tcPr>
            <w:tcW w:w="378" w:type="pct"/>
          </w:tcPr>
          <w:p w:rsidR="0002160B" w:rsidRPr="00BA0FBF" w:rsidRDefault="0002160B" w:rsidP="005335D1">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2022</w:t>
            </w:r>
            <w:r w:rsidR="000B1326">
              <w:rPr>
                <w:sz w:val="18"/>
              </w:rPr>
              <w:t>–</w:t>
            </w:r>
            <w:r w:rsidRPr="00BA0FBF">
              <w:rPr>
                <w:sz w:val="18"/>
              </w:rPr>
              <w:t>23</w:t>
            </w:r>
          </w:p>
        </w:tc>
        <w:tc>
          <w:tcPr>
            <w:tcW w:w="378" w:type="pct"/>
          </w:tcPr>
          <w:p w:rsidR="0002160B" w:rsidRPr="00BA0FBF" w:rsidRDefault="0002160B" w:rsidP="005335D1">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2023</w:t>
            </w:r>
            <w:r w:rsidR="000B1326">
              <w:rPr>
                <w:sz w:val="18"/>
              </w:rPr>
              <w:t>–</w:t>
            </w:r>
            <w:r w:rsidRPr="00BA0FBF">
              <w:rPr>
                <w:sz w:val="18"/>
              </w:rPr>
              <w:t>24</w:t>
            </w:r>
          </w:p>
        </w:tc>
        <w:tc>
          <w:tcPr>
            <w:tcW w:w="379" w:type="pct"/>
          </w:tcPr>
          <w:p w:rsidR="0002160B" w:rsidRPr="00BA0FBF" w:rsidRDefault="0002160B" w:rsidP="005335D1">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2024</w:t>
            </w:r>
            <w:r w:rsidR="000B1326">
              <w:rPr>
                <w:sz w:val="18"/>
              </w:rPr>
              <w:t>–</w:t>
            </w:r>
            <w:r w:rsidRPr="00BA0FBF">
              <w:rPr>
                <w:sz w:val="18"/>
              </w:rPr>
              <w:t>25</w:t>
            </w:r>
          </w:p>
        </w:tc>
        <w:tc>
          <w:tcPr>
            <w:tcW w:w="378" w:type="pct"/>
          </w:tcPr>
          <w:p w:rsidR="0002160B" w:rsidRPr="00BA0FBF" w:rsidRDefault="0002160B" w:rsidP="005335D1">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2025</w:t>
            </w:r>
            <w:r w:rsidR="000B1326">
              <w:rPr>
                <w:sz w:val="18"/>
              </w:rPr>
              <w:t>–</w:t>
            </w:r>
            <w:r w:rsidRPr="00BA0FBF">
              <w:rPr>
                <w:sz w:val="18"/>
              </w:rPr>
              <w:t>26</w:t>
            </w:r>
          </w:p>
        </w:tc>
        <w:tc>
          <w:tcPr>
            <w:tcW w:w="375" w:type="pct"/>
          </w:tcPr>
          <w:p w:rsidR="0002160B" w:rsidRPr="00BA0FBF" w:rsidRDefault="0002160B" w:rsidP="005335D1">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Medium Term</w:t>
            </w:r>
          </w:p>
        </w:tc>
      </w:tr>
      <w:tr w:rsidR="00033825" w:rsidRPr="00BA0FBF" w:rsidTr="0003382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gridSpan w:val="11"/>
          </w:tcPr>
          <w:p w:rsidR="00033825" w:rsidRPr="00BA0FBF" w:rsidRDefault="00033825" w:rsidP="00033825">
            <w:pPr>
              <w:rPr>
                <w:sz w:val="18"/>
              </w:rPr>
            </w:pPr>
            <w:r w:rsidRPr="00BA0FBF">
              <w:rPr>
                <w:b/>
                <w:sz w:val="18"/>
              </w:rPr>
              <w:t>Impact of Rate Change</w:t>
            </w:r>
          </w:p>
        </w:tc>
      </w:tr>
      <w:tr w:rsidR="009760C0" w:rsidRPr="00BA0FBF" w:rsidTr="00033825">
        <w:trPr>
          <w:cantSplit/>
        </w:trPr>
        <w:tc>
          <w:tcPr>
            <w:cnfStyle w:val="001000000000" w:firstRow="0" w:lastRow="0" w:firstColumn="1" w:lastColumn="0" w:oddVBand="0" w:evenVBand="0" w:oddHBand="0" w:evenHBand="0" w:firstRowFirstColumn="0" w:firstRowLastColumn="0" w:lastRowFirstColumn="0" w:lastRowLastColumn="0"/>
            <w:tcW w:w="1222" w:type="pct"/>
          </w:tcPr>
          <w:p w:rsidR="009760C0" w:rsidRPr="00BA0FBF" w:rsidRDefault="009760C0" w:rsidP="005335D1">
            <w:pPr>
              <w:pStyle w:val="TableText"/>
              <w:rPr>
                <w:sz w:val="18"/>
              </w:rPr>
            </w:pPr>
            <w:r w:rsidRPr="00BA0FBF">
              <w:rPr>
                <w:sz w:val="18"/>
              </w:rPr>
              <w:t>Increase GST</w:t>
            </w:r>
            <w:r w:rsidR="00471585">
              <w:rPr>
                <w:sz w:val="18"/>
              </w:rPr>
              <w:t xml:space="preserve"> rate</w:t>
            </w:r>
            <w:r w:rsidRPr="00BA0FBF">
              <w:rPr>
                <w:sz w:val="18"/>
              </w:rPr>
              <w:t xml:space="preserve"> to 15 per cent</w:t>
            </w:r>
          </w:p>
        </w:tc>
        <w:tc>
          <w:tcPr>
            <w:tcW w:w="377" w:type="pct"/>
            <w:vAlign w:val="top"/>
          </w:tcPr>
          <w:p w:rsidR="009760C0" w:rsidRPr="009760C0" w:rsidRDefault="009760C0" w:rsidP="009760C0">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32.5</w:t>
            </w:r>
          </w:p>
        </w:tc>
        <w:tc>
          <w:tcPr>
            <w:tcW w:w="378" w:type="pct"/>
            <w:vAlign w:val="top"/>
          </w:tcPr>
          <w:p w:rsidR="009760C0" w:rsidRPr="009760C0" w:rsidRDefault="009760C0" w:rsidP="009760C0">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34.4</w:t>
            </w:r>
          </w:p>
        </w:tc>
        <w:tc>
          <w:tcPr>
            <w:tcW w:w="378" w:type="pct"/>
            <w:vAlign w:val="top"/>
          </w:tcPr>
          <w:p w:rsidR="009760C0" w:rsidRPr="009760C0" w:rsidRDefault="009760C0" w:rsidP="009760C0">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35.8</w:t>
            </w:r>
          </w:p>
        </w:tc>
        <w:tc>
          <w:tcPr>
            <w:tcW w:w="378" w:type="pct"/>
            <w:vAlign w:val="top"/>
          </w:tcPr>
          <w:p w:rsidR="009760C0" w:rsidRPr="009760C0" w:rsidRDefault="009760C0" w:rsidP="009760C0">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37.8</w:t>
            </w:r>
          </w:p>
        </w:tc>
        <w:tc>
          <w:tcPr>
            <w:tcW w:w="379" w:type="pct"/>
            <w:vAlign w:val="top"/>
          </w:tcPr>
          <w:p w:rsidR="009760C0" w:rsidRPr="009760C0" w:rsidRDefault="009760C0" w:rsidP="009760C0">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40.1</w:t>
            </w:r>
          </w:p>
        </w:tc>
        <w:tc>
          <w:tcPr>
            <w:tcW w:w="378" w:type="pct"/>
            <w:vAlign w:val="top"/>
          </w:tcPr>
          <w:p w:rsidR="009760C0" w:rsidRPr="009760C0" w:rsidRDefault="009760C0" w:rsidP="009760C0">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42.4</w:t>
            </w:r>
          </w:p>
        </w:tc>
        <w:tc>
          <w:tcPr>
            <w:tcW w:w="378" w:type="pct"/>
            <w:vAlign w:val="top"/>
          </w:tcPr>
          <w:p w:rsidR="009760C0" w:rsidRPr="009760C0" w:rsidRDefault="009760C0" w:rsidP="009760C0">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44.7</w:t>
            </w:r>
          </w:p>
        </w:tc>
        <w:tc>
          <w:tcPr>
            <w:tcW w:w="379" w:type="pct"/>
            <w:vAlign w:val="top"/>
          </w:tcPr>
          <w:p w:rsidR="009760C0" w:rsidRPr="009760C0" w:rsidRDefault="009760C0" w:rsidP="009760C0">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47.1</w:t>
            </w:r>
          </w:p>
        </w:tc>
        <w:tc>
          <w:tcPr>
            <w:tcW w:w="378" w:type="pct"/>
            <w:vAlign w:val="top"/>
          </w:tcPr>
          <w:p w:rsidR="009760C0" w:rsidRPr="009760C0" w:rsidRDefault="009760C0" w:rsidP="009760C0">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49.7</w:t>
            </w:r>
          </w:p>
        </w:tc>
        <w:tc>
          <w:tcPr>
            <w:tcW w:w="375" w:type="pct"/>
            <w:vAlign w:val="top"/>
          </w:tcPr>
          <w:p w:rsidR="009760C0" w:rsidRPr="009760C0" w:rsidRDefault="009760C0" w:rsidP="009760C0">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364.5</w:t>
            </w:r>
          </w:p>
        </w:tc>
      </w:tr>
      <w:tr w:rsidR="00033825" w:rsidRPr="00BA0FBF" w:rsidTr="0003382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gridSpan w:val="11"/>
          </w:tcPr>
          <w:p w:rsidR="00033825" w:rsidRPr="009760C0" w:rsidRDefault="00033825" w:rsidP="00033825">
            <w:pPr>
              <w:rPr>
                <w:sz w:val="18"/>
              </w:rPr>
            </w:pPr>
            <w:r w:rsidRPr="00BA0FBF">
              <w:rPr>
                <w:b/>
                <w:sz w:val="18"/>
              </w:rPr>
              <w:t>Impact of Base Change</w:t>
            </w:r>
          </w:p>
        </w:tc>
      </w:tr>
      <w:tr w:rsidR="009760C0" w:rsidRPr="00BA0FBF" w:rsidTr="00033825">
        <w:trPr>
          <w:cantSplit/>
        </w:trPr>
        <w:tc>
          <w:tcPr>
            <w:cnfStyle w:val="001000000000" w:firstRow="0" w:lastRow="0" w:firstColumn="1" w:lastColumn="0" w:oddVBand="0" w:evenVBand="0" w:oddHBand="0" w:evenHBand="0" w:firstRowFirstColumn="0" w:firstRowLastColumn="0" w:lastRowFirstColumn="0" w:lastRowLastColumn="0"/>
            <w:tcW w:w="1222" w:type="pct"/>
          </w:tcPr>
          <w:p w:rsidR="009760C0" w:rsidRPr="00BA0FBF" w:rsidRDefault="009760C0" w:rsidP="000738D4">
            <w:pPr>
              <w:pStyle w:val="TableText"/>
              <w:rPr>
                <w:sz w:val="18"/>
              </w:rPr>
            </w:pPr>
            <w:r w:rsidRPr="00BA0FBF">
              <w:rPr>
                <w:sz w:val="18"/>
              </w:rPr>
              <w:t>Basic Food</w:t>
            </w:r>
          </w:p>
        </w:tc>
        <w:tc>
          <w:tcPr>
            <w:tcW w:w="377" w:type="pct"/>
            <w:vAlign w:val="top"/>
          </w:tcPr>
          <w:p w:rsidR="009760C0" w:rsidRPr="009760C0" w:rsidRDefault="009760C0" w:rsidP="00033825">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7.2</w:t>
            </w:r>
          </w:p>
        </w:tc>
        <w:tc>
          <w:tcPr>
            <w:tcW w:w="378" w:type="pct"/>
            <w:vAlign w:val="top"/>
          </w:tcPr>
          <w:p w:rsidR="009760C0" w:rsidRPr="009760C0" w:rsidRDefault="009760C0" w:rsidP="00033825">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7.5</w:t>
            </w:r>
          </w:p>
        </w:tc>
        <w:tc>
          <w:tcPr>
            <w:tcW w:w="378" w:type="pct"/>
            <w:vAlign w:val="top"/>
          </w:tcPr>
          <w:p w:rsidR="009760C0" w:rsidRPr="009760C0" w:rsidRDefault="009760C0" w:rsidP="00033825">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7.8</w:t>
            </w:r>
          </w:p>
        </w:tc>
        <w:tc>
          <w:tcPr>
            <w:tcW w:w="378" w:type="pct"/>
            <w:vAlign w:val="top"/>
          </w:tcPr>
          <w:p w:rsidR="009760C0" w:rsidRPr="009760C0" w:rsidRDefault="009760C0" w:rsidP="00033825">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8.2</w:t>
            </w:r>
          </w:p>
        </w:tc>
        <w:tc>
          <w:tcPr>
            <w:tcW w:w="379" w:type="pct"/>
            <w:vAlign w:val="top"/>
          </w:tcPr>
          <w:p w:rsidR="009760C0" w:rsidRPr="009760C0" w:rsidRDefault="009760C0" w:rsidP="00033825">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8.5</w:t>
            </w:r>
          </w:p>
        </w:tc>
        <w:tc>
          <w:tcPr>
            <w:tcW w:w="378" w:type="pct"/>
            <w:vAlign w:val="top"/>
          </w:tcPr>
          <w:p w:rsidR="009760C0" w:rsidRPr="009760C0" w:rsidRDefault="009760C0" w:rsidP="00033825">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8.9</w:t>
            </w:r>
          </w:p>
        </w:tc>
        <w:tc>
          <w:tcPr>
            <w:tcW w:w="378" w:type="pct"/>
            <w:vAlign w:val="top"/>
          </w:tcPr>
          <w:p w:rsidR="009760C0" w:rsidRPr="009760C0" w:rsidRDefault="009760C0" w:rsidP="00033825">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9.3</w:t>
            </w:r>
          </w:p>
        </w:tc>
        <w:tc>
          <w:tcPr>
            <w:tcW w:w="379" w:type="pct"/>
            <w:vAlign w:val="top"/>
          </w:tcPr>
          <w:p w:rsidR="009760C0" w:rsidRPr="009760C0" w:rsidRDefault="009760C0" w:rsidP="00033825">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9.7</w:t>
            </w:r>
          </w:p>
        </w:tc>
        <w:tc>
          <w:tcPr>
            <w:tcW w:w="378" w:type="pct"/>
            <w:vAlign w:val="top"/>
          </w:tcPr>
          <w:p w:rsidR="009760C0" w:rsidRPr="009760C0" w:rsidRDefault="009760C0" w:rsidP="00033825">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10.1</w:t>
            </w:r>
          </w:p>
        </w:tc>
        <w:tc>
          <w:tcPr>
            <w:tcW w:w="375" w:type="pct"/>
            <w:vAlign w:val="top"/>
          </w:tcPr>
          <w:p w:rsidR="009760C0" w:rsidRPr="009760C0" w:rsidRDefault="009760C0" w:rsidP="00033825">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77.2</w:t>
            </w:r>
          </w:p>
        </w:tc>
      </w:tr>
      <w:tr w:rsidR="00F82570" w:rsidRPr="00BA0FBF" w:rsidTr="0003382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22" w:type="pct"/>
          </w:tcPr>
          <w:p w:rsidR="00F82570" w:rsidRPr="00BA0FBF" w:rsidRDefault="00F82570" w:rsidP="00C259BC">
            <w:pPr>
              <w:pStyle w:val="TableText"/>
              <w:rPr>
                <w:sz w:val="18"/>
              </w:rPr>
            </w:pPr>
            <w:r w:rsidRPr="00BA0FBF">
              <w:rPr>
                <w:sz w:val="18"/>
              </w:rPr>
              <w:t>Health and Medical Care</w:t>
            </w:r>
          </w:p>
        </w:tc>
        <w:tc>
          <w:tcPr>
            <w:tcW w:w="377" w:type="pct"/>
            <w:vAlign w:val="top"/>
          </w:tcPr>
          <w:p w:rsidR="00F82570" w:rsidRPr="009760C0" w:rsidRDefault="00F82570" w:rsidP="00C259BC">
            <w:pPr>
              <w:jc w:val="right"/>
              <w:cnfStyle w:val="000000100000" w:firstRow="0" w:lastRow="0" w:firstColumn="0" w:lastColumn="0" w:oddVBand="0" w:evenVBand="0" w:oddHBand="1" w:evenHBand="0" w:firstRowFirstColumn="0" w:firstRowLastColumn="0" w:lastRowFirstColumn="0" w:lastRowLastColumn="0"/>
              <w:rPr>
                <w:sz w:val="18"/>
              </w:rPr>
            </w:pPr>
            <w:r w:rsidRPr="009760C0">
              <w:rPr>
                <w:sz w:val="18"/>
              </w:rPr>
              <w:t>0.0</w:t>
            </w:r>
          </w:p>
        </w:tc>
        <w:tc>
          <w:tcPr>
            <w:tcW w:w="378" w:type="pct"/>
            <w:vAlign w:val="top"/>
          </w:tcPr>
          <w:p w:rsidR="00F82570" w:rsidRPr="009760C0" w:rsidRDefault="00F82570" w:rsidP="00C259BC">
            <w:pPr>
              <w:jc w:val="right"/>
              <w:cnfStyle w:val="000000100000" w:firstRow="0" w:lastRow="0" w:firstColumn="0" w:lastColumn="0" w:oddVBand="0" w:evenVBand="0" w:oddHBand="1" w:evenHBand="0" w:firstRowFirstColumn="0" w:firstRowLastColumn="0" w:lastRowFirstColumn="0" w:lastRowLastColumn="0"/>
              <w:rPr>
                <w:sz w:val="18"/>
              </w:rPr>
            </w:pPr>
            <w:r w:rsidRPr="009760C0">
              <w:rPr>
                <w:sz w:val="18"/>
              </w:rPr>
              <w:t>0.0</w:t>
            </w:r>
          </w:p>
        </w:tc>
        <w:tc>
          <w:tcPr>
            <w:tcW w:w="378" w:type="pct"/>
            <w:vAlign w:val="top"/>
          </w:tcPr>
          <w:p w:rsidR="00F82570" w:rsidRPr="009760C0" w:rsidRDefault="00F82570" w:rsidP="00C259BC">
            <w:pPr>
              <w:jc w:val="right"/>
              <w:cnfStyle w:val="000000100000" w:firstRow="0" w:lastRow="0" w:firstColumn="0" w:lastColumn="0" w:oddVBand="0" w:evenVBand="0" w:oddHBand="1" w:evenHBand="0" w:firstRowFirstColumn="0" w:firstRowLastColumn="0" w:lastRowFirstColumn="0" w:lastRowLastColumn="0"/>
              <w:rPr>
                <w:sz w:val="18"/>
              </w:rPr>
            </w:pPr>
            <w:r w:rsidRPr="009760C0">
              <w:rPr>
                <w:sz w:val="18"/>
              </w:rPr>
              <w:t>0.0</w:t>
            </w:r>
          </w:p>
        </w:tc>
        <w:tc>
          <w:tcPr>
            <w:tcW w:w="378" w:type="pct"/>
            <w:vAlign w:val="top"/>
          </w:tcPr>
          <w:p w:rsidR="00F82570" w:rsidRPr="009760C0" w:rsidRDefault="00F82570" w:rsidP="00C259BC">
            <w:pPr>
              <w:jc w:val="right"/>
              <w:cnfStyle w:val="000000100000" w:firstRow="0" w:lastRow="0" w:firstColumn="0" w:lastColumn="0" w:oddVBand="0" w:evenVBand="0" w:oddHBand="1" w:evenHBand="0" w:firstRowFirstColumn="0" w:firstRowLastColumn="0" w:lastRowFirstColumn="0" w:lastRowLastColumn="0"/>
              <w:rPr>
                <w:sz w:val="18"/>
              </w:rPr>
            </w:pPr>
            <w:r w:rsidRPr="009760C0">
              <w:rPr>
                <w:sz w:val="18"/>
              </w:rPr>
              <w:t>0.0</w:t>
            </w:r>
          </w:p>
        </w:tc>
        <w:tc>
          <w:tcPr>
            <w:tcW w:w="379" w:type="pct"/>
            <w:vAlign w:val="top"/>
          </w:tcPr>
          <w:p w:rsidR="00F82570" w:rsidRPr="009760C0" w:rsidRDefault="00F82570" w:rsidP="00C259BC">
            <w:pPr>
              <w:jc w:val="right"/>
              <w:cnfStyle w:val="000000100000" w:firstRow="0" w:lastRow="0" w:firstColumn="0" w:lastColumn="0" w:oddVBand="0" w:evenVBand="0" w:oddHBand="1" w:evenHBand="0" w:firstRowFirstColumn="0" w:firstRowLastColumn="0" w:lastRowFirstColumn="0" w:lastRowLastColumn="0"/>
              <w:rPr>
                <w:sz w:val="18"/>
              </w:rPr>
            </w:pPr>
            <w:r w:rsidRPr="009760C0">
              <w:rPr>
                <w:sz w:val="18"/>
              </w:rPr>
              <w:t>0.0</w:t>
            </w:r>
          </w:p>
        </w:tc>
        <w:tc>
          <w:tcPr>
            <w:tcW w:w="378" w:type="pct"/>
            <w:vAlign w:val="top"/>
          </w:tcPr>
          <w:p w:rsidR="00F82570" w:rsidRPr="009760C0" w:rsidRDefault="00F82570" w:rsidP="00C259BC">
            <w:pPr>
              <w:jc w:val="right"/>
              <w:cnfStyle w:val="000000100000" w:firstRow="0" w:lastRow="0" w:firstColumn="0" w:lastColumn="0" w:oddVBand="0" w:evenVBand="0" w:oddHBand="1" w:evenHBand="0" w:firstRowFirstColumn="0" w:firstRowLastColumn="0" w:lastRowFirstColumn="0" w:lastRowLastColumn="0"/>
              <w:rPr>
                <w:sz w:val="18"/>
              </w:rPr>
            </w:pPr>
            <w:r w:rsidRPr="009760C0">
              <w:rPr>
                <w:sz w:val="18"/>
              </w:rPr>
              <w:t>0.0</w:t>
            </w:r>
          </w:p>
        </w:tc>
        <w:tc>
          <w:tcPr>
            <w:tcW w:w="378" w:type="pct"/>
            <w:vAlign w:val="top"/>
          </w:tcPr>
          <w:p w:rsidR="00F82570" w:rsidRPr="009760C0" w:rsidRDefault="00F82570" w:rsidP="00C259BC">
            <w:pPr>
              <w:jc w:val="right"/>
              <w:cnfStyle w:val="000000100000" w:firstRow="0" w:lastRow="0" w:firstColumn="0" w:lastColumn="0" w:oddVBand="0" w:evenVBand="0" w:oddHBand="1" w:evenHBand="0" w:firstRowFirstColumn="0" w:firstRowLastColumn="0" w:lastRowFirstColumn="0" w:lastRowLastColumn="0"/>
              <w:rPr>
                <w:sz w:val="18"/>
              </w:rPr>
            </w:pPr>
            <w:r w:rsidRPr="009760C0">
              <w:rPr>
                <w:sz w:val="18"/>
              </w:rPr>
              <w:t>0.0</w:t>
            </w:r>
          </w:p>
        </w:tc>
        <w:tc>
          <w:tcPr>
            <w:tcW w:w="379" w:type="pct"/>
            <w:vAlign w:val="top"/>
          </w:tcPr>
          <w:p w:rsidR="00F82570" w:rsidRPr="009760C0" w:rsidRDefault="00F82570" w:rsidP="00C259BC">
            <w:pPr>
              <w:jc w:val="right"/>
              <w:cnfStyle w:val="000000100000" w:firstRow="0" w:lastRow="0" w:firstColumn="0" w:lastColumn="0" w:oddVBand="0" w:evenVBand="0" w:oddHBand="1" w:evenHBand="0" w:firstRowFirstColumn="0" w:firstRowLastColumn="0" w:lastRowFirstColumn="0" w:lastRowLastColumn="0"/>
              <w:rPr>
                <w:sz w:val="18"/>
              </w:rPr>
            </w:pPr>
            <w:r w:rsidRPr="009760C0">
              <w:rPr>
                <w:sz w:val="18"/>
              </w:rPr>
              <w:t>0.0</w:t>
            </w:r>
          </w:p>
        </w:tc>
        <w:tc>
          <w:tcPr>
            <w:tcW w:w="378" w:type="pct"/>
            <w:vAlign w:val="top"/>
          </w:tcPr>
          <w:p w:rsidR="00F82570" w:rsidRPr="009760C0" w:rsidRDefault="00F82570" w:rsidP="00C259BC">
            <w:pPr>
              <w:jc w:val="right"/>
              <w:cnfStyle w:val="000000100000" w:firstRow="0" w:lastRow="0" w:firstColumn="0" w:lastColumn="0" w:oddVBand="0" w:evenVBand="0" w:oddHBand="1" w:evenHBand="0" w:firstRowFirstColumn="0" w:firstRowLastColumn="0" w:lastRowFirstColumn="0" w:lastRowLastColumn="0"/>
              <w:rPr>
                <w:sz w:val="18"/>
              </w:rPr>
            </w:pPr>
            <w:r w:rsidRPr="009760C0">
              <w:rPr>
                <w:sz w:val="18"/>
              </w:rPr>
              <w:t>0.0</w:t>
            </w:r>
          </w:p>
        </w:tc>
        <w:tc>
          <w:tcPr>
            <w:tcW w:w="375" w:type="pct"/>
            <w:vAlign w:val="top"/>
          </w:tcPr>
          <w:p w:rsidR="00F82570" w:rsidRPr="009760C0" w:rsidRDefault="00F82570" w:rsidP="00C259BC">
            <w:pPr>
              <w:jc w:val="right"/>
              <w:cnfStyle w:val="000000100000" w:firstRow="0" w:lastRow="0" w:firstColumn="0" w:lastColumn="0" w:oddVBand="0" w:evenVBand="0" w:oddHBand="1" w:evenHBand="0" w:firstRowFirstColumn="0" w:firstRowLastColumn="0" w:lastRowFirstColumn="0" w:lastRowLastColumn="0"/>
              <w:rPr>
                <w:sz w:val="18"/>
              </w:rPr>
            </w:pPr>
            <w:r w:rsidRPr="009760C0">
              <w:rPr>
                <w:sz w:val="18"/>
              </w:rPr>
              <w:t>0.0</w:t>
            </w:r>
          </w:p>
        </w:tc>
      </w:tr>
      <w:tr w:rsidR="00F82570" w:rsidRPr="00BA0FBF" w:rsidTr="00033825">
        <w:trPr>
          <w:cantSplit/>
        </w:trPr>
        <w:tc>
          <w:tcPr>
            <w:cnfStyle w:val="001000000000" w:firstRow="0" w:lastRow="0" w:firstColumn="1" w:lastColumn="0" w:oddVBand="0" w:evenVBand="0" w:oddHBand="0" w:evenHBand="0" w:firstRowFirstColumn="0" w:firstRowLastColumn="0" w:lastRowFirstColumn="0" w:lastRowLastColumn="0"/>
            <w:tcW w:w="1222" w:type="pct"/>
          </w:tcPr>
          <w:p w:rsidR="00F82570" w:rsidRPr="00BA0FBF" w:rsidRDefault="00F82570" w:rsidP="00C259BC">
            <w:pPr>
              <w:pStyle w:val="TableText"/>
              <w:rPr>
                <w:sz w:val="18"/>
              </w:rPr>
            </w:pPr>
            <w:r w:rsidRPr="00BA0FBF">
              <w:rPr>
                <w:sz w:val="18"/>
              </w:rPr>
              <w:t>Education</w:t>
            </w:r>
          </w:p>
        </w:tc>
        <w:tc>
          <w:tcPr>
            <w:tcW w:w="377" w:type="pct"/>
            <w:vAlign w:val="top"/>
          </w:tcPr>
          <w:p w:rsidR="00F82570" w:rsidRPr="009760C0" w:rsidRDefault="00F82570" w:rsidP="00C259BC">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0.0</w:t>
            </w:r>
          </w:p>
        </w:tc>
        <w:tc>
          <w:tcPr>
            <w:tcW w:w="378" w:type="pct"/>
            <w:vAlign w:val="top"/>
          </w:tcPr>
          <w:p w:rsidR="00F82570" w:rsidRPr="009760C0" w:rsidRDefault="00F82570" w:rsidP="00C259BC">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0.0</w:t>
            </w:r>
          </w:p>
        </w:tc>
        <w:tc>
          <w:tcPr>
            <w:tcW w:w="378" w:type="pct"/>
            <w:vAlign w:val="top"/>
          </w:tcPr>
          <w:p w:rsidR="00F82570" w:rsidRPr="009760C0" w:rsidRDefault="00F82570" w:rsidP="00C259BC">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0.0</w:t>
            </w:r>
          </w:p>
        </w:tc>
        <w:tc>
          <w:tcPr>
            <w:tcW w:w="378" w:type="pct"/>
            <w:vAlign w:val="top"/>
          </w:tcPr>
          <w:p w:rsidR="00F82570" w:rsidRPr="009760C0" w:rsidRDefault="00F82570" w:rsidP="00C259BC">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0.0</w:t>
            </w:r>
          </w:p>
        </w:tc>
        <w:tc>
          <w:tcPr>
            <w:tcW w:w="379" w:type="pct"/>
            <w:vAlign w:val="top"/>
          </w:tcPr>
          <w:p w:rsidR="00F82570" w:rsidRPr="009760C0" w:rsidRDefault="00F82570" w:rsidP="00C259BC">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0.0</w:t>
            </w:r>
          </w:p>
        </w:tc>
        <w:tc>
          <w:tcPr>
            <w:tcW w:w="378" w:type="pct"/>
            <w:vAlign w:val="top"/>
          </w:tcPr>
          <w:p w:rsidR="00F82570" w:rsidRPr="009760C0" w:rsidRDefault="00F82570" w:rsidP="00C259BC">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0.0</w:t>
            </w:r>
          </w:p>
        </w:tc>
        <w:tc>
          <w:tcPr>
            <w:tcW w:w="378" w:type="pct"/>
            <w:vAlign w:val="top"/>
          </w:tcPr>
          <w:p w:rsidR="00F82570" w:rsidRPr="009760C0" w:rsidRDefault="00F82570" w:rsidP="00C259BC">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0.0</w:t>
            </w:r>
          </w:p>
        </w:tc>
        <w:tc>
          <w:tcPr>
            <w:tcW w:w="379" w:type="pct"/>
            <w:vAlign w:val="top"/>
          </w:tcPr>
          <w:p w:rsidR="00F82570" w:rsidRPr="009760C0" w:rsidRDefault="00F82570" w:rsidP="00C259BC">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0.0</w:t>
            </w:r>
          </w:p>
        </w:tc>
        <w:tc>
          <w:tcPr>
            <w:tcW w:w="378" w:type="pct"/>
            <w:vAlign w:val="top"/>
          </w:tcPr>
          <w:p w:rsidR="00F82570" w:rsidRPr="009760C0" w:rsidRDefault="00F82570" w:rsidP="00C259BC">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0.0</w:t>
            </w:r>
          </w:p>
        </w:tc>
        <w:tc>
          <w:tcPr>
            <w:tcW w:w="375" w:type="pct"/>
            <w:vAlign w:val="top"/>
          </w:tcPr>
          <w:p w:rsidR="00F82570" w:rsidRPr="009760C0" w:rsidRDefault="00F82570" w:rsidP="00C259BC">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0.0</w:t>
            </w:r>
          </w:p>
        </w:tc>
      </w:tr>
      <w:tr w:rsidR="00F82570" w:rsidRPr="00BA0FBF" w:rsidTr="0003382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22" w:type="pct"/>
          </w:tcPr>
          <w:p w:rsidR="00F82570" w:rsidRPr="00BA0FBF" w:rsidRDefault="00F82570" w:rsidP="00C259BC">
            <w:pPr>
              <w:pStyle w:val="TableText"/>
              <w:rPr>
                <w:sz w:val="18"/>
              </w:rPr>
            </w:pPr>
            <w:r w:rsidRPr="00BA0FBF">
              <w:rPr>
                <w:sz w:val="18"/>
              </w:rPr>
              <w:t>Child Care</w:t>
            </w:r>
          </w:p>
        </w:tc>
        <w:tc>
          <w:tcPr>
            <w:tcW w:w="377" w:type="pct"/>
            <w:vAlign w:val="top"/>
          </w:tcPr>
          <w:p w:rsidR="00F82570" w:rsidRPr="009760C0" w:rsidRDefault="00F82570" w:rsidP="00C259BC">
            <w:pPr>
              <w:jc w:val="right"/>
              <w:cnfStyle w:val="000000100000" w:firstRow="0" w:lastRow="0" w:firstColumn="0" w:lastColumn="0" w:oddVBand="0" w:evenVBand="0" w:oddHBand="1" w:evenHBand="0" w:firstRowFirstColumn="0" w:firstRowLastColumn="0" w:lastRowFirstColumn="0" w:lastRowLastColumn="0"/>
              <w:rPr>
                <w:sz w:val="18"/>
              </w:rPr>
            </w:pPr>
            <w:r w:rsidRPr="009760C0">
              <w:rPr>
                <w:sz w:val="18"/>
              </w:rPr>
              <w:t>0.0</w:t>
            </w:r>
          </w:p>
        </w:tc>
        <w:tc>
          <w:tcPr>
            <w:tcW w:w="378" w:type="pct"/>
            <w:vAlign w:val="top"/>
          </w:tcPr>
          <w:p w:rsidR="00F82570" w:rsidRPr="009760C0" w:rsidRDefault="00F82570" w:rsidP="00C259BC">
            <w:pPr>
              <w:jc w:val="right"/>
              <w:cnfStyle w:val="000000100000" w:firstRow="0" w:lastRow="0" w:firstColumn="0" w:lastColumn="0" w:oddVBand="0" w:evenVBand="0" w:oddHBand="1" w:evenHBand="0" w:firstRowFirstColumn="0" w:firstRowLastColumn="0" w:lastRowFirstColumn="0" w:lastRowLastColumn="0"/>
              <w:rPr>
                <w:sz w:val="18"/>
              </w:rPr>
            </w:pPr>
            <w:r w:rsidRPr="009760C0">
              <w:rPr>
                <w:sz w:val="18"/>
              </w:rPr>
              <w:t>0.0</w:t>
            </w:r>
          </w:p>
        </w:tc>
        <w:tc>
          <w:tcPr>
            <w:tcW w:w="378" w:type="pct"/>
            <w:vAlign w:val="top"/>
          </w:tcPr>
          <w:p w:rsidR="00F82570" w:rsidRPr="009760C0" w:rsidRDefault="00F82570" w:rsidP="00C259BC">
            <w:pPr>
              <w:jc w:val="right"/>
              <w:cnfStyle w:val="000000100000" w:firstRow="0" w:lastRow="0" w:firstColumn="0" w:lastColumn="0" w:oddVBand="0" w:evenVBand="0" w:oddHBand="1" w:evenHBand="0" w:firstRowFirstColumn="0" w:firstRowLastColumn="0" w:lastRowFirstColumn="0" w:lastRowLastColumn="0"/>
              <w:rPr>
                <w:sz w:val="18"/>
              </w:rPr>
            </w:pPr>
            <w:r w:rsidRPr="009760C0">
              <w:rPr>
                <w:sz w:val="18"/>
              </w:rPr>
              <w:t>0.0</w:t>
            </w:r>
          </w:p>
        </w:tc>
        <w:tc>
          <w:tcPr>
            <w:tcW w:w="378" w:type="pct"/>
            <w:vAlign w:val="top"/>
          </w:tcPr>
          <w:p w:rsidR="00F82570" w:rsidRPr="009760C0" w:rsidRDefault="00F82570" w:rsidP="00C259BC">
            <w:pPr>
              <w:jc w:val="right"/>
              <w:cnfStyle w:val="000000100000" w:firstRow="0" w:lastRow="0" w:firstColumn="0" w:lastColumn="0" w:oddVBand="0" w:evenVBand="0" w:oddHBand="1" w:evenHBand="0" w:firstRowFirstColumn="0" w:firstRowLastColumn="0" w:lastRowFirstColumn="0" w:lastRowLastColumn="0"/>
              <w:rPr>
                <w:sz w:val="18"/>
              </w:rPr>
            </w:pPr>
            <w:r w:rsidRPr="009760C0">
              <w:rPr>
                <w:sz w:val="18"/>
              </w:rPr>
              <w:t>0.0</w:t>
            </w:r>
          </w:p>
        </w:tc>
        <w:tc>
          <w:tcPr>
            <w:tcW w:w="379" w:type="pct"/>
            <w:vAlign w:val="top"/>
          </w:tcPr>
          <w:p w:rsidR="00F82570" w:rsidRPr="009760C0" w:rsidRDefault="00F82570" w:rsidP="00C259BC">
            <w:pPr>
              <w:jc w:val="right"/>
              <w:cnfStyle w:val="000000100000" w:firstRow="0" w:lastRow="0" w:firstColumn="0" w:lastColumn="0" w:oddVBand="0" w:evenVBand="0" w:oddHBand="1" w:evenHBand="0" w:firstRowFirstColumn="0" w:firstRowLastColumn="0" w:lastRowFirstColumn="0" w:lastRowLastColumn="0"/>
              <w:rPr>
                <w:sz w:val="18"/>
              </w:rPr>
            </w:pPr>
            <w:r w:rsidRPr="009760C0">
              <w:rPr>
                <w:sz w:val="18"/>
              </w:rPr>
              <w:t>0.0</w:t>
            </w:r>
          </w:p>
        </w:tc>
        <w:tc>
          <w:tcPr>
            <w:tcW w:w="378" w:type="pct"/>
            <w:vAlign w:val="top"/>
          </w:tcPr>
          <w:p w:rsidR="00F82570" w:rsidRPr="009760C0" w:rsidRDefault="00F82570" w:rsidP="00C259BC">
            <w:pPr>
              <w:jc w:val="right"/>
              <w:cnfStyle w:val="000000100000" w:firstRow="0" w:lastRow="0" w:firstColumn="0" w:lastColumn="0" w:oddVBand="0" w:evenVBand="0" w:oddHBand="1" w:evenHBand="0" w:firstRowFirstColumn="0" w:firstRowLastColumn="0" w:lastRowFirstColumn="0" w:lastRowLastColumn="0"/>
              <w:rPr>
                <w:sz w:val="18"/>
              </w:rPr>
            </w:pPr>
            <w:r w:rsidRPr="009760C0">
              <w:rPr>
                <w:sz w:val="18"/>
              </w:rPr>
              <w:t>0.0</w:t>
            </w:r>
          </w:p>
        </w:tc>
        <w:tc>
          <w:tcPr>
            <w:tcW w:w="378" w:type="pct"/>
            <w:vAlign w:val="top"/>
          </w:tcPr>
          <w:p w:rsidR="00F82570" w:rsidRPr="009760C0" w:rsidRDefault="00F82570" w:rsidP="00C259BC">
            <w:pPr>
              <w:jc w:val="right"/>
              <w:cnfStyle w:val="000000100000" w:firstRow="0" w:lastRow="0" w:firstColumn="0" w:lastColumn="0" w:oddVBand="0" w:evenVBand="0" w:oddHBand="1" w:evenHBand="0" w:firstRowFirstColumn="0" w:firstRowLastColumn="0" w:lastRowFirstColumn="0" w:lastRowLastColumn="0"/>
              <w:rPr>
                <w:sz w:val="18"/>
              </w:rPr>
            </w:pPr>
            <w:r w:rsidRPr="009760C0">
              <w:rPr>
                <w:sz w:val="18"/>
              </w:rPr>
              <w:t>0.0</w:t>
            </w:r>
          </w:p>
        </w:tc>
        <w:tc>
          <w:tcPr>
            <w:tcW w:w="379" w:type="pct"/>
            <w:vAlign w:val="top"/>
          </w:tcPr>
          <w:p w:rsidR="00F82570" w:rsidRPr="009760C0" w:rsidRDefault="00F82570" w:rsidP="00C259BC">
            <w:pPr>
              <w:jc w:val="right"/>
              <w:cnfStyle w:val="000000100000" w:firstRow="0" w:lastRow="0" w:firstColumn="0" w:lastColumn="0" w:oddVBand="0" w:evenVBand="0" w:oddHBand="1" w:evenHBand="0" w:firstRowFirstColumn="0" w:firstRowLastColumn="0" w:lastRowFirstColumn="0" w:lastRowLastColumn="0"/>
              <w:rPr>
                <w:sz w:val="18"/>
              </w:rPr>
            </w:pPr>
            <w:r w:rsidRPr="009760C0">
              <w:rPr>
                <w:sz w:val="18"/>
              </w:rPr>
              <w:t>0.0</w:t>
            </w:r>
          </w:p>
        </w:tc>
        <w:tc>
          <w:tcPr>
            <w:tcW w:w="378" w:type="pct"/>
            <w:vAlign w:val="top"/>
          </w:tcPr>
          <w:p w:rsidR="00F82570" w:rsidRPr="009760C0" w:rsidRDefault="00F82570" w:rsidP="00C259BC">
            <w:pPr>
              <w:jc w:val="right"/>
              <w:cnfStyle w:val="000000100000" w:firstRow="0" w:lastRow="0" w:firstColumn="0" w:lastColumn="0" w:oddVBand="0" w:evenVBand="0" w:oddHBand="1" w:evenHBand="0" w:firstRowFirstColumn="0" w:firstRowLastColumn="0" w:lastRowFirstColumn="0" w:lastRowLastColumn="0"/>
              <w:rPr>
                <w:sz w:val="18"/>
              </w:rPr>
            </w:pPr>
            <w:r w:rsidRPr="009760C0">
              <w:rPr>
                <w:sz w:val="18"/>
              </w:rPr>
              <w:t>0.0</w:t>
            </w:r>
          </w:p>
        </w:tc>
        <w:tc>
          <w:tcPr>
            <w:tcW w:w="375" w:type="pct"/>
            <w:vAlign w:val="top"/>
          </w:tcPr>
          <w:p w:rsidR="00F82570" w:rsidRPr="009760C0" w:rsidRDefault="00F82570" w:rsidP="00C259BC">
            <w:pPr>
              <w:jc w:val="right"/>
              <w:cnfStyle w:val="000000100000" w:firstRow="0" w:lastRow="0" w:firstColumn="0" w:lastColumn="0" w:oddVBand="0" w:evenVBand="0" w:oddHBand="1" w:evenHBand="0" w:firstRowFirstColumn="0" w:firstRowLastColumn="0" w:lastRowFirstColumn="0" w:lastRowLastColumn="0"/>
              <w:rPr>
                <w:sz w:val="18"/>
              </w:rPr>
            </w:pPr>
            <w:r w:rsidRPr="009760C0">
              <w:rPr>
                <w:sz w:val="18"/>
              </w:rPr>
              <w:t>0.0</w:t>
            </w:r>
          </w:p>
        </w:tc>
      </w:tr>
      <w:tr w:rsidR="00F82570" w:rsidRPr="00BA0FBF" w:rsidTr="00033825">
        <w:trPr>
          <w:cantSplit/>
        </w:trPr>
        <w:tc>
          <w:tcPr>
            <w:cnfStyle w:val="001000000000" w:firstRow="0" w:lastRow="0" w:firstColumn="1" w:lastColumn="0" w:oddVBand="0" w:evenVBand="0" w:oddHBand="0" w:evenHBand="0" w:firstRowFirstColumn="0" w:firstRowLastColumn="0" w:lastRowFirstColumn="0" w:lastRowLastColumn="0"/>
            <w:tcW w:w="1222" w:type="pct"/>
          </w:tcPr>
          <w:p w:rsidR="00F82570" w:rsidRPr="00BA0FBF" w:rsidRDefault="00F82570" w:rsidP="00C259BC">
            <w:pPr>
              <w:pStyle w:val="TableText"/>
              <w:rPr>
                <w:sz w:val="18"/>
              </w:rPr>
            </w:pPr>
            <w:r w:rsidRPr="00BA0FBF">
              <w:rPr>
                <w:sz w:val="18"/>
              </w:rPr>
              <w:t>Water and Sewerage</w:t>
            </w:r>
          </w:p>
        </w:tc>
        <w:tc>
          <w:tcPr>
            <w:tcW w:w="377" w:type="pct"/>
            <w:vAlign w:val="top"/>
          </w:tcPr>
          <w:p w:rsidR="00F82570" w:rsidRPr="009760C0" w:rsidRDefault="00F82570" w:rsidP="00C259BC">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0.0</w:t>
            </w:r>
          </w:p>
        </w:tc>
        <w:tc>
          <w:tcPr>
            <w:tcW w:w="378" w:type="pct"/>
            <w:vAlign w:val="top"/>
          </w:tcPr>
          <w:p w:rsidR="00F82570" w:rsidRPr="009760C0" w:rsidRDefault="00F82570" w:rsidP="00C259BC">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0.0</w:t>
            </w:r>
          </w:p>
        </w:tc>
        <w:tc>
          <w:tcPr>
            <w:tcW w:w="378" w:type="pct"/>
            <w:vAlign w:val="top"/>
          </w:tcPr>
          <w:p w:rsidR="00F82570" w:rsidRPr="009760C0" w:rsidRDefault="00F82570" w:rsidP="00C259BC">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0.0</w:t>
            </w:r>
          </w:p>
        </w:tc>
        <w:tc>
          <w:tcPr>
            <w:tcW w:w="378" w:type="pct"/>
            <w:vAlign w:val="top"/>
          </w:tcPr>
          <w:p w:rsidR="00F82570" w:rsidRPr="009760C0" w:rsidRDefault="00F82570" w:rsidP="00C259BC">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0.0</w:t>
            </w:r>
          </w:p>
        </w:tc>
        <w:tc>
          <w:tcPr>
            <w:tcW w:w="379" w:type="pct"/>
            <w:vAlign w:val="top"/>
          </w:tcPr>
          <w:p w:rsidR="00F82570" w:rsidRPr="009760C0" w:rsidRDefault="00F82570" w:rsidP="00C259BC">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0.0</w:t>
            </w:r>
          </w:p>
        </w:tc>
        <w:tc>
          <w:tcPr>
            <w:tcW w:w="378" w:type="pct"/>
            <w:vAlign w:val="top"/>
          </w:tcPr>
          <w:p w:rsidR="00F82570" w:rsidRPr="009760C0" w:rsidRDefault="00F82570" w:rsidP="00C259BC">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0.0</w:t>
            </w:r>
          </w:p>
        </w:tc>
        <w:tc>
          <w:tcPr>
            <w:tcW w:w="378" w:type="pct"/>
            <w:vAlign w:val="top"/>
          </w:tcPr>
          <w:p w:rsidR="00F82570" w:rsidRPr="009760C0" w:rsidRDefault="00F82570" w:rsidP="00C259BC">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0.0</w:t>
            </w:r>
          </w:p>
        </w:tc>
        <w:tc>
          <w:tcPr>
            <w:tcW w:w="379" w:type="pct"/>
            <w:vAlign w:val="top"/>
          </w:tcPr>
          <w:p w:rsidR="00F82570" w:rsidRPr="009760C0" w:rsidRDefault="00F82570" w:rsidP="00C259BC">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0.0</w:t>
            </w:r>
          </w:p>
        </w:tc>
        <w:tc>
          <w:tcPr>
            <w:tcW w:w="378" w:type="pct"/>
            <w:vAlign w:val="top"/>
          </w:tcPr>
          <w:p w:rsidR="00F82570" w:rsidRPr="009760C0" w:rsidRDefault="00F82570" w:rsidP="00C259BC">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0.0</w:t>
            </w:r>
          </w:p>
        </w:tc>
        <w:tc>
          <w:tcPr>
            <w:tcW w:w="375" w:type="pct"/>
            <w:vAlign w:val="top"/>
          </w:tcPr>
          <w:p w:rsidR="00F82570" w:rsidRPr="009760C0" w:rsidRDefault="00F82570" w:rsidP="00C259BC">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0.0</w:t>
            </w:r>
          </w:p>
        </w:tc>
      </w:tr>
      <w:tr w:rsidR="00F82570" w:rsidRPr="00BA0FBF" w:rsidTr="0003382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22" w:type="pct"/>
          </w:tcPr>
          <w:p w:rsidR="00F82570" w:rsidRPr="00BA0FBF" w:rsidRDefault="00F82570" w:rsidP="005335D1">
            <w:pPr>
              <w:pStyle w:val="TableText"/>
              <w:rPr>
                <w:i/>
                <w:sz w:val="18"/>
              </w:rPr>
            </w:pPr>
            <w:r w:rsidRPr="00BA0FBF">
              <w:rPr>
                <w:i/>
                <w:sz w:val="18"/>
              </w:rPr>
              <w:t>Interaction Effect</w:t>
            </w:r>
          </w:p>
        </w:tc>
        <w:tc>
          <w:tcPr>
            <w:tcW w:w="377" w:type="pct"/>
            <w:vAlign w:val="top"/>
          </w:tcPr>
          <w:p w:rsidR="00F82570" w:rsidRPr="009760C0" w:rsidRDefault="00F82570" w:rsidP="009760C0">
            <w:pPr>
              <w:jc w:val="right"/>
              <w:cnfStyle w:val="000000100000" w:firstRow="0" w:lastRow="0" w:firstColumn="0" w:lastColumn="0" w:oddVBand="0" w:evenVBand="0" w:oddHBand="1" w:evenHBand="0" w:firstRowFirstColumn="0" w:firstRowLastColumn="0" w:lastRowFirstColumn="0" w:lastRowLastColumn="0"/>
              <w:rPr>
                <w:sz w:val="18"/>
              </w:rPr>
            </w:pPr>
            <w:r w:rsidRPr="009760C0">
              <w:rPr>
                <w:sz w:val="18"/>
              </w:rPr>
              <w:t>3.0</w:t>
            </w:r>
          </w:p>
        </w:tc>
        <w:tc>
          <w:tcPr>
            <w:tcW w:w="378" w:type="pct"/>
            <w:vAlign w:val="top"/>
          </w:tcPr>
          <w:p w:rsidR="00F82570" w:rsidRPr="009760C0" w:rsidRDefault="00F82570" w:rsidP="009760C0">
            <w:pPr>
              <w:jc w:val="right"/>
              <w:cnfStyle w:val="000000100000" w:firstRow="0" w:lastRow="0" w:firstColumn="0" w:lastColumn="0" w:oddVBand="0" w:evenVBand="0" w:oddHBand="1" w:evenHBand="0" w:firstRowFirstColumn="0" w:firstRowLastColumn="0" w:lastRowFirstColumn="0" w:lastRowLastColumn="0"/>
              <w:rPr>
                <w:sz w:val="18"/>
              </w:rPr>
            </w:pPr>
            <w:r w:rsidRPr="009760C0">
              <w:rPr>
                <w:sz w:val="18"/>
              </w:rPr>
              <w:t>3.1</w:t>
            </w:r>
          </w:p>
        </w:tc>
        <w:tc>
          <w:tcPr>
            <w:tcW w:w="378" w:type="pct"/>
            <w:vAlign w:val="top"/>
          </w:tcPr>
          <w:p w:rsidR="00F82570" w:rsidRPr="009760C0" w:rsidRDefault="00F82570" w:rsidP="009760C0">
            <w:pPr>
              <w:jc w:val="right"/>
              <w:cnfStyle w:val="000000100000" w:firstRow="0" w:lastRow="0" w:firstColumn="0" w:lastColumn="0" w:oddVBand="0" w:evenVBand="0" w:oddHBand="1" w:evenHBand="0" w:firstRowFirstColumn="0" w:firstRowLastColumn="0" w:lastRowFirstColumn="0" w:lastRowLastColumn="0"/>
              <w:rPr>
                <w:sz w:val="18"/>
              </w:rPr>
            </w:pPr>
            <w:r w:rsidRPr="009760C0">
              <w:rPr>
                <w:sz w:val="18"/>
              </w:rPr>
              <w:t>3.2</w:t>
            </w:r>
          </w:p>
        </w:tc>
        <w:tc>
          <w:tcPr>
            <w:tcW w:w="378" w:type="pct"/>
            <w:vAlign w:val="top"/>
          </w:tcPr>
          <w:p w:rsidR="00F82570" w:rsidRPr="009760C0" w:rsidRDefault="00F82570" w:rsidP="009760C0">
            <w:pPr>
              <w:jc w:val="right"/>
              <w:cnfStyle w:val="000000100000" w:firstRow="0" w:lastRow="0" w:firstColumn="0" w:lastColumn="0" w:oddVBand="0" w:evenVBand="0" w:oddHBand="1" w:evenHBand="0" w:firstRowFirstColumn="0" w:firstRowLastColumn="0" w:lastRowFirstColumn="0" w:lastRowLastColumn="0"/>
              <w:rPr>
                <w:sz w:val="18"/>
              </w:rPr>
            </w:pPr>
            <w:r w:rsidRPr="009760C0">
              <w:rPr>
                <w:sz w:val="18"/>
              </w:rPr>
              <w:t>3.4</w:t>
            </w:r>
          </w:p>
        </w:tc>
        <w:tc>
          <w:tcPr>
            <w:tcW w:w="379" w:type="pct"/>
            <w:vAlign w:val="top"/>
          </w:tcPr>
          <w:p w:rsidR="00F82570" w:rsidRPr="009760C0" w:rsidRDefault="00F82570" w:rsidP="009760C0">
            <w:pPr>
              <w:jc w:val="right"/>
              <w:cnfStyle w:val="000000100000" w:firstRow="0" w:lastRow="0" w:firstColumn="0" w:lastColumn="0" w:oddVBand="0" w:evenVBand="0" w:oddHBand="1" w:evenHBand="0" w:firstRowFirstColumn="0" w:firstRowLastColumn="0" w:lastRowFirstColumn="0" w:lastRowLastColumn="0"/>
              <w:rPr>
                <w:sz w:val="18"/>
              </w:rPr>
            </w:pPr>
            <w:r w:rsidRPr="009760C0">
              <w:rPr>
                <w:sz w:val="18"/>
              </w:rPr>
              <w:t>3.5</w:t>
            </w:r>
          </w:p>
        </w:tc>
        <w:tc>
          <w:tcPr>
            <w:tcW w:w="378" w:type="pct"/>
            <w:vAlign w:val="top"/>
          </w:tcPr>
          <w:p w:rsidR="00F82570" w:rsidRPr="009760C0" w:rsidRDefault="00F82570" w:rsidP="009760C0">
            <w:pPr>
              <w:jc w:val="right"/>
              <w:cnfStyle w:val="000000100000" w:firstRow="0" w:lastRow="0" w:firstColumn="0" w:lastColumn="0" w:oddVBand="0" w:evenVBand="0" w:oddHBand="1" w:evenHBand="0" w:firstRowFirstColumn="0" w:firstRowLastColumn="0" w:lastRowFirstColumn="0" w:lastRowLastColumn="0"/>
              <w:rPr>
                <w:sz w:val="18"/>
              </w:rPr>
            </w:pPr>
            <w:r w:rsidRPr="009760C0">
              <w:rPr>
                <w:sz w:val="18"/>
              </w:rPr>
              <w:t>3.6</w:t>
            </w:r>
          </w:p>
        </w:tc>
        <w:tc>
          <w:tcPr>
            <w:tcW w:w="378" w:type="pct"/>
            <w:vAlign w:val="top"/>
          </w:tcPr>
          <w:p w:rsidR="00F82570" w:rsidRPr="009760C0" w:rsidRDefault="00F82570" w:rsidP="009760C0">
            <w:pPr>
              <w:jc w:val="right"/>
              <w:cnfStyle w:val="000000100000" w:firstRow="0" w:lastRow="0" w:firstColumn="0" w:lastColumn="0" w:oddVBand="0" w:evenVBand="0" w:oddHBand="1" w:evenHBand="0" w:firstRowFirstColumn="0" w:firstRowLastColumn="0" w:lastRowFirstColumn="0" w:lastRowLastColumn="0"/>
              <w:rPr>
                <w:sz w:val="18"/>
              </w:rPr>
            </w:pPr>
            <w:r w:rsidRPr="009760C0">
              <w:rPr>
                <w:sz w:val="18"/>
              </w:rPr>
              <w:t>3.8</w:t>
            </w:r>
          </w:p>
        </w:tc>
        <w:tc>
          <w:tcPr>
            <w:tcW w:w="379" w:type="pct"/>
            <w:vAlign w:val="top"/>
          </w:tcPr>
          <w:p w:rsidR="00F82570" w:rsidRPr="009760C0" w:rsidRDefault="00F82570" w:rsidP="009760C0">
            <w:pPr>
              <w:jc w:val="right"/>
              <w:cnfStyle w:val="000000100000" w:firstRow="0" w:lastRow="0" w:firstColumn="0" w:lastColumn="0" w:oddVBand="0" w:evenVBand="0" w:oddHBand="1" w:evenHBand="0" w:firstRowFirstColumn="0" w:firstRowLastColumn="0" w:lastRowFirstColumn="0" w:lastRowLastColumn="0"/>
              <w:rPr>
                <w:sz w:val="18"/>
              </w:rPr>
            </w:pPr>
            <w:r w:rsidRPr="009760C0">
              <w:rPr>
                <w:sz w:val="18"/>
              </w:rPr>
              <w:t>4.0</w:t>
            </w:r>
          </w:p>
        </w:tc>
        <w:tc>
          <w:tcPr>
            <w:tcW w:w="378" w:type="pct"/>
            <w:vAlign w:val="top"/>
          </w:tcPr>
          <w:p w:rsidR="00F82570" w:rsidRPr="009760C0" w:rsidRDefault="00F82570" w:rsidP="009760C0">
            <w:pPr>
              <w:jc w:val="right"/>
              <w:cnfStyle w:val="000000100000" w:firstRow="0" w:lastRow="0" w:firstColumn="0" w:lastColumn="0" w:oddVBand="0" w:evenVBand="0" w:oddHBand="1" w:evenHBand="0" w:firstRowFirstColumn="0" w:firstRowLastColumn="0" w:lastRowFirstColumn="0" w:lastRowLastColumn="0"/>
              <w:rPr>
                <w:sz w:val="18"/>
              </w:rPr>
            </w:pPr>
            <w:r w:rsidRPr="009760C0">
              <w:rPr>
                <w:sz w:val="18"/>
              </w:rPr>
              <w:t>4.1</w:t>
            </w:r>
          </w:p>
        </w:tc>
        <w:tc>
          <w:tcPr>
            <w:tcW w:w="375" w:type="pct"/>
            <w:vAlign w:val="top"/>
          </w:tcPr>
          <w:p w:rsidR="00F82570" w:rsidRPr="009760C0" w:rsidRDefault="00F82570" w:rsidP="009760C0">
            <w:pPr>
              <w:jc w:val="right"/>
              <w:cnfStyle w:val="000000100000" w:firstRow="0" w:lastRow="0" w:firstColumn="0" w:lastColumn="0" w:oddVBand="0" w:evenVBand="0" w:oddHBand="1" w:evenHBand="0" w:firstRowFirstColumn="0" w:firstRowLastColumn="0" w:lastRowFirstColumn="0" w:lastRowLastColumn="0"/>
              <w:rPr>
                <w:sz w:val="18"/>
              </w:rPr>
            </w:pPr>
            <w:r w:rsidRPr="009760C0">
              <w:rPr>
                <w:sz w:val="18"/>
              </w:rPr>
              <w:t>31.7</w:t>
            </w:r>
          </w:p>
        </w:tc>
      </w:tr>
      <w:tr w:rsidR="00F82570" w:rsidRPr="00BA0FBF" w:rsidTr="00033825">
        <w:trPr>
          <w:cantSplit/>
        </w:trPr>
        <w:tc>
          <w:tcPr>
            <w:cnfStyle w:val="001000000000" w:firstRow="0" w:lastRow="0" w:firstColumn="1" w:lastColumn="0" w:oddVBand="0" w:evenVBand="0" w:oddHBand="0" w:evenHBand="0" w:firstRowFirstColumn="0" w:firstRowLastColumn="0" w:lastRowFirstColumn="0" w:lastRowLastColumn="0"/>
            <w:tcW w:w="1222" w:type="pct"/>
          </w:tcPr>
          <w:p w:rsidR="00F82570" w:rsidRPr="00BA0FBF" w:rsidRDefault="00F82570" w:rsidP="005335D1">
            <w:pPr>
              <w:pStyle w:val="TableText"/>
              <w:rPr>
                <w:b/>
                <w:sz w:val="18"/>
              </w:rPr>
            </w:pPr>
            <w:r>
              <w:rPr>
                <w:b/>
                <w:sz w:val="18"/>
              </w:rPr>
              <w:t xml:space="preserve">Additional </w:t>
            </w:r>
            <w:r w:rsidRPr="00BA0FBF">
              <w:rPr>
                <w:b/>
                <w:sz w:val="18"/>
              </w:rPr>
              <w:t>GST revenue</w:t>
            </w:r>
          </w:p>
        </w:tc>
        <w:tc>
          <w:tcPr>
            <w:tcW w:w="377" w:type="pct"/>
            <w:vAlign w:val="top"/>
          </w:tcPr>
          <w:p w:rsidR="00F82570" w:rsidRPr="009760C0" w:rsidRDefault="00F82570" w:rsidP="009760C0">
            <w:pPr>
              <w:jc w:val="right"/>
              <w:cnfStyle w:val="000000000000" w:firstRow="0" w:lastRow="0" w:firstColumn="0" w:lastColumn="0" w:oddVBand="0" w:evenVBand="0" w:oddHBand="0" w:evenHBand="0" w:firstRowFirstColumn="0" w:firstRowLastColumn="0" w:lastRowFirstColumn="0" w:lastRowLastColumn="0"/>
              <w:rPr>
                <w:b/>
                <w:sz w:val="18"/>
              </w:rPr>
            </w:pPr>
            <w:r w:rsidRPr="009760C0">
              <w:rPr>
                <w:b/>
                <w:sz w:val="18"/>
              </w:rPr>
              <w:t>42.7</w:t>
            </w:r>
          </w:p>
        </w:tc>
        <w:tc>
          <w:tcPr>
            <w:tcW w:w="378" w:type="pct"/>
            <w:vAlign w:val="top"/>
          </w:tcPr>
          <w:p w:rsidR="00F82570" w:rsidRPr="009760C0" w:rsidRDefault="00F82570" w:rsidP="009760C0">
            <w:pPr>
              <w:jc w:val="right"/>
              <w:cnfStyle w:val="000000000000" w:firstRow="0" w:lastRow="0" w:firstColumn="0" w:lastColumn="0" w:oddVBand="0" w:evenVBand="0" w:oddHBand="0" w:evenHBand="0" w:firstRowFirstColumn="0" w:firstRowLastColumn="0" w:lastRowFirstColumn="0" w:lastRowLastColumn="0"/>
              <w:rPr>
                <w:b/>
                <w:sz w:val="18"/>
              </w:rPr>
            </w:pPr>
            <w:r w:rsidRPr="009760C0">
              <w:rPr>
                <w:b/>
                <w:sz w:val="18"/>
              </w:rPr>
              <w:t>45.0</w:t>
            </w:r>
          </w:p>
        </w:tc>
        <w:tc>
          <w:tcPr>
            <w:tcW w:w="378" w:type="pct"/>
            <w:vAlign w:val="top"/>
          </w:tcPr>
          <w:p w:rsidR="00F82570" w:rsidRPr="009760C0" w:rsidRDefault="00F82570" w:rsidP="009760C0">
            <w:pPr>
              <w:jc w:val="right"/>
              <w:cnfStyle w:val="000000000000" w:firstRow="0" w:lastRow="0" w:firstColumn="0" w:lastColumn="0" w:oddVBand="0" w:evenVBand="0" w:oddHBand="0" w:evenHBand="0" w:firstRowFirstColumn="0" w:firstRowLastColumn="0" w:lastRowFirstColumn="0" w:lastRowLastColumn="0"/>
              <w:rPr>
                <w:b/>
                <w:sz w:val="18"/>
              </w:rPr>
            </w:pPr>
            <w:r w:rsidRPr="009760C0">
              <w:rPr>
                <w:b/>
                <w:sz w:val="18"/>
              </w:rPr>
              <w:t>46.8</w:t>
            </w:r>
          </w:p>
        </w:tc>
        <w:tc>
          <w:tcPr>
            <w:tcW w:w="378" w:type="pct"/>
            <w:vAlign w:val="top"/>
          </w:tcPr>
          <w:p w:rsidR="00F82570" w:rsidRPr="009760C0" w:rsidRDefault="00F82570" w:rsidP="009760C0">
            <w:pPr>
              <w:jc w:val="right"/>
              <w:cnfStyle w:val="000000000000" w:firstRow="0" w:lastRow="0" w:firstColumn="0" w:lastColumn="0" w:oddVBand="0" w:evenVBand="0" w:oddHBand="0" w:evenHBand="0" w:firstRowFirstColumn="0" w:firstRowLastColumn="0" w:lastRowFirstColumn="0" w:lastRowLastColumn="0"/>
              <w:rPr>
                <w:b/>
                <w:sz w:val="18"/>
              </w:rPr>
            </w:pPr>
            <w:r w:rsidRPr="009760C0">
              <w:rPr>
                <w:b/>
                <w:sz w:val="18"/>
              </w:rPr>
              <w:t>49.4</w:t>
            </w:r>
          </w:p>
        </w:tc>
        <w:tc>
          <w:tcPr>
            <w:tcW w:w="379" w:type="pct"/>
            <w:vAlign w:val="top"/>
          </w:tcPr>
          <w:p w:rsidR="00F82570" w:rsidRPr="009760C0" w:rsidRDefault="00F82570" w:rsidP="009760C0">
            <w:pPr>
              <w:jc w:val="right"/>
              <w:cnfStyle w:val="000000000000" w:firstRow="0" w:lastRow="0" w:firstColumn="0" w:lastColumn="0" w:oddVBand="0" w:evenVBand="0" w:oddHBand="0" w:evenHBand="0" w:firstRowFirstColumn="0" w:firstRowLastColumn="0" w:lastRowFirstColumn="0" w:lastRowLastColumn="0"/>
              <w:rPr>
                <w:b/>
                <w:sz w:val="18"/>
              </w:rPr>
            </w:pPr>
            <w:r w:rsidRPr="009760C0">
              <w:rPr>
                <w:b/>
                <w:sz w:val="18"/>
              </w:rPr>
              <w:t>52.1</w:t>
            </w:r>
          </w:p>
        </w:tc>
        <w:tc>
          <w:tcPr>
            <w:tcW w:w="378" w:type="pct"/>
            <w:vAlign w:val="top"/>
          </w:tcPr>
          <w:p w:rsidR="00F82570" w:rsidRPr="009760C0" w:rsidRDefault="00F82570" w:rsidP="009760C0">
            <w:pPr>
              <w:jc w:val="right"/>
              <w:cnfStyle w:val="000000000000" w:firstRow="0" w:lastRow="0" w:firstColumn="0" w:lastColumn="0" w:oddVBand="0" w:evenVBand="0" w:oddHBand="0" w:evenHBand="0" w:firstRowFirstColumn="0" w:firstRowLastColumn="0" w:lastRowFirstColumn="0" w:lastRowLastColumn="0"/>
              <w:rPr>
                <w:b/>
                <w:sz w:val="18"/>
              </w:rPr>
            </w:pPr>
            <w:r w:rsidRPr="009760C0">
              <w:rPr>
                <w:b/>
                <w:sz w:val="18"/>
              </w:rPr>
              <w:t>54.9</w:t>
            </w:r>
          </w:p>
        </w:tc>
        <w:tc>
          <w:tcPr>
            <w:tcW w:w="378" w:type="pct"/>
            <w:vAlign w:val="top"/>
          </w:tcPr>
          <w:p w:rsidR="00F82570" w:rsidRPr="009760C0" w:rsidRDefault="00F82570" w:rsidP="009760C0">
            <w:pPr>
              <w:jc w:val="right"/>
              <w:cnfStyle w:val="000000000000" w:firstRow="0" w:lastRow="0" w:firstColumn="0" w:lastColumn="0" w:oddVBand="0" w:evenVBand="0" w:oddHBand="0" w:evenHBand="0" w:firstRowFirstColumn="0" w:firstRowLastColumn="0" w:lastRowFirstColumn="0" w:lastRowLastColumn="0"/>
              <w:rPr>
                <w:b/>
                <w:sz w:val="18"/>
              </w:rPr>
            </w:pPr>
            <w:r w:rsidRPr="009760C0">
              <w:rPr>
                <w:b/>
                <w:sz w:val="18"/>
              </w:rPr>
              <w:t>57.8</w:t>
            </w:r>
          </w:p>
        </w:tc>
        <w:tc>
          <w:tcPr>
            <w:tcW w:w="379" w:type="pct"/>
            <w:vAlign w:val="top"/>
          </w:tcPr>
          <w:p w:rsidR="00F82570" w:rsidRPr="009760C0" w:rsidRDefault="00F82570" w:rsidP="009760C0">
            <w:pPr>
              <w:jc w:val="right"/>
              <w:cnfStyle w:val="000000000000" w:firstRow="0" w:lastRow="0" w:firstColumn="0" w:lastColumn="0" w:oddVBand="0" w:evenVBand="0" w:oddHBand="0" w:evenHBand="0" w:firstRowFirstColumn="0" w:firstRowLastColumn="0" w:lastRowFirstColumn="0" w:lastRowLastColumn="0"/>
              <w:rPr>
                <w:b/>
                <w:sz w:val="18"/>
              </w:rPr>
            </w:pPr>
            <w:r w:rsidRPr="009760C0">
              <w:rPr>
                <w:b/>
                <w:sz w:val="18"/>
              </w:rPr>
              <w:t>60.8</w:t>
            </w:r>
          </w:p>
        </w:tc>
        <w:tc>
          <w:tcPr>
            <w:tcW w:w="378" w:type="pct"/>
            <w:vAlign w:val="top"/>
          </w:tcPr>
          <w:p w:rsidR="00F82570" w:rsidRPr="009760C0" w:rsidRDefault="00F82570" w:rsidP="009760C0">
            <w:pPr>
              <w:jc w:val="right"/>
              <w:cnfStyle w:val="000000000000" w:firstRow="0" w:lastRow="0" w:firstColumn="0" w:lastColumn="0" w:oddVBand="0" w:evenVBand="0" w:oddHBand="0" w:evenHBand="0" w:firstRowFirstColumn="0" w:firstRowLastColumn="0" w:lastRowFirstColumn="0" w:lastRowLastColumn="0"/>
              <w:rPr>
                <w:b/>
                <w:sz w:val="18"/>
              </w:rPr>
            </w:pPr>
            <w:r w:rsidRPr="009760C0">
              <w:rPr>
                <w:b/>
                <w:sz w:val="18"/>
              </w:rPr>
              <w:t>63.9</w:t>
            </w:r>
          </w:p>
        </w:tc>
        <w:tc>
          <w:tcPr>
            <w:tcW w:w="375" w:type="pct"/>
            <w:vAlign w:val="top"/>
          </w:tcPr>
          <w:p w:rsidR="00F82570" w:rsidRPr="009760C0" w:rsidRDefault="00F82570" w:rsidP="009760C0">
            <w:pPr>
              <w:jc w:val="right"/>
              <w:cnfStyle w:val="000000000000" w:firstRow="0" w:lastRow="0" w:firstColumn="0" w:lastColumn="0" w:oddVBand="0" w:evenVBand="0" w:oddHBand="0" w:evenHBand="0" w:firstRowFirstColumn="0" w:firstRowLastColumn="0" w:lastRowFirstColumn="0" w:lastRowLastColumn="0"/>
              <w:rPr>
                <w:b/>
                <w:sz w:val="18"/>
              </w:rPr>
            </w:pPr>
            <w:r w:rsidRPr="009760C0">
              <w:rPr>
                <w:b/>
                <w:sz w:val="18"/>
              </w:rPr>
              <w:t>473.4</w:t>
            </w:r>
          </w:p>
        </w:tc>
      </w:tr>
    </w:tbl>
    <w:p w:rsidR="00726BED" w:rsidRDefault="00726BED" w:rsidP="00726BED">
      <w:pPr>
        <w:pStyle w:val="Source"/>
      </w:pPr>
      <w:r>
        <w:t xml:space="preserve">Source: </w:t>
      </w:r>
      <w:r w:rsidR="004E109F">
        <w:t>PBO analysis based on data from the ABS and Treasury</w:t>
      </w:r>
    </w:p>
    <w:p w:rsidR="00591E0E" w:rsidRPr="00BA0FBF" w:rsidRDefault="00591E0E" w:rsidP="00726BED">
      <w:pPr>
        <w:pStyle w:val="Source"/>
        <w:rPr>
          <w:spacing w:val="-1"/>
        </w:rPr>
      </w:pPr>
      <w:r w:rsidRPr="00BA0FBF">
        <w:br w:type="page"/>
      </w:r>
    </w:p>
    <w:p w:rsidR="00F95381" w:rsidRPr="00BA0FBF" w:rsidRDefault="00591E0E" w:rsidP="0002275E">
      <w:pPr>
        <w:pStyle w:val="Heading9"/>
        <w:numPr>
          <w:ilvl w:val="0"/>
          <w:numId w:val="0"/>
        </w:numPr>
        <w:ind w:left="765" w:hanging="765"/>
      </w:pPr>
      <w:bookmarkStart w:id="318" w:name="_Toc436400368"/>
      <w:bookmarkStart w:id="319" w:name="_Ref436837963"/>
      <w:bookmarkStart w:id="320" w:name="_Toc437438461"/>
      <w:r w:rsidRPr="00BA0FBF">
        <w:t>Scenario 5</w:t>
      </w:r>
      <w:r w:rsidR="00F95381" w:rsidRPr="00BA0FBF">
        <w:t xml:space="preserve">: Increase the GST rate to 15 per cent; </w:t>
      </w:r>
      <w:r w:rsidR="00A92F06">
        <w:t>r</w:t>
      </w:r>
      <w:r w:rsidR="009D3829" w:rsidRPr="00BA0FBF">
        <w:t>emove concessions from GST base</w:t>
      </w:r>
      <w:bookmarkEnd w:id="318"/>
      <w:bookmarkEnd w:id="319"/>
      <w:bookmarkEnd w:id="320"/>
    </w:p>
    <w:p w:rsidR="00F95381" w:rsidRPr="00BA0FBF" w:rsidRDefault="00F95381" w:rsidP="00F95381">
      <w:pPr>
        <w:pStyle w:val="Caption"/>
        <w:rPr>
          <w:sz w:val="20"/>
        </w:rPr>
      </w:pPr>
      <w:r w:rsidRPr="00BA0FBF">
        <w:rPr>
          <w:sz w:val="20"/>
        </w:rPr>
        <w:t xml:space="preserve">Table </w:t>
      </w:r>
      <w:r w:rsidR="00591E0E" w:rsidRPr="00BA0FBF">
        <w:rPr>
          <w:sz w:val="20"/>
        </w:rPr>
        <w:t>C</w:t>
      </w:r>
      <w:r w:rsidRPr="00BA0FBF">
        <w:rPr>
          <w:sz w:val="20"/>
        </w:rPr>
        <w:t>–</w:t>
      </w:r>
      <w:r w:rsidR="005867ED">
        <w:rPr>
          <w:sz w:val="20"/>
        </w:rPr>
        <w:t>9</w:t>
      </w:r>
      <w:r w:rsidRPr="00BA0FBF">
        <w:rPr>
          <w:sz w:val="20"/>
        </w:rPr>
        <w:t xml:space="preserve">: </w:t>
      </w:r>
      <w:r w:rsidR="00591E0E" w:rsidRPr="00BA0FBF">
        <w:rPr>
          <w:sz w:val="20"/>
        </w:rPr>
        <w:t xml:space="preserve">Net </w:t>
      </w:r>
      <w:r w:rsidR="0045532B">
        <w:rPr>
          <w:sz w:val="20"/>
        </w:rPr>
        <w:t xml:space="preserve">additional </w:t>
      </w:r>
      <w:r w:rsidR="00591E0E" w:rsidRPr="00BA0FBF">
        <w:rPr>
          <w:sz w:val="20"/>
        </w:rPr>
        <w:t xml:space="preserve">GST </w:t>
      </w:r>
      <w:r w:rsidR="00A92F06">
        <w:rPr>
          <w:sz w:val="20"/>
        </w:rPr>
        <w:t>r</w:t>
      </w:r>
      <w:r w:rsidR="00591E0E" w:rsidRPr="00BA0FBF">
        <w:rPr>
          <w:sz w:val="20"/>
        </w:rPr>
        <w:t>evenue</w:t>
      </w:r>
      <w:r w:rsidR="00A92F06">
        <w:rPr>
          <w:sz w:val="20"/>
        </w:rPr>
        <w:t>:</w:t>
      </w:r>
      <w:r w:rsidR="00591E0E" w:rsidRPr="00BA0FBF">
        <w:rPr>
          <w:sz w:val="20"/>
        </w:rPr>
        <w:t xml:space="preserve"> Scenario 5</w:t>
      </w:r>
      <w:r w:rsidR="00A92F06">
        <w:rPr>
          <w:sz w:val="20"/>
        </w:rPr>
        <w:t xml:space="preserve"> (</w:t>
      </w:r>
      <w:r w:rsidRPr="00BA0FBF">
        <w:rPr>
          <w:sz w:val="20"/>
        </w:rPr>
        <w:t xml:space="preserve">15 per cent rate; </w:t>
      </w:r>
      <w:r w:rsidR="00A92F06">
        <w:rPr>
          <w:sz w:val="20"/>
        </w:rPr>
        <w:t>r</w:t>
      </w:r>
      <w:r w:rsidR="009D3829" w:rsidRPr="00BA0FBF">
        <w:rPr>
          <w:sz w:val="20"/>
        </w:rPr>
        <w:t>emove concessions from GST base</w:t>
      </w:r>
      <w:r w:rsidR="00A92F06">
        <w:rPr>
          <w:sz w:val="20"/>
        </w:rPr>
        <w:t>)</w:t>
      </w:r>
    </w:p>
    <w:tbl>
      <w:tblPr>
        <w:tblStyle w:val="TableGrid"/>
        <w:tblW w:w="4665" w:type="pct"/>
        <w:tblLook w:val="04A0" w:firstRow="1" w:lastRow="0" w:firstColumn="1" w:lastColumn="0" w:noHBand="0" w:noVBand="1"/>
      </w:tblPr>
      <w:tblGrid>
        <w:gridCol w:w="3216"/>
        <w:gridCol w:w="915"/>
        <w:gridCol w:w="915"/>
        <w:gridCol w:w="915"/>
        <w:gridCol w:w="915"/>
        <w:gridCol w:w="915"/>
        <w:gridCol w:w="915"/>
        <w:gridCol w:w="914"/>
        <w:gridCol w:w="914"/>
        <w:gridCol w:w="914"/>
        <w:gridCol w:w="909"/>
      </w:tblGrid>
      <w:tr w:rsidR="0002160B" w:rsidRPr="00BA0FBF" w:rsidTr="0002160B">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301" w:type="pct"/>
          </w:tcPr>
          <w:p w:rsidR="0002160B" w:rsidRPr="00BA0FBF" w:rsidRDefault="0045532B" w:rsidP="00591E0E">
            <w:pPr>
              <w:pStyle w:val="TableHeading"/>
              <w:rPr>
                <w:sz w:val="18"/>
              </w:rPr>
            </w:pPr>
            <w:r>
              <w:rPr>
                <w:sz w:val="18"/>
              </w:rPr>
              <w:t>(</w:t>
            </w:r>
            <w:r w:rsidR="0002160B" w:rsidRPr="00BA0FBF">
              <w:rPr>
                <w:sz w:val="18"/>
              </w:rPr>
              <w:t>$b)</w:t>
            </w:r>
          </w:p>
        </w:tc>
        <w:tc>
          <w:tcPr>
            <w:tcW w:w="370" w:type="pct"/>
          </w:tcPr>
          <w:p w:rsidR="0002160B" w:rsidRPr="00BA0FBF" w:rsidRDefault="000B1326" w:rsidP="00F95381">
            <w:pPr>
              <w:pStyle w:val="TableHeadingCentred"/>
              <w:cnfStyle w:val="100000000000" w:firstRow="1" w:lastRow="0" w:firstColumn="0" w:lastColumn="0" w:oddVBand="0" w:evenVBand="0" w:oddHBand="0" w:evenHBand="0" w:firstRowFirstColumn="0" w:firstRowLastColumn="0" w:lastRowFirstColumn="0" w:lastRowLastColumn="0"/>
              <w:rPr>
                <w:sz w:val="18"/>
              </w:rPr>
            </w:pPr>
            <w:r>
              <w:rPr>
                <w:sz w:val="18"/>
              </w:rPr>
              <w:t>2017–</w:t>
            </w:r>
            <w:r w:rsidR="0002160B" w:rsidRPr="00BA0FBF">
              <w:rPr>
                <w:sz w:val="18"/>
              </w:rPr>
              <w:t>18</w:t>
            </w:r>
          </w:p>
        </w:tc>
        <w:tc>
          <w:tcPr>
            <w:tcW w:w="370" w:type="pct"/>
          </w:tcPr>
          <w:p w:rsidR="0002160B" w:rsidRPr="00BA0FBF" w:rsidRDefault="0002160B" w:rsidP="000B1326">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2018</w:t>
            </w:r>
            <w:r w:rsidR="000B1326">
              <w:rPr>
                <w:sz w:val="18"/>
              </w:rPr>
              <w:t>–</w:t>
            </w:r>
            <w:r w:rsidRPr="00BA0FBF">
              <w:rPr>
                <w:sz w:val="18"/>
              </w:rPr>
              <w:t>19</w:t>
            </w:r>
          </w:p>
        </w:tc>
        <w:tc>
          <w:tcPr>
            <w:tcW w:w="370" w:type="pct"/>
          </w:tcPr>
          <w:p w:rsidR="0002160B" w:rsidRPr="00BA0FBF" w:rsidRDefault="0002160B" w:rsidP="000B1326">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2019</w:t>
            </w:r>
            <w:r w:rsidR="000B1326">
              <w:rPr>
                <w:sz w:val="18"/>
              </w:rPr>
              <w:t>–</w:t>
            </w:r>
            <w:r w:rsidRPr="00BA0FBF">
              <w:rPr>
                <w:sz w:val="18"/>
              </w:rPr>
              <w:t>20</w:t>
            </w:r>
          </w:p>
        </w:tc>
        <w:tc>
          <w:tcPr>
            <w:tcW w:w="370" w:type="pct"/>
          </w:tcPr>
          <w:p w:rsidR="0002160B" w:rsidRPr="00BA0FBF" w:rsidRDefault="0002160B" w:rsidP="000B1326">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2020</w:t>
            </w:r>
            <w:r w:rsidR="000B1326">
              <w:rPr>
                <w:sz w:val="18"/>
              </w:rPr>
              <w:t>–</w:t>
            </w:r>
            <w:r w:rsidRPr="00BA0FBF">
              <w:rPr>
                <w:sz w:val="18"/>
              </w:rPr>
              <w:t>21</w:t>
            </w:r>
          </w:p>
        </w:tc>
        <w:tc>
          <w:tcPr>
            <w:tcW w:w="370" w:type="pct"/>
          </w:tcPr>
          <w:p w:rsidR="0002160B" w:rsidRPr="00BA0FBF" w:rsidRDefault="0002160B" w:rsidP="000B1326">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2021</w:t>
            </w:r>
            <w:r w:rsidR="000B1326">
              <w:rPr>
                <w:sz w:val="18"/>
              </w:rPr>
              <w:t>–</w:t>
            </w:r>
            <w:r w:rsidRPr="00BA0FBF">
              <w:rPr>
                <w:sz w:val="18"/>
              </w:rPr>
              <w:t>22</w:t>
            </w:r>
          </w:p>
        </w:tc>
        <w:tc>
          <w:tcPr>
            <w:tcW w:w="370" w:type="pct"/>
          </w:tcPr>
          <w:p w:rsidR="0002160B" w:rsidRPr="00BA0FBF" w:rsidRDefault="0002160B" w:rsidP="000B1326">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2022</w:t>
            </w:r>
            <w:r w:rsidR="000B1326">
              <w:rPr>
                <w:sz w:val="18"/>
              </w:rPr>
              <w:t>–</w:t>
            </w:r>
            <w:r w:rsidRPr="00BA0FBF">
              <w:rPr>
                <w:sz w:val="18"/>
              </w:rPr>
              <w:t>23</w:t>
            </w:r>
          </w:p>
        </w:tc>
        <w:tc>
          <w:tcPr>
            <w:tcW w:w="370" w:type="pct"/>
          </w:tcPr>
          <w:p w:rsidR="0002160B" w:rsidRPr="00BA0FBF" w:rsidRDefault="0002160B" w:rsidP="000B1326">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2023</w:t>
            </w:r>
            <w:r w:rsidR="000B1326">
              <w:rPr>
                <w:sz w:val="18"/>
              </w:rPr>
              <w:t>–</w:t>
            </w:r>
            <w:r w:rsidRPr="00BA0FBF">
              <w:rPr>
                <w:sz w:val="18"/>
              </w:rPr>
              <w:t>24</w:t>
            </w:r>
          </w:p>
        </w:tc>
        <w:tc>
          <w:tcPr>
            <w:tcW w:w="370" w:type="pct"/>
          </w:tcPr>
          <w:p w:rsidR="0002160B" w:rsidRPr="00BA0FBF" w:rsidRDefault="0002160B" w:rsidP="000B1326">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2024</w:t>
            </w:r>
            <w:r w:rsidR="000B1326">
              <w:rPr>
                <w:sz w:val="18"/>
              </w:rPr>
              <w:t>–</w:t>
            </w:r>
            <w:r w:rsidRPr="00BA0FBF">
              <w:rPr>
                <w:sz w:val="18"/>
              </w:rPr>
              <w:t>25</w:t>
            </w:r>
          </w:p>
        </w:tc>
        <w:tc>
          <w:tcPr>
            <w:tcW w:w="370" w:type="pct"/>
          </w:tcPr>
          <w:p w:rsidR="0002160B" w:rsidRPr="00BA0FBF" w:rsidRDefault="0002160B" w:rsidP="000B1326">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2025</w:t>
            </w:r>
            <w:r w:rsidR="000B1326">
              <w:rPr>
                <w:sz w:val="18"/>
              </w:rPr>
              <w:t>–</w:t>
            </w:r>
            <w:r w:rsidRPr="00BA0FBF">
              <w:rPr>
                <w:sz w:val="18"/>
              </w:rPr>
              <w:t>26</w:t>
            </w:r>
          </w:p>
        </w:tc>
        <w:tc>
          <w:tcPr>
            <w:tcW w:w="368" w:type="pct"/>
          </w:tcPr>
          <w:p w:rsidR="0002160B" w:rsidRPr="00BA0FBF" w:rsidRDefault="0002160B" w:rsidP="00F95381">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Medium Term</w:t>
            </w:r>
          </w:p>
        </w:tc>
      </w:tr>
      <w:tr w:rsidR="009760C0" w:rsidRPr="00BA0FBF" w:rsidTr="0002160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01" w:type="pct"/>
          </w:tcPr>
          <w:p w:rsidR="009760C0" w:rsidRPr="00BA0FBF" w:rsidRDefault="0045532B" w:rsidP="00F95381">
            <w:pPr>
              <w:pStyle w:val="TableText"/>
              <w:rPr>
                <w:b/>
                <w:sz w:val="18"/>
              </w:rPr>
            </w:pPr>
            <w:r>
              <w:rPr>
                <w:b/>
                <w:sz w:val="18"/>
              </w:rPr>
              <w:t xml:space="preserve">Additional </w:t>
            </w:r>
            <w:r w:rsidR="009760C0" w:rsidRPr="00BA0FBF">
              <w:rPr>
                <w:b/>
                <w:sz w:val="18"/>
              </w:rPr>
              <w:t>GST revenue</w:t>
            </w:r>
          </w:p>
        </w:tc>
        <w:tc>
          <w:tcPr>
            <w:tcW w:w="370" w:type="pct"/>
            <w:vAlign w:val="top"/>
          </w:tcPr>
          <w:p w:rsidR="009760C0" w:rsidRPr="009760C0" w:rsidRDefault="009760C0" w:rsidP="009760C0">
            <w:pPr>
              <w:jc w:val="right"/>
              <w:cnfStyle w:val="000000100000" w:firstRow="0" w:lastRow="0" w:firstColumn="0" w:lastColumn="0" w:oddVBand="0" w:evenVBand="0" w:oddHBand="1" w:evenHBand="0" w:firstRowFirstColumn="0" w:firstRowLastColumn="0" w:lastRowFirstColumn="0" w:lastRowLastColumn="0"/>
              <w:rPr>
                <w:sz w:val="18"/>
              </w:rPr>
            </w:pPr>
            <w:r w:rsidRPr="009760C0">
              <w:rPr>
                <w:sz w:val="18"/>
              </w:rPr>
              <w:t>65.8</w:t>
            </w:r>
          </w:p>
        </w:tc>
        <w:tc>
          <w:tcPr>
            <w:tcW w:w="370" w:type="pct"/>
            <w:vAlign w:val="top"/>
          </w:tcPr>
          <w:p w:rsidR="009760C0" w:rsidRPr="009760C0" w:rsidRDefault="009760C0" w:rsidP="009760C0">
            <w:pPr>
              <w:jc w:val="right"/>
              <w:cnfStyle w:val="000000100000" w:firstRow="0" w:lastRow="0" w:firstColumn="0" w:lastColumn="0" w:oddVBand="0" w:evenVBand="0" w:oddHBand="1" w:evenHBand="0" w:firstRowFirstColumn="0" w:firstRowLastColumn="0" w:lastRowFirstColumn="0" w:lastRowLastColumn="0"/>
              <w:rPr>
                <w:sz w:val="18"/>
              </w:rPr>
            </w:pPr>
            <w:r w:rsidRPr="009760C0">
              <w:rPr>
                <w:sz w:val="18"/>
              </w:rPr>
              <w:t>69.9</w:t>
            </w:r>
          </w:p>
        </w:tc>
        <w:tc>
          <w:tcPr>
            <w:tcW w:w="370" w:type="pct"/>
            <w:vAlign w:val="top"/>
          </w:tcPr>
          <w:p w:rsidR="009760C0" w:rsidRPr="009760C0" w:rsidRDefault="009760C0" w:rsidP="009760C0">
            <w:pPr>
              <w:jc w:val="right"/>
              <w:cnfStyle w:val="000000100000" w:firstRow="0" w:lastRow="0" w:firstColumn="0" w:lastColumn="0" w:oddVBand="0" w:evenVBand="0" w:oddHBand="1" w:evenHBand="0" w:firstRowFirstColumn="0" w:firstRowLastColumn="0" w:lastRowFirstColumn="0" w:lastRowLastColumn="0"/>
              <w:rPr>
                <w:sz w:val="18"/>
              </w:rPr>
            </w:pPr>
            <w:r w:rsidRPr="009760C0">
              <w:rPr>
                <w:sz w:val="18"/>
              </w:rPr>
              <w:t>73.7</w:t>
            </w:r>
          </w:p>
        </w:tc>
        <w:tc>
          <w:tcPr>
            <w:tcW w:w="370" w:type="pct"/>
            <w:vAlign w:val="top"/>
          </w:tcPr>
          <w:p w:rsidR="009760C0" w:rsidRPr="009760C0" w:rsidRDefault="009760C0" w:rsidP="009760C0">
            <w:pPr>
              <w:jc w:val="right"/>
              <w:cnfStyle w:val="000000100000" w:firstRow="0" w:lastRow="0" w:firstColumn="0" w:lastColumn="0" w:oddVBand="0" w:evenVBand="0" w:oddHBand="1" w:evenHBand="0" w:firstRowFirstColumn="0" w:firstRowLastColumn="0" w:lastRowFirstColumn="0" w:lastRowLastColumn="0"/>
              <w:rPr>
                <w:sz w:val="18"/>
              </w:rPr>
            </w:pPr>
            <w:r w:rsidRPr="009760C0">
              <w:rPr>
                <w:sz w:val="18"/>
              </w:rPr>
              <w:t>78.3</w:t>
            </w:r>
          </w:p>
        </w:tc>
        <w:tc>
          <w:tcPr>
            <w:tcW w:w="370" w:type="pct"/>
            <w:vAlign w:val="top"/>
          </w:tcPr>
          <w:p w:rsidR="009760C0" w:rsidRPr="009760C0" w:rsidRDefault="009760C0" w:rsidP="009760C0">
            <w:pPr>
              <w:jc w:val="right"/>
              <w:cnfStyle w:val="000000100000" w:firstRow="0" w:lastRow="0" w:firstColumn="0" w:lastColumn="0" w:oddVBand="0" w:evenVBand="0" w:oddHBand="1" w:evenHBand="0" w:firstRowFirstColumn="0" w:firstRowLastColumn="0" w:lastRowFirstColumn="0" w:lastRowLastColumn="0"/>
              <w:rPr>
                <w:sz w:val="18"/>
              </w:rPr>
            </w:pPr>
            <w:r w:rsidRPr="009760C0">
              <w:rPr>
                <w:sz w:val="18"/>
              </w:rPr>
              <w:t>83.3</w:t>
            </w:r>
          </w:p>
        </w:tc>
        <w:tc>
          <w:tcPr>
            <w:tcW w:w="370" w:type="pct"/>
            <w:vAlign w:val="top"/>
          </w:tcPr>
          <w:p w:rsidR="009760C0" w:rsidRPr="009760C0" w:rsidRDefault="009760C0" w:rsidP="009760C0">
            <w:pPr>
              <w:jc w:val="right"/>
              <w:cnfStyle w:val="000000100000" w:firstRow="0" w:lastRow="0" w:firstColumn="0" w:lastColumn="0" w:oddVBand="0" w:evenVBand="0" w:oddHBand="1" w:evenHBand="0" w:firstRowFirstColumn="0" w:firstRowLastColumn="0" w:lastRowFirstColumn="0" w:lastRowLastColumn="0"/>
              <w:rPr>
                <w:sz w:val="18"/>
              </w:rPr>
            </w:pPr>
            <w:r w:rsidRPr="009760C0">
              <w:rPr>
                <w:sz w:val="18"/>
              </w:rPr>
              <w:t>88.6</w:t>
            </w:r>
          </w:p>
        </w:tc>
        <w:tc>
          <w:tcPr>
            <w:tcW w:w="370" w:type="pct"/>
            <w:vAlign w:val="top"/>
          </w:tcPr>
          <w:p w:rsidR="009760C0" w:rsidRPr="009760C0" w:rsidRDefault="009760C0" w:rsidP="009760C0">
            <w:pPr>
              <w:jc w:val="right"/>
              <w:cnfStyle w:val="000000100000" w:firstRow="0" w:lastRow="0" w:firstColumn="0" w:lastColumn="0" w:oddVBand="0" w:evenVBand="0" w:oddHBand="1" w:evenHBand="0" w:firstRowFirstColumn="0" w:firstRowLastColumn="0" w:lastRowFirstColumn="0" w:lastRowLastColumn="0"/>
              <w:rPr>
                <w:sz w:val="18"/>
              </w:rPr>
            </w:pPr>
            <w:r w:rsidRPr="009760C0">
              <w:rPr>
                <w:sz w:val="18"/>
              </w:rPr>
              <w:t>94.1</w:t>
            </w:r>
          </w:p>
        </w:tc>
        <w:tc>
          <w:tcPr>
            <w:tcW w:w="370" w:type="pct"/>
            <w:vAlign w:val="top"/>
          </w:tcPr>
          <w:p w:rsidR="009760C0" w:rsidRPr="009760C0" w:rsidRDefault="009760C0" w:rsidP="009760C0">
            <w:pPr>
              <w:jc w:val="right"/>
              <w:cnfStyle w:val="000000100000" w:firstRow="0" w:lastRow="0" w:firstColumn="0" w:lastColumn="0" w:oddVBand="0" w:evenVBand="0" w:oddHBand="1" w:evenHBand="0" w:firstRowFirstColumn="0" w:firstRowLastColumn="0" w:lastRowFirstColumn="0" w:lastRowLastColumn="0"/>
              <w:rPr>
                <w:sz w:val="18"/>
              </w:rPr>
            </w:pPr>
            <w:r w:rsidRPr="009760C0">
              <w:rPr>
                <w:sz w:val="18"/>
              </w:rPr>
              <w:t>99.9</w:t>
            </w:r>
          </w:p>
        </w:tc>
        <w:tc>
          <w:tcPr>
            <w:tcW w:w="370" w:type="pct"/>
            <w:vAlign w:val="top"/>
          </w:tcPr>
          <w:p w:rsidR="009760C0" w:rsidRPr="009760C0" w:rsidRDefault="009760C0" w:rsidP="009760C0">
            <w:pPr>
              <w:jc w:val="right"/>
              <w:cnfStyle w:val="000000100000" w:firstRow="0" w:lastRow="0" w:firstColumn="0" w:lastColumn="0" w:oddVBand="0" w:evenVBand="0" w:oddHBand="1" w:evenHBand="0" w:firstRowFirstColumn="0" w:firstRowLastColumn="0" w:lastRowFirstColumn="0" w:lastRowLastColumn="0"/>
              <w:rPr>
                <w:sz w:val="18"/>
              </w:rPr>
            </w:pPr>
            <w:r w:rsidRPr="009760C0">
              <w:rPr>
                <w:sz w:val="18"/>
              </w:rPr>
              <w:t>106.1</w:t>
            </w:r>
          </w:p>
        </w:tc>
        <w:tc>
          <w:tcPr>
            <w:tcW w:w="368" w:type="pct"/>
            <w:vAlign w:val="top"/>
          </w:tcPr>
          <w:p w:rsidR="009760C0" w:rsidRPr="009760C0" w:rsidRDefault="009760C0" w:rsidP="008F232F">
            <w:pPr>
              <w:jc w:val="right"/>
              <w:cnfStyle w:val="000000100000" w:firstRow="0" w:lastRow="0" w:firstColumn="0" w:lastColumn="0" w:oddVBand="0" w:evenVBand="0" w:oddHBand="1" w:evenHBand="0" w:firstRowFirstColumn="0" w:firstRowLastColumn="0" w:lastRowFirstColumn="0" w:lastRowLastColumn="0"/>
              <w:rPr>
                <w:sz w:val="18"/>
              </w:rPr>
            </w:pPr>
            <w:r w:rsidRPr="009760C0">
              <w:rPr>
                <w:sz w:val="18"/>
              </w:rPr>
              <w:t>759.7</w:t>
            </w:r>
          </w:p>
        </w:tc>
      </w:tr>
      <w:tr w:rsidR="009760C0" w:rsidRPr="00BA0FBF" w:rsidTr="0002160B">
        <w:trPr>
          <w:cantSplit/>
        </w:trPr>
        <w:tc>
          <w:tcPr>
            <w:cnfStyle w:val="001000000000" w:firstRow="0" w:lastRow="0" w:firstColumn="1" w:lastColumn="0" w:oddVBand="0" w:evenVBand="0" w:oddHBand="0" w:evenHBand="0" w:firstRowFirstColumn="0" w:firstRowLastColumn="0" w:lastRowFirstColumn="0" w:lastRowLastColumn="0"/>
            <w:tcW w:w="1301" w:type="pct"/>
          </w:tcPr>
          <w:p w:rsidR="009760C0" w:rsidRPr="00BA0FBF" w:rsidRDefault="009760C0" w:rsidP="00F95381">
            <w:pPr>
              <w:pStyle w:val="TableText"/>
              <w:rPr>
                <w:sz w:val="18"/>
              </w:rPr>
            </w:pPr>
            <w:r w:rsidRPr="00BA0FBF">
              <w:rPr>
                <w:b/>
                <w:sz w:val="18"/>
              </w:rPr>
              <w:t>Compensation: Technical Assumption</w:t>
            </w:r>
          </w:p>
        </w:tc>
        <w:tc>
          <w:tcPr>
            <w:tcW w:w="370" w:type="pct"/>
            <w:vAlign w:val="top"/>
          </w:tcPr>
          <w:p w:rsidR="009760C0" w:rsidRPr="009760C0" w:rsidRDefault="009760C0" w:rsidP="009760C0">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-16.5</w:t>
            </w:r>
          </w:p>
        </w:tc>
        <w:tc>
          <w:tcPr>
            <w:tcW w:w="370" w:type="pct"/>
            <w:vAlign w:val="top"/>
          </w:tcPr>
          <w:p w:rsidR="009760C0" w:rsidRPr="009760C0" w:rsidRDefault="009760C0" w:rsidP="009760C0">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-17.5</w:t>
            </w:r>
          </w:p>
        </w:tc>
        <w:tc>
          <w:tcPr>
            <w:tcW w:w="370" w:type="pct"/>
            <w:vAlign w:val="top"/>
          </w:tcPr>
          <w:p w:rsidR="009760C0" w:rsidRPr="009760C0" w:rsidRDefault="009760C0" w:rsidP="009760C0">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-18.5</w:t>
            </w:r>
          </w:p>
        </w:tc>
        <w:tc>
          <w:tcPr>
            <w:tcW w:w="370" w:type="pct"/>
            <w:vAlign w:val="top"/>
          </w:tcPr>
          <w:p w:rsidR="009760C0" w:rsidRPr="009760C0" w:rsidRDefault="009760C0" w:rsidP="009760C0">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-19.6</w:t>
            </w:r>
          </w:p>
        </w:tc>
        <w:tc>
          <w:tcPr>
            <w:tcW w:w="370" w:type="pct"/>
            <w:vAlign w:val="top"/>
          </w:tcPr>
          <w:p w:rsidR="009760C0" w:rsidRPr="009760C0" w:rsidRDefault="009760C0" w:rsidP="009760C0">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-20.9</w:t>
            </w:r>
          </w:p>
        </w:tc>
        <w:tc>
          <w:tcPr>
            <w:tcW w:w="370" w:type="pct"/>
            <w:vAlign w:val="top"/>
          </w:tcPr>
          <w:p w:rsidR="009760C0" w:rsidRPr="009760C0" w:rsidRDefault="009760C0" w:rsidP="009760C0">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-22.2</w:t>
            </w:r>
          </w:p>
        </w:tc>
        <w:tc>
          <w:tcPr>
            <w:tcW w:w="370" w:type="pct"/>
            <w:vAlign w:val="top"/>
          </w:tcPr>
          <w:p w:rsidR="009760C0" w:rsidRPr="009760C0" w:rsidRDefault="009760C0" w:rsidP="009760C0">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-23.6</w:t>
            </w:r>
          </w:p>
        </w:tc>
        <w:tc>
          <w:tcPr>
            <w:tcW w:w="370" w:type="pct"/>
            <w:vAlign w:val="top"/>
          </w:tcPr>
          <w:p w:rsidR="009760C0" w:rsidRPr="009760C0" w:rsidRDefault="009760C0" w:rsidP="009760C0">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-25.0</w:t>
            </w:r>
          </w:p>
        </w:tc>
        <w:tc>
          <w:tcPr>
            <w:tcW w:w="370" w:type="pct"/>
            <w:vAlign w:val="top"/>
          </w:tcPr>
          <w:p w:rsidR="009760C0" w:rsidRPr="009760C0" w:rsidRDefault="009760C0" w:rsidP="009760C0">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-26.6</w:t>
            </w:r>
          </w:p>
        </w:tc>
        <w:tc>
          <w:tcPr>
            <w:tcW w:w="368" w:type="pct"/>
            <w:vAlign w:val="top"/>
          </w:tcPr>
          <w:p w:rsidR="009760C0" w:rsidRPr="009760C0" w:rsidRDefault="009760C0" w:rsidP="008F232F">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-190.4</w:t>
            </w:r>
          </w:p>
        </w:tc>
      </w:tr>
      <w:tr w:rsidR="009760C0" w:rsidRPr="00BA0FBF" w:rsidTr="0002160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01" w:type="pct"/>
          </w:tcPr>
          <w:p w:rsidR="009760C0" w:rsidRPr="00BA0FBF" w:rsidRDefault="009760C0" w:rsidP="00591E0E">
            <w:pPr>
              <w:pStyle w:val="TableText"/>
              <w:rPr>
                <w:b/>
                <w:sz w:val="18"/>
              </w:rPr>
            </w:pPr>
            <w:r w:rsidRPr="00BA0FBF">
              <w:rPr>
                <w:b/>
                <w:sz w:val="18"/>
              </w:rPr>
              <w:t>Net</w:t>
            </w:r>
            <w:r w:rsidR="0045532B">
              <w:rPr>
                <w:b/>
                <w:sz w:val="18"/>
              </w:rPr>
              <w:t xml:space="preserve"> additional</w:t>
            </w:r>
            <w:r w:rsidRPr="00BA0FBF">
              <w:rPr>
                <w:b/>
                <w:sz w:val="18"/>
              </w:rPr>
              <w:t xml:space="preserve"> GST revenue: Scenario 5</w:t>
            </w:r>
          </w:p>
        </w:tc>
        <w:tc>
          <w:tcPr>
            <w:tcW w:w="370" w:type="pct"/>
            <w:vAlign w:val="top"/>
          </w:tcPr>
          <w:p w:rsidR="009760C0" w:rsidRPr="009760C0" w:rsidRDefault="009760C0" w:rsidP="009760C0">
            <w:pPr>
              <w:jc w:val="right"/>
              <w:cnfStyle w:val="000000100000" w:firstRow="0" w:lastRow="0" w:firstColumn="0" w:lastColumn="0" w:oddVBand="0" w:evenVBand="0" w:oddHBand="1" w:evenHBand="0" w:firstRowFirstColumn="0" w:firstRowLastColumn="0" w:lastRowFirstColumn="0" w:lastRowLastColumn="0"/>
              <w:rPr>
                <w:b/>
                <w:sz w:val="18"/>
              </w:rPr>
            </w:pPr>
            <w:r w:rsidRPr="009760C0">
              <w:rPr>
                <w:b/>
                <w:sz w:val="18"/>
              </w:rPr>
              <w:t>49.3</w:t>
            </w:r>
          </w:p>
        </w:tc>
        <w:tc>
          <w:tcPr>
            <w:tcW w:w="370" w:type="pct"/>
            <w:vAlign w:val="top"/>
          </w:tcPr>
          <w:p w:rsidR="009760C0" w:rsidRPr="009760C0" w:rsidRDefault="009760C0" w:rsidP="009760C0">
            <w:pPr>
              <w:jc w:val="right"/>
              <w:cnfStyle w:val="000000100000" w:firstRow="0" w:lastRow="0" w:firstColumn="0" w:lastColumn="0" w:oddVBand="0" w:evenVBand="0" w:oddHBand="1" w:evenHBand="0" w:firstRowFirstColumn="0" w:firstRowLastColumn="0" w:lastRowFirstColumn="0" w:lastRowLastColumn="0"/>
              <w:rPr>
                <w:b/>
                <w:sz w:val="18"/>
              </w:rPr>
            </w:pPr>
            <w:r w:rsidRPr="009760C0">
              <w:rPr>
                <w:b/>
                <w:sz w:val="18"/>
              </w:rPr>
              <w:t>52.4</w:t>
            </w:r>
          </w:p>
        </w:tc>
        <w:tc>
          <w:tcPr>
            <w:tcW w:w="370" w:type="pct"/>
            <w:vAlign w:val="top"/>
          </w:tcPr>
          <w:p w:rsidR="009760C0" w:rsidRPr="009760C0" w:rsidRDefault="009760C0" w:rsidP="009760C0">
            <w:pPr>
              <w:jc w:val="right"/>
              <w:cnfStyle w:val="000000100000" w:firstRow="0" w:lastRow="0" w:firstColumn="0" w:lastColumn="0" w:oddVBand="0" w:evenVBand="0" w:oddHBand="1" w:evenHBand="0" w:firstRowFirstColumn="0" w:firstRowLastColumn="0" w:lastRowFirstColumn="0" w:lastRowLastColumn="0"/>
              <w:rPr>
                <w:b/>
                <w:sz w:val="18"/>
              </w:rPr>
            </w:pPr>
            <w:r w:rsidRPr="009760C0">
              <w:rPr>
                <w:b/>
                <w:sz w:val="18"/>
              </w:rPr>
              <w:t>55.2</w:t>
            </w:r>
          </w:p>
        </w:tc>
        <w:tc>
          <w:tcPr>
            <w:tcW w:w="370" w:type="pct"/>
            <w:vAlign w:val="top"/>
          </w:tcPr>
          <w:p w:rsidR="009760C0" w:rsidRPr="009760C0" w:rsidRDefault="009760C0" w:rsidP="009760C0">
            <w:pPr>
              <w:jc w:val="right"/>
              <w:cnfStyle w:val="000000100000" w:firstRow="0" w:lastRow="0" w:firstColumn="0" w:lastColumn="0" w:oddVBand="0" w:evenVBand="0" w:oddHBand="1" w:evenHBand="0" w:firstRowFirstColumn="0" w:firstRowLastColumn="0" w:lastRowFirstColumn="0" w:lastRowLastColumn="0"/>
              <w:rPr>
                <w:b/>
                <w:sz w:val="18"/>
              </w:rPr>
            </w:pPr>
            <w:r w:rsidRPr="009760C0">
              <w:rPr>
                <w:b/>
                <w:sz w:val="18"/>
              </w:rPr>
              <w:t>58.7</w:t>
            </w:r>
          </w:p>
        </w:tc>
        <w:tc>
          <w:tcPr>
            <w:tcW w:w="370" w:type="pct"/>
            <w:vAlign w:val="top"/>
          </w:tcPr>
          <w:p w:rsidR="009760C0" w:rsidRPr="009760C0" w:rsidRDefault="009760C0" w:rsidP="009760C0">
            <w:pPr>
              <w:jc w:val="right"/>
              <w:cnfStyle w:val="000000100000" w:firstRow="0" w:lastRow="0" w:firstColumn="0" w:lastColumn="0" w:oddVBand="0" w:evenVBand="0" w:oddHBand="1" w:evenHBand="0" w:firstRowFirstColumn="0" w:firstRowLastColumn="0" w:lastRowFirstColumn="0" w:lastRowLastColumn="0"/>
              <w:rPr>
                <w:b/>
                <w:sz w:val="18"/>
              </w:rPr>
            </w:pPr>
            <w:r w:rsidRPr="009760C0">
              <w:rPr>
                <w:b/>
                <w:sz w:val="18"/>
              </w:rPr>
              <w:t>62.4</w:t>
            </w:r>
          </w:p>
        </w:tc>
        <w:tc>
          <w:tcPr>
            <w:tcW w:w="370" w:type="pct"/>
            <w:vAlign w:val="top"/>
          </w:tcPr>
          <w:p w:rsidR="009760C0" w:rsidRPr="009760C0" w:rsidRDefault="009760C0" w:rsidP="009760C0">
            <w:pPr>
              <w:jc w:val="right"/>
              <w:cnfStyle w:val="000000100000" w:firstRow="0" w:lastRow="0" w:firstColumn="0" w:lastColumn="0" w:oddVBand="0" w:evenVBand="0" w:oddHBand="1" w:evenHBand="0" w:firstRowFirstColumn="0" w:firstRowLastColumn="0" w:lastRowFirstColumn="0" w:lastRowLastColumn="0"/>
              <w:rPr>
                <w:b/>
                <w:sz w:val="18"/>
              </w:rPr>
            </w:pPr>
            <w:r w:rsidRPr="009760C0">
              <w:rPr>
                <w:b/>
                <w:sz w:val="18"/>
              </w:rPr>
              <w:t>66.4</w:t>
            </w:r>
          </w:p>
        </w:tc>
        <w:tc>
          <w:tcPr>
            <w:tcW w:w="370" w:type="pct"/>
            <w:vAlign w:val="top"/>
          </w:tcPr>
          <w:p w:rsidR="009760C0" w:rsidRPr="009760C0" w:rsidRDefault="009760C0" w:rsidP="009760C0">
            <w:pPr>
              <w:jc w:val="right"/>
              <w:cnfStyle w:val="000000100000" w:firstRow="0" w:lastRow="0" w:firstColumn="0" w:lastColumn="0" w:oddVBand="0" w:evenVBand="0" w:oddHBand="1" w:evenHBand="0" w:firstRowFirstColumn="0" w:firstRowLastColumn="0" w:lastRowFirstColumn="0" w:lastRowLastColumn="0"/>
              <w:rPr>
                <w:b/>
                <w:sz w:val="18"/>
              </w:rPr>
            </w:pPr>
            <w:r w:rsidRPr="009760C0">
              <w:rPr>
                <w:b/>
                <w:sz w:val="18"/>
              </w:rPr>
              <w:t>70.5</w:t>
            </w:r>
          </w:p>
        </w:tc>
        <w:tc>
          <w:tcPr>
            <w:tcW w:w="370" w:type="pct"/>
            <w:vAlign w:val="top"/>
          </w:tcPr>
          <w:p w:rsidR="009760C0" w:rsidRPr="009760C0" w:rsidRDefault="009760C0" w:rsidP="009760C0">
            <w:pPr>
              <w:jc w:val="right"/>
              <w:cnfStyle w:val="000000100000" w:firstRow="0" w:lastRow="0" w:firstColumn="0" w:lastColumn="0" w:oddVBand="0" w:evenVBand="0" w:oddHBand="1" w:evenHBand="0" w:firstRowFirstColumn="0" w:firstRowLastColumn="0" w:lastRowFirstColumn="0" w:lastRowLastColumn="0"/>
              <w:rPr>
                <w:b/>
                <w:sz w:val="18"/>
              </w:rPr>
            </w:pPr>
            <w:r w:rsidRPr="009760C0">
              <w:rPr>
                <w:b/>
                <w:sz w:val="18"/>
              </w:rPr>
              <w:t>74.9</w:t>
            </w:r>
          </w:p>
        </w:tc>
        <w:tc>
          <w:tcPr>
            <w:tcW w:w="370" w:type="pct"/>
            <w:vAlign w:val="top"/>
          </w:tcPr>
          <w:p w:rsidR="009760C0" w:rsidRPr="009760C0" w:rsidRDefault="009760C0" w:rsidP="009760C0">
            <w:pPr>
              <w:jc w:val="right"/>
              <w:cnfStyle w:val="000000100000" w:firstRow="0" w:lastRow="0" w:firstColumn="0" w:lastColumn="0" w:oddVBand="0" w:evenVBand="0" w:oddHBand="1" w:evenHBand="0" w:firstRowFirstColumn="0" w:firstRowLastColumn="0" w:lastRowFirstColumn="0" w:lastRowLastColumn="0"/>
              <w:rPr>
                <w:b/>
                <w:sz w:val="18"/>
              </w:rPr>
            </w:pPr>
            <w:r w:rsidRPr="009760C0">
              <w:rPr>
                <w:b/>
                <w:sz w:val="18"/>
              </w:rPr>
              <w:t>79.5</w:t>
            </w:r>
          </w:p>
        </w:tc>
        <w:tc>
          <w:tcPr>
            <w:tcW w:w="368" w:type="pct"/>
            <w:vAlign w:val="top"/>
          </w:tcPr>
          <w:p w:rsidR="009760C0" w:rsidRPr="009760C0" w:rsidRDefault="009760C0" w:rsidP="008F232F">
            <w:pPr>
              <w:jc w:val="right"/>
              <w:cnfStyle w:val="000000100000" w:firstRow="0" w:lastRow="0" w:firstColumn="0" w:lastColumn="0" w:oddVBand="0" w:evenVBand="0" w:oddHBand="1" w:evenHBand="0" w:firstRowFirstColumn="0" w:firstRowLastColumn="0" w:lastRowFirstColumn="0" w:lastRowLastColumn="0"/>
              <w:rPr>
                <w:b/>
                <w:sz w:val="18"/>
              </w:rPr>
            </w:pPr>
            <w:r w:rsidRPr="009760C0">
              <w:rPr>
                <w:b/>
                <w:sz w:val="18"/>
              </w:rPr>
              <w:t>569.3</w:t>
            </w:r>
          </w:p>
        </w:tc>
      </w:tr>
    </w:tbl>
    <w:p w:rsidR="00726BED" w:rsidRDefault="00726BED" w:rsidP="00726BED">
      <w:pPr>
        <w:pStyle w:val="Source"/>
      </w:pPr>
      <w:r>
        <w:t xml:space="preserve">Source: </w:t>
      </w:r>
      <w:r w:rsidR="004E109F">
        <w:t>PBO analysis based on data from the ABS and Treasury</w:t>
      </w:r>
    </w:p>
    <w:p w:rsidR="00591E0E" w:rsidRPr="00BA0FBF" w:rsidRDefault="00591E0E" w:rsidP="00726BED">
      <w:pPr>
        <w:pStyle w:val="Source"/>
        <w:rPr>
          <w:color w:val="2B3B5F" w:themeColor="text2"/>
          <w:spacing w:val="-4"/>
        </w:rPr>
      </w:pPr>
      <w:r w:rsidRPr="00BA0FBF">
        <w:br w:type="page"/>
      </w:r>
    </w:p>
    <w:p w:rsidR="00F95381" w:rsidRPr="00BA0FBF" w:rsidRDefault="00F95381" w:rsidP="00F95381">
      <w:pPr>
        <w:pStyle w:val="Caption"/>
        <w:rPr>
          <w:sz w:val="20"/>
        </w:rPr>
      </w:pPr>
      <w:r w:rsidRPr="00BA0FBF">
        <w:rPr>
          <w:sz w:val="20"/>
        </w:rPr>
        <w:t xml:space="preserve">Table </w:t>
      </w:r>
      <w:r w:rsidR="00591E0E" w:rsidRPr="00BA0FBF">
        <w:rPr>
          <w:sz w:val="20"/>
        </w:rPr>
        <w:t>C</w:t>
      </w:r>
      <w:r w:rsidRPr="00BA0FBF">
        <w:rPr>
          <w:sz w:val="20"/>
        </w:rPr>
        <w:t>–</w:t>
      </w:r>
      <w:r w:rsidR="00591E0E" w:rsidRPr="00BA0FBF">
        <w:rPr>
          <w:sz w:val="20"/>
        </w:rPr>
        <w:t>1</w:t>
      </w:r>
      <w:r w:rsidR="005867ED">
        <w:rPr>
          <w:sz w:val="20"/>
        </w:rPr>
        <w:t>0</w:t>
      </w:r>
      <w:r w:rsidRPr="00BA0FBF">
        <w:rPr>
          <w:sz w:val="20"/>
        </w:rPr>
        <w:t xml:space="preserve">: Composition of </w:t>
      </w:r>
      <w:r w:rsidR="00656D83">
        <w:rPr>
          <w:sz w:val="20"/>
        </w:rPr>
        <w:t>a</w:t>
      </w:r>
      <w:r w:rsidRPr="00BA0FBF">
        <w:rPr>
          <w:sz w:val="20"/>
        </w:rPr>
        <w:t>d</w:t>
      </w:r>
      <w:r w:rsidR="00591E0E" w:rsidRPr="00BA0FBF">
        <w:rPr>
          <w:sz w:val="20"/>
        </w:rPr>
        <w:t xml:space="preserve">ditional GST </w:t>
      </w:r>
      <w:r w:rsidR="00656D83">
        <w:rPr>
          <w:sz w:val="20"/>
        </w:rPr>
        <w:t>r</w:t>
      </w:r>
      <w:r w:rsidR="00591E0E" w:rsidRPr="00BA0FBF">
        <w:rPr>
          <w:sz w:val="20"/>
        </w:rPr>
        <w:t>evenue</w:t>
      </w:r>
      <w:r w:rsidR="00656D83">
        <w:rPr>
          <w:sz w:val="20"/>
        </w:rPr>
        <w:t>:</w:t>
      </w:r>
      <w:r w:rsidR="00591E0E" w:rsidRPr="00BA0FBF">
        <w:rPr>
          <w:sz w:val="20"/>
        </w:rPr>
        <w:t xml:space="preserve"> Scenario 5</w:t>
      </w:r>
      <w:r w:rsidR="00656D83">
        <w:rPr>
          <w:sz w:val="20"/>
        </w:rPr>
        <w:t xml:space="preserve"> (</w:t>
      </w:r>
      <w:r w:rsidRPr="00BA0FBF">
        <w:rPr>
          <w:sz w:val="20"/>
        </w:rPr>
        <w:t xml:space="preserve">15 per cent rate; </w:t>
      </w:r>
      <w:r w:rsidR="00656D83">
        <w:rPr>
          <w:sz w:val="20"/>
        </w:rPr>
        <w:t>r</w:t>
      </w:r>
      <w:r w:rsidR="009D3829" w:rsidRPr="00BA0FBF">
        <w:rPr>
          <w:sz w:val="20"/>
        </w:rPr>
        <w:t>emove concessions from GST base</w:t>
      </w:r>
      <w:r w:rsidR="00656D83">
        <w:rPr>
          <w:sz w:val="20"/>
        </w:rPr>
        <w:t>)</w:t>
      </w:r>
    </w:p>
    <w:tbl>
      <w:tblPr>
        <w:tblStyle w:val="TableGrid"/>
        <w:tblW w:w="4631" w:type="pct"/>
        <w:tblLook w:val="04A0" w:firstRow="1" w:lastRow="0" w:firstColumn="1" w:lastColumn="0" w:noHBand="0" w:noVBand="1"/>
      </w:tblPr>
      <w:tblGrid>
        <w:gridCol w:w="2999"/>
        <w:gridCol w:w="926"/>
        <w:gridCol w:w="927"/>
        <w:gridCol w:w="927"/>
        <w:gridCol w:w="927"/>
        <w:gridCol w:w="930"/>
        <w:gridCol w:w="927"/>
        <w:gridCol w:w="927"/>
        <w:gridCol w:w="930"/>
        <w:gridCol w:w="927"/>
        <w:gridCol w:w="920"/>
      </w:tblGrid>
      <w:tr w:rsidR="0002160B" w:rsidRPr="00BA0FBF" w:rsidTr="0095732C">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222" w:type="pct"/>
          </w:tcPr>
          <w:p w:rsidR="0002160B" w:rsidRPr="00BA0FBF" w:rsidRDefault="0002160B" w:rsidP="0045532B">
            <w:pPr>
              <w:pStyle w:val="TableHeading"/>
              <w:rPr>
                <w:sz w:val="18"/>
              </w:rPr>
            </w:pPr>
            <w:r w:rsidRPr="00BA0FBF">
              <w:rPr>
                <w:sz w:val="18"/>
              </w:rPr>
              <w:t>($b)</w:t>
            </w:r>
          </w:p>
        </w:tc>
        <w:tc>
          <w:tcPr>
            <w:tcW w:w="377" w:type="pct"/>
          </w:tcPr>
          <w:p w:rsidR="0002160B" w:rsidRPr="00BA0FBF" w:rsidRDefault="000B1326" w:rsidP="00F95381">
            <w:pPr>
              <w:pStyle w:val="TableHeadingCentred"/>
              <w:cnfStyle w:val="100000000000" w:firstRow="1" w:lastRow="0" w:firstColumn="0" w:lastColumn="0" w:oddVBand="0" w:evenVBand="0" w:oddHBand="0" w:evenHBand="0" w:firstRowFirstColumn="0" w:firstRowLastColumn="0" w:lastRowFirstColumn="0" w:lastRowLastColumn="0"/>
              <w:rPr>
                <w:sz w:val="18"/>
              </w:rPr>
            </w:pPr>
            <w:r>
              <w:rPr>
                <w:sz w:val="18"/>
              </w:rPr>
              <w:t>2017–</w:t>
            </w:r>
            <w:r w:rsidR="0002160B" w:rsidRPr="00BA0FBF">
              <w:rPr>
                <w:sz w:val="18"/>
              </w:rPr>
              <w:t>18</w:t>
            </w:r>
          </w:p>
        </w:tc>
        <w:tc>
          <w:tcPr>
            <w:tcW w:w="378" w:type="pct"/>
          </w:tcPr>
          <w:p w:rsidR="0002160B" w:rsidRPr="00BA0FBF" w:rsidRDefault="0002160B" w:rsidP="000B1326">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2018</w:t>
            </w:r>
            <w:r w:rsidR="000B1326">
              <w:rPr>
                <w:sz w:val="18"/>
              </w:rPr>
              <w:t>–</w:t>
            </w:r>
            <w:r w:rsidRPr="00BA0FBF">
              <w:rPr>
                <w:sz w:val="18"/>
              </w:rPr>
              <w:t>19</w:t>
            </w:r>
          </w:p>
        </w:tc>
        <w:tc>
          <w:tcPr>
            <w:tcW w:w="378" w:type="pct"/>
          </w:tcPr>
          <w:p w:rsidR="0002160B" w:rsidRPr="00BA0FBF" w:rsidRDefault="0002160B" w:rsidP="000B1326">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2019</w:t>
            </w:r>
            <w:r w:rsidR="000B1326">
              <w:rPr>
                <w:sz w:val="18"/>
              </w:rPr>
              <w:t>–</w:t>
            </w:r>
            <w:r w:rsidRPr="00BA0FBF">
              <w:rPr>
                <w:sz w:val="18"/>
              </w:rPr>
              <w:t>20</w:t>
            </w:r>
          </w:p>
        </w:tc>
        <w:tc>
          <w:tcPr>
            <w:tcW w:w="378" w:type="pct"/>
          </w:tcPr>
          <w:p w:rsidR="0002160B" w:rsidRPr="00BA0FBF" w:rsidRDefault="0002160B" w:rsidP="000B1326">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2020</w:t>
            </w:r>
            <w:r w:rsidR="000B1326">
              <w:rPr>
                <w:sz w:val="18"/>
              </w:rPr>
              <w:t>–</w:t>
            </w:r>
            <w:r w:rsidRPr="00BA0FBF">
              <w:rPr>
                <w:sz w:val="18"/>
              </w:rPr>
              <w:t>21</w:t>
            </w:r>
          </w:p>
        </w:tc>
        <w:tc>
          <w:tcPr>
            <w:tcW w:w="379" w:type="pct"/>
          </w:tcPr>
          <w:p w:rsidR="0002160B" w:rsidRPr="00BA0FBF" w:rsidRDefault="0002160B" w:rsidP="000B1326">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2021</w:t>
            </w:r>
            <w:r w:rsidR="000B1326">
              <w:rPr>
                <w:sz w:val="18"/>
              </w:rPr>
              <w:t>–</w:t>
            </w:r>
            <w:r w:rsidRPr="00BA0FBF">
              <w:rPr>
                <w:sz w:val="18"/>
              </w:rPr>
              <w:t>22</w:t>
            </w:r>
          </w:p>
        </w:tc>
        <w:tc>
          <w:tcPr>
            <w:tcW w:w="378" w:type="pct"/>
          </w:tcPr>
          <w:p w:rsidR="0002160B" w:rsidRPr="00BA0FBF" w:rsidRDefault="0002160B" w:rsidP="000B1326">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2022</w:t>
            </w:r>
            <w:r w:rsidR="000B1326">
              <w:rPr>
                <w:sz w:val="18"/>
              </w:rPr>
              <w:t>–</w:t>
            </w:r>
            <w:r w:rsidRPr="00BA0FBF">
              <w:rPr>
                <w:sz w:val="18"/>
              </w:rPr>
              <w:t>23</w:t>
            </w:r>
          </w:p>
        </w:tc>
        <w:tc>
          <w:tcPr>
            <w:tcW w:w="378" w:type="pct"/>
          </w:tcPr>
          <w:p w:rsidR="0002160B" w:rsidRPr="00BA0FBF" w:rsidRDefault="0002160B" w:rsidP="000B1326">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2023</w:t>
            </w:r>
            <w:r w:rsidR="000B1326">
              <w:rPr>
                <w:sz w:val="18"/>
              </w:rPr>
              <w:t>–</w:t>
            </w:r>
            <w:r w:rsidRPr="00BA0FBF">
              <w:rPr>
                <w:sz w:val="18"/>
              </w:rPr>
              <w:t>24</w:t>
            </w:r>
          </w:p>
        </w:tc>
        <w:tc>
          <w:tcPr>
            <w:tcW w:w="379" w:type="pct"/>
          </w:tcPr>
          <w:p w:rsidR="0002160B" w:rsidRPr="00BA0FBF" w:rsidRDefault="0002160B" w:rsidP="000B1326">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2024</w:t>
            </w:r>
            <w:r w:rsidR="000B1326">
              <w:rPr>
                <w:sz w:val="18"/>
              </w:rPr>
              <w:t>–</w:t>
            </w:r>
            <w:r w:rsidRPr="00BA0FBF">
              <w:rPr>
                <w:sz w:val="18"/>
              </w:rPr>
              <w:t>25</w:t>
            </w:r>
          </w:p>
        </w:tc>
        <w:tc>
          <w:tcPr>
            <w:tcW w:w="378" w:type="pct"/>
          </w:tcPr>
          <w:p w:rsidR="0002160B" w:rsidRPr="00BA0FBF" w:rsidRDefault="0002160B" w:rsidP="000B1326">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2025</w:t>
            </w:r>
            <w:r w:rsidR="000B1326">
              <w:rPr>
                <w:sz w:val="18"/>
              </w:rPr>
              <w:t>–</w:t>
            </w:r>
            <w:r w:rsidRPr="00BA0FBF">
              <w:rPr>
                <w:sz w:val="18"/>
              </w:rPr>
              <w:t>26</w:t>
            </w:r>
          </w:p>
        </w:tc>
        <w:tc>
          <w:tcPr>
            <w:tcW w:w="375" w:type="pct"/>
          </w:tcPr>
          <w:p w:rsidR="0002160B" w:rsidRPr="00BA0FBF" w:rsidRDefault="0002160B" w:rsidP="00F95381">
            <w:pPr>
              <w:pStyle w:val="TableHeadingCentred"/>
              <w:cnfStyle w:val="100000000000" w:firstRow="1" w:lastRow="0" w:firstColumn="0" w:lastColumn="0" w:oddVBand="0" w:evenVBand="0" w:oddHBand="0" w:evenHBand="0" w:firstRowFirstColumn="0" w:firstRowLastColumn="0" w:lastRowFirstColumn="0" w:lastRowLastColumn="0"/>
              <w:rPr>
                <w:sz w:val="18"/>
              </w:rPr>
            </w:pPr>
            <w:r w:rsidRPr="00BA0FBF">
              <w:rPr>
                <w:sz w:val="18"/>
              </w:rPr>
              <w:t>Medium Term</w:t>
            </w:r>
          </w:p>
        </w:tc>
      </w:tr>
      <w:tr w:rsidR="0095732C" w:rsidRPr="00BA0FBF" w:rsidTr="0095732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gridSpan w:val="11"/>
          </w:tcPr>
          <w:p w:rsidR="0095732C" w:rsidRPr="00BA0FBF" w:rsidRDefault="0095732C" w:rsidP="0095732C">
            <w:pPr>
              <w:rPr>
                <w:sz w:val="18"/>
              </w:rPr>
            </w:pPr>
            <w:r w:rsidRPr="00BA0FBF">
              <w:rPr>
                <w:b/>
                <w:sz w:val="18"/>
              </w:rPr>
              <w:t>Impact of Rate Change</w:t>
            </w:r>
          </w:p>
        </w:tc>
      </w:tr>
      <w:tr w:rsidR="009760C0" w:rsidRPr="00BA0FBF" w:rsidTr="0095732C">
        <w:trPr>
          <w:cantSplit/>
        </w:trPr>
        <w:tc>
          <w:tcPr>
            <w:cnfStyle w:val="001000000000" w:firstRow="0" w:lastRow="0" w:firstColumn="1" w:lastColumn="0" w:oddVBand="0" w:evenVBand="0" w:oddHBand="0" w:evenHBand="0" w:firstRowFirstColumn="0" w:firstRowLastColumn="0" w:lastRowFirstColumn="0" w:lastRowLastColumn="0"/>
            <w:tcW w:w="1222" w:type="pct"/>
          </w:tcPr>
          <w:p w:rsidR="009760C0" w:rsidRPr="00BA0FBF" w:rsidRDefault="009760C0" w:rsidP="00276E25">
            <w:pPr>
              <w:pStyle w:val="TableText"/>
              <w:rPr>
                <w:sz w:val="18"/>
              </w:rPr>
            </w:pPr>
            <w:r w:rsidRPr="00BA0FBF">
              <w:rPr>
                <w:sz w:val="18"/>
              </w:rPr>
              <w:t>Increase GST</w:t>
            </w:r>
            <w:r w:rsidR="00471585">
              <w:rPr>
                <w:sz w:val="18"/>
              </w:rPr>
              <w:t xml:space="preserve"> rate</w:t>
            </w:r>
            <w:r w:rsidRPr="00BA0FBF">
              <w:rPr>
                <w:sz w:val="18"/>
              </w:rPr>
              <w:t xml:space="preserve"> to 15 per cent</w:t>
            </w:r>
          </w:p>
        </w:tc>
        <w:tc>
          <w:tcPr>
            <w:tcW w:w="377" w:type="pct"/>
            <w:vAlign w:val="top"/>
          </w:tcPr>
          <w:p w:rsidR="009760C0" w:rsidRPr="009760C0" w:rsidRDefault="009760C0" w:rsidP="009760C0">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32.5</w:t>
            </w:r>
          </w:p>
        </w:tc>
        <w:tc>
          <w:tcPr>
            <w:tcW w:w="378" w:type="pct"/>
            <w:vAlign w:val="top"/>
          </w:tcPr>
          <w:p w:rsidR="009760C0" w:rsidRPr="009760C0" w:rsidRDefault="009760C0" w:rsidP="009760C0">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34.4</w:t>
            </w:r>
          </w:p>
        </w:tc>
        <w:tc>
          <w:tcPr>
            <w:tcW w:w="378" w:type="pct"/>
            <w:vAlign w:val="top"/>
          </w:tcPr>
          <w:p w:rsidR="009760C0" w:rsidRPr="009760C0" w:rsidRDefault="009760C0" w:rsidP="009760C0">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35.8</w:t>
            </w:r>
          </w:p>
        </w:tc>
        <w:tc>
          <w:tcPr>
            <w:tcW w:w="378" w:type="pct"/>
            <w:vAlign w:val="top"/>
          </w:tcPr>
          <w:p w:rsidR="009760C0" w:rsidRPr="009760C0" w:rsidRDefault="009760C0" w:rsidP="009760C0">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37.8</w:t>
            </w:r>
          </w:p>
        </w:tc>
        <w:tc>
          <w:tcPr>
            <w:tcW w:w="379" w:type="pct"/>
            <w:vAlign w:val="top"/>
          </w:tcPr>
          <w:p w:rsidR="009760C0" w:rsidRPr="009760C0" w:rsidRDefault="009760C0" w:rsidP="009760C0">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40.1</w:t>
            </w:r>
          </w:p>
        </w:tc>
        <w:tc>
          <w:tcPr>
            <w:tcW w:w="378" w:type="pct"/>
            <w:vAlign w:val="top"/>
          </w:tcPr>
          <w:p w:rsidR="009760C0" w:rsidRPr="009760C0" w:rsidRDefault="009760C0" w:rsidP="009760C0">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42.4</w:t>
            </w:r>
          </w:p>
        </w:tc>
        <w:tc>
          <w:tcPr>
            <w:tcW w:w="378" w:type="pct"/>
            <w:vAlign w:val="top"/>
          </w:tcPr>
          <w:p w:rsidR="009760C0" w:rsidRPr="009760C0" w:rsidRDefault="009760C0" w:rsidP="009760C0">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44.7</w:t>
            </w:r>
          </w:p>
        </w:tc>
        <w:tc>
          <w:tcPr>
            <w:tcW w:w="379" w:type="pct"/>
            <w:vAlign w:val="top"/>
          </w:tcPr>
          <w:p w:rsidR="009760C0" w:rsidRPr="009760C0" w:rsidRDefault="009760C0" w:rsidP="009760C0">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47.1</w:t>
            </w:r>
          </w:p>
        </w:tc>
        <w:tc>
          <w:tcPr>
            <w:tcW w:w="378" w:type="pct"/>
            <w:vAlign w:val="top"/>
          </w:tcPr>
          <w:p w:rsidR="009760C0" w:rsidRPr="009760C0" w:rsidRDefault="009760C0" w:rsidP="009760C0">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49.7</w:t>
            </w:r>
          </w:p>
        </w:tc>
        <w:tc>
          <w:tcPr>
            <w:tcW w:w="375" w:type="pct"/>
            <w:vAlign w:val="top"/>
          </w:tcPr>
          <w:p w:rsidR="009760C0" w:rsidRPr="009760C0" w:rsidRDefault="009760C0" w:rsidP="009760C0">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364.5</w:t>
            </w:r>
          </w:p>
        </w:tc>
      </w:tr>
      <w:tr w:rsidR="0095732C" w:rsidRPr="00BA0FBF" w:rsidTr="0095732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gridSpan w:val="11"/>
          </w:tcPr>
          <w:p w:rsidR="0095732C" w:rsidRPr="009760C0" w:rsidRDefault="0095732C" w:rsidP="0095732C">
            <w:pPr>
              <w:rPr>
                <w:sz w:val="18"/>
              </w:rPr>
            </w:pPr>
            <w:r w:rsidRPr="00BA0FBF">
              <w:rPr>
                <w:b/>
                <w:sz w:val="18"/>
              </w:rPr>
              <w:t>Impact of Base Change</w:t>
            </w:r>
          </w:p>
        </w:tc>
      </w:tr>
      <w:tr w:rsidR="009760C0" w:rsidRPr="00BA0FBF" w:rsidTr="0095732C">
        <w:trPr>
          <w:cantSplit/>
        </w:trPr>
        <w:tc>
          <w:tcPr>
            <w:cnfStyle w:val="001000000000" w:firstRow="0" w:lastRow="0" w:firstColumn="1" w:lastColumn="0" w:oddVBand="0" w:evenVBand="0" w:oddHBand="0" w:evenHBand="0" w:firstRowFirstColumn="0" w:firstRowLastColumn="0" w:lastRowFirstColumn="0" w:lastRowLastColumn="0"/>
            <w:tcW w:w="1222" w:type="pct"/>
          </w:tcPr>
          <w:p w:rsidR="009760C0" w:rsidRPr="00BA0FBF" w:rsidRDefault="009760C0" w:rsidP="000738D4">
            <w:pPr>
              <w:pStyle w:val="TableText"/>
              <w:rPr>
                <w:sz w:val="18"/>
              </w:rPr>
            </w:pPr>
            <w:r w:rsidRPr="00BA0FBF">
              <w:rPr>
                <w:sz w:val="18"/>
              </w:rPr>
              <w:t>Basic Food</w:t>
            </w:r>
          </w:p>
        </w:tc>
        <w:tc>
          <w:tcPr>
            <w:tcW w:w="377" w:type="pct"/>
            <w:vAlign w:val="top"/>
          </w:tcPr>
          <w:p w:rsidR="009760C0" w:rsidRPr="009760C0" w:rsidRDefault="009760C0" w:rsidP="009760C0">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7.2</w:t>
            </w:r>
          </w:p>
        </w:tc>
        <w:tc>
          <w:tcPr>
            <w:tcW w:w="378" w:type="pct"/>
            <w:vAlign w:val="top"/>
          </w:tcPr>
          <w:p w:rsidR="009760C0" w:rsidRPr="009760C0" w:rsidRDefault="009760C0" w:rsidP="009760C0">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7.5</w:t>
            </w:r>
          </w:p>
        </w:tc>
        <w:tc>
          <w:tcPr>
            <w:tcW w:w="378" w:type="pct"/>
            <w:vAlign w:val="top"/>
          </w:tcPr>
          <w:p w:rsidR="009760C0" w:rsidRPr="009760C0" w:rsidRDefault="009760C0" w:rsidP="009760C0">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7.8</w:t>
            </w:r>
          </w:p>
        </w:tc>
        <w:tc>
          <w:tcPr>
            <w:tcW w:w="378" w:type="pct"/>
            <w:vAlign w:val="top"/>
          </w:tcPr>
          <w:p w:rsidR="009760C0" w:rsidRPr="009760C0" w:rsidRDefault="009760C0" w:rsidP="009760C0">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8.2</w:t>
            </w:r>
          </w:p>
        </w:tc>
        <w:tc>
          <w:tcPr>
            <w:tcW w:w="379" w:type="pct"/>
            <w:vAlign w:val="top"/>
          </w:tcPr>
          <w:p w:rsidR="009760C0" w:rsidRPr="009760C0" w:rsidRDefault="009760C0" w:rsidP="009760C0">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8.5</w:t>
            </w:r>
          </w:p>
        </w:tc>
        <w:tc>
          <w:tcPr>
            <w:tcW w:w="378" w:type="pct"/>
            <w:vAlign w:val="top"/>
          </w:tcPr>
          <w:p w:rsidR="009760C0" w:rsidRPr="009760C0" w:rsidRDefault="009760C0" w:rsidP="009760C0">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8.9</w:t>
            </w:r>
          </w:p>
        </w:tc>
        <w:tc>
          <w:tcPr>
            <w:tcW w:w="378" w:type="pct"/>
            <w:vAlign w:val="top"/>
          </w:tcPr>
          <w:p w:rsidR="009760C0" w:rsidRPr="009760C0" w:rsidRDefault="009760C0" w:rsidP="009760C0">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9.3</w:t>
            </w:r>
          </w:p>
        </w:tc>
        <w:tc>
          <w:tcPr>
            <w:tcW w:w="379" w:type="pct"/>
            <w:vAlign w:val="top"/>
          </w:tcPr>
          <w:p w:rsidR="009760C0" w:rsidRPr="009760C0" w:rsidRDefault="009760C0" w:rsidP="009760C0">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9.7</w:t>
            </w:r>
          </w:p>
        </w:tc>
        <w:tc>
          <w:tcPr>
            <w:tcW w:w="378" w:type="pct"/>
            <w:vAlign w:val="top"/>
          </w:tcPr>
          <w:p w:rsidR="009760C0" w:rsidRPr="009760C0" w:rsidRDefault="009760C0" w:rsidP="009760C0">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10.1</w:t>
            </w:r>
          </w:p>
        </w:tc>
        <w:tc>
          <w:tcPr>
            <w:tcW w:w="375" w:type="pct"/>
            <w:vAlign w:val="top"/>
          </w:tcPr>
          <w:p w:rsidR="009760C0" w:rsidRPr="009760C0" w:rsidRDefault="009760C0" w:rsidP="009760C0">
            <w:pPr>
              <w:jc w:val="right"/>
              <w:cnfStyle w:val="000000000000" w:firstRow="0" w:lastRow="0" w:firstColumn="0" w:lastColumn="0" w:oddVBand="0" w:evenVBand="0" w:oddHBand="0" w:evenHBand="0" w:firstRowFirstColumn="0" w:firstRowLastColumn="0" w:lastRowFirstColumn="0" w:lastRowLastColumn="0"/>
              <w:rPr>
                <w:sz w:val="18"/>
              </w:rPr>
            </w:pPr>
            <w:r w:rsidRPr="009760C0">
              <w:rPr>
                <w:sz w:val="18"/>
              </w:rPr>
              <w:t>77.2</w:t>
            </w:r>
          </w:p>
        </w:tc>
      </w:tr>
      <w:tr w:rsidR="008B1EF7" w:rsidRPr="00BA0FBF" w:rsidTr="0095732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22" w:type="pct"/>
          </w:tcPr>
          <w:p w:rsidR="008B1EF7" w:rsidRPr="0095732C" w:rsidRDefault="008B1EF7" w:rsidP="00C259BC">
            <w:pPr>
              <w:pStyle w:val="TableText"/>
              <w:rPr>
                <w:sz w:val="18"/>
              </w:rPr>
            </w:pPr>
            <w:r w:rsidRPr="0095732C">
              <w:rPr>
                <w:sz w:val="18"/>
              </w:rPr>
              <w:t>Health and Medical Care</w:t>
            </w:r>
          </w:p>
        </w:tc>
        <w:tc>
          <w:tcPr>
            <w:tcW w:w="377" w:type="pct"/>
          </w:tcPr>
          <w:p w:rsidR="008B1EF7" w:rsidRDefault="008B1EF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Cs w:val="20"/>
              </w:rPr>
            </w:pPr>
            <w:r>
              <w:rPr>
                <w:rFonts w:ascii="Calibri" w:hAnsi="Calibri"/>
                <w:color w:val="000000"/>
                <w:szCs w:val="20"/>
              </w:rPr>
              <w:t>6.4</w:t>
            </w:r>
          </w:p>
        </w:tc>
        <w:tc>
          <w:tcPr>
            <w:tcW w:w="378" w:type="pct"/>
          </w:tcPr>
          <w:p w:rsidR="008B1EF7" w:rsidRDefault="008B1EF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Cs w:val="20"/>
              </w:rPr>
            </w:pPr>
            <w:r>
              <w:rPr>
                <w:rFonts w:ascii="Calibri" w:hAnsi="Calibri"/>
                <w:color w:val="000000"/>
                <w:szCs w:val="20"/>
              </w:rPr>
              <w:t>6.9</w:t>
            </w:r>
          </w:p>
        </w:tc>
        <w:tc>
          <w:tcPr>
            <w:tcW w:w="378" w:type="pct"/>
          </w:tcPr>
          <w:p w:rsidR="008B1EF7" w:rsidRDefault="008B1EF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Cs w:val="20"/>
              </w:rPr>
            </w:pPr>
            <w:r>
              <w:rPr>
                <w:rFonts w:ascii="Calibri" w:hAnsi="Calibri"/>
                <w:color w:val="000000"/>
                <w:szCs w:val="20"/>
              </w:rPr>
              <w:t>7.4</w:t>
            </w:r>
          </w:p>
        </w:tc>
        <w:tc>
          <w:tcPr>
            <w:tcW w:w="378" w:type="pct"/>
          </w:tcPr>
          <w:p w:rsidR="008B1EF7" w:rsidRDefault="008B1EF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Cs w:val="20"/>
              </w:rPr>
            </w:pPr>
            <w:r>
              <w:rPr>
                <w:rFonts w:ascii="Calibri" w:hAnsi="Calibri"/>
                <w:color w:val="000000"/>
                <w:szCs w:val="20"/>
              </w:rPr>
              <w:t>7.9</w:t>
            </w:r>
          </w:p>
        </w:tc>
        <w:tc>
          <w:tcPr>
            <w:tcW w:w="379" w:type="pct"/>
          </w:tcPr>
          <w:p w:rsidR="008B1EF7" w:rsidRDefault="008B1EF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Cs w:val="20"/>
              </w:rPr>
            </w:pPr>
            <w:r>
              <w:rPr>
                <w:rFonts w:ascii="Calibri" w:hAnsi="Calibri"/>
                <w:color w:val="000000"/>
                <w:szCs w:val="20"/>
              </w:rPr>
              <w:t>8.5</w:t>
            </w:r>
          </w:p>
        </w:tc>
        <w:tc>
          <w:tcPr>
            <w:tcW w:w="378" w:type="pct"/>
          </w:tcPr>
          <w:p w:rsidR="008B1EF7" w:rsidRDefault="008B1EF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Cs w:val="20"/>
              </w:rPr>
            </w:pPr>
            <w:r>
              <w:rPr>
                <w:rFonts w:ascii="Calibri" w:hAnsi="Calibri"/>
                <w:color w:val="000000"/>
                <w:szCs w:val="20"/>
              </w:rPr>
              <w:t>9.1</w:t>
            </w:r>
          </w:p>
        </w:tc>
        <w:tc>
          <w:tcPr>
            <w:tcW w:w="378" w:type="pct"/>
          </w:tcPr>
          <w:p w:rsidR="008B1EF7" w:rsidRDefault="008B1EF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Cs w:val="20"/>
              </w:rPr>
            </w:pPr>
            <w:r>
              <w:rPr>
                <w:rFonts w:ascii="Calibri" w:hAnsi="Calibri"/>
                <w:color w:val="000000"/>
                <w:szCs w:val="20"/>
              </w:rPr>
              <w:t>9.7</w:t>
            </w:r>
          </w:p>
        </w:tc>
        <w:tc>
          <w:tcPr>
            <w:tcW w:w="379" w:type="pct"/>
          </w:tcPr>
          <w:p w:rsidR="008B1EF7" w:rsidRDefault="008B1EF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Cs w:val="20"/>
              </w:rPr>
            </w:pPr>
            <w:r>
              <w:rPr>
                <w:rFonts w:ascii="Calibri" w:hAnsi="Calibri"/>
                <w:color w:val="000000"/>
                <w:szCs w:val="20"/>
              </w:rPr>
              <w:t>10.4</w:t>
            </w:r>
          </w:p>
        </w:tc>
        <w:tc>
          <w:tcPr>
            <w:tcW w:w="378" w:type="pct"/>
          </w:tcPr>
          <w:p w:rsidR="008B1EF7" w:rsidRDefault="008B1EF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Cs w:val="20"/>
              </w:rPr>
            </w:pPr>
            <w:r>
              <w:rPr>
                <w:rFonts w:ascii="Calibri" w:hAnsi="Calibri"/>
                <w:color w:val="000000"/>
                <w:szCs w:val="20"/>
              </w:rPr>
              <w:t>11.2</w:t>
            </w:r>
          </w:p>
        </w:tc>
        <w:tc>
          <w:tcPr>
            <w:tcW w:w="375" w:type="pct"/>
          </w:tcPr>
          <w:p w:rsidR="008B1EF7" w:rsidRDefault="008B1EF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Cs w:val="20"/>
              </w:rPr>
            </w:pPr>
            <w:r>
              <w:rPr>
                <w:rFonts w:ascii="Calibri" w:hAnsi="Calibri"/>
                <w:color w:val="000000"/>
                <w:szCs w:val="20"/>
              </w:rPr>
              <w:t>77.5</w:t>
            </w:r>
          </w:p>
        </w:tc>
      </w:tr>
      <w:tr w:rsidR="008B1EF7" w:rsidRPr="00BA0FBF" w:rsidTr="0095732C">
        <w:trPr>
          <w:cantSplit/>
        </w:trPr>
        <w:tc>
          <w:tcPr>
            <w:cnfStyle w:val="001000000000" w:firstRow="0" w:lastRow="0" w:firstColumn="1" w:lastColumn="0" w:oddVBand="0" w:evenVBand="0" w:oddHBand="0" w:evenHBand="0" w:firstRowFirstColumn="0" w:firstRowLastColumn="0" w:lastRowFirstColumn="0" w:lastRowLastColumn="0"/>
            <w:tcW w:w="1222" w:type="pct"/>
          </w:tcPr>
          <w:p w:rsidR="008B1EF7" w:rsidRPr="00BA0FBF" w:rsidRDefault="008B1EF7" w:rsidP="00C259BC">
            <w:pPr>
              <w:pStyle w:val="TableText"/>
              <w:rPr>
                <w:sz w:val="18"/>
              </w:rPr>
            </w:pPr>
            <w:r w:rsidRPr="00BA0FBF">
              <w:rPr>
                <w:sz w:val="18"/>
              </w:rPr>
              <w:t>Education</w:t>
            </w:r>
          </w:p>
        </w:tc>
        <w:tc>
          <w:tcPr>
            <w:tcW w:w="377" w:type="pct"/>
          </w:tcPr>
          <w:p w:rsidR="008B1EF7" w:rsidRDefault="008B1EF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0"/>
              </w:rPr>
            </w:pPr>
            <w:r>
              <w:rPr>
                <w:rFonts w:ascii="Calibri" w:hAnsi="Calibri"/>
                <w:color w:val="000000"/>
                <w:szCs w:val="20"/>
              </w:rPr>
              <w:t>4.9</w:t>
            </w:r>
          </w:p>
        </w:tc>
        <w:tc>
          <w:tcPr>
            <w:tcW w:w="378" w:type="pct"/>
          </w:tcPr>
          <w:p w:rsidR="008B1EF7" w:rsidRDefault="008B1EF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0"/>
              </w:rPr>
            </w:pPr>
            <w:r>
              <w:rPr>
                <w:rFonts w:ascii="Calibri" w:hAnsi="Calibri"/>
                <w:color w:val="000000"/>
                <w:szCs w:val="20"/>
              </w:rPr>
              <w:t>5.3</w:t>
            </w:r>
          </w:p>
        </w:tc>
        <w:tc>
          <w:tcPr>
            <w:tcW w:w="378" w:type="pct"/>
          </w:tcPr>
          <w:p w:rsidR="008B1EF7" w:rsidRDefault="008B1EF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0"/>
              </w:rPr>
            </w:pPr>
            <w:r>
              <w:rPr>
                <w:rFonts w:ascii="Calibri" w:hAnsi="Calibri"/>
                <w:color w:val="000000"/>
                <w:szCs w:val="20"/>
              </w:rPr>
              <w:t>5.8</w:t>
            </w:r>
          </w:p>
        </w:tc>
        <w:tc>
          <w:tcPr>
            <w:tcW w:w="378" w:type="pct"/>
          </w:tcPr>
          <w:p w:rsidR="008B1EF7" w:rsidRDefault="008B1EF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0"/>
              </w:rPr>
            </w:pPr>
            <w:r>
              <w:rPr>
                <w:rFonts w:ascii="Calibri" w:hAnsi="Calibri"/>
                <w:color w:val="000000"/>
                <w:szCs w:val="20"/>
              </w:rPr>
              <w:t>6.3</w:t>
            </w:r>
          </w:p>
        </w:tc>
        <w:tc>
          <w:tcPr>
            <w:tcW w:w="379" w:type="pct"/>
          </w:tcPr>
          <w:p w:rsidR="008B1EF7" w:rsidRDefault="008B1EF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0"/>
              </w:rPr>
            </w:pPr>
            <w:r>
              <w:rPr>
                <w:rFonts w:ascii="Calibri" w:hAnsi="Calibri"/>
                <w:color w:val="000000"/>
                <w:szCs w:val="20"/>
              </w:rPr>
              <w:t>6.8</w:t>
            </w:r>
          </w:p>
        </w:tc>
        <w:tc>
          <w:tcPr>
            <w:tcW w:w="378" w:type="pct"/>
          </w:tcPr>
          <w:p w:rsidR="008B1EF7" w:rsidRDefault="008B1EF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0"/>
              </w:rPr>
            </w:pPr>
            <w:r>
              <w:rPr>
                <w:rFonts w:ascii="Calibri" w:hAnsi="Calibri"/>
                <w:color w:val="000000"/>
                <w:szCs w:val="20"/>
              </w:rPr>
              <w:t>7.4</w:t>
            </w:r>
          </w:p>
        </w:tc>
        <w:tc>
          <w:tcPr>
            <w:tcW w:w="378" w:type="pct"/>
          </w:tcPr>
          <w:p w:rsidR="008B1EF7" w:rsidRDefault="008B1EF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0"/>
              </w:rPr>
            </w:pPr>
            <w:r>
              <w:rPr>
                <w:rFonts w:ascii="Calibri" w:hAnsi="Calibri"/>
                <w:color w:val="000000"/>
                <w:szCs w:val="20"/>
              </w:rPr>
              <w:t>8.0</w:t>
            </w:r>
          </w:p>
        </w:tc>
        <w:tc>
          <w:tcPr>
            <w:tcW w:w="379" w:type="pct"/>
          </w:tcPr>
          <w:p w:rsidR="008B1EF7" w:rsidRDefault="008B1EF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0"/>
              </w:rPr>
            </w:pPr>
            <w:r>
              <w:rPr>
                <w:rFonts w:ascii="Calibri" w:hAnsi="Calibri"/>
                <w:color w:val="000000"/>
                <w:szCs w:val="20"/>
              </w:rPr>
              <w:t>8.7</w:t>
            </w:r>
          </w:p>
        </w:tc>
        <w:tc>
          <w:tcPr>
            <w:tcW w:w="378" w:type="pct"/>
          </w:tcPr>
          <w:p w:rsidR="008B1EF7" w:rsidRDefault="008B1EF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0"/>
              </w:rPr>
            </w:pPr>
            <w:r>
              <w:rPr>
                <w:rFonts w:ascii="Calibri" w:hAnsi="Calibri"/>
                <w:color w:val="000000"/>
                <w:szCs w:val="20"/>
              </w:rPr>
              <w:t>9.4</w:t>
            </w:r>
          </w:p>
        </w:tc>
        <w:tc>
          <w:tcPr>
            <w:tcW w:w="375" w:type="pct"/>
          </w:tcPr>
          <w:p w:rsidR="008B1EF7" w:rsidRDefault="008B1EF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0"/>
              </w:rPr>
            </w:pPr>
            <w:r>
              <w:rPr>
                <w:rFonts w:ascii="Calibri" w:hAnsi="Calibri"/>
                <w:color w:val="000000"/>
                <w:szCs w:val="20"/>
              </w:rPr>
              <w:t>62.6</w:t>
            </w:r>
          </w:p>
        </w:tc>
      </w:tr>
      <w:tr w:rsidR="008B1EF7" w:rsidRPr="00BA0FBF" w:rsidTr="0095732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22" w:type="pct"/>
          </w:tcPr>
          <w:p w:rsidR="008B1EF7" w:rsidRPr="00BA0FBF" w:rsidRDefault="008B1EF7" w:rsidP="00C259BC">
            <w:pPr>
              <w:pStyle w:val="TableText"/>
              <w:rPr>
                <w:sz w:val="18"/>
              </w:rPr>
            </w:pPr>
            <w:r w:rsidRPr="00BA0FBF">
              <w:rPr>
                <w:sz w:val="18"/>
              </w:rPr>
              <w:t>Child Care</w:t>
            </w:r>
          </w:p>
        </w:tc>
        <w:tc>
          <w:tcPr>
            <w:tcW w:w="377" w:type="pct"/>
          </w:tcPr>
          <w:p w:rsidR="008B1EF7" w:rsidRDefault="008B1EF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Cs w:val="20"/>
              </w:rPr>
            </w:pPr>
            <w:r>
              <w:rPr>
                <w:rFonts w:ascii="Calibri" w:hAnsi="Calibri"/>
                <w:color w:val="000000"/>
                <w:szCs w:val="20"/>
              </w:rPr>
              <w:t>1.6</w:t>
            </w:r>
          </w:p>
        </w:tc>
        <w:tc>
          <w:tcPr>
            <w:tcW w:w="378" w:type="pct"/>
          </w:tcPr>
          <w:p w:rsidR="008B1EF7" w:rsidRDefault="008B1EF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Cs w:val="20"/>
              </w:rPr>
            </w:pPr>
            <w:r>
              <w:rPr>
                <w:rFonts w:ascii="Calibri" w:hAnsi="Calibri"/>
                <w:color w:val="000000"/>
                <w:szCs w:val="20"/>
              </w:rPr>
              <w:t>1.7</w:t>
            </w:r>
          </w:p>
        </w:tc>
        <w:tc>
          <w:tcPr>
            <w:tcW w:w="378" w:type="pct"/>
          </w:tcPr>
          <w:p w:rsidR="008B1EF7" w:rsidRDefault="008B1EF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Cs w:val="20"/>
              </w:rPr>
            </w:pPr>
            <w:r>
              <w:rPr>
                <w:rFonts w:ascii="Calibri" w:hAnsi="Calibri"/>
                <w:color w:val="000000"/>
                <w:szCs w:val="20"/>
              </w:rPr>
              <w:t>1.9</w:t>
            </w:r>
          </w:p>
        </w:tc>
        <w:tc>
          <w:tcPr>
            <w:tcW w:w="378" w:type="pct"/>
          </w:tcPr>
          <w:p w:rsidR="008B1EF7" w:rsidRDefault="008B1EF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Cs w:val="20"/>
              </w:rPr>
            </w:pPr>
            <w:r>
              <w:rPr>
                <w:rFonts w:ascii="Calibri" w:hAnsi="Calibri"/>
                <w:color w:val="000000"/>
                <w:szCs w:val="20"/>
              </w:rPr>
              <w:t>2.1</w:t>
            </w:r>
          </w:p>
        </w:tc>
        <w:tc>
          <w:tcPr>
            <w:tcW w:w="379" w:type="pct"/>
          </w:tcPr>
          <w:p w:rsidR="008B1EF7" w:rsidRDefault="008B1EF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Cs w:val="20"/>
              </w:rPr>
            </w:pPr>
            <w:r>
              <w:rPr>
                <w:rFonts w:ascii="Calibri" w:hAnsi="Calibri"/>
                <w:color w:val="000000"/>
                <w:szCs w:val="20"/>
              </w:rPr>
              <w:t>2.3</w:t>
            </w:r>
          </w:p>
        </w:tc>
        <w:tc>
          <w:tcPr>
            <w:tcW w:w="378" w:type="pct"/>
          </w:tcPr>
          <w:p w:rsidR="008B1EF7" w:rsidRDefault="008B1EF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Cs w:val="20"/>
              </w:rPr>
            </w:pPr>
            <w:r>
              <w:rPr>
                <w:rFonts w:ascii="Calibri" w:hAnsi="Calibri"/>
                <w:color w:val="000000"/>
                <w:szCs w:val="20"/>
              </w:rPr>
              <w:t>2.5</w:t>
            </w:r>
          </w:p>
        </w:tc>
        <w:tc>
          <w:tcPr>
            <w:tcW w:w="378" w:type="pct"/>
          </w:tcPr>
          <w:p w:rsidR="008B1EF7" w:rsidRDefault="008B1EF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Cs w:val="20"/>
              </w:rPr>
            </w:pPr>
            <w:r>
              <w:rPr>
                <w:rFonts w:ascii="Calibri" w:hAnsi="Calibri"/>
                <w:color w:val="000000"/>
                <w:szCs w:val="20"/>
              </w:rPr>
              <w:t>2.8</w:t>
            </w:r>
          </w:p>
        </w:tc>
        <w:tc>
          <w:tcPr>
            <w:tcW w:w="379" w:type="pct"/>
          </w:tcPr>
          <w:p w:rsidR="008B1EF7" w:rsidRDefault="008B1EF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Cs w:val="20"/>
              </w:rPr>
            </w:pPr>
            <w:r>
              <w:rPr>
                <w:rFonts w:ascii="Calibri" w:hAnsi="Calibri"/>
                <w:color w:val="000000"/>
                <w:szCs w:val="20"/>
              </w:rPr>
              <w:t>3.0</w:t>
            </w:r>
          </w:p>
        </w:tc>
        <w:tc>
          <w:tcPr>
            <w:tcW w:w="378" w:type="pct"/>
          </w:tcPr>
          <w:p w:rsidR="008B1EF7" w:rsidRDefault="008B1EF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Cs w:val="20"/>
              </w:rPr>
            </w:pPr>
            <w:r>
              <w:rPr>
                <w:rFonts w:ascii="Calibri" w:hAnsi="Calibri"/>
                <w:color w:val="000000"/>
                <w:szCs w:val="20"/>
              </w:rPr>
              <w:t>3.3</w:t>
            </w:r>
          </w:p>
        </w:tc>
        <w:tc>
          <w:tcPr>
            <w:tcW w:w="375" w:type="pct"/>
          </w:tcPr>
          <w:p w:rsidR="008B1EF7" w:rsidRDefault="008B1EF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Cs w:val="20"/>
              </w:rPr>
            </w:pPr>
            <w:r>
              <w:rPr>
                <w:rFonts w:ascii="Calibri" w:hAnsi="Calibri"/>
                <w:color w:val="000000"/>
                <w:szCs w:val="20"/>
              </w:rPr>
              <w:t>21.2</w:t>
            </w:r>
          </w:p>
        </w:tc>
      </w:tr>
      <w:tr w:rsidR="008B1EF7" w:rsidRPr="00BA0FBF" w:rsidTr="0095732C">
        <w:trPr>
          <w:cantSplit/>
        </w:trPr>
        <w:tc>
          <w:tcPr>
            <w:cnfStyle w:val="001000000000" w:firstRow="0" w:lastRow="0" w:firstColumn="1" w:lastColumn="0" w:oddVBand="0" w:evenVBand="0" w:oddHBand="0" w:evenHBand="0" w:firstRowFirstColumn="0" w:firstRowLastColumn="0" w:lastRowFirstColumn="0" w:lastRowLastColumn="0"/>
            <w:tcW w:w="1222" w:type="pct"/>
          </w:tcPr>
          <w:p w:rsidR="008B1EF7" w:rsidRPr="00BA0FBF" w:rsidRDefault="008B1EF7" w:rsidP="00C259BC">
            <w:pPr>
              <w:pStyle w:val="TableText"/>
              <w:rPr>
                <w:sz w:val="18"/>
              </w:rPr>
            </w:pPr>
            <w:r w:rsidRPr="00BA0FBF">
              <w:rPr>
                <w:sz w:val="18"/>
              </w:rPr>
              <w:t>Water and Sewerage</w:t>
            </w:r>
          </w:p>
        </w:tc>
        <w:tc>
          <w:tcPr>
            <w:tcW w:w="377" w:type="pct"/>
          </w:tcPr>
          <w:p w:rsidR="008B1EF7" w:rsidRDefault="008B1EF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0"/>
              </w:rPr>
            </w:pPr>
            <w:r>
              <w:rPr>
                <w:rFonts w:ascii="Calibri" w:hAnsi="Calibri"/>
                <w:color w:val="000000"/>
                <w:szCs w:val="20"/>
              </w:rPr>
              <w:t>1.1</w:t>
            </w:r>
          </w:p>
        </w:tc>
        <w:tc>
          <w:tcPr>
            <w:tcW w:w="378" w:type="pct"/>
          </w:tcPr>
          <w:p w:rsidR="008B1EF7" w:rsidRDefault="008B1EF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0"/>
              </w:rPr>
            </w:pPr>
            <w:r>
              <w:rPr>
                <w:rFonts w:ascii="Calibri" w:hAnsi="Calibri"/>
                <w:color w:val="000000"/>
                <w:szCs w:val="20"/>
              </w:rPr>
              <w:t>1.2</w:t>
            </w:r>
          </w:p>
        </w:tc>
        <w:tc>
          <w:tcPr>
            <w:tcW w:w="378" w:type="pct"/>
          </w:tcPr>
          <w:p w:rsidR="008B1EF7" w:rsidRDefault="008B1EF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0"/>
              </w:rPr>
            </w:pPr>
            <w:r>
              <w:rPr>
                <w:rFonts w:ascii="Calibri" w:hAnsi="Calibri"/>
                <w:color w:val="000000"/>
                <w:szCs w:val="20"/>
              </w:rPr>
              <w:t>1.3</w:t>
            </w:r>
          </w:p>
        </w:tc>
        <w:tc>
          <w:tcPr>
            <w:tcW w:w="378" w:type="pct"/>
          </w:tcPr>
          <w:p w:rsidR="008B1EF7" w:rsidRDefault="008B1EF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0"/>
              </w:rPr>
            </w:pPr>
            <w:r>
              <w:rPr>
                <w:rFonts w:ascii="Calibri" w:hAnsi="Calibri"/>
                <w:color w:val="000000"/>
                <w:szCs w:val="20"/>
              </w:rPr>
              <w:t>1.4</w:t>
            </w:r>
          </w:p>
        </w:tc>
        <w:tc>
          <w:tcPr>
            <w:tcW w:w="379" w:type="pct"/>
          </w:tcPr>
          <w:p w:rsidR="008B1EF7" w:rsidRDefault="008B1EF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0"/>
              </w:rPr>
            </w:pPr>
            <w:r>
              <w:rPr>
                <w:rFonts w:ascii="Calibri" w:hAnsi="Calibri"/>
                <w:color w:val="000000"/>
                <w:szCs w:val="20"/>
              </w:rPr>
              <w:t>1.5</w:t>
            </w:r>
          </w:p>
        </w:tc>
        <w:tc>
          <w:tcPr>
            <w:tcW w:w="378" w:type="pct"/>
          </w:tcPr>
          <w:p w:rsidR="008B1EF7" w:rsidRDefault="008B1EF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0"/>
              </w:rPr>
            </w:pPr>
            <w:r>
              <w:rPr>
                <w:rFonts w:ascii="Calibri" w:hAnsi="Calibri"/>
                <w:color w:val="000000"/>
                <w:szCs w:val="20"/>
              </w:rPr>
              <w:t>1.6</w:t>
            </w:r>
          </w:p>
        </w:tc>
        <w:tc>
          <w:tcPr>
            <w:tcW w:w="378" w:type="pct"/>
          </w:tcPr>
          <w:p w:rsidR="008B1EF7" w:rsidRDefault="008B1EF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0"/>
              </w:rPr>
            </w:pPr>
            <w:r>
              <w:rPr>
                <w:rFonts w:ascii="Calibri" w:hAnsi="Calibri"/>
                <w:color w:val="000000"/>
                <w:szCs w:val="20"/>
              </w:rPr>
              <w:t>1.8</w:t>
            </w:r>
          </w:p>
        </w:tc>
        <w:tc>
          <w:tcPr>
            <w:tcW w:w="379" w:type="pct"/>
          </w:tcPr>
          <w:p w:rsidR="008B1EF7" w:rsidRDefault="008B1EF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0"/>
              </w:rPr>
            </w:pPr>
            <w:r>
              <w:rPr>
                <w:rFonts w:ascii="Calibri" w:hAnsi="Calibri"/>
                <w:color w:val="000000"/>
                <w:szCs w:val="20"/>
              </w:rPr>
              <w:t>1.9</w:t>
            </w:r>
          </w:p>
        </w:tc>
        <w:tc>
          <w:tcPr>
            <w:tcW w:w="378" w:type="pct"/>
          </w:tcPr>
          <w:p w:rsidR="008B1EF7" w:rsidRDefault="008B1EF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0"/>
              </w:rPr>
            </w:pPr>
            <w:r>
              <w:rPr>
                <w:rFonts w:ascii="Calibri" w:hAnsi="Calibri"/>
                <w:color w:val="000000"/>
                <w:szCs w:val="20"/>
              </w:rPr>
              <w:t>2.1</w:t>
            </w:r>
          </w:p>
        </w:tc>
        <w:tc>
          <w:tcPr>
            <w:tcW w:w="375" w:type="pct"/>
          </w:tcPr>
          <w:p w:rsidR="008B1EF7" w:rsidRDefault="008B1EF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0"/>
              </w:rPr>
            </w:pPr>
            <w:r>
              <w:rPr>
                <w:rFonts w:ascii="Calibri" w:hAnsi="Calibri"/>
                <w:color w:val="000000"/>
                <w:szCs w:val="20"/>
              </w:rPr>
              <w:t>13.9</w:t>
            </w:r>
          </w:p>
        </w:tc>
      </w:tr>
      <w:tr w:rsidR="008B1EF7" w:rsidRPr="00BA0FBF" w:rsidTr="0095732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22" w:type="pct"/>
          </w:tcPr>
          <w:p w:rsidR="008B1EF7" w:rsidRPr="00BA0FBF" w:rsidRDefault="008B1EF7" w:rsidP="00276E25">
            <w:pPr>
              <w:pStyle w:val="TableText"/>
              <w:rPr>
                <w:i/>
                <w:sz w:val="18"/>
              </w:rPr>
            </w:pPr>
            <w:r w:rsidRPr="00BA0FBF">
              <w:rPr>
                <w:i/>
                <w:sz w:val="18"/>
              </w:rPr>
              <w:t>Interaction Effect</w:t>
            </w:r>
          </w:p>
        </w:tc>
        <w:tc>
          <w:tcPr>
            <w:tcW w:w="377" w:type="pct"/>
            <w:vAlign w:val="top"/>
          </w:tcPr>
          <w:p w:rsidR="008B1EF7" w:rsidRPr="009760C0" w:rsidRDefault="008B1EF7" w:rsidP="009760C0">
            <w:pPr>
              <w:jc w:val="right"/>
              <w:cnfStyle w:val="000000100000" w:firstRow="0" w:lastRow="0" w:firstColumn="0" w:lastColumn="0" w:oddVBand="0" w:evenVBand="0" w:oddHBand="1" w:evenHBand="0" w:firstRowFirstColumn="0" w:firstRowLastColumn="0" w:lastRowFirstColumn="0" w:lastRowLastColumn="0"/>
              <w:rPr>
                <w:sz w:val="18"/>
              </w:rPr>
            </w:pPr>
            <w:r w:rsidRPr="009760C0">
              <w:rPr>
                <w:sz w:val="18"/>
              </w:rPr>
              <w:t>12.1</w:t>
            </w:r>
          </w:p>
        </w:tc>
        <w:tc>
          <w:tcPr>
            <w:tcW w:w="378" w:type="pct"/>
            <w:vAlign w:val="top"/>
          </w:tcPr>
          <w:p w:rsidR="008B1EF7" w:rsidRPr="009760C0" w:rsidRDefault="008B1EF7" w:rsidP="009760C0">
            <w:pPr>
              <w:jc w:val="right"/>
              <w:cnfStyle w:val="000000100000" w:firstRow="0" w:lastRow="0" w:firstColumn="0" w:lastColumn="0" w:oddVBand="0" w:evenVBand="0" w:oddHBand="1" w:evenHBand="0" w:firstRowFirstColumn="0" w:firstRowLastColumn="0" w:lastRowFirstColumn="0" w:lastRowLastColumn="0"/>
              <w:rPr>
                <w:sz w:val="18"/>
              </w:rPr>
            </w:pPr>
            <w:r w:rsidRPr="009760C0">
              <w:rPr>
                <w:sz w:val="18"/>
              </w:rPr>
              <w:t>12.9</w:t>
            </w:r>
          </w:p>
        </w:tc>
        <w:tc>
          <w:tcPr>
            <w:tcW w:w="378" w:type="pct"/>
            <w:vAlign w:val="top"/>
          </w:tcPr>
          <w:p w:rsidR="008B1EF7" w:rsidRPr="009760C0" w:rsidRDefault="008B1EF7" w:rsidP="009760C0">
            <w:pPr>
              <w:jc w:val="right"/>
              <w:cnfStyle w:val="000000100000" w:firstRow="0" w:lastRow="0" w:firstColumn="0" w:lastColumn="0" w:oddVBand="0" w:evenVBand="0" w:oddHBand="1" w:evenHBand="0" w:firstRowFirstColumn="0" w:firstRowLastColumn="0" w:lastRowFirstColumn="0" w:lastRowLastColumn="0"/>
              <w:rPr>
                <w:sz w:val="18"/>
              </w:rPr>
            </w:pPr>
            <w:r w:rsidRPr="009760C0">
              <w:rPr>
                <w:sz w:val="18"/>
              </w:rPr>
              <w:t>13.7</w:t>
            </w:r>
          </w:p>
        </w:tc>
        <w:tc>
          <w:tcPr>
            <w:tcW w:w="378" w:type="pct"/>
            <w:vAlign w:val="top"/>
          </w:tcPr>
          <w:p w:rsidR="008B1EF7" w:rsidRPr="009760C0" w:rsidRDefault="008B1EF7" w:rsidP="009760C0">
            <w:pPr>
              <w:jc w:val="right"/>
              <w:cnfStyle w:val="000000100000" w:firstRow="0" w:lastRow="0" w:firstColumn="0" w:lastColumn="0" w:oddVBand="0" w:evenVBand="0" w:oddHBand="1" w:evenHBand="0" w:firstRowFirstColumn="0" w:firstRowLastColumn="0" w:lastRowFirstColumn="0" w:lastRowLastColumn="0"/>
              <w:rPr>
                <w:sz w:val="18"/>
              </w:rPr>
            </w:pPr>
            <w:r w:rsidRPr="009760C0">
              <w:rPr>
                <w:sz w:val="18"/>
              </w:rPr>
              <w:t>14.6</w:t>
            </w:r>
          </w:p>
        </w:tc>
        <w:tc>
          <w:tcPr>
            <w:tcW w:w="379" w:type="pct"/>
            <w:vAlign w:val="top"/>
          </w:tcPr>
          <w:p w:rsidR="008B1EF7" w:rsidRPr="009760C0" w:rsidRDefault="008B1EF7" w:rsidP="009760C0">
            <w:pPr>
              <w:jc w:val="right"/>
              <w:cnfStyle w:val="000000100000" w:firstRow="0" w:lastRow="0" w:firstColumn="0" w:lastColumn="0" w:oddVBand="0" w:evenVBand="0" w:oddHBand="1" w:evenHBand="0" w:firstRowFirstColumn="0" w:firstRowLastColumn="0" w:lastRowFirstColumn="0" w:lastRowLastColumn="0"/>
              <w:rPr>
                <w:sz w:val="18"/>
              </w:rPr>
            </w:pPr>
            <w:r w:rsidRPr="009760C0">
              <w:rPr>
                <w:sz w:val="18"/>
              </w:rPr>
              <w:t>15.6</w:t>
            </w:r>
          </w:p>
        </w:tc>
        <w:tc>
          <w:tcPr>
            <w:tcW w:w="378" w:type="pct"/>
            <w:vAlign w:val="top"/>
          </w:tcPr>
          <w:p w:rsidR="008B1EF7" w:rsidRPr="009760C0" w:rsidRDefault="008B1EF7" w:rsidP="009760C0">
            <w:pPr>
              <w:jc w:val="right"/>
              <w:cnfStyle w:val="000000100000" w:firstRow="0" w:lastRow="0" w:firstColumn="0" w:lastColumn="0" w:oddVBand="0" w:evenVBand="0" w:oddHBand="1" w:evenHBand="0" w:firstRowFirstColumn="0" w:firstRowLastColumn="0" w:lastRowFirstColumn="0" w:lastRowLastColumn="0"/>
              <w:rPr>
                <w:sz w:val="18"/>
              </w:rPr>
            </w:pPr>
            <w:r w:rsidRPr="009760C0">
              <w:rPr>
                <w:sz w:val="18"/>
              </w:rPr>
              <w:t>16.7</w:t>
            </w:r>
          </w:p>
        </w:tc>
        <w:tc>
          <w:tcPr>
            <w:tcW w:w="378" w:type="pct"/>
            <w:vAlign w:val="top"/>
          </w:tcPr>
          <w:p w:rsidR="008B1EF7" w:rsidRPr="009760C0" w:rsidRDefault="008B1EF7" w:rsidP="009760C0">
            <w:pPr>
              <w:jc w:val="right"/>
              <w:cnfStyle w:val="000000100000" w:firstRow="0" w:lastRow="0" w:firstColumn="0" w:lastColumn="0" w:oddVBand="0" w:evenVBand="0" w:oddHBand="1" w:evenHBand="0" w:firstRowFirstColumn="0" w:firstRowLastColumn="0" w:lastRowFirstColumn="0" w:lastRowLastColumn="0"/>
              <w:rPr>
                <w:sz w:val="18"/>
              </w:rPr>
            </w:pPr>
            <w:r w:rsidRPr="009760C0">
              <w:rPr>
                <w:sz w:val="18"/>
              </w:rPr>
              <w:t>17.8</w:t>
            </w:r>
          </w:p>
        </w:tc>
        <w:tc>
          <w:tcPr>
            <w:tcW w:w="379" w:type="pct"/>
            <w:vAlign w:val="top"/>
          </w:tcPr>
          <w:p w:rsidR="008B1EF7" w:rsidRPr="009760C0" w:rsidRDefault="008B1EF7" w:rsidP="009760C0">
            <w:pPr>
              <w:jc w:val="right"/>
              <w:cnfStyle w:val="000000100000" w:firstRow="0" w:lastRow="0" w:firstColumn="0" w:lastColumn="0" w:oddVBand="0" w:evenVBand="0" w:oddHBand="1" w:evenHBand="0" w:firstRowFirstColumn="0" w:firstRowLastColumn="0" w:lastRowFirstColumn="0" w:lastRowLastColumn="0"/>
              <w:rPr>
                <w:sz w:val="18"/>
              </w:rPr>
            </w:pPr>
            <w:r w:rsidRPr="009760C0">
              <w:rPr>
                <w:sz w:val="18"/>
              </w:rPr>
              <w:t>19.1</w:t>
            </w:r>
          </w:p>
        </w:tc>
        <w:tc>
          <w:tcPr>
            <w:tcW w:w="378" w:type="pct"/>
            <w:vAlign w:val="top"/>
          </w:tcPr>
          <w:p w:rsidR="008B1EF7" w:rsidRPr="009760C0" w:rsidRDefault="008B1EF7" w:rsidP="009760C0">
            <w:pPr>
              <w:jc w:val="right"/>
              <w:cnfStyle w:val="000000100000" w:firstRow="0" w:lastRow="0" w:firstColumn="0" w:lastColumn="0" w:oddVBand="0" w:evenVBand="0" w:oddHBand="1" w:evenHBand="0" w:firstRowFirstColumn="0" w:firstRowLastColumn="0" w:lastRowFirstColumn="0" w:lastRowLastColumn="0"/>
              <w:rPr>
                <w:sz w:val="18"/>
              </w:rPr>
            </w:pPr>
            <w:r w:rsidRPr="009760C0">
              <w:rPr>
                <w:sz w:val="18"/>
              </w:rPr>
              <w:t>20.3</w:t>
            </w:r>
          </w:p>
        </w:tc>
        <w:tc>
          <w:tcPr>
            <w:tcW w:w="375" w:type="pct"/>
            <w:vAlign w:val="top"/>
          </w:tcPr>
          <w:p w:rsidR="008B1EF7" w:rsidRPr="009760C0" w:rsidRDefault="008B1EF7" w:rsidP="009760C0">
            <w:pPr>
              <w:jc w:val="right"/>
              <w:cnfStyle w:val="000000100000" w:firstRow="0" w:lastRow="0" w:firstColumn="0" w:lastColumn="0" w:oddVBand="0" w:evenVBand="0" w:oddHBand="1" w:evenHBand="0" w:firstRowFirstColumn="0" w:firstRowLastColumn="0" w:lastRowFirstColumn="0" w:lastRowLastColumn="0"/>
              <w:rPr>
                <w:sz w:val="18"/>
              </w:rPr>
            </w:pPr>
            <w:r w:rsidRPr="009760C0">
              <w:rPr>
                <w:sz w:val="18"/>
              </w:rPr>
              <w:t>142.8</w:t>
            </w:r>
          </w:p>
        </w:tc>
      </w:tr>
      <w:tr w:rsidR="008B1EF7" w:rsidRPr="00BA0FBF" w:rsidTr="0095732C">
        <w:trPr>
          <w:cantSplit/>
        </w:trPr>
        <w:tc>
          <w:tcPr>
            <w:cnfStyle w:val="001000000000" w:firstRow="0" w:lastRow="0" w:firstColumn="1" w:lastColumn="0" w:oddVBand="0" w:evenVBand="0" w:oddHBand="0" w:evenHBand="0" w:firstRowFirstColumn="0" w:firstRowLastColumn="0" w:lastRowFirstColumn="0" w:lastRowLastColumn="0"/>
            <w:tcW w:w="1222" w:type="pct"/>
          </w:tcPr>
          <w:p w:rsidR="008B1EF7" w:rsidRPr="00BA0FBF" w:rsidRDefault="008B1EF7" w:rsidP="00276E25">
            <w:pPr>
              <w:pStyle w:val="TableText"/>
              <w:rPr>
                <w:b/>
                <w:sz w:val="18"/>
              </w:rPr>
            </w:pPr>
            <w:r>
              <w:rPr>
                <w:b/>
                <w:sz w:val="18"/>
              </w:rPr>
              <w:t xml:space="preserve">Additional </w:t>
            </w:r>
            <w:r w:rsidRPr="00BA0FBF">
              <w:rPr>
                <w:b/>
                <w:sz w:val="18"/>
              </w:rPr>
              <w:t>GST revenue</w:t>
            </w:r>
          </w:p>
        </w:tc>
        <w:tc>
          <w:tcPr>
            <w:tcW w:w="377" w:type="pct"/>
            <w:vAlign w:val="top"/>
          </w:tcPr>
          <w:p w:rsidR="008B1EF7" w:rsidRPr="009760C0" w:rsidRDefault="008B1EF7" w:rsidP="009760C0">
            <w:pPr>
              <w:jc w:val="right"/>
              <w:cnfStyle w:val="000000000000" w:firstRow="0" w:lastRow="0" w:firstColumn="0" w:lastColumn="0" w:oddVBand="0" w:evenVBand="0" w:oddHBand="0" w:evenHBand="0" w:firstRowFirstColumn="0" w:firstRowLastColumn="0" w:lastRowFirstColumn="0" w:lastRowLastColumn="0"/>
              <w:rPr>
                <w:b/>
                <w:sz w:val="18"/>
              </w:rPr>
            </w:pPr>
            <w:r w:rsidRPr="009760C0">
              <w:rPr>
                <w:b/>
                <w:sz w:val="18"/>
              </w:rPr>
              <w:t>65.8</w:t>
            </w:r>
          </w:p>
        </w:tc>
        <w:tc>
          <w:tcPr>
            <w:tcW w:w="378" w:type="pct"/>
            <w:vAlign w:val="top"/>
          </w:tcPr>
          <w:p w:rsidR="008B1EF7" w:rsidRPr="009760C0" w:rsidRDefault="008B1EF7" w:rsidP="009760C0">
            <w:pPr>
              <w:jc w:val="right"/>
              <w:cnfStyle w:val="000000000000" w:firstRow="0" w:lastRow="0" w:firstColumn="0" w:lastColumn="0" w:oddVBand="0" w:evenVBand="0" w:oddHBand="0" w:evenHBand="0" w:firstRowFirstColumn="0" w:firstRowLastColumn="0" w:lastRowFirstColumn="0" w:lastRowLastColumn="0"/>
              <w:rPr>
                <w:b/>
                <w:sz w:val="18"/>
              </w:rPr>
            </w:pPr>
            <w:r w:rsidRPr="009760C0">
              <w:rPr>
                <w:b/>
                <w:sz w:val="18"/>
              </w:rPr>
              <w:t>69.9</w:t>
            </w:r>
          </w:p>
        </w:tc>
        <w:tc>
          <w:tcPr>
            <w:tcW w:w="378" w:type="pct"/>
            <w:vAlign w:val="top"/>
          </w:tcPr>
          <w:p w:rsidR="008B1EF7" w:rsidRPr="009760C0" w:rsidRDefault="008B1EF7" w:rsidP="009760C0">
            <w:pPr>
              <w:jc w:val="right"/>
              <w:cnfStyle w:val="000000000000" w:firstRow="0" w:lastRow="0" w:firstColumn="0" w:lastColumn="0" w:oddVBand="0" w:evenVBand="0" w:oddHBand="0" w:evenHBand="0" w:firstRowFirstColumn="0" w:firstRowLastColumn="0" w:lastRowFirstColumn="0" w:lastRowLastColumn="0"/>
              <w:rPr>
                <w:b/>
                <w:sz w:val="18"/>
              </w:rPr>
            </w:pPr>
            <w:r w:rsidRPr="009760C0">
              <w:rPr>
                <w:b/>
                <w:sz w:val="18"/>
              </w:rPr>
              <w:t>73.7</w:t>
            </w:r>
          </w:p>
        </w:tc>
        <w:tc>
          <w:tcPr>
            <w:tcW w:w="378" w:type="pct"/>
            <w:vAlign w:val="top"/>
          </w:tcPr>
          <w:p w:rsidR="008B1EF7" w:rsidRPr="009760C0" w:rsidRDefault="008B1EF7" w:rsidP="009760C0">
            <w:pPr>
              <w:jc w:val="right"/>
              <w:cnfStyle w:val="000000000000" w:firstRow="0" w:lastRow="0" w:firstColumn="0" w:lastColumn="0" w:oddVBand="0" w:evenVBand="0" w:oddHBand="0" w:evenHBand="0" w:firstRowFirstColumn="0" w:firstRowLastColumn="0" w:lastRowFirstColumn="0" w:lastRowLastColumn="0"/>
              <w:rPr>
                <w:b/>
                <w:sz w:val="18"/>
              </w:rPr>
            </w:pPr>
            <w:r w:rsidRPr="009760C0">
              <w:rPr>
                <w:b/>
                <w:sz w:val="18"/>
              </w:rPr>
              <w:t>78.3</w:t>
            </w:r>
          </w:p>
        </w:tc>
        <w:tc>
          <w:tcPr>
            <w:tcW w:w="379" w:type="pct"/>
            <w:vAlign w:val="top"/>
          </w:tcPr>
          <w:p w:rsidR="008B1EF7" w:rsidRPr="009760C0" w:rsidRDefault="008B1EF7" w:rsidP="009760C0">
            <w:pPr>
              <w:jc w:val="right"/>
              <w:cnfStyle w:val="000000000000" w:firstRow="0" w:lastRow="0" w:firstColumn="0" w:lastColumn="0" w:oddVBand="0" w:evenVBand="0" w:oddHBand="0" w:evenHBand="0" w:firstRowFirstColumn="0" w:firstRowLastColumn="0" w:lastRowFirstColumn="0" w:lastRowLastColumn="0"/>
              <w:rPr>
                <w:b/>
                <w:sz w:val="18"/>
              </w:rPr>
            </w:pPr>
            <w:r w:rsidRPr="009760C0">
              <w:rPr>
                <w:b/>
                <w:sz w:val="18"/>
              </w:rPr>
              <w:t>83.3</w:t>
            </w:r>
          </w:p>
        </w:tc>
        <w:tc>
          <w:tcPr>
            <w:tcW w:w="378" w:type="pct"/>
            <w:vAlign w:val="top"/>
          </w:tcPr>
          <w:p w:rsidR="008B1EF7" w:rsidRPr="009760C0" w:rsidRDefault="008B1EF7" w:rsidP="009760C0">
            <w:pPr>
              <w:jc w:val="right"/>
              <w:cnfStyle w:val="000000000000" w:firstRow="0" w:lastRow="0" w:firstColumn="0" w:lastColumn="0" w:oddVBand="0" w:evenVBand="0" w:oddHBand="0" w:evenHBand="0" w:firstRowFirstColumn="0" w:firstRowLastColumn="0" w:lastRowFirstColumn="0" w:lastRowLastColumn="0"/>
              <w:rPr>
                <w:b/>
                <w:sz w:val="18"/>
              </w:rPr>
            </w:pPr>
            <w:r w:rsidRPr="009760C0">
              <w:rPr>
                <w:b/>
                <w:sz w:val="18"/>
              </w:rPr>
              <w:t>88.6</w:t>
            </w:r>
          </w:p>
        </w:tc>
        <w:tc>
          <w:tcPr>
            <w:tcW w:w="378" w:type="pct"/>
            <w:vAlign w:val="top"/>
          </w:tcPr>
          <w:p w:rsidR="008B1EF7" w:rsidRPr="009760C0" w:rsidRDefault="008B1EF7" w:rsidP="009760C0">
            <w:pPr>
              <w:jc w:val="right"/>
              <w:cnfStyle w:val="000000000000" w:firstRow="0" w:lastRow="0" w:firstColumn="0" w:lastColumn="0" w:oddVBand="0" w:evenVBand="0" w:oddHBand="0" w:evenHBand="0" w:firstRowFirstColumn="0" w:firstRowLastColumn="0" w:lastRowFirstColumn="0" w:lastRowLastColumn="0"/>
              <w:rPr>
                <w:b/>
                <w:sz w:val="18"/>
              </w:rPr>
            </w:pPr>
            <w:r w:rsidRPr="009760C0">
              <w:rPr>
                <w:b/>
                <w:sz w:val="18"/>
              </w:rPr>
              <w:t>94.1</w:t>
            </w:r>
          </w:p>
        </w:tc>
        <w:tc>
          <w:tcPr>
            <w:tcW w:w="379" w:type="pct"/>
            <w:vAlign w:val="top"/>
          </w:tcPr>
          <w:p w:rsidR="008B1EF7" w:rsidRPr="009760C0" w:rsidRDefault="008B1EF7" w:rsidP="009760C0">
            <w:pPr>
              <w:jc w:val="right"/>
              <w:cnfStyle w:val="000000000000" w:firstRow="0" w:lastRow="0" w:firstColumn="0" w:lastColumn="0" w:oddVBand="0" w:evenVBand="0" w:oddHBand="0" w:evenHBand="0" w:firstRowFirstColumn="0" w:firstRowLastColumn="0" w:lastRowFirstColumn="0" w:lastRowLastColumn="0"/>
              <w:rPr>
                <w:b/>
                <w:sz w:val="18"/>
              </w:rPr>
            </w:pPr>
            <w:r w:rsidRPr="009760C0">
              <w:rPr>
                <w:b/>
                <w:sz w:val="18"/>
              </w:rPr>
              <w:t>99.9</w:t>
            </w:r>
          </w:p>
        </w:tc>
        <w:tc>
          <w:tcPr>
            <w:tcW w:w="378" w:type="pct"/>
            <w:vAlign w:val="top"/>
          </w:tcPr>
          <w:p w:rsidR="008B1EF7" w:rsidRPr="009760C0" w:rsidRDefault="008B1EF7" w:rsidP="009760C0">
            <w:pPr>
              <w:jc w:val="right"/>
              <w:cnfStyle w:val="000000000000" w:firstRow="0" w:lastRow="0" w:firstColumn="0" w:lastColumn="0" w:oddVBand="0" w:evenVBand="0" w:oddHBand="0" w:evenHBand="0" w:firstRowFirstColumn="0" w:firstRowLastColumn="0" w:lastRowFirstColumn="0" w:lastRowLastColumn="0"/>
              <w:rPr>
                <w:b/>
                <w:sz w:val="18"/>
              </w:rPr>
            </w:pPr>
            <w:r w:rsidRPr="009760C0">
              <w:rPr>
                <w:b/>
                <w:sz w:val="18"/>
              </w:rPr>
              <w:t>106.1</w:t>
            </w:r>
          </w:p>
        </w:tc>
        <w:tc>
          <w:tcPr>
            <w:tcW w:w="375" w:type="pct"/>
            <w:vAlign w:val="top"/>
          </w:tcPr>
          <w:p w:rsidR="008B1EF7" w:rsidRPr="009760C0" w:rsidRDefault="008B1EF7" w:rsidP="009760C0">
            <w:pPr>
              <w:jc w:val="right"/>
              <w:cnfStyle w:val="000000000000" w:firstRow="0" w:lastRow="0" w:firstColumn="0" w:lastColumn="0" w:oddVBand="0" w:evenVBand="0" w:oddHBand="0" w:evenHBand="0" w:firstRowFirstColumn="0" w:firstRowLastColumn="0" w:lastRowFirstColumn="0" w:lastRowLastColumn="0"/>
              <w:rPr>
                <w:b/>
                <w:sz w:val="18"/>
              </w:rPr>
            </w:pPr>
            <w:r w:rsidRPr="009760C0">
              <w:rPr>
                <w:b/>
                <w:sz w:val="18"/>
              </w:rPr>
              <w:t>759.7</w:t>
            </w:r>
          </w:p>
        </w:tc>
      </w:tr>
    </w:tbl>
    <w:p w:rsidR="00726BED" w:rsidRDefault="00726BED" w:rsidP="00726BED">
      <w:pPr>
        <w:pStyle w:val="Source"/>
      </w:pPr>
      <w:r>
        <w:t xml:space="preserve">Source: </w:t>
      </w:r>
      <w:r w:rsidR="004E109F">
        <w:t>PBO analysis based on data from the ABS and Treasury</w:t>
      </w:r>
    </w:p>
    <w:sectPr w:rsidR="00726BED" w:rsidSect="005C5DF2">
      <w:headerReference w:type="even" r:id="rId87"/>
      <w:headerReference w:type="default" r:id="rId88"/>
      <w:footerReference w:type="even" r:id="rId89"/>
      <w:footerReference w:type="default" r:id="rId90"/>
      <w:pgSz w:w="16838" w:h="11906" w:orient="landscape" w:code="9"/>
      <w:pgMar w:top="1361" w:right="1797" w:bottom="1474" w:left="1797" w:header="283"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12C" w:rsidRDefault="000C112C" w:rsidP="00A20802">
      <w:pPr>
        <w:spacing w:line="240" w:lineRule="auto"/>
      </w:pPr>
      <w:r>
        <w:separator/>
      </w:r>
    </w:p>
    <w:p w:rsidR="000C112C" w:rsidRDefault="000C112C"/>
  </w:endnote>
  <w:endnote w:type="continuationSeparator" w:id="0">
    <w:p w:rsidR="000C112C" w:rsidRDefault="000C112C" w:rsidP="00A20802">
      <w:pPr>
        <w:spacing w:line="240" w:lineRule="auto"/>
      </w:pPr>
      <w:r>
        <w:continuationSeparator/>
      </w:r>
    </w:p>
    <w:p w:rsidR="000C112C" w:rsidRDefault="000C11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ecilia-Italic">
    <w:panose1 w:val="00000000000000000000"/>
    <w:charset w:val="00"/>
    <w:family w:val="roman"/>
    <w:notTrueType/>
    <w:pitch w:val="default"/>
    <w:sig w:usb0="00000003" w:usb1="00000000" w:usb2="00000000" w:usb3="00000000" w:csb0="00000001" w:csb1="00000000"/>
  </w:font>
  <w:font w:name="Caecilia-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12C" w:rsidRPr="00613471" w:rsidRDefault="000C112C" w:rsidP="00613471">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4" w:vertAnchor="page" w:horzAnchor="margin" w:tblpYSpec="bottom"/>
      <w:tblW w:w="8731" w:type="dxa"/>
      <w:tblLayout w:type="fixed"/>
      <w:tblCellMar>
        <w:top w:w="28" w:type="dxa"/>
      </w:tblCellMar>
      <w:tblLook w:val="04A0" w:firstRow="1" w:lastRow="0" w:firstColumn="1" w:lastColumn="0" w:noHBand="0" w:noVBand="1"/>
    </w:tblPr>
    <w:tblGrid>
      <w:gridCol w:w="567"/>
      <w:gridCol w:w="8164"/>
    </w:tblGrid>
    <w:tr w:rsidR="000C112C" w:rsidRPr="00EB388E" w:rsidTr="00C80200">
      <w:trPr>
        <w:trHeight w:val="340"/>
      </w:trPr>
      <w:tc>
        <w:tcPr>
          <w:tcW w:w="567" w:type="dxa"/>
          <w:tcBorders>
            <w:right w:val="single" w:sz="4" w:space="0" w:color="788184" w:themeColor="background2"/>
          </w:tcBorders>
          <w:vAlign w:val="center"/>
        </w:tcPr>
        <w:p w:rsidR="000C112C" w:rsidRPr="00CB70DF" w:rsidRDefault="000C112C" w:rsidP="00C80200">
          <w:pPr>
            <w:pStyle w:val="FooterLeftPageNumber"/>
            <w:framePr w:wrap="auto" w:vAnchor="margin" w:hAnchor="text" w:yAlign="inline"/>
          </w:pPr>
          <w:r w:rsidRPr="00EB388E">
            <w:fldChar w:fldCharType="begin"/>
          </w:r>
          <w:r w:rsidRPr="00EB388E">
            <w:instrText xml:space="preserve"> PAGE   \* MERGEFORMAT </w:instrText>
          </w:r>
          <w:r w:rsidRPr="00EB388E">
            <w:fldChar w:fldCharType="separate"/>
          </w:r>
          <w:r w:rsidR="00E62C4F">
            <w:rPr>
              <w:noProof/>
            </w:rPr>
            <w:t>vi</w:t>
          </w:r>
          <w:r w:rsidRPr="00EB388E">
            <w:fldChar w:fldCharType="end"/>
          </w:r>
        </w:p>
      </w:tc>
      <w:tc>
        <w:tcPr>
          <w:tcW w:w="8164" w:type="dxa"/>
          <w:tcBorders>
            <w:left w:val="single" w:sz="4" w:space="0" w:color="788184" w:themeColor="background2"/>
          </w:tcBorders>
          <w:vAlign w:val="center"/>
        </w:tcPr>
        <w:p w:rsidR="000C112C" w:rsidRPr="00CB70DF" w:rsidRDefault="000C112C" w:rsidP="00C80200">
          <w:pPr>
            <w:pStyle w:val="FooterLeft"/>
            <w:framePr w:wrap="auto" w:vAnchor="margin" w:hAnchor="text" w:yAlign="inline"/>
          </w:pPr>
        </w:p>
      </w:tc>
    </w:tr>
    <w:tr w:rsidR="000C112C" w:rsidRPr="00EB388E" w:rsidTr="00C80200">
      <w:trPr>
        <w:trHeight w:hRule="exact" w:val="403"/>
      </w:trPr>
      <w:tc>
        <w:tcPr>
          <w:tcW w:w="567" w:type="dxa"/>
          <w:tcMar>
            <w:bottom w:w="284" w:type="dxa"/>
          </w:tcMar>
        </w:tcPr>
        <w:p w:rsidR="000C112C" w:rsidRPr="00EB388E" w:rsidRDefault="000C112C" w:rsidP="00C80200">
          <w:pPr>
            <w:pStyle w:val="FooterRightPageNumber"/>
          </w:pPr>
        </w:p>
      </w:tc>
      <w:tc>
        <w:tcPr>
          <w:tcW w:w="8164" w:type="dxa"/>
          <w:tcMar>
            <w:bottom w:w="284" w:type="dxa"/>
          </w:tcMar>
        </w:tcPr>
        <w:p w:rsidR="000C112C" w:rsidRPr="00090E70" w:rsidRDefault="000C112C" w:rsidP="00C80200"/>
      </w:tc>
    </w:tr>
  </w:tbl>
  <w:p w:rsidR="000C112C" w:rsidRDefault="000C112C">
    <w:pPr>
      <w:pStyle w:val="Footer"/>
    </w:pPr>
  </w:p>
  <w:p w:rsidR="000C112C" w:rsidRPr="004816D7" w:rsidRDefault="000C112C" w:rsidP="004816D7">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4" w:vertAnchor="page" w:horzAnchor="margin" w:tblpXSpec="right" w:tblpYSpec="bottom"/>
      <w:tblW w:w="8731" w:type="dxa"/>
      <w:tblLayout w:type="fixed"/>
      <w:tblCellMar>
        <w:top w:w="28" w:type="dxa"/>
      </w:tblCellMar>
      <w:tblLook w:val="04A0" w:firstRow="1" w:lastRow="0" w:firstColumn="1" w:lastColumn="0" w:noHBand="0" w:noVBand="1"/>
    </w:tblPr>
    <w:tblGrid>
      <w:gridCol w:w="8164"/>
      <w:gridCol w:w="567"/>
    </w:tblGrid>
    <w:tr w:rsidR="000C112C" w:rsidRPr="00EB388E" w:rsidTr="0087390B">
      <w:trPr>
        <w:trHeight w:val="340"/>
      </w:trPr>
      <w:tc>
        <w:tcPr>
          <w:tcW w:w="8164" w:type="dxa"/>
          <w:tcBorders>
            <w:right w:val="single" w:sz="4" w:space="0" w:color="788184" w:themeColor="background2"/>
          </w:tcBorders>
          <w:vAlign w:val="center"/>
        </w:tcPr>
        <w:p w:rsidR="000C112C" w:rsidRPr="00CB70DF" w:rsidRDefault="000C112C" w:rsidP="001F51E4">
          <w:pPr>
            <w:pStyle w:val="FooterRight"/>
            <w:framePr w:wrap="auto" w:vAnchor="margin" w:hAnchor="text" w:xAlign="left" w:yAlign="inline"/>
          </w:pPr>
        </w:p>
      </w:tc>
      <w:tc>
        <w:tcPr>
          <w:tcW w:w="567" w:type="dxa"/>
          <w:tcBorders>
            <w:left w:val="single" w:sz="4" w:space="0" w:color="788184" w:themeColor="background2"/>
          </w:tcBorders>
          <w:vAlign w:val="center"/>
        </w:tcPr>
        <w:p w:rsidR="000C112C" w:rsidRPr="00CB70DF" w:rsidRDefault="000C112C" w:rsidP="00E915E6">
          <w:pPr>
            <w:pStyle w:val="FooterRightPageNumber"/>
          </w:pPr>
          <w:r w:rsidRPr="00EB388E">
            <w:fldChar w:fldCharType="begin"/>
          </w:r>
          <w:r w:rsidRPr="00EB388E">
            <w:instrText xml:space="preserve"> PAGE   \* MERGEFORMAT </w:instrText>
          </w:r>
          <w:r w:rsidRPr="00EB388E">
            <w:fldChar w:fldCharType="separate"/>
          </w:r>
          <w:r w:rsidR="00E62C4F">
            <w:t>v</w:t>
          </w:r>
          <w:r w:rsidRPr="00EB388E">
            <w:fldChar w:fldCharType="end"/>
          </w:r>
        </w:p>
      </w:tc>
    </w:tr>
    <w:tr w:rsidR="000C112C" w:rsidRPr="00EB388E" w:rsidTr="004F1297">
      <w:trPr>
        <w:trHeight w:hRule="exact" w:val="403"/>
      </w:trPr>
      <w:tc>
        <w:tcPr>
          <w:tcW w:w="8164" w:type="dxa"/>
        </w:tcPr>
        <w:p w:rsidR="000C112C" w:rsidRPr="00090E70" w:rsidRDefault="000C112C" w:rsidP="0087390B"/>
      </w:tc>
      <w:tc>
        <w:tcPr>
          <w:tcW w:w="567" w:type="dxa"/>
          <w:tcMar>
            <w:bottom w:w="284" w:type="dxa"/>
          </w:tcMar>
        </w:tcPr>
        <w:p w:rsidR="000C112C" w:rsidRPr="00090E70" w:rsidRDefault="000C112C" w:rsidP="0087390B"/>
      </w:tc>
    </w:tr>
  </w:tbl>
  <w:p w:rsidR="000C112C" w:rsidRDefault="000C112C">
    <w:pPr>
      <w:pStyle w:val="Footer"/>
    </w:pPr>
  </w:p>
  <w:p w:rsidR="000C112C" w:rsidRPr="004816D7" w:rsidRDefault="000C112C" w:rsidP="004816D7">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12C" w:rsidRDefault="000C112C">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4" w:vertAnchor="page" w:horzAnchor="margin" w:tblpYSpec="bottom"/>
      <w:tblW w:w="8731" w:type="dxa"/>
      <w:tblLayout w:type="fixed"/>
      <w:tblCellMar>
        <w:top w:w="28" w:type="dxa"/>
      </w:tblCellMar>
      <w:tblLook w:val="04A0" w:firstRow="1" w:lastRow="0" w:firstColumn="1" w:lastColumn="0" w:noHBand="0" w:noVBand="1"/>
    </w:tblPr>
    <w:tblGrid>
      <w:gridCol w:w="567"/>
      <w:gridCol w:w="8164"/>
    </w:tblGrid>
    <w:tr w:rsidR="000C112C" w:rsidRPr="00EB388E" w:rsidTr="00C80200">
      <w:trPr>
        <w:trHeight w:val="340"/>
      </w:trPr>
      <w:tc>
        <w:tcPr>
          <w:tcW w:w="567" w:type="dxa"/>
          <w:tcBorders>
            <w:right w:val="single" w:sz="4" w:space="0" w:color="788184" w:themeColor="background2"/>
          </w:tcBorders>
          <w:vAlign w:val="center"/>
        </w:tcPr>
        <w:p w:rsidR="000C112C" w:rsidRPr="00CB70DF" w:rsidRDefault="000C112C" w:rsidP="00C80200">
          <w:pPr>
            <w:pStyle w:val="FooterLeftPageNumber"/>
            <w:framePr w:wrap="auto" w:vAnchor="margin" w:hAnchor="text" w:yAlign="inline"/>
          </w:pPr>
          <w:r w:rsidRPr="00EB388E">
            <w:fldChar w:fldCharType="begin"/>
          </w:r>
          <w:r w:rsidRPr="00EB388E">
            <w:instrText xml:space="preserve"> PAGE   \* MERGEFORMAT </w:instrText>
          </w:r>
          <w:r w:rsidRPr="00EB388E">
            <w:fldChar w:fldCharType="separate"/>
          </w:r>
          <w:r w:rsidR="00076CF9">
            <w:rPr>
              <w:noProof/>
            </w:rPr>
            <w:t>62</w:t>
          </w:r>
          <w:r w:rsidRPr="00EB388E">
            <w:fldChar w:fldCharType="end"/>
          </w:r>
        </w:p>
      </w:tc>
      <w:tc>
        <w:tcPr>
          <w:tcW w:w="8164" w:type="dxa"/>
          <w:tcBorders>
            <w:left w:val="single" w:sz="4" w:space="0" w:color="788184" w:themeColor="background2"/>
          </w:tcBorders>
          <w:vAlign w:val="center"/>
        </w:tcPr>
        <w:p w:rsidR="000C112C" w:rsidRPr="00CB70DF" w:rsidRDefault="00E62C4F" w:rsidP="00C80200">
          <w:pPr>
            <w:pStyle w:val="FooterLeft"/>
            <w:framePr w:wrap="auto" w:vAnchor="margin" w:hAnchor="text" w:yAlign="inline"/>
          </w:pPr>
          <w:r>
            <w:fldChar w:fldCharType="begin"/>
          </w:r>
          <w:r>
            <w:instrText xml:space="preserve"> STYLEREF  Title  \* MERGEFORMAT </w:instrText>
          </w:r>
          <w:r>
            <w:fldChar w:fldCharType="separate"/>
          </w:r>
          <w:r w:rsidR="00076CF9">
            <w:rPr>
              <w:noProof/>
            </w:rPr>
            <w:t>Goods and Services Tax</w:t>
          </w:r>
          <w:r>
            <w:rPr>
              <w:noProof/>
            </w:rPr>
            <w:fldChar w:fldCharType="end"/>
          </w:r>
        </w:p>
      </w:tc>
    </w:tr>
    <w:tr w:rsidR="000C112C" w:rsidRPr="00EB388E" w:rsidTr="00C80200">
      <w:trPr>
        <w:trHeight w:hRule="exact" w:val="403"/>
      </w:trPr>
      <w:tc>
        <w:tcPr>
          <w:tcW w:w="567" w:type="dxa"/>
          <w:tcMar>
            <w:bottom w:w="284" w:type="dxa"/>
          </w:tcMar>
        </w:tcPr>
        <w:p w:rsidR="000C112C" w:rsidRPr="00EB388E" w:rsidRDefault="000C112C" w:rsidP="00C80200">
          <w:pPr>
            <w:pStyle w:val="FooterRightPageNumber"/>
          </w:pPr>
        </w:p>
      </w:tc>
      <w:tc>
        <w:tcPr>
          <w:tcW w:w="8164" w:type="dxa"/>
          <w:tcMar>
            <w:bottom w:w="284" w:type="dxa"/>
          </w:tcMar>
        </w:tcPr>
        <w:p w:rsidR="000C112C" w:rsidRPr="00090E70" w:rsidRDefault="000C112C" w:rsidP="00C80200"/>
      </w:tc>
    </w:tr>
  </w:tbl>
  <w:p w:rsidR="000C112C" w:rsidRDefault="000C112C"/>
  <w:p w:rsidR="000C112C" w:rsidRDefault="000C112C"/>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4" w:vertAnchor="page" w:horzAnchor="margin" w:tblpXSpec="right" w:tblpYSpec="bottom"/>
      <w:tblW w:w="8731" w:type="dxa"/>
      <w:tblLayout w:type="fixed"/>
      <w:tblCellMar>
        <w:top w:w="28" w:type="dxa"/>
      </w:tblCellMar>
      <w:tblLook w:val="04A0" w:firstRow="1" w:lastRow="0" w:firstColumn="1" w:lastColumn="0" w:noHBand="0" w:noVBand="1"/>
    </w:tblPr>
    <w:tblGrid>
      <w:gridCol w:w="8164"/>
      <w:gridCol w:w="567"/>
    </w:tblGrid>
    <w:tr w:rsidR="000C112C" w:rsidRPr="00EB388E" w:rsidTr="0087390B">
      <w:trPr>
        <w:trHeight w:val="340"/>
      </w:trPr>
      <w:tc>
        <w:tcPr>
          <w:tcW w:w="8164" w:type="dxa"/>
          <w:tcBorders>
            <w:right w:val="single" w:sz="4" w:space="0" w:color="788184" w:themeColor="background2"/>
          </w:tcBorders>
          <w:vAlign w:val="center"/>
        </w:tcPr>
        <w:p w:rsidR="000C112C" w:rsidRPr="00890A68" w:rsidRDefault="00E62C4F" w:rsidP="001C48DE">
          <w:pPr>
            <w:pStyle w:val="FooterRight"/>
            <w:framePr w:wrap="auto" w:vAnchor="margin" w:hAnchor="text" w:xAlign="left" w:yAlign="inline"/>
          </w:pPr>
          <w:r>
            <w:fldChar w:fldCharType="begin"/>
          </w:r>
          <w:r>
            <w:instrText xml:space="preserve"> STYLEREF  "Heading 1"  \* MERGEFORMAT </w:instrText>
          </w:r>
          <w:r>
            <w:fldChar w:fldCharType="separate"/>
          </w:r>
          <w:r>
            <w:rPr>
              <w:noProof/>
            </w:rPr>
            <w:t>Analysis of GST reform scenarios</w:t>
          </w:r>
          <w:r>
            <w:rPr>
              <w:noProof/>
            </w:rPr>
            <w:fldChar w:fldCharType="end"/>
          </w:r>
        </w:p>
      </w:tc>
      <w:tc>
        <w:tcPr>
          <w:tcW w:w="567" w:type="dxa"/>
          <w:tcBorders>
            <w:left w:val="single" w:sz="4" w:space="0" w:color="788184" w:themeColor="background2"/>
          </w:tcBorders>
          <w:vAlign w:val="center"/>
        </w:tcPr>
        <w:p w:rsidR="000C112C" w:rsidRPr="00CB70DF" w:rsidRDefault="000C112C" w:rsidP="00E915E6">
          <w:pPr>
            <w:pStyle w:val="FooterRightPageNumber"/>
          </w:pPr>
          <w:r w:rsidRPr="00EB388E">
            <w:fldChar w:fldCharType="begin"/>
          </w:r>
          <w:r w:rsidRPr="00EB388E">
            <w:instrText xml:space="preserve"> PAGE   \* MERGEFORMAT </w:instrText>
          </w:r>
          <w:r w:rsidRPr="00EB388E">
            <w:fldChar w:fldCharType="separate"/>
          </w:r>
          <w:r w:rsidR="00E62C4F">
            <w:t>31</w:t>
          </w:r>
          <w:r w:rsidRPr="00EB388E">
            <w:fldChar w:fldCharType="end"/>
          </w:r>
        </w:p>
      </w:tc>
    </w:tr>
    <w:tr w:rsidR="000C112C" w:rsidRPr="00EB388E" w:rsidTr="004F1297">
      <w:trPr>
        <w:trHeight w:hRule="exact" w:val="403"/>
      </w:trPr>
      <w:tc>
        <w:tcPr>
          <w:tcW w:w="8164" w:type="dxa"/>
        </w:tcPr>
        <w:p w:rsidR="000C112C" w:rsidRPr="00090E70" w:rsidRDefault="000C112C" w:rsidP="0087390B"/>
      </w:tc>
      <w:tc>
        <w:tcPr>
          <w:tcW w:w="567" w:type="dxa"/>
          <w:tcMar>
            <w:bottom w:w="284" w:type="dxa"/>
          </w:tcMar>
        </w:tcPr>
        <w:p w:rsidR="000C112C" w:rsidRPr="00090E70" w:rsidRDefault="000C112C" w:rsidP="0087390B"/>
      </w:tc>
    </w:tr>
  </w:tbl>
  <w:p w:rsidR="000C112C" w:rsidRDefault="000C112C"/>
  <w:p w:rsidR="000C112C" w:rsidRDefault="000C112C"/>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12C" w:rsidRDefault="000C112C">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4" w:vertAnchor="page" w:horzAnchor="margin" w:tblpYSpec="bottom"/>
      <w:tblW w:w="8731" w:type="dxa"/>
      <w:tblLayout w:type="fixed"/>
      <w:tblCellMar>
        <w:top w:w="28" w:type="dxa"/>
      </w:tblCellMar>
      <w:tblLook w:val="04A0" w:firstRow="1" w:lastRow="0" w:firstColumn="1" w:lastColumn="0" w:noHBand="0" w:noVBand="1"/>
    </w:tblPr>
    <w:tblGrid>
      <w:gridCol w:w="567"/>
      <w:gridCol w:w="8164"/>
    </w:tblGrid>
    <w:tr w:rsidR="000C112C" w:rsidRPr="00EB388E" w:rsidTr="00C80200">
      <w:trPr>
        <w:trHeight w:val="340"/>
      </w:trPr>
      <w:tc>
        <w:tcPr>
          <w:tcW w:w="567" w:type="dxa"/>
          <w:tcBorders>
            <w:right w:val="single" w:sz="4" w:space="0" w:color="788184" w:themeColor="background2"/>
          </w:tcBorders>
          <w:vAlign w:val="center"/>
        </w:tcPr>
        <w:p w:rsidR="000C112C" w:rsidRPr="00CB70DF" w:rsidRDefault="000C112C" w:rsidP="00C80200">
          <w:pPr>
            <w:pStyle w:val="FooterLeftPageNumber"/>
            <w:framePr w:wrap="auto" w:vAnchor="margin" w:hAnchor="text" w:yAlign="inline"/>
          </w:pPr>
          <w:r w:rsidRPr="00EB388E">
            <w:fldChar w:fldCharType="begin"/>
          </w:r>
          <w:r w:rsidRPr="00EB388E">
            <w:instrText xml:space="preserve"> PAGE   \* MERGEFORMAT </w:instrText>
          </w:r>
          <w:r w:rsidRPr="00EB388E">
            <w:fldChar w:fldCharType="separate"/>
          </w:r>
          <w:r w:rsidR="00E62C4F">
            <w:rPr>
              <w:noProof/>
            </w:rPr>
            <w:t>32</w:t>
          </w:r>
          <w:r w:rsidRPr="00EB388E">
            <w:fldChar w:fldCharType="end"/>
          </w:r>
        </w:p>
      </w:tc>
      <w:tc>
        <w:tcPr>
          <w:tcW w:w="8164" w:type="dxa"/>
          <w:tcBorders>
            <w:left w:val="single" w:sz="4" w:space="0" w:color="788184" w:themeColor="background2"/>
          </w:tcBorders>
          <w:vAlign w:val="center"/>
        </w:tcPr>
        <w:p w:rsidR="000C112C" w:rsidRPr="00CB70DF" w:rsidRDefault="00E62C4F" w:rsidP="00C80200">
          <w:pPr>
            <w:pStyle w:val="FooterLeft"/>
            <w:framePr w:wrap="auto" w:vAnchor="margin" w:hAnchor="text" w:yAlign="inline"/>
          </w:pPr>
          <w:r>
            <w:fldChar w:fldCharType="begin"/>
          </w:r>
          <w:r>
            <w:instrText xml:space="preserve"> STYLEREF  Title  \* MERGEFORMAT </w:instrText>
          </w:r>
          <w:r>
            <w:fldChar w:fldCharType="separate"/>
          </w:r>
          <w:r>
            <w:rPr>
              <w:noProof/>
            </w:rPr>
            <w:t>Goods and Services Tax</w:t>
          </w:r>
          <w:r>
            <w:rPr>
              <w:noProof/>
            </w:rPr>
            <w:fldChar w:fldCharType="end"/>
          </w:r>
        </w:p>
      </w:tc>
    </w:tr>
    <w:tr w:rsidR="000C112C" w:rsidRPr="00EB388E" w:rsidTr="00C80200">
      <w:trPr>
        <w:trHeight w:hRule="exact" w:val="403"/>
      </w:trPr>
      <w:tc>
        <w:tcPr>
          <w:tcW w:w="567" w:type="dxa"/>
          <w:tcMar>
            <w:bottom w:w="284" w:type="dxa"/>
          </w:tcMar>
        </w:tcPr>
        <w:p w:rsidR="000C112C" w:rsidRPr="00EB388E" w:rsidRDefault="000C112C" w:rsidP="00C80200">
          <w:pPr>
            <w:pStyle w:val="FooterRightPageNumber"/>
          </w:pPr>
        </w:p>
      </w:tc>
      <w:tc>
        <w:tcPr>
          <w:tcW w:w="8164" w:type="dxa"/>
          <w:tcMar>
            <w:bottom w:w="284" w:type="dxa"/>
          </w:tcMar>
        </w:tcPr>
        <w:p w:rsidR="000C112C" w:rsidRPr="00090E70" w:rsidRDefault="000C112C" w:rsidP="00C80200"/>
      </w:tc>
    </w:tr>
  </w:tbl>
  <w:p w:rsidR="000C112C" w:rsidRDefault="000C112C"/>
  <w:p w:rsidR="000C112C" w:rsidRDefault="000C112C"/>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3" w:vertAnchor="page" w:horzAnchor="margin" w:tblpYSpec="bottom"/>
      <w:tblW w:w="8731" w:type="dxa"/>
      <w:tblLayout w:type="fixed"/>
      <w:tblCellMar>
        <w:top w:w="28" w:type="dxa"/>
      </w:tblCellMar>
      <w:tblLook w:val="04A0" w:firstRow="1" w:lastRow="0" w:firstColumn="1" w:lastColumn="0" w:noHBand="0" w:noVBand="1"/>
    </w:tblPr>
    <w:tblGrid>
      <w:gridCol w:w="567"/>
      <w:gridCol w:w="8164"/>
    </w:tblGrid>
    <w:tr w:rsidR="000C112C" w:rsidRPr="00EB388E" w:rsidTr="005861F3">
      <w:trPr>
        <w:trHeight w:val="340"/>
      </w:trPr>
      <w:tc>
        <w:tcPr>
          <w:tcW w:w="567" w:type="dxa"/>
          <w:tcBorders>
            <w:right w:val="single" w:sz="4" w:space="0" w:color="788184" w:themeColor="background2"/>
          </w:tcBorders>
          <w:vAlign w:val="center"/>
        </w:tcPr>
        <w:p w:rsidR="000C112C" w:rsidRPr="00CB70DF" w:rsidRDefault="000C112C" w:rsidP="005861F3">
          <w:pPr>
            <w:pStyle w:val="FooterLeftPageNumber"/>
            <w:framePr w:wrap="auto" w:vAnchor="margin" w:hAnchor="text" w:yAlign="inline"/>
          </w:pPr>
          <w:r w:rsidRPr="00EB388E">
            <w:fldChar w:fldCharType="begin"/>
          </w:r>
          <w:r w:rsidRPr="00EB388E">
            <w:instrText xml:space="preserve"> PAGE   \* MERGEFORMAT </w:instrText>
          </w:r>
          <w:r w:rsidRPr="00EB388E">
            <w:fldChar w:fldCharType="separate"/>
          </w:r>
          <w:r w:rsidR="00E62C4F">
            <w:rPr>
              <w:noProof/>
            </w:rPr>
            <w:t>44</w:t>
          </w:r>
          <w:r w:rsidRPr="00EB388E">
            <w:fldChar w:fldCharType="end"/>
          </w:r>
        </w:p>
      </w:tc>
      <w:tc>
        <w:tcPr>
          <w:tcW w:w="8164" w:type="dxa"/>
          <w:tcBorders>
            <w:left w:val="single" w:sz="4" w:space="0" w:color="788184" w:themeColor="background2"/>
          </w:tcBorders>
          <w:vAlign w:val="center"/>
        </w:tcPr>
        <w:p w:rsidR="000C112C" w:rsidRPr="00CB70DF" w:rsidRDefault="00E62C4F" w:rsidP="005861F3">
          <w:pPr>
            <w:pStyle w:val="FooterLeft"/>
            <w:framePr w:wrap="auto" w:vAnchor="margin" w:hAnchor="text" w:yAlign="inline"/>
          </w:pPr>
          <w:r>
            <w:fldChar w:fldCharType="begin"/>
          </w:r>
          <w:r>
            <w:instrText xml:space="preserve"> STYLEREF  Title  \* MERGEFORMAT </w:instrText>
          </w:r>
          <w:r>
            <w:fldChar w:fldCharType="separate"/>
          </w:r>
          <w:r>
            <w:rPr>
              <w:noProof/>
            </w:rPr>
            <w:t>Goods and Services Tax</w:t>
          </w:r>
          <w:r>
            <w:rPr>
              <w:noProof/>
            </w:rPr>
            <w:fldChar w:fldCharType="end"/>
          </w:r>
        </w:p>
      </w:tc>
    </w:tr>
    <w:tr w:rsidR="000C112C" w:rsidRPr="00EB388E" w:rsidTr="005861F3">
      <w:trPr>
        <w:trHeight w:hRule="exact" w:val="403"/>
      </w:trPr>
      <w:tc>
        <w:tcPr>
          <w:tcW w:w="567" w:type="dxa"/>
          <w:tcMar>
            <w:bottom w:w="284" w:type="dxa"/>
          </w:tcMar>
        </w:tcPr>
        <w:p w:rsidR="000C112C" w:rsidRPr="00EB388E" w:rsidRDefault="000C112C" w:rsidP="005861F3">
          <w:pPr>
            <w:pStyle w:val="FooterRightPageNumber"/>
          </w:pPr>
        </w:p>
      </w:tc>
      <w:tc>
        <w:tcPr>
          <w:tcW w:w="8164" w:type="dxa"/>
          <w:tcMar>
            <w:bottom w:w="284" w:type="dxa"/>
          </w:tcMar>
        </w:tcPr>
        <w:p w:rsidR="000C112C" w:rsidRPr="00090E70" w:rsidRDefault="000C112C" w:rsidP="005861F3"/>
      </w:tc>
    </w:tr>
  </w:tbl>
  <w:p w:rsidR="000C112C" w:rsidRDefault="000C112C">
    <w:pPr>
      <w:pStyle w:val="Footer"/>
    </w:pPr>
  </w:p>
  <w:p w:rsidR="000C112C" w:rsidRPr="004816D7" w:rsidRDefault="000C112C" w:rsidP="0068456C">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3" w:vertAnchor="page" w:horzAnchor="margin" w:tblpXSpec="right" w:tblpYSpec="bottom"/>
      <w:tblW w:w="8731" w:type="dxa"/>
      <w:tblLayout w:type="fixed"/>
      <w:tblCellMar>
        <w:top w:w="28" w:type="dxa"/>
      </w:tblCellMar>
      <w:tblLook w:val="04A0" w:firstRow="1" w:lastRow="0" w:firstColumn="1" w:lastColumn="0" w:noHBand="0" w:noVBand="1"/>
    </w:tblPr>
    <w:tblGrid>
      <w:gridCol w:w="8164"/>
      <w:gridCol w:w="567"/>
    </w:tblGrid>
    <w:tr w:rsidR="000C112C" w:rsidRPr="00EB388E" w:rsidTr="005861F3">
      <w:trPr>
        <w:trHeight w:val="340"/>
      </w:trPr>
      <w:tc>
        <w:tcPr>
          <w:tcW w:w="8164" w:type="dxa"/>
          <w:tcBorders>
            <w:right w:val="single" w:sz="4" w:space="0" w:color="788184" w:themeColor="background2"/>
          </w:tcBorders>
          <w:vAlign w:val="center"/>
        </w:tcPr>
        <w:p w:rsidR="000C112C" w:rsidRPr="00CB70DF" w:rsidRDefault="001B4CA3" w:rsidP="005861F3">
          <w:pPr>
            <w:pStyle w:val="FooterRight"/>
            <w:framePr w:wrap="auto" w:vAnchor="margin" w:hAnchor="text" w:xAlign="left" w:yAlign="inline"/>
          </w:pPr>
          <w:r>
            <w:t>Goods and Services Tax</w:t>
          </w:r>
        </w:p>
      </w:tc>
      <w:tc>
        <w:tcPr>
          <w:tcW w:w="567" w:type="dxa"/>
          <w:tcBorders>
            <w:left w:val="single" w:sz="4" w:space="0" w:color="788184" w:themeColor="background2"/>
          </w:tcBorders>
          <w:vAlign w:val="center"/>
        </w:tcPr>
        <w:p w:rsidR="000C112C" w:rsidRPr="00CB70DF" w:rsidRDefault="000C112C" w:rsidP="005861F3">
          <w:pPr>
            <w:pStyle w:val="FooterRightPageNumber"/>
          </w:pPr>
          <w:r w:rsidRPr="00EB388E">
            <w:fldChar w:fldCharType="begin"/>
          </w:r>
          <w:r w:rsidRPr="00EB388E">
            <w:instrText xml:space="preserve"> PAGE   \* MERGEFORMAT </w:instrText>
          </w:r>
          <w:r w:rsidRPr="00EB388E">
            <w:fldChar w:fldCharType="separate"/>
          </w:r>
          <w:r w:rsidR="00E62C4F">
            <w:t>37</w:t>
          </w:r>
          <w:r w:rsidRPr="00EB388E">
            <w:fldChar w:fldCharType="end"/>
          </w:r>
        </w:p>
      </w:tc>
    </w:tr>
    <w:tr w:rsidR="000C112C" w:rsidRPr="00EB388E" w:rsidTr="005861F3">
      <w:trPr>
        <w:trHeight w:hRule="exact" w:val="403"/>
      </w:trPr>
      <w:tc>
        <w:tcPr>
          <w:tcW w:w="8164" w:type="dxa"/>
        </w:tcPr>
        <w:p w:rsidR="000C112C" w:rsidRPr="00090E70" w:rsidRDefault="000C112C" w:rsidP="005861F3"/>
      </w:tc>
      <w:tc>
        <w:tcPr>
          <w:tcW w:w="567" w:type="dxa"/>
          <w:tcMar>
            <w:bottom w:w="284" w:type="dxa"/>
          </w:tcMar>
        </w:tcPr>
        <w:p w:rsidR="000C112C" w:rsidRPr="00090E70" w:rsidRDefault="000C112C" w:rsidP="005861F3"/>
      </w:tc>
    </w:tr>
  </w:tbl>
  <w:p w:rsidR="000C112C" w:rsidRDefault="000C112C">
    <w:pPr>
      <w:pStyle w:val="Footer"/>
    </w:pPr>
  </w:p>
  <w:p w:rsidR="000C112C" w:rsidRPr="004816D7" w:rsidRDefault="000C112C" w:rsidP="0068456C">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12C" w:rsidRDefault="000C11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12C" w:rsidRPr="00613471" w:rsidRDefault="000C112C" w:rsidP="00613471">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3" w:vertAnchor="page" w:horzAnchor="margin" w:tblpXSpec="right" w:tblpYSpec="bottom"/>
      <w:tblW w:w="8731" w:type="dxa"/>
      <w:tblLayout w:type="fixed"/>
      <w:tblCellMar>
        <w:top w:w="28" w:type="dxa"/>
      </w:tblCellMar>
      <w:tblLook w:val="04A0" w:firstRow="1" w:lastRow="0" w:firstColumn="1" w:lastColumn="0" w:noHBand="0" w:noVBand="1"/>
    </w:tblPr>
    <w:tblGrid>
      <w:gridCol w:w="8164"/>
      <w:gridCol w:w="567"/>
    </w:tblGrid>
    <w:tr w:rsidR="000C112C" w:rsidRPr="00EB388E" w:rsidTr="005861F3">
      <w:trPr>
        <w:trHeight w:val="340"/>
      </w:trPr>
      <w:tc>
        <w:tcPr>
          <w:tcW w:w="8164" w:type="dxa"/>
          <w:tcBorders>
            <w:right w:val="single" w:sz="4" w:space="0" w:color="788184" w:themeColor="background2"/>
          </w:tcBorders>
          <w:vAlign w:val="center"/>
        </w:tcPr>
        <w:p w:rsidR="000C112C" w:rsidRPr="00CB70DF" w:rsidRDefault="001B4CA3" w:rsidP="005861F3">
          <w:pPr>
            <w:pStyle w:val="FooterRight"/>
            <w:framePr w:wrap="auto" w:vAnchor="margin" w:hAnchor="text" w:xAlign="left" w:yAlign="inline"/>
          </w:pPr>
          <w:r>
            <w:t>Goods and Services Tax</w:t>
          </w:r>
        </w:p>
      </w:tc>
      <w:tc>
        <w:tcPr>
          <w:tcW w:w="567" w:type="dxa"/>
          <w:tcBorders>
            <w:left w:val="single" w:sz="4" w:space="0" w:color="788184" w:themeColor="background2"/>
          </w:tcBorders>
          <w:vAlign w:val="center"/>
        </w:tcPr>
        <w:p w:rsidR="000C112C" w:rsidRPr="00CB70DF" w:rsidRDefault="000C112C" w:rsidP="005861F3">
          <w:pPr>
            <w:pStyle w:val="FooterRightPageNumber"/>
          </w:pPr>
          <w:r w:rsidRPr="00EB388E">
            <w:fldChar w:fldCharType="begin"/>
          </w:r>
          <w:r w:rsidRPr="00EB388E">
            <w:instrText xml:space="preserve"> PAGE   \* MERGEFORMAT </w:instrText>
          </w:r>
          <w:r w:rsidRPr="00EB388E">
            <w:fldChar w:fldCharType="separate"/>
          </w:r>
          <w:r w:rsidR="00E62C4F">
            <w:t>45</w:t>
          </w:r>
          <w:r w:rsidRPr="00EB388E">
            <w:fldChar w:fldCharType="end"/>
          </w:r>
        </w:p>
      </w:tc>
    </w:tr>
    <w:tr w:rsidR="000C112C" w:rsidRPr="00EB388E" w:rsidTr="005861F3">
      <w:trPr>
        <w:trHeight w:hRule="exact" w:val="403"/>
      </w:trPr>
      <w:tc>
        <w:tcPr>
          <w:tcW w:w="8164" w:type="dxa"/>
        </w:tcPr>
        <w:p w:rsidR="000C112C" w:rsidRPr="00090E70" w:rsidRDefault="000C112C" w:rsidP="005861F3"/>
      </w:tc>
      <w:tc>
        <w:tcPr>
          <w:tcW w:w="567" w:type="dxa"/>
          <w:tcMar>
            <w:bottom w:w="284" w:type="dxa"/>
          </w:tcMar>
        </w:tcPr>
        <w:p w:rsidR="000C112C" w:rsidRPr="00090E70" w:rsidRDefault="000C112C" w:rsidP="005861F3"/>
      </w:tc>
    </w:tr>
  </w:tbl>
  <w:p w:rsidR="000C112C" w:rsidRDefault="000C112C">
    <w:pPr>
      <w:pStyle w:val="Footer"/>
    </w:pPr>
  </w:p>
  <w:p w:rsidR="000C112C" w:rsidRPr="004816D7" w:rsidRDefault="000C112C" w:rsidP="0068456C">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3" w:vertAnchor="page" w:horzAnchor="margin" w:tblpYSpec="bottom"/>
      <w:tblW w:w="8731" w:type="dxa"/>
      <w:tblLayout w:type="fixed"/>
      <w:tblCellMar>
        <w:top w:w="28" w:type="dxa"/>
      </w:tblCellMar>
      <w:tblLook w:val="04A0" w:firstRow="1" w:lastRow="0" w:firstColumn="1" w:lastColumn="0" w:noHBand="0" w:noVBand="1"/>
    </w:tblPr>
    <w:tblGrid>
      <w:gridCol w:w="567"/>
      <w:gridCol w:w="8164"/>
    </w:tblGrid>
    <w:tr w:rsidR="00835D92" w:rsidRPr="00EB388E" w:rsidTr="0064422F">
      <w:trPr>
        <w:trHeight w:val="340"/>
      </w:trPr>
      <w:tc>
        <w:tcPr>
          <w:tcW w:w="567" w:type="dxa"/>
          <w:tcBorders>
            <w:right w:val="single" w:sz="4" w:space="0" w:color="788184" w:themeColor="background2"/>
          </w:tcBorders>
          <w:vAlign w:val="center"/>
        </w:tcPr>
        <w:p w:rsidR="00835D92" w:rsidRPr="00CB70DF" w:rsidRDefault="00835D92" w:rsidP="0064422F">
          <w:pPr>
            <w:pStyle w:val="FooterLeftPageNumber"/>
            <w:framePr w:wrap="auto" w:vAnchor="margin" w:hAnchor="text" w:yAlign="inline"/>
          </w:pPr>
          <w:r w:rsidRPr="00EB388E">
            <w:fldChar w:fldCharType="begin"/>
          </w:r>
          <w:r w:rsidRPr="00EB388E">
            <w:instrText xml:space="preserve"> PAGE   \* MERGEFORMAT </w:instrText>
          </w:r>
          <w:r w:rsidRPr="00EB388E">
            <w:fldChar w:fldCharType="separate"/>
          </w:r>
          <w:r w:rsidR="00E62C4F">
            <w:rPr>
              <w:noProof/>
            </w:rPr>
            <w:t>46</w:t>
          </w:r>
          <w:r w:rsidRPr="00EB388E">
            <w:fldChar w:fldCharType="end"/>
          </w:r>
        </w:p>
      </w:tc>
      <w:tc>
        <w:tcPr>
          <w:tcW w:w="8164" w:type="dxa"/>
          <w:tcBorders>
            <w:left w:val="single" w:sz="4" w:space="0" w:color="788184" w:themeColor="background2"/>
          </w:tcBorders>
          <w:vAlign w:val="center"/>
        </w:tcPr>
        <w:p w:rsidR="00835D92" w:rsidRPr="00CB70DF" w:rsidRDefault="008D1EEC" w:rsidP="0064422F">
          <w:pPr>
            <w:pStyle w:val="FooterLeft"/>
            <w:framePr w:wrap="auto" w:vAnchor="margin" w:hAnchor="text" w:yAlign="inline"/>
          </w:pPr>
          <w:fldSimple w:instr=" STYLEREF  Title  \* MERGEFORMAT ">
            <w:r w:rsidR="00E62C4F">
              <w:rPr>
                <w:noProof/>
              </w:rPr>
              <w:t>Goods and Services Tax</w:t>
            </w:r>
          </w:fldSimple>
        </w:p>
      </w:tc>
    </w:tr>
    <w:tr w:rsidR="00835D92" w:rsidRPr="00EB388E" w:rsidTr="0064422F">
      <w:trPr>
        <w:trHeight w:hRule="exact" w:val="403"/>
      </w:trPr>
      <w:tc>
        <w:tcPr>
          <w:tcW w:w="567" w:type="dxa"/>
          <w:tcMar>
            <w:bottom w:w="284" w:type="dxa"/>
          </w:tcMar>
        </w:tcPr>
        <w:p w:rsidR="00835D92" w:rsidRPr="00EB388E" w:rsidRDefault="00835D92" w:rsidP="0064422F">
          <w:pPr>
            <w:pStyle w:val="FooterRightPageNumber"/>
          </w:pPr>
        </w:p>
      </w:tc>
      <w:tc>
        <w:tcPr>
          <w:tcW w:w="8164" w:type="dxa"/>
          <w:tcMar>
            <w:bottom w:w="284" w:type="dxa"/>
          </w:tcMar>
        </w:tcPr>
        <w:p w:rsidR="00835D92" w:rsidRPr="00090E70" w:rsidRDefault="00835D92" w:rsidP="0064422F"/>
      </w:tc>
    </w:tr>
  </w:tbl>
  <w:p w:rsidR="00835D92" w:rsidRDefault="00835D92">
    <w:pPr>
      <w:pStyle w:val="Footer"/>
    </w:pPr>
  </w:p>
  <w:p w:rsidR="00835D92" w:rsidRPr="004816D7" w:rsidRDefault="00835D92" w:rsidP="002424AA">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3" w:vertAnchor="page" w:horzAnchor="margin" w:tblpXSpec="right" w:tblpYSpec="bottom"/>
      <w:tblW w:w="8731" w:type="dxa"/>
      <w:tblLayout w:type="fixed"/>
      <w:tblCellMar>
        <w:top w:w="28" w:type="dxa"/>
      </w:tblCellMar>
      <w:tblLook w:val="04A0" w:firstRow="1" w:lastRow="0" w:firstColumn="1" w:lastColumn="0" w:noHBand="0" w:noVBand="1"/>
    </w:tblPr>
    <w:tblGrid>
      <w:gridCol w:w="8164"/>
      <w:gridCol w:w="567"/>
    </w:tblGrid>
    <w:tr w:rsidR="00835D92" w:rsidRPr="00EB388E" w:rsidTr="0064422F">
      <w:trPr>
        <w:trHeight w:val="340"/>
      </w:trPr>
      <w:tc>
        <w:tcPr>
          <w:tcW w:w="8164" w:type="dxa"/>
          <w:tcBorders>
            <w:right w:val="single" w:sz="4" w:space="0" w:color="788184" w:themeColor="background2"/>
          </w:tcBorders>
          <w:vAlign w:val="center"/>
        </w:tcPr>
        <w:p w:rsidR="00835D92" w:rsidRPr="00CB70DF" w:rsidRDefault="008D1EEC" w:rsidP="0064422F">
          <w:pPr>
            <w:pStyle w:val="FooterRight"/>
            <w:framePr w:wrap="auto" w:vAnchor="margin" w:hAnchor="text" w:xAlign="left" w:yAlign="inline"/>
          </w:pPr>
          <w:fldSimple w:instr=" STYLEREF  &quot;Heading 8,Appendix Title&quot; \r  \* MERGEFORMAT ">
            <w:r w:rsidR="00076CF9">
              <w:rPr>
                <w:noProof/>
              </w:rPr>
              <w:t>Appendix A</w:t>
            </w:r>
          </w:fldSimple>
        </w:p>
      </w:tc>
      <w:tc>
        <w:tcPr>
          <w:tcW w:w="567" w:type="dxa"/>
          <w:tcBorders>
            <w:left w:val="single" w:sz="4" w:space="0" w:color="788184" w:themeColor="background2"/>
          </w:tcBorders>
          <w:vAlign w:val="center"/>
        </w:tcPr>
        <w:p w:rsidR="00835D92" w:rsidRPr="00CB70DF" w:rsidRDefault="00835D92" w:rsidP="0064422F">
          <w:pPr>
            <w:pStyle w:val="FooterRightPageNumber"/>
          </w:pPr>
          <w:r w:rsidRPr="00EB388E">
            <w:fldChar w:fldCharType="begin"/>
          </w:r>
          <w:r w:rsidRPr="00EB388E">
            <w:instrText xml:space="preserve"> PAGE   \* MERGEFORMAT </w:instrText>
          </w:r>
          <w:r w:rsidRPr="00EB388E">
            <w:fldChar w:fldCharType="separate"/>
          </w:r>
          <w:r w:rsidR="00076CF9">
            <w:t>62</w:t>
          </w:r>
          <w:r w:rsidRPr="00EB388E">
            <w:fldChar w:fldCharType="end"/>
          </w:r>
        </w:p>
      </w:tc>
    </w:tr>
    <w:tr w:rsidR="00835D92" w:rsidRPr="00EB388E" w:rsidTr="0064422F">
      <w:trPr>
        <w:trHeight w:hRule="exact" w:val="403"/>
      </w:trPr>
      <w:tc>
        <w:tcPr>
          <w:tcW w:w="8164" w:type="dxa"/>
        </w:tcPr>
        <w:p w:rsidR="00835D92" w:rsidRPr="00090E70" w:rsidRDefault="00835D92" w:rsidP="0064422F"/>
      </w:tc>
      <w:tc>
        <w:tcPr>
          <w:tcW w:w="567" w:type="dxa"/>
          <w:tcMar>
            <w:bottom w:w="284" w:type="dxa"/>
          </w:tcMar>
        </w:tcPr>
        <w:p w:rsidR="00835D92" w:rsidRPr="00090E70" w:rsidRDefault="00835D92" w:rsidP="0064422F"/>
      </w:tc>
    </w:tr>
  </w:tbl>
  <w:p w:rsidR="00835D92" w:rsidRDefault="00835D92">
    <w:pPr>
      <w:pStyle w:val="Footer"/>
    </w:pPr>
  </w:p>
  <w:p w:rsidR="00835D92" w:rsidRPr="004816D7" w:rsidRDefault="00835D92" w:rsidP="002424AA">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D92" w:rsidRDefault="00835D92">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3" w:vertAnchor="page" w:horzAnchor="margin" w:tblpYSpec="bottom"/>
      <w:tblW w:w="8731" w:type="dxa"/>
      <w:tblLayout w:type="fixed"/>
      <w:tblCellMar>
        <w:top w:w="28" w:type="dxa"/>
      </w:tblCellMar>
      <w:tblLook w:val="04A0" w:firstRow="1" w:lastRow="0" w:firstColumn="1" w:lastColumn="0" w:noHBand="0" w:noVBand="1"/>
    </w:tblPr>
    <w:tblGrid>
      <w:gridCol w:w="567"/>
      <w:gridCol w:w="8164"/>
    </w:tblGrid>
    <w:tr w:rsidR="000C112C" w:rsidRPr="00EB388E" w:rsidTr="0064422F">
      <w:trPr>
        <w:trHeight w:val="340"/>
      </w:trPr>
      <w:tc>
        <w:tcPr>
          <w:tcW w:w="567" w:type="dxa"/>
          <w:tcBorders>
            <w:right w:val="single" w:sz="4" w:space="0" w:color="788184" w:themeColor="background2"/>
          </w:tcBorders>
          <w:vAlign w:val="center"/>
        </w:tcPr>
        <w:p w:rsidR="000C112C" w:rsidRPr="00CB70DF" w:rsidRDefault="000C112C" w:rsidP="0064422F">
          <w:pPr>
            <w:pStyle w:val="FooterLeftPageNumber"/>
            <w:framePr w:wrap="auto" w:vAnchor="margin" w:hAnchor="text" w:yAlign="inline"/>
          </w:pPr>
          <w:r w:rsidRPr="00EB388E">
            <w:fldChar w:fldCharType="begin"/>
          </w:r>
          <w:r w:rsidRPr="00EB388E">
            <w:instrText xml:space="preserve"> PAGE   \* MERGEFORMAT </w:instrText>
          </w:r>
          <w:r w:rsidRPr="00EB388E">
            <w:fldChar w:fldCharType="separate"/>
          </w:r>
          <w:r w:rsidR="00076CF9">
            <w:rPr>
              <w:noProof/>
            </w:rPr>
            <w:t>62</w:t>
          </w:r>
          <w:r w:rsidRPr="00EB388E">
            <w:fldChar w:fldCharType="end"/>
          </w:r>
        </w:p>
      </w:tc>
      <w:tc>
        <w:tcPr>
          <w:tcW w:w="8164" w:type="dxa"/>
          <w:tcBorders>
            <w:left w:val="single" w:sz="4" w:space="0" w:color="788184" w:themeColor="background2"/>
          </w:tcBorders>
          <w:vAlign w:val="center"/>
        </w:tcPr>
        <w:p w:rsidR="000C112C" w:rsidRPr="00CB70DF" w:rsidRDefault="00E62C4F" w:rsidP="0064422F">
          <w:pPr>
            <w:pStyle w:val="FooterLeft"/>
            <w:framePr w:wrap="auto" w:vAnchor="margin" w:hAnchor="text" w:yAlign="inline"/>
          </w:pPr>
          <w:r>
            <w:fldChar w:fldCharType="begin"/>
          </w:r>
          <w:r>
            <w:instrText xml:space="preserve"> STYLEREF  Title  \* MERGEFORMAT </w:instrText>
          </w:r>
          <w:r>
            <w:fldChar w:fldCharType="separate"/>
          </w:r>
          <w:r w:rsidR="00076CF9">
            <w:rPr>
              <w:noProof/>
            </w:rPr>
            <w:t>Goods and Services Tax</w:t>
          </w:r>
          <w:r>
            <w:rPr>
              <w:noProof/>
            </w:rPr>
            <w:fldChar w:fldCharType="end"/>
          </w:r>
        </w:p>
      </w:tc>
    </w:tr>
    <w:tr w:rsidR="000C112C" w:rsidRPr="00EB388E" w:rsidTr="0064422F">
      <w:trPr>
        <w:trHeight w:hRule="exact" w:val="403"/>
      </w:trPr>
      <w:tc>
        <w:tcPr>
          <w:tcW w:w="567" w:type="dxa"/>
          <w:tcMar>
            <w:bottom w:w="284" w:type="dxa"/>
          </w:tcMar>
        </w:tcPr>
        <w:p w:rsidR="000C112C" w:rsidRPr="00EB388E" w:rsidRDefault="000C112C" w:rsidP="0064422F">
          <w:pPr>
            <w:pStyle w:val="FooterRightPageNumber"/>
          </w:pPr>
        </w:p>
      </w:tc>
      <w:tc>
        <w:tcPr>
          <w:tcW w:w="8164" w:type="dxa"/>
          <w:tcMar>
            <w:bottom w:w="284" w:type="dxa"/>
          </w:tcMar>
        </w:tcPr>
        <w:p w:rsidR="000C112C" w:rsidRPr="00090E70" w:rsidRDefault="000C112C" w:rsidP="0064422F"/>
      </w:tc>
    </w:tr>
  </w:tbl>
  <w:p w:rsidR="000C112C" w:rsidRDefault="000C112C">
    <w:pPr>
      <w:pStyle w:val="Footer"/>
    </w:pPr>
  </w:p>
  <w:p w:rsidR="000C112C" w:rsidRPr="004816D7" w:rsidRDefault="000C112C" w:rsidP="002424AA">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3" w:vertAnchor="page" w:horzAnchor="margin" w:tblpXSpec="right" w:tblpYSpec="bottom"/>
      <w:tblW w:w="8731" w:type="dxa"/>
      <w:tblLayout w:type="fixed"/>
      <w:tblCellMar>
        <w:top w:w="28" w:type="dxa"/>
      </w:tblCellMar>
      <w:tblLook w:val="04A0" w:firstRow="1" w:lastRow="0" w:firstColumn="1" w:lastColumn="0" w:noHBand="0" w:noVBand="1"/>
    </w:tblPr>
    <w:tblGrid>
      <w:gridCol w:w="8164"/>
      <w:gridCol w:w="567"/>
    </w:tblGrid>
    <w:tr w:rsidR="000C112C" w:rsidRPr="00EB388E" w:rsidTr="0064422F">
      <w:trPr>
        <w:trHeight w:val="340"/>
      </w:trPr>
      <w:tc>
        <w:tcPr>
          <w:tcW w:w="8164" w:type="dxa"/>
          <w:tcBorders>
            <w:right w:val="single" w:sz="4" w:space="0" w:color="788184" w:themeColor="background2"/>
          </w:tcBorders>
          <w:vAlign w:val="center"/>
        </w:tcPr>
        <w:p w:rsidR="000C112C" w:rsidRPr="00CB70DF" w:rsidRDefault="001B4CA3" w:rsidP="0064422F">
          <w:pPr>
            <w:pStyle w:val="FooterRight"/>
            <w:framePr w:wrap="auto" w:vAnchor="margin" w:hAnchor="text" w:xAlign="left" w:yAlign="inline"/>
          </w:pPr>
          <w:r>
            <w:t>Goods and Services Tax</w:t>
          </w:r>
        </w:p>
      </w:tc>
      <w:tc>
        <w:tcPr>
          <w:tcW w:w="567" w:type="dxa"/>
          <w:tcBorders>
            <w:left w:val="single" w:sz="4" w:space="0" w:color="788184" w:themeColor="background2"/>
          </w:tcBorders>
          <w:vAlign w:val="center"/>
        </w:tcPr>
        <w:p w:rsidR="000C112C" w:rsidRPr="00CB70DF" w:rsidRDefault="000C112C" w:rsidP="0064422F">
          <w:pPr>
            <w:pStyle w:val="FooterRightPageNumber"/>
          </w:pPr>
          <w:r w:rsidRPr="00EB388E">
            <w:fldChar w:fldCharType="begin"/>
          </w:r>
          <w:r w:rsidRPr="00EB388E">
            <w:instrText xml:space="preserve"> PAGE   \* MERGEFORMAT </w:instrText>
          </w:r>
          <w:r w:rsidRPr="00EB388E">
            <w:fldChar w:fldCharType="separate"/>
          </w:r>
          <w:r w:rsidR="00E62C4F">
            <w:t>47</w:t>
          </w:r>
          <w:r w:rsidRPr="00EB388E">
            <w:fldChar w:fldCharType="end"/>
          </w:r>
        </w:p>
      </w:tc>
    </w:tr>
    <w:tr w:rsidR="000C112C" w:rsidRPr="00EB388E" w:rsidTr="0064422F">
      <w:trPr>
        <w:trHeight w:hRule="exact" w:val="403"/>
      </w:trPr>
      <w:tc>
        <w:tcPr>
          <w:tcW w:w="8164" w:type="dxa"/>
        </w:tcPr>
        <w:p w:rsidR="000C112C" w:rsidRPr="00090E70" w:rsidRDefault="000C112C" w:rsidP="0064422F"/>
      </w:tc>
      <w:tc>
        <w:tcPr>
          <w:tcW w:w="567" w:type="dxa"/>
          <w:tcMar>
            <w:bottom w:w="284" w:type="dxa"/>
          </w:tcMar>
        </w:tcPr>
        <w:p w:rsidR="000C112C" w:rsidRPr="00090E70" w:rsidRDefault="000C112C" w:rsidP="0064422F"/>
      </w:tc>
    </w:tr>
  </w:tbl>
  <w:p w:rsidR="000C112C" w:rsidRDefault="000C112C">
    <w:pPr>
      <w:pStyle w:val="Footer"/>
    </w:pPr>
  </w:p>
  <w:p w:rsidR="000C112C" w:rsidRPr="004816D7" w:rsidRDefault="000C112C" w:rsidP="002424AA">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12C" w:rsidRDefault="000C112C">
    <w:pPr>
      <w:pStyle w:val="Foo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horzAnchor="page" w:tblpX="1" w:tblpY="397"/>
      <w:tblW w:w="1219" w:type="dxa"/>
      <w:tblLayout w:type="fixed"/>
      <w:tblCellMar>
        <w:top w:w="28" w:type="dxa"/>
      </w:tblCellMar>
      <w:tblLook w:val="04A0" w:firstRow="1" w:lastRow="0" w:firstColumn="1" w:lastColumn="0" w:noHBand="0" w:noVBand="1"/>
    </w:tblPr>
    <w:tblGrid>
      <w:gridCol w:w="595"/>
      <w:gridCol w:w="624"/>
    </w:tblGrid>
    <w:tr w:rsidR="000C112C" w:rsidRPr="00EB388E" w:rsidTr="00F256DF">
      <w:trPr>
        <w:cantSplit/>
        <w:trHeight w:val="567"/>
      </w:trPr>
      <w:tc>
        <w:tcPr>
          <w:tcW w:w="595" w:type="dxa"/>
          <w:textDirection w:val="tbRl"/>
        </w:tcPr>
        <w:p w:rsidR="000C112C" w:rsidRPr="00EB388E" w:rsidRDefault="000C112C" w:rsidP="00F256DF">
          <w:pPr>
            <w:pStyle w:val="FooterLeftPageNumber"/>
            <w:framePr w:wrap="auto" w:vAnchor="margin" w:hAnchor="text" w:yAlign="inline"/>
            <w:ind w:left="113"/>
          </w:pPr>
        </w:p>
      </w:tc>
      <w:tc>
        <w:tcPr>
          <w:tcW w:w="624" w:type="dxa"/>
          <w:tcBorders>
            <w:bottom w:val="single" w:sz="4" w:space="0" w:color="788184" w:themeColor="background2"/>
          </w:tcBorders>
          <w:textDirection w:val="tbRl"/>
          <w:vAlign w:val="center"/>
        </w:tcPr>
        <w:p w:rsidR="000C112C" w:rsidRPr="00AF7B25" w:rsidRDefault="000C112C" w:rsidP="00F256DF">
          <w:pPr>
            <w:pStyle w:val="FooterLeftPageNumber"/>
            <w:framePr w:wrap="auto" w:vAnchor="margin" w:hAnchor="text" w:yAlign="inline"/>
          </w:pPr>
          <w:r w:rsidRPr="00EB388E">
            <w:fldChar w:fldCharType="begin"/>
          </w:r>
          <w:r w:rsidRPr="00EB388E">
            <w:instrText xml:space="preserve"> PAGE   \* MERGEFORMAT </w:instrText>
          </w:r>
          <w:r w:rsidRPr="00EB388E">
            <w:fldChar w:fldCharType="separate"/>
          </w:r>
          <w:r w:rsidR="00E62C4F">
            <w:rPr>
              <w:noProof/>
            </w:rPr>
            <w:t>50</w:t>
          </w:r>
          <w:r w:rsidRPr="00EB388E">
            <w:fldChar w:fldCharType="end"/>
          </w:r>
        </w:p>
      </w:tc>
    </w:tr>
    <w:tr w:rsidR="000C112C" w:rsidRPr="00EB388E" w:rsidTr="00F256DF">
      <w:trPr>
        <w:cantSplit/>
        <w:trHeight w:val="8164"/>
      </w:trPr>
      <w:tc>
        <w:tcPr>
          <w:tcW w:w="595" w:type="dxa"/>
          <w:textDirection w:val="tbRl"/>
        </w:tcPr>
        <w:p w:rsidR="000C112C" w:rsidRDefault="000C112C" w:rsidP="00F256DF">
          <w:pPr>
            <w:pStyle w:val="FooterLeftPageNumber"/>
            <w:framePr w:wrap="auto" w:vAnchor="margin" w:hAnchor="text" w:yAlign="inline"/>
            <w:ind w:left="113"/>
          </w:pPr>
        </w:p>
      </w:tc>
      <w:tc>
        <w:tcPr>
          <w:tcW w:w="624" w:type="dxa"/>
          <w:tcBorders>
            <w:top w:val="single" w:sz="4" w:space="0" w:color="788184" w:themeColor="background2"/>
          </w:tcBorders>
          <w:textDirection w:val="tbRl"/>
          <w:vAlign w:val="center"/>
        </w:tcPr>
        <w:p w:rsidR="000C112C" w:rsidRPr="00EB388E" w:rsidRDefault="00E62C4F" w:rsidP="00F256DF">
          <w:pPr>
            <w:pStyle w:val="FooterLeft"/>
            <w:framePr w:wrap="auto" w:vAnchor="margin" w:hAnchor="text" w:yAlign="inline"/>
          </w:pPr>
          <w:r>
            <w:fldChar w:fldCharType="begin"/>
          </w:r>
          <w:r>
            <w:instrText xml:space="preserve"> STYLEREF  Title  \* MERGEFORMAT </w:instrText>
          </w:r>
          <w:r>
            <w:fldChar w:fldCharType="separate"/>
          </w:r>
          <w:r>
            <w:rPr>
              <w:noProof/>
            </w:rPr>
            <w:t>Goods and Services Tax</w:t>
          </w:r>
          <w:r>
            <w:rPr>
              <w:noProof/>
            </w:rPr>
            <w:fldChar w:fldCharType="end"/>
          </w:r>
        </w:p>
      </w:tc>
    </w:tr>
  </w:tbl>
  <w:p w:rsidR="000C112C" w:rsidRPr="00E350DC" w:rsidRDefault="000C112C" w:rsidP="001A79AF">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horzAnchor="page" w:tblpX="1" w:tblpYSpec="bottom"/>
      <w:tblW w:w="1219" w:type="dxa"/>
      <w:tblLayout w:type="fixed"/>
      <w:tblCellMar>
        <w:top w:w="28" w:type="dxa"/>
      </w:tblCellMar>
      <w:tblLook w:val="04A0" w:firstRow="1" w:lastRow="0" w:firstColumn="1" w:lastColumn="0" w:noHBand="0" w:noVBand="1"/>
    </w:tblPr>
    <w:tblGrid>
      <w:gridCol w:w="595"/>
      <w:gridCol w:w="624"/>
    </w:tblGrid>
    <w:tr w:rsidR="000C112C" w:rsidRPr="00EB388E" w:rsidTr="00F256DF">
      <w:trPr>
        <w:cantSplit/>
        <w:trHeight w:val="8164"/>
      </w:trPr>
      <w:tc>
        <w:tcPr>
          <w:tcW w:w="595" w:type="dxa"/>
          <w:textDirection w:val="tbRl"/>
        </w:tcPr>
        <w:p w:rsidR="000C112C" w:rsidRDefault="000C112C" w:rsidP="00F256DF">
          <w:pPr>
            <w:pStyle w:val="FooterLeftPageNumber"/>
            <w:framePr w:wrap="auto" w:vAnchor="margin" w:hAnchor="text" w:yAlign="inline"/>
            <w:ind w:left="113"/>
          </w:pPr>
        </w:p>
      </w:tc>
      <w:tc>
        <w:tcPr>
          <w:tcW w:w="624" w:type="dxa"/>
          <w:tcBorders>
            <w:bottom w:val="single" w:sz="4" w:space="0" w:color="788184" w:themeColor="background2"/>
          </w:tcBorders>
          <w:textDirection w:val="tbRl"/>
          <w:vAlign w:val="center"/>
        </w:tcPr>
        <w:p w:rsidR="000C112C" w:rsidRPr="00EB388E" w:rsidRDefault="001B4CA3" w:rsidP="00F256DF">
          <w:pPr>
            <w:pStyle w:val="FooterRight"/>
            <w:framePr w:wrap="auto" w:vAnchor="margin" w:hAnchor="text" w:xAlign="left" w:yAlign="inline"/>
          </w:pPr>
          <w:r>
            <w:t>Goods and Services Tax</w:t>
          </w:r>
        </w:p>
      </w:tc>
    </w:tr>
    <w:tr w:rsidR="000C112C" w:rsidRPr="00EB388E" w:rsidTr="00F256DF">
      <w:trPr>
        <w:cantSplit/>
        <w:trHeight w:val="850"/>
      </w:trPr>
      <w:tc>
        <w:tcPr>
          <w:tcW w:w="595" w:type="dxa"/>
          <w:textDirection w:val="tbRl"/>
        </w:tcPr>
        <w:p w:rsidR="000C112C" w:rsidRDefault="000C112C" w:rsidP="00F256DF">
          <w:pPr>
            <w:pStyle w:val="FooterLeftPageNumber"/>
            <w:framePr w:wrap="auto" w:vAnchor="margin" w:hAnchor="text" w:yAlign="inline"/>
            <w:ind w:left="113"/>
          </w:pPr>
        </w:p>
      </w:tc>
      <w:tc>
        <w:tcPr>
          <w:tcW w:w="624" w:type="dxa"/>
          <w:tcBorders>
            <w:top w:val="single" w:sz="4" w:space="0" w:color="788184" w:themeColor="background2"/>
          </w:tcBorders>
          <w:textDirection w:val="tbRl"/>
          <w:vAlign w:val="center"/>
        </w:tcPr>
        <w:p w:rsidR="000C112C" w:rsidRPr="00AF7B25" w:rsidRDefault="000C112C" w:rsidP="00F256DF">
          <w:pPr>
            <w:pStyle w:val="FooterRightPageNumberLS"/>
            <w:framePr w:wrap="auto" w:xAlign="left"/>
          </w:pPr>
          <w:r w:rsidRPr="00B917D0">
            <w:fldChar w:fldCharType="begin"/>
          </w:r>
          <w:r w:rsidRPr="00B917D0">
            <w:instrText xml:space="preserve"> PAGE   \* MERGEFORMAT </w:instrText>
          </w:r>
          <w:r w:rsidRPr="00B917D0">
            <w:fldChar w:fldCharType="separate"/>
          </w:r>
          <w:r w:rsidR="00E62C4F">
            <w:t>51</w:t>
          </w:r>
          <w:r w:rsidRPr="00B917D0">
            <w:fldChar w:fldCharType="end"/>
          </w:r>
        </w:p>
      </w:tc>
    </w:tr>
  </w:tbl>
  <w:p w:rsidR="000C112C" w:rsidRPr="00E350DC" w:rsidRDefault="000C112C" w:rsidP="001A79AF">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3" w:vertAnchor="page" w:horzAnchor="margin" w:tblpYSpec="bottom"/>
      <w:tblW w:w="8731" w:type="dxa"/>
      <w:tblLayout w:type="fixed"/>
      <w:tblCellMar>
        <w:top w:w="28" w:type="dxa"/>
      </w:tblCellMar>
      <w:tblLook w:val="04A0" w:firstRow="1" w:lastRow="0" w:firstColumn="1" w:lastColumn="0" w:noHBand="0" w:noVBand="1"/>
    </w:tblPr>
    <w:tblGrid>
      <w:gridCol w:w="567"/>
      <w:gridCol w:w="8164"/>
    </w:tblGrid>
    <w:tr w:rsidR="000C112C" w:rsidRPr="00EB388E" w:rsidTr="00393A29">
      <w:trPr>
        <w:trHeight w:val="340"/>
      </w:trPr>
      <w:tc>
        <w:tcPr>
          <w:tcW w:w="567" w:type="dxa"/>
          <w:tcBorders>
            <w:right w:val="single" w:sz="4" w:space="0" w:color="788184" w:themeColor="background2"/>
          </w:tcBorders>
          <w:vAlign w:val="center"/>
        </w:tcPr>
        <w:p w:rsidR="000C112C" w:rsidRPr="00CB70DF" w:rsidRDefault="000C112C" w:rsidP="00393A29">
          <w:pPr>
            <w:pStyle w:val="FooterLeftPageNumber"/>
            <w:framePr w:wrap="auto" w:vAnchor="margin" w:hAnchor="text" w:yAlign="inline"/>
          </w:pPr>
          <w:r w:rsidRPr="00EB388E">
            <w:fldChar w:fldCharType="begin"/>
          </w:r>
          <w:r w:rsidRPr="00EB388E">
            <w:instrText xml:space="preserve"> PAGE   \* MERGEFORMAT </w:instrText>
          </w:r>
          <w:r w:rsidRPr="00EB388E">
            <w:fldChar w:fldCharType="separate"/>
          </w:r>
          <w:r w:rsidR="00E62C4F">
            <w:rPr>
              <w:noProof/>
            </w:rPr>
            <w:t>52</w:t>
          </w:r>
          <w:r w:rsidRPr="00EB388E">
            <w:fldChar w:fldCharType="end"/>
          </w:r>
        </w:p>
      </w:tc>
      <w:tc>
        <w:tcPr>
          <w:tcW w:w="8164" w:type="dxa"/>
          <w:tcBorders>
            <w:left w:val="single" w:sz="4" w:space="0" w:color="788184" w:themeColor="background2"/>
          </w:tcBorders>
          <w:vAlign w:val="center"/>
        </w:tcPr>
        <w:p w:rsidR="000C112C" w:rsidRPr="00CB70DF" w:rsidRDefault="00E62C4F" w:rsidP="00393A29">
          <w:pPr>
            <w:pStyle w:val="FooterLeft"/>
            <w:framePr w:wrap="auto" w:vAnchor="margin" w:hAnchor="text" w:yAlign="inline"/>
          </w:pPr>
          <w:r>
            <w:fldChar w:fldCharType="begin"/>
          </w:r>
          <w:r>
            <w:instrText xml:space="preserve"> STYLEREF  Title  \* MERGEFORMAT </w:instrText>
          </w:r>
          <w:r>
            <w:fldChar w:fldCharType="separate"/>
          </w:r>
          <w:r>
            <w:rPr>
              <w:noProof/>
            </w:rPr>
            <w:t>Goods and Services Tax</w:t>
          </w:r>
          <w:r>
            <w:rPr>
              <w:noProof/>
            </w:rPr>
            <w:fldChar w:fldCharType="end"/>
          </w:r>
        </w:p>
      </w:tc>
    </w:tr>
    <w:tr w:rsidR="000C112C" w:rsidRPr="00EB388E" w:rsidTr="00393A29">
      <w:trPr>
        <w:trHeight w:hRule="exact" w:val="403"/>
      </w:trPr>
      <w:tc>
        <w:tcPr>
          <w:tcW w:w="567" w:type="dxa"/>
          <w:tcMar>
            <w:bottom w:w="284" w:type="dxa"/>
          </w:tcMar>
        </w:tcPr>
        <w:p w:rsidR="000C112C" w:rsidRPr="00EB388E" w:rsidRDefault="000C112C" w:rsidP="00393A29">
          <w:pPr>
            <w:pStyle w:val="FooterRightPageNumber"/>
          </w:pPr>
        </w:p>
      </w:tc>
      <w:tc>
        <w:tcPr>
          <w:tcW w:w="8164" w:type="dxa"/>
          <w:tcMar>
            <w:bottom w:w="284" w:type="dxa"/>
          </w:tcMar>
        </w:tcPr>
        <w:p w:rsidR="000C112C" w:rsidRPr="00090E70" w:rsidRDefault="000C112C" w:rsidP="00393A29"/>
      </w:tc>
    </w:tr>
  </w:tbl>
  <w:p w:rsidR="000C112C" w:rsidRDefault="000C112C">
    <w:pPr>
      <w:pStyle w:val="Footer"/>
    </w:pPr>
  </w:p>
  <w:p w:rsidR="000C112C" w:rsidRPr="004816D7" w:rsidRDefault="000C112C" w:rsidP="007035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12C" w:rsidRDefault="000C112C">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3" w:vertAnchor="page" w:horzAnchor="margin" w:tblpXSpec="right" w:tblpYSpec="bottom"/>
      <w:tblW w:w="8731" w:type="dxa"/>
      <w:tblLayout w:type="fixed"/>
      <w:tblCellMar>
        <w:top w:w="28" w:type="dxa"/>
      </w:tblCellMar>
      <w:tblLook w:val="04A0" w:firstRow="1" w:lastRow="0" w:firstColumn="1" w:lastColumn="0" w:noHBand="0" w:noVBand="1"/>
    </w:tblPr>
    <w:tblGrid>
      <w:gridCol w:w="8164"/>
      <w:gridCol w:w="567"/>
    </w:tblGrid>
    <w:tr w:rsidR="000C112C" w:rsidRPr="00EB388E" w:rsidTr="00393A29">
      <w:trPr>
        <w:trHeight w:val="340"/>
      </w:trPr>
      <w:tc>
        <w:tcPr>
          <w:tcW w:w="8164" w:type="dxa"/>
          <w:tcBorders>
            <w:right w:val="single" w:sz="4" w:space="0" w:color="788184" w:themeColor="background2"/>
          </w:tcBorders>
          <w:vAlign w:val="center"/>
        </w:tcPr>
        <w:p w:rsidR="000C112C" w:rsidRPr="00CB70DF" w:rsidRDefault="00E62C4F" w:rsidP="00393A29">
          <w:pPr>
            <w:pStyle w:val="FooterRight"/>
            <w:framePr w:wrap="auto" w:vAnchor="margin" w:hAnchor="text" w:xAlign="left" w:yAlign="inline"/>
          </w:pPr>
          <w:r>
            <w:fldChar w:fldCharType="begin"/>
          </w:r>
          <w:r>
            <w:instrText xml:space="preserve"> STYLEREF  "Heading 8,Appendix Title" \r \* MERGEFORMAT </w:instrText>
          </w:r>
          <w:r>
            <w:fldChar w:fldCharType="separate"/>
          </w:r>
          <w:r w:rsidR="00076CF9">
            <w:rPr>
              <w:noProof/>
            </w:rPr>
            <w:t>Appendix B</w:t>
          </w:r>
          <w:r>
            <w:rPr>
              <w:noProof/>
            </w:rPr>
            <w:fldChar w:fldCharType="end"/>
          </w:r>
        </w:p>
      </w:tc>
      <w:tc>
        <w:tcPr>
          <w:tcW w:w="567" w:type="dxa"/>
          <w:tcBorders>
            <w:left w:val="single" w:sz="4" w:space="0" w:color="788184" w:themeColor="background2"/>
          </w:tcBorders>
          <w:vAlign w:val="center"/>
        </w:tcPr>
        <w:p w:rsidR="000C112C" w:rsidRPr="00CB70DF" w:rsidRDefault="000C112C" w:rsidP="00393A29">
          <w:pPr>
            <w:pStyle w:val="FooterRightPageNumber"/>
          </w:pPr>
          <w:r w:rsidRPr="00EB388E">
            <w:fldChar w:fldCharType="begin"/>
          </w:r>
          <w:r w:rsidRPr="00EB388E">
            <w:instrText xml:space="preserve"> PAGE   \* MERGEFORMAT </w:instrText>
          </w:r>
          <w:r w:rsidRPr="00EB388E">
            <w:fldChar w:fldCharType="separate"/>
          </w:r>
          <w:r w:rsidR="00076CF9">
            <w:t>62</w:t>
          </w:r>
          <w:r w:rsidRPr="00EB388E">
            <w:fldChar w:fldCharType="end"/>
          </w:r>
        </w:p>
      </w:tc>
    </w:tr>
    <w:tr w:rsidR="000C112C" w:rsidRPr="00EB388E" w:rsidTr="00393A29">
      <w:trPr>
        <w:trHeight w:hRule="exact" w:val="403"/>
      </w:trPr>
      <w:tc>
        <w:tcPr>
          <w:tcW w:w="8164" w:type="dxa"/>
        </w:tcPr>
        <w:p w:rsidR="000C112C" w:rsidRPr="00090E70" w:rsidRDefault="000C112C" w:rsidP="00393A29"/>
      </w:tc>
      <w:tc>
        <w:tcPr>
          <w:tcW w:w="567" w:type="dxa"/>
          <w:tcMar>
            <w:bottom w:w="284" w:type="dxa"/>
          </w:tcMar>
        </w:tcPr>
        <w:p w:rsidR="000C112C" w:rsidRPr="00090E70" w:rsidRDefault="000C112C" w:rsidP="00393A29"/>
      </w:tc>
    </w:tr>
  </w:tbl>
  <w:p w:rsidR="000C112C" w:rsidRDefault="000C112C">
    <w:pPr>
      <w:pStyle w:val="Footer"/>
    </w:pPr>
  </w:p>
  <w:p w:rsidR="000C112C" w:rsidRPr="004816D7" w:rsidRDefault="000C112C" w:rsidP="007035A5">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12C" w:rsidRDefault="000C112C">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horzAnchor="page" w:tblpX="1" w:tblpY="397"/>
      <w:tblW w:w="1219" w:type="dxa"/>
      <w:tblLayout w:type="fixed"/>
      <w:tblCellMar>
        <w:top w:w="28" w:type="dxa"/>
      </w:tblCellMar>
      <w:tblLook w:val="04A0" w:firstRow="1" w:lastRow="0" w:firstColumn="1" w:lastColumn="0" w:noHBand="0" w:noVBand="1"/>
    </w:tblPr>
    <w:tblGrid>
      <w:gridCol w:w="595"/>
      <w:gridCol w:w="624"/>
    </w:tblGrid>
    <w:tr w:rsidR="000C112C" w:rsidRPr="00EB388E" w:rsidTr="005C5DF2">
      <w:trPr>
        <w:cantSplit/>
        <w:trHeight w:val="567"/>
      </w:trPr>
      <w:tc>
        <w:tcPr>
          <w:tcW w:w="595" w:type="dxa"/>
          <w:textDirection w:val="tbRl"/>
        </w:tcPr>
        <w:p w:rsidR="000C112C" w:rsidRPr="00EB388E" w:rsidRDefault="000C112C" w:rsidP="005C5DF2">
          <w:pPr>
            <w:pStyle w:val="FooterLeftPageNumber"/>
            <w:framePr w:wrap="auto" w:vAnchor="margin" w:hAnchor="text" w:yAlign="inline"/>
            <w:ind w:left="113"/>
          </w:pPr>
        </w:p>
      </w:tc>
      <w:tc>
        <w:tcPr>
          <w:tcW w:w="624" w:type="dxa"/>
          <w:tcBorders>
            <w:bottom w:val="single" w:sz="4" w:space="0" w:color="788184" w:themeColor="background2"/>
          </w:tcBorders>
          <w:textDirection w:val="tbRl"/>
          <w:vAlign w:val="center"/>
        </w:tcPr>
        <w:p w:rsidR="000C112C" w:rsidRPr="00AF7B25" w:rsidRDefault="000C112C" w:rsidP="005C5DF2">
          <w:pPr>
            <w:pStyle w:val="FooterLeftPageNumber"/>
            <w:framePr w:wrap="auto" w:vAnchor="margin" w:hAnchor="text" w:yAlign="inline"/>
          </w:pPr>
          <w:r w:rsidRPr="00EB388E">
            <w:fldChar w:fldCharType="begin"/>
          </w:r>
          <w:r w:rsidRPr="00EB388E">
            <w:instrText xml:space="preserve"> PAGE   \* MERGEFORMAT </w:instrText>
          </w:r>
          <w:r w:rsidRPr="00EB388E">
            <w:fldChar w:fldCharType="separate"/>
          </w:r>
          <w:r w:rsidR="00E62C4F">
            <w:rPr>
              <w:noProof/>
            </w:rPr>
            <w:t>62</w:t>
          </w:r>
          <w:r w:rsidRPr="00EB388E">
            <w:fldChar w:fldCharType="end"/>
          </w:r>
        </w:p>
      </w:tc>
    </w:tr>
    <w:tr w:rsidR="000C112C" w:rsidRPr="00EB388E" w:rsidTr="005C5DF2">
      <w:trPr>
        <w:cantSplit/>
        <w:trHeight w:val="8164"/>
      </w:trPr>
      <w:tc>
        <w:tcPr>
          <w:tcW w:w="595" w:type="dxa"/>
          <w:textDirection w:val="tbRl"/>
        </w:tcPr>
        <w:p w:rsidR="000C112C" w:rsidRDefault="000C112C" w:rsidP="005C5DF2">
          <w:pPr>
            <w:pStyle w:val="FooterLeftPageNumber"/>
            <w:framePr w:wrap="auto" w:vAnchor="margin" w:hAnchor="text" w:yAlign="inline"/>
            <w:ind w:left="113"/>
          </w:pPr>
        </w:p>
      </w:tc>
      <w:tc>
        <w:tcPr>
          <w:tcW w:w="624" w:type="dxa"/>
          <w:tcBorders>
            <w:top w:val="single" w:sz="4" w:space="0" w:color="788184" w:themeColor="background2"/>
          </w:tcBorders>
          <w:textDirection w:val="tbRl"/>
          <w:vAlign w:val="center"/>
        </w:tcPr>
        <w:p w:rsidR="000C112C" w:rsidRPr="00EB388E" w:rsidRDefault="00E62C4F" w:rsidP="005C5DF2">
          <w:pPr>
            <w:pStyle w:val="FooterLeft"/>
            <w:framePr w:wrap="auto" w:vAnchor="margin" w:hAnchor="text" w:yAlign="inline"/>
          </w:pPr>
          <w:r>
            <w:fldChar w:fldCharType="begin"/>
          </w:r>
          <w:r>
            <w:instrText xml:space="preserve"> STYLEREF  Title  \* MERGEFORMAT </w:instrText>
          </w:r>
          <w:r>
            <w:fldChar w:fldCharType="separate"/>
          </w:r>
          <w:r>
            <w:rPr>
              <w:noProof/>
            </w:rPr>
            <w:t>Goods and Services Tax</w:t>
          </w:r>
          <w:r>
            <w:rPr>
              <w:noProof/>
            </w:rPr>
            <w:fldChar w:fldCharType="end"/>
          </w:r>
        </w:p>
      </w:tc>
    </w:tr>
  </w:tbl>
  <w:p w:rsidR="000C112C" w:rsidRPr="00E350DC" w:rsidRDefault="000C112C" w:rsidP="001A79AF">
    <w:pPr>
      <w:pStyle w:val="Foote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horzAnchor="page" w:tblpX="1" w:tblpYSpec="bottom"/>
      <w:tblW w:w="1219" w:type="dxa"/>
      <w:tblLayout w:type="fixed"/>
      <w:tblCellMar>
        <w:top w:w="28" w:type="dxa"/>
      </w:tblCellMar>
      <w:tblLook w:val="04A0" w:firstRow="1" w:lastRow="0" w:firstColumn="1" w:lastColumn="0" w:noHBand="0" w:noVBand="1"/>
    </w:tblPr>
    <w:tblGrid>
      <w:gridCol w:w="595"/>
      <w:gridCol w:w="624"/>
    </w:tblGrid>
    <w:tr w:rsidR="000C112C" w:rsidRPr="00EB388E" w:rsidTr="005C5DF2">
      <w:trPr>
        <w:cantSplit/>
        <w:trHeight w:val="8164"/>
      </w:trPr>
      <w:tc>
        <w:tcPr>
          <w:tcW w:w="595" w:type="dxa"/>
          <w:textDirection w:val="tbRl"/>
        </w:tcPr>
        <w:p w:rsidR="000C112C" w:rsidRDefault="000C112C" w:rsidP="005C5DF2">
          <w:pPr>
            <w:pStyle w:val="FooterLeftPageNumber"/>
            <w:framePr w:wrap="auto" w:vAnchor="margin" w:hAnchor="text" w:yAlign="inline"/>
            <w:ind w:left="113"/>
          </w:pPr>
        </w:p>
      </w:tc>
      <w:tc>
        <w:tcPr>
          <w:tcW w:w="624" w:type="dxa"/>
          <w:tcBorders>
            <w:bottom w:val="single" w:sz="4" w:space="0" w:color="788184" w:themeColor="background2"/>
          </w:tcBorders>
          <w:textDirection w:val="tbRl"/>
          <w:vAlign w:val="center"/>
        </w:tcPr>
        <w:p w:rsidR="000C112C" w:rsidRPr="00EB388E" w:rsidRDefault="001B4CA3" w:rsidP="001B4CA3">
          <w:pPr>
            <w:pStyle w:val="FooterRight"/>
            <w:framePr w:wrap="auto" w:vAnchor="margin" w:hAnchor="text" w:xAlign="left" w:yAlign="inline"/>
          </w:pPr>
          <w:r>
            <w:t>Goods and Services Tax</w:t>
          </w:r>
        </w:p>
      </w:tc>
    </w:tr>
    <w:tr w:rsidR="000C112C" w:rsidRPr="00EB388E" w:rsidTr="005C5DF2">
      <w:trPr>
        <w:cantSplit/>
        <w:trHeight w:val="850"/>
      </w:trPr>
      <w:tc>
        <w:tcPr>
          <w:tcW w:w="595" w:type="dxa"/>
          <w:textDirection w:val="tbRl"/>
        </w:tcPr>
        <w:p w:rsidR="000C112C" w:rsidRDefault="000C112C" w:rsidP="005C5DF2">
          <w:pPr>
            <w:pStyle w:val="FooterLeftPageNumber"/>
            <w:framePr w:wrap="auto" w:vAnchor="margin" w:hAnchor="text" w:yAlign="inline"/>
            <w:ind w:left="113"/>
          </w:pPr>
        </w:p>
      </w:tc>
      <w:tc>
        <w:tcPr>
          <w:tcW w:w="624" w:type="dxa"/>
          <w:tcBorders>
            <w:top w:val="single" w:sz="4" w:space="0" w:color="788184" w:themeColor="background2"/>
          </w:tcBorders>
          <w:textDirection w:val="tbRl"/>
          <w:vAlign w:val="center"/>
        </w:tcPr>
        <w:p w:rsidR="000C112C" w:rsidRPr="00AF7B25" w:rsidRDefault="000C112C" w:rsidP="005C5DF2">
          <w:pPr>
            <w:pStyle w:val="FooterRightPageNumberLS"/>
            <w:framePr w:wrap="auto" w:xAlign="left"/>
          </w:pPr>
          <w:r w:rsidRPr="00B917D0">
            <w:fldChar w:fldCharType="begin"/>
          </w:r>
          <w:r w:rsidRPr="00B917D0">
            <w:instrText xml:space="preserve"> PAGE   \* MERGEFORMAT </w:instrText>
          </w:r>
          <w:r w:rsidRPr="00B917D0">
            <w:fldChar w:fldCharType="separate"/>
          </w:r>
          <w:r w:rsidR="00E62C4F">
            <w:t>61</w:t>
          </w:r>
          <w:r w:rsidRPr="00B917D0">
            <w:fldChar w:fldCharType="end"/>
          </w:r>
        </w:p>
      </w:tc>
    </w:tr>
  </w:tbl>
  <w:p w:rsidR="000C112C" w:rsidRPr="00E350DC" w:rsidRDefault="000C112C" w:rsidP="001A79A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4" w:vertAnchor="page" w:horzAnchor="margin" w:tblpYSpec="bottom"/>
      <w:tblW w:w="8731" w:type="dxa"/>
      <w:tblLayout w:type="fixed"/>
      <w:tblCellMar>
        <w:top w:w="28" w:type="dxa"/>
      </w:tblCellMar>
      <w:tblLook w:val="04A0" w:firstRow="1" w:lastRow="0" w:firstColumn="1" w:lastColumn="0" w:noHBand="0" w:noVBand="1"/>
    </w:tblPr>
    <w:tblGrid>
      <w:gridCol w:w="567"/>
      <w:gridCol w:w="8164"/>
    </w:tblGrid>
    <w:tr w:rsidR="000C112C" w:rsidRPr="00EB388E" w:rsidTr="00F95381">
      <w:trPr>
        <w:trHeight w:val="340"/>
      </w:trPr>
      <w:tc>
        <w:tcPr>
          <w:tcW w:w="567" w:type="dxa"/>
          <w:tcBorders>
            <w:right w:val="single" w:sz="4" w:space="0" w:color="788184" w:themeColor="background2"/>
          </w:tcBorders>
          <w:vAlign w:val="center"/>
        </w:tcPr>
        <w:p w:rsidR="000C112C" w:rsidRPr="00CB70DF" w:rsidRDefault="000C112C" w:rsidP="00F95381">
          <w:pPr>
            <w:pStyle w:val="FooterLeftPageNumber"/>
            <w:framePr w:wrap="auto" w:vAnchor="margin" w:hAnchor="text" w:yAlign="inline"/>
          </w:pPr>
          <w:r w:rsidRPr="00EB388E">
            <w:fldChar w:fldCharType="begin"/>
          </w:r>
          <w:r w:rsidRPr="00EB388E">
            <w:instrText xml:space="preserve"> PAGE   \* MERGEFORMAT </w:instrText>
          </w:r>
          <w:r w:rsidRPr="00EB388E">
            <w:fldChar w:fldCharType="separate"/>
          </w:r>
          <w:r w:rsidR="00076CF9">
            <w:rPr>
              <w:noProof/>
            </w:rPr>
            <w:t>lxii</w:t>
          </w:r>
          <w:r w:rsidRPr="00EB388E">
            <w:fldChar w:fldCharType="end"/>
          </w:r>
        </w:p>
      </w:tc>
      <w:tc>
        <w:tcPr>
          <w:tcW w:w="8164" w:type="dxa"/>
          <w:tcBorders>
            <w:left w:val="single" w:sz="4" w:space="0" w:color="788184" w:themeColor="background2"/>
          </w:tcBorders>
          <w:vAlign w:val="center"/>
        </w:tcPr>
        <w:p w:rsidR="000C112C" w:rsidRPr="00CB70DF" w:rsidRDefault="000C112C" w:rsidP="00616FC8">
          <w:pPr>
            <w:pStyle w:val="FooterLeft"/>
            <w:framePr w:wrap="auto" w:vAnchor="margin" w:hAnchor="text" w:yAlign="inline"/>
          </w:pPr>
        </w:p>
      </w:tc>
    </w:tr>
    <w:tr w:rsidR="000C112C" w:rsidRPr="00EB388E" w:rsidTr="00F95381">
      <w:trPr>
        <w:trHeight w:hRule="exact" w:val="403"/>
      </w:trPr>
      <w:tc>
        <w:tcPr>
          <w:tcW w:w="567" w:type="dxa"/>
          <w:tcMar>
            <w:bottom w:w="284" w:type="dxa"/>
          </w:tcMar>
        </w:tcPr>
        <w:p w:rsidR="000C112C" w:rsidRPr="00EB388E" w:rsidRDefault="000C112C" w:rsidP="00F95381">
          <w:pPr>
            <w:pStyle w:val="FooterRightPageNumber"/>
          </w:pPr>
        </w:p>
      </w:tc>
      <w:tc>
        <w:tcPr>
          <w:tcW w:w="8164" w:type="dxa"/>
          <w:tcMar>
            <w:bottom w:w="284" w:type="dxa"/>
          </w:tcMar>
        </w:tcPr>
        <w:p w:rsidR="000C112C" w:rsidRPr="00090E70" w:rsidRDefault="000C112C" w:rsidP="00F95381"/>
      </w:tc>
    </w:tr>
  </w:tbl>
  <w:p w:rsidR="000C112C" w:rsidRDefault="000C112C" w:rsidP="00613471">
    <w:pPr>
      <w:pStyle w:val="Footer"/>
    </w:pPr>
  </w:p>
  <w:p w:rsidR="000C112C" w:rsidRPr="00613471" w:rsidRDefault="000C112C" w:rsidP="0061347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4" w:vertAnchor="page" w:horzAnchor="margin" w:tblpXSpec="right" w:tblpYSpec="bottom"/>
      <w:tblW w:w="8731" w:type="dxa"/>
      <w:tblLayout w:type="fixed"/>
      <w:tblCellMar>
        <w:top w:w="28" w:type="dxa"/>
      </w:tblCellMar>
      <w:tblLook w:val="04A0" w:firstRow="1" w:lastRow="0" w:firstColumn="1" w:lastColumn="0" w:noHBand="0" w:noVBand="1"/>
    </w:tblPr>
    <w:tblGrid>
      <w:gridCol w:w="8164"/>
      <w:gridCol w:w="567"/>
    </w:tblGrid>
    <w:tr w:rsidR="000C112C" w:rsidRPr="00EB388E" w:rsidTr="00F95381">
      <w:trPr>
        <w:trHeight w:val="340"/>
      </w:trPr>
      <w:tc>
        <w:tcPr>
          <w:tcW w:w="8164" w:type="dxa"/>
          <w:tcBorders>
            <w:right w:val="single" w:sz="4" w:space="0" w:color="788184" w:themeColor="background2"/>
          </w:tcBorders>
          <w:vAlign w:val="center"/>
        </w:tcPr>
        <w:p w:rsidR="000C112C" w:rsidRPr="00CB70DF" w:rsidRDefault="000C112C" w:rsidP="00F95381">
          <w:pPr>
            <w:pStyle w:val="FooterRight"/>
            <w:framePr w:wrap="auto" w:vAnchor="margin" w:hAnchor="text" w:xAlign="left" w:yAlign="inline"/>
          </w:pPr>
        </w:p>
      </w:tc>
      <w:tc>
        <w:tcPr>
          <w:tcW w:w="567" w:type="dxa"/>
          <w:tcBorders>
            <w:left w:val="single" w:sz="4" w:space="0" w:color="788184" w:themeColor="background2"/>
          </w:tcBorders>
          <w:vAlign w:val="center"/>
        </w:tcPr>
        <w:p w:rsidR="000C112C" w:rsidRPr="00CB70DF" w:rsidRDefault="000C112C" w:rsidP="00F95381">
          <w:pPr>
            <w:pStyle w:val="FooterRightPageNumber"/>
          </w:pPr>
          <w:r w:rsidRPr="00EB388E">
            <w:fldChar w:fldCharType="begin"/>
          </w:r>
          <w:r w:rsidRPr="00EB388E">
            <w:instrText xml:space="preserve"> PAGE   \* MERGEFORMAT </w:instrText>
          </w:r>
          <w:r w:rsidRPr="00EB388E">
            <w:fldChar w:fldCharType="separate"/>
          </w:r>
          <w:r w:rsidR="00E62C4F">
            <w:t>iii</w:t>
          </w:r>
          <w:r w:rsidRPr="00EB388E">
            <w:fldChar w:fldCharType="end"/>
          </w:r>
        </w:p>
      </w:tc>
    </w:tr>
    <w:tr w:rsidR="000C112C" w:rsidRPr="00EB388E" w:rsidTr="00F95381">
      <w:trPr>
        <w:trHeight w:hRule="exact" w:val="403"/>
      </w:trPr>
      <w:tc>
        <w:tcPr>
          <w:tcW w:w="8164" w:type="dxa"/>
        </w:tcPr>
        <w:p w:rsidR="000C112C" w:rsidRPr="00090E70" w:rsidRDefault="000C112C" w:rsidP="00F95381"/>
      </w:tc>
      <w:tc>
        <w:tcPr>
          <w:tcW w:w="567" w:type="dxa"/>
          <w:tcMar>
            <w:bottom w:w="284" w:type="dxa"/>
          </w:tcMar>
        </w:tcPr>
        <w:p w:rsidR="000C112C" w:rsidRPr="00090E70" w:rsidRDefault="000C112C" w:rsidP="00F95381"/>
      </w:tc>
    </w:tr>
  </w:tbl>
  <w:p w:rsidR="000C112C" w:rsidRDefault="000C112C" w:rsidP="00613471">
    <w:pPr>
      <w:pStyle w:val="Footer"/>
    </w:pPr>
  </w:p>
  <w:p w:rsidR="000C112C" w:rsidRPr="00613471" w:rsidRDefault="000C112C" w:rsidP="0061347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12C" w:rsidRDefault="000C112C">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4" w:vertAnchor="page" w:horzAnchor="margin" w:tblpYSpec="bottom"/>
      <w:tblW w:w="8731" w:type="dxa"/>
      <w:tblLayout w:type="fixed"/>
      <w:tblCellMar>
        <w:top w:w="28" w:type="dxa"/>
      </w:tblCellMar>
      <w:tblLook w:val="04A0" w:firstRow="1" w:lastRow="0" w:firstColumn="1" w:lastColumn="0" w:noHBand="0" w:noVBand="1"/>
    </w:tblPr>
    <w:tblGrid>
      <w:gridCol w:w="567"/>
      <w:gridCol w:w="8164"/>
    </w:tblGrid>
    <w:tr w:rsidR="000C112C" w:rsidRPr="00EB388E" w:rsidTr="00F95381">
      <w:trPr>
        <w:trHeight w:val="340"/>
      </w:trPr>
      <w:tc>
        <w:tcPr>
          <w:tcW w:w="567" w:type="dxa"/>
          <w:tcBorders>
            <w:right w:val="single" w:sz="4" w:space="0" w:color="788184" w:themeColor="background2"/>
          </w:tcBorders>
          <w:vAlign w:val="center"/>
        </w:tcPr>
        <w:p w:rsidR="000C112C" w:rsidRPr="00CB70DF" w:rsidRDefault="000C112C" w:rsidP="00F95381">
          <w:pPr>
            <w:pStyle w:val="FooterLeftPageNumber"/>
            <w:framePr w:wrap="auto" w:vAnchor="margin" w:hAnchor="text" w:yAlign="inline"/>
          </w:pPr>
          <w:r w:rsidRPr="00EB388E">
            <w:fldChar w:fldCharType="begin"/>
          </w:r>
          <w:r w:rsidRPr="00EB388E">
            <w:instrText xml:space="preserve"> PAGE   \* MERGEFORMAT </w:instrText>
          </w:r>
          <w:r w:rsidRPr="00EB388E">
            <w:fldChar w:fldCharType="separate"/>
          </w:r>
          <w:r w:rsidR="00E62C4F">
            <w:rPr>
              <w:noProof/>
            </w:rPr>
            <w:t>iv</w:t>
          </w:r>
          <w:r w:rsidRPr="00EB388E">
            <w:fldChar w:fldCharType="end"/>
          </w:r>
        </w:p>
      </w:tc>
      <w:tc>
        <w:tcPr>
          <w:tcW w:w="8164" w:type="dxa"/>
          <w:tcBorders>
            <w:left w:val="single" w:sz="4" w:space="0" w:color="788184" w:themeColor="background2"/>
          </w:tcBorders>
          <w:vAlign w:val="center"/>
        </w:tcPr>
        <w:p w:rsidR="000C112C" w:rsidRPr="00CB70DF" w:rsidRDefault="000C112C" w:rsidP="00F95381">
          <w:pPr>
            <w:pStyle w:val="FooterLeft"/>
            <w:framePr w:wrap="auto" w:vAnchor="margin" w:hAnchor="text" w:yAlign="inline"/>
          </w:pPr>
        </w:p>
      </w:tc>
    </w:tr>
    <w:tr w:rsidR="000C112C" w:rsidRPr="00EB388E" w:rsidTr="00F95381">
      <w:trPr>
        <w:trHeight w:hRule="exact" w:val="403"/>
      </w:trPr>
      <w:tc>
        <w:tcPr>
          <w:tcW w:w="567" w:type="dxa"/>
          <w:tcMar>
            <w:bottom w:w="284" w:type="dxa"/>
          </w:tcMar>
        </w:tcPr>
        <w:p w:rsidR="000C112C" w:rsidRPr="00EB388E" w:rsidRDefault="000C112C" w:rsidP="00F95381">
          <w:pPr>
            <w:pStyle w:val="FooterRightPageNumber"/>
          </w:pPr>
        </w:p>
      </w:tc>
      <w:tc>
        <w:tcPr>
          <w:tcW w:w="8164" w:type="dxa"/>
          <w:tcMar>
            <w:bottom w:w="284" w:type="dxa"/>
          </w:tcMar>
        </w:tcPr>
        <w:p w:rsidR="000C112C" w:rsidRPr="00090E70" w:rsidRDefault="000C112C" w:rsidP="00F95381"/>
      </w:tc>
    </w:tr>
  </w:tbl>
  <w:p w:rsidR="000C112C" w:rsidRDefault="000C112C" w:rsidP="00613471">
    <w:pPr>
      <w:pStyle w:val="Footer"/>
    </w:pPr>
  </w:p>
  <w:p w:rsidR="000C112C" w:rsidRPr="00613471" w:rsidRDefault="000C112C" w:rsidP="00613471">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4" w:vertAnchor="page" w:horzAnchor="margin" w:tblpXSpec="right" w:tblpYSpec="bottom"/>
      <w:tblW w:w="8731" w:type="dxa"/>
      <w:tblLayout w:type="fixed"/>
      <w:tblCellMar>
        <w:top w:w="28" w:type="dxa"/>
      </w:tblCellMar>
      <w:tblLook w:val="04A0" w:firstRow="1" w:lastRow="0" w:firstColumn="1" w:lastColumn="0" w:noHBand="0" w:noVBand="1"/>
    </w:tblPr>
    <w:tblGrid>
      <w:gridCol w:w="8164"/>
      <w:gridCol w:w="567"/>
    </w:tblGrid>
    <w:tr w:rsidR="000C112C" w:rsidRPr="00EB388E" w:rsidTr="00F95381">
      <w:trPr>
        <w:trHeight w:val="340"/>
      </w:trPr>
      <w:tc>
        <w:tcPr>
          <w:tcW w:w="8164" w:type="dxa"/>
          <w:tcBorders>
            <w:right w:val="single" w:sz="4" w:space="0" w:color="788184" w:themeColor="background2"/>
          </w:tcBorders>
          <w:vAlign w:val="center"/>
        </w:tcPr>
        <w:p w:rsidR="000C112C" w:rsidRPr="00CB70DF" w:rsidRDefault="000C112C" w:rsidP="00F95381">
          <w:pPr>
            <w:pStyle w:val="FooterRight"/>
            <w:framePr w:wrap="auto" w:vAnchor="margin" w:hAnchor="text" w:xAlign="left" w:yAlign="inline"/>
          </w:pPr>
        </w:p>
      </w:tc>
      <w:tc>
        <w:tcPr>
          <w:tcW w:w="567" w:type="dxa"/>
          <w:tcBorders>
            <w:left w:val="single" w:sz="4" w:space="0" w:color="788184" w:themeColor="background2"/>
          </w:tcBorders>
          <w:vAlign w:val="center"/>
        </w:tcPr>
        <w:p w:rsidR="000C112C" w:rsidRPr="00CB70DF" w:rsidRDefault="000C112C" w:rsidP="00F95381">
          <w:pPr>
            <w:pStyle w:val="FooterRightPageNumber"/>
          </w:pPr>
          <w:r w:rsidRPr="00EB388E">
            <w:fldChar w:fldCharType="begin"/>
          </w:r>
          <w:r w:rsidRPr="00EB388E">
            <w:instrText xml:space="preserve"> PAGE   \* MERGEFORMAT </w:instrText>
          </w:r>
          <w:r w:rsidRPr="00EB388E">
            <w:fldChar w:fldCharType="separate"/>
          </w:r>
          <w:r w:rsidR="00076CF9">
            <w:t>lxii</w:t>
          </w:r>
          <w:r w:rsidRPr="00EB388E">
            <w:fldChar w:fldCharType="end"/>
          </w:r>
        </w:p>
      </w:tc>
    </w:tr>
    <w:tr w:rsidR="000C112C" w:rsidRPr="00EB388E" w:rsidTr="00F95381">
      <w:trPr>
        <w:trHeight w:hRule="exact" w:val="403"/>
      </w:trPr>
      <w:tc>
        <w:tcPr>
          <w:tcW w:w="8164" w:type="dxa"/>
        </w:tcPr>
        <w:p w:rsidR="000C112C" w:rsidRPr="00090E70" w:rsidRDefault="000C112C" w:rsidP="00F95381"/>
      </w:tc>
      <w:tc>
        <w:tcPr>
          <w:tcW w:w="567" w:type="dxa"/>
          <w:tcMar>
            <w:bottom w:w="284" w:type="dxa"/>
          </w:tcMar>
        </w:tcPr>
        <w:p w:rsidR="000C112C" w:rsidRPr="00090E70" w:rsidRDefault="000C112C" w:rsidP="00F95381"/>
      </w:tc>
    </w:tr>
  </w:tbl>
  <w:p w:rsidR="000C112C" w:rsidRDefault="000C112C" w:rsidP="00613471">
    <w:pPr>
      <w:pStyle w:val="Footer"/>
    </w:pPr>
  </w:p>
  <w:p w:rsidR="000C112C" w:rsidRPr="00613471" w:rsidRDefault="000C112C" w:rsidP="00613471">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12C" w:rsidRDefault="000C11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12C" w:rsidRPr="000557A7" w:rsidRDefault="000C112C" w:rsidP="008D5A11">
      <w:pPr>
        <w:pBdr>
          <w:top w:val="single" w:sz="4" w:space="1" w:color="auto"/>
        </w:pBdr>
        <w:spacing w:before="240" w:line="60" w:lineRule="exact"/>
        <w:rPr>
          <w:sz w:val="16"/>
          <w:szCs w:val="16"/>
        </w:rPr>
      </w:pPr>
    </w:p>
  </w:footnote>
  <w:footnote w:type="continuationSeparator" w:id="0">
    <w:p w:rsidR="000C112C" w:rsidRDefault="000C112C" w:rsidP="00A20802">
      <w:pPr>
        <w:spacing w:line="240" w:lineRule="auto"/>
      </w:pPr>
      <w:r>
        <w:continuationSeparator/>
      </w:r>
    </w:p>
    <w:p w:rsidR="000C112C" w:rsidRDefault="000C112C"/>
  </w:footnote>
  <w:footnote w:id="1">
    <w:p w:rsidR="000C112C" w:rsidRPr="00241B49" w:rsidRDefault="000C112C" w:rsidP="008934C6">
      <w:pPr>
        <w:pStyle w:val="FootnoteText"/>
        <w:tabs>
          <w:tab w:val="clear" w:pos="425"/>
        </w:tabs>
        <w:ind w:left="567" w:hanging="567"/>
      </w:pPr>
      <w:r w:rsidRPr="00241B49">
        <w:footnoteRef/>
      </w:r>
      <w:r>
        <w:tab/>
        <w:t>IMF (2015a, 2015b), OECD (2014).</w:t>
      </w:r>
    </w:p>
  </w:footnote>
  <w:footnote w:id="2">
    <w:p w:rsidR="000C112C" w:rsidRPr="00241B49" w:rsidRDefault="000C112C" w:rsidP="008934C6">
      <w:pPr>
        <w:pStyle w:val="FootnoteText"/>
        <w:tabs>
          <w:tab w:val="clear" w:pos="425"/>
        </w:tabs>
        <w:ind w:left="567" w:hanging="567"/>
      </w:pPr>
      <w:r w:rsidRPr="00241B49">
        <w:footnoteRef/>
      </w:r>
      <w:r>
        <w:tab/>
        <w:t>Commonwealth of Australia (2015).</w:t>
      </w:r>
    </w:p>
  </w:footnote>
  <w:footnote w:id="3">
    <w:p w:rsidR="000C112C" w:rsidRPr="00F13BFE" w:rsidRDefault="000C112C" w:rsidP="008934C6">
      <w:pPr>
        <w:pStyle w:val="FootnoteText"/>
        <w:tabs>
          <w:tab w:val="clear" w:pos="425"/>
        </w:tabs>
        <w:ind w:left="567" w:hanging="567"/>
        <w:rPr>
          <w:lang w:val="fr-FR"/>
        </w:rPr>
      </w:pPr>
      <w:r w:rsidRPr="00241B49">
        <w:footnoteRef/>
      </w:r>
      <w:r w:rsidRPr="00F13BFE">
        <w:rPr>
          <w:lang w:val="fr-FR"/>
        </w:rPr>
        <w:tab/>
        <w:t>IMF (2015a, 2015b), OECD (2010, 2014).</w:t>
      </w:r>
    </w:p>
  </w:footnote>
  <w:footnote w:id="4">
    <w:p w:rsidR="000C112C" w:rsidRPr="00BA0FBF" w:rsidRDefault="000C112C" w:rsidP="008934C6">
      <w:pPr>
        <w:pStyle w:val="FootnoteText"/>
        <w:tabs>
          <w:tab w:val="clear" w:pos="425"/>
        </w:tabs>
        <w:ind w:left="567" w:hanging="567"/>
        <w:rPr>
          <w:lang w:val="fr-FR"/>
        </w:rPr>
      </w:pPr>
      <w:r w:rsidRPr="00241B49">
        <w:footnoteRef/>
      </w:r>
      <w:r w:rsidRPr="00BA0FBF">
        <w:rPr>
          <w:lang w:val="fr-FR"/>
        </w:rPr>
        <w:tab/>
        <w:t>Cao et al (2015).</w:t>
      </w:r>
    </w:p>
  </w:footnote>
  <w:footnote w:id="5">
    <w:p w:rsidR="000C112C" w:rsidRPr="00241B49" w:rsidRDefault="000C112C" w:rsidP="008934C6">
      <w:pPr>
        <w:pStyle w:val="FootnoteText"/>
        <w:tabs>
          <w:tab w:val="clear" w:pos="425"/>
        </w:tabs>
        <w:ind w:left="567" w:hanging="567"/>
      </w:pPr>
      <w:r w:rsidRPr="00241B49">
        <w:footnoteRef/>
      </w:r>
      <w:r>
        <w:tab/>
        <w:t>See, for example, ACOSS (2015) and</w:t>
      </w:r>
      <w:r w:rsidRPr="00F114D2">
        <w:t xml:space="preserve"> Phillips, B, </w:t>
      </w:r>
      <w:r w:rsidR="00F4375A">
        <w:t>&amp;</w:t>
      </w:r>
      <w:r w:rsidR="00F4375A" w:rsidRPr="00F114D2">
        <w:t xml:space="preserve"> </w:t>
      </w:r>
      <w:r w:rsidRPr="00F114D2">
        <w:t xml:space="preserve">Taylor, M 2015, </w:t>
      </w:r>
      <w:r w:rsidRPr="00F114D2">
        <w:rPr>
          <w:i/>
        </w:rPr>
        <w:t>The Distributional Impact of the GST</w:t>
      </w:r>
      <w:r w:rsidRPr="00F114D2">
        <w:t xml:space="preserve">, National Centre for Social and Economic Modelling, University of Canberra, </w:t>
      </w:r>
      <w:r w:rsidR="00F4375A">
        <w:t>Canberra</w:t>
      </w:r>
      <w:r w:rsidRPr="00F114D2">
        <w:t>.</w:t>
      </w:r>
    </w:p>
  </w:footnote>
  <w:footnote w:id="6">
    <w:p w:rsidR="000C112C" w:rsidRPr="00D46C1D" w:rsidRDefault="000C112C" w:rsidP="008934C6">
      <w:pPr>
        <w:pStyle w:val="FootnoteText"/>
        <w:tabs>
          <w:tab w:val="clear" w:pos="425"/>
          <w:tab w:val="left" w:pos="567"/>
        </w:tabs>
        <w:ind w:left="567" w:hanging="567"/>
      </w:pPr>
      <w:r w:rsidRPr="00D46C1D">
        <w:footnoteRef/>
      </w:r>
      <w:r>
        <w:tab/>
        <w:t xml:space="preserve">The </w:t>
      </w:r>
      <w:r>
        <w:rPr>
          <w:i/>
        </w:rPr>
        <w:t xml:space="preserve">Federal Financial Relations Act 2009 </w:t>
      </w:r>
      <w:r>
        <w:t>sets out the details for determining the value of GST revenue grants to the States and Territories.</w:t>
      </w:r>
    </w:p>
  </w:footnote>
  <w:footnote w:id="7">
    <w:p w:rsidR="000C112C" w:rsidRPr="00094F94" w:rsidRDefault="000C112C" w:rsidP="008934C6">
      <w:pPr>
        <w:pStyle w:val="FootnoteText"/>
        <w:tabs>
          <w:tab w:val="clear" w:pos="425"/>
          <w:tab w:val="left" w:pos="567"/>
        </w:tabs>
        <w:ind w:left="567" w:hanging="567"/>
      </w:pPr>
      <w:r w:rsidRPr="00094F94">
        <w:footnoteRef/>
      </w:r>
      <w:r>
        <w:tab/>
      </w:r>
      <w:r w:rsidRPr="00CA7406">
        <w:t xml:space="preserve">Parliamentary Budget Office 2014, </w:t>
      </w:r>
      <w:r w:rsidRPr="00CA7406">
        <w:rPr>
          <w:i/>
        </w:rPr>
        <w:t>Trends in Australian Government Receipts: 1982–83 to 2012–13</w:t>
      </w:r>
      <w:r w:rsidRPr="00CA7406">
        <w:t>, PBO, Canberra.</w:t>
      </w:r>
    </w:p>
  </w:footnote>
  <w:footnote w:id="8">
    <w:p w:rsidR="000C112C" w:rsidRPr="004E5E4D" w:rsidRDefault="000C112C" w:rsidP="008934C6">
      <w:pPr>
        <w:pStyle w:val="FootnoteText"/>
        <w:tabs>
          <w:tab w:val="clear" w:pos="425"/>
          <w:tab w:val="left" w:pos="567"/>
        </w:tabs>
        <w:ind w:left="567" w:hanging="567"/>
      </w:pPr>
      <w:r w:rsidRPr="004E5E4D">
        <w:footnoteRef/>
      </w:r>
      <w:r>
        <w:tab/>
        <w:t xml:space="preserve">Commonwealth of </w:t>
      </w:r>
      <w:r w:rsidRPr="00660999">
        <w:t xml:space="preserve">Australia </w:t>
      </w:r>
      <w:r>
        <w:t>1998</w:t>
      </w:r>
      <w:r w:rsidRPr="00660999">
        <w:t xml:space="preserve">, </w:t>
      </w:r>
      <w:r w:rsidRPr="00660999">
        <w:rPr>
          <w:i/>
        </w:rPr>
        <w:t>Tax Reform: Not a New Tax, A New Tax System</w:t>
      </w:r>
      <w:r>
        <w:t>, Australian Government Publishing Service, Canberra.</w:t>
      </w:r>
    </w:p>
  </w:footnote>
  <w:footnote w:id="9">
    <w:p w:rsidR="000C112C" w:rsidRPr="006C0508" w:rsidRDefault="000C112C" w:rsidP="008934C6">
      <w:pPr>
        <w:pStyle w:val="FootnoteText"/>
        <w:tabs>
          <w:tab w:val="clear" w:pos="425"/>
          <w:tab w:val="left" w:pos="567"/>
        </w:tabs>
        <w:ind w:left="567" w:hanging="567"/>
      </w:pPr>
      <w:r w:rsidRPr="006C0508">
        <w:footnoteRef/>
      </w:r>
      <w:r>
        <w:tab/>
        <w:t xml:space="preserve">Commonwealth of </w:t>
      </w:r>
      <w:r w:rsidRPr="00660999">
        <w:t xml:space="preserve">Australia </w:t>
      </w:r>
      <w:r>
        <w:t>199</w:t>
      </w:r>
      <w:r w:rsidRPr="00660999">
        <w:t xml:space="preserve">8, </w:t>
      </w:r>
      <w:r w:rsidRPr="00660999">
        <w:rPr>
          <w:i/>
        </w:rPr>
        <w:t>Tax Reform: Not a New Tax, A New Tax System</w:t>
      </w:r>
      <w:r>
        <w:t>, Australian Government Publishing Service, Canberra, p. 91.</w:t>
      </w:r>
    </w:p>
  </w:footnote>
  <w:footnote w:id="10">
    <w:p w:rsidR="000C112C" w:rsidRPr="00232B72" w:rsidRDefault="000C112C" w:rsidP="008934C6">
      <w:pPr>
        <w:pStyle w:val="FootnoteText"/>
        <w:tabs>
          <w:tab w:val="clear" w:pos="425"/>
          <w:tab w:val="left" w:pos="567"/>
        </w:tabs>
        <w:ind w:left="567" w:hanging="567"/>
      </w:pPr>
      <w:r w:rsidRPr="00232B72">
        <w:footnoteRef/>
      </w:r>
      <w:r>
        <w:tab/>
        <w:t xml:space="preserve">Commonwealth of </w:t>
      </w:r>
      <w:r w:rsidRPr="00660999">
        <w:t xml:space="preserve">Australia </w:t>
      </w:r>
      <w:r>
        <w:t>199</w:t>
      </w:r>
      <w:r w:rsidRPr="00660999">
        <w:t xml:space="preserve">8, </w:t>
      </w:r>
      <w:r w:rsidRPr="00660999">
        <w:rPr>
          <w:i/>
        </w:rPr>
        <w:t>Tax Reform: Not a New Tax, A New Tax System</w:t>
      </w:r>
      <w:r>
        <w:t>, Australian Government Publishing Service, Canberra, p. 98.</w:t>
      </w:r>
    </w:p>
  </w:footnote>
  <w:footnote w:id="11">
    <w:p w:rsidR="000C112C" w:rsidRPr="00473F07" w:rsidRDefault="000C112C" w:rsidP="008934C6">
      <w:pPr>
        <w:pStyle w:val="FootnoteText"/>
        <w:tabs>
          <w:tab w:val="clear" w:pos="425"/>
          <w:tab w:val="left" w:pos="567"/>
        </w:tabs>
        <w:ind w:left="567" w:hanging="567"/>
      </w:pPr>
      <w:r w:rsidRPr="00027F97">
        <w:footnoteRef/>
      </w:r>
      <w:r>
        <w:tab/>
        <w:t xml:space="preserve">Howard, J 1999, </w:t>
      </w:r>
      <w:r>
        <w:rPr>
          <w:i/>
        </w:rPr>
        <w:t>Changes to the Goods and Services tax</w:t>
      </w:r>
      <w:r>
        <w:t>, Media Release 31 May 1999.</w:t>
      </w:r>
    </w:p>
  </w:footnote>
  <w:footnote w:id="12">
    <w:p w:rsidR="000C112C" w:rsidRPr="00027F97" w:rsidRDefault="000C112C" w:rsidP="008934C6">
      <w:pPr>
        <w:pStyle w:val="FootnoteText"/>
        <w:tabs>
          <w:tab w:val="clear" w:pos="425"/>
          <w:tab w:val="left" w:pos="567"/>
        </w:tabs>
        <w:ind w:left="567" w:hanging="567"/>
      </w:pPr>
      <w:r w:rsidRPr="00027F97">
        <w:footnoteRef/>
      </w:r>
      <w:r>
        <w:tab/>
        <w:t xml:space="preserve">Senate Select Committee on a New Tax System 1999, Final Report, The Parliament of </w:t>
      </w:r>
      <w:r w:rsidR="006157A7">
        <w:t xml:space="preserve">the Commonwealth of </w:t>
      </w:r>
      <w:r>
        <w:t>Australia, Canberra.</w:t>
      </w:r>
    </w:p>
  </w:footnote>
  <w:footnote w:id="13">
    <w:p w:rsidR="000C112C" w:rsidRPr="00027F97" w:rsidRDefault="000C112C" w:rsidP="008934C6">
      <w:pPr>
        <w:pStyle w:val="FootnoteText"/>
        <w:tabs>
          <w:tab w:val="clear" w:pos="425"/>
          <w:tab w:val="left" w:pos="567"/>
        </w:tabs>
        <w:ind w:left="567" w:hanging="567"/>
      </w:pPr>
      <w:r w:rsidRPr="00027F97">
        <w:footnoteRef/>
      </w:r>
      <w:r>
        <w:tab/>
        <w:t xml:space="preserve">Senate Select Committee on a New Tax System, 1999, Final Report, The Parliament of </w:t>
      </w:r>
      <w:r w:rsidR="006157A7">
        <w:t xml:space="preserve">the Commonwealth of </w:t>
      </w:r>
      <w:r>
        <w:t>Australia, Canberra.</w:t>
      </w:r>
    </w:p>
  </w:footnote>
  <w:footnote w:id="14">
    <w:p w:rsidR="000C112C" w:rsidRPr="00A0032A" w:rsidRDefault="000C112C" w:rsidP="008934C6">
      <w:pPr>
        <w:pStyle w:val="FootnoteText"/>
        <w:tabs>
          <w:tab w:val="clear" w:pos="425"/>
          <w:tab w:val="left" w:pos="567"/>
        </w:tabs>
        <w:ind w:left="567" w:hanging="567"/>
      </w:pPr>
      <w:r w:rsidRPr="00A0032A">
        <w:footnoteRef/>
      </w:r>
      <w:r>
        <w:tab/>
        <w:t>Other items that attract GST-free treatment include official activities of diplomats and diplomatic missions and approved international organisations; supplies of religious services integral to the practice of a religion; non-commercial activities of charitable institutions and non</w:t>
      </w:r>
      <w:r>
        <w:noBreakHyphen/>
        <w:t>profit bodies.  The impact of the GST-free treatment of these items is not analysed in this report.</w:t>
      </w:r>
    </w:p>
  </w:footnote>
  <w:footnote w:id="15">
    <w:p w:rsidR="000C112C" w:rsidRPr="00C57375" w:rsidRDefault="000C112C" w:rsidP="008934C6">
      <w:pPr>
        <w:pStyle w:val="FootnoteText"/>
        <w:tabs>
          <w:tab w:val="clear" w:pos="425"/>
          <w:tab w:val="left" w:pos="567"/>
        </w:tabs>
        <w:ind w:left="567" w:hanging="567"/>
      </w:pPr>
      <w:r w:rsidRPr="00C57375">
        <w:footnoteRef/>
      </w:r>
      <w:r>
        <w:tab/>
        <w:t>This ‘input-taxed’ treatment also applies to rental housing (for consistency with the treatment of owner</w:t>
      </w:r>
      <w:r>
        <w:noBreakHyphen/>
        <w:t>occupied housing) and providers of goods and services below the GST turnover threshold.  The impact of the input-taxed treatment of these items is not analysed in this report.</w:t>
      </w:r>
    </w:p>
  </w:footnote>
  <w:footnote w:id="16">
    <w:p w:rsidR="000C112C" w:rsidRPr="006B4FD3" w:rsidRDefault="000C112C" w:rsidP="008934C6">
      <w:pPr>
        <w:pStyle w:val="FootnoteText"/>
        <w:tabs>
          <w:tab w:val="clear" w:pos="425"/>
          <w:tab w:val="left" w:pos="567"/>
        </w:tabs>
        <w:ind w:left="567" w:hanging="567"/>
      </w:pPr>
      <w:r w:rsidRPr="006B4FD3">
        <w:footnoteRef/>
      </w:r>
      <w:r>
        <w:tab/>
      </w:r>
      <w:r w:rsidRPr="00241B49">
        <w:t xml:space="preserve">Kerrigan, A 2010, </w:t>
      </w:r>
      <w:r>
        <w:t>‘</w:t>
      </w:r>
      <w:r w:rsidRPr="00241B49">
        <w:t>The Elusiveness of Neutrality – Why Is It So Difficult To Apply VAT to Financial Services?</w:t>
      </w:r>
      <w:r>
        <w:t>’</w:t>
      </w:r>
      <w:r w:rsidRPr="00241B49">
        <w:t xml:space="preserve">, </w:t>
      </w:r>
      <w:r w:rsidRPr="00241B49">
        <w:rPr>
          <w:i/>
          <w:iCs/>
        </w:rPr>
        <w:t>International VAT Monitor</w:t>
      </w:r>
      <w:r w:rsidRPr="00241B49">
        <w:t xml:space="preserve">, </w:t>
      </w:r>
      <w:r>
        <w:t>v</w:t>
      </w:r>
      <w:r w:rsidRPr="00241B49">
        <w:t>ol.</w:t>
      </w:r>
      <w:r w:rsidR="006157A7">
        <w:t xml:space="preserve"> </w:t>
      </w:r>
      <w:r w:rsidRPr="00241B49">
        <w:t>21(2), pp. 103</w:t>
      </w:r>
      <w:r>
        <w:t>–</w:t>
      </w:r>
      <w:r w:rsidRPr="00241B49">
        <w:t>112.</w:t>
      </w:r>
    </w:p>
  </w:footnote>
  <w:footnote w:id="17">
    <w:p w:rsidR="000C112C" w:rsidRPr="00EB3EF2" w:rsidRDefault="000C112C" w:rsidP="008934C6">
      <w:pPr>
        <w:pStyle w:val="FootnoteText"/>
        <w:tabs>
          <w:tab w:val="clear" w:pos="425"/>
          <w:tab w:val="left" w:pos="567"/>
        </w:tabs>
        <w:ind w:left="567" w:hanging="567"/>
      </w:pPr>
      <w:r w:rsidRPr="00EB3EF2">
        <w:footnoteRef/>
      </w:r>
      <w:r>
        <w:tab/>
        <w:t xml:space="preserve">Howard, J 1999, </w:t>
      </w:r>
      <w:r>
        <w:rPr>
          <w:i/>
        </w:rPr>
        <w:t>Changes to the Goods and Services tax</w:t>
      </w:r>
      <w:r>
        <w:t>, Media Release 31 May 1999.</w:t>
      </w:r>
    </w:p>
  </w:footnote>
  <w:footnote w:id="18">
    <w:p w:rsidR="000C112C" w:rsidRPr="00EB3EF2" w:rsidRDefault="000C112C" w:rsidP="008934C6">
      <w:pPr>
        <w:pStyle w:val="FootnoteText"/>
        <w:tabs>
          <w:tab w:val="clear" w:pos="425"/>
          <w:tab w:val="left" w:pos="567"/>
        </w:tabs>
        <w:ind w:left="567" w:hanging="567"/>
      </w:pPr>
      <w:r w:rsidRPr="00EB3EF2">
        <w:footnoteRef/>
      </w:r>
      <w:r>
        <w:tab/>
        <w:t>Howard,</w:t>
      </w:r>
      <w:r w:rsidR="006157A7">
        <w:t xml:space="preserve"> J</w:t>
      </w:r>
      <w:r>
        <w:t xml:space="preserve"> 1999, </w:t>
      </w:r>
      <w:r>
        <w:rPr>
          <w:i/>
        </w:rPr>
        <w:t>Changes to the Goods and Services tax</w:t>
      </w:r>
      <w:r>
        <w:t>, Media Release 31 May 1999.</w:t>
      </w:r>
    </w:p>
  </w:footnote>
  <w:footnote w:id="19">
    <w:p w:rsidR="000C112C" w:rsidRPr="00C977DC" w:rsidRDefault="000C112C" w:rsidP="008934C6">
      <w:pPr>
        <w:pStyle w:val="FootnoteText"/>
        <w:tabs>
          <w:tab w:val="clear" w:pos="425"/>
          <w:tab w:val="left" w:pos="567"/>
        </w:tabs>
        <w:ind w:left="567" w:hanging="567"/>
      </w:pPr>
      <w:r w:rsidRPr="009E5139">
        <w:footnoteRef/>
      </w:r>
      <w:r>
        <w:tab/>
        <w:t>The Senate</w:t>
      </w:r>
      <w:r w:rsidR="006157A7">
        <w:t xml:space="preserve"> Education, Employment and Wor</w:t>
      </w:r>
      <w:r w:rsidR="00F815CF">
        <w:t>k</w:t>
      </w:r>
      <w:r w:rsidR="006157A7">
        <w:t>place Relations References Committee</w:t>
      </w:r>
      <w:r>
        <w:t xml:space="preserve"> 2012, </w:t>
      </w:r>
      <w:r w:rsidRPr="00C977DC">
        <w:rPr>
          <w:i/>
        </w:rPr>
        <w:t>The adequacy of the allowance payment system for jobseekers and others, the appropriateness of the allowance payment system as a support into work and the impact of the changing nature of the labour market</w:t>
      </w:r>
      <w:r>
        <w:t xml:space="preserve">, </w:t>
      </w:r>
      <w:r w:rsidR="006157A7">
        <w:t>The Parliament of the Commonwealth of Australia, Canberra</w:t>
      </w:r>
      <w:r>
        <w:t>.</w:t>
      </w:r>
    </w:p>
  </w:footnote>
  <w:footnote w:id="20">
    <w:p w:rsidR="000C112C" w:rsidRPr="00325952" w:rsidRDefault="000C112C" w:rsidP="008934C6">
      <w:pPr>
        <w:pStyle w:val="FootnoteText"/>
        <w:tabs>
          <w:tab w:val="clear" w:pos="425"/>
          <w:tab w:val="left" w:pos="567"/>
        </w:tabs>
        <w:ind w:left="567" w:hanging="567"/>
      </w:pPr>
      <w:r w:rsidRPr="00325952">
        <w:footnoteRef/>
      </w:r>
      <w:r>
        <w:tab/>
        <w:t>The GST pension supplement was included in the age pension, disability support pension, parenting payment, wife pension, widow B pension, carer payment, bereavement allowance, the pre-July 1996 mature age allowance and the mature age partner allowance.</w:t>
      </w:r>
    </w:p>
  </w:footnote>
  <w:footnote w:id="21">
    <w:p w:rsidR="000C112C" w:rsidRPr="00527666" w:rsidRDefault="000C112C" w:rsidP="008934C6">
      <w:pPr>
        <w:pStyle w:val="FootnoteText"/>
        <w:tabs>
          <w:tab w:val="clear" w:pos="425"/>
          <w:tab w:val="left" w:pos="567"/>
        </w:tabs>
        <w:ind w:left="567" w:hanging="567"/>
      </w:pPr>
      <w:r w:rsidRPr="00527666">
        <w:footnoteRef/>
      </w:r>
      <w:r>
        <w:tab/>
      </w:r>
      <w:r>
        <w:rPr>
          <w:lang w:eastAsia="en-AU"/>
        </w:rPr>
        <w:t>The pension GST supplement has been incorporated into the consolidated pension supplement as the pension supplement basic amount.</w:t>
      </w:r>
    </w:p>
  </w:footnote>
  <w:footnote w:id="22">
    <w:p w:rsidR="000C112C" w:rsidRPr="005D4C00" w:rsidRDefault="000C112C" w:rsidP="008934C6">
      <w:pPr>
        <w:pStyle w:val="FootnoteText"/>
        <w:tabs>
          <w:tab w:val="clear" w:pos="425"/>
          <w:tab w:val="left" w:pos="567"/>
        </w:tabs>
        <w:ind w:left="567" w:hanging="567"/>
      </w:pPr>
      <w:r w:rsidRPr="005D4C00">
        <w:footnoteRef/>
      </w:r>
      <w:r>
        <w:tab/>
      </w:r>
      <w:r w:rsidRPr="00CA7406">
        <w:t>P</w:t>
      </w:r>
      <w:r>
        <w:t>BO</w:t>
      </w:r>
      <w:r w:rsidRPr="00CA7406">
        <w:t xml:space="preserve"> 2014, </w:t>
      </w:r>
      <w:r w:rsidRPr="00CA7406">
        <w:rPr>
          <w:i/>
        </w:rPr>
        <w:t>Trends in Australian Government Receipts: 1982–83 to 2012–13</w:t>
      </w:r>
      <w:r w:rsidRPr="00CA7406">
        <w:t>, PBO, Canberra.</w:t>
      </w:r>
    </w:p>
  </w:footnote>
  <w:footnote w:id="23">
    <w:p w:rsidR="000C112C" w:rsidRPr="00223E7E" w:rsidRDefault="000C112C" w:rsidP="008934C6">
      <w:pPr>
        <w:pStyle w:val="FootnoteText"/>
        <w:tabs>
          <w:tab w:val="clear" w:pos="425"/>
          <w:tab w:val="left" w:pos="567"/>
        </w:tabs>
        <w:ind w:left="567" w:hanging="567"/>
      </w:pPr>
      <w:r w:rsidRPr="00223E7E">
        <w:footnoteRef/>
      </w:r>
      <w:r>
        <w:tab/>
        <w:t>PBO estimates based on the 2014</w:t>
      </w:r>
      <w:r w:rsidR="00CD7A40">
        <w:t>–</w:t>
      </w:r>
      <w:r>
        <w:t>15 Final Budget Outcome and the methodology set out in PBO (2014).</w:t>
      </w:r>
    </w:p>
  </w:footnote>
  <w:footnote w:id="24">
    <w:p w:rsidR="000C112C" w:rsidRPr="00223E7E" w:rsidRDefault="000C112C" w:rsidP="008934C6">
      <w:pPr>
        <w:pStyle w:val="FootnoteText"/>
        <w:tabs>
          <w:tab w:val="clear" w:pos="425"/>
          <w:tab w:val="left" w:pos="567"/>
        </w:tabs>
        <w:ind w:left="567" w:hanging="567"/>
      </w:pPr>
      <w:r w:rsidRPr="00223E7E">
        <w:footnoteRef/>
      </w:r>
      <w:r>
        <w:tab/>
        <w:t>PBO estimates based on the 2015</w:t>
      </w:r>
      <w:r w:rsidR="00CD7A40">
        <w:t>–</w:t>
      </w:r>
      <w:r>
        <w:t>16 Budget parameters and the methodology set out in PBO (2014).</w:t>
      </w:r>
    </w:p>
  </w:footnote>
  <w:footnote w:id="25">
    <w:p w:rsidR="000C112C" w:rsidRPr="00C60524" w:rsidRDefault="000C112C" w:rsidP="008934C6">
      <w:pPr>
        <w:pStyle w:val="FootnoteText"/>
        <w:tabs>
          <w:tab w:val="clear" w:pos="425"/>
          <w:tab w:val="left" w:pos="567"/>
        </w:tabs>
        <w:ind w:left="567" w:hanging="567"/>
      </w:pPr>
      <w:r w:rsidRPr="00C60524">
        <w:footnoteRef/>
      </w:r>
      <w:r>
        <w:tab/>
        <w:t>OECD (2014c).</w:t>
      </w:r>
    </w:p>
  </w:footnote>
  <w:footnote w:id="26">
    <w:p w:rsidR="000C112C" w:rsidRPr="0048749C" w:rsidRDefault="000C112C" w:rsidP="008934C6">
      <w:pPr>
        <w:pStyle w:val="FootnoteText"/>
        <w:tabs>
          <w:tab w:val="clear" w:pos="425"/>
          <w:tab w:val="left" w:pos="567"/>
        </w:tabs>
        <w:ind w:left="567" w:hanging="567"/>
      </w:pPr>
      <w:r w:rsidRPr="001C7034">
        <w:footnoteRef/>
      </w:r>
      <w:r>
        <w:tab/>
        <w:t>In 2013, the most recent year for which international comparisons are available, Australia’s GST raised 3.5</w:t>
      </w:r>
      <w:r w:rsidR="00CD7A40">
        <w:t> </w:t>
      </w:r>
      <w:r>
        <w:t>per cent of GDP, just over half the 6.6 per cent of GDP unweighted average of OECD countries: OECD (2015).</w:t>
      </w:r>
    </w:p>
  </w:footnote>
  <w:footnote w:id="27">
    <w:p w:rsidR="000C112C" w:rsidRPr="00F92A6D" w:rsidRDefault="000C112C" w:rsidP="008934C6">
      <w:pPr>
        <w:pStyle w:val="FootnoteText"/>
        <w:tabs>
          <w:tab w:val="clear" w:pos="425"/>
          <w:tab w:val="left" w:pos="567"/>
        </w:tabs>
        <w:ind w:left="567" w:hanging="567"/>
      </w:pPr>
      <w:r w:rsidRPr="00103BC0">
        <w:footnoteRef/>
      </w:r>
      <w:r>
        <w:tab/>
      </w:r>
      <w:r w:rsidRPr="00F92A6D">
        <w:t>In 2014 Japan increased its VAT rate to 8 per cent, with VAT increasing to 3.7 per cent of GDP.</w:t>
      </w:r>
    </w:p>
  </w:footnote>
  <w:footnote w:id="28">
    <w:p w:rsidR="000C112C" w:rsidRPr="008E7916" w:rsidRDefault="000C112C" w:rsidP="008934C6">
      <w:pPr>
        <w:pStyle w:val="FootnoteText"/>
        <w:tabs>
          <w:tab w:val="clear" w:pos="425"/>
          <w:tab w:val="left" w:pos="567"/>
        </w:tabs>
        <w:ind w:left="567" w:hanging="567"/>
      </w:pPr>
      <w:r w:rsidRPr="00F92A6D">
        <w:footnoteRef/>
      </w:r>
      <w:r w:rsidRPr="00F92A6D">
        <w:tab/>
        <w:t xml:space="preserve">The VAT Revenue Ratio is equal to </w:t>
      </w:r>
      <m:oMath>
        <m:f>
          <m:fPr>
            <m:type m:val="lin"/>
            <m:ctrlPr>
              <w:rPr>
                <w:rFonts w:ascii="Cambria Math" w:hAnsi="Cambria Math"/>
                <w:i/>
              </w:rPr>
            </m:ctrlPr>
          </m:fPr>
          <m:num>
            <m:r>
              <m:rPr>
                <m:nor/>
              </m:rPr>
              <m:t>VAT revenue</m:t>
            </m:r>
          </m:num>
          <m:den>
            <m:d>
              <m:dPr>
                <m:begChr m:val="["/>
                <m:endChr m:val="]"/>
                <m:ctrlPr>
                  <w:rPr>
                    <w:rFonts w:ascii="Cambria Math" w:hAnsi="Cambria Math"/>
                    <w:i/>
                  </w:rPr>
                </m:ctrlPr>
              </m:dPr>
              <m:e>
                <m:d>
                  <m:dPr>
                    <m:ctrlPr>
                      <w:rPr>
                        <w:rFonts w:ascii="Cambria Math" w:hAnsi="Cambria Math"/>
                        <w:i/>
                      </w:rPr>
                    </m:ctrlPr>
                  </m:dPr>
                  <m:e>
                    <m:r>
                      <m:rPr>
                        <m:nor/>
                      </m:rPr>
                      <m:t>Consumption - VAT revenue</m:t>
                    </m:r>
                  </m:e>
                </m:d>
                <m:r>
                  <w:rPr>
                    <w:rFonts w:ascii="Cambria Math" w:hAnsi="Cambria Math"/>
                  </w:rPr>
                  <m:t>×</m:t>
                </m:r>
                <m:r>
                  <m:rPr>
                    <m:nor/>
                  </m:rPr>
                  <m:t>VAT rate</m:t>
                </m:r>
              </m:e>
            </m:d>
          </m:den>
        </m:f>
      </m:oMath>
      <w:r w:rsidRPr="00F92A6D">
        <w:t>, with consumption including government consumption: OECD 2014c.</w:t>
      </w:r>
    </w:p>
  </w:footnote>
  <w:footnote w:id="29">
    <w:p w:rsidR="000C112C" w:rsidRPr="00823D86" w:rsidRDefault="000C112C" w:rsidP="008934C6">
      <w:pPr>
        <w:pStyle w:val="FootnoteText"/>
        <w:tabs>
          <w:tab w:val="clear" w:pos="425"/>
          <w:tab w:val="left" w:pos="567"/>
        </w:tabs>
        <w:ind w:left="567" w:hanging="567"/>
      </w:pPr>
      <w:r w:rsidRPr="00823D86">
        <w:footnoteRef/>
      </w:r>
      <w:r>
        <w:tab/>
        <w:t>The OECD attributes Luxembourg’s VAT Revenue Ratio of over 100 per cent to its position as an international financial centre, and European Union VAT rules that deny suppliers of financial services credit for VAT paid on inputs.  As a large share of the final consumption of Luxembourg’s financial services occurs in other EU member states, this has the effect of increasing Luxembourg’s VAT revenues.  The OECD also note that Luxembourg has the lowest VAT rate in the EU, which has acted as an incentive for e</w:t>
      </w:r>
      <w:r w:rsidR="00FB03DC">
        <w:noBreakHyphen/>
      </w:r>
      <w:r>
        <w:t>suppliers to establish there, generating additional revenue for the country.  See OECD (2014c), page 95 for more detail.</w:t>
      </w:r>
    </w:p>
  </w:footnote>
  <w:footnote w:id="30">
    <w:p w:rsidR="000C112C" w:rsidRPr="0004202B" w:rsidRDefault="000C112C" w:rsidP="008934C6">
      <w:pPr>
        <w:pStyle w:val="FootnoteText"/>
        <w:tabs>
          <w:tab w:val="clear" w:pos="425"/>
          <w:tab w:val="left" w:pos="567"/>
        </w:tabs>
        <w:ind w:left="567" w:hanging="567"/>
      </w:pPr>
      <w:r w:rsidRPr="0004202B">
        <w:footnoteRef/>
      </w:r>
      <w:r>
        <w:tab/>
      </w:r>
      <w:r w:rsidRPr="00F92A6D">
        <w:t xml:space="preserve">Disposable income is income from all sources for all members of the household, less income tax.  Equivalised household disposable income is disposable income of the household adjusted for the number of members in the household that the income supports.  The analysis of households in this report is on an equivalised basis.  The equivalence factors used in this report to facilitate comparisons between households that comprise different numbers of adult and children are those included by the Australian Bureau of Statistics in the </w:t>
      </w:r>
      <w:r w:rsidRPr="00744788">
        <w:rPr>
          <w:i/>
        </w:rPr>
        <w:t>Household Expenditure Survey</w:t>
      </w:r>
      <w:r w:rsidRPr="00F92A6D">
        <w:t xml:space="preserve"> data file.</w:t>
      </w:r>
    </w:p>
  </w:footnote>
  <w:footnote w:id="31">
    <w:p w:rsidR="000C112C" w:rsidRPr="00D4263D" w:rsidRDefault="000C112C" w:rsidP="008934C6">
      <w:pPr>
        <w:pStyle w:val="FootnoteText"/>
        <w:tabs>
          <w:tab w:val="clear" w:pos="425"/>
          <w:tab w:val="left" w:pos="567"/>
        </w:tabs>
        <w:ind w:left="567" w:hanging="567"/>
      </w:pPr>
      <w:r w:rsidRPr="00D4263D">
        <w:footnoteRef/>
      </w:r>
      <w:r>
        <w:tab/>
        <w:t xml:space="preserve">These limitations are acknowledged by the ABS, and have been well documented in previous studies.  See, for example, </w:t>
      </w:r>
      <w:r w:rsidRPr="00091674">
        <w:t xml:space="preserve">Carnahan, M 1998, </w:t>
      </w:r>
      <w:r w:rsidR="00CD7A40">
        <w:t>‘</w:t>
      </w:r>
      <w:r w:rsidRPr="00091674">
        <w:t>Does Demand Create Poor Quality Supply: A Critique of Alternative Distributional Analysis</w:t>
      </w:r>
      <w:r w:rsidR="00CD7A40">
        <w:t>’</w:t>
      </w:r>
      <w:r w:rsidRPr="00091674">
        <w:t xml:space="preserve">, </w:t>
      </w:r>
      <w:r w:rsidRPr="00091674">
        <w:rPr>
          <w:i/>
        </w:rPr>
        <w:t>Economic Roundup</w:t>
      </w:r>
      <w:r w:rsidRPr="00CD7A40">
        <w:t>,</w:t>
      </w:r>
      <w:r>
        <w:t xml:space="preserve"> The Treasury</w:t>
      </w:r>
      <w:r w:rsidR="00CD7A40">
        <w:t>;</w:t>
      </w:r>
      <w:r>
        <w:t xml:space="preserve"> </w:t>
      </w:r>
      <w:r w:rsidRPr="00091674">
        <w:t xml:space="preserve">Harding, A, and Warren, N 1998, </w:t>
      </w:r>
      <w:r w:rsidRPr="00091674">
        <w:rPr>
          <w:i/>
        </w:rPr>
        <w:t>An</w:t>
      </w:r>
      <w:r w:rsidR="00B9669E">
        <w:rPr>
          <w:i/>
        </w:rPr>
        <w:t> </w:t>
      </w:r>
      <w:r w:rsidRPr="00091674">
        <w:rPr>
          <w:i/>
        </w:rPr>
        <w:t>Introduction to Microsimulation Models of Tax Reform</w:t>
      </w:r>
      <w:r w:rsidRPr="00082337">
        <w:rPr>
          <w:i/>
        </w:rPr>
        <w:t>, Paper prepared for the Senate Select Committee for a New Tax System</w:t>
      </w:r>
      <w:r w:rsidRPr="00091674">
        <w:t>, National Centre for Social and Economic Modelling, University of Canberra,</w:t>
      </w:r>
      <w:r w:rsidR="00CD7A40">
        <w:t xml:space="preserve"> Canberra</w:t>
      </w:r>
      <w:r w:rsidRPr="00091674">
        <w:t>.</w:t>
      </w:r>
    </w:p>
  </w:footnote>
  <w:footnote w:id="32">
    <w:p w:rsidR="000C112C" w:rsidRPr="0004202B" w:rsidRDefault="000C112C" w:rsidP="008934C6">
      <w:pPr>
        <w:pStyle w:val="FootnoteText"/>
        <w:tabs>
          <w:tab w:val="clear" w:pos="425"/>
          <w:tab w:val="left" w:pos="567"/>
        </w:tabs>
        <w:ind w:left="567" w:hanging="567"/>
      </w:pPr>
      <w:r w:rsidRPr="0004202B">
        <w:footnoteRef/>
      </w:r>
      <w:r>
        <w:tab/>
        <w:t>For example, the current income of tertiary students and retirees could reasonably be expected to be less than their average income over their lifetime.</w:t>
      </w:r>
    </w:p>
  </w:footnote>
  <w:footnote w:id="33">
    <w:p w:rsidR="000C112C" w:rsidRPr="005B428A" w:rsidRDefault="000C112C" w:rsidP="008934C6">
      <w:pPr>
        <w:pStyle w:val="FootnoteText"/>
        <w:tabs>
          <w:tab w:val="clear" w:pos="425"/>
          <w:tab w:val="left" w:pos="567"/>
        </w:tabs>
        <w:ind w:left="567" w:hanging="567"/>
      </w:pPr>
      <w:r w:rsidRPr="005B428A">
        <w:footnoteRef/>
      </w:r>
      <w:r>
        <w:tab/>
        <w:t>OECD (2014b).</w:t>
      </w:r>
    </w:p>
  </w:footnote>
  <w:footnote w:id="34">
    <w:p w:rsidR="000C112C" w:rsidRPr="00D77AD7" w:rsidRDefault="000C112C" w:rsidP="008934C6">
      <w:pPr>
        <w:pStyle w:val="FootnoteText"/>
        <w:tabs>
          <w:tab w:val="clear" w:pos="425"/>
          <w:tab w:val="left" w:pos="567"/>
        </w:tabs>
        <w:ind w:left="567" w:hanging="567"/>
      </w:pPr>
      <w:r w:rsidRPr="00D77AD7">
        <w:footnoteRef/>
      </w:r>
      <w:r>
        <w:tab/>
        <w:t xml:space="preserve">This issue is analysed in more detail in </w:t>
      </w:r>
      <w:r w:rsidRPr="0015643E">
        <w:t>Appendix A and Appendix B.</w:t>
      </w:r>
    </w:p>
  </w:footnote>
  <w:footnote w:id="35">
    <w:p w:rsidR="000C112C" w:rsidRPr="008A5F02" w:rsidRDefault="000C112C" w:rsidP="008934C6">
      <w:pPr>
        <w:pStyle w:val="FootnoteText"/>
        <w:tabs>
          <w:tab w:val="clear" w:pos="425"/>
          <w:tab w:val="left" w:pos="567"/>
        </w:tabs>
        <w:ind w:left="567" w:hanging="567"/>
      </w:pPr>
      <w:r w:rsidRPr="008A5F02">
        <w:footnoteRef/>
      </w:r>
      <w:r>
        <w:tab/>
      </w:r>
      <w:r w:rsidRPr="00F92A6D">
        <w:t>The bottom four income deciles have the highest proportion of mortgages: see Table B-1 in Appendix B.</w:t>
      </w:r>
    </w:p>
  </w:footnote>
  <w:footnote w:id="36">
    <w:p w:rsidR="000C112C" w:rsidRPr="00E333DF" w:rsidRDefault="000C112C" w:rsidP="008934C6">
      <w:pPr>
        <w:pStyle w:val="FootnoteText"/>
        <w:tabs>
          <w:tab w:val="clear" w:pos="425"/>
          <w:tab w:val="left" w:pos="567"/>
        </w:tabs>
        <w:ind w:left="567" w:hanging="567"/>
      </w:pPr>
      <w:r w:rsidRPr="00E333DF">
        <w:footnoteRef/>
      </w:r>
      <w:r>
        <w:tab/>
      </w:r>
      <w:r w:rsidRPr="006B7B8B">
        <w:t xml:space="preserve">As noted previously, the impact of </w:t>
      </w:r>
      <w:r>
        <w:t>other exclusions from the GST (such as the input-taxed treatment of financial services and housing and other items that attract GST-free treatment) are</w:t>
      </w:r>
      <w:r w:rsidRPr="006B7B8B">
        <w:t xml:space="preserve"> not analysed in this report.</w:t>
      </w:r>
    </w:p>
  </w:footnote>
  <w:footnote w:id="37">
    <w:p w:rsidR="000C112C" w:rsidRPr="00790673" w:rsidRDefault="000C112C" w:rsidP="008934C6">
      <w:pPr>
        <w:pStyle w:val="FootnoteText"/>
        <w:tabs>
          <w:tab w:val="clear" w:pos="425"/>
          <w:tab w:val="left" w:pos="567"/>
        </w:tabs>
        <w:ind w:left="567" w:hanging="567"/>
      </w:pPr>
      <w:r w:rsidRPr="00790673">
        <w:footnoteRef/>
      </w:r>
      <w:r>
        <w:tab/>
        <w:t>Food that is GST</w:t>
      </w:r>
      <w:r>
        <w:noBreakHyphen/>
        <w:t xml:space="preserve">free includes </w:t>
      </w:r>
      <w:r w:rsidRPr="00790673">
        <w:t>most food for human consumption that is prepared and/or consumed at home, such as fresh fruit and vegetables, fish, dairy products, bread and meat.  GST-free beverages include unflavoured milk products, tea, coffee and fruit juices.</w:t>
      </w:r>
      <w:r>
        <w:t xml:space="preserve">  Food currently subject to GST includes t</w:t>
      </w:r>
      <w:r w:rsidRPr="00790673">
        <w:t xml:space="preserve">ake away food and beverages, packaged meals, savoury snacks, confectionary, soft drinks, flavoured milk, restaurant meals and food consumed on </w:t>
      </w:r>
      <w:r>
        <w:t>the premises of sale</w:t>
      </w:r>
      <w:r w:rsidRPr="00790673">
        <w:t>.</w:t>
      </w:r>
    </w:p>
  </w:footnote>
  <w:footnote w:id="38">
    <w:p w:rsidR="000C112C" w:rsidRPr="006B7B8B" w:rsidRDefault="000C112C" w:rsidP="008934C6">
      <w:pPr>
        <w:pStyle w:val="FootnoteText"/>
        <w:tabs>
          <w:tab w:val="clear" w:pos="425"/>
          <w:tab w:val="left" w:pos="567"/>
        </w:tabs>
        <w:ind w:left="567" w:hanging="567"/>
      </w:pPr>
      <w:r w:rsidRPr="006B7B8B">
        <w:footnoteRef/>
      </w:r>
      <w:r>
        <w:tab/>
        <w:t xml:space="preserve">See, for example, Quiggin, J 1998, </w:t>
      </w:r>
      <w:r w:rsidR="00E97F77">
        <w:t>‘</w:t>
      </w:r>
      <w:r>
        <w:t>Should Food Be Taxed</w:t>
      </w:r>
      <w:r w:rsidR="00E97F77">
        <w:t>’</w:t>
      </w:r>
      <w:r>
        <w:t xml:space="preserve">, </w:t>
      </w:r>
      <w:r>
        <w:rPr>
          <w:i/>
        </w:rPr>
        <w:t xml:space="preserve">Perspectives on the GST Package, </w:t>
      </w:r>
      <w:r>
        <w:t>Discussion Paper N</w:t>
      </w:r>
      <w:r w:rsidR="00E97F77">
        <w:t>o.</w:t>
      </w:r>
      <w:r>
        <w:t xml:space="preserve"> 18, The Australia Institute, pp</w:t>
      </w:r>
      <w:r w:rsidR="00E97F77">
        <w:t xml:space="preserve"> </w:t>
      </w:r>
      <w:r>
        <w:t>23</w:t>
      </w:r>
      <w:r w:rsidR="00E97F77">
        <w:t>–</w:t>
      </w:r>
      <w:r>
        <w:t>32.</w:t>
      </w:r>
    </w:p>
  </w:footnote>
  <w:footnote w:id="39">
    <w:p w:rsidR="000C112C" w:rsidRPr="00B75276" w:rsidRDefault="000C112C" w:rsidP="008934C6">
      <w:pPr>
        <w:pStyle w:val="FootnoteText"/>
        <w:tabs>
          <w:tab w:val="clear" w:pos="425"/>
          <w:tab w:val="left" w:pos="567"/>
        </w:tabs>
        <w:ind w:left="567" w:hanging="567"/>
      </w:pPr>
      <w:r w:rsidRPr="00B75276">
        <w:footnoteRef/>
      </w:r>
      <w:r>
        <w:tab/>
        <w:t>Even using the second lowest income decile (to allow for potential data issues), the relative benefit of the concession is four times larger than for the highest income decile.</w:t>
      </w:r>
    </w:p>
  </w:footnote>
  <w:footnote w:id="40">
    <w:p w:rsidR="000C112C" w:rsidRPr="00790673" w:rsidRDefault="000C112C" w:rsidP="008934C6">
      <w:pPr>
        <w:pStyle w:val="FootnoteText"/>
        <w:tabs>
          <w:tab w:val="clear" w:pos="425"/>
          <w:tab w:val="left" w:pos="567"/>
        </w:tabs>
        <w:ind w:left="567" w:hanging="567"/>
      </w:pPr>
      <w:r w:rsidRPr="00790673">
        <w:footnoteRef/>
      </w:r>
      <w:r>
        <w:tab/>
      </w:r>
      <w:r w:rsidRPr="00790673">
        <w:t xml:space="preserve">GST-free </w:t>
      </w:r>
      <w:r>
        <w:t>health and medical care includes</w:t>
      </w:r>
      <w:r w:rsidRPr="00790673">
        <w:t xml:space="preserve"> medical and health services, prescription drugs, medical aids and appliances, private health insurance</w:t>
      </w:r>
      <w:r>
        <w:t>,</w:t>
      </w:r>
      <w:r w:rsidRPr="00790673">
        <w:t xml:space="preserve"> and certain residential care, community care and other care services.</w:t>
      </w:r>
    </w:p>
  </w:footnote>
  <w:footnote w:id="41">
    <w:p w:rsidR="000C112C" w:rsidRPr="00D31109" w:rsidRDefault="000C112C" w:rsidP="008934C6">
      <w:pPr>
        <w:pStyle w:val="FootnoteText"/>
        <w:tabs>
          <w:tab w:val="clear" w:pos="425"/>
          <w:tab w:val="left" w:pos="567"/>
        </w:tabs>
        <w:ind w:left="567" w:hanging="567"/>
      </w:pPr>
      <w:r w:rsidRPr="00D31109">
        <w:footnoteRef/>
      </w:r>
      <w:r>
        <w:tab/>
      </w:r>
      <w:r w:rsidR="00E97F77">
        <w:t>Commonwealth of Australia</w:t>
      </w:r>
      <w:r w:rsidRPr="00660999">
        <w:t xml:space="preserve"> </w:t>
      </w:r>
      <w:r>
        <w:t>1998</w:t>
      </w:r>
      <w:r w:rsidRPr="00660999">
        <w:t xml:space="preserve">, </w:t>
      </w:r>
      <w:r w:rsidRPr="00660999">
        <w:rPr>
          <w:i/>
        </w:rPr>
        <w:t>Tax Reform: Not a New Tax, A New Tax System</w:t>
      </w:r>
      <w:r>
        <w:t xml:space="preserve">, </w:t>
      </w:r>
      <w:r w:rsidR="00E97F77">
        <w:t>Australian Government Publishing Service, Canberra.</w:t>
      </w:r>
    </w:p>
  </w:footnote>
  <w:footnote w:id="42">
    <w:p w:rsidR="000C112C" w:rsidRPr="000C5C53" w:rsidRDefault="000C112C" w:rsidP="008934C6">
      <w:pPr>
        <w:pStyle w:val="FootnoteText"/>
        <w:tabs>
          <w:tab w:val="clear" w:pos="425"/>
          <w:tab w:val="left" w:pos="567"/>
        </w:tabs>
        <w:ind w:left="567" w:hanging="567"/>
      </w:pPr>
      <w:r w:rsidRPr="000C5C53">
        <w:footnoteRef/>
      </w:r>
      <w:r>
        <w:tab/>
      </w:r>
      <w:bookmarkStart w:id="79" w:name="Revenue_Law_Journal"/>
      <w:bookmarkStart w:id="80" w:name="1-1-2000"/>
      <w:bookmarkStart w:id="81" w:name="First_Do_No_Harm:_GST_and_Health_Care_Se"/>
      <w:bookmarkStart w:id="82" w:name="Catherine_Whitby"/>
      <w:bookmarkStart w:id="83" w:name="Recommended_Citation"/>
      <w:bookmarkEnd w:id="79"/>
      <w:bookmarkEnd w:id="80"/>
      <w:bookmarkEnd w:id="81"/>
      <w:bookmarkEnd w:id="82"/>
      <w:bookmarkEnd w:id="83"/>
      <w:r w:rsidRPr="00B75276">
        <w:t>Whitby, C 2000</w:t>
      </w:r>
      <w:r w:rsidR="00E97F77">
        <w:t>,</w:t>
      </w:r>
      <w:r w:rsidRPr="00B75276">
        <w:t xml:space="preserve"> </w:t>
      </w:r>
      <w:r w:rsidR="00E97F77">
        <w:t>‘</w:t>
      </w:r>
      <w:r w:rsidRPr="00B75276">
        <w:t>First Do No Harm: GST and Health Care Services</w:t>
      </w:r>
      <w:r w:rsidR="00E97F77">
        <w:t>’</w:t>
      </w:r>
      <w:r w:rsidRPr="00B75276">
        <w:t xml:space="preserve">, </w:t>
      </w:r>
      <w:r w:rsidRPr="00B75276">
        <w:rPr>
          <w:i/>
          <w:iCs/>
        </w:rPr>
        <w:t>Revenue Law Journal</w:t>
      </w:r>
      <w:r w:rsidR="00E97F77" w:rsidRPr="00E97F77">
        <w:rPr>
          <w:iCs/>
        </w:rPr>
        <w:t>,</w:t>
      </w:r>
      <w:r w:rsidRPr="00B75276">
        <w:t xml:space="preserve"> </w:t>
      </w:r>
      <w:r w:rsidR="00E97F77">
        <w:t>vol. 10, i</w:t>
      </w:r>
      <w:r w:rsidRPr="00B75276">
        <w:t>ss. 1, Article 9</w:t>
      </w:r>
      <w:r>
        <w:rPr>
          <w:rFonts w:cs="Times New Roman"/>
          <w:spacing w:val="-1"/>
        </w:rPr>
        <w:t xml:space="preserve">; </w:t>
      </w:r>
      <w:r w:rsidRPr="00C45D1A">
        <w:t xml:space="preserve">OECD 2014c, </w:t>
      </w:r>
      <w:r w:rsidRPr="00C45D1A">
        <w:rPr>
          <w:i/>
        </w:rPr>
        <w:t>Consumption Tax Trends 2014</w:t>
      </w:r>
      <w:r w:rsidRPr="00C45D1A">
        <w:t>, OECD Publishing.</w:t>
      </w:r>
    </w:p>
  </w:footnote>
  <w:footnote w:id="43">
    <w:p w:rsidR="000C112C" w:rsidRPr="000440BF" w:rsidRDefault="000C112C" w:rsidP="008934C6">
      <w:pPr>
        <w:pStyle w:val="FootnoteText"/>
        <w:tabs>
          <w:tab w:val="clear" w:pos="425"/>
          <w:tab w:val="left" w:pos="567"/>
        </w:tabs>
        <w:ind w:left="567" w:hanging="567"/>
      </w:pPr>
      <w:r w:rsidRPr="000440BF">
        <w:footnoteRef/>
      </w:r>
      <w:r>
        <w:tab/>
      </w:r>
      <w:r w:rsidRPr="000440BF">
        <w:t xml:space="preserve">GST-free treatment of </w:t>
      </w:r>
      <w:r>
        <w:t xml:space="preserve">education </w:t>
      </w:r>
      <w:r w:rsidRPr="000440BF">
        <w:t xml:space="preserve">mainly </w:t>
      </w:r>
      <w:r>
        <w:t xml:space="preserve">relates to </w:t>
      </w:r>
      <w:r w:rsidRPr="000440BF">
        <w:t>primary and secondary school education, tertiary and vocational edu</w:t>
      </w:r>
      <w:r>
        <w:t>cation and related expenditures</w:t>
      </w:r>
      <w:r w:rsidRPr="000440BF">
        <w:t>.</w:t>
      </w:r>
    </w:p>
  </w:footnote>
  <w:footnote w:id="44">
    <w:p w:rsidR="000C112C" w:rsidRPr="00D31109" w:rsidRDefault="000C112C" w:rsidP="008934C6">
      <w:pPr>
        <w:pStyle w:val="FootnoteText"/>
        <w:tabs>
          <w:tab w:val="clear" w:pos="425"/>
          <w:tab w:val="left" w:pos="567"/>
        </w:tabs>
        <w:ind w:left="567" w:hanging="567"/>
      </w:pPr>
      <w:r w:rsidRPr="00D31109">
        <w:footnoteRef/>
      </w:r>
      <w:r>
        <w:tab/>
      </w:r>
      <w:r w:rsidRPr="00660999">
        <w:t xml:space="preserve">Australian Government, </w:t>
      </w:r>
      <w:r>
        <w:t>1998</w:t>
      </w:r>
      <w:r w:rsidRPr="00660999">
        <w:t xml:space="preserve">, </w:t>
      </w:r>
      <w:r w:rsidRPr="00660999">
        <w:rPr>
          <w:i/>
        </w:rPr>
        <w:t>Tax Reform: Not a New Tax, A New Tax System</w:t>
      </w:r>
      <w:r>
        <w:t>, August 1998, AGPS.</w:t>
      </w:r>
    </w:p>
  </w:footnote>
  <w:footnote w:id="45">
    <w:p w:rsidR="000C112C" w:rsidRPr="0026449C" w:rsidRDefault="000C112C" w:rsidP="008934C6">
      <w:pPr>
        <w:pStyle w:val="FootnoteText"/>
        <w:tabs>
          <w:tab w:val="clear" w:pos="425"/>
          <w:tab w:val="left" w:pos="567"/>
        </w:tabs>
        <w:ind w:left="567" w:hanging="567"/>
      </w:pPr>
      <w:r w:rsidRPr="0026449C">
        <w:footnoteRef/>
      </w:r>
      <w:r>
        <w:tab/>
      </w:r>
      <w:r w:rsidRPr="00C45D1A">
        <w:t xml:space="preserve">OECD, 2014c, </w:t>
      </w:r>
      <w:r w:rsidRPr="00C45D1A">
        <w:rPr>
          <w:i/>
        </w:rPr>
        <w:t>Consumption Tax Trends 2014</w:t>
      </w:r>
      <w:r w:rsidRPr="00C45D1A">
        <w:t>, OECD Publishing.</w:t>
      </w:r>
    </w:p>
  </w:footnote>
  <w:footnote w:id="46">
    <w:p w:rsidR="000C112C" w:rsidRPr="006B776C" w:rsidRDefault="000C112C" w:rsidP="008934C6">
      <w:pPr>
        <w:pStyle w:val="FootnoteText"/>
        <w:tabs>
          <w:tab w:val="clear" w:pos="425"/>
          <w:tab w:val="left" w:pos="567"/>
        </w:tabs>
        <w:ind w:left="567" w:hanging="567"/>
      </w:pPr>
      <w:r w:rsidRPr="006B776C">
        <w:footnoteRef/>
      </w:r>
      <w:r>
        <w:tab/>
      </w:r>
      <w:r w:rsidR="00E97F77">
        <w:t xml:space="preserve">Commonwealth of </w:t>
      </w:r>
      <w:r w:rsidRPr="00660999">
        <w:t xml:space="preserve">Australia </w:t>
      </w:r>
      <w:r>
        <w:t>1998</w:t>
      </w:r>
      <w:r w:rsidRPr="00660999">
        <w:t xml:space="preserve">, </w:t>
      </w:r>
      <w:r w:rsidRPr="00660999">
        <w:rPr>
          <w:i/>
        </w:rPr>
        <w:t>Tax Reform: Not a New Tax, A New Tax System</w:t>
      </w:r>
      <w:r w:rsidR="00E97F77">
        <w:t>,</w:t>
      </w:r>
      <w:r>
        <w:t xml:space="preserve"> A</w:t>
      </w:r>
      <w:r w:rsidR="00E97F77">
        <w:t xml:space="preserve">ustralian </w:t>
      </w:r>
      <w:r>
        <w:t>G</w:t>
      </w:r>
      <w:r w:rsidR="00E97F77">
        <w:t xml:space="preserve">overnment </w:t>
      </w:r>
      <w:r>
        <w:t>P</w:t>
      </w:r>
      <w:r w:rsidR="00E97F77">
        <w:t xml:space="preserve">ublishing </w:t>
      </w:r>
      <w:r>
        <w:t>S</w:t>
      </w:r>
      <w:r w:rsidR="00E97F77">
        <w:t>ervice, Canberra</w:t>
      </w:r>
      <w:r>
        <w:t>.</w:t>
      </w:r>
    </w:p>
  </w:footnote>
  <w:footnote w:id="47">
    <w:p w:rsidR="000C112C" w:rsidRPr="009E050B" w:rsidRDefault="000C112C" w:rsidP="008934C6">
      <w:pPr>
        <w:pStyle w:val="FootnoteText"/>
        <w:tabs>
          <w:tab w:val="clear" w:pos="425"/>
          <w:tab w:val="left" w:pos="567"/>
        </w:tabs>
        <w:ind w:left="567" w:hanging="567"/>
      </w:pPr>
      <w:r w:rsidRPr="009E050B">
        <w:footnoteRef/>
      </w:r>
      <w:r>
        <w:tab/>
        <w:t xml:space="preserve">Couples with dependent children comprise less than 20 per cent of the bottom three income deciles, around 30 per cent of income deciles four to eight, and about 25 per cent of the top two income deciles.  See Table 2 in </w:t>
      </w:r>
      <w:r w:rsidRPr="006D7B8F">
        <w:t>Appendix B</w:t>
      </w:r>
      <w:r>
        <w:t xml:space="preserve"> for more detail.</w:t>
      </w:r>
    </w:p>
  </w:footnote>
  <w:footnote w:id="48">
    <w:p w:rsidR="000C112C" w:rsidRPr="00D110DE" w:rsidRDefault="000C112C" w:rsidP="008934C6">
      <w:pPr>
        <w:pStyle w:val="FootnoteText"/>
        <w:tabs>
          <w:tab w:val="clear" w:pos="425"/>
          <w:tab w:val="left" w:pos="567"/>
        </w:tabs>
        <w:ind w:left="567" w:hanging="567"/>
      </w:pPr>
      <w:r w:rsidRPr="00D110DE">
        <w:footnoteRef/>
      </w:r>
      <w:r>
        <w:tab/>
      </w:r>
      <w:r w:rsidRPr="00C45D1A">
        <w:t xml:space="preserve">OECD 2014c, </w:t>
      </w:r>
      <w:r w:rsidRPr="00C45D1A">
        <w:rPr>
          <w:i/>
        </w:rPr>
        <w:t>Consumption Tax Trends 2014</w:t>
      </w:r>
      <w:r w:rsidRPr="00C45D1A">
        <w:t>, OECD Publishing.</w:t>
      </w:r>
    </w:p>
  </w:footnote>
  <w:footnote w:id="49">
    <w:p w:rsidR="000C112C" w:rsidRPr="00585F8D" w:rsidRDefault="000C112C" w:rsidP="008934C6">
      <w:pPr>
        <w:pStyle w:val="FootnoteText"/>
        <w:tabs>
          <w:tab w:val="clear" w:pos="425"/>
          <w:tab w:val="left" w:pos="567"/>
        </w:tabs>
        <w:ind w:left="567" w:hanging="567"/>
      </w:pPr>
      <w:r w:rsidRPr="00146DD8">
        <w:footnoteRef/>
      </w:r>
      <w:r>
        <w:tab/>
        <w:t>The IMF 2015 Article IV report recommended broadening the base and possibly raising the rate of the GST as part of shifting towards more efficient and simple taxes (IMF 2015a, IMF2015b).  The OECD’s most recent economic survey of Australia recommended rebalancing the tax mix to more efficient tax bases could include making greater use of the GST by reducing preferential treatment and raising the rate (OECD 2014).  A number of submissions in response to the Treasury’s discussion paper have canvassed specific GST reform p</w:t>
      </w:r>
      <w:r w:rsidR="006464F1">
        <w:t>roposals have been put forward</w:t>
      </w:r>
      <w:r>
        <w:t>.</w:t>
      </w:r>
    </w:p>
  </w:footnote>
  <w:footnote w:id="50">
    <w:p w:rsidR="000C112C" w:rsidRPr="000440BF" w:rsidRDefault="000C112C" w:rsidP="008934C6">
      <w:pPr>
        <w:pStyle w:val="FootnoteText"/>
        <w:tabs>
          <w:tab w:val="clear" w:pos="425"/>
          <w:tab w:val="left" w:pos="567"/>
        </w:tabs>
        <w:ind w:left="567" w:hanging="567"/>
      </w:pPr>
      <w:r w:rsidRPr="000440BF">
        <w:footnoteRef/>
      </w:r>
      <w:r>
        <w:tab/>
        <w:t xml:space="preserve">Under this scenario, GST-free treatment would no longer apply to basic food, health and medical care, education, child care, and water and sewerage.  As noted </w:t>
      </w:r>
      <w:r w:rsidRPr="006B7B8B">
        <w:t xml:space="preserve">previously, </w:t>
      </w:r>
      <w:r>
        <w:t xml:space="preserve">for practical reasons </w:t>
      </w:r>
      <w:r w:rsidRPr="006B7B8B">
        <w:t>the impact of the exclusion of financial services from the GST is not analysed in this report.</w:t>
      </w:r>
      <w:r>
        <w:t xml:space="preserve">  Similarly, this scenario does not include the impact of the input-taxed treatment of rental housing (for consistency with the treatment of owner</w:t>
      </w:r>
      <w:r>
        <w:noBreakHyphen/>
        <w:t>occupied housing) or the several minor concessions primarily provided for practical reasons (for example, minimum threshold rules, simplified accounting methods) or following convention (diplomats and diplomatic missions and approved international organisations, religious services, charitable institutions and non</w:t>
      </w:r>
      <w:r>
        <w:noBreakHyphen/>
        <w:t>profit bodies).</w:t>
      </w:r>
    </w:p>
  </w:footnote>
  <w:footnote w:id="51">
    <w:p w:rsidR="000C112C" w:rsidRPr="00D255B4" w:rsidRDefault="000C112C" w:rsidP="008934C6">
      <w:pPr>
        <w:pStyle w:val="FootnoteText"/>
        <w:tabs>
          <w:tab w:val="clear" w:pos="425"/>
          <w:tab w:val="left" w:pos="567"/>
        </w:tabs>
        <w:ind w:left="567" w:hanging="567"/>
      </w:pPr>
      <w:r w:rsidRPr="00D255B4">
        <w:footnoteRef/>
      </w:r>
      <w:r>
        <w:tab/>
      </w:r>
      <w:r w:rsidRPr="00944483">
        <w:t xml:space="preserve">Further detail on PRISMOD and its underlying assumptions is included at </w:t>
      </w:r>
      <w:r w:rsidRPr="00157B96">
        <w:t>Appendix A</w:t>
      </w:r>
      <w:r w:rsidRPr="00944483">
        <w:t>.</w:t>
      </w:r>
    </w:p>
  </w:footnote>
  <w:footnote w:id="52">
    <w:p w:rsidR="000C112C" w:rsidRPr="00865406" w:rsidRDefault="000C112C" w:rsidP="008934C6">
      <w:pPr>
        <w:pStyle w:val="FootnoteText"/>
        <w:tabs>
          <w:tab w:val="clear" w:pos="425"/>
          <w:tab w:val="left" w:pos="567"/>
          <w:tab w:val="left" w:pos="851"/>
        </w:tabs>
        <w:ind w:left="567" w:hanging="567"/>
      </w:pPr>
      <w:r w:rsidRPr="00865406">
        <w:footnoteRef/>
      </w:r>
      <w:r>
        <w:tab/>
      </w:r>
      <w:r w:rsidRPr="00A82B9D">
        <w:t>There are slight differences in the distributional analysis in Chapters 3 and 4 due to the different year of analysis (2014</w:t>
      </w:r>
      <w:r w:rsidR="00D6401C">
        <w:t>–</w:t>
      </w:r>
      <w:r w:rsidRPr="00A82B9D">
        <w:t>15 and 2017</w:t>
      </w:r>
      <w:r w:rsidR="00D6401C">
        <w:t>–</w:t>
      </w:r>
      <w:r w:rsidRPr="00A82B9D">
        <w:t>18), the impact of cross-price effects in reform scenarios, and changes in consumption patterns over time.</w:t>
      </w:r>
    </w:p>
  </w:footnote>
  <w:footnote w:id="53">
    <w:p w:rsidR="000C112C" w:rsidRPr="00A23169" w:rsidRDefault="000C112C" w:rsidP="008934C6">
      <w:pPr>
        <w:pStyle w:val="FootnoteText"/>
        <w:tabs>
          <w:tab w:val="clear" w:pos="425"/>
          <w:tab w:val="left" w:pos="567"/>
          <w:tab w:val="left" w:pos="851"/>
        </w:tabs>
        <w:ind w:left="567" w:hanging="567"/>
      </w:pPr>
      <w:r w:rsidRPr="00841A6C">
        <w:footnoteRef/>
      </w:r>
      <w:r>
        <w:tab/>
        <w:t xml:space="preserve">The </w:t>
      </w:r>
      <w:r>
        <w:rPr>
          <w:i/>
        </w:rPr>
        <w:t>Federal Financial Relations Act 2009</w:t>
      </w:r>
      <w:r>
        <w:t xml:space="preserve"> sets out the details for determining the value of GST revenue grants to the States.</w:t>
      </w:r>
    </w:p>
  </w:footnote>
  <w:footnote w:id="54">
    <w:p w:rsidR="000C112C" w:rsidRPr="00D2548F" w:rsidRDefault="000C112C" w:rsidP="008934C6">
      <w:pPr>
        <w:pStyle w:val="FootnoteText"/>
        <w:tabs>
          <w:tab w:val="clear" w:pos="425"/>
          <w:tab w:val="left" w:pos="567"/>
        </w:tabs>
        <w:ind w:left="567" w:hanging="567"/>
      </w:pPr>
      <w:r w:rsidRPr="00D2548F">
        <w:footnoteRef/>
      </w:r>
      <w:r>
        <w:tab/>
        <w:t xml:space="preserve">The bottom 40 per cent of the income distribution is often used as a benchmark in distributional analysis: for example, OECD 2015b, </w:t>
      </w:r>
      <w:r>
        <w:rPr>
          <w:i/>
        </w:rPr>
        <w:t xml:space="preserve">In It Together: </w:t>
      </w:r>
      <w:r w:rsidRPr="00F519D8">
        <w:rPr>
          <w:rFonts w:cs="Caecilia-Italic"/>
          <w:i/>
          <w:iCs/>
        </w:rPr>
        <w:t>Why Less Inequality Benefits All</w:t>
      </w:r>
      <w:r>
        <w:rPr>
          <w:rFonts w:cs="Caecilia-Roman"/>
        </w:rPr>
        <w:t>, OECD Publishing, Paris.  This bottom 40 per cent of households are also those that the da</w:t>
      </w:r>
      <w:r w:rsidR="0049209B">
        <w:rPr>
          <w:rFonts w:cs="Caecilia-Roman"/>
        </w:rPr>
        <w:t>ta suggests are net dissavers.</w:t>
      </w:r>
    </w:p>
  </w:footnote>
  <w:footnote w:id="55">
    <w:p w:rsidR="000C112C" w:rsidRPr="00865406" w:rsidRDefault="000C112C" w:rsidP="008934C6">
      <w:pPr>
        <w:pStyle w:val="FootnoteText"/>
        <w:tabs>
          <w:tab w:val="clear" w:pos="425"/>
          <w:tab w:val="left" w:pos="567"/>
        </w:tabs>
        <w:ind w:left="567" w:hanging="567"/>
      </w:pPr>
      <w:r w:rsidRPr="00865406">
        <w:footnoteRef/>
      </w:r>
      <w:r>
        <w:tab/>
        <w:t xml:space="preserve">See, for example, </w:t>
      </w:r>
      <w:r w:rsidRPr="009F3257">
        <w:t>Daley, J, Wood, D, Parsonage, H</w:t>
      </w:r>
      <w:r w:rsidR="0049209B">
        <w:t xml:space="preserve"> &amp;</w:t>
      </w:r>
      <w:r w:rsidRPr="009F3257">
        <w:t xml:space="preserve"> Coates, B, 2015, </w:t>
      </w:r>
      <w:r w:rsidRPr="009F3257">
        <w:rPr>
          <w:i/>
        </w:rPr>
        <w:t>A GST Reform Package</w:t>
      </w:r>
      <w:r w:rsidRPr="009F3257">
        <w:t>, Grattan Institute.</w:t>
      </w:r>
    </w:p>
  </w:footnote>
  <w:footnote w:id="56">
    <w:p w:rsidR="000C112C" w:rsidRPr="002F66E5" w:rsidRDefault="000C112C" w:rsidP="008934C6">
      <w:pPr>
        <w:pStyle w:val="FootnoteText"/>
        <w:tabs>
          <w:tab w:val="clear" w:pos="425"/>
          <w:tab w:val="left" w:pos="567"/>
        </w:tabs>
        <w:ind w:left="567" w:hanging="567"/>
      </w:pPr>
      <w:r w:rsidRPr="002F66E5">
        <w:footnoteRef/>
      </w:r>
      <w:r>
        <w:tab/>
      </w:r>
      <w:r w:rsidRPr="00BA0FBF">
        <w:t>All price impacts from the GST rate changes are assumed to be passed through the production chain immediately and to be fully borne by final con</w:t>
      </w:r>
      <w:r w:rsidR="00B9669E">
        <w:t>sumers of the good or service.</w:t>
      </w:r>
    </w:p>
  </w:footnote>
  <w:footnote w:id="57">
    <w:p w:rsidR="000C112C" w:rsidRPr="00CE32CC" w:rsidRDefault="000C112C" w:rsidP="008934C6">
      <w:pPr>
        <w:pStyle w:val="FootnoteText"/>
        <w:tabs>
          <w:tab w:val="clear" w:pos="425"/>
          <w:tab w:val="left" w:pos="567"/>
        </w:tabs>
        <w:ind w:left="567" w:hanging="567"/>
      </w:pPr>
      <w:r w:rsidRPr="00CE32CC">
        <w:footnoteRef/>
      </w:r>
      <w:r>
        <w:tab/>
        <w:t>Empirical estimates suggest cross-price elasticities between taxable and non</w:t>
      </w:r>
      <w:r>
        <w:noBreakHyphen/>
        <w:t>taxable items are relatively small.  In addition, for scenarios that significantly broaden the GST tax base there are relatively few non</w:t>
      </w:r>
      <w:r>
        <w:noBreakHyphen/>
        <w:t>taxable items left to shift consumption to.</w:t>
      </w:r>
    </w:p>
  </w:footnote>
  <w:footnote w:id="58">
    <w:p w:rsidR="000C112C" w:rsidRPr="009D3829" w:rsidRDefault="000C112C" w:rsidP="00BD782E">
      <w:pPr>
        <w:pStyle w:val="FootnoteText"/>
        <w:tabs>
          <w:tab w:val="clear" w:pos="425"/>
          <w:tab w:val="left" w:pos="567"/>
        </w:tabs>
        <w:ind w:left="567" w:hanging="567"/>
      </w:pPr>
      <w:r w:rsidRPr="009D3829">
        <w:footnoteRef/>
      </w:r>
      <w:r>
        <w:tab/>
        <w:t>The sum of GST from each household equals the total GST collected.  In practice some GST is collected from foreign tourists (rather than Australian households).</w:t>
      </w:r>
    </w:p>
  </w:footnote>
  <w:footnote w:id="59">
    <w:p w:rsidR="000C112C" w:rsidRPr="007A4CFE" w:rsidRDefault="000C112C" w:rsidP="00BD782E">
      <w:pPr>
        <w:pStyle w:val="FootnoteText"/>
        <w:tabs>
          <w:tab w:val="clear" w:pos="425"/>
          <w:tab w:val="left" w:pos="567"/>
        </w:tabs>
        <w:ind w:left="567" w:hanging="567"/>
      </w:pPr>
      <w:r w:rsidRPr="007A4CFE">
        <w:footnoteRef/>
      </w:r>
      <w:r>
        <w:tab/>
      </w:r>
      <w:r w:rsidRPr="007A4CFE">
        <w:t>The equivalence factor is built up by allocating points to each person in a household (1 point to the first adult, 0.5 points to each additional person who is 15 years and over and 0.3 to each child under the age of 15) and then summing the equivalence points of all household members.</w:t>
      </w:r>
    </w:p>
  </w:footnote>
  <w:footnote w:id="60">
    <w:p w:rsidR="000C112C" w:rsidRPr="00EF0278" w:rsidRDefault="000C112C" w:rsidP="00BD782E">
      <w:pPr>
        <w:pStyle w:val="FootnoteText"/>
        <w:tabs>
          <w:tab w:val="clear" w:pos="425"/>
          <w:tab w:val="left" w:pos="567"/>
        </w:tabs>
        <w:ind w:left="567" w:hanging="567"/>
      </w:pPr>
      <w:r w:rsidRPr="00EF0278">
        <w:footnoteRef/>
      </w:r>
      <w:r>
        <w:tab/>
        <w:t xml:space="preserve">See, for example, </w:t>
      </w:r>
      <w:r w:rsidRPr="001F3383">
        <w:t xml:space="preserve">Carnahan, M 1998, </w:t>
      </w:r>
      <w:r w:rsidR="00A158DC">
        <w:t>‘</w:t>
      </w:r>
      <w:r w:rsidRPr="001F3383">
        <w:t>Does Demand Create Poor Quality Supply: A Critique of Alternative Distributional Analysis</w:t>
      </w:r>
      <w:r w:rsidR="00A158DC">
        <w:t>’</w:t>
      </w:r>
      <w:r w:rsidRPr="001F3383">
        <w:t xml:space="preserve">, </w:t>
      </w:r>
      <w:r w:rsidRPr="001F3383">
        <w:rPr>
          <w:i/>
        </w:rPr>
        <w:t xml:space="preserve">Economic Roundup, </w:t>
      </w:r>
      <w:r>
        <w:t xml:space="preserve">The Treasury; </w:t>
      </w:r>
      <w:r w:rsidRPr="001F3383">
        <w:t xml:space="preserve">Harding, A, and Warren, N 1998, </w:t>
      </w:r>
      <w:r w:rsidRPr="001F3383">
        <w:rPr>
          <w:i/>
        </w:rPr>
        <w:t>An Introduction to Microsimulation Models of Tax Reform</w:t>
      </w:r>
      <w:r w:rsidRPr="001F3383">
        <w:t>, Paper prepared for the Senate Select Committee for a New Tax System, National Centre for Social and Economic Modell</w:t>
      </w:r>
      <w:r>
        <w:t xml:space="preserve">ing, University of Canberra, </w:t>
      </w:r>
      <w:r w:rsidR="00A158DC">
        <w:t>Canberra</w:t>
      </w:r>
      <w:r w:rsidRPr="001F3383">
        <w:t>.</w:t>
      </w:r>
    </w:p>
  </w:footnote>
  <w:footnote w:id="61">
    <w:p w:rsidR="000C112C" w:rsidRPr="003F4B02" w:rsidRDefault="000C112C" w:rsidP="00BD782E">
      <w:pPr>
        <w:pStyle w:val="FootnoteText"/>
        <w:tabs>
          <w:tab w:val="clear" w:pos="425"/>
          <w:tab w:val="left" w:pos="567"/>
        </w:tabs>
        <w:ind w:left="567" w:hanging="567"/>
      </w:pPr>
      <w:r w:rsidRPr="003F4B02">
        <w:footnoteRef/>
      </w:r>
      <w:r>
        <w:tab/>
      </w:r>
      <w:r w:rsidRPr="001F3383">
        <w:t xml:space="preserve">Warren, N, Harding, A, Robinson, M, Lambert, S, </w:t>
      </w:r>
      <w:r w:rsidR="00A158DC">
        <w:t>&amp;</w:t>
      </w:r>
      <w:r w:rsidR="00A158DC" w:rsidRPr="001F3383">
        <w:t xml:space="preserve"> </w:t>
      </w:r>
      <w:r w:rsidRPr="001F3383">
        <w:t xml:space="preserve">Beer, G 1999, </w:t>
      </w:r>
      <w:r w:rsidRPr="00744788">
        <w:rPr>
          <w:i/>
        </w:rPr>
        <w:t>Distributional Impact of Possible Tax Reform Packages, Report to Senate Select Committee on a New Tax System</w:t>
      </w:r>
      <w:r w:rsidRPr="001F3383">
        <w:t xml:space="preserve">, </w:t>
      </w:r>
      <w:r w:rsidR="00A158DC">
        <w:t>National Centre for Social and Economic Modelling, University of Canberra, Canberra</w:t>
      </w:r>
      <w:r w:rsidRPr="001F3383">
        <w:t>.</w:t>
      </w:r>
    </w:p>
  </w:footnote>
  <w:footnote w:id="62">
    <w:p w:rsidR="000C112C" w:rsidRPr="00A23169" w:rsidRDefault="000C112C" w:rsidP="00BD782E">
      <w:pPr>
        <w:pStyle w:val="FootnoteText"/>
        <w:tabs>
          <w:tab w:val="clear" w:pos="425"/>
        </w:tabs>
        <w:ind w:left="567" w:hanging="567"/>
      </w:pPr>
      <w:r w:rsidRPr="00841A6C">
        <w:footnoteRef/>
      </w:r>
      <w:r>
        <w:tab/>
        <w:t xml:space="preserve">The </w:t>
      </w:r>
      <w:r>
        <w:rPr>
          <w:i/>
        </w:rPr>
        <w:t>Federal Financial Relations Act 2009</w:t>
      </w:r>
      <w:r>
        <w:t xml:space="preserve"> sets out the details for determining the value of GST revenue grants to the States.</w:t>
      </w:r>
    </w:p>
  </w:footnote>
  <w:footnote w:id="63">
    <w:p w:rsidR="000C112C" w:rsidRPr="00CE32CC" w:rsidRDefault="000C112C" w:rsidP="00BD782E">
      <w:pPr>
        <w:pStyle w:val="FootnoteText"/>
        <w:tabs>
          <w:tab w:val="clear" w:pos="425"/>
        </w:tabs>
        <w:ind w:left="567" w:hanging="567"/>
      </w:pPr>
      <w:r w:rsidRPr="00CE32CC">
        <w:footnoteRef/>
      </w:r>
      <w:r>
        <w:tab/>
        <w:t>Empirical estimates suggest cross-price elasticities between taxed and non</w:t>
      </w:r>
      <w:r>
        <w:noBreakHyphen/>
        <w:t>taxable items are relatively small.  In addition, for scenarios that significantly broaden the GST tax base there are relatively few non</w:t>
      </w:r>
      <w:r>
        <w:noBreakHyphen/>
        <w:t>taxable items left to shift consumption to.</w:t>
      </w:r>
    </w:p>
  </w:footnote>
  <w:footnote w:id="64">
    <w:p w:rsidR="000C112C" w:rsidRPr="00C2657C" w:rsidRDefault="000C112C">
      <w:pPr>
        <w:pStyle w:val="FootnoteText"/>
      </w:pPr>
      <w:r w:rsidRPr="00C2657C">
        <w:footnoteRef/>
      </w:r>
      <w:r>
        <w:tab/>
      </w:r>
      <w:r w:rsidRPr="001F3383">
        <w:t xml:space="preserve">Harding, A, and Warren, N 1998, </w:t>
      </w:r>
      <w:r w:rsidRPr="001F3383">
        <w:rPr>
          <w:i/>
        </w:rPr>
        <w:t>An Introduction to Microsimulation Models of Tax Reform</w:t>
      </w:r>
      <w:r w:rsidRPr="001F3383">
        <w:t xml:space="preserve">, Paper prepared for the Senate Select Committee for a New Tax System, National Centre for Social and Economic Modelling, University of Canberra, </w:t>
      </w:r>
      <w:r w:rsidR="002168BD">
        <w:t>Canberra</w:t>
      </w:r>
      <w:r w:rsidRPr="001F3383">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12C" w:rsidRDefault="000C112C">
    <w:pPr>
      <w:pStyle w:val="Header"/>
    </w:pPr>
    <w:r>
      <w:rPr>
        <w:noProof/>
        <w:lang w:eastAsia="en-AU"/>
      </w:rPr>
      <mc:AlternateContent>
        <mc:Choice Requires="wps">
          <w:drawing>
            <wp:anchor distT="0" distB="0" distL="114300" distR="114300" simplePos="0" relativeHeight="251663360" behindDoc="1" locked="1" layoutInCell="1" allowOverlap="1" wp14:anchorId="70DBA559" wp14:editId="35632F2F">
              <wp:simplePos x="0" y="0"/>
              <wp:positionH relativeFrom="page">
                <wp:align>center</wp:align>
              </wp:positionH>
              <wp:positionV relativeFrom="page">
                <wp:align>center</wp:align>
              </wp:positionV>
              <wp:extent cx="7560000" cy="1796400"/>
              <wp:effectExtent l="0" t="0" r="0" b="0"/>
              <wp:wrapNone/>
              <wp:docPr id="2"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112C" w:rsidRPr="0001226A" w:rsidRDefault="000C112C" w:rsidP="00F45442">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7" o:spid="_x0000_s1026" type="#_x0000_t202" style="position:absolute;margin-left:0;margin-top:0;width:595.3pt;height:141.45pt;z-index:-2516531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" filled="f" stroked="f">
              <v:textbox>
                <w:txbxContent>
                  <w:p w:rsidR="000C112C" w:rsidRPr="0001226A" w:rsidRDefault="000C112C" w:rsidP="00F45442">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end"/>
                    </w:r>
                  </w:p>
                </w:txbxContent>
              </v:textbox>
              <w10:wrap anchorx="page" anchory="page"/>
              <w10:anchorlock/>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12C" w:rsidRPr="00613471" w:rsidRDefault="000C112C" w:rsidP="00613471">
    <w:pPr>
      <w:pStyle w:val="Header"/>
    </w:pPr>
    <w:r>
      <w:rPr>
        <w:noProof/>
        <w:lang w:eastAsia="en-AU"/>
      </w:rPr>
      <mc:AlternateContent>
        <mc:Choice Requires="wps">
          <w:drawing>
            <wp:anchor distT="0" distB="0" distL="114300" distR="114300" simplePos="0" relativeHeight="251716608" behindDoc="1" locked="1" layoutInCell="1" allowOverlap="1" wp14:anchorId="3D7D8AA0" wp14:editId="143BE914">
              <wp:simplePos x="0" y="0"/>
              <wp:positionH relativeFrom="page">
                <wp:align>center</wp:align>
              </wp:positionH>
              <wp:positionV relativeFrom="page">
                <wp:align>center</wp:align>
              </wp:positionV>
              <wp:extent cx="7560000" cy="1796400"/>
              <wp:effectExtent l="0" t="0" r="0" b="0"/>
              <wp:wrapNone/>
              <wp:docPr id="22"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112C" w:rsidRPr="0001226A" w:rsidRDefault="000C112C" w:rsidP="00613471">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0;margin-top:0;width:595.3pt;height:141.45pt;z-index:-25159987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Ow9sjG6AgAA&#10;xAUAAA4AAAAAAAAAAAAAAAAALgIAAGRycy9lMm9Eb2MueG1sUEsBAi0AFAAGAAgAAAAhADTFRM7b&#10;AAAABgEAAA8AAAAAAAAAAAAAAAAAFAUAAGRycy9kb3ducmV2LnhtbFBLBQYAAAAABAAEAPMAAAAc&#10;BgAAAAA=&#10;" filled="f" stroked="f">
              <v:textbox>
                <w:txbxContent>
                  <w:p w:rsidR="000C112C" w:rsidRPr="0001226A" w:rsidRDefault="000C112C" w:rsidP="00613471">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end"/>
                    </w:r>
                  </w:p>
                </w:txbxContent>
              </v:textbox>
              <w10:wrap anchorx="page" anchory="page"/>
              <w10:anchorlock/>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12C" w:rsidRPr="00613471" w:rsidRDefault="000C112C" w:rsidP="00613471">
    <w:pPr>
      <w:pStyle w:val="Header"/>
    </w:pPr>
    <w:r>
      <w:rPr>
        <w:noProof/>
        <w:lang w:eastAsia="en-AU"/>
      </w:rPr>
      <mc:AlternateContent>
        <mc:Choice Requires="wps">
          <w:drawing>
            <wp:anchor distT="0" distB="0" distL="114300" distR="114300" simplePos="0" relativeHeight="251714560" behindDoc="1" locked="1" layoutInCell="1" allowOverlap="1" wp14:anchorId="59696CA5" wp14:editId="3C79E19D">
              <wp:simplePos x="0" y="0"/>
              <wp:positionH relativeFrom="page">
                <wp:align>center</wp:align>
              </wp:positionH>
              <wp:positionV relativeFrom="page">
                <wp:align>center</wp:align>
              </wp:positionV>
              <wp:extent cx="7560000" cy="1796400"/>
              <wp:effectExtent l="0" t="0" r="0" b="0"/>
              <wp:wrapNone/>
              <wp:docPr id="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112C" w:rsidRPr="0001226A" w:rsidRDefault="000C112C" w:rsidP="00613471">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margin-left:0;margin-top:0;width:595.3pt;height:141.45pt;z-index:-2516019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LhzxCG6AgAA&#10;wwUAAA4AAAAAAAAAAAAAAAAALgIAAGRycy9lMm9Eb2MueG1sUEsBAi0AFAAGAAgAAAAhADTFRM7b&#10;AAAABgEAAA8AAAAAAAAAAAAAAAAAFAUAAGRycy9kb3ducmV2LnhtbFBLBQYAAAAABAAEAPMAAAAc&#10;BgAAAAA=&#10;" filled="f" stroked="f">
              <v:textbox>
                <w:txbxContent>
                  <w:p w:rsidR="000C112C" w:rsidRPr="0001226A" w:rsidRDefault="000C112C" w:rsidP="00613471">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end"/>
                    </w:r>
                  </w:p>
                </w:txbxContent>
              </v:textbox>
              <w10:wrap anchorx="page" anchory="page"/>
              <w10:anchorlock/>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12C" w:rsidRDefault="000C112C" w:rsidP="003252F9">
    <w:pPr>
      <w:pStyle w:val="Header"/>
    </w:pPr>
    <w:r>
      <w:rPr>
        <w:noProof/>
        <w:lang w:eastAsia="en-AU"/>
      </w:rPr>
      <mc:AlternateContent>
        <mc:Choice Requires="wps">
          <w:drawing>
            <wp:anchor distT="0" distB="0" distL="114300" distR="114300" simplePos="0" relativeHeight="251721728" behindDoc="1" locked="1" layoutInCell="1" allowOverlap="1" wp14:anchorId="78504179" wp14:editId="39ECAAC8">
              <wp:simplePos x="0" y="0"/>
              <wp:positionH relativeFrom="page">
                <wp:align>center</wp:align>
              </wp:positionH>
              <wp:positionV relativeFrom="page">
                <wp:align>center</wp:align>
              </wp:positionV>
              <wp:extent cx="7560000" cy="1796400"/>
              <wp:effectExtent l="0" t="0" r="0" b="0"/>
              <wp:wrapNone/>
              <wp:docPr id="13"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112C" w:rsidRPr="0001226A" w:rsidRDefault="000C112C" w:rsidP="00F45442">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margin-left:0;margin-top:0;width:595.3pt;height:141.45pt;z-index:-25159475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" filled="f" stroked="f">
              <v:textbox>
                <w:txbxContent>
                  <w:p w:rsidR="000C112C" w:rsidRPr="0001226A" w:rsidRDefault="000C112C" w:rsidP="00F45442">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end"/>
                    </w:r>
                  </w:p>
                </w:txbxContent>
              </v:textbox>
              <w10:wrap anchorx="page" anchory="page"/>
              <w10:anchorlock/>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12C" w:rsidRDefault="000C112C" w:rsidP="003252F9">
    <w:pPr>
      <w:pStyle w:val="Header"/>
    </w:pPr>
    <w:r>
      <w:rPr>
        <w:noProof/>
        <w:lang w:eastAsia="en-AU"/>
      </w:rPr>
      <mc:AlternateContent>
        <mc:Choice Requires="wps">
          <w:drawing>
            <wp:anchor distT="0" distB="0" distL="114300" distR="114300" simplePos="0" relativeHeight="251718656" behindDoc="1" locked="1" layoutInCell="1" allowOverlap="1" wp14:anchorId="47607CD1" wp14:editId="5BA146AD">
              <wp:simplePos x="0" y="0"/>
              <wp:positionH relativeFrom="page">
                <wp:align>center</wp:align>
              </wp:positionH>
              <wp:positionV relativeFrom="page">
                <wp:align>center</wp:align>
              </wp:positionV>
              <wp:extent cx="7560000" cy="1796400"/>
              <wp:effectExtent l="0" t="0" r="0" b="0"/>
              <wp:wrapNone/>
              <wp:docPr id="9"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112C" w:rsidRPr="0001226A" w:rsidRDefault="000C112C" w:rsidP="00F45442">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6" type="#_x0000_t202" style="position:absolute;margin-left:0;margin-top:0;width:595.3pt;height:141.45pt;z-index:-25159782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GWIkp26AgAA&#10;xAUAAA4AAAAAAAAAAAAAAAAALgIAAGRycy9lMm9Eb2MueG1sUEsBAi0AFAAGAAgAAAAhADTFRM7b&#10;AAAABgEAAA8AAAAAAAAAAAAAAAAAFAUAAGRycy9kb3ducmV2LnhtbFBLBQYAAAAABAAEAPMAAAAc&#10;BgAAAAA=&#10;" filled="f" stroked="f">
              <v:textbox>
                <w:txbxContent>
                  <w:p w:rsidR="000C112C" w:rsidRPr="0001226A" w:rsidRDefault="000C112C" w:rsidP="00F45442">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end"/>
                    </w:r>
                  </w:p>
                </w:txbxContent>
              </v:textbox>
              <w10:wrap anchorx="page" anchory="page"/>
              <w10:anchorlock/>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12C" w:rsidRDefault="000C112C">
    <w:pPr>
      <w:pStyle w:val="Header"/>
    </w:pPr>
    <w:r>
      <w:rPr>
        <w:noProof/>
        <w:lang w:eastAsia="en-AU"/>
      </w:rPr>
      <w:drawing>
        <wp:anchor distT="0" distB="0" distL="114300" distR="114300" simplePos="0" relativeHeight="251720704" behindDoc="1" locked="0" layoutInCell="1" allowOverlap="1" wp14:anchorId="55213223" wp14:editId="758D5A01">
          <wp:simplePos x="0" y="0"/>
          <wp:positionH relativeFrom="page">
            <wp:posOffset>0</wp:posOffset>
          </wp:positionH>
          <wp:positionV relativeFrom="page">
            <wp:posOffset>0</wp:posOffset>
          </wp:positionV>
          <wp:extent cx="7563600" cy="10695600"/>
          <wp:effectExtent l="0" t="0" r="0" b="0"/>
          <wp:wrapNone/>
          <wp:docPr id="16" name="Picture 16"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560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719680" behindDoc="1" locked="1" layoutInCell="1" allowOverlap="1" wp14:anchorId="4AC2CAC7" wp14:editId="2DEA1C38">
              <wp:simplePos x="0" y="0"/>
              <wp:positionH relativeFrom="page">
                <wp:align>center</wp:align>
              </wp:positionH>
              <wp:positionV relativeFrom="page">
                <wp:align>center</wp:align>
              </wp:positionV>
              <wp:extent cx="7560000" cy="1796400"/>
              <wp:effectExtent l="0" t="0" r="0" b="0"/>
              <wp:wrapNone/>
              <wp:docPr id="11"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112C" w:rsidRPr="0001226A" w:rsidRDefault="000C112C" w:rsidP="00F45442">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7" type="#_x0000_t202" style="position:absolute;margin-left:0;margin-top:0;width:595.3pt;height:141.45pt;z-index:-25159680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" filled="f" stroked="f">
              <v:textbox>
                <w:txbxContent>
                  <w:p w:rsidR="000C112C" w:rsidRPr="0001226A" w:rsidRDefault="000C112C" w:rsidP="00F45442">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end"/>
                    </w:r>
                  </w:p>
                </w:txbxContent>
              </v:textbox>
              <w10:wrap anchorx="page" anchory="page"/>
              <w10:anchorlock/>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12C" w:rsidRDefault="000C112C" w:rsidP="00BA0FBF">
    <w:pPr>
      <w:pStyle w:val="Header"/>
    </w:pPr>
    <w:r>
      <w:rPr>
        <w:noProof/>
        <w:lang w:eastAsia="en-AU"/>
      </w:rPr>
      <mc:AlternateContent>
        <mc:Choice Requires="wps">
          <w:drawing>
            <wp:anchor distT="0" distB="0" distL="114300" distR="114300" simplePos="0" relativeHeight="251725824" behindDoc="1" locked="1" layoutInCell="1" allowOverlap="1" wp14:anchorId="743B2451" wp14:editId="1BED354F">
              <wp:simplePos x="0" y="0"/>
              <wp:positionH relativeFrom="page">
                <wp:align>center</wp:align>
              </wp:positionH>
              <wp:positionV relativeFrom="page">
                <wp:align>center</wp:align>
              </wp:positionV>
              <wp:extent cx="7560000" cy="1796400"/>
              <wp:effectExtent l="0" t="0" r="0" b="0"/>
              <wp:wrapNone/>
              <wp:docPr id="33"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112C" w:rsidRPr="0001226A" w:rsidRDefault="000C112C" w:rsidP="00F45442">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8" type="#_x0000_t202" style="position:absolute;margin-left:0;margin-top:0;width:595.3pt;height:141.45pt;z-index:-25159065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" filled="f" stroked="f">
              <v:textbox>
                <w:txbxContent>
                  <w:p w:rsidR="000C112C" w:rsidRPr="0001226A" w:rsidRDefault="000C112C" w:rsidP="00F45442">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end"/>
                    </w:r>
                  </w:p>
                </w:txbxContent>
              </v:textbox>
              <w10:wrap anchorx="page" anchory="page"/>
              <w10:anchorlock/>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12C" w:rsidRDefault="000C112C">
    <w:pPr>
      <w:pStyle w:val="Header"/>
    </w:pPr>
    <w:r>
      <w:rPr>
        <w:noProof/>
        <w:lang w:eastAsia="en-AU"/>
      </w:rPr>
      <mc:AlternateContent>
        <mc:Choice Requires="wps">
          <w:drawing>
            <wp:anchor distT="0" distB="0" distL="114300" distR="114300" simplePos="0" relativeHeight="251723776" behindDoc="1" locked="1" layoutInCell="1" allowOverlap="1" wp14:anchorId="7622D12B" wp14:editId="30BF44AD">
              <wp:simplePos x="0" y="0"/>
              <wp:positionH relativeFrom="page">
                <wp:align>center</wp:align>
              </wp:positionH>
              <wp:positionV relativeFrom="page">
                <wp:align>center</wp:align>
              </wp:positionV>
              <wp:extent cx="7560000" cy="1796400"/>
              <wp:effectExtent l="0" t="0" r="0" b="0"/>
              <wp:wrapNone/>
              <wp:docPr id="32"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112C" w:rsidRPr="0001226A" w:rsidRDefault="000C112C" w:rsidP="00F45442">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9" type="#_x0000_t202" style="position:absolute;margin-left:0;margin-top:0;width:595.3pt;height:141.45pt;z-index:-25159270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" filled="f" stroked="f">
              <v:textbox>
                <w:txbxContent>
                  <w:p w:rsidR="000C112C" w:rsidRPr="0001226A" w:rsidRDefault="000C112C" w:rsidP="00F45442">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end"/>
                    </w:r>
                  </w:p>
                </w:txbxContent>
              </v:textbox>
              <w10:wrap anchorx="page" anchory="page"/>
              <w10:anchorlock/>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12C" w:rsidRDefault="000C112C">
    <w:pPr>
      <w:pStyle w:val="Header"/>
    </w:pPr>
    <w:r>
      <w:rPr>
        <w:noProof/>
        <w:lang w:eastAsia="en-AU"/>
      </w:rPr>
      <w:drawing>
        <wp:anchor distT="0" distB="0" distL="114300" distR="114300" simplePos="0" relativeHeight="251728896" behindDoc="1" locked="0" layoutInCell="1" allowOverlap="1" wp14:anchorId="34BA6376" wp14:editId="6D866BB3">
          <wp:simplePos x="0" y="0"/>
          <wp:positionH relativeFrom="page">
            <wp:posOffset>0</wp:posOffset>
          </wp:positionH>
          <wp:positionV relativeFrom="page">
            <wp:posOffset>0</wp:posOffset>
          </wp:positionV>
          <wp:extent cx="7563600" cy="10695600"/>
          <wp:effectExtent l="0" t="0" r="0" b="0"/>
          <wp:wrapNone/>
          <wp:docPr id="21" name="Picture 21"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560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727872" behindDoc="1" locked="1" layoutInCell="1" allowOverlap="1" wp14:anchorId="58DE96F4" wp14:editId="6E520241">
              <wp:simplePos x="0" y="0"/>
              <wp:positionH relativeFrom="page">
                <wp:align>center</wp:align>
              </wp:positionH>
              <wp:positionV relativeFrom="page">
                <wp:align>center</wp:align>
              </wp:positionV>
              <wp:extent cx="7560000" cy="1796400"/>
              <wp:effectExtent l="0" t="0" r="0" b="0"/>
              <wp:wrapNone/>
              <wp:docPr id="35"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112C" w:rsidRPr="0001226A" w:rsidRDefault="000C112C" w:rsidP="00F45442">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0" type="#_x0000_t202" style="position:absolute;margin-left:0;margin-top:0;width:595.3pt;height:141.45pt;z-index:-25158860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" filled="f" stroked="f">
              <v:textbox>
                <w:txbxContent>
                  <w:p w:rsidR="000C112C" w:rsidRPr="0001226A" w:rsidRDefault="000C112C" w:rsidP="00F45442">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end"/>
                    </w:r>
                  </w:p>
                </w:txbxContent>
              </v:textbox>
              <w10:wrap anchorx="page" anchory="page"/>
              <w10:anchorlock/>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D92" w:rsidRDefault="00835D92">
    <w:pPr>
      <w:pStyle w:val="Header"/>
    </w:pPr>
    <w:r>
      <w:rPr>
        <w:noProof/>
        <w:lang w:eastAsia="en-AU"/>
      </w:rPr>
      <mc:AlternateContent>
        <mc:Choice Requires="wps">
          <w:drawing>
            <wp:anchor distT="0" distB="0" distL="114300" distR="114300" simplePos="0" relativeHeight="251760640" behindDoc="1" locked="1" layoutInCell="1" allowOverlap="1" wp14:anchorId="56090B26" wp14:editId="33FD955C">
              <wp:simplePos x="0" y="0"/>
              <wp:positionH relativeFrom="page">
                <wp:align>center</wp:align>
              </wp:positionH>
              <wp:positionV relativeFrom="page">
                <wp:align>center</wp:align>
              </wp:positionV>
              <wp:extent cx="7560000" cy="1796400"/>
              <wp:effectExtent l="0" t="0" r="0" b="0"/>
              <wp:wrapNone/>
              <wp:docPr id="10"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D92" w:rsidRPr="0001226A" w:rsidRDefault="00835D92" w:rsidP="00F45442">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1" type="#_x0000_t202" style="position:absolute;margin-left:0;margin-top:0;width:595.3pt;height:141.45pt;z-index:-2515558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ACwQKa6AgAA&#10;xQUAAA4AAAAAAAAAAAAAAAAALgIAAGRycy9lMm9Eb2MueG1sUEsBAi0AFAAGAAgAAAAhADTFRM7b&#10;AAAABgEAAA8AAAAAAAAAAAAAAAAAFAUAAGRycy9kb3ducmV2LnhtbFBLBQYAAAAABAAEAPMAAAAc&#10;BgAAAAA=&#10;" filled="f" stroked="f">
              <v:textbox>
                <w:txbxContent>
                  <w:p w:rsidR="00835D92" w:rsidRPr="0001226A" w:rsidRDefault="00835D92" w:rsidP="00F45442">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end"/>
                    </w:r>
                  </w:p>
                </w:txbxContent>
              </v:textbox>
              <w10:wrap anchorx="page" anchory="page"/>
              <w10:anchorlock/>
            </v:shape>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D92" w:rsidRDefault="00835D9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12C" w:rsidRDefault="000C112C">
    <w:pPr>
      <w:pStyle w:val="Header"/>
    </w:pPr>
    <w:r>
      <w:rPr>
        <w:noProof/>
        <w:lang w:eastAsia="en-AU"/>
      </w:rPr>
      <mc:AlternateContent>
        <mc:Choice Requires="wps">
          <w:drawing>
            <wp:anchor distT="0" distB="0" distL="114300" distR="114300" simplePos="0" relativeHeight="251665408" behindDoc="1" locked="1" layoutInCell="1" allowOverlap="1" wp14:anchorId="3915EE79" wp14:editId="196A6DFA">
              <wp:simplePos x="0" y="0"/>
              <wp:positionH relativeFrom="page">
                <wp:align>center</wp:align>
              </wp:positionH>
              <wp:positionV relativeFrom="page">
                <wp:align>center</wp:align>
              </wp:positionV>
              <wp:extent cx="7560000" cy="1796400"/>
              <wp:effectExtent l="0" t="0" r="0" b="0"/>
              <wp:wrapNone/>
              <wp:docPr id="3"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112C" w:rsidRPr="0001226A" w:rsidRDefault="000C112C" w:rsidP="00F45442">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margin-top:0;width:595.3pt;height:141.45pt;z-index:-25165107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IeAB0W6AgAA&#10;wwUAAA4AAAAAAAAAAAAAAAAALgIAAGRycy9lMm9Eb2MueG1sUEsBAi0AFAAGAAgAAAAhADTFRM7b&#10;AAAABgEAAA8AAAAAAAAAAAAAAAAAFAUAAGRycy9kb3ducmV2LnhtbFBLBQYAAAAABAAEAPMAAAAc&#10;BgAAAAA=&#10;" filled="f" stroked="f">
              <v:textbox>
                <w:txbxContent>
                  <w:p w:rsidR="000C112C" w:rsidRPr="0001226A" w:rsidRDefault="000C112C" w:rsidP="00F45442">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end"/>
                    </w:r>
                  </w:p>
                </w:txbxContent>
              </v:textbox>
              <w10:wrap anchorx="page" anchory="page"/>
              <w10:anchorlock/>
            </v:shap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D92" w:rsidRDefault="00835D92">
    <w:pPr>
      <w:pStyle w:val="Header"/>
    </w:pPr>
    <w:r>
      <w:rPr>
        <w:noProof/>
        <w:lang w:eastAsia="en-AU"/>
      </w:rPr>
      <w:drawing>
        <wp:anchor distT="0" distB="0" distL="114300" distR="114300" simplePos="0" relativeHeight="251762688" behindDoc="1" locked="0" layoutInCell="1" allowOverlap="1" wp14:anchorId="2257BB1F" wp14:editId="1AB25FCB">
          <wp:simplePos x="0" y="0"/>
          <wp:positionH relativeFrom="page">
            <wp:posOffset>0</wp:posOffset>
          </wp:positionH>
          <wp:positionV relativeFrom="page">
            <wp:posOffset>0</wp:posOffset>
          </wp:positionV>
          <wp:extent cx="7563600" cy="10695600"/>
          <wp:effectExtent l="0" t="0" r="0" b="0"/>
          <wp:wrapNone/>
          <wp:docPr id="38" name="Picture 38"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560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761664" behindDoc="1" locked="1" layoutInCell="1" allowOverlap="1" wp14:anchorId="4811A5D1" wp14:editId="6813302B">
              <wp:simplePos x="0" y="0"/>
              <wp:positionH relativeFrom="page">
                <wp:align>center</wp:align>
              </wp:positionH>
              <wp:positionV relativeFrom="page">
                <wp:align>center</wp:align>
              </wp:positionV>
              <wp:extent cx="7560000" cy="1796400"/>
              <wp:effectExtent l="0" t="0" r="0" b="0"/>
              <wp:wrapNone/>
              <wp:docPr id="31"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D92" w:rsidRPr="0001226A" w:rsidRDefault="00835D92" w:rsidP="00F45442">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2" type="#_x0000_t202" style="position:absolute;margin-left:0;margin-top:0;width:595.3pt;height:141.45pt;z-index:-2515548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" filled="f" stroked="f">
              <v:textbox>
                <w:txbxContent>
                  <w:p w:rsidR="00835D92" w:rsidRPr="0001226A" w:rsidRDefault="00835D92" w:rsidP="00F45442">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end"/>
                    </w:r>
                  </w:p>
                </w:txbxContent>
              </v:textbox>
              <w10:wrap anchorx="page" anchory="page"/>
              <w10:anchorlock/>
            </v:shape>
          </w:pict>
        </mc:Fallback>
      </mc:AlternateConten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12C" w:rsidRDefault="000C112C">
    <w:pPr>
      <w:pStyle w:val="Header"/>
    </w:pPr>
    <w:r>
      <w:rPr>
        <w:noProof/>
        <w:lang w:eastAsia="en-AU"/>
      </w:rPr>
      <mc:AlternateContent>
        <mc:Choice Requires="wps">
          <w:drawing>
            <wp:anchor distT="0" distB="0" distL="114300" distR="114300" simplePos="0" relativeHeight="251732992" behindDoc="1" locked="1" layoutInCell="1" allowOverlap="1" wp14:anchorId="6F4D2773" wp14:editId="7DEF4D93">
              <wp:simplePos x="0" y="0"/>
              <wp:positionH relativeFrom="page">
                <wp:align>center</wp:align>
              </wp:positionH>
              <wp:positionV relativeFrom="page">
                <wp:align>center</wp:align>
              </wp:positionV>
              <wp:extent cx="7560000" cy="1796400"/>
              <wp:effectExtent l="0" t="0" r="0" b="0"/>
              <wp:wrapNone/>
              <wp:docPr id="12"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112C" w:rsidRPr="0001226A" w:rsidRDefault="000C112C" w:rsidP="00F45442">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3" type="#_x0000_t202" style="position:absolute;margin-left:0;margin-top:0;width:595.3pt;height:141.45pt;z-index:-25158348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C8hzHq6AgAA&#10;xQUAAA4AAAAAAAAAAAAAAAAALgIAAGRycy9lMm9Eb2MueG1sUEsBAi0AFAAGAAgAAAAhADTFRM7b&#10;AAAABgEAAA8AAAAAAAAAAAAAAAAAFAUAAGRycy9kb3ducmV2LnhtbFBLBQYAAAAABAAEAPMAAAAc&#10;BgAAAAA=&#10;" filled="f" stroked="f">
              <v:textbox>
                <w:txbxContent>
                  <w:p w:rsidR="000C112C" w:rsidRPr="0001226A" w:rsidRDefault="000C112C" w:rsidP="00F45442">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end"/>
                    </w:r>
                  </w:p>
                </w:txbxContent>
              </v:textbox>
              <w10:wrap anchorx="page" anchory="page"/>
              <w10:anchorlock/>
            </v:shape>
          </w:pict>
        </mc:Fallback>
      </mc:AlternateConten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12C" w:rsidRDefault="000C112C"/>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12C" w:rsidRDefault="000C112C">
    <w:pPr>
      <w:pStyle w:val="Header"/>
    </w:pPr>
    <w:r>
      <w:rPr>
        <w:noProof/>
        <w:lang w:eastAsia="en-AU"/>
      </w:rPr>
      <w:drawing>
        <wp:anchor distT="0" distB="0" distL="114300" distR="114300" simplePos="0" relativeHeight="251736064" behindDoc="1" locked="0" layoutInCell="1" allowOverlap="1" wp14:anchorId="608008B2" wp14:editId="2ADA7E17">
          <wp:simplePos x="0" y="0"/>
          <wp:positionH relativeFrom="page">
            <wp:posOffset>0</wp:posOffset>
          </wp:positionH>
          <wp:positionV relativeFrom="page">
            <wp:posOffset>0</wp:posOffset>
          </wp:positionV>
          <wp:extent cx="7563600" cy="10695600"/>
          <wp:effectExtent l="0" t="0" r="0" b="0"/>
          <wp:wrapNone/>
          <wp:docPr id="23" name="Picture 23"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560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735040" behindDoc="1" locked="1" layoutInCell="1" allowOverlap="1" wp14:anchorId="1B2401A3" wp14:editId="4F5F966B">
              <wp:simplePos x="0" y="0"/>
              <wp:positionH relativeFrom="page">
                <wp:align>center</wp:align>
              </wp:positionH>
              <wp:positionV relativeFrom="page">
                <wp:align>center</wp:align>
              </wp:positionV>
              <wp:extent cx="7560000" cy="1796400"/>
              <wp:effectExtent l="0" t="0" r="0" b="0"/>
              <wp:wrapNone/>
              <wp:docPr id="18"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112C" w:rsidRPr="0001226A" w:rsidRDefault="000C112C" w:rsidP="00F45442">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4" type="#_x0000_t202" style="position:absolute;margin-left:0;margin-top:0;width:595.3pt;height:141.45pt;z-index:-2515814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" filled="f" stroked="f">
              <v:textbox>
                <w:txbxContent>
                  <w:p w:rsidR="000C112C" w:rsidRPr="0001226A" w:rsidRDefault="000C112C" w:rsidP="00F45442">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end"/>
                    </w:r>
                  </w:p>
                </w:txbxContent>
              </v:textbox>
              <w10:wrap anchorx="page" anchory="page"/>
              <w10:anchorlock/>
            </v:shape>
          </w:pict>
        </mc:Fallback>
      </mc:AlternateConten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12C" w:rsidRDefault="000C112C" w:rsidP="00F256DF">
    <w:pPr>
      <w:pStyle w:val="Header"/>
    </w:pPr>
    <w:r>
      <w:rPr>
        <w:noProof/>
        <w:lang w:eastAsia="en-AU"/>
      </w:rPr>
      <mc:AlternateContent>
        <mc:Choice Requires="wps">
          <w:drawing>
            <wp:anchor distT="0" distB="0" distL="114300" distR="114300" simplePos="0" relativeHeight="251747328" behindDoc="1" locked="1" layoutInCell="1" allowOverlap="1" wp14:anchorId="4F087608" wp14:editId="12A4E760">
              <wp:simplePos x="0" y="0"/>
              <wp:positionH relativeFrom="page">
                <wp:align>center</wp:align>
              </wp:positionH>
              <wp:positionV relativeFrom="page">
                <wp:align>center</wp:align>
              </wp:positionV>
              <wp:extent cx="7560000" cy="1796400"/>
              <wp:effectExtent l="0" t="0" r="0" b="0"/>
              <wp:wrapNone/>
              <wp:docPr id="61"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112C" w:rsidRPr="0001226A" w:rsidRDefault="000C112C" w:rsidP="00F256DF">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5" type="#_x0000_t202" style="position:absolute;margin-left:0;margin-top:0;width:595.3pt;height:141.45pt;z-index:-25156915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" filled="f" stroked="f">
              <v:textbox>
                <w:txbxContent>
                  <w:p w:rsidR="000C112C" w:rsidRPr="0001226A" w:rsidRDefault="000C112C" w:rsidP="00F256DF">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end"/>
                    </w:r>
                  </w:p>
                </w:txbxContent>
              </v:textbox>
              <w10:wrap anchorx="page" anchory="page"/>
              <w10:anchorlock/>
            </v:shape>
          </w:pict>
        </mc:Fallback>
      </mc:AlternateContent>
    </w:r>
  </w:p>
  <w:p w:rsidR="000C112C" w:rsidRPr="00F256DF" w:rsidRDefault="000C112C" w:rsidP="00F256DF">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12C" w:rsidRDefault="000C112C" w:rsidP="00F256DF">
    <w:pPr>
      <w:pStyle w:val="Header"/>
    </w:pPr>
    <w:r>
      <w:rPr>
        <w:noProof/>
        <w:lang w:eastAsia="en-AU"/>
      </w:rPr>
      <mc:AlternateContent>
        <mc:Choice Requires="wps">
          <w:drawing>
            <wp:anchor distT="0" distB="0" distL="114300" distR="114300" simplePos="0" relativeHeight="251745280" behindDoc="1" locked="1" layoutInCell="1" allowOverlap="1" wp14:anchorId="5B4D18E0" wp14:editId="37C042C2">
              <wp:simplePos x="0" y="0"/>
              <wp:positionH relativeFrom="page">
                <wp:align>center</wp:align>
              </wp:positionH>
              <wp:positionV relativeFrom="page">
                <wp:align>center</wp:align>
              </wp:positionV>
              <wp:extent cx="7560000" cy="1796400"/>
              <wp:effectExtent l="0" t="0" r="0" b="0"/>
              <wp:wrapNone/>
              <wp:docPr id="60"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112C" w:rsidRPr="0001226A" w:rsidRDefault="000C112C" w:rsidP="00F256DF">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6" type="#_x0000_t202" style="position:absolute;margin-left:0;margin-top:0;width:595.3pt;height:141.45pt;z-index:-25157120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" filled="f" stroked="f">
              <v:textbox>
                <w:txbxContent>
                  <w:p w:rsidR="000C112C" w:rsidRPr="0001226A" w:rsidRDefault="000C112C" w:rsidP="00F256DF">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end"/>
                    </w:r>
                  </w:p>
                </w:txbxContent>
              </v:textbox>
              <w10:wrap anchorx="page" anchory="page"/>
              <w10:anchorlock/>
            </v:shape>
          </w:pict>
        </mc:Fallback>
      </mc:AlternateContent>
    </w:r>
  </w:p>
  <w:p w:rsidR="000C112C" w:rsidRPr="00F256DF" w:rsidRDefault="000C112C" w:rsidP="00F256DF">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12C" w:rsidRDefault="000C112C" w:rsidP="00BA0FBF">
    <w:pPr>
      <w:pStyle w:val="Header"/>
    </w:pPr>
    <w:r>
      <w:rPr>
        <w:noProof/>
        <w:lang w:eastAsia="en-AU"/>
      </w:rPr>
      <mc:AlternateContent>
        <mc:Choice Requires="wps">
          <w:drawing>
            <wp:anchor distT="0" distB="0" distL="114300" distR="114300" simplePos="0" relativeHeight="251755520" behindDoc="1" locked="1" layoutInCell="1" allowOverlap="1" wp14:anchorId="6C402276" wp14:editId="737705C5">
              <wp:simplePos x="0" y="0"/>
              <wp:positionH relativeFrom="page">
                <wp:align>center</wp:align>
              </wp:positionH>
              <wp:positionV relativeFrom="page">
                <wp:align>center</wp:align>
              </wp:positionV>
              <wp:extent cx="7560000" cy="1796400"/>
              <wp:effectExtent l="0" t="0" r="0" b="0"/>
              <wp:wrapNone/>
              <wp:docPr id="24"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112C" w:rsidRPr="0001226A" w:rsidRDefault="000C112C" w:rsidP="00F45442">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7" type="#_x0000_t202" style="position:absolute;margin-left:0;margin-top:0;width:595.3pt;height:141.45pt;z-index:-25156096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DP9ozq6AgAA&#10;xQUAAA4AAAAAAAAAAAAAAAAALgIAAGRycy9lMm9Eb2MueG1sUEsBAi0AFAAGAAgAAAAhADTFRM7b&#10;AAAABgEAAA8AAAAAAAAAAAAAAAAAFAUAAGRycy9kb3ducmV2LnhtbFBLBQYAAAAABAAEAPMAAAAc&#10;BgAAAAA=&#10;" filled="f" stroked="f">
              <v:textbox>
                <w:txbxContent>
                  <w:p w:rsidR="000C112C" w:rsidRPr="0001226A" w:rsidRDefault="000C112C" w:rsidP="00F45442">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end"/>
                    </w:r>
                  </w:p>
                </w:txbxContent>
              </v:textbox>
              <w10:wrap anchorx="page" anchory="page"/>
              <w10:anchorlock/>
            </v:shape>
          </w:pict>
        </mc:Fallback>
      </mc:AlternateConten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12C" w:rsidRDefault="000C112C">
    <w:pPr>
      <w:pStyle w:val="Header"/>
    </w:pPr>
    <w:r>
      <w:rPr>
        <w:noProof/>
        <w:lang w:eastAsia="en-AU"/>
      </w:rPr>
      <mc:AlternateContent>
        <mc:Choice Requires="wps">
          <w:drawing>
            <wp:anchor distT="0" distB="0" distL="114300" distR="114300" simplePos="0" relativeHeight="251753472" behindDoc="1" locked="1" layoutInCell="1" allowOverlap="1" wp14:anchorId="38254EFA" wp14:editId="0A53A2C4">
              <wp:simplePos x="0" y="0"/>
              <wp:positionH relativeFrom="page">
                <wp:align>center</wp:align>
              </wp:positionH>
              <wp:positionV relativeFrom="page">
                <wp:align>center</wp:align>
              </wp:positionV>
              <wp:extent cx="7560000" cy="1796400"/>
              <wp:effectExtent l="0" t="0" r="0" b="0"/>
              <wp:wrapNone/>
              <wp:docPr id="5"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112C" w:rsidRPr="0001226A" w:rsidRDefault="000C112C" w:rsidP="00F45442">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8" type="#_x0000_t202" style="position:absolute;margin-left:0;margin-top:0;width:595.3pt;height:141.45pt;z-index:-25156300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" filled="f" stroked="f">
              <v:textbox>
                <w:txbxContent>
                  <w:p w:rsidR="000C112C" w:rsidRPr="0001226A" w:rsidRDefault="000C112C" w:rsidP="00F45442">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end"/>
                    </w:r>
                  </w:p>
                </w:txbxContent>
              </v:textbox>
              <w10:wrap anchorx="page" anchory="page"/>
              <w10:anchorlock/>
            </v:shape>
          </w:pict>
        </mc:Fallback>
      </mc:AlternateContent>
    </w:r>
  </w:p>
  <w:p w:rsidR="000C112C" w:rsidRDefault="000C112C"/>
  <w:p w:rsidR="000C112C" w:rsidRDefault="000C112C"/>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12C" w:rsidRDefault="000C112C">
    <w:pPr>
      <w:pStyle w:val="Header"/>
    </w:pPr>
    <w:r>
      <w:rPr>
        <w:noProof/>
        <w:lang w:eastAsia="en-AU"/>
      </w:rPr>
      <w:drawing>
        <wp:anchor distT="0" distB="0" distL="114300" distR="114300" simplePos="0" relativeHeight="251758592" behindDoc="1" locked="0" layoutInCell="1" allowOverlap="1" wp14:anchorId="4597F9CB" wp14:editId="7256AA3F">
          <wp:simplePos x="0" y="0"/>
          <wp:positionH relativeFrom="page">
            <wp:posOffset>0</wp:posOffset>
          </wp:positionH>
          <wp:positionV relativeFrom="page">
            <wp:posOffset>0</wp:posOffset>
          </wp:positionV>
          <wp:extent cx="7563600" cy="10695600"/>
          <wp:effectExtent l="0" t="0" r="0" b="0"/>
          <wp:wrapNone/>
          <wp:docPr id="25" name="Picture 25"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560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757568" behindDoc="1" locked="1" layoutInCell="1" allowOverlap="1" wp14:anchorId="01CE3A5C" wp14:editId="5FA19E7B">
              <wp:simplePos x="0" y="0"/>
              <wp:positionH relativeFrom="page">
                <wp:align>center</wp:align>
              </wp:positionH>
              <wp:positionV relativeFrom="page">
                <wp:align>center</wp:align>
              </wp:positionV>
              <wp:extent cx="7560000" cy="1796400"/>
              <wp:effectExtent l="0" t="0" r="0" b="0"/>
              <wp:wrapNone/>
              <wp:docPr id="2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112C" w:rsidRPr="0001226A" w:rsidRDefault="000C112C" w:rsidP="00F45442">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9" type="#_x0000_t202" style="position:absolute;margin-left:0;margin-top:0;width:595.3pt;height:141.45pt;z-index:-25155891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" filled="f" stroked="f">
              <v:textbox>
                <w:txbxContent>
                  <w:p w:rsidR="000C112C" w:rsidRPr="0001226A" w:rsidRDefault="000C112C" w:rsidP="00F45442">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end"/>
                    </w:r>
                  </w:p>
                </w:txbxContent>
              </v:textbox>
              <w10:wrap anchorx="page" anchory="page"/>
              <w10:anchorlock/>
            </v:shape>
          </w:pict>
        </mc:Fallback>
      </mc:AlternateConten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12C" w:rsidRDefault="000C112C" w:rsidP="005C5DF2">
    <w:pPr>
      <w:pStyle w:val="Header"/>
    </w:pPr>
    <w:r>
      <w:rPr>
        <w:noProof/>
        <w:lang w:eastAsia="en-AU"/>
      </w:rPr>
      <mc:AlternateContent>
        <mc:Choice Requires="wps">
          <w:drawing>
            <wp:anchor distT="0" distB="0" distL="114300" distR="114300" simplePos="0" relativeHeight="251751424" behindDoc="1" locked="1" layoutInCell="1" allowOverlap="1" wp14:anchorId="10A3AB6C" wp14:editId="71F417F6">
              <wp:simplePos x="0" y="0"/>
              <wp:positionH relativeFrom="page">
                <wp:align>center</wp:align>
              </wp:positionH>
              <wp:positionV relativeFrom="page">
                <wp:align>center</wp:align>
              </wp:positionV>
              <wp:extent cx="7560000" cy="1796400"/>
              <wp:effectExtent l="0" t="0" r="0" b="0"/>
              <wp:wrapNone/>
              <wp:docPr id="65"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112C" w:rsidRPr="0001226A" w:rsidRDefault="000C112C" w:rsidP="005C5DF2">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0" type="#_x0000_t202" style="position:absolute;margin-left:0;margin-top:0;width:595.3pt;height:141.45pt;z-index:-25156505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" filled="f" stroked="f">
              <v:textbox>
                <w:txbxContent>
                  <w:p w:rsidR="000C112C" w:rsidRPr="0001226A" w:rsidRDefault="000C112C" w:rsidP="005C5DF2">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end"/>
                    </w:r>
                  </w:p>
                </w:txbxContent>
              </v:textbox>
              <w10:wrap anchorx="page" anchory="page"/>
              <w10:anchorlock/>
            </v:shape>
          </w:pict>
        </mc:Fallback>
      </mc:AlternateContent>
    </w:r>
  </w:p>
  <w:p w:rsidR="000C112C" w:rsidRPr="005C5DF2" w:rsidRDefault="000C112C" w:rsidP="005C5D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12C" w:rsidRDefault="000C112C">
    <w:pPr>
      <w:pStyle w:val="Header"/>
    </w:pPr>
    <w:r>
      <w:rPr>
        <w:noProof/>
        <w:lang w:eastAsia="en-AU"/>
      </w:rPr>
      <w:drawing>
        <wp:anchor distT="0" distB="0" distL="114300" distR="114300" simplePos="0" relativeHeight="251674624" behindDoc="1" locked="0" layoutInCell="1" allowOverlap="1" wp14:anchorId="2309D761" wp14:editId="4B98699F">
          <wp:simplePos x="0" y="0"/>
          <wp:positionH relativeFrom="page">
            <wp:posOffset>0</wp:posOffset>
          </wp:positionH>
          <wp:positionV relativeFrom="page">
            <wp:posOffset>0</wp:posOffset>
          </wp:positionV>
          <wp:extent cx="7563600" cy="10695600"/>
          <wp:effectExtent l="0" t="0" r="0" b="0"/>
          <wp:wrapNone/>
          <wp:docPr id="1" name="Picture 1"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560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61312" behindDoc="1" locked="1" layoutInCell="1" allowOverlap="1" wp14:anchorId="3118DA3F" wp14:editId="2179626E">
              <wp:simplePos x="0" y="0"/>
              <wp:positionH relativeFrom="page">
                <wp:align>center</wp:align>
              </wp:positionH>
              <wp:positionV relativeFrom="page">
                <wp:align>center</wp:align>
              </wp:positionV>
              <wp:extent cx="7560000" cy="1796400"/>
              <wp:effectExtent l="0" t="0" r="0" b="0"/>
              <wp:wrapNone/>
              <wp:docPr id="6"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112C" w:rsidRPr="0001226A" w:rsidRDefault="000C112C" w:rsidP="00F45442">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0;margin-top:0;width:595.3pt;height:141.45pt;z-index:-25165516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Gtyw5K6AgAA&#10;wwUAAA4AAAAAAAAAAAAAAAAALgIAAGRycy9lMm9Eb2MueG1sUEsBAi0AFAAGAAgAAAAhADTFRM7b&#10;AAAABgEAAA8AAAAAAAAAAAAAAAAAFAUAAGRycy9kb3ducmV2LnhtbFBLBQYAAAAABAAEAPMAAAAc&#10;BgAAAAA=&#10;" filled="f" stroked="f">
              <v:textbox>
                <w:txbxContent>
                  <w:p w:rsidR="000C112C" w:rsidRPr="0001226A" w:rsidRDefault="000C112C" w:rsidP="00F45442">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end"/>
                    </w:r>
                  </w:p>
                </w:txbxContent>
              </v:textbox>
              <w10:wrap anchorx="page" anchory="page"/>
              <w10:anchorlock/>
            </v:shape>
          </w:pict>
        </mc:Fallback>
      </mc:AlternateConten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12C" w:rsidRDefault="000C112C" w:rsidP="005C5DF2">
    <w:pPr>
      <w:pStyle w:val="Header"/>
    </w:pPr>
    <w:r>
      <w:rPr>
        <w:noProof/>
        <w:lang w:eastAsia="en-AU"/>
      </w:rPr>
      <mc:AlternateContent>
        <mc:Choice Requires="wps">
          <w:drawing>
            <wp:anchor distT="0" distB="0" distL="114300" distR="114300" simplePos="0" relativeHeight="251749376" behindDoc="1" locked="1" layoutInCell="1" allowOverlap="1" wp14:anchorId="3C482E61" wp14:editId="38281C60">
              <wp:simplePos x="0" y="0"/>
              <wp:positionH relativeFrom="page">
                <wp:align>center</wp:align>
              </wp:positionH>
              <wp:positionV relativeFrom="page">
                <wp:align>center</wp:align>
              </wp:positionV>
              <wp:extent cx="7560000" cy="1796400"/>
              <wp:effectExtent l="0" t="0" r="0" b="0"/>
              <wp:wrapNone/>
              <wp:docPr id="64"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112C" w:rsidRPr="0001226A" w:rsidRDefault="000C112C" w:rsidP="005C5DF2">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1" type="#_x0000_t202" style="position:absolute;margin-left:0;margin-top:0;width:595.3pt;height:141.45pt;z-index:-25156710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" filled="f" stroked="f">
              <v:textbox>
                <w:txbxContent>
                  <w:p w:rsidR="000C112C" w:rsidRPr="0001226A" w:rsidRDefault="000C112C" w:rsidP="005C5DF2">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end"/>
                    </w:r>
                  </w:p>
                </w:txbxContent>
              </v:textbox>
              <w10:wrap anchorx="page" anchory="page"/>
              <w10:anchorlock/>
            </v:shape>
          </w:pict>
        </mc:Fallback>
      </mc:AlternateContent>
    </w:r>
  </w:p>
  <w:p w:rsidR="000C112C" w:rsidRPr="005C5DF2" w:rsidRDefault="000C112C" w:rsidP="005C5DF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12C" w:rsidRPr="00613471" w:rsidRDefault="000C112C" w:rsidP="0061347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12C" w:rsidRPr="00613471" w:rsidRDefault="000C112C" w:rsidP="0061347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12C" w:rsidRDefault="000C112C">
    <w:pPr>
      <w:pStyle w:val="Header"/>
    </w:pPr>
    <w:r>
      <w:rPr>
        <w:noProof/>
        <w:lang w:eastAsia="en-AU"/>
      </w:rPr>
      <w:drawing>
        <wp:anchor distT="0" distB="0" distL="114300" distR="114300" simplePos="0" relativeHeight="251689984" behindDoc="1" locked="0" layoutInCell="1" allowOverlap="1" wp14:anchorId="1AAE9D66" wp14:editId="37D91438">
          <wp:simplePos x="0" y="0"/>
          <wp:positionH relativeFrom="page">
            <wp:posOffset>0</wp:posOffset>
          </wp:positionH>
          <wp:positionV relativeFrom="page">
            <wp:posOffset>0</wp:posOffset>
          </wp:positionV>
          <wp:extent cx="7563600" cy="10695600"/>
          <wp:effectExtent l="0" t="0" r="0" b="0"/>
          <wp:wrapNone/>
          <wp:docPr id="26" name="Picture 26"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560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88960" behindDoc="1" locked="1" layoutInCell="1" allowOverlap="1" wp14:anchorId="1DE96ABC" wp14:editId="1EB05F3A">
              <wp:simplePos x="0" y="0"/>
              <wp:positionH relativeFrom="page">
                <wp:align>center</wp:align>
              </wp:positionH>
              <wp:positionV relativeFrom="page">
                <wp:align>center</wp:align>
              </wp:positionV>
              <wp:extent cx="7560000" cy="1796400"/>
              <wp:effectExtent l="0" t="0" r="0" b="0"/>
              <wp:wrapNone/>
              <wp:docPr id="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112C" w:rsidRPr="0001226A" w:rsidRDefault="000C112C" w:rsidP="00F45442">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0;margin-top:0;width:595.3pt;height:141.45pt;z-index:-2516275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JqjM7y6AgAA&#10;xAUAAA4AAAAAAAAAAAAAAAAALgIAAGRycy9lMm9Eb2MueG1sUEsBAi0AFAAGAAgAAAAhADTFRM7b&#10;AAAABgEAAA8AAAAAAAAAAAAAAAAAFAUAAGRycy9kb3ducmV2LnhtbFBLBQYAAAAABAAEAPMAAAAc&#10;BgAAAAA=&#10;" filled="f" stroked="f">
              <v:textbox>
                <w:txbxContent>
                  <w:p w:rsidR="000C112C" w:rsidRPr="0001226A" w:rsidRDefault="000C112C" w:rsidP="00F45442">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end"/>
                    </w:r>
                  </w:p>
                </w:txbxContent>
              </v:textbox>
              <w10:wrap anchorx="page" anchory="page"/>
              <w10:anchorlock/>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12C" w:rsidRDefault="000C112C" w:rsidP="00613471">
    <w:pPr>
      <w:pStyle w:val="Header"/>
    </w:pPr>
    <w:r>
      <w:rPr>
        <w:noProof/>
        <w:lang w:eastAsia="en-AU"/>
      </w:rPr>
      <mc:AlternateContent>
        <mc:Choice Requires="wps">
          <w:drawing>
            <wp:anchor distT="0" distB="0" distL="114300" distR="114300" simplePos="0" relativeHeight="251710464" behindDoc="1" locked="1" layoutInCell="1" allowOverlap="1" wp14:anchorId="6F41FEFF" wp14:editId="51E06F0D">
              <wp:simplePos x="0" y="0"/>
              <wp:positionH relativeFrom="page">
                <wp:align>center</wp:align>
              </wp:positionH>
              <wp:positionV relativeFrom="page">
                <wp:align>center</wp:align>
              </wp:positionV>
              <wp:extent cx="7560000" cy="1796400"/>
              <wp:effectExtent l="0" t="0" r="0" b="0"/>
              <wp:wrapNone/>
              <wp:docPr id="15"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112C" w:rsidRPr="0001226A" w:rsidRDefault="000C112C" w:rsidP="00613471">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0;margin-top:0;width:595.3pt;height:141.45pt;z-index:-2516060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NSr/vu6AgAA&#10;xAUAAA4AAAAAAAAAAAAAAAAALgIAAGRycy9lMm9Eb2MueG1sUEsBAi0AFAAGAAgAAAAhADTFRM7b&#10;AAAABgEAAA8AAAAAAAAAAAAAAAAAFAUAAGRycy9kb3ducmV2LnhtbFBLBQYAAAAABAAEAPMAAAAc&#10;BgAAAAA=&#10;" filled="f" stroked="f">
              <v:textbox>
                <w:txbxContent>
                  <w:p w:rsidR="000C112C" w:rsidRPr="0001226A" w:rsidRDefault="000C112C" w:rsidP="00613471">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end"/>
                    </w:r>
                  </w:p>
                </w:txbxContent>
              </v:textbox>
              <w10:wrap anchorx="page" anchory="page"/>
              <w10:anchorlock/>
            </v:shape>
          </w:pict>
        </mc:Fallback>
      </mc:AlternateContent>
    </w:r>
  </w:p>
  <w:p w:rsidR="000C112C" w:rsidRPr="00613471" w:rsidRDefault="000C112C" w:rsidP="0061347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12C" w:rsidRPr="00613471" w:rsidRDefault="000C112C" w:rsidP="00613471">
    <w:pPr>
      <w:pStyle w:val="Header"/>
    </w:pPr>
    <w:r>
      <w:rPr>
        <w:noProof/>
        <w:lang w:eastAsia="en-AU"/>
      </w:rPr>
      <mc:AlternateContent>
        <mc:Choice Requires="wps">
          <w:drawing>
            <wp:anchor distT="0" distB="0" distL="114300" distR="114300" simplePos="0" relativeHeight="251708416" behindDoc="1" locked="1" layoutInCell="1" allowOverlap="1" wp14:anchorId="2A112DA6" wp14:editId="701110AB">
              <wp:simplePos x="0" y="0"/>
              <wp:positionH relativeFrom="page">
                <wp:align>center</wp:align>
              </wp:positionH>
              <wp:positionV relativeFrom="page">
                <wp:align>center</wp:align>
              </wp:positionV>
              <wp:extent cx="7560000" cy="1796400"/>
              <wp:effectExtent l="0" t="0" r="0" b="0"/>
              <wp:wrapNone/>
              <wp:docPr id="14"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112C" w:rsidRPr="0001226A" w:rsidRDefault="000C112C" w:rsidP="00613471">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0;margin-top:0;width:595.3pt;height:141.45pt;z-index:-25160806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KIT+ay6AgAA&#10;xAUAAA4AAAAAAAAAAAAAAAAALgIAAGRycy9lMm9Eb2MueG1sUEsBAi0AFAAGAAgAAAAhADTFRM7b&#10;AAAABgEAAA8AAAAAAAAAAAAAAAAAFAUAAGRycy9kb3ducmV2LnhtbFBLBQYAAAAABAAEAPMAAAAc&#10;BgAAAAA=&#10;" filled="f" stroked="f">
              <v:textbox>
                <w:txbxContent>
                  <w:p w:rsidR="000C112C" w:rsidRPr="0001226A" w:rsidRDefault="000C112C" w:rsidP="00613471">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end"/>
                    </w:r>
                  </w:p>
                </w:txbxContent>
              </v:textbox>
              <w10:wrap anchorx="page" anchory="page"/>
              <w10:anchorlock/>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12C" w:rsidRDefault="000C112C">
    <w:pPr>
      <w:pStyle w:val="Header"/>
    </w:pPr>
    <w:r>
      <w:rPr>
        <w:noProof/>
        <w:lang w:eastAsia="en-AU"/>
      </w:rPr>
      <w:drawing>
        <wp:anchor distT="0" distB="0" distL="114300" distR="114300" simplePos="0" relativeHeight="251697152" behindDoc="1" locked="0" layoutInCell="1" allowOverlap="1" wp14:anchorId="59B96861" wp14:editId="38E63F9C">
          <wp:simplePos x="0" y="0"/>
          <wp:positionH relativeFrom="page">
            <wp:posOffset>0</wp:posOffset>
          </wp:positionH>
          <wp:positionV relativeFrom="page">
            <wp:posOffset>0</wp:posOffset>
          </wp:positionV>
          <wp:extent cx="7563600" cy="10695600"/>
          <wp:effectExtent l="0" t="0" r="0" b="0"/>
          <wp:wrapNone/>
          <wp:docPr id="28" name="Picture 28"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560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96128" behindDoc="1" locked="1" layoutInCell="1" allowOverlap="1" wp14:anchorId="74230C80" wp14:editId="7FA3799D">
              <wp:simplePos x="0" y="0"/>
              <wp:positionH relativeFrom="page">
                <wp:align>center</wp:align>
              </wp:positionH>
              <wp:positionV relativeFrom="page">
                <wp:align>center</wp:align>
              </wp:positionV>
              <wp:extent cx="7560000" cy="1796400"/>
              <wp:effectExtent l="0" t="0" r="0" b="0"/>
              <wp:wrapNone/>
              <wp:docPr id="4"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112C" w:rsidRPr="0001226A" w:rsidRDefault="000C112C" w:rsidP="00F45442">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0;margin-top:0;width:595.3pt;height:141.45pt;z-index:-25162035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ISvYDu6AgAA&#10;wwUAAA4AAAAAAAAAAAAAAAAALgIAAGRycy9lMm9Eb2MueG1sUEsBAi0AFAAGAAgAAAAhADTFRM7b&#10;AAAABgEAAA8AAAAAAAAAAAAAAAAAFAUAAGRycy9kb3ducmV2LnhtbFBLBQYAAAAABAAEAPMAAAAc&#10;BgAAAAA=&#10;" filled="f" stroked="f">
              <v:textbox>
                <w:txbxContent>
                  <w:p w:rsidR="000C112C" w:rsidRPr="0001226A" w:rsidRDefault="000C112C" w:rsidP="00F45442">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B37FE"/>
    <w:multiLevelType w:val="multilevel"/>
    <w:tmpl w:val="FFD64966"/>
    <w:name w:val="Bullets"/>
    <w:lvl w:ilvl="0">
      <w:start w:val="1"/>
      <w:numFmt w:val="bullet"/>
      <w:lvlRestart w:val="0"/>
      <w:pStyle w:val="ListBullet"/>
      <w:lvlText w:val="•"/>
      <w:lvlJc w:val="left"/>
      <w:pPr>
        <w:tabs>
          <w:tab w:val="num" w:pos="454"/>
        </w:tabs>
        <w:ind w:left="454" w:hanging="454"/>
      </w:pPr>
      <w:rPr>
        <w:rFonts w:ascii="Calibri" w:hAnsi="Calibri" w:hint="default"/>
        <w:b w:val="0"/>
        <w:i w:val="0"/>
        <w:color w:val="auto"/>
        <w:position w:val="0"/>
        <w:sz w:val="22"/>
      </w:rPr>
    </w:lvl>
    <w:lvl w:ilvl="1">
      <w:start w:val="1"/>
      <w:numFmt w:val="bullet"/>
      <w:pStyle w:val="ListBullet2"/>
      <w:lvlText w:val="–"/>
      <w:lvlJc w:val="left"/>
      <w:pPr>
        <w:tabs>
          <w:tab w:val="num" w:pos="907"/>
        </w:tabs>
        <w:ind w:left="907" w:hanging="453"/>
      </w:pPr>
      <w:rPr>
        <w:rFonts w:ascii="Calibri" w:hAnsi="Calibri" w:hint="default"/>
        <w:b w:val="0"/>
        <w:i w:val="0"/>
        <w:color w:val="auto"/>
        <w:position w:val="0"/>
        <w:sz w:val="22"/>
      </w:rPr>
    </w:lvl>
    <w:lvl w:ilvl="2">
      <w:start w:val="1"/>
      <w:numFmt w:val="bullet"/>
      <w:pStyle w:val="ListBullet3"/>
      <w:lvlText w:val=""/>
      <w:lvlJc w:val="left"/>
      <w:pPr>
        <w:tabs>
          <w:tab w:val="num" w:pos="1361"/>
        </w:tabs>
        <w:ind w:left="1361" w:hanging="454"/>
      </w:pPr>
      <w:rPr>
        <w:rFonts w:ascii="Wingdings" w:hAnsi="Wingdings" w:hint="default"/>
        <w:b w:val="0"/>
        <w:i w:val="0"/>
        <w:color w:val="auto"/>
        <w:spacing w:val="0"/>
        <w:w w:val="100"/>
        <w:position w:val="1"/>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
    <w:nsid w:val="0D745448"/>
    <w:multiLevelType w:val="multilevel"/>
    <w:tmpl w:val="BD866236"/>
    <w:name w:val="PBOHeadings"/>
    <w:lvl w:ilvl="0">
      <w:start w:val="1"/>
      <w:numFmt w:val="decimal"/>
      <w:pStyle w:val="Heading1"/>
      <w:lvlText w:val="%1"/>
      <w:lvlJc w:val="left"/>
      <w:pPr>
        <w:ind w:left="765" w:hanging="765"/>
      </w:pPr>
      <w:rPr>
        <w:rFonts w:hint="default"/>
      </w:rPr>
    </w:lvl>
    <w:lvl w:ilvl="1">
      <w:start w:val="1"/>
      <w:numFmt w:val="decimal"/>
      <w:pStyle w:val="Heading2"/>
      <w:lvlText w:val="%1.%2"/>
      <w:lvlJc w:val="left"/>
      <w:pPr>
        <w:ind w:left="765" w:hanging="765"/>
      </w:pPr>
      <w:rPr>
        <w:rFonts w:hint="default"/>
      </w:rPr>
    </w:lvl>
    <w:lvl w:ilvl="2">
      <w:start w:val="1"/>
      <w:numFmt w:val="decimal"/>
      <w:pStyle w:val="Heading3"/>
      <w:lvlText w:val="%1.%2.%3"/>
      <w:lvlJc w:val="left"/>
      <w:pPr>
        <w:ind w:left="765" w:hanging="765"/>
      </w:pPr>
      <w:rPr>
        <w:rFonts w:hint="default"/>
      </w:rPr>
    </w:lvl>
    <w:lvl w:ilvl="3">
      <w:start w:val="1"/>
      <w:numFmt w:val="none"/>
      <w:lvlText w:val=""/>
      <w:lvlJc w:val="left"/>
      <w:pPr>
        <w:ind w:left="765" w:hanging="765"/>
      </w:pPr>
      <w:rPr>
        <w:rFonts w:hint="default"/>
      </w:rPr>
    </w:lvl>
    <w:lvl w:ilvl="4">
      <w:start w:val="1"/>
      <w:numFmt w:val="none"/>
      <w:lvlText w:val=""/>
      <w:lvlJc w:val="left"/>
      <w:pPr>
        <w:ind w:left="765" w:hanging="765"/>
      </w:pPr>
      <w:rPr>
        <w:rFonts w:hint="default"/>
      </w:rPr>
    </w:lvl>
    <w:lvl w:ilvl="5">
      <w:start w:val="1"/>
      <w:numFmt w:val="none"/>
      <w:lvlText w:val=""/>
      <w:lvlJc w:val="left"/>
      <w:pPr>
        <w:ind w:left="765" w:hanging="765"/>
      </w:pPr>
      <w:rPr>
        <w:rFonts w:hint="default"/>
      </w:rPr>
    </w:lvl>
    <w:lvl w:ilvl="6">
      <w:start w:val="1"/>
      <w:numFmt w:val="none"/>
      <w:lvlText w:val=""/>
      <w:lvlJc w:val="left"/>
      <w:pPr>
        <w:ind w:left="765" w:hanging="765"/>
      </w:pPr>
      <w:rPr>
        <w:rFonts w:hint="default"/>
      </w:rPr>
    </w:lvl>
    <w:lvl w:ilvl="7">
      <w:start w:val="1"/>
      <w:numFmt w:val="none"/>
      <w:lvlText w:val=""/>
      <w:lvlJc w:val="left"/>
      <w:pPr>
        <w:ind w:left="765" w:hanging="765"/>
      </w:pPr>
      <w:rPr>
        <w:rFonts w:hint="default"/>
      </w:rPr>
    </w:lvl>
    <w:lvl w:ilvl="8">
      <w:start w:val="1"/>
      <w:numFmt w:val="none"/>
      <w:lvlText w:val=""/>
      <w:lvlJc w:val="left"/>
      <w:pPr>
        <w:ind w:left="765" w:hanging="765"/>
      </w:pPr>
      <w:rPr>
        <w:rFonts w:hint="default"/>
      </w:rPr>
    </w:lvl>
  </w:abstractNum>
  <w:abstractNum w:abstractNumId="2">
    <w:nsid w:val="0FB2573F"/>
    <w:multiLevelType w:val="multilevel"/>
    <w:tmpl w:val="93FEDA8E"/>
    <w:name w:val="TableFootnotes"/>
    <w:lvl w:ilvl="0">
      <w:start w:val="1"/>
      <w:numFmt w:val="decimal"/>
      <w:pStyle w:val="TableFootnotes"/>
      <w:lvlText w:val="%1"/>
      <w:lvlJc w:val="left"/>
      <w:pPr>
        <w:ind w:left="227" w:hanging="227"/>
      </w:pPr>
      <w:rPr>
        <w:rFonts w:hint="default"/>
        <w:color w:val="788184" w:themeColor="background2"/>
        <w:spacing w:val="0"/>
        <w:sz w:val="20"/>
        <w:vertAlign w:val="superscript"/>
      </w:rPr>
    </w:lvl>
    <w:lvl w:ilvl="1">
      <w:start w:val="1"/>
      <w:numFmt w:val="bullet"/>
      <w:lvlText w:val=""/>
      <w:lvlJc w:val="left"/>
      <w:pPr>
        <w:tabs>
          <w:tab w:val="num" w:pos="454"/>
        </w:tabs>
        <w:ind w:left="454" w:hanging="170"/>
      </w:pPr>
      <w:rPr>
        <w:rFonts w:ascii="Symbol" w:hAnsi="Symbol" w:hint="default"/>
        <w:spacing w:val="0"/>
        <w:w w:val="100"/>
        <w:kern w:val="0"/>
        <w:position w:val="0"/>
      </w:rPr>
    </w:lvl>
    <w:lvl w:ilvl="2">
      <w:start w:val="1"/>
      <w:numFmt w:val="bullet"/>
      <w:lvlRestart w:val="1"/>
      <w:lvlText w:val=""/>
      <w:lvlJc w:val="left"/>
      <w:pPr>
        <w:tabs>
          <w:tab w:val="num" w:pos="624"/>
        </w:tabs>
        <w:ind w:left="624" w:hanging="170"/>
      </w:pPr>
      <w:rPr>
        <w:rFonts w:ascii="Symbol" w:hAnsi="Symbol" w:hint="default"/>
        <w:color w:val="auto"/>
        <w:spacing w:val="-4"/>
      </w:rPr>
    </w:lvl>
    <w:lvl w:ilvl="3">
      <w:start w:val="1"/>
      <w:numFmt w:val="none"/>
      <w:lvlText w:val=""/>
      <w:lvlJc w:val="left"/>
      <w:pPr>
        <w:tabs>
          <w:tab w:val="num" w:pos="0"/>
        </w:tabs>
        <w:ind w:left="-709" w:firstLine="0"/>
      </w:pPr>
      <w:rPr>
        <w:rFonts w:hint="default"/>
        <w:spacing w:val="-10"/>
        <w:w w:val="100"/>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2160"/>
        </w:tabs>
        <w:ind w:left="2016" w:hanging="936"/>
      </w:pPr>
      <w:rPr>
        <w:rFonts w:hint="default"/>
      </w:rPr>
    </w:lvl>
    <w:lvl w:ilvl="6">
      <w:start w:val="1"/>
      <w:numFmt w:val="lowerRoman"/>
      <w:lvlRestart w:val="1"/>
      <w:lvlText w:val="%7"/>
      <w:lvlJc w:val="left"/>
      <w:pPr>
        <w:tabs>
          <w:tab w:val="num" w:pos="369"/>
        </w:tabs>
        <w:ind w:left="369" w:hanging="369"/>
      </w:pPr>
      <w:rPr>
        <w:rFonts w:hint="default"/>
      </w:rPr>
    </w:lvl>
    <w:lvl w:ilvl="7">
      <w:start w:val="1"/>
      <w:numFmt w:val="lowerLetter"/>
      <w:lvlText w:val="%8."/>
      <w:lvlJc w:val="left"/>
      <w:pPr>
        <w:tabs>
          <w:tab w:val="num" w:pos="737"/>
        </w:tabs>
        <w:ind w:left="737" w:hanging="368"/>
      </w:pPr>
      <w:rPr>
        <w:rFonts w:hint="default"/>
        <w:position w:val="0"/>
      </w:rPr>
    </w:lvl>
    <w:lvl w:ilvl="8">
      <w:start w:val="1"/>
      <w:numFmt w:val="bullet"/>
      <w:lvlText w:val=""/>
      <w:lvlJc w:val="left"/>
      <w:pPr>
        <w:tabs>
          <w:tab w:val="num" w:pos="1106"/>
        </w:tabs>
        <w:ind w:left="1106" w:hanging="369"/>
      </w:pPr>
      <w:rPr>
        <w:rFonts w:ascii="Symbol" w:hAnsi="Symbol" w:hint="default"/>
        <w:position w:val="2"/>
        <w:sz w:val="20"/>
        <w:szCs w:val="20"/>
      </w:rPr>
    </w:lvl>
  </w:abstractNum>
  <w:abstractNum w:abstractNumId="3">
    <w:nsid w:val="10CF10D7"/>
    <w:multiLevelType w:val="hybridMultilevel"/>
    <w:tmpl w:val="4A90EBDA"/>
    <w:lvl w:ilvl="0" w:tplc="0C09000F">
      <w:start w:val="1"/>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194A695C"/>
    <w:multiLevelType w:val="multilevel"/>
    <w:tmpl w:val="9710D28A"/>
    <w:name w:val="TableBullets"/>
    <w:lvl w:ilvl="0">
      <w:start w:val="1"/>
      <w:numFmt w:val="bullet"/>
      <w:pStyle w:val="TableTextBullet"/>
      <w:lvlText w:val="•"/>
      <w:lvlJc w:val="left"/>
      <w:pPr>
        <w:tabs>
          <w:tab w:val="num" w:pos="284"/>
        </w:tabs>
        <w:ind w:left="284" w:hanging="171"/>
      </w:pPr>
      <w:rPr>
        <w:rFonts w:ascii="Calibri" w:hAnsi="Calibri" w:hint="default"/>
        <w:color w:val="auto"/>
        <w:position w:val="2"/>
        <w:sz w:val="20"/>
        <w:szCs w:val="12"/>
      </w:rPr>
    </w:lvl>
    <w:lvl w:ilvl="1">
      <w:start w:val="1"/>
      <w:numFmt w:val="bullet"/>
      <w:pStyle w:val="TableTextBullet2"/>
      <w:lvlText w:val="–"/>
      <w:lvlJc w:val="left"/>
      <w:pPr>
        <w:tabs>
          <w:tab w:val="num" w:pos="454"/>
        </w:tabs>
        <w:ind w:left="454" w:hanging="170"/>
      </w:pPr>
      <w:rPr>
        <w:rFonts w:ascii="Times New Roman" w:hAnsi="Times New Roman" w:cs="Times New Roman" w:hint="default"/>
        <w:b w:val="0"/>
        <w:i w:val="0"/>
        <w:color w:val="auto"/>
        <w:sz w:val="20"/>
        <w:szCs w:val="18"/>
      </w:rPr>
    </w:lvl>
    <w:lvl w:ilvl="2">
      <w:start w:val="1"/>
      <w:numFmt w:val="bullet"/>
      <w:pStyle w:val="TableTextBullet3"/>
      <w:lvlText w:val=""/>
      <w:lvlJc w:val="left"/>
      <w:pPr>
        <w:tabs>
          <w:tab w:val="num" w:pos="624"/>
        </w:tabs>
        <w:ind w:left="624" w:hanging="170"/>
      </w:pPr>
      <w:rPr>
        <w:rFonts w:ascii="Wingdings" w:hAnsi="Wingdings" w:hint="default"/>
        <w:color w:val="auto"/>
        <w:position w:val="1"/>
        <w:sz w:val="20"/>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5">
    <w:nsid w:val="1BF25AB8"/>
    <w:multiLevelType w:val="multilevel"/>
    <w:tmpl w:val="25D60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730903"/>
    <w:multiLevelType w:val="multilevel"/>
    <w:tmpl w:val="CC0EA96E"/>
    <w:name w:val="items"/>
    <w:lvl w:ilvl="0">
      <w:start w:val="1"/>
      <w:numFmt w:val="decimal"/>
      <w:lvlRestart w:val="0"/>
      <w:lvlText w:val="%1"/>
      <w:lvlJc w:val="left"/>
      <w:pPr>
        <w:tabs>
          <w:tab w:val="num" w:pos="454"/>
        </w:tabs>
        <w:ind w:left="454" w:hanging="454"/>
      </w:pPr>
      <w:rPr>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9C9401F"/>
    <w:multiLevelType w:val="multilevel"/>
    <w:tmpl w:val="F2589E38"/>
    <w:lvl w:ilvl="0">
      <w:start w:val="1"/>
      <w:numFmt w:val="decimal"/>
      <w:lvlRestart w:val="0"/>
      <w:lvlText w:val="%1"/>
      <w:lvlJc w:val="left"/>
      <w:pPr>
        <w:tabs>
          <w:tab w:val="num" w:pos="454"/>
        </w:tabs>
        <w:ind w:left="454" w:hanging="454"/>
      </w:pPr>
      <w:rPr>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72580B"/>
    <w:multiLevelType w:val="multilevel"/>
    <w:tmpl w:val="A1605A0E"/>
    <w:name w:val="PullOutNumbering"/>
    <w:lvl w:ilvl="0">
      <w:start w:val="1"/>
      <w:numFmt w:val="decimal"/>
      <w:pStyle w:val="PullOutBoxNumber"/>
      <w:lvlText w:val="%1"/>
      <w:lvlJc w:val="left"/>
      <w:pPr>
        <w:tabs>
          <w:tab w:val="num" w:pos="624"/>
        </w:tabs>
        <w:ind w:left="624" w:hanging="340"/>
      </w:pPr>
      <w:rPr>
        <w:rFonts w:hint="default"/>
      </w:rPr>
    </w:lvl>
    <w:lvl w:ilvl="1">
      <w:start w:val="1"/>
      <w:numFmt w:val="lowerLetter"/>
      <w:pStyle w:val="PullOutBoxNumber2"/>
      <w:lvlText w:val="%2"/>
      <w:lvlJc w:val="left"/>
      <w:pPr>
        <w:tabs>
          <w:tab w:val="num" w:pos="964"/>
        </w:tabs>
        <w:ind w:left="964" w:hanging="340"/>
      </w:pPr>
      <w:rPr>
        <w:rFonts w:hint="default"/>
        <w:color w:val="auto"/>
      </w:rPr>
    </w:lvl>
    <w:lvl w:ilvl="2">
      <w:start w:val="1"/>
      <w:numFmt w:val="lowerRoman"/>
      <w:pStyle w:val="PullOutBoxNumber3"/>
      <w:lvlText w:val="%3"/>
      <w:lvlJc w:val="left"/>
      <w:pPr>
        <w:tabs>
          <w:tab w:val="num" w:pos="1304"/>
        </w:tabs>
        <w:ind w:left="1304" w:hanging="340"/>
      </w:pPr>
      <w:rPr>
        <w:rFonts w:hint="default"/>
        <w:color w:val="auto"/>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nsid w:val="38723AD4"/>
    <w:multiLevelType w:val="multilevel"/>
    <w:tmpl w:val="CC2400A2"/>
    <w:name w:val="PullOutBullets"/>
    <w:lvl w:ilvl="0">
      <w:start w:val="1"/>
      <w:numFmt w:val="bullet"/>
      <w:pStyle w:val="PullOutBoxBullet"/>
      <w:lvlText w:val="•"/>
      <w:lvlJc w:val="left"/>
      <w:pPr>
        <w:tabs>
          <w:tab w:val="num" w:pos="624"/>
        </w:tabs>
        <w:ind w:left="624" w:hanging="340"/>
      </w:pPr>
      <w:rPr>
        <w:rFonts w:ascii="Calibri" w:hAnsi="Calibri" w:hint="default"/>
        <w:color w:val="auto"/>
        <w:sz w:val="22"/>
      </w:rPr>
    </w:lvl>
    <w:lvl w:ilvl="1">
      <w:start w:val="1"/>
      <w:numFmt w:val="bullet"/>
      <w:pStyle w:val="PullOutBoxBullet2"/>
      <w:lvlText w:val="–"/>
      <w:lvlJc w:val="left"/>
      <w:pPr>
        <w:tabs>
          <w:tab w:val="num" w:pos="964"/>
        </w:tabs>
        <w:ind w:left="964" w:hanging="340"/>
      </w:pPr>
      <w:rPr>
        <w:rFonts w:ascii="Calibri" w:hAnsi="Calibri" w:hint="default"/>
        <w:color w:val="auto"/>
        <w:sz w:val="22"/>
      </w:rPr>
    </w:lvl>
    <w:lvl w:ilvl="2">
      <w:start w:val="1"/>
      <w:numFmt w:val="bullet"/>
      <w:pStyle w:val="PullOutBoxBullet3"/>
      <w:lvlText w:val=""/>
      <w:lvlJc w:val="left"/>
      <w:pPr>
        <w:tabs>
          <w:tab w:val="num" w:pos="1304"/>
        </w:tabs>
        <w:ind w:left="1304" w:hanging="340"/>
      </w:pPr>
      <w:rPr>
        <w:rFonts w:ascii="Wingdings" w:hAnsi="Wingdings" w:hint="default"/>
        <w:color w:val="auto"/>
        <w:position w:val="0"/>
        <w:sz w:val="2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nsid w:val="55FF66C8"/>
    <w:multiLevelType w:val="multilevel"/>
    <w:tmpl w:val="63C4AAFE"/>
    <w:lvl w:ilvl="0">
      <w:start w:val="1"/>
      <w:numFmt w:val="decimal"/>
      <w:lvlRestart w:val="0"/>
      <w:lvlText w:val="%1"/>
      <w:lvlJc w:val="left"/>
      <w:pPr>
        <w:tabs>
          <w:tab w:val="num" w:pos="454"/>
        </w:tabs>
        <w:ind w:left="454" w:hanging="454"/>
      </w:pPr>
      <w:rPr>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5D0540A9"/>
    <w:multiLevelType w:val="multilevel"/>
    <w:tmpl w:val="EDE2A6BA"/>
    <w:name w:val="AppendicesNumbering"/>
    <w:lvl w:ilvl="0">
      <w:start w:val="1"/>
      <w:numFmt w:val="upperLetter"/>
      <w:pStyle w:val="Heading8"/>
      <w:suff w:val="nothing"/>
      <w:lvlText w:val="Appendix %1"/>
      <w:lvlJc w:val="left"/>
      <w:pPr>
        <w:ind w:left="0" w:firstLine="0"/>
      </w:pPr>
      <w:rPr>
        <w:rFonts w:hint="default"/>
        <w:b w:val="0"/>
        <w:i w:val="0"/>
        <w:sz w:val="36"/>
        <w:szCs w:val="36"/>
      </w:rPr>
    </w:lvl>
    <w:lvl w:ilvl="1">
      <w:start w:val="1"/>
      <w:numFmt w:val="decimal"/>
      <w:pStyle w:val="Heading9"/>
      <w:lvlText w:val="%1%2."/>
      <w:lvlJc w:val="left"/>
      <w:pPr>
        <w:tabs>
          <w:tab w:val="num" w:pos="907"/>
        </w:tabs>
        <w:ind w:left="907" w:hanging="765"/>
      </w:pPr>
      <w:rPr>
        <w:rFonts w:hint="default"/>
        <w:sz w:val="26"/>
        <w:szCs w:val="26"/>
      </w:rPr>
    </w:lvl>
    <w:lvl w:ilvl="2">
      <w:start w:val="1"/>
      <w:numFmt w:val="decimal"/>
      <w:pStyle w:val="AppendixHeading2"/>
      <w:lvlText w:val="%1%2.%3"/>
      <w:lvlJc w:val="left"/>
      <w:pPr>
        <w:tabs>
          <w:tab w:val="num" w:pos="765"/>
        </w:tabs>
        <w:ind w:left="765" w:hanging="765"/>
      </w:pPr>
      <w:rPr>
        <w:rFonts w:hint="default"/>
      </w:rPr>
    </w:lvl>
    <w:lvl w:ilvl="3">
      <w:start w:val="1"/>
      <w:numFmt w:val="decimal"/>
      <w:pStyle w:val="AppendixHeading3"/>
      <w:lvlText w:val="%1%2.%3.%4"/>
      <w:lvlJc w:val="left"/>
      <w:pPr>
        <w:tabs>
          <w:tab w:val="num" w:pos="765"/>
        </w:tabs>
        <w:ind w:left="765" w:hanging="765"/>
      </w:pPr>
      <w:rPr>
        <w:rFonts w:hint="default"/>
      </w:rPr>
    </w:lvl>
    <w:lvl w:ilvl="4">
      <w:start w:val="1"/>
      <w:numFmt w:val="decimal"/>
      <w:lvlText w:val="%1%2.%3.%4.%5"/>
      <w:lvlJc w:val="left"/>
      <w:pPr>
        <w:tabs>
          <w:tab w:val="num" w:pos="1134"/>
        </w:tabs>
        <w:ind w:left="765" w:hanging="765"/>
      </w:pPr>
      <w:rPr>
        <w:rFonts w:hint="default"/>
      </w:rPr>
    </w:lvl>
    <w:lvl w:ilvl="5">
      <w:start w:val="1"/>
      <w:numFmt w:val="none"/>
      <w:lvlText w:val=""/>
      <w:lvlJc w:val="right"/>
      <w:pPr>
        <w:ind w:left="765" w:hanging="765"/>
      </w:pPr>
      <w:rPr>
        <w:rFonts w:hint="default"/>
      </w:rPr>
    </w:lvl>
    <w:lvl w:ilvl="6">
      <w:start w:val="1"/>
      <w:numFmt w:val="none"/>
      <w:lvlText w:val=""/>
      <w:lvlJc w:val="left"/>
      <w:pPr>
        <w:ind w:left="765" w:hanging="765"/>
      </w:pPr>
      <w:rPr>
        <w:rFonts w:hint="default"/>
      </w:rPr>
    </w:lvl>
    <w:lvl w:ilvl="7">
      <w:start w:val="1"/>
      <w:numFmt w:val="none"/>
      <w:lvlText w:val=""/>
      <w:lvlJc w:val="left"/>
      <w:pPr>
        <w:ind w:left="765" w:hanging="765"/>
      </w:pPr>
      <w:rPr>
        <w:rFonts w:hint="default"/>
      </w:rPr>
    </w:lvl>
    <w:lvl w:ilvl="8">
      <w:start w:val="1"/>
      <w:numFmt w:val="none"/>
      <w:lvlText w:val=""/>
      <w:lvlJc w:val="right"/>
      <w:pPr>
        <w:ind w:left="765" w:hanging="765"/>
      </w:pPr>
      <w:rPr>
        <w:rFonts w:hint="default"/>
      </w:rPr>
    </w:lvl>
  </w:abstractNum>
  <w:abstractNum w:abstractNumId="12">
    <w:nsid w:val="64ED2A8C"/>
    <w:multiLevelType w:val="multilevel"/>
    <w:tmpl w:val="88E064A2"/>
    <w:lvl w:ilvl="0">
      <w:start w:val="1"/>
      <w:numFmt w:val="decimal"/>
      <w:lvlRestart w:val="0"/>
      <w:lvlText w:val="%1"/>
      <w:lvlJc w:val="left"/>
      <w:pPr>
        <w:tabs>
          <w:tab w:val="num" w:pos="454"/>
        </w:tabs>
        <w:ind w:left="454" w:hanging="454"/>
      </w:pPr>
      <w:rPr>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665E7B5A"/>
    <w:multiLevelType w:val="hybridMultilevel"/>
    <w:tmpl w:val="F2C28104"/>
    <w:lvl w:ilvl="0" w:tplc="926CBE88">
      <w:start w:val="1"/>
      <w:numFmt w:val="bullet"/>
      <w:lvlText w:val=""/>
      <w:lvlJc w:val="left"/>
      <w:pPr>
        <w:ind w:left="360" w:hanging="360"/>
      </w:pPr>
      <w:rPr>
        <w:rFonts w:ascii="Symbol" w:hAnsi="Symbol" w:hint="default"/>
      </w:rPr>
    </w:lvl>
    <w:lvl w:ilvl="1" w:tplc="9CA266AC">
      <w:start w:val="1"/>
      <w:numFmt w:val="bullet"/>
      <w:pStyle w:val="Bullet2"/>
      <w:lvlText w:val="-"/>
      <w:lvlJc w:val="left"/>
      <w:pPr>
        <w:ind w:left="1080" w:hanging="360"/>
      </w:pPr>
      <w:rPr>
        <w:rFonts w:ascii="Times New Roman" w:hAnsi="Times New Roman" w:cs="Times New Roman" w:hint="default"/>
      </w:rPr>
    </w:lvl>
    <w:lvl w:ilvl="2" w:tplc="91389894">
      <w:start w:val="1"/>
      <w:numFmt w:val="bullet"/>
      <w:pStyle w:val="Bullet4"/>
      <w:lvlText w:val="+"/>
      <w:lvlJc w:val="left"/>
      <w:pPr>
        <w:ind w:left="1800" w:hanging="360"/>
      </w:pPr>
      <w:rPr>
        <w:rFonts w:ascii="Times New Roman" w:hAnsi="Times New Roman" w:cs="Times New Roman"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6B4A5114"/>
    <w:multiLevelType w:val="multilevel"/>
    <w:tmpl w:val="C65AF318"/>
    <w:lvl w:ilvl="0">
      <w:start w:val="1"/>
      <w:numFmt w:val="decimal"/>
      <w:lvlRestart w:val="0"/>
      <w:lvlText w:val="%1"/>
      <w:lvlJc w:val="left"/>
      <w:pPr>
        <w:tabs>
          <w:tab w:val="num" w:pos="454"/>
        </w:tabs>
        <w:ind w:left="454" w:hanging="454"/>
      </w:pPr>
      <w:rPr>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D1D40AC"/>
    <w:multiLevelType w:val="multilevel"/>
    <w:tmpl w:val="D18C6390"/>
    <w:name w:val="TableNumbering"/>
    <w:lvl w:ilvl="0">
      <w:start w:val="1"/>
      <w:numFmt w:val="decimal"/>
      <w:pStyle w:val="TableTextNumber"/>
      <w:lvlText w:val="%1"/>
      <w:lvlJc w:val="left"/>
      <w:pPr>
        <w:tabs>
          <w:tab w:val="num" w:pos="397"/>
        </w:tabs>
        <w:ind w:left="397" w:hanging="284"/>
      </w:pPr>
      <w:rPr>
        <w:rFonts w:hint="default"/>
      </w:rPr>
    </w:lvl>
    <w:lvl w:ilvl="1">
      <w:start w:val="1"/>
      <w:numFmt w:val="lowerLetter"/>
      <w:pStyle w:val="TableTextNumber2"/>
      <w:lvlText w:val="%2"/>
      <w:lvlJc w:val="left"/>
      <w:pPr>
        <w:tabs>
          <w:tab w:val="num" w:pos="709"/>
        </w:tabs>
        <w:ind w:left="709" w:hanging="283"/>
      </w:pPr>
      <w:rPr>
        <w:rFonts w:hint="default"/>
      </w:rPr>
    </w:lvl>
    <w:lvl w:ilvl="2">
      <w:start w:val="1"/>
      <w:numFmt w:val="lowerRoman"/>
      <w:pStyle w:val="TableTextNumber3"/>
      <w:lvlText w:val="%3"/>
      <w:lvlJc w:val="left"/>
      <w:pPr>
        <w:tabs>
          <w:tab w:val="num" w:pos="964"/>
        </w:tabs>
        <w:ind w:left="964" w:hanging="284"/>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nsid w:val="70250B03"/>
    <w:multiLevelType w:val="multilevel"/>
    <w:tmpl w:val="5796740A"/>
    <w:name w:val="QuoteBullets"/>
    <w:lvl w:ilvl="0">
      <w:start w:val="1"/>
      <w:numFmt w:val="bullet"/>
      <w:pStyle w:val="QuoteBullet"/>
      <w:lvlText w:val="•"/>
      <w:lvlJc w:val="left"/>
      <w:pPr>
        <w:tabs>
          <w:tab w:val="num" w:pos="567"/>
        </w:tabs>
        <w:ind w:left="567" w:hanging="283"/>
      </w:pPr>
      <w:rPr>
        <w:rFonts w:ascii="Arial" w:hAnsi="Arial" w:hint="default"/>
        <w:color w:val="auto"/>
        <w:sz w:val="18"/>
      </w:rPr>
    </w:lvl>
    <w:lvl w:ilvl="1">
      <w:start w:val="1"/>
      <w:numFmt w:val="bullet"/>
      <w:pStyle w:val="QuoteBullet2"/>
      <w:lvlText w:val="‒"/>
      <w:lvlJc w:val="left"/>
      <w:pPr>
        <w:tabs>
          <w:tab w:val="num" w:pos="851"/>
        </w:tabs>
        <w:ind w:left="851" w:hanging="284"/>
      </w:pPr>
      <w:rPr>
        <w:rFonts w:ascii="Calibri" w:hAnsi="Calibri" w:hint="default"/>
        <w:color w:val="auto"/>
      </w:rPr>
    </w:lvl>
    <w:lvl w:ilvl="2">
      <w:start w:val="1"/>
      <w:numFmt w:val="bullet"/>
      <w:lvlText w:val="‒"/>
      <w:lvlJc w:val="left"/>
      <w:pPr>
        <w:tabs>
          <w:tab w:val="num" w:pos="1418"/>
        </w:tabs>
        <w:ind w:left="1418" w:hanging="283"/>
      </w:pPr>
      <w:rPr>
        <w:rFonts w:ascii="Calibri" w:hAnsi="Calibri" w:hint="default"/>
        <w:color w:val="2B3B5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17">
    <w:nsid w:val="745C3AB2"/>
    <w:multiLevelType w:val="hybridMultilevel"/>
    <w:tmpl w:val="5EB0E89C"/>
    <w:lvl w:ilvl="0" w:tplc="661CA760">
      <w:start w:val="1"/>
      <w:numFmt w:val="bullet"/>
      <w:pStyle w:val="Bullet1"/>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7839021E"/>
    <w:multiLevelType w:val="multilevel"/>
    <w:tmpl w:val="959283CC"/>
    <w:name w:val="ListNumbering"/>
    <w:lvl w:ilvl="0">
      <w:start w:val="1"/>
      <w:numFmt w:val="decimal"/>
      <w:lvlRestart w:val="0"/>
      <w:pStyle w:val="ListNumber"/>
      <w:lvlText w:val="%1"/>
      <w:lvlJc w:val="left"/>
      <w:pPr>
        <w:tabs>
          <w:tab w:val="num" w:pos="454"/>
        </w:tabs>
        <w:ind w:left="454" w:hanging="454"/>
      </w:pPr>
      <w:rPr>
        <w:rFonts w:hint="default"/>
        <w:color w:val="auto"/>
        <w:spacing w:val="0"/>
        <w:sz w:val="22"/>
      </w:rPr>
    </w:lvl>
    <w:lvl w:ilvl="1">
      <w:start w:val="1"/>
      <w:numFmt w:val="decimal"/>
      <w:pStyle w:val="ListNumber2"/>
      <w:lvlText w:val="%2"/>
      <w:lvlJc w:val="left"/>
      <w:pPr>
        <w:tabs>
          <w:tab w:val="num" w:pos="907"/>
        </w:tabs>
        <w:ind w:left="907" w:hanging="453"/>
      </w:pPr>
      <w:rPr>
        <w:rFonts w:asciiTheme="minorHAnsi" w:eastAsiaTheme="minorHAnsi" w:hAnsiTheme="minorHAnsi" w:cstheme="minorBidi"/>
        <w:color w:val="auto"/>
        <w:spacing w:val="0"/>
        <w:sz w:val="22"/>
      </w:rPr>
    </w:lvl>
    <w:lvl w:ilvl="2">
      <w:start w:val="1"/>
      <w:numFmt w:val="lowerRoman"/>
      <w:pStyle w:val="ListNumber3"/>
      <w:lvlText w:val="%3"/>
      <w:lvlJc w:val="left"/>
      <w:pPr>
        <w:tabs>
          <w:tab w:val="num" w:pos="1361"/>
        </w:tabs>
        <w:ind w:left="1361" w:hanging="454"/>
      </w:pPr>
      <w:rPr>
        <w:rFonts w:hint="default"/>
        <w:color w:val="auto"/>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1"/>
  </w:num>
  <w:num w:numId="2">
    <w:abstractNumId w:val="0"/>
  </w:num>
  <w:num w:numId="3">
    <w:abstractNumId w:val="18"/>
  </w:num>
  <w:num w:numId="4">
    <w:abstractNumId w:val="9"/>
  </w:num>
  <w:num w:numId="5">
    <w:abstractNumId w:val="8"/>
  </w:num>
  <w:num w:numId="6">
    <w:abstractNumId w:val="16"/>
  </w:num>
  <w:num w:numId="7">
    <w:abstractNumId w:val="2"/>
  </w:num>
  <w:num w:numId="8">
    <w:abstractNumId w:val="4"/>
  </w:num>
  <w:num w:numId="9">
    <w:abstractNumId w:val="15"/>
  </w:num>
  <w:num w:numId="10">
    <w:abstractNumId w:val="1"/>
  </w:num>
  <w:num w:numId="11">
    <w:abstractNumId w:val="6"/>
  </w:num>
  <w:num w:numId="12">
    <w:abstractNumId w:val="12"/>
  </w:num>
  <w:num w:numId="13">
    <w:abstractNumId w:val="14"/>
  </w:num>
  <w:num w:numId="14">
    <w:abstractNumId w:val="10"/>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3"/>
  </w:num>
  <w:num w:numId="19">
    <w:abstractNumId w:val="6"/>
  </w:num>
  <w:num w:numId="20">
    <w:abstractNumId w:val="6"/>
  </w:num>
  <w:num w:numId="21">
    <w:abstractNumId w:val="6"/>
  </w:num>
  <w:num w:numId="22">
    <w:abstractNumId w:val="5"/>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evenAndOddHeaders/>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endices" w:val="True"/>
    <w:docVar w:name="AppendixName" w:val="Appendix"/>
    <w:docVar w:name="Disclaimer" w:val="True"/>
    <w:docVar w:name="Foreword" w:val="True"/>
    <w:docVar w:name="Heading1Numbered" w:val="True"/>
    <w:docVar w:name="Heading2Numbered" w:val="True"/>
    <w:docVar w:name="Heading3Numbered" w:val="True"/>
    <w:docVar w:name="IsWordingOverview" w:val="True"/>
    <w:docVar w:name="NumberedBodyText" w:val="False"/>
    <w:docVar w:name="optHeading1OddPage" w:val="False"/>
    <w:docVar w:name="Overview" w:val="True"/>
    <w:docVar w:name="PageSetup" w:val="Double"/>
    <w:docVar w:name="RibbonLabel" w:val="Appendix"/>
    <w:docVar w:name="TOC" w:val="True"/>
    <w:docVar w:name="TOCNew" w:val="False"/>
    <w:docVar w:name="Version" w:val="Version 1"/>
  </w:docVars>
  <w:rsids>
    <w:rsidRoot w:val="00787D84"/>
    <w:rsid w:val="000029BF"/>
    <w:rsid w:val="0000322C"/>
    <w:rsid w:val="00003CDD"/>
    <w:rsid w:val="00011C76"/>
    <w:rsid w:val="000168A7"/>
    <w:rsid w:val="00020890"/>
    <w:rsid w:val="0002160B"/>
    <w:rsid w:val="0002275E"/>
    <w:rsid w:val="00022DFE"/>
    <w:rsid w:val="00023CDB"/>
    <w:rsid w:val="000278D0"/>
    <w:rsid w:val="00027E62"/>
    <w:rsid w:val="000307C8"/>
    <w:rsid w:val="00030F73"/>
    <w:rsid w:val="000325DC"/>
    <w:rsid w:val="00033825"/>
    <w:rsid w:val="00033A43"/>
    <w:rsid w:val="00035108"/>
    <w:rsid w:val="00035ADE"/>
    <w:rsid w:val="0004202B"/>
    <w:rsid w:val="0004224B"/>
    <w:rsid w:val="000440BF"/>
    <w:rsid w:val="00046226"/>
    <w:rsid w:val="00052A86"/>
    <w:rsid w:val="0005330D"/>
    <w:rsid w:val="000557A7"/>
    <w:rsid w:val="00055805"/>
    <w:rsid w:val="00056CB3"/>
    <w:rsid w:val="00060C4F"/>
    <w:rsid w:val="00067A28"/>
    <w:rsid w:val="0007260F"/>
    <w:rsid w:val="00073860"/>
    <w:rsid w:val="000738D4"/>
    <w:rsid w:val="00074925"/>
    <w:rsid w:val="00074949"/>
    <w:rsid w:val="00076CF9"/>
    <w:rsid w:val="000805D5"/>
    <w:rsid w:val="0008103B"/>
    <w:rsid w:val="00082337"/>
    <w:rsid w:val="00085F97"/>
    <w:rsid w:val="00091674"/>
    <w:rsid w:val="00092A33"/>
    <w:rsid w:val="0009368D"/>
    <w:rsid w:val="00094516"/>
    <w:rsid w:val="000950C7"/>
    <w:rsid w:val="000A2FEC"/>
    <w:rsid w:val="000A348F"/>
    <w:rsid w:val="000A3CB8"/>
    <w:rsid w:val="000A57B5"/>
    <w:rsid w:val="000B1326"/>
    <w:rsid w:val="000B2AF4"/>
    <w:rsid w:val="000B6942"/>
    <w:rsid w:val="000C09FA"/>
    <w:rsid w:val="000C112C"/>
    <w:rsid w:val="000C37A9"/>
    <w:rsid w:val="000C5C53"/>
    <w:rsid w:val="000C6728"/>
    <w:rsid w:val="000C702E"/>
    <w:rsid w:val="000D15E9"/>
    <w:rsid w:val="000D3182"/>
    <w:rsid w:val="000D45C4"/>
    <w:rsid w:val="000E11FB"/>
    <w:rsid w:val="000E18F3"/>
    <w:rsid w:val="000E266E"/>
    <w:rsid w:val="000E62BD"/>
    <w:rsid w:val="000F1515"/>
    <w:rsid w:val="000F16B5"/>
    <w:rsid w:val="000F2D4C"/>
    <w:rsid w:val="000F60AB"/>
    <w:rsid w:val="000F616E"/>
    <w:rsid w:val="00103BC0"/>
    <w:rsid w:val="00106387"/>
    <w:rsid w:val="00106EB6"/>
    <w:rsid w:val="00110D43"/>
    <w:rsid w:val="00111E83"/>
    <w:rsid w:val="00113A4E"/>
    <w:rsid w:val="001159EA"/>
    <w:rsid w:val="001176AF"/>
    <w:rsid w:val="00125410"/>
    <w:rsid w:val="00130858"/>
    <w:rsid w:val="00130978"/>
    <w:rsid w:val="001318F4"/>
    <w:rsid w:val="0013245D"/>
    <w:rsid w:val="00135142"/>
    <w:rsid w:val="00135688"/>
    <w:rsid w:val="00136C26"/>
    <w:rsid w:val="0014059F"/>
    <w:rsid w:val="00141551"/>
    <w:rsid w:val="001417CE"/>
    <w:rsid w:val="0014479F"/>
    <w:rsid w:val="00144F46"/>
    <w:rsid w:val="0014752F"/>
    <w:rsid w:val="00154DC5"/>
    <w:rsid w:val="0015554C"/>
    <w:rsid w:val="0015643E"/>
    <w:rsid w:val="00157B96"/>
    <w:rsid w:val="00160C8D"/>
    <w:rsid w:val="001621E0"/>
    <w:rsid w:val="001629C0"/>
    <w:rsid w:val="00165122"/>
    <w:rsid w:val="00165854"/>
    <w:rsid w:val="00170A5D"/>
    <w:rsid w:val="001725B0"/>
    <w:rsid w:val="00173DFD"/>
    <w:rsid w:val="00180FF9"/>
    <w:rsid w:val="00181B32"/>
    <w:rsid w:val="00187AA0"/>
    <w:rsid w:val="00193E06"/>
    <w:rsid w:val="00195228"/>
    <w:rsid w:val="00195696"/>
    <w:rsid w:val="00196532"/>
    <w:rsid w:val="001A0E34"/>
    <w:rsid w:val="001A1D5A"/>
    <w:rsid w:val="001A1EFC"/>
    <w:rsid w:val="001A31AD"/>
    <w:rsid w:val="001A48EF"/>
    <w:rsid w:val="001A49CC"/>
    <w:rsid w:val="001A5553"/>
    <w:rsid w:val="001A716E"/>
    <w:rsid w:val="001A79AF"/>
    <w:rsid w:val="001B097C"/>
    <w:rsid w:val="001B2C65"/>
    <w:rsid w:val="001B4CA3"/>
    <w:rsid w:val="001B7058"/>
    <w:rsid w:val="001C0964"/>
    <w:rsid w:val="001C3A4F"/>
    <w:rsid w:val="001C4121"/>
    <w:rsid w:val="001C48DE"/>
    <w:rsid w:val="001C4F81"/>
    <w:rsid w:val="001C6F58"/>
    <w:rsid w:val="001D4B55"/>
    <w:rsid w:val="001D52E3"/>
    <w:rsid w:val="001D576F"/>
    <w:rsid w:val="001D5F01"/>
    <w:rsid w:val="001D7C29"/>
    <w:rsid w:val="001E0475"/>
    <w:rsid w:val="001E25A7"/>
    <w:rsid w:val="001E699E"/>
    <w:rsid w:val="001F2835"/>
    <w:rsid w:val="001F3383"/>
    <w:rsid w:val="001F493A"/>
    <w:rsid w:val="001F51E4"/>
    <w:rsid w:val="001F5C90"/>
    <w:rsid w:val="001F767C"/>
    <w:rsid w:val="00200F94"/>
    <w:rsid w:val="00206DAB"/>
    <w:rsid w:val="00210FCF"/>
    <w:rsid w:val="002168BD"/>
    <w:rsid w:val="00222814"/>
    <w:rsid w:val="00222EFF"/>
    <w:rsid w:val="00223E7E"/>
    <w:rsid w:val="002240D5"/>
    <w:rsid w:val="002261A7"/>
    <w:rsid w:val="00226AEC"/>
    <w:rsid w:val="0023753C"/>
    <w:rsid w:val="002418E7"/>
    <w:rsid w:val="00241B49"/>
    <w:rsid w:val="002424AA"/>
    <w:rsid w:val="002545F3"/>
    <w:rsid w:val="0026344F"/>
    <w:rsid w:val="002636CD"/>
    <w:rsid w:val="00264433"/>
    <w:rsid w:val="00266A17"/>
    <w:rsid w:val="00266CD8"/>
    <w:rsid w:val="00270372"/>
    <w:rsid w:val="002707C4"/>
    <w:rsid w:val="0027470C"/>
    <w:rsid w:val="00275534"/>
    <w:rsid w:val="00276E25"/>
    <w:rsid w:val="00277075"/>
    <w:rsid w:val="002775D2"/>
    <w:rsid w:val="002805A8"/>
    <w:rsid w:val="002817C3"/>
    <w:rsid w:val="00281ADD"/>
    <w:rsid w:val="00282751"/>
    <w:rsid w:val="00287E5C"/>
    <w:rsid w:val="00293E0D"/>
    <w:rsid w:val="00293E80"/>
    <w:rsid w:val="002945E8"/>
    <w:rsid w:val="00294B6D"/>
    <w:rsid w:val="002973B0"/>
    <w:rsid w:val="00297C14"/>
    <w:rsid w:val="002A220F"/>
    <w:rsid w:val="002A24F1"/>
    <w:rsid w:val="002A2619"/>
    <w:rsid w:val="002A5778"/>
    <w:rsid w:val="002B1E84"/>
    <w:rsid w:val="002B2085"/>
    <w:rsid w:val="002B3EC4"/>
    <w:rsid w:val="002B746A"/>
    <w:rsid w:val="002C1D2D"/>
    <w:rsid w:val="002C37D5"/>
    <w:rsid w:val="002C471E"/>
    <w:rsid w:val="002C7538"/>
    <w:rsid w:val="002D34DB"/>
    <w:rsid w:val="002D4B11"/>
    <w:rsid w:val="002D583F"/>
    <w:rsid w:val="002E1373"/>
    <w:rsid w:val="002E2268"/>
    <w:rsid w:val="002E5633"/>
    <w:rsid w:val="002E6627"/>
    <w:rsid w:val="002F0796"/>
    <w:rsid w:val="002F1963"/>
    <w:rsid w:val="002F1E6F"/>
    <w:rsid w:val="002F5B6E"/>
    <w:rsid w:val="002F61B5"/>
    <w:rsid w:val="002F66E5"/>
    <w:rsid w:val="002F78A1"/>
    <w:rsid w:val="0030209B"/>
    <w:rsid w:val="00302719"/>
    <w:rsid w:val="00302D64"/>
    <w:rsid w:val="00304BC6"/>
    <w:rsid w:val="00307249"/>
    <w:rsid w:val="00307A27"/>
    <w:rsid w:val="00307F11"/>
    <w:rsid w:val="003127E4"/>
    <w:rsid w:val="00313215"/>
    <w:rsid w:val="00316B29"/>
    <w:rsid w:val="003174C3"/>
    <w:rsid w:val="00323873"/>
    <w:rsid w:val="003252F9"/>
    <w:rsid w:val="0032557A"/>
    <w:rsid w:val="00325952"/>
    <w:rsid w:val="00340778"/>
    <w:rsid w:val="00344D2C"/>
    <w:rsid w:val="003458CE"/>
    <w:rsid w:val="00345A57"/>
    <w:rsid w:val="0034643D"/>
    <w:rsid w:val="00346D90"/>
    <w:rsid w:val="003475AE"/>
    <w:rsid w:val="00350BAE"/>
    <w:rsid w:val="00351F62"/>
    <w:rsid w:val="00354819"/>
    <w:rsid w:val="003601F4"/>
    <w:rsid w:val="00360C52"/>
    <w:rsid w:val="00361BEC"/>
    <w:rsid w:val="0036275A"/>
    <w:rsid w:val="003671E2"/>
    <w:rsid w:val="00370958"/>
    <w:rsid w:val="00372AE6"/>
    <w:rsid w:val="003837E1"/>
    <w:rsid w:val="0038584D"/>
    <w:rsid w:val="0038647A"/>
    <w:rsid w:val="00391F51"/>
    <w:rsid w:val="0039257F"/>
    <w:rsid w:val="003929F4"/>
    <w:rsid w:val="003931DE"/>
    <w:rsid w:val="00393A29"/>
    <w:rsid w:val="00397D1A"/>
    <w:rsid w:val="003A163C"/>
    <w:rsid w:val="003A1E75"/>
    <w:rsid w:val="003A2B4E"/>
    <w:rsid w:val="003A2FBB"/>
    <w:rsid w:val="003A31C8"/>
    <w:rsid w:val="003A3568"/>
    <w:rsid w:val="003A3799"/>
    <w:rsid w:val="003A4913"/>
    <w:rsid w:val="003A54A9"/>
    <w:rsid w:val="003A5642"/>
    <w:rsid w:val="003A7083"/>
    <w:rsid w:val="003B38B3"/>
    <w:rsid w:val="003B3A97"/>
    <w:rsid w:val="003B3D44"/>
    <w:rsid w:val="003B6DF1"/>
    <w:rsid w:val="003C58BB"/>
    <w:rsid w:val="003C7565"/>
    <w:rsid w:val="003C7CC2"/>
    <w:rsid w:val="003D4F20"/>
    <w:rsid w:val="003D50B6"/>
    <w:rsid w:val="003D6275"/>
    <w:rsid w:val="003E05DF"/>
    <w:rsid w:val="003E6085"/>
    <w:rsid w:val="003E6CA3"/>
    <w:rsid w:val="003F4C96"/>
    <w:rsid w:val="003F689B"/>
    <w:rsid w:val="003F7589"/>
    <w:rsid w:val="00404C21"/>
    <w:rsid w:val="00406002"/>
    <w:rsid w:val="00406AD3"/>
    <w:rsid w:val="00407B93"/>
    <w:rsid w:val="00411B61"/>
    <w:rsid w:val="00412E42"/>
    <w:rsid w:val="00416CD9"/>
    <w:rsid w:val="00417654"/>
    <w:rsid w:val="00422E1E"/>
    <w:rsid w:val="00424B25"/>
    <w:rsid w:val="00426356"/>
    <w:rsid w:val="004266E6"/>
    <w:rsid w:val="00426929"/>
    <w:rsid w:val="00435EE1"/>
    <w:rsid w:val="00436773"/>
    <w:rsid w:val="00436EB3"/>
    <w:rsid w:val="00442227"/>
    <w:rsid w:val="00442C16"/>
    <w:rsid w:val="00446439"/>
    <w:rsid w:val="00450BDA"/>
    <w:rsid w:val="00451DC9"/>
    <w:rsid w:val="00453A3E"/>
    <w:rsid w:val="0045452F"/>
    <w:rsid w:val="0045532B"/>
    <w:rsid w:val="0045766B"/>
    <w:rsid w:val="00465BC4"/>
    <w:rsid w:val="00470F9B"/>
    <w:rsid w:val="00471585"/>
    <w:rsid w:val="00473F07"/>
    <w:rsid w:val="00474BB7"/>
    <w:rsid w:val="004816D7"/>
    <w:rsid w:val="0048342E"/>
    <w:rsid w:val="00484AA9"/>
    <w:rsid w:val="00487478"/>
    <w:rsid w:val="0048749C"/>
    <w:rsid w:val="0048782D"/>
    <w:rsid w:val="0049030A"/>
    <w:rsid w:val="0049209B"/>
    <w:rsid w:val="00493CDA"/>
    <w:rsid w:val="00493F47"/>
    <w:rsid w:val="00494DC1"/>
    <w:rsid w:val="00494FB2"/>
    <w:rsid w:val="004A1D1A"/>
    <w:rsid w:val="004A280F"/>
    <w:rsid w:val="004A3F56"/>
    <w:rsid w:val="004A4AB0"/>
    <w:rsid w:val="004A5E21"/>
    <w:rsid w:val="004A666A"/>
    <w:rsid w:val="004B0E13"/>
    <w:rsid w:val="004B143F"/>
    <w:rsid w:val="004B1A6C"/>
    <w:rsid w:val="004B49A0"/>
    <w:rsid w:val="004B6DDF"/>
    <w:rsid w:val="004C0C3F"/>
    <w:rsid w:val="004C6306"/>
    <w:rsid w:val="004C6F5E"/>
    <w:rsid w:val="004C7E94"/>
    <w:rsid w:val="004D7CF8"/>
    <w:rsid w:val="004D7EDA"/>
    <w:rsid w:val="004E0E49"/>
    <w:rsid w:val="004E109F"/>
    <w:rsid w:val="004E197A"/>
    <w:rsid w:val="004E2C1A"/>
    <w:rsid w:val="004E2F14"/>
    <w:rsid w:val="004E5D52"/>
    <w:rsid w:val="004E5E4D"/>
    <w:rsid w:val="004E715B"/>
    <w:rsid w:val="004F0775"/>
    <w:rsid w:val="004F07D7"/>
    <w:rsid w:val="004F1297"/>
    <w:rsid w:val="004F16DB"/>
    <w:rsid w:val="004F4D7E"/>
    <w:rsid w:val="004F5B16"/>
    <w:rsid w:val="004F5D9D"/>
    <w:rsid w:val="004F68E5"/>
    <w:rsid w:val="004F741B"/>
    <w:rsid w:val="00500F4F"/>
    <w:rsid w:val="0050193B"/>
    <w:rsid w:val="00503253"/>
    <w:rsid w:val="00503BB0"/>
    <w:rsid w:val="00503E03"/>
    <w:rsid w:val="00512226"/>
    <w:rsid w:val="005147C6"/>
    <w:rsid w:val="00515984"/>
    <w:rsid w:val="005159B1"/>
    <w:rsid w:val="005218F8"/>
    <w:rsid w:val="00522502"/>
    <w:rsid w:val="005255A1"/>
    <w:rsid w:val="0052641C"/>
    <w:rsid w:val="00526B48"/>
    <w:rsid w:val="00527666"/>
    <w:rsid w:val="005331A9"/>
    <w:rsid w:val="005335D1"/>
    <w:rsid w:val="00533B9A"/>
    <w:rsid w:val="0053795D"/>
    <w:rsid w:val="005419A8"/>
    <w:rsid w:val="00544522"/>
    <w:rsid w:val="005468AB"/>
    <w:rsid w:val="005501A0"/>
    <w:rsid w:val="00550831"/>
    <w:rsid w:val="00554273"/>
    <w:rsid w:val="00556499"/>
    <w:rsid w:val="00560C82"/>
    <w:rsid w:val="005624D9"/>
    <w:rsid w:val="005642B6"/>
    <w:rsid w:val="00565548"/>
    <w:rsid w:val="00571D5E"/>
    <w:rsid w:val="0057704F"/>
    <w:rsid w:val="005823D0"/>
    <w:rsid w:val="005861F3"/>
    <w:rsid w:val="005864EC"/>
    <w:rsid w:val="005867ED"/>
    <w:rsid w:val="0058759E"/>
    <w:rsid w:val="00587687"/>
    <w:rsid w:val="00591E0E"/>
    <w:rsid w:val="0059678F"/>
    <w:rsid w:val="005A1E0D"/>
    <w:rsid w:val="005A2748"/>
    <w:rsid w:val="005A443F"/>
    <w:rsid w:val="005B41E1"/>
    <w:rsid w:val="005B428A"/>
    <w:rsid w:val="005B58D4"/>
    <w:rsid w:val="005C07B3"/>
    <w:rsid w:val="005C284E"/>
    <w:rsid w:val="005C47D4"/>
    <w:rsid w:val="005C5DF2"/>
    <w:rsid w:val="005D4C00"/>
    <w:rsid w:val="005D51D0"/>
    <w:rsid w:val="005D611A"/>
    <w:rsid w:val="005D6F83"/>
    <w:rsid w:val="005D7877"/>
    <w:rsid w:val="005D7CCF"/>
    <w:rsid w:val="005E11E5"/>
    <w:rsid w:val="005E1BEC"/>
    <w:rsid w:val="005E21A2"/>
    <w:rsid w:val="005E58C4"/>
    <w:rsid w:val="005E5D8F"/>
    <w:rsid w:val="005E71A6"/>
    <w:rsid w:val="005F5A5C"/>
    <w:rsid w:val="005F5CD9"/>
    <w:rsid w:val="00603B3B"/>
    <w:rsid w:val="0061135C"/>
    <w:rsid w:val="00613471"/>
    <w:rsid w:val="006135DA"/>
    <w:rsid w:val="006136DD"/>
    <w:rsid w:val="006149F0"/>
    <w:rsid w:val="006157A7"/>
    <w:rsid w:val="00616FC8"/>
    <w:rsid w:val="006220A5"/>
    <w:rsid w:val="00624AC8"/>
    <w:rsid w:val="006264C8"/>
    <w:rsid w:val="00630A13"/>
    <w:rsid w:val="00631D58"/>
    <w:rsid w:val="006332D2"/>
    <w:rsid w:val="00633C60"/>
    <w:rsid w:val="00633CB6"/>
    <w:rsid w:val="0064126D"/>
    <w:rsid w:val="00641451"/>
    <w:rsid w:val="0064422F"/>
    <w:rsid w:val="006451B8"/>
    <w:rsid w:val="0064547B"/>
    <w:rsid w:val="00645722"/>
    <w:rsid w:val="006464F1"/>
    <w:rsid w:val="00652432"/>
    <w:rsid w:val="00656D83"/>
    <w:rsid w:val="00656EE8"/>
    <w:rsid w:val="00657840"/>
    <w:rsid w:val="0066003C"/>
    <w:rsid w:val="0066041E"/>
    <w:rsid w:val="00660999"/>
    <w:rsid w:val="00666A2E"/>
    <w:rsid w:val="006732B6"/>
    <w:rsid w:val="00673464"/>
    <w:rsid w:val="00673CCC"/>
    <w:rsid w:val="00675C98"/>
    <w:rsid w:val="00676554"/>
    <w:rsid w:val="00681F01"/>
    <w:rsid w:val="006822EC"/>
    <w:rsid w:val="00684229"/>
    <w:rsid w:val="0068456C"/>
    <w:rsid w:val="00685305"/>
    <w:rsid w:val="006877F8"/>
    <w:rsid w:val="0069026B"/>
    <w:rsid w:val="00690CE3"/>
    <w:rsid w:val="00691EC2"/>
    <w:rsid w:val="006956EA"/>
    <w:rsid w:val="00695B37"/>
    <w:rsid w:val="006A3D81"/>
    <w:rsid w:val="006A490C"/>
    <w:rsid w:val="006A4F9B"/>
    <w:rsid w:val="006B1EEF"/>
    <w:rsid w:val="006B4F7D"/>
    <w:rsid w:val="006B4FD3"/>
    <w:rsid w:val="006B707E"/>
    <w:rsid w:val="006B776C"/>
    <w:rsid w:val="006B7B8B"/>
    <w:rsid w:val="006B7DFE"/>
    <w:rsid w:val="006C114C"/>
    <w:rsid w:val="006C3864"/>
    <w:rsid w:val="006C50E2"/>
    <w:rsid w:val="006C5383"/>
    <w:rsid w:val="006C5E72"/>
    <w:rsid w:val="006D148F"/>
    <w:rsid w:val="006D2570"/>
    <w:rsid w:val="006D2AEC"/>
    <w:rsid w:val="006D3910"/>
    <w:rsid w:val="006D4C8E"/>
    <w:rsid w:val="006D62B5"/>
    <w:rsid w:val="006D7B8F"/>
    <w:rsid w:val="006E19D1"/>
    <w:rsid w:val="006E1CBB"/>
    <w:rsid w:val="006E213B"/>
    <w:rsid w:val="006E29CD"/>
    <w:rsid w:val="006E2A77"/>
    <w:rsid w:val="006E5CC2"/>
    <w:rsid w:val="006E7D23"/>
    <w:rsid w:val="006F100B"/>
    <w:rsid w:val="006F239A"/>
    <w:rsid w:val="006F2408"/>
    <w:rsid w:val="006F2C9D"/>
    <w:rsid w:val="007035A5"/>
    <w:rsid w:val="00705C21"/>
    <w:rsid w:val="0070637D"/>
    <w:rsid w:val="007071DD"/>
    <w:rsid w:val="0070771F"/>
    <w:rsid w:val="007115F4"/>
    <w:rsid w:val="00712559"/>
    <w:rsid w:val="00712A14"/>
    <w:rsid w:val="00716C04"/>
    <w:rsid w:val="00717180"/>
    <w:rsid w:val="007179D2"/>
    <w:rsid w:val="00717AC9"/>
    <w:rsid w:val="00717BC3"/>
    <w:rsid w:val="00720750"/>
    <w:rsid w:val="007209AE"/>
    <w:rsid w:val="0072549C"/>
    <w:rsid w:val="00725A80"/>
    <w:rsid w:val="0072646C"/>
    <w:rsid w:val="00726BED"/>
    <w:rsid w:val="00733970"/>
    <w:rsid w:val="00734BDB"/>
    <w:rsid w:val="0073524F"/>
    <w:rsid w:val="0073680E"/>
    <w:rsid w:val="00740FBF"/>
    <w:rsid w:val="00741789"/>
    <w:rsid w:val="00742476"/>
    <w:rsid w:val="00744788"/>
    <w:rsid w:val="00744A84"/>
    <w:rsid w:val="007504AD"/>
    <w:rsid w:val="0075240C"/>
    <w:rsid w:val="00752725"/>
    <w:rsid w:val="00754A8B"/>
    <w:rsid w:val="00754C58"/>
    <w:rsid w:val="00757D71"/>
    <w:rsid w:val="007666C6"/>
    <w:rsid w:val="00776087"/>
    <w:rsid w:val="00776E78"/>
    <w:rsid w:val="00777233"/>
    <w:rsid w:val="0078138A"/>
    <w:rsid w:val="00783014"/>
    <w:rsid w:val="007831A5"/>
    <w:rsid w:val="007834DC"/>
    <w:rsid w:val="007841B7"/>
    <w:rsid w:val="00787D84"/>
    <w:rsid w:val="00790673"/>
    <w:rsid w:val="00792C31"/>
    <w:rsid w:val="00794503"/>
    <w:rsid w:val="007959D8"/>
    <w:rsid w:val="0079630F"/>
    <w:rsid w:val="00796FC4"/>
    <w:rsid w:val="00797262"/>
    <w:rsid w:val="007A04C2"/>
    <w:rsid w:val="007A1744"/>
    <w:rsid w:val="007A4CFE"/>
    <w:rsid w:val="007A769B"/>
    <w:rsid w:val="007B146A"/>
    <w:rsid w:val="007B68E6"/>
    <w:rsid w:val="007B7E81"/>
    <w:rsid w:val="007C0E7C"/>
    <w:rsid w:val="007C0EAA"/>
    <w:rsid w:val="007C44B2"/>
    <w:rsid w:val="007C6496"/>
    <w:rsid w:val="007C745E"/>
    <w:rsid w:val="007D09EB"/>
    <w:rsid w:val="007D49B7"/>
    <w:rsid w:val="007E3F8C"/>
    <w:rsid w:val="007E529C"/>
    <w:rsid w:val="007F10F4"/>
    <w:rsid w:val="007F2058"/>
    <w:rsid w:val="007F3D75"/>
    <w:rsid w:val="007F696A"/>
    <w:rsid w:val="007F7685"/>
    <w:rsid w:val="0080011D"/>
    <w:rsid w:val="00800EA5"/>
    <w:rsid w:val="00801C01"/>
    <w:rsid w:val="00811CE4"/>
    <w:rsid w:val="00812111"/>
    <w:rsid w:val="00812EE2"/>
    <w:rsid w:val="008130BB"/>
    <w:rsid w:val="00820291"/>
    <w:rsid w:val="00821BA2"/>
    <w:rsid w:val="00823722"/>
    <w:rsid w:val="008237FA"/>
    <w:rsid w:val="00823D86"/>
    <w:rsid w:val="00825D37"/>
    <w:rsid w:val="008306E7"/>
    <w:rsid w:val="008313E0"/>
    <w:rsid w:val="00834D41"/>
    <w:rsid w:val="00835D92"/>
    <w:rsid w:val="008369A2"/>
    <w:rsid w:val="008369B0"/>
    <w:rsid w:val="00837086"/>
    <w:rsid w:val="00846FA0"/>
    <w:rsid w:val="008530DC"/>
    <w:rsid w:val="0085732C"/>
    <w:rsid w:val="00860B45"/>
    <w:rsid w:val="00860C73"/>
    <w:rsid w:val="00863860"/>
    <w:rsid w:val="008638B5"/>
    <w:rsid w:val="00864A17"/>
    <w:rsid w:val="00865406"/>
    <w:rsid w:val="0086621F"/>
    <w:rsid w:val="00866449"/>
    <w:rsid w:val="008672C7"/>
    <w:rsid w:val="00871AEF"/>
    <w:rsid w:val="00872140"/>
    <w:rsid w:val="008734DB"/>
    <w:rsid w:val="0087390B"/>
    <w:rsid w:val="00873AEC"/>
    <w:rsid w:val="00873F4D"/>
    <w:rsid w:val="008745A1"/>
    <w:rsid w:val="00874840"/>
    <w:rsid w:val="008768E9"/>
    <w:rsid w:val="0087751B"/>
    <w:rsid w:val="00883C03"/>
    <w:rsid w:val="00884AB3"/>
    <w:rsid w:val="00890995"/>
    <w:rsid w:val="00890A68"/>
    <w:rsid w:val="008914FB"/>
    <w:rsid w:val="008934C6"/>
    <w:rsid w:val="008954DF"/>
    <w:rsid w:val="008959B2"/>
    <w:rsid w:val="00897E99"/>
    <w:rsid w:val="008A3FD8"/>
    <w:rsid w:val="008A4829"/>
    <w:rsid w:val="008A5F02"/>
    <w:rsid w:val="008B1EF7"/>
    <w:rsid w:val="008B2384"/>
    <w:rsid w:val="008B38D6"/>
    <w:rsid w:val="008B4802"/>
    <w:rsid w:val="008B69E3"/>
    <w:rsid w:val="008C1FD1"/>
    <w:rsid w:val="008C24A8"/>
    <w:rsid w:val="008C35EF"/>
    <w:rsid w:val="008C420E"/>
    <w:rsid w:val="008C5996"/>
    <w:rsid w:val="008D1EEC"/>
    <w:rsid w:val="008D31EF"/>
    <w:rsid w:val="008D54B4"/>
    <w:rsid w:val="008D5A11"/>
    <w:rsid w:val="008D5E23"/>
    <w:rsid w:val="008D76B5"/>
    <w:rsid w:val="008E6D59"/>
    <w:rsid w:val="008E7916"/>
    <w:rsid w:val="008F02AD"/>
    <w:rsid w:val="008F232F"/>
    <w:rsid w:val="008F24ED"/>
    <w:rsid w:val="008F25AA"/>
    <w:rsid w:val="008F5D66"/>
    <w:rsid w:val="008F5F45"/>
    <w:rsid w:val="008F74A3"/>
    <w:rsid w:val="00900EFE"/>
    <w:rsid w:val="009028AA"/>
    <w:rsid w:val="00903E3F"/>
    <w:rsid w:val="009047C1"/>
    <w:rsid w:val="009049C3"/>
    <w:rsid w:val="009057D9"/>
    <w:rsid w:val="00905C93"/>
    <w:rsid w:val="0090774A"/>
    <w:rsid w:val="00910D07"/>
    <w:rsid w:val="0091451C"/>
    <w:rsid w:val="00914B2F"/>
    <w:rsid w:val="009150E6"/>
    <w:rsid w:val="00917F89"/>
    <w:rsid w:val="009255EE"/>
    <w:rsid w:val="00925603"/>
    <w:rsid w:val="00925AC3"/>
    <w:rsid w:val="00925F76"/>
    <w:rsid w:val="00927CEF"/>
    <w:rsid w:val="00932E89"/>
    <w:rsid w:val="0093359D"/>
    <w:rsid w:val="00933F2B"/>
    <w:rsid w:val="00934F10"/>
    <w:rsid w:val="00941D11"/>
    <w:rsid w:val="00942EEB"/>
    <w:rsid w:val="0094468E"/>
    <w:rsid w:val="00945261"/>
    <w:rsid w:val="0094725B"/>
    <w:rsid w:val="009506A5"/>
    <w:rsid w:val="009541CC"/>
    <w:rsid w:val="00956564"/>
    <w:rsid w:val="00956D5A"/>
    <w:rsid w:val="0095732C"/>
    <w:rsid w:val="00961B2C"/>
    <w:rsid w:val="00961DBB"/>
    <w:rsid w:val="00962A36"/>
    <w:rsid w:val="0096618E"/>
    <w:rsid w:val="009760C0"/>
    <w:rsid w:val="00981433"/>
    <w:rsid w:val="0098317D"/>
    <w:rsid w:val="00985C07"/>
    <w:rsid w:val="00994E90"/>
    <w:rsid w:val="00995B4F"/>
    <w:rsid w:val="00997582"/>
    <w:rsid w:val="00997B0B"/>
    <w:rsid w:val="009A2C21"/>
    <w:rsid w:val="009A3E58"/>
    <w:rsid w:val="009A5F02"/>
    <w:rsid w:val="009A779F"/>
    <w:rsid w:val="009A7AB1"/>
    <w:rsid w:val="009B1030"/>
    <w:rsid w:val="009C266D"/>
    <w:rsid w:val="009C2D00"/>
    <w:rsid w:val="009C46F3"/>
    <w:rsid w:val="009C65BD"/>
    <w:rsid w:val="009C6DAA"/>
    <w:rsid w:val="009D0E74"/>
    <w:rsid w:val="009D1A96"/>
    <w:rsid w:val="009D370B"/>
    <w:rsid w:val="009D3829"/>
    <w:rsid w:val="009E050B"/>
    <w:rsid w:val="009E1D5C"/>
    <w:rsid w:val="009E2087"/>
    <w:rsid w:val="009E252B"/>
    <w:rsid w:val="009E3265"/>
    <w:rsid w:val="009E3353"/>
    <w:rsid w:val="009E446D"/>
    <w:rsid w:val="009E5139"/>
    <w:rsid w:val="009E7C09"/>
    <w:rsid w:val="009F10FE"/>
    <w:rsid w:val="009F146D"/>
    <w:rsid w:val="009F1D24"/>
    <w:rsid w:val="009F3257"/>
    <w:rsid w:val="009F4F1E"/>
    <w:rsid w:val="009F56CD"/>
    <w:rsid w:val="009F5779"/>
    <w:rsid w:val="009F79A5"/>
    <w:rsid w:val="00A0032A"/>
    <w:rsid w:val="00A00D20"/>
    <w:rsid w:val="00A015E4"/>
    <w:rsid w:val="00A029D7"/>
    <w:rsid w:val="00A059A5"/>
    <w:rsid w:val="00A075BC"/>
    <w:rsid w:val="00A11222"/>
    <w:rsid w:val="00A12C39"/>
    <w:rsid w:val="00A134FB"/>
    <w:rsid w:val="00A158DC"/>
    <w:rsid w:val="00A1776D"/>
    <w:rsid w:val="00A20802"/>
    <w:rsid w:val="00A25B4F"/>
    <w:rsid w:val="00A27D38"/>
    <w:rsid w:val="00A314CE"/>
    <w:rsid w:val="00A36FFE"/>
    <w:rsid w:val="00A372F6"/>
    <w:rsid w:val="00A442BF"/>
    <w:rsid w:val="00A52CCA"/>
    <w:rsid w:val="00A53716"/>
    <w:rsid w:val="00A542EF"/>
    <w:rsid w:val="00A5629E"/>
    <w:rsid w:val="00A6101C"/>
    <w:rsid w:val="00A61D72"/>
    <w:rsid w:val="00A634FF"/>
    <w:rsid w:val="00A64171"/>
    <w:rsid w:val="00A64832"/>
    <w:rsid w:val="00A64CAB"/>
    <w:rsid w:val="00A732DB"/>
    <w:rsid w:val="00A7659C"/>
    <w:rsid w:val="00A76698"/>
    <w:rsid w:val="00A82B9D"/>
    <w:rsid w:val="00A83800"/>
    <w:rsid w:val="00A86F04"/>
    <w:rsid w:val="00A92F06"/>
    <w:rsid w:val="00A946C4"/>
    <w:rsid w:val="00A95D28"/>
    <w:rsid w:val="00AA76A6"/>
    <w:rsid w:val="00AB1989"/>
    <w:rsid w:val="00AB50A8"/>
    <w:rsid w:val="00AB71CE"/>
    <w:rsid w:val="00AC01F8"/>
    <w:rsid w:val="00AC059A"/>
    <w:rsid w:val="00AC39A2"/>
    <w:rsid w:val="00AC671F"/>
    <w:rsid w:val="00AD0308"/>
    <w:rsid w:val="00AD377A"/>
    <w:rsid w:val="00AD67BB"/>
    <w:rsid w:val="00AE1CC1"/>
    <w:rsid w:val="00AE3EA4"/>
    <w:rsid w:val="00AE783B"/>
    <w:rsid w:val="00AF0314"/>
    <w:rsid w:val="00AF0FDE"/>
    <w:rsid w:val="00AF1B02"/>
    <w:rsid w:val="00AF3607"/>
    <w:rsid w:val="00AF41E4"/>
    <w:rsid w:val="00AF6887"/>
    <w:rsid w:val="00B01B6B"/>
    <w:rsid w:val="00B02958"/>
    <w:rsid w:val="00B06A75"/>
    <w:rsid w:val="00B06BC3"/>
    <w:rsid w:val="00B15A0F"/>
    <w:rsid w:val="00B20236"/>
    <w:rsid w:val="00B20937"/>
    <w:rsid w:val="00B220A0"/>
    <w:rsid w:val="00B22B64"/>
    <w:rsid w:val="00B22FEA"/>
    <w:rsid w:val="00B24321"/>
    <w:rsid w:val="00B2650E"/>
    <w:rsid w:val="00B30FEB"/>
    <w:rsid w:val="00B40AA3"/>
    <w:rsid w:val="00B412A2"/>
    <w:rsid w:val="00B414F8"/>
    <w:rsid w:val="00B44478"/>
    <w:rsid w:val="00B4522D"/>
    <w:rsid w:val="00B45B40"/>
    <w:rsid w:val="00B47DF0"/>
    <w:rsid w:val="00B511AF"/>
    <w:rsid w:val="00B56411"/>
    <w:rsid w:val="00B6002C"/>
    <w:rsid w:val="00B620EE"/>
    <w:rsid w:val="00B75276"/>
    <w:rsid w:val="00B8328D"/>
    <w:rsid w:val="00B85366"/>
    <w:rsid w:val="00B87F60"/>
    <w:rsid w:val="00B900FF"/>
    <w:rsid w:val="00B93D3D"/>
    <w:rsid w:val="00B9669E"/>
    <w:rsid w:val="00BA0FBF"/>
    <w:rsid w:val="00BA471F"/>
    <w:rsid w:val="00BB194D"/>
    <w:rsid w:val="00BB260A"/>
    <w:rsid w:val="00BB5013"/>
    <w:rsid w:val="00BB528E"/>
    <w:rsid w:val="00BC0EA5"/>
    <w:rsid w:val="00BC2600"/>
    <w:rsid w:val="00BC36F0"/>
    <w:rsid w:val="00BC4FA7"/>
    <w:rsid w:val="00BC5E30"/>
    <w:rsid w:val="00BC626C"/>
    <w:rsid w:val="00BC6774"/>
    <w:rsid w:val="00BD02C5"/>
    <w:rsid w:val="00BD039E"/>
    <w:rsid w:val="00BD068D"/>
    <w:rsid w:val="00BD782E"/>
    <w:rsid w:val="00BE0D9A"/>
    <w:rsid w:val="00BE1A50"/>
    <w:rsid w:val="00BE2F0D"/>
    <w:rsid w:val="00BE6768"/>
    <w:rsid w:val="00BF07D0"/>
    <w:rsid w:val="00BF0BD5"/>
    <w:rsid w:val="00BF2274"/>
    <w:rsid w:val="00BF3991"/>
    <w:rsid w:val="00BF55F8"/>
    <w:rsid w:val="00C051FD"/>
    <w:rsid w:val="00C05B94"/>
    <w:rsid w:val="00C07DD4"/>
    <w:rsid w:val="00C2097F"/>
    <w:rsid w:val="00C20C7D"/>
    <w:rsid w:val="00C20DEF"/>
    <w:rsid w:val="00C21AC9"/>
    <w:rsid w:val="00C24B25"/>
    <w:rsid w:val="00C2657C"/>
    <w:rsid w:val="00C268AB"/>
    <w:rsid w:val="00C32C2F"/>
    <w:rsid w:val="00C3659D"/>
    <w:rsid w:val="00C3738A"/>
    <w:rsid w:val="00C407BF"/>
    <w:rsid w:val="00C411E6"/>
    <w:rsid w:val="00C4315A"/>
    <w:rsid w:val="00C43F5E"/>
    <w:rsid w:val="00C44074"/>
    <w:rsid w:val="00C45D1A"/>
    <w:rsid w:val="00C4651F"/>
    <w:rsid w:val="00C47C14"/>
    <w:rsid w:val="00C51D0B"/>
    <w:rsid w:val="00C52A50"/>
    <w:rsid w:val="00C52B96"/>
    <w:rsid w:val="00C57375"/>
    <w:rsid w:val="00C574AE"/>
    <w:rsid w:val="00C5789E"/>
    <w:rsid w:val="00C60524"/>
    <w:rsid w:val="00C61F1F"/>
    <w:rsid w:val="00C642D4"/>
    <w:rsid w:val="00C67883"/>
    <w:rsid w:val="00C702D4"/>
    <w:rsid w:val="00C730F4"/>
    <w:rsid w:val="00C74001"/>
    <w:rsid w:val="00C80200"/>
    <w:rsid w:val="00C8109C"/>
    <w:rsid w:val="00C8270B"/>
    <w:rsid w:val="00C841A9"/>
    <w:rsid w:val="00C86884"/>
    <w:rsid w:val="00C8728F"/>
    <w:rsid w:val="00C90CA1"/>
    <w:rsid w:val="00C9478A"/>
    <w:rsid w:val="00C9552A"/>
    <w:rsid w:val="00C976E6"/>
    <w:rsid w:val="00C977DC"/>
    <w:rsid w:val="00C97F16"/>
    <w:rsid w:val="00C97FBC"/>
    <w:rsid w:val="00CA00B9"/>
    <w:rsid w:val="00CA0A87"/>
    <w:rsid w:val="00CA0B7E"/>
    <w:rsid w:val="00CA5598"/>
    <w:rsid w:val="00CA5EF8"/>
    <w:rsid w:val="00CA7406"/>
    <w:rsid w:val="00CB16C7"/>
    <w:rsid w:val="00CB28A3"/>
    <w:rsid w:val="00CB3CFF"/>
    <w:rsid w:val="00CC00A0"/>
    <w:rsid w:val="00CC025D"/>
    <w:rsid w:val="00CC140B"/>
    <w:rsid w:val="00CC5455"/>
    <w:rsid w:val="00CC6C06"/>
    <w:rsid w:val="00CD5509"/>
    <w:rsid w:val="00CD7A40"/>
    <w:rsid w:val="00CE1EB0"/>
    <w:rsid w:val="00CE1EE8"/>
    <w:rsid w:val="00CE3086"/>
    <w:rsid w:val="00CE32CC"/>
    <w:rsid w:val="00CE3DF2"/>
    <w:rsid w:val="00CE4075"/>
    <w:rsid w:val="00CE5702"/>
    <w:rsid w:val="00CF0C0F"/>
    <w:rsid w:val="00CF1690"/>
    <w:rsid w:val="00CF1F2A"/>
    <w:rsid w:val="00CF5CE3"/>
    <w:rsid w:val="00CF7412"/>
    <w:rsid w:val="00D016B7"/>
    <w:rsid w:val="00D0289A"/>
    <w:rsid w:val="00D02DAC"/>
    <w:rsid w:val="00D030F8"/>
    <w:rsid w:val="00D077B7"/>
    <w:rsid w:val="00D110DE"/>
    <w:rsid w:val="00D13740"/>
    <w:rsid w:val="00D13C4C"/>
    <w:rsid w:val="00D20297"/>
    <w:rsid w:val="00D20946"/>
    <w:rsid w:val="00D21E6B"/>
    <w:rsid w:val="00D23634"/>
    <w:rsid w:val="00D2548F"/>
    <w:rsid w:val="00D255B4"/>
    <w:rsid w:val="00D30E71"/>
    <w:rsid w:val="00D34551"/>
    <w:rsid w:val="00D41DBB"/>
    <w:rsid w:val="00D44597"/>
    <w:rsid w:val="00D457D6"/>
    <w:rsid w:val="00D51D02"/>
    <w:rsid w:val="00D6401C"/>
    <w:rsid w:val="00D64CE2"/>
    <w:rsid w:val="00D71C17"/>
    <w:rsid w:val="00D73642"/>
    <w:rsid w:val="00D75086"/>
    <w:rsid w:val="00D7751B"/>
    <w:rsid w:val="00D77AD7"/>
    <w:rsid w:val="00D815DC"/>
    <w:rsid w:val="00D822B5"/>
    <w:rsid w:val="00D83D3C"/>
    <w:rsid w:val="00D8424B"/>
    <w:rsid w:val="00D84B75"/>
    <w:rsid w:val="00D867AE"/>
    <w:rsid w:val="00D87BBB"/>
    <w:rsid w:val="00D87C87"/>
    <w:rsid w:val="00D917EB"/>
    <w:rsid w:val="00D921C4"/>
    <w:rsid w:val="00D9296A"/>
    <w:rsid w:val="00D93C23"/>
    <w:rsid w:val="00D95638"/>
    <w:rsid w:val="00D9584C"/>
    <w:rsid w:val="00DA14D9"/>
    <w:rsid w:val="00DA4615"/>
    <w:rsid w:val="00DB13AD"/>
    <w:rsid w:val="00DB23F9"/>
    <w:rsid w:val="00DB58BE"/>
    <w:rsid w:val="00DB6176"/>
    <w:rsid w:val="00DB6AA0"/>
    <w:rsid w:val="00DB7AC2"/>
    <w:rsid w:val="00DB7B61"/>
    <w:rsid w:val="00DB7C3A"/>
    <w:rsid w:val="00DC3471"/>
    <w:rsid w:val="00DC6477"/>
    <w:rsid w:val="00DD32AB"/>
    <w:rsid w:val="00DD5BF6"/>
    <w:rsid w:val="00DE1865"/>
    <w:rsid w:val="00DE3C92"/>
    <w:rsid w:val="00DE4EEB"/>
    <w:rsid w:val="00DE6CEF"/>
    <w:rsid w:val="00DF11C2"/>
    <w:rsid w:val="00DF3C50"/>
    <w:rsid w:val="00DF4593"/>
    <w:rsid w:val="00E07347"/>
    <w:rsid w:val="00E1061F"/>
    <w:rsid w:val="00E10D05"/>
    <w:rsid w:val="00E216C8"/>
    <w:rsid w:val="00E21C70"/>
    <w:rsid w:val="00E2223E"/>
    <w:rsid w:val="00E22D98"/>
    <w:rsid w:val="00E24623"/>
    <w:rsid w:val="00E252E3"/>
    <w:rsid w:val="00E368C7"/>
    <w:rsid w:val="00E40505"/>
    <w:rsid w:val="00E42A41"/>
    <w:rsid w:val="00E45766"/>
    <w:rsid w:val="00E51F74"/>
    <w:rsid w:val="00E5621F"/>
    <w:rsid w:val="00E567E5"/>
    <w:rsid w:val="00E577F7"/>
    <w:rsid w:val="00E60AB0"/>
    <w:rsid w:val="00E62C4F"/>
    <w:rsid w:val="00E6708B"/>
    <w:rsid w:val="00E73A8C"/>
    <w:rsid w:val="00E74582"/>
    <w:rsid w:val="00E75050"/>
    <w:rsid w:val="00E758D7"/>
    <w:rsid w:val="00E765BD"/>
    <w:rsid w:val="00E76F42"/>
    <w:rsid w:val="00E81240"/>
    <w:rsid w:val="00E81937"/>
    <w:rsid w:val="00E82691"/>
    <w:rsid w:val="00E875DF"/>
    <w:rsid w:val="00E912FD"/>
    <w:rsid w:val="00E915E6"/>
    <w:rsid w:val="00E95494"/>
    <w:rsid w:val="00E95910"/>
    <w:rsid w:val="00E9675E"/>
    <w:rsid w:val="00E97F77"/>
    <w:rsid w:val="00EA0CBA"/>
    <w:rsid w:val="00EA3E11"/>
    <w:rsid w:val="00EA6EB3"/>
    <w:rsid w:val="00EB3EF2"/>
    <w:rsid w:val="00EB4A8E"/>
    <w:rsid w:val="00EB5EF3"/>
    <w:rsid w:val="00EB695D"/>
    <w:rsid w:val="00EC34D9"/>
    <w:rsid w:val="00ED39CE"/>
    <w:rsid w:val="00ED4134"/>
    <w:rsid w:val="00ED572C"/>
    <w:rsid w:val="00ED6BD9"/>
    <w:rsid w:val="00EE05F1"/>
    <w:rsid w:val="00EE471A"/>
    <w:rsid w:val="00EE5492"/>
    <w:rsid w:val="00EF26AE"/>
    <w:rsid w:val="00EF7810"/>
    <w:rsid w:val="00F0489B"/>
    <w:rsid w:val="00F07BD5"/>
    <w:rsid w:val="00F114D2"/>
    <w:rsid w:val="00F122D6"/>
    <w:rsid w:val="00F127D4"/>
    <w:rsid w:val="00F13BFE"/>
    <w:rsid w:val="00F15BF4"/>
    <w:rsid w:val="00F17940"/>
    <w:rsid w:val="00F2046C"/>
    <w:rsid w:val="00F20647"/>
    <w:rsid w:val="00F2433E"/>
    <w:rsid w:val="00F24652"/>
    <w:rsid w:val="00F256DF"/>
    <w:rsid w:val="00F262FC"/>
    <w:rsid w:val="00F26DB9"/>
    <w:rsid w:val="00F2790B"/>
    <w:rsid w:val="00F31392"/>
    <w:rsid w:val="00F32B4B"/>
    <w:rsid w:val="00F32E37"/>
    <w:rsid w:val="00F3364E"/>
    <w:rsid w:val="00F348B5"/>
    <w:rsid w:val="00F3652B"/>
    <w:rsid w:val="00F377B9"/>
    <w:rsid w:val="00F4375A"/>
    <w:rsid w:val="00F45442"/>
    <w:rsid w:val="00F5145E"/>
    <w:rsid w:val="00F55282"/>
    <w:rsid w:val="00F558EA"/>
    <w:rsid w:val="00F60916"/>
    <w:rsid w:val="00F613CB"/>
    <w:rsid w:val="00F61F79"/>
    <w:rsid w:val="00F656A4"/>
    <w:rsid w:val="00F6665E"/>
    <w:rsid w:val="00F7075F"/>
    <w:rsid w:val="00F71D76"/>
    <w:rsid w:val="00F73344"/>
    <w:rsid w:val="00F75E1C"/>
    <w:rsid w:val="00F815CF"/>
    <w:rsid w:val="00F82570"/>
    <w:rsid w:val="00F8349F"/>
    <w:rsid w:val="00F83FB7"/>
    <w:rsid w:val="00F85935"/>
    <w:rsid w:val="00F85D29"/>
    <w:rsid w:val="00F92A6D"/>
    <w:rsid w:val="00F930B5"/>
    <w:rsid w:val="00F940C3"/>
    <w:rsid w:val="00F95381"/>
    <w:rsid w:val="00F969D3"/>
    <w:rsid w:val="00FA190E"/>
    <w:rsid w:val="00FA54D8"/>
    <w:rsid w:val="00FB03DC"/>
    <w:rsid w:val="00FB7440"/>
    <w:rsid w:val="00FB7679"/>
    <w:rsid w:val="00FC4FB7"/>
    <w:rsid w:val="00FD357B"/>
    <w:rsid w:val="00FD38FC"/>
    <w:rsid w:val="00FD6119"/>
    <w:rsid w:val="00FD688E"/>
    <w:rsid w:val="00FD7C0C"/>
    <w:rsid w:val="00FE045C"/>
    <w:rsid w:val="00FE091C"/>
    <w:rsid w:val="00FE0C52"/>
    <w:rsid w:val="00FE1692"/>
    <w:rsid w:val="00FE4280"/>
    <w:rsid w:val="00FE6DA1"/>
    <w:rsid w:val="00FF0566"/>
    <w:rsid w:val="00FF6218"/>
    <w:rsid w:val="00FF74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line="300" w:lineRule="atLeas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able of figures" w:semiHidden="0" w:uiPriority="99" w:unhideWhenUsed="0"/>
    <w:lsdException w:name="List Bullet" w:qFormat="1"/>
    <w:lsdException w:name="List Number" w:qFormat="1"/>
    <w:lsdException w:name="List Bullet 2" w:qFormat="1"/>
    <w:lsdException w:name="List Number 2" w:qFormat="1"/>
    <w:lsdException w:name="List Number 3" w:qFormat="1"/>
    <w:lsdException w:name="Title" w:semiHidden="0" w:unhideWhenUsed="0" w:qFormat="1"/>
    <w:lsdException w:name="Default Paragraph Font" w:uiPriority="1"/>
    <w:lsdException w:name="Body Text" w:qFormat="1"/>
    <w:lsdException w:name="List Continue" w:qFormat="1"/>
    <w:lsdException w:name="List Continue 2" w:qFormat="1"/>
    <w:lsdException w:name="Subtitle" w:semiHidden="0" w:unhideWhenUsed="0" w:qFormat="1"/>
    <w:lsdException w:name="Hyperlink" w:uiPriority="99"/>
    <w:lsdException w:name="Strong" w:unhideWhenUsed="0" w:qFormat="1"/>
    <w:lsdException w:name="Emphasis"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TOC Heading" w:qFormat="1"/>
  </w:latentStyles>
  <w:style w:type="paragraph" w:default="1" w:styleId="Normal">
    <w:name w:val="Normal"/>
    <w:qFormat/>
    <w:rsid w:val="000E266E"/>
  </w:style>
  <w:style w:type="paragraph" w:styleId="Heading1">
    <w:name w:val="heading 1"/>
    <w:basedOn w:val="Normal"/>
    <w:next w:val="BodyText"/>
    <w:link w:val="Heading1Char"/>
    <w:qFormat/>
    <w:rsid w:val="00733970"/>
    <w:pPr>
      <w:keepNext/>
      <w:keepLines/>
      <w:numPr>
        <w:numId w:val="10"/>
      </w:numPr>
      <w:tabs>
        <w:tab w:val="right" w:pos="1418"/>
        <w:tab w:val="right" w:pos="1701"/>
        <w:tab w:val="right" w:pos="1985"/>
      </w:tabs>
      <w:spacing w:before="480" w:after="340" w:line="240" w:lineRule="auto"/>
      <w:outlineLvl w:val="0"/>
    </w:pPr>
    <w:rPr>
      <w:rFonts w:asciiTheme="majorHAnsi" w:hAnsiTheme="majorHAnsi"/>
      <w:bCs/>
      <w:color w:val="2B3B5F" w:themeColor="text2"/>
      <w:spacing w:val="-6"/>
      <w:kern w:val="32"/>
      <w:sz w:val="40"/>
      <w:szCs w:val="32"/>
    </w:rPr>
  </w:style>
  <w:style w:type="paragraph" w:styleId="Heading2">
    <w:name w:val="heading 2"/>
    <w:basedOn w:val="Normal"/>
    <w:next w:val="BodyText"/>
    <w:link w:val="Heading2Char"/>
    <w:qFormat/>
    <w:rsid w:val="00961DBB"/>
    <w:pPr>
      <w:keepNext/>
      <w:keepLines/>
      <w:numPr>
        <w:ilvl w:val="1"/>
        <w:numId w:val="10"/>
      </w:numPr>
      <w:tabs>
        <w:tab w:val="left" w:pos="1418"/>
        <w:tab w:val="left" w:pos="1701"/>
        <w:tab w:val="left" w:pos="1985"/>
      </w:tabs>
      <w:spacing w:before="470" w:after="227"/>
      <w:outlineLvl w:val="1"/>
    </w:pPr>
    <w:rPr>
      <w:rFonts w:asciiTheme="majorHAnsi" w:hAnsiTheme="majorHAnsi"/>
      <w:bCs/>
      <w:iCs/>
      <w:color w:val="2B3B5F" w:themeColor="text2"/>
      <w:kern w:val="20"/>
      <w:sz w:val="32"/>
      <w:szCs w:val="28"/>
    </w:rPr>
  </w:style>
  <w:style w:type="paragraph" w:styleId="Heading3">
    <w:name w:val="heading 3"/>
    <w:basedOn w:val="Normal"/>
    <w:next w:val="BodyText"/>
    <w:link w:val="Heading3Char"/>
    <w:qFormat/>
    <w:rsid w:val="00B620EE"/>
    <w:pPr>
      <w:keepNext/>
      <w:keepLines/>
      <w:numPr>
        <w:ilvl w:val="2"/>
        <w:numId w:val="10"/>
      </w:numPr>
      <w:tabs>
        <w:tab w:val="left" w:pos="1418"/>
        <w:tab w:val="left" w:pos="1701"/>
        <w:tab w:val="left" w:pos="1985"/>
      </w:tabs>
      <w:spacing w:before="470" w:after="227"/>
      <w:outlineLvl w:val="2"/>
    </w:pPr>
    <w:rPr>
      <w:b/>
      <w:color w:val="2B3B5F" w:themeColor="text2"/>
      <w:sz w:val="28"/>
    </w:rPr>
  </w:style>
  <w:style w:type="paragraph" w:styleId="Heading4">
    <w:name w:val="heading 4"/>
    <w:basedOn w:val="Normal"/>
    <w:next w:val="BodyText"/>
    <w:link w:val="Heading4Char"/>
    <w:qFormat/>
    <w:rsid w:val="00B620EE"/>
    <w:pPr>
      <w:keepNext/>
      <w:keepLines/>
      <w:tabs>
        <w:tab w:val="left" w:pos="1418"/>
        <w:tab w:val="left" w:pos="1701"/>
        <w:tab w:val="left" w:pos="1985"/>
      </w:tabs>
      <w:spacing w:before="227" w:after="113"/>
      <w:outlineLvl w:val="3"/>
    </w:pPr>
    <w:rPr>
      <w:rFonts w:eastAsiaTheme="majorEastAsia" w:cstheme="majorBidi"/>
      <w:b/>
      <w:bCs/>
      <w:i/>
      <w:iCs/>
      <w:color w:val="2B3B5F" w:themeColor="text2"/>
      <w:sz w:val="24"/>
    </w:rPr>
  </w:style>
  <w:style w:type="paragraph" w:styleId="Heading5">
    <w:name w:val="heading 5"/>
    <w:basedOn w:val="Normal"/>
    <w:next w:val="BodyText"/>
    <w:link w:val="Heading5Char"/>
    <w:qFormat/>
    <w:rsid w:val="00B620EE"/>
    <w:pPr>
      <w:keepNext/>
      <w:keepLines/>
      <w:spacing w:before="180" w:after="60"/>
      <w:outlineLvl w:val="4"/>
    </w:pPr>
    <w:rPr>
      <w:rFonts w:asciiTheme="majorHAnsi" w:eastAsiaTheme="majorEastAsia" w:hAnsiTheme="majorHAnsi" w:cstheme="majorBidi"/>
      <w:i/>
      <w:color w:val="636366"/>
      <w:sz w:val="24"/>
    </w:rPr>
  </w:style>
  <w:style w:type="paragraph" w:styleId="Heading6">
    <w:name w:val="heading 6"/>
    <w:basedOn w:val="Normal"/>
    <w:next w:val="BodyText"/>
    <w:link w:val="Heading6Char"/>
    <w:qFormat/>
    <w:rsid w:val="00B620EE"/>
    <w:pPr>
      <w:keepNext/>
      <w:keepLines/>
      <w:spacing w:before="280" w:after="240"/>
      <w:outlineLvl w:val="5"/>
    </w:pPr>
    <w:rPr>
      <w:rFonts w:asciiTheme="majorHAnsi" w:eastAsiaTheme="majorEastAsia" w:hAnsiTheme="majorHAnsi" w:cstheme="majorBidi"/>
      <w:i/>
      <w:iCs/>
      <w:color w:val="2B3B5F" w:themeColor="text2"/>
      <w:sz w:val="24"/>
    </w:rPr>
  </w:style>
  <w:style w:type="paragraph" w:styleId="Heading7">
    <w:name w:val="heading 7"/>
    <w:basedOn w:val="Normal"/>
    <w:next w:val="Normal"/>
    <w:link w:val="Heading7Char"/>
    <w:semiHidden/>
    <w:rsid w:val="00961DBB"/>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rsid w:val="00CA5598"/>
    <w:pPr>
      <w:keepNext/>
      <w:keepLines/>
      <w:numPr>
        <w:numId w:val="1"/>
      </w:numPr>
      <w:tabs>
        <w:tab w:val="left" w:pos="4536"/>
      </w:tabs>
      <w:spacing w:before="480" w:after="340"/>
      <w:outlineLvl w:val="7"/>
    </w:pPr>
    <w:rPr>
      <w:rFonts w:asciiTheme="majorHAnsi" w:eastAsiaTheme="majorEastAsia" w:hAnsiTheme="majorHAnsi" w:cstheme="majorBidi"/>
      <w:color w:val="2B3B5F" w:themeColor="text2"/>
      <w:sz w:val="40"/>
    </w:rPr>
  </w:style>
  <w:style w:type="paragraph" w:styleId="Heading9">
    <w:name w:val="heading 9"/>
    <w:aliases w:val="Appendix Heading 1"/>
    <w:basedOn w:val="Normal"/>
    <w:next w:val="BodyText"/>
    <w:link w:val="Heading9Char"/>
    <w:rsid w:val="00846FA0"/>
    <w:pPr>
      <w:keepNext/>
      <w:keepLines/>
      <w:numPr>
        <w:ilvl w:val="1"/>
        <w:numId w:val="1"/>
      </w:numPr>
      <w:tabs>
        <w:tab w:val="clear" w:pos="907"/>
        <w:tab w:val="num" w:pos="709"/>
        <w:tab w:val="left" w:pos="1559"/>
        <w:tab w:val="left" w:pos="1843"/>
        <w:tab w:val="left" w:pos="2126"/>
        <w:tab w:val="left" w:pos="2410"/>
      </w:tabs>
      <w:spacing w:before="470" w:after="227"/>
      <w:ind w:left="765"/>
      <w:outlineLvl w:val="8"/>
    </w:pPr>
    <w:rPr>
      <w:rFonts w:asciiTheme="majorHAnsi" w:hAnsiTheme="majorHAnsi"/>
      <w:color w:val="2B3B5F" w:themeColor="text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7834DC"/>
    <w:pPr>
      <w:tabs>
        <w:tab w:val="left" w:pos="425"/>
      </w:tabs>
      <w:spacing w:before="50" w:line="260" w:lineRule="exact"/>
      <w:ind w:left="425" w:hanging="425"/>
    </w:pPr>
    <w:rPr>
      <w:kern w:val="16"/>
      <w:sz w:val="18"/>
    </w:rPr>
  </w:style>
  <w:style w:type="character" w:customStyle="1" w:styleId="FootnoteTextChar">
    <w:name w:val="Footnote Text Char"/>
    <w:basedOn w:val="DefaultParagraphFont"/>
    <w:link w:val="FootnoteText"/>
    <w:rsid w:val="000E266E"/>
    <w:rPr>
      <w:kern w:val="16"/>
      <w:sz w:val="18"/>
    </w:rPr>
  </w:style>
  <w:style w:type="character" w:styleId="FootnoteReference">
    <w:name w:val="footnote reference"/>
    <w:basedOn w:val="DefaultParagraphFont"/>
    <w:rsid w:val="00961DBB"/>
    <w:rPr>
      <w:rFonts w:asciiTheme="minorHAnsi" w:hAnsiTheme="minorHAnsi"/>
      <w:color w:val="auto"/>
      <w:vertAlign w:val="superscript"/>
    </w:rPr>
  </w:style>
  <w:style w:type="paragraph" w:styleId="BodyText">
    <w:name w:val="Body Text"/>
    <w:basedOn w:val="Normal"/>
    <w:link w:val="BodyTextChar"/>
    <w:qFormat/>
    <w:rsid w:val="00741789"/>
    <w:pPr>
      <w:spacing w:before="113" w:after="113"/>
    </w:pPr>
    <w:rPr>
      <w:rFonts w:cs="Times New Roman"/>
      <w:spacing w:val="-1"/>
    </w:rPr>
  </w:style>
  <w:style w:type="character" w:customStyle="1" w:styleId="BodyTextChar">
    <w:name w:val="Body Text Char"/>
    <w:basedOn w:val="DefaultParagraphFont"/>
    <w:link w:val="BodyText"/>
    <w:rsid w:val="00741789"/>
    <w:rPr>
      <w:rFonts w:cs="Times New Roman"/>
      <w:spacing w:val="-1"/>
    </w:rPr>
  </w:style>
  <w:style w:type="paragraph" w:customStyle="1" w:styleId="BodyText17ptAbove">
    <w:name w:val="Body Text 17pt Above"/>
    <w:basedOn w:val="BodyText"/>
    <w:next w:val="BodyText"/>
    <w:qFormat/>
    <w:rsid w:val="00961DBB"/>
    <w:pPr>
      <w:spacing w:before="340"/>
    </w:pPr>
  </w:style>
  <w:style w:type="character" w:customStyle="1" w:styleId="Heading1Char">
    <w:name w:val="Heading 1 Char"/>
    <w:basedOn w:val="DefaultParagraphFont"/>
    <w:link w:val="Heading1"/>
    <w:rsid w:val="000E266E"/>
    <w:rPr>
      <w:rFonts w:asciiTheme="majorHAnsi" w:hAnsiTheme="majorHAnsi"/>
      <w:bCs/>
      <w:color w:val="2B3B5F" w:themeColor="text2"/>
      <w:spacing w:val="-6"/>
      <w:kern w:val="32"/>
      <w:sz w:val="40"/>
      <w:szCs w:val="32"/>
    </w:rPr>
  </w:style>
  <w:style w:type="character" w:customStyle="1" w:styleId="Heading2Char">
    <w:name w:val="Heading 2 Char"/>
    <w:basedOn w:val="DefaultParagraphFont"/>
    <w:link w:val="Heading2"/>
    <w:rsid w:val="000E266E"/>
    <w:rPr>
      <w:rFonts w:asciiTheme="majorHAnsi" w:hAnsiTheme="majorHAnsi"/>
      <w:bCs/>
      <w:iCs/>
      <w:color w:val="2B3B5F" w:themeColor="text2"/>
      <w:kern w:val="20"/>
      <w:sz w:val="32"/>
      <w:szCs w:val="28"/>
    </w:rPr>
  </w:style>
  <w:style w:type="character" w:customStyle="1" w:styleId="Heading3Char">
    <w:name w:val="Heading 3 Char"/>
    <w:basedOn w:val="DefaultParagraphFont"/>
    <w:link w:val="Heading3"/>
    <w:rsid w:val="000E266E"/>
    <w:rPr>
      <w:b/>
      <w:color w:val="2B3B5F" w:themeColor="text2"/>
      <w:sz w:val="28"/>
    </w:rPr>
  </w:style>
  <w:style w:type="character" w:customStyle="1" w:styleId="Heading4Char">
    <w:name w:val="Heading 4 Char"/>
    <w:basedOn w:val="DefaultParagraphFont"/>
    <w:link w:val="Heading4"/>
    <w:rsid w:val="000E266E"/>
    <w:rPr>
      <w:rFonts w:eastAsiaTheme="majorEastAsia" w:cstheme="majorBidi"/>
      <w:b/>
      <w:bCs/>
      <w:i/>
      <w:iCs/>
      <w:color w:val="2B3B5F" w:themeColor="text2"/>
      <w:sz w:val="24"/>
    </w:rPr>
  </w:style>
  <w:style w:type="character" w:customStyle="1" w:styleId="Heading5Char">
    <w:name w:val="Heading 5 Char"/>
    <w:basedOn w:val="DefaultParagraphFont"/>
    <w:link w:val="Heading5"/>
    <w:rsid w:val="000E266E"/>
    <w:rPr>
      <w:rFonts w:asciiTheme="majorHAnsi" w:eastAsiaTheme="majorEastAsia" w:hAnsiTheme="majorHAnsi" w:cstheme="majorBidi"/>
      <w:i/>
      <w:color w:val="636366"/>
      <w:sz w:val="24"/>
    </w:rPr>
  </w:style>
  <w:style w:type="character" w:customStyle="1" w:styleId="Heading6Char">
    <w:name w:val="Heading 6 Char"/>
    <w:basedOn w:val="DefaultParagraphFont"/>
    <w:link w:val="Heading6"/>
    <w:rsid w:val="000E266E"/>
    <w:rPr>
      <w:rFonts w:asciiTheme="majorHAnsi" w:eastAsiaTheme="majorEastAsia" w:hAnsiTheme="majorHAnsi" w:cstheme="majorBidi"/>
      <w:i/>
      <w:iCs/>
      <w:color w:val="2B3B5F" w:themeColor="text2"/>
      <w:sz w:val="24"/>
    </w:rPr>
  </w:style>
  <w:style w:type="character" w:customStyle="1" w:styleId="Heading7Char">
    <w:name w:val="Heading 7 Char"/>
    <w:basedOn w:val="DefaultParagraphFont"/>
    <w:link w:val="Heading7"/>
    <w:semiHidden/>
    <w:rsid w:val="000E266E"/>
    <w:rPr>
      <w:rFonts w:asciiTheme="majorHAnsi" w:eastAsiaTheme="majorEastAsia" w:hAnsiTheme="majorHAnsi" w:cstheme="majorBidi"/>
      <w:b/>
      <w:iCs/>
      <w:color w:val="FFFFFF"/>
    </w:rPr>
  </w:style>
  <w:style w:type="character" w:customStyle="1" w:styleId="Heading8Char">
    <w:name w:val="Heading 8 Char"/>
    <w:aliases w:val="Appendix Title Char"/>
    <w:basedOn w:val="DefaultParagraphFont"/>
    <w:link w:val="Heading8"/>
    <w:rsid w:val="000E266E"/>
    <w:rPr>
      <w:rFonts w:asciiTheme="majorHAnsi" w:eastAsiaTheme="majorEastAsia" w:hAnsiTheme="majorHAnsi" w:cstheme="majorBidi"/>
      <w:color w:val="2B3B5F" w:themeColor="text2"/>
      <w:sz w:val="40"/>
    </w:rPr>
  </w:style>
  <w:style w:type="character" w:customStyle="1" w:styleId="Heading9Char">
    <w:name w:val="Heading 9 Char"/>
    <w:aliases w:val="Appendix Heading 1 Char"/>
    <w:basedOn w:val="DefaultParagraphFont"/>
    <w:link w:val="Heading9"/>
    <w:rsid w:val="00846FA0"/>
    <w:rPr>
      <w:rFonts w:asciiTheme="majorHAnsi" w:hAnsiTheme="majorHAnsi"/>
      <w:color w:val="2B3B5F" w:themeColor="text2"/>
      <w:sz w:val="32"/>
    </w:rPr>
  </w:style>
  <w:style w:type="paragraph" w:customStyle="1" w:styleId="AppendixHeading2">
    <w:name w:val="Appendix Heading 2"/>
    <w:basedOn w:val="Normal"/>
    <w:next w:val="BodyText"/>
    <w:rsid w:val="00656EE8"/>
    <w:pPr>
      <w:keepNext/>
      <w:keepLines/>
      <w:numPr>
        <w:ilvl w:val="2"/>
        <w:numId w:val="1"/>
      </w:numPr>
      <w:tabs>
        <w:tab w:val="clear" w:pos="765"/>
        <w:tab w:val="num" w:pos="360"/>
        <w:tab w:val="left" w:pos="851"/>
        <w:tab w:val="left" w:pos="1843"/>
        <w:tab w:val="left" w:pos="2126"/>
        <w:tab w:val="left" w:pos="2410"/>
      </w:tabs>
      <w:spacing w:before="470" w:after="227"/>
      <w:ind w:left="0" w:firstLine="0"/>
    </w:pPr>
    <w:rPr>
      <w:rFonts w:asciiTheme="majorHAnsi" w:hAnsiTheme="majorHAnsi"/>
      <w:color w:val="2B3B5F" w:themeColor="text2"/>
      <w:sz w:val="28"/>
    </w:rPr>
  </w:style>
  <w:style w:type="paragraph" w:customStyle="1" w:styleId="AppendixHeading3">
    <w:name w:val="Appendix Heading 3"/>
    <w:basedOn w:val="Normal"/>
    <w:next w:val="BodyText"/>
    <w:rsid w:val="00CA5598"/>
    <w:pPr>
      <w:keepNext/>
      <w:keepLines/>
      <w:numPr>
        <w:ilvl w:val="3"/>
        <w:numId w:val="1"/>
      </w:numPr>
      <w:tabs>
        <w:tab w:val="left" w:pos="1559"/>
        <w:tab w:val="left" w:pos="1843"/>
        <w:tab w:val="left" w:pos="2126"/>
        <w:tab w:val="left" w:pos="2410"/>
        <w:tab w:val="left" w:pos="6804"/>
      </w:tabs>
      <w:spacing w:before="227" w:after="113"/>
    </w:pPr>
    <w:rPr>
      <w:b/>
      <w:color w:val="2B3B5F" w:themeColor="text2"/>
    </w:rPr>
  </w:style>
  <w:style w:type="character" w:customStyle="1" w:styleId="Bold">
    <w:name w:val="Bold"/>
    <w:rsid w:val="00961DBB"/>
    <w:rPr>
      <w:b/>
    </w:rPr>
  </w:style>
  <w:style w:type="character" w:customStyle="1" w:styleId="BoldAndItalics">
    <w:name w:val="Bold And Italics"/>
    <w:rsid w:val="00961DBB"/>
    <w:rPr>
      <w:b/>
      <w:i/>
    </w:rPr>
  </w:style>
  <w:style w:type="paragraph" w:styleId="Caption">
    <w:name w:val="caption"/>
    <w:basedOn w:val="Normal"/>
    <w:next w:val="BodyText"/>
    <w:rsid w:val="00961DBB"/>
    <w:pPr>
      <w:keepNext/>
      <w:spacing w:before="340" w:after="114"/>
    </w:pPr>
    <w:rPr>
      <w:b/>
      <w:bCs/>
      <w:color w:val="2B3B5F" w:themeColor="text2"/>
      <w:spacing w:val="-4"/>
    </w:rPr>
  </w:style>
  <w:style w:type="paragraph" w:styleId="Footer">
    <w:name w:val="footer"/>
    <w:basedOn w:val="Normal"/>
    <w:link w:val="FooterChar"/>
    <w:rsid w:val="00961DBB"/>
    <w:pPr>
      <w:spacing w:line="240" w:lineRule="auto"/>
    </w:pPr>
    <w:rPr>
      <w:b/>
      <w:color w:val="788184" w:themeColor="background2"/>
    </w:rPr>
  </w:style>
  <w:style w:type="character" w:customStyle="1" w:styleId="FooterChar">
    <w:name w:val="Footer Char"/>
    <w:basedOn w:val="DefaultParagraphFont"/>
    <w:link w:val="Footer"/>
    <w:rsid w:val="000E266E"/>
    <w:rPr>
      <w:b/>
      <w:color w:val="788184" w:themeColor="background2"/>
    </w:rPr>
  </w:style>
  <w:style w:type="paragraph" w:customStyle="1" w:styleId="FooterLeft">
    <w:name w:val="Footer Left"/>
    <w:basedOn w:val="Footer"/>
    <w:rsid w:val="00961DBB"/>
    <w:pPr>
      <w:framePr w:wrap="around" w:vAnchor="page" w:hAnchor="margin" w:yAlign="bottom"/>
      <w:spacing w:before="180" w:after="120"/>
      <w:ind w:left="397"/>
    </w:pPr>
    <w:rPr>
      <w:spacing w:val="-2"/>
    </w:rPr>
  </w:style>
  <w:style w:type="paragraph" w:customStyle="1" w:styleId="FooterRight">
    <w:name w:val="Footer Right"/>
    <w:basedOn w:val="FooterLeft"/>
    <w:next w:val="Footer"/>
    <w:rsid w:val="00961DBB"/>
    <w:pPr>
      <w:framePr w:wrap="around" w:xAlign="right"/>
      <w:ind w:right="397"/>
      <w:jc w:val="right"/>
    </w:pPr>
  </w:style>
  <w:style w:type="paragraph" w:customStyle="1" w:styleId="FooterRightPageNumber">
    <w:name w:val="Footer Right Page Number"/>
    <w:basedOn w:val="Normal"/>
    <w:rsid w:val="00E915E6"/>
    <w:pPr>
      <w:spacing w:before="180" w:after="120" w:line="240" w:lineRule="auto"/>
      <w:jc w:val="right"/>
    </w:pPr>
    <w:rPr>
      <w:b/>
      <w:noProof/>
      <w:color w:val="788184" w:themeColor="background2"/>
    </w:rPr>
  </w:style>
  <w:style w:type="paragraph" w:customStyle="1" w:styleId="FooterLeftPageNumber">
    <w:name w:val="Footer Left Page Number"/>
    <w:basedOn w:val="Footer"/>
    <w:rsid w:val="00961DBB"/>
    <w:pPr>
      <w:framePr w:wrap="around" w:vAnchor="page" w:hAnchor="margin" w:yAlign="bottom"/>
      <w:spacing w:before="180" w:after="120"/>
      <w:ind w:right="57"/>
    </w:pPr>
  </w:style>
  <w:style w:type="paragraph" w:customStyle="1" w:styleId="FootnoteSeparator">
    <w:name w:val="Footnote Separator"/>
    <w:basedOn w:val="Normal"/>
    <w:unhideWhenUsed/>
    <w:rsid w:val="00961DBB"/>
    <w:pPr>
      <w:pBdr>
        <w:top w:val="single" w:sz="2" w:space="0" w:color="000000" w:themeColor="text1"/>
      </w:pBdr>
      <w:spacing w:before="120" w:line="120" w:lineRule="exact"/>
    </w:pPr>
    <w:rPr>
      <w:sz w:val="14"/>
      <w:szCs w:val="16"/>
    </w:rPr>
  </w:style>
  <w:style w:type="paragraph" w:styleId="Header">
    <w:name w:val="header"/>
    <w:basedOn w:val="Normal"/>
    <w:link w:val="HeaderChar"/>
    <w:rsid w:val="00961DBB"/>
    <w:pPr>
      <w:spacing w:line="240" w:lineRule="auto"/>
    </w:pPr>
  </w:style>
  <w:style w:type="character" w:customStyle="1" w:styleId="HeaderChar">
    <w:name w:val="Header Char"/>
    <w:basedOn w:val="DefaultParagraphFont"/>
    <w:link w:val="Header"/>
    <w:rsid w:val="000E266E"/>
  </w:style>
  <w:style w:type="paragraph" w:customStyle="1" w:styleId="HighlightText">
    <w:name w:val="Highlight Text"/>
    <w:basedOn w:val="Normal"/>
    <w:qFormat/>
    <w:rsid w:val="00961DBB"/>
    <w:pPr>
      <w:spacing w:before="120" w:after="420"/>
    </w:pPr>
    <w:rPr>
      <w:i/>
      <w:color w:val="2B3B5F" w:themeColor="text2"/>
      <w:spacing w:val="-1"/>
    </w:rPr>
  </w:style>
  <w:style w:type="paragraph" w:customStyle="1" w:styleId="Introduction">
    <w:name w:val="Introduction"/>
    <w:basedOn w:val="Normal"/>
    <w:next w:val="BodyText"/>
    <w:qFormat/>
    <w:rsid w:val="00961DBB"/>
    <w:pPr>
      <w:spacing w:after="180" w:line="360" w:lineRule="atLeast"/>
    </w:pPr>
    <w:rPr>
      <w:color w:val="2B3B5F" w:themeColor="text2"/>
      <w:spacing w:val="-2"/>
      <w:sz w:val="30"/>
    </w:rPr>
  </w:style>
  <w:style w:type="character" w:customStyle="1" w:styleId="Italics">
    <w:name w:val="Italics"/>
    <w:rsid w:val="00961DBB"/>
    <w:rPr>
      <w:i/>
    </w:rPr>
  </w:style>
  <w:style w:type="paragraph" w:styleId="ListBullet">
    <w:name w:val="List Bullet"/>
    <w:basedOn w:val="Normal"/>
    <w:unhideWhenUsed/>
    <w:qFormat/>
    <w:rsid w:val="00961DBB"/>
    <w:pPr>
      <w:keepLines/>
      <w:numPr>
        <w:numId w:val="2"/>
      </w:numPr>
      <w:spacing w:after="113"/>
    </w:pPr>
    <w:rPr>
      <w:spacing w:val="-1"/>
    </w:rPr>
  </w:style>
  <w:style w:type="paragraph" w:styleId="ListBullet2">
    <w:name w:val="List Bullet 2"/>
    <w:basedOn w:val="ListBullet"/>
    <w:unhideWhenUsed/>
    <w:qFormat/>
    <w:rsid w:val="00961DBB"/>
    <w:pPr>
      <w:numPr>
        <w:ilvl w:val="1"/>
      </w:numPr>
    </w:pPr>
  </w:style>
  <w:style w:type="paragraph" w:styleId="ListBullet3">
    <w:name w:val="List Bullet 3"/>
    <w:basedOn w:val="ListBullet2"/>
    <w:unhideWhenUsed/>
    <w:rsid w:val="00961DBB"/>
    <w:pPr>
      <w:numPr>
        <w:ilvl w:val="2"/>
      </w:numPr>
    </w:pPr>
  </w:style>
  <w:style w:type="paragraph" w:styleId="ListContinue">
    <w:name w:val="List Continue"/>
    <w:basedOn w:val="Normal"/>
    <w:semiHidden/>
    <w:qFormat/>
    <w:rsid w:val="00961DBB"/>
    <w:pPr>
      <w:spacing w:before="220" w:after="220"/>
      <w:ind w:left="340"/>
    </w:pPr>
  </w:style>
  <w:style w:type="paragraph" w:styleId="ListContinue2">
    <w:name w:val="List Continue 2"/>
    <w:basedOn w:val="Normal"/>
    <w:semiHidden/>
    <w:qFormat/>
    <w:rsid w:val="00961DBB"/>
    <w:pPr>
      <w:spacing w:before="220" w:after="220"/>
      <w:ind w:left="680"/>
    </w:pPr>
  </w:style>
  <w:style w:type="paragraph" w:styleId="ListNumber">
    <w:name w:val="List Number"/>
    <w:basedOn w:val="Normal"/>
    <w:qFormat/>
    <w:rsid w:val="00961DBB"/>
    <w:pPr>
      <w:numPr>
        <w:numId w:val="3"/>
      </w:numPr>
      <w:spacing w:before="113" w:after="113"/>
    </w:pPr>
    <w:rPr>
      <w:spacing w:val="-1"/>
    </w:rPr>
  </w:style>
  <w:style w:type="paragraph" w:styleId="ListNumber2">
    <w:name w:val="List Number 2"/>
    <w:basedOn w:val="Normal"/>
    <w:qFormat/>
    <w:rsid w:val="00961DBB"/>
    <w:pPr>
      <w:numPr>
        <w:ilvl w:val="1"/>
        <w:numId w:val="3"/>
      </w:numPr>
      <w:spacing w:before="113" w:after="113"/>
    </w:pPr>
    <w:rPr>
      <w:spacing w:val="-1"/>
    </w:rPr>
  </w:style>
  <w:style w:type="paragraph" w:styleId="ListNumber3">
    <w:name w:val="List Number 3"/>
    <w:basedOn w:val="Normal"/>
    <w:qFormat/>
    <w:rsid w:val="00961DBB"/>
    <w:pPr>
      <w:numPr>
        <w:ilvl w:val="2"/>
        <w:numId w:val="3"/>
      </w:numPr>
      <w:spacing w:before="113" w:after="113"/>
    </w:pPr>
    <w:rPr>
      <w:spacing w:val="-1"/>
    </w:rPr>
  </w:style>
  <w:style w:type="character" w:customStyle="1" w:styleId="MySubscript">
    <w:name w:val="MySubscript"/>
    <w:uiPriority w:val="99"/>
    <w:rsid w:val="00961DBB"/>
    <w:rPr>
      <w:vertAlign w:val="subscript"/>
    </w:rPr>
  </w:style>
  <w:style w:type="character" w:customStyle="1" w:styleId="MySubscriptItalics">
    <w:name w:val="MySubscript&amp;Italics"/>
    <w:uiPriority w:val="99"/>
    <w:rsid w:val="00961DBB"/>
    <w:rPr>
      <w:i/>
      <w:vertAlign w:val="subscript"/>
    </w:rPr>
  </w:style>
  <w:style w:type="character" w:customStyle="1" w:styleId="MySuperscript">
    <w:name w:val="MySuperscript"/>
    <w:uiPriority w:val="99"/>
    <w:rsid w:val="00961DBB"/>
    <w:rPr>
      <w:vertAlign w:val="superscript"/>
    </w:rPr>
  </w:style>
  <w:style w:type="character" w:customStyle="1" w:styleId="MySuperscriptItalics">
    <w:name w:val="MySuperscript&amp;Italics"/>
    <w:uiPriority w:val="99"/>
    <w:rsid w:val="00961DBB"/>
    <w:rPr>
      <w:i/>
      <w:vertAlign w:val="superscript"/>
    </w:rPr>
  </w:style>
  <w:style w:type="paragraph" w:styleId="NoSpacing">
    <w:name w:val="No Spacing"/>
    <w:next w:val="BodyText"/>
    <w:rsid w:val="00961DBB"/>
    <w:pPr>
      <w:spacing w:line="240" w:lineRule="auto"/>
    </w:pPr>
    <w:rPr>
      <w:rFonts w:eastAsia="Times New Roman" w:cs="Arial"/>
      <w:lang w:eastAsia="en-AU"/>
    </w:rPr>
  </w:style>
  <w:style w:type="paragraph" w:customStyle="1" w:styleId="OverviewBodyText">
    <w:name w:val="Overview Body Text"/>
    <w:basedOn w:val="Normal"/>
    <w:rsid w:val="00512226"/>
    <w:pPr>
      <w:spacing w:after="113"/>
    </w:pPr>
  </w:style>
  <w:style w:type="paragraph" w:customStyle="1" w:styleId="OverviewHeading2">
    <w:name w:val="Overview Heading 2"/>
    <w:basedOn w:val="Normal"/>
    <w:next w:val="OverviewBodyText"/>
    <w:rsid w:val="00512226"/>
    <w:pPr>
      <w:keepNext/>
      <w:keepLines/>
      <w:spacing w:before="470" w:after="227"/>
    </w:pPr>
    <w:rPr>
      <w:rFonts w:asciiTheme="majorHAnsi" w:hAnsiTheme="majorHAnsi"/>
      <w:color w:val="2B3B5F" w:themeColor="text2"/>
      <w:sz w:val="32"/>
    </w:rPr>
  </w:style>
  <w:style w:type="paragraph" w:customStyle="1" w:styleId="OverviewHeading3">
    <w:name w:val="Overview Heading 3"/>
    <w:basedOn w:val="OverviewHeading2"/>
    <w:next w:val="OverviewBodyText"/>
    <w:rsid w:val="00512226"/>
    <w:rPr>
      <w:sz w:val="28"/>
    </w:rPr>
  </w:style>
  <w:style w:type="character" w:styleId="PageNumber">
    <w:name w:val="page number"/>
    <w:basedOn w:val="DefaultParagraphFont"/>
    <w:semiHidden/>
    <w:rsid w:val="00961DBB"/>
    <w:rPr>
      <w:rFonts w:ascii="Arial" w:hAnsi="Arial"/>
      <w:b/>
      <w:color w:val="auto"/>
      <w:sz w:val="16"/>
    </w:rPr>
  </w:style>
  <w:style w:type="paragraph" w:customStyle="1" w:styleId="PageNumberOdd">
    <w:name w:val="Page Number Odd"/>
    <w:semiHidden/>
    <w:rsid w:val="00961DBB"/>
    <w:pPr>
      <w:ind w:right="57"/>
      <w:jc w:val="right"/>
    </w:pPr>
    <w:rPr>
      <w:rFonts w:eastAsia="Times New Roman" w:cs="Arial"/>
      <w:b/>
      <w:color w:val="2B3B5F" w:themeColor="text2"/>
      <w:sz w:val="14"/>
      <w:szCs w:val="28"/>
      <w:lang w:eastAsia="en-AU"/>
    </w:rPr>
  </w:style>
  <w:style w:type="paragraph" w:customStyle="1" w:styleId="PageNumberEven">
    <w:name w:val="Page Number Even"/>
    <w:basedOn w:val="PageNumberOdd"/>
    <w:semiHidden/>
    <w:rsid w:val="00961DBB"/>
    <w:pPr>
      <w:framePr w:hSpace="181" w:wrap="around" w:vAnchor="page" w:hAnchor="page" w:yAlign="bottom"/>
      <w:jc w:val="left"/>
    </w:pPr>
  </w:style>
  <w:style w:type="character" w:styleId="PlaceholderText">
    <w:name w:val="Placeholder Text"/>
    <w:basedOn w:val="DefaultParagraphFont"/>
    <w:rsid w:val="00961DBB"/>
    <w:rPr>
      <w:color w:val="808080"/>
    </w:rPr>
  </w:style>
  <w:style w:type="paragraph" w:customStyle="1" w:styleId="PullOutBoxBodyText">
    <w:name w:val="Pull Out Box Body Text"/>
    <w:basedOn w:val="Normal"/>
    <w:qFormat/>
    <w:rsid w:val="00961DBB"/>
    <w:pPr>
      <w:spacing w:before="113" w:after="113"/>
      <w:ind w:left="227" w:right="170"/>
    </w:pPr>
    <w:rPr>
      <w:spacing w:val="-1"/>
    </w:rPr>
  </w:style>
  <w:style w:type="paragraph" w:customStyle="1" w:styleId="PullOutBoxBullet">
    <w:name w:val="Pull Out Box Bullet"/>
    <w:basedOn w:val="PullOutBoxBodyText"/>
    <w:qFormat/>
    <w:rsid w:val="00961DBB"/>
    <w:pPr>
      <w:numPr>
        <w:numId w:val="4"/>
      </w:numPr>
    </w:pPr>
  </w:style>
  <w:style w:type="paragraph" w:customStyle="1" w:styleId="PullOutBoxBullet2">
    <w:name w:val="Pull Out Box Bullet 2"/>
    <w:basedOn w:val="PullOutBoxBodyText"/>
    <w:qFormat/>
    <w:rsid w:val="00961DBB"/>
    <w:pPr>
      <w:numPr>
        <w:ilvl w:val="1"/>
        <w:numId w:val="4"/>
      </w:numPr>
    </w:pPr>
  </w:style>
  <w:style w:type="paragraph" w:customStyle="1" w:styleId="PullOutBoxBullet3">
    <w:name w:val="Pull Out Box Bullet 3"/>
    <w:basedOn w:val="PullOutBoxBodyText"/>
    <w:qFormat/>
    <w:rsid w:val="00961DBB"/>
    <w:pPr>
      <w:numPr>
        <w:ilvl w:val="2"/>
        <w:numId w:val="4"/>
      </w:numPr>
    </w:pPr>
  </w:style>
  <w:style w:type="paragraph" w:customStyle="1" w:styleId="PullOutBoxHeading">
    <w:name w:val="Pull Out Box Heading"/>
    <w:basedOn w:val="PullOutBoxBodyText"/>
    <w:qFormat/>
    <w:rsid w:val="009E446D"/>
    <w:pPr>
      <w:keepNext/>
      <w:keepLines/>
      <w:spacing w:before="114" w:after="114" w:line="360" w:lineRule="atLeast"/>
    </w:pPr>
    <w:rPr>
      <w:b/>
      <w:color w:val="2B3B5F" w:themeColor="text2"/>
      <w:sz w:val="28"/>
    </w:rPr>
  </w:style>
  <w:style w:type="paragraph" w:customStyle="1" w:styleId="PullOutBoxNumber">
    <w:name w:val="Pull Out Box Number"/>
    <w:basedOn w:val="PullOutBoxBodyText"/>
    <w:qFormat/>
    <w:rsid w:val="00961DBB"/>
    <w:pPr>
      <w:numPr>
        <w:numId w:val="5"/>
      </w:numPr>
    </w:pPr>
  </w:style>
  <w:style w:type="paragraph" w:customStyle="1" w:styleId="PullOutBoxNumber2">
    <w:name w:val="Pull Out Box Number 2"/>
    <w:basedOn w:val="PullOutBoxBodyText"/>
    <w:qFormat/>
    <w:rsid w:val="00961DBB"/>
    <w:pPr>
      <w:numPr>
        <w:ilvl w:val="1"/>
        <w:numId w:val="5"/>
      </w:numPr>
    </w:pPr>
  </w:style>
  <w:style w:type="paragraph" w:customStyle="1" w:styleId="PullOutBoxNumber3">
    <w:name w:val="Pull Out Box Number 3"/>
    <w:basedOn w:val="PullOutBoxBodyText"/>
    <w:qFormat/>
    <w:rsid w:val="00961DBB"/>
    <w:pPr>
      <w:numPr>
        <w:ilvl w:val="2"/>
        <w:numId w:val="5"/>
      </w:numPr>
    </w:pPr>
  </w:style>
  <w:style w:type="table" w:customStyle="1" w:styleId="PullOutBoxTable">
    <w:name w:val="Pull Out Box Table"/>
    <w:basedOn w:val="TableNormal"/>
    <w:uiPriority w:val="99"/>
    <w:rsid w:val="00961DBB"/>
    <w:pPr>
      <w:spacing w:line="240" w:lineRule="auto"/>
    </w:pPr>
    <w:rPr>
      <w:rFonts w:eastAsia="Times New Roman" w:cs="Arial"/>
      <w:lang w:eastAsia="en-AU"/>
    </w:rPr>
    <w:tblPr>
      <w:tblBorders>
        <w:top w:val="single" w:sz="4" w:space="0" w:color="D7DDE9" w:themeColor="accent3"/>
        <w:left w:val="single" w:sz="4" w:space="0" w:color="D7DDE9" w:themeColor="accent3"/>
        <w:bottom w:val="single" w:sz="4" w:space="0" w:color="D7DDE9" w:themeColor="accent3"/>
        <w:right w:val="single" w:sz="4" w:space="0" w:color="D7DDE9" w:themeColor="accent3"/>
        <w:insideH w:val="single" w:sz="4" w:space="0" w:color="D7DDE9" w:themeColor="accent3"/>
        <w:insideV w:val="single" w:sz="4" w:space="0" w:color="D7DDE9" w:themeColor="accent3"/>
      </w:tblBorders>
      <w:tblCellMar>
        <w:top w:w="28" w:type="dxa"/>
        <w:left w:w="0" w:type="dxa"/>
        <w:bottom w:w="28" w:type="dxa"/>
        <w:right w:w="0" w:type="dxa"/>
      </w:tblCellMar>
    </w:tblPr>
    <w:tcPr>
      <w:shd w:val="clear" w:color="auto" w:fill="D7DDE9" w:themeFill="accent3"/>
    </w:tcPr>
  </w:style>
  <w:style w:type="paragraph" w:styleId="Quote">
    <w:name w:val="Quote"/>
    <w:basedOn w:val="Normal"/>
    <w:link w:val="QuoteChar"/>
    <w:qFormat/>
    <w:rsid w:val="00961DBB"/>
    <w:pPr>
      <w:tabs>
        <w:tab w:val="left" w:pos="1134"/>
      </w:tabs>
      <w:spacing w:before="240" w:after="240"/>
      <w:ind w:left="284"/>
    </w:pPr>
    <w:rPr>
      <w:i/>
      <w:iCs/>
    </w:rPr>
  </w:style>
  <w:style w:type="character" w:customStyle="1" w:styleId="QuoteChar">
    <w:name w:val="Quote Char"/>
    <w:basedOn w:val="DefaultParagraphFont"/>
    <w:link w:val="Quote"/>
    <w:rsid w:val="000E266E"/>
    <w:rPr>
      <w:i/>
      <w:iCs/>
    </w:rPr>
  </w:style>
  <w:style w:type="paragraph" w:customStyle="1" w:styleId="QuoteBullet">
    <w:name w:val="Quote Bullet"/>
    <w:basedOn w:val="Quote"/>
    <w:qFormat/>
    <w:rsid w:val="00961DBB"/>
    <w:pPr>
      <w:numPr>
        <w:numId w:val="6"/>
      </w:numPr>
    </w:pPr>
  </w:style>
  <w:style w:type="paragraph" w:customStyle="1" w:styleId="QuoteBullet2">
    <w:name w:val="Quote Bullet 2"/>
    <w:basedOn w:val="Quote"/>
    <w:qFormat/>
    <w:rsid w:val="00961DBB"/>
    <w:pPr>
      <w:numPr>
        <w:ilvl w:val="1"/>
        <w:numId w:val="6"/>
      </w:numPr>
      <w:tabs>
        <w:tab w:val="clear" w:pos="1134"/>
      </w:tabs>
    </w:pPr>
  </w:style>
  <w:style w:type="paragraph" w:customStyle="1" w:styleId="SectionHeading">
    <w:name w:val="Section Heading"/>
    <w:basedOn w:val="Normal"/>
    <w:next w:val="BodyText"/>
    <w:rsid w:val="00E45766"/>
    <w:pPr>
      <w:keepLines/>
      <w:spacing w:before="4320" w:line="360" w:lineRule="auto"/>
      <w:ind w:left="1701"/>
      <w:jc w:val="right"/>
      <w:outlineLvl w:val="0"/>
    </w:pPr>
    <w:rPr>
      <w:rFonts w:asciiTheme="majorHAnsi" w:hAnsiTheme="majorHAnsi"/>
      <w:noProof/>
      <w:color w:val="2B3B5F" w:themeColor="text2"/>
      <w:sz w:val="50"/>
      <w:szCs w:val="40"/>
    </w:rPr>
  </w:style>
  <w:style w:type="character" w:customStyle="1" w:styleId="SectionSubtitle">
    <w:name w:val="Section Subtitle"/>
    <w:rsid w:val="00E45766"/>
    <w:rPr>
      <w:color w:val="751D71" w:themeColor="accent4"/>
      <w:sz w:val="40"/>
    </w:rPr>
  </w:style>
  <w:style w:type="paragraph" w:styleId="Subtitle">
    <w:name w:val="Subtitle"/>
    <w:basedOn w:val="Normal"/>
    <w:next w:val="Normal"/>
    <w:link w:val="SubtitleChar"/>
    <w:rsid w:val="00961DBB"/>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0E266E"/>
    <w:rPr>
      <w:rFonts w:asciiTheme="majorHAnsi" w:eastAsiaTheme="majorEastAsia" w:hAnsiTheme="majorHAnsi" w:cstheme="majorBidi"/>
      <w:iCs/>
      <w:spacing w:val="15"/>
    </w:rPr>
  </w:style>
  <w:style w:type="character" w:customStyle="1" w:styleId="Superscript">
    <w:name w:val="Superscript"/>
    <w:rsid w:val="00961DBB"/>
    <w:rPr>
      <w:vertAlign w:val="superscript"/>
    </w:rPr>
  </w:style>
  <w:style w:type="table" w:customStyle="1" w:styleId="TableAsPlaceholder">
    <w:name w:val="Table As Placeholder"/>
    <w:basedOn w:val="TableNormal"/>
    <w:uiPriority w:val="99"/>
    <w:qFormat/>
    <w:rsid w:val="00961DBB"/>
    <w:rPr>
      <w:rFonts w:eastAsia="Times New Roman" w:cs="Arial"/>
      <w:lang w:eastAsia="en-AU"/>
    </w:rPr>
    <w:tblPr>
      <w:tblCellMar>
        <w:left w:w="0" w:type="dxa"/>
        <w:right w:w="0" w:type="dxa"/>
      </w:tblCellMar>
    </w:tblPr>
  </w:style>
  <w:style w:type="paragraph" w:customStyle="1" w:styleId="TableFootnotes">
    <w:name w:val="Table Footnotes"/>
    <w:basedOn w:val="Normal"/>
    <w:rsid w:val="00035ADE"/>
    <w:pPr>
      <w:keepLines/>
      <w:numPr>
        <w:numId w:val="7"/>
      </w:numPr>
      <w:spacing w:after="50"/>
    </w:pPr>
    <w:rPr>
      <w:color w:val="788184" w:themeColor="background2"/>
      <w:sz w:val="20"/>
    </w:rPr>
  </w:style>
  <w:style w:type="table" w:styleId="TableGrid">
    <w:name w:val="Table Grid"/>
    <w:basedOn w:val="TableNormal"/>
    <w:uiPriority w:val="59"/>
    <w:rsid w:val="00F85D29"/>
    <w:pPr>
      <w:spacing w:before="70" w:after="70" w:line="260" w:lineRule="atLeast"/>
      <w:ind w:left="113" w:right="113"/>
    </w:pPr>
    <w:rPr>
      <w:rFonts w:eastAsia="Times New Roman" w:cs="Times New Roman"/>
      <w:sz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Theme="minorHAnsi" w:hAnsiTheme="minorHAnsi"/>
        <w:b w:val="0"/>
        <w:i w:val="0"/>
        <w:color w:val="FFFFFF" w:themeColor="background1"/>
        <w:sz w:val="20"/>
      </w:rPr>
      <w:tblPr/>
      <w:tcPr>
        <w:tcBorders>
          <w:top w:val="nil"/>
          <w:left w:val="nil"/>
          <w:bottom w:val="nil"/>
          <w:right w:val="nil"/>
          <w:insideH w:val="nil"/>
          <w:insideV w:val="nil"/>
          <w:tl2br w:val="nil"/>
          <w:tr2bl w:val="nil"/>
        </w:tcBorders>
        <w:shd w:val="clear" w:color="auto" w:fill="2B3B5F" w:themeFill="text2"/>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hemeFill="accent3"/>
      </w:tcPr>
    </w:tblStylePr>
    <w:tblStylePr w:type="nwCell">
      <w:pPr>
        <w:jc w:val="left"/>
      </w:pPr>
      <w:tblPr/>
      <w:tcPr>
        <w:vAlign w:val="top"/>
      </w:tcPr>
    </w:tblStylePr>
  </w:style>
  <w:style w:type="paragraph" w:customStyle="1" w:styleId="TableHeading">
    <w:name w:val="Table Heading"/>
    <w:basedOn w:val="Normal"/>
    <w:qFormat/>
    <w:rsid w:val="0048342E"/>
    <w:pPr>
      <w:keepNext/>
      <w:keepLines/>
      <w:spacing w:before="70" w:after="70" w:line="260" w:lineRule="atLeast"/>
      <w:ind w:left="113" w:right="113"/>
    </w:pPr>
    <w:rPr>
      <w:rFonts w:cs="Times New Roman"/>
      <w:b/>
      <w:color w:val="FFFFFF"/>
      <w:sz w:val="20"/>
    </w:rPr>
  </w:style>
  <w:style w:type="paragraph" w:customStyle="1" w:styleId="TableHeadingCentred">
    <w:name w:val="Table Heading Centred"/>
    <w:basedOn w:val="TableHeading"/>
    <w:qFormat/>
    <w:rsid w:val="00956D5A"/>
    <w:pPr>
      <w:jc w:val="center"/>
    </w:pPr>
    <w:rPr>
      <w:color w:val="auto"/>
    </w:rPr>
  </w:style>
  <w:style w:type="paragraph" w:customStyle="1" w:styleId="TableHeadingRight">
    <w:name w:val="Table Heading Right"/>
    <w:basedOn w:val="TableHeading"/>
    <w:qFormat/>
    <w:rsid w:val="00956D5A"/>
    <w:pPr>
      <w:jc w:val="right"/>
    </w:pPr>
  </w:style>
  <w:style w:type="paragraph" w:customStyle="1" w:styleId="Source">
    <w:name w:val="Source"/>
    <w:basedOn w:val="Normal"/>
    <w:next w:val="BodyText17ptAbove"/>
    <w:rsid w:val="00035ADE"/>
    <w:pPr>
      <w:spacing w:before="180" w:after="114"/>
      <w:contextualSpacing/>
    </w:pPr>
    <w:rPr>
      <w:rFonts w:cs="Times New Roman"/>
      <w:color w:val="788184" w:themeColor="background2"/>
      <w:sz w:val="20"/>
      <w:szCs w:val="14"/>
    </w:rPr>
  </w:style>
  <w:style w:type="paragraph" w:customStyle="1" w:styleId="TableText">
    <w:name w:val="Table Text"/>
    <w:basedOn w:val="Normal"/>
    <w:qFormat/>
    <w:rsid w:val="0048342E"/>
    <w:pPr>
      <w:spacing w:before="70" w:after="70" w:line="260" w:lineRule="atLeast"/>
      <w:ind w:left="113" w:right="113"/>
    </w:pPr>
    <w:rPr>
      <w:rFonts w:cs="Times New Roman"/>
      <w:sz w:val="20"/>
    </w:rPr>
  </w:style>
  <w:style w:type="paragraph" w:customStyle="1" w:styleId="TableTextBold">
    <w:name w:val="Table Text Bold"/>
    <w:basedOn w:val="TableText"/>
    <w:semiHidden/>
    <w:qFormat/>
    <w:rsid w:val="00961DBB"/>
    <w:rPr>
      <w:b/>
    </w:rPr>
  </w:style>
  <w:style w:type="paragraph" w:customStyle="1" w:styleId="TableTextBullet">
    <w:name w:val="Table Text Bullet"/>
    <w:basedOn w:val="TableText"/>
    <w:rsid w:val="00961DBB"/>
    <w:pPr>
      <w:numPr>
        <w:numId w:val="8"/>
      </w:numPr>
    </w:pPr>
  </w:style>
  <w:style w:type="paragraph" w:customStyle="1" w:styleId="TableTextBullet2">
    <w:name w:val="Table Text Bullet 2"/>
    <w:basedOn w:val="TableTextBullet"/>
    <w:qFormat/>
    <w:rsid w:val="00961DBB"/>
    <w:pPr>
      <w:numPr>
        <w:ilvl w:val="1"/>
      </w:numPr>
    </w:pPr>
    <w:rPr>
      <w:bCs/>
    </w:rPr>
  </w:style>
  <w:style w:type="paragraph" w:customStyle="1" w:styleId="TableTextBullet3">
    <w:name w:val="Table Text Bullet 3"/>
    <w:basedOn w:val="TableTextBullet2"/>
    <w:qFormat/>
    <w:rsid w:val="00961DBB"/>
    <w:pPr>
      <w:numPr>
        <w:ilvl w:val="2"/>
      </w:numPr>
    </w:pPr>
    <w:rPr>
      <w:bCs w:val="0"/>
    </w:rPr>
  </w:style>
  <w:style w:type="paragraph" w:customStyle="1" w:styleId="TableTextNumber">
    <w:name w:val="Table Text Number"/>
    <w:basedOn w:val="TableText"/>
    <w:qFormat/>
    <w:rsid w:val="00961DBB"/>
    <w:pPr>
      <w:numPr>
        <w:numId w:val="9"/>
      </w:numPr>
    </w:pPr>
  </w:style>
  <w:style w:type="paragraph" w:customStyle="1" w:styleId="TableTextNumber2">
    <w:name w:val="Table Text Number 2"/>
    <w:basedOn w:val="TableTextNumber"/>
    <w:qFormat/>
    <w:rsid w:val="00961DBB"/>
    <w:pPr>
      <w:numPr>
        <w:ilvl w:val="1"/>
      </w:numPr>
      <w:tabs>
        <w:tab w:val="clear" w:pos="709"/>
        <w:tab w:val="num" w:pos="680"/>
      </w:tabs>
      <w:ind w:left="680"/>
    </w:pPr>
  </w:style>
  <w:style w:type="paragraph" w:customStyle="1" w:styleId="TableTextNumber3">
    <w:name w:val="Table Text Number 3"/>
    <w:basedOn w:val="TableTextNumber2"/>
    <w:qFormat/>
    <w:rsid w:val="00961DBB"/>
    <w:pPr>
      <w:numPr>
        <w:ilvl w:val="2"/>
      </w:numPr>
    </w:pPr>
  </w:style>
  <w:style w:type="paragraph" w:customStyle="1" w:styleId="TableTextRight">
    <w:name w:val="Table Text Right"/>
    <w:basedOn w:val="TableText"/>
    <w:qFormat/>
    <w:rsid w:val="00961DBB"/>
    <w:pPr>
      <w:jc w:val="right"/>
    </w:pPr>
  </w:style>
  <w:style w:type="paragraph" w:customStyle="1" w:styleId="TableofContents2">
    <w:name w:val="TableofContents2"/>
    <w:basedOn w:val="Normal"/>
    <w:semiHidden/>
    <w:rsid w:val="00CA0B7E"/>
    <w:pPr>
      <w:keepNext/>
      <w:spacing w:after="113"/>
    </w:pPr>
    <w:rPr>
      <w:sz w:val="28"/>
      <w:szCs w:val="28"/>
    </w:rPr>
  </w:style>
  <w:style w:type="paragraph" w:styleId="Title">
    <w:name w:val="Title"/>
    <w:basedOn w:val="Normal"/>
    <w:next w:val="Normal"/>
    <w:link w:val="TitleChar"/>
    <w:rsid w:val="00195228"/>
    <w:pPr>
      <w:spacing w:after="100" w:line="240" w:lineRule="auto"/>
      <w:jc w:val="right"/>
    </w:pPr>
    <w:rPr>
      <w:rFonts w:asciiTheme="majorHAnsi" w:eastAsiaTheme="majorEastAsia" w:hAnsiTheme="majorHAnsi" w:cstheme="majorBidi"/>
      <w:color w:val="2B3B5F" w:themeColor="text2"/>
      <w:spacing w:val="-2"/>
      <w:sz w:val="50"/>
      <w:szCs w:val="50"/>
    </w:rPr>
  </w:style>
  <w:style w:type="character" w:customStyle="1" w:styleId="TitleChar">
    <w:name w:val="Title Char"/>
    <w:basedOn w:val="DefaultParagraphFont"/>
    <w:link w:val="Title"/>
    <w:rsid w:val="000E266E"/>
    <w:rPr>
      <w:rFonts w:asciiTheme="majorHAnsi" w:eastAsiaTheme="majorEastAsia" w:hAnsiTheme="majorHAnsi" w:cstheme="majorBidi"/>
      <w:color w:val="2B3B5F" w:themeColor="text2"/>
      <w:spacing w:val="-2"/>
      <w:sz w:val="50"/>
      <w:szCs w:val="50"/>
    </w:rPr>
  </w:style>
  <w:style w:type="paragraph" w:customStyle="1" w:styleId="Title2">
    <w:name w:val="Title 2"/>
    <w:basedOn w:val="Normal"/>
    <w:link w:val="Title2Char"/>
    <w:rsid w:val="00C8728F"/>
    <w:pPr>
      <w:spacing w:after="250"/>
      <w:ind w:left="397"/>
      <w:jc w:val="right"/>
    </w:pPr>
    <w:rPr>
      <w:rFonts w:asciiTheme="majorHAnsi" w:hAnsiTheme="majorHAnsi"/>
      <w:color w:val="FFFFFF"/>
      <w:spacing w:val="-2"/>
      <w:sz w:val="32"/>
    </w:rPr>
  </w:style>
  <w:style w:type="character" w:customStyle="1" w:styleId="Title2Char">
    <w:name w:val="Title 2 Char"/>
    <w:basedOn w:val="DefaultParagraphFont"/>
    <w:link w:val="Title2"/>
    <w:rsid w:val="000E266E"/>
    <w:rPr>
      <w:rFonts w:asciiTheme="majorHAnsi" w:hAnsiTheme="majorHAnsi"/>
      <w:color w:val="FFFFFF"/>
      <w:spacing w:val="-2"/>
      <w:sz w:val="32"/>
    </w:rPr>
  </w:style>
  <w:style w:type="paragraph" w:customStyle="1" w:styleId="Title3">
    <w:name w:val="Title 3"/>
    <w:basedOn w:val="Title2"/>
    <w:rsid w:val="00195228"/>
    <w:pPr>
      <w:framePr w:wrap="auto" w:vAnchor="page" w:hAnchor="margin" w:y="5779"/>
    </w:pPr>
    <w:rPr>
      <w:rFonts w:eastAsia="Times New Roman" w:cs="Arial"/>
      <w:i/>
      <w:spacing w:val="8"/>
      <w:lang w:eastAsia="en-AU"/>
    </w:rPr>
  </w:style>
  <w:style w:type="paragraph" w:styleId="TOC1">
    <w:name w:val="toc 1"/>
    <w:basedOn w:val="Normal"/>
    <w:next w:val="Normal"/>
    <w:uiPriority w:val="39"/>
    <w:rsid w:val="001B2C65"/>
    <w:pPr>
      <w:tabs>
        <w:tab w:val="left" w:pos="454"/>
        <w:tab w:val="right" w:leader="underscore" w:pos="8165"/>
      </w:tabs>
      <w:spacing w:after="227"/>
      <w:ind w:left="454" w:right="851" w:hanging="454"/>
    </w:pPr>
    <w:rPr>
      <w:b/>
      <w:noProof/>
      <w:color w:val="2B3B5F" w:themeColor="text2"/>
    </w:rPr>
  </w:style>
  <w:style w:type="paragraph" w:styleId="TOC2">
    <w:name w:val="toc 2"/>
    <w:basedOn w:val="Normal"/>
    <w:next w:val="Normal"/>
    <w:uiPriority w:val="39"/>
    <w:rsid w:val="001B2C65"/>
    <w:pPr>
      <w:tabs>
        <w:tab w:val="left" w:pos="1021"/>
        <w:tab w:val="right" w:leader="underscore" w:pos="8165"/>
      </w:tabs>
      <w:spacing w:after="227"/>
      <w:ind w:left="1021" w:right="851" w:hanging="567"/>
    </w:pPr>
    <w:rPr>
      <w:noProof/>
      <w:szCs w:val="28"/>
    </w:rPr>
  </w:style>
  <w:style w:type="paragraph" w:styleId="TOC3">
    <w:name w:val="toc 3"/>
    <w:basedOn w:val="Normal"/>
    <w:next w:val="Normal"/>
    <w:uiPriority w:val="39"/>
    <w:rsid w:val="001B2C65"/>
    <w:pPr>
      <w:tabs>
        <w:tab w:val="left" w:pos="1758"/>
        <w:tab w:val="right" w:leader="underscore" w:pos="8165"/>
      </w:tabs>
      <w:spacing w:after="227"/>
      <w:ind w:left="1758" w:right="851" w:hanging="737"/>
    </w:pPr>
    <w:rPr>
      <w:rFonts w:eastAsiaTheme="minorEastAsia"/>
      <w:noProof/>
    </w:rPr>
  </w:style>
  <w:style w:type="paragraph" w:styleId="TOC4">
    <w:name w:val="toc 4"/>
    <w:basedOn w:val="Normal"/>
    <w:uiPriority w:val="39"/>
    <w:rsid w:val="006C5E72"/>
    <w:pPr>
      <w:tabs>
        <w:tab w:val="right" w:leader="underscore" w:pos="8165"/>
      </w:tabs>
      <w:spacing w:after="80"/>
      <w:ind w:right="851"/>
    </w:pPr>
    <w:rPr>
      <w:noProof/>
    </w:rPr>
  </w:style>
  <w:style w:type="paragraph" w:styleId="TOC5">
    <w:name w:val="toc 5"/>
    <w:basedOn w:val="Normal"/>
    <w:next w:val="Normal"/>
    <w:autoRedefine/>
    <w:rsid w:val="0096618E"/>
    <w:pPr>
      <w:tabs>
        <w:tab w:val="right" w:leader="underscore" w:pos="8165"/>
      </w:tabs>
      <w:spacing w:after="227"/>
      <w:ind w:right="851"/>
    </w:pPr>
    <w:rPr>
      <w:b/>
      <w:color w:val="2B3B5F" w:themeColor="text2"/>
    </w:rPr>
  </w:style>
  <w:style w:type="paragraph" w:styleId="TOC6">
    <w:name w:val="toc 6"/>
    <w:basedOn w:val="Normal"/>
    <w:next w:val="Normal"/>
    <w:autoRedefine/>
    <w:semiHidden/>
    <w:rsid w:val="00961DBB"/>
    <w:pPr>
      <w:spacing w:after="100"/>
      <w:ind w:left="1000"/>
    </w:pPr>
  </w:style>
  <w:style w:type="paragraph" w:styleId="TOC7">
    <w:name w:val="toc 7"/>
    <w:basedOn w:val="Normal"/>
    <w:next w:val="Normal"/>
    <w:autoRedefine/>
    <w:semiHidden/>
    <w:rsid w:val="00961DBB"/>
    <w:pPr>
      <w:spacing w:after="100"/>
      <w:ind w:left="1200"/>
    </w:pPr>
  </w:style>
  <w:style w:type="paragraph" w:styleId="TOC8">
    <w:name w:val="toc 8"/>
    <w:basedOn w:val="Normal"/>
    <w:next w:val="Normal"/>
    <w:autoRedefine/>
    <w:rsid w:val="00961DBB"/>
    <w:pPr>
      <w:tabs>
        <w:tab w:val="right" w:leader="dot" w:pos="9582"/>
      </w:tabs>
      <w:spacing w:after="227"/>
      <w:ind w:right="907"/>
    </w:pPr>
    <w:rPr>
      <w:color w:val="2B3B5F" w:themeColor="text2"/>
    </w:rPr>
  </w:style>
  <w:style w:type="paragraph" w:styleId="TOCHeading">
    <w:name w:val="TOC Heading"/>
    <w:basedOn w:val="Normal"/>
    <w:rsid w:val="00733970"/>
    <w:pPr>
      <w:tabs>
        <w:tab w:val="left" w:pos="1134"/>
        <w:tab w:val="left" w:pos="2268"/>
        <w:tab w:val="left" w:pos="3402"/>
        <w:tab w:val="left" w:pos="4536"/>
        <w:tab w:val="left" w:pos="5103"/>
      </w:tabs>
      <w:spacing w:before="480" w:after="340" w:line="240" w:lineRule="auto"/>
    </w:pPr>
    <w:rPr>
      <w:rFonts w:asciiTheme="majorHAnsi" w:hAnsiTheme="majorHAnsi"/>
      <w:color w:val="2B3B5F" w:themeColor="text2"/>
      <w:sz w:val="40"/>
      <w:szCs w:val="40"/>
    </w:rPr>
  </w:style>
  <w:style w:type="paragraph" w:customStyle="1" w:styleId="TOFHeading">
    <w:name w:val="TOF Heading"/>
    <w:basedOn w:val="Normal"/>
    <w:rsid w:val="00961DBB"/>
    <w:pPr>
      <w:keepNext/>
      <w:tabs>
        <w:tab w:val="left" w:pos="2268"/>
      </w:tabs>
      <w:spacing w:before="300" w:after="120"/>
    </w:pPr>
    <w:rPr>
      <w:color w:val="2B3B5F" w:themeColor="text2"/>
      <w:sz w:val="28"/>
      <w:szCs w:val="32"/>
    </w:rPr>
  </w:style>
  <w:style w:type="paragraph" w:customStyle="1" w:styleId="xDisclaimerHeading">
    <w:name w:val="xDisclaimer Heading"/>
    <w:basedOn w:val="Normal"/>
    <w:link w:val="xDisclaimerHeadingChar"/>
    <w:rsid w:val="00961DBB"/>
    <w:pPr>
      <w:framePr w:hSpace="181" w:wrap="around" w:hAnchor="margin" w:y="4310"/>
      <w:spacing w:before="170" w:after="57" w:line="280" w:lineRule="atLeast"/>
      <w:suppressOverlap/>
    </w:pPr>
    <w:rPr>
      <w:b/>
    </w:rPr>
  </w:style>
  <w:style w:type="character" w:customStyle="1" w:styleId="xDisclaimerHeadingChar">
    <w:name w:val="xDisclaimer Heading Char"/>
    <w:basedOn w:val="DefaultParagraphFont"/>
    <w:link w:val="xDisclaimerHeading"/>
    <w:rsid w:val="000E266E"/>
    <w:rPr>
      <w:b/>
    </w:rPr>
  </w:style>
  <w:style w:type="paragraph" w:customStyle="1" w:styleId="xDisclaimerText">
    <w:name w:val="xDisclaimer Text"/>
    <w:basedOn w:val="Normal"/>
    <w:rsid w:val="00961DBB"/>
    <w:pPr>
      <w:spacing w:after="57" w:line="302" w:lineRule="atLeast"/>
    </w:pPr>
    <w:rPr>
      <w:rFonts w:cs="Times New Roman"/>
    </w:rPr>
  </w:style>
  <w:style w:type="paragraph" w:customStyle="1" w:styleId="xDisclaimerText2">
    <w:name w:val="xDisclaimer Text 2"/>
    <w:basedOn w:val="xDisclaimerHeading"/>
    <w:rsid w:val="00961DBB"/>
    <w:pPr>
      <w:framePr w:wrap="around"/>
      <w:spacing w:before="0" w:after="170" w:line="302" w:lineRule="atLeast"/>
    </w:pPr>
    <w:rPr>
      <w:b w:val="0"/>
    </w:rPr>
  </w:style>
  <w:style w:type="paragraph" w:customStyle="1" w:styleId="xDisclaimertext3">
    <w:name w:val="xDisclaimer text 3"/>
    <w:basedOn w:val="xDisclaimerText"/>
    <w:rsid w:val="00961DBB"/>
    <w:pPr>
      <w:spacing w:before="170" w:after="170"/>
    </w:pPr>
  </w:style>
  <w:style w:type="paragraph" w:customStyle="1" w:styleId="xInlineShape">
    <w:name w:val="xInlineShape"/>
    <w:basedOn w:val="Normal"/>
    <w:next w:val="BodyText"/>
    <w:rsid w:val="009A3E58"/>
    <w:pPr>
      <w:keepNext/>
      <w:spacing w:before="300" w:after="120" w:line="240" w:lineRule="auto"/>
    </w:pPr>
  </w:style>
  <w:style w:type="paragraph" w:customStyle="1" w:styleId="xStatus">
    <w:name w:val="xStatus"/>
    <w:basedOn w:val="Normal"/>
    <w:semiHidden/>
    <w:rsid w:val="0094468E"/>
    <w:pPr>
      <w:tabs>
        <w:tab w:val="left" w:pos="1134"/>
        <w:tab w:val="left" w:pos="2268"/>
        <w:tab w:val="left" w:pos="3402"/>
        <w:tab w:val="left" w:pos="4536"/>
        <w:tab w:val="left" w:pos="5103"/>
      </w:tabs>
      <w:spacing w:line="1400" w:lineRule="exact"/>
      <w:jc w:val="center"/>
    </w:pPr>
    <w:rPr>
      <w:caps/>
      <w:color w:val="EAEAEA"/>
      <w:spacing w:val="40"/>
      <w:sz w:val="140"/>
    </w:rPr>
  </w:style>
  <w:style w:type="paragraph" w:customStyle="1" w:styleId="xDisclaimerHeadingwithxDisclaimerText">
    <w:name w:val="xDisclaimer Heading (with xDisclaimer Text)"/>
    <w:basedOn w:val="xDisclaimerHeading"/>
    <w:link w:val="xDisclaimerHeadingwithxDisclaimerTextChar"/>
    <w:qFormat/>
    <w:rsid w:val="00961DBB"/>
    <w:pPr>
      <w:framePr w:wrap="around"/>
    </w:pPr>
  </w:style>
  <w:style w:type="character" w:customStyle="1" w:styleId="xDisclaimerHeadingwithxDisclaimerTextChar">
    <w:name w:val="xDisclaimer Heading (with xDisclaimer Text) Char"/>
    <w:basedOn w:val="xDisclaimerHeadingChar"/>
    <w:link w:val="xDisclaimerHeadingwithxDisclaimerText"/>
    <w:rsid w:val="000E266E"/>
    <w:rPr>
      <w:b/>
    </w:rPr>
  </w:style>
  <w:style w:type="character" w:styleId="Hyperlink">
    <w:name w:val="Hyperlink"/>
    <w:basedOn w:val="DefaultParagraphFont"/>
    <w:uiPriority w:val="99"/>
    <w:unhideWhenUsed/>
    <w:rsid w:val="00903E3F"/>
    <w:rPr>
      <w:color w:val="auto"/>
      <w:u w:val="single"/>
    </w:rPr>
  </w:style>
  <w:style w:type="paragraph" w:styleId="BalloonText">
    <w:name w:val="Balloon Text"/>
    <w:basedOn w:val="Normal"/>
    <w:link w:val="BalloonTextChar"/>
    <w:semiHidden/>
    <w:unhideWhenUsed/>
    <w:rsid w:val="00903E3F"/>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E266E"/>
    <w:rPr>
      <w:rFonts w:ascii="Tahoma" w:hAnsi="Tahoma" w:cs="Tahoma"/>
      <w:sz w:val="16"/>
      <w:szCs w:val="16"/>
    </w:rPr>
  </w:style>
  <w:style w:type="paragraph" w:customStyle="1" w:styleId="CaptionBefore12pt">
    <w:name w:val="Caption + Before: 12pt"/>
    <w:basedOn w:val="Caption"/>
    <w:rsid w:val="00FD6119"/>
    <w:pPr>
      <w:spacing w:before="240"/>
    </w:pPr>
  </w:style>
  <w:style w:type="paragraph" w:customStyle="1" w:styleId="xBackPageWebAddress">
    <w:name w:val="xBack Page Web Address"/>
    <w:basedOn w:val="Normal"/>
    <w:rsid w:val="00F31392"/>
    <w:pPr>
      <w:spacing w:before="140" w:line="240" w:lineRule="atLeast"/>
    </w:pPr>
    <w:rPr>
      <w:rFonts w:asciiTheme="majorHAnsi" w:hAnsiTheme="majorHAnsi"/>
      <w:color w:val="FFFFFF"/>
      <w:spacing w:val="-6"/>
      <w:sz w:val="40"/>
      <w:szCs w:val="36"/>
    </w:rPr>
  </w:style>
  <w:style w:type="paragraph" w:customStyle="1" w:styleId="Heading1NoNumbering">
    <w:name w:val="Heading 1 No Numbering"/>
    <w:basedOn w:val="Heading1"/>
    <w:qFormat/>
    <w:rsid w:val="00A12C39"/>
    <w:pPr>
      <w:numPr>
        <w:numId w:val="0"/>
      </w:numPr>
    </w:pPr>
  </w:style>
  <w:style w:type="paragraph" w:styleId="TableofFigures">
    <w:name w:val="table of figures"/>
    <w:basedOn w:val="Normal"/>
    <w:next w:val="Normal"/>
    <w:uiPriority w:val="99"/>
    <w:rsid w:val="00D64CE2"/>
    <w:pPr>
      <w:tabs>
        <w:tab w:val="right" w:leader="underscore" w:pos="8165"/>
      </w:tabs>
      <w:spacing w:after="80"/>
      <w:ind w:right="851"/>
    </w:pPr>
  </w:style>
  <w:style w:type="paragraph" w:customStyle="1" w:styleId="SectionHeadingNoTOC">
    <w:name w:val="Section Heading No TOC"/>
    <w:basedOn w:val="SectionHeading"/>
    <w:rsid w:val="00E45766"/>
  </w:style>
  <w:style w:type="paragraph" w:customStyle="1" w:styleId="TableTextCentred">
    <w:name w:val="Table Text Centred"/>
    <w:basedOn w:val="TableText"/>
    <w:qFormat/>
    <w:rsid w:val="00AE1CC1"/>
    <w:pPr>
      <w:jc w:val="center"/>
    </w:pPr>
    <w:rPr>
      <w:rFonts w:eastAsia="Times New Roman"/>
      <w:lang w:eastAsia="en-AU"/>
    </w:rPr>
  </w:style>
  <w:style w:type="paragraph" w:customStyle="1" w:styleId="FooterRightPageNumberLS">
    <w:name w:val="Footer Right Page Number LS"/>
    <w:basedOn w:val="Normal"/>
    <w:rsid w:val="004E0E49"/>
    <w:pPr>
      <w:framePr w:wrap="auto" w:hAnchor="text" w:x="1"/>
      <w:spacing w:before="180" w:after="120" w:line="240" w:lineRule="auto"/>
      <w:ind w:right="283"/>
      <w:jc w:val="right"/>
    </w:pPr>
    <w:rPr>
      <w:rFonts w:eastAsia="Times New Roman" w:cs="Arial"/>
      <w:b/>
      <w:noProof/>
      <w:color w:val="788184" w:themeColor="background2"/>
      <w:lang w:eastAsia="en-AU"/>
    </w:rPr>
  </w:style>
  <w:style w:type="character" w:customStyle="1" w:styleId="MyBoldItalicsUnderline">
    <w:name w:val="MyBoldItalicsUnderline"/>
    <w:uiPriority w:val="99"/>
    <w:rsid w:val="000E266E"/>
    <w:rPr>
      <w:b/>
      <w:i/>
      <w:u w:val="single"/>
      <w:vertAlign w:val="baseline"/>
    </w:rPr>
  </w:style>
  <w:style w:type="character" w:customStyle="1" w:styleId="MyBoldUnderline">
    <w:name w:val="MyBoldUnderline"/>
    <w:uiPriority w:val="99"/>
    <w:rsid w:val="000E266E"/>
    <w:rPr>
      <w:b/>
      <w:i/>
      <w:u w:val="single"/>
      <w:vertAlign w:val="baseline"/>
    </w:rPr>
  </w:style>
  <w:style w:type="character" w:customStyle="1" w:styleId="MyItalicsUnderline">
    <w:name w:val="MyItalicsUnderline"/>
    <w:uiPriority w:val="99"/>
    <w:rsid w:val="000E266E"/>
    <w:rPr>
      <w:b/>
      <w:i/>
      <w:u w:val="single"/>
      <w:vertAlign w:val="baseline"/>
    </w:rPr>
  </w:style>
  <w:style w:type="character" w:customStyle="1" w:styleId="MyUnderline">
    <w:name w:val="MyUnderline"/>
    <w:uiPriority w:val="99"/>
    <w:rsid w:val="000E266E"/>
    <w:rPr>
      <w:b w:val="0"/>
      <w:i w:val="0"/>
      <w:u w:val="single"/>
      <w:vertAlign w:val="baseline"/>
    </w:rPr>
  </w:style>
  <w:style w:type="paragraph" w:styleId="TOC9">
    <w:name w:val="toc 9"/>
    <w:basedOn w:val="Normal"/>
    <w:next w:val="Normal"/>
    <w:autoRedefine/>
    <w:semiHidden/>
    <w:unhideWhenUsed/>
    <w:rsid w:val="00613471"/>
    <w:pPr>
      <w:spacing w:after="100"/>
      <w:ind w:left="1760"/>
    </w:pPr>
  </w:style>
  <w:style w:type="paragraph" w:styleId="ListParagraph">
    <w:name w:val="List Paragraph"/>
    <w:basedOn w:val="Normal"/>
    <w:link w:val="ListParagraphChar"/>
    <w:uiPriority w:val="34"/>
    <w:rsid w:val="00F95381"/>
    <w:pPr>
      <w:spacing w:before="240" w:line="240" w:lineRule="auto"/>
      <w:ind w:left="720"/>
      <w:contextualSpacing/>
    </w:pPr>
    <w:rPr>
      <w:rFonts w:ascii="Times New Roman" w:hAnsi="Times New Roman" w:cs="Times New Roman"/>
      <w:sz w:val="24"/>
      <w:szCs w:val="24"/>
    </w:rPr>
  </w:style>
  <w:style w:type="paragraph" w:customStyle="1" w:styleId="Bullet1">
    <w:name w:val="Bullet 1"/>
    <w:basedOn w:val="ListParagraph"/>
    <w:link w:val="Bullet1Char"/>
    <w:rsid w:val="00F95381"/>
    <w:pPr>
      <w:keepNext/>
      <w:keepLines/>
      <w:numPr>
        <w:numId w:val="17"/>
      </w:numPr>
      <w:ind w:left="284" w:hanging="284"/>
      <w:contextualSpacing w:val="0"/>
    </w:pPr>
  </w:style>
  <w:style w:type="character" w:customStyle="1" w:styleId="ListParagraphChar">
    <w:name w:val="List Paragraph Char"/>
    <w:basedOn w:val="DefaultParagraphFont"/>
    <w:link w:val="ListParagraph"/>
    <w:uiPriority w:val="34"/>
    <w:rsid w:val="00F95381"/>
    <w:rPr>
      <w:rFonts w:ascii="Times New Roman" w:hAnsi="Times New Roman" w:cs="Times New Roman"/>
      <w:sz w:val="24"/>
      <w:szCs w:val="24"/>
    </w:rPr>
  </w:style>
  <w:style w:type="character" w:customStyle="1" w:styleId="Bullet1Char">
    <w:name w:val="Bullet 1 Char"/>
    <w:basedOn w:val="ListParagraphChar"/>
    <w:link w:val="Bullet1"/>
    <w:rsid w:val="00F95381"/>
    <w:rPr>
      <w:rFonts w:ascii="Times New Roman" w:hAnsi="Times New Roman" w:cs="Times New Roman"/>
      <w:sz w:val="24"/>
      <w:szCs w:val="24"/>
    </w:rPr>
  </w:style>
  <w:style w:type="paragraph" w:customStyle="1" w:styleId="Bullet2">
    <w:name w:val="Bullet 2"/>
    <w:basedOn w:val="Normal"/>
    <w:link w:val="Bullet2Char"/>
    <w:rsid w:val="00F95381"/>
    <w:pPr>
      <w:numPr>
        <w:ilvl w:val="1"/>
        <w:numId w:val="18"/>
      </w:numPr>
      <w:spacing w:before="120" w:line="240" w:lineRule="auto"/>
      <w:ind w:left="568" w:hanging="284"/>
    </w:pPr>
    <w:rPr>
      <w:rFonts w:ascii="Times New Roman" w:eastAsia="Times New Roman" w:hAnsi="Times New Roman" w:cs="Times New Roman"/>
      <w:sz w:val="24"/>
      <w:szCs w:val="20"/>
      <w:lang w:eastAsia="en-AU"/>
    </w:rPr>
  </w:style>
  <w:style w:type="paragraph" w:customStyle="1" w:styleId="Bullet4">
    <w:name w:val="Bullet 4"/>
    <w:basedOn w:val="Normal"/>
    <w:rsid w:val="00F95381"/>
    <w:pPr>
      <w:numPr>
        <w:ilvl w:val="2"/>
        <w:numId w:val="18"/>
      </w:numPr>
      <w:spacing w:before="120" w:line="240" w:lineRule="auto"/>
      <w:ind w:left="1135" w:hanging="284"/>
    </w:pPr>
    <w:rPr>
      <w:rFonts w:ascii="Times New Roman" w:eastAsia="Times New Roman" w:hAnsi="Times New Roman" w:cs="Times New Roman"/>
      <w:sz w:val="24"/>
      <w:szCs w:val="20"/>
      <w:lang w:eastAsia="en-AU"/>
    </w:rPr>
  </w:style>
  <w:style w:type="character" w:customStyle="1" w:styleId="Bullet2Char">
    <w:name w:val="Bullet 2 Char"/>
    <w:basedOn w:val="DefaultParagraphFont"/>
    <w:link w:val="Bullet2"/>
    <w:rsid w:val="00F95381"/>
    <w:rPr>
      <w:rFonts w:ascii="Times New Roman" w:eastAsia="Times New Roman" w:hAnsi="Times New Roman" w:cs="Times New Roman"/>
      <w:sz w:val="24"/>
      <w:szCs w:val="20"/>
      <w:lang w:eastAsia="en-AU"/>
    </w:rPr>
  </w:style>
  <w:style w:type="character" w:styleId="CommentReference">
    <w:name w:val="annotation reference"/>
    <w:basedOn w:val="DefaultParagraphFont"/>
    <w:semiHidden/>
    <w:unhideWhenUsed/>
    <w:rsid w:val="00F95381"/>
    <w:rPr>
      <w:sz w:val="16"/>
      <w:szCs w:val="16"/>
    </w:rPr>
  </w:style>
  <w:style w:type="paragraph" w:styleId="CommentText">
    <w:name w:val="annotation text"/>
    <w:basedOn w:val="Normal"/>
    <w:link w:val="CommentTextChar"/>
    <w:semiHidden/>
    <w:unhideWhenUsed/>
    <w:rsid w:val="00F95381"/>
    <w:pPr>
      <w:spacing w:line="240" w:lineRule="auto"/>
    </w:pPr>
    <w:rPr>
      <w:sz w:val="20"/>
      <w:szCs w:val="20"/>
    </w:rPr>
  </w:style>
  <w:style w:type="character" w:customStyle="1" w:styleId="CommentTextChar">
    <w:name w:val="Comment Text Char"/>
    <w:basedOn w:val="DefaultParagraphFont"/>
    <w:link w:val="CommentText"/>
    <w:semiHidden/>
    <w:rsid w:val="00F95381"/>
    <w:rPr>
      <w:sz w:val="20"/>
      <w:szCs w:val="20"/>
    </w:rPr>
  </w:style>
  <w:style w:type="paragraph" w:styleId="CommentSubject">
    <w:name w:val="annotation subject"/>
    <w:basedOn w:val="CommentText"/>
    <w:next w:val="CommentText"/>
    <w:link w:val="CommentSubjectChar"/>
    <w:semiHidden/>
    <w:unhideWhenUsed/>
    <w:rsid w:val="00F95381"/>
    <w:rPr>
      <w:b/>
      <w:bCs/>
    </w:rPr>
  </w:style>
  <w:style w:type="character" w:customStyle="1" w:styleId="CommentSubjectChar">
    <w:name w:val="Comment Subject Char"/>
    <w:basedOn w:val="CommentTextChar"/>
    <w:link w:val="CommentSubject"/>
    <w:semiHidden/>
    <w:rsid w:val="00F95381"/>
    <w:rPr>
      <w:b/>
      <w:bCs/>
      <w:sz w:val="20"/>
      <w:szCs w:val="20"/>
    </w:rPr>
  </w:style>
  <w:style w:type="table" w:customStyle="1" w:styleId="TableGrid1">
    <w:name w:val="Table Grid1"/>
    <w:basedOn w:val="TableNormal"/>
    <w:next w:val="TableGrid"/>
    <w:uiPriority w:val="59"/>
    <w:rsid w:val="00F95381"/>
    <w:pPr>
      <w:keepNext/>
      <w:keepLines/>
      <w:spacing w:before="60" w:after="6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65BC4"/>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line="300" w:lineRule="atLeas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able of figures" w:semiHidden="0" w:uiPriority="99" w:unhideWhenUsed="0"/>
    <w:lsdException w:name="List Bullet" w:qFormat="1"/>
    <w:lsdException w:name="List Number" w:qFormat="1"/>
    <w:lsdException w:name="List Bullet 2" w:qFormat="1"/>
    <w:lsdException w:name="List Number 2" w:qFormat="1"/>
    <w:lsdException w:name="List Number 3" w:qFormat="1"/>
    <w:lsdException w:name="Title" w:semiHidden="0" w:unhideWhenUsed="0" w:qFormat="1"/>
    <w:lsdException w:name="Default Paragraph Font" w:uiPriority="1"/>
    <w:lsdException w:name="Body Text" w:qFormat="1"/>
    <w:lsdException w:name="List Continue" w:qFormat="1"/>
    <w:lsdException w:name="List Continue 2" w:qFormat="1"/>
    <w:lsdException w:name="Subtitle" w:semiHidden="0" w:unhideWhenUsed="0" w:qFormat="1"/>
    <w:lsdException w:name="Hyperlink" w:uiPriority="99"/>
    <w:lsdException w:name="Strong" w:unhideWhenUsed="0" w:qFormat="1"/>
    <w:lsdException w:name="Emphasis"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TOC Heading" w:qFormat="1"/>
  </w:latentStyles>
  <w:style w:type="paragraph" w:default="1" w:styleId="Normal">
    <w:name w:val="Normal"/>
    <w:qFormat/>
    <w:rsid w:val="000E266E"/>
  </w:style>
  <w:style w:type="paragraph" w:styleId="Heading1">
    <w:name w:val="heading 1"/>
    <w:basedOn w:val="Normal"/>
    <w:next w:val="BodyText"/>
    <w:link w:val="Heading1Char"/>
    <w:qFormat/>
    <w:rsid w:val="00733970"/>
    <w:pPr>
      <w:keepNext/>
      <w:keepLines/>
      <w:numPr>
        <w:numId w:val="10"/>
      </w:numPr>
      <w:tabs>
        <w:tab w:val="right" w:pos="1418"/>
        <w:tab w:val="right" w:pos="1701"/>
        <w:tab w:val="right" w:pos="1985"/>
      </w:tabs>
      <w:spacing w:before="480" w:after="340" w:line="240" w:lineRule="auto"/>
      <w:outlineLvl w:val="0"/>
    </w:pPr>
    <w:rPr>
      <w:rFonts w:asciiTheme="majorHAnsi" w:hAnsiTheme="majorHAnsi"/>
      <w:bCs/>
      <w:color w:val="2B3B5F" w:themeColor="text2"/>
      <w:spacing w:val="-6"/>
      <w:kern w:val="32"/>
      <w:sz w:val="40"/>
      <w:szCs w:val="32"/>
    </w:rPr>
  </w:style>
  <w:style w:type="paragraph" w:styleId="Heading2">
    <w:name w:val="heading 2"/>
    <w:basedOn w:val="Normal"/>
    <w:next w:val="BodyText"/>
    <w:link w:val="Heading2Char"/>
    <w:qFormat/>
    <w:rsid w:val="00961DBB"/>
    <w:pPr>
      <w:keepNext/>
      <w:keepLines/>
      <w:numPr>
        <w:ilvl w:val="1"/>
        <w:numId w:val="10"/>
      </w:numPr>
      <w:tabs>
        <w:tab w:val="left" w:pos="1418"/>
        <w:tab w:val="left" w:pos="1701"/>
        <w:tab w:val="left" w:pos="1985"/>
      </w:tabs>
      <w:spacing w:before="470" w:after="227"/>
      <w:outlineLvl w:val="1"/>
    </w:pPr>
    <w:rPr>
      <w:rFonts w:asciiTheme="majorHAnsi" w:hAnsiTheme="majorHAnsi"/>
      <w:bCs/>
      <w:iCs/>
      <w:color w:val="2B3B5F" w:themeColor="text2"/>
      <w:kern w:val="20"/>
      <w:sz w:val="32"/>
      <w:szCs w:val="28"/>
    </w:rPr>
  </w:style>
  <w:style w:type="paragraph" w:styleId="Heading3">
    <w:name w:val="heading 3"/>
    <w:basedOn w:val="Normal"/>
    <w:next w:val="BodyText"/>
    <w:link w:val="Heading3Char"/>
    <w:qFormat/>
    <w:rsid w:val="00B620EE"/>
    <w:pPr>
      <w:keepNext/>
      <w:keepLines/>
      <w:numPr>
        <w:ilvl w:val="2"/>
        <w:numId w:val="10"/>
      </w:numPr>
      <w:tabs>
        <w:tab w:val="left" w:pos="1418"/>
        <w:tab w:val="left" w:pos="1701"/>
        <w:tab w:val="left" w:pos="1985"/>
      </w:tabs>
      <w:spacing w:before="470" w:after="227"/>
      <w:outlineLvl w:val="2"/>
    </w:pPr>
    <w:rPr>
      <w:b/>
      <w:color w:val="2B3B5F" w:themeColor="text2"/>
      <w:sz w:val="28"/>
    </w:rPr>
  </w:style>
  <w:style w:type="paragraph" w:styleId="Heading4">
    <w:name w:val="heading 4"/>
    <w:basedOn w:val="Normal"/>
    <w:next w:val="BodyText"/>
    <w:link w:val="Heading4Char"/>
    <w:qFormat/>
    <w:rsid w:val="00B620EE"/>
    <w:pPr>
      <w:keepNext/>
      <w:keepLines/>
      <w:tabs>
        <w:tab w:val="left" w:pos="1418"/>
        <w:tab w:val="left" w:pos="1701"/>
        <w:tab w:val="left" w:pos="1985"/>
      </w:tabs>
      <w:spacing w:before="227" w:after="113"/>
      <w:outlineLvl w:val="3"/>
    </w:pPr>
    <w:rPr>
      <w:rFonts w:eastAsiaTheme="majorEastAsia" w:cstheme="majorBidi"/>
      <w:b/>
      <w:bCs/>
      <w:i/>
      <w:iCs/>
      <w:color w:val="2B3B5F" w:themeColor="text2"/>
      <w:sz w:val="24"/>
    </w:rPr>
  </w:style>
  <w:style w:type="paragraph" w:styleId="Heading5">
    <w:name w:val="heading 5"/>
    <w:basedOn w:val="Normal"/>
    <w:next w:val="BodyText"/>
    <w:link w:val="Heading5Char"/>
    <w:qFormat/>
    <w:rsid w:val="00B620EE"/>
    <w:pPr>
      <w:keepNext/>
      <w:keepLines/>
      <w:spacing w:before="180" w:after="60"/>
      <w:outlineLvl w:val="4"/>
    </w:pPr>
    <w:rPr>
      <w:rFonts w:asciiTheme="majorHAnsi" w:eastAsiaTheme="majorEastAsia" w:hAnsiTheme="majorHAnsi" w:cstheme="majorBidi"/>
      <w:i/>
      <w:color w:val="636366"/>
      <w:sz w:val="24"/>
    </w:rPr>
  </w:style>
  <w:style w:type="paragraph" w:styleId="Heading6">
    <w:name w:val="heading 6"/>
    <w:basedOn w:val="Normal"/>
    <w:next w:val="BodyText"/>
    <w:link w:val="Heading6Char"/>
    <w:qFormat/>
    <w:rsid w:val="00B620EE"/>
    <w:pPr>
      <w:keepNext/>
      <w:keepLines/>
      <w:spacing w:before="280" w:after="240"/>
      <w:outlineLvl w:val="5"/>
    </w:pPr>
    <w:rPr>
      <w:rFonts w:asciiTheme="majorHAnsi" w:eastAsiaTheme="majorEastAsia" w:hAnsiTheme="majorHAnsi" w:cstheme="majorBidi"/>
      <w:i/>
      <w:iCs/>
      <w:color w:val="2B3B5F" w:themeColor="text2"/>
      <w:sz w:val="24"/>
    </w:rPr>
  </w:style>
  <w:style w:type="paragraph" w:styleId="Heading7">
    <w:name w:val="heading 7"/>
    <w:basedOn w:val="Normal"/>
    <w:next w:val="Normal"/>
    <w:link w:val="Heading7Char"/>
    <w:semiHidden/>
    <w:rsid w:val="00961DBB"/>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rsid w:val="00CA5598"/>
    <w:pPr>
      <w:keepNext/>
      <w:keepLines/>
      <w:numPr>
        <w:numId w:val="1"/>
      </w:numPr>
      <w:tabs>
        <w:tab w:val="left" w:pos="4536"/>
      </w:tabs>
      <w:spacing w:before="480" w:after="340"/>
      <w:outlineLvl w:val="7"/>
    </w:pPr>
    <w:rPr>
      <w:rFonts w:asciiTheme="majorHAnsi" w:eastAsiaTheme="majorEastAsia" w:hAnsiTheme="majorHAnsi" w:cstheme="majorBidi"/>
      <w:color w:val="2B3B5F" w:themeColor="text2"/>
      <w:sz w:val="40"/>
    </w:rPr>
  </w:style>
  <w:style w:type="paragraph" w:styleId="Heading9">
    <w:name w:val="heading 9"/>
    <w:aliases w:val="Appendix Heading 1"/>
    <w:basedOn w:val="Normal"/>
    <w:next w:val="BodyText"/>
    <w:link w:val="Heading9Char"/>
    <w:rsid w:val="00846FA0"/>
    <w:pPr>
      <w:keepNext/>
      <w:keepLines/>
      <w:numPr>
        <w:ilvl w:val="1"/>
        <w:numId w:val="1"/>
      </w:numPr>
      <w:tabs>
        <w:tab w:val="clear" w:pos="907"/>
        <w:tab w:val="num" w:pos="709"/>
        <w:tab w:val="left" w:pos="1559"/>
        <w:tab w:val="left" w:pos="1843"/>
        <w:tab w:val="left" w:pos="2126"/>
        <w:tab w:val="left" w:pos="2410"/>
      </w:tabs>
      <w:spacing w:before="470" w:after="227"/>
      <w:ind w:left="765"/>
      <w:outlineLvl w:val="8"/>
    </w:pPr>
    <w:rPr>
      <w:rFonts w:asciiTheme="majorHAnsi" w:hAnsiTheme="majorHAnsi"/>
      <w:color w:val="2B3B5F" w:themeColor="text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7834DC"/>
    <w:pPr>
      <w:tabs>
        <w:tab w:val="left" w:pos="425"/>
      </w:tabs>
      <w:spacing w:before="50" w:line="260" w:lineRule="exact"/>
      <w:ind w:left="425" w:hanging="425"/>
    </w:pPr>
    <w:rPr>
      <w:kern w:val="16"/>
      <w:sz w:val="18"/>
    </w:rPr>
  </w:style>
  <w:style w:type="character" w:customStyle="1" w:styleId="FootnoteTextChar">
    <w:name w:val="Footnote Text Char"/>
    <w:basedOn w:val="DefaultParagraphFont"/>
    <w:link w:val="FootnoteText"/>
    <w:rsid w:val="000E266E"/>
    <w:rPr>
      <w:kern w:val="16"/>
      <w:sz w:val="18"/>
    </w:rPr>
  </w:style>
  <w:style w:type="character" w:styleId="FootnoteReference">
    <w:name w:val="footnote reference"/>
    <w:basedOn w:val="DefaultParagraphFont"/>
    <w:rsid w:val="00961DBB"/>
    <w:rPr>
      <w:rFonts w:asciiTheme="minorHAnsi" w:hAnsiTheme="minorHAnsi"/>
      <w:color w:val="auto"/>
      <w:vertAlign w:val="superscript"/>
    </w:rPr>
  </w:style>
  <w:style w:type="paragraph" w:styleId="BodyText">
    <w:name w:val="Body Text"/>
    <w:basedOn w:val="Normal"/>
    <w:link w:val="BodyTextChar"/>
    <w:qFormat/>
    <w:rsid w:val="00741789"/>
    <w:pPr>
      <w:spacing w:before="113" w:after="113"/>
    </w:pPr>
    <w:rPr>
      <w:rFonts w:cs="Times New Roman"/>
      <w:spacing w:val="-1"/>
    </w:rPr>
  </w:style>
  <w:style w:type="character" w:customStyle="1" w:styleId="BodyTextChar">
    <w:name w:val="Body Text Char"/>
    <w:basedOn w:val="DefaultParagraphFont"/>
    <w:link w:val="BodyText"/>
    <w:rsid w:val="00741789"/>
    <w:rPr>
      <w:rFonts w:cs="Times New Roman"/>
      <w:spacing w:val="-1"/>
    </w:rPr>
  </w:style>
  <w:style w:type="paragraph" w:customStyle="1" w:styleId="BodyText17ptAbove">
    <w:name w:val="Body Text 17pt Above"/>
    <w:basedOn w:val="BodyText"/>
    <w:next w:val="BodyText"/>
    <w:qFormat/>
    <w:rsid w:val="00961DBB"/>
    <w:pPr>
      <w:spacing w:before="340"/>
    </w:pPr>
  </w:style>
  <w:style w:type="character" w:customStyle="1" w:styleId="Heading1Char">
    <w:name w:val="Heading 1 Char"/>
    <w:basedOn w:val="DefaultParagraphFont"/>
    <w:link w:val="Heading1"/>
    <w:rsid w:val="000E266E"/>
    <w:rPr>
      <w:rFonts w:asciiTheme="majorHAnsi" w:hAnsiTheme="majorHAnsi"/>
      <w:bCs/>
      <w:color w:val="2B3B5F" w:themeColor="text2"/>
      <w:spacing w:val="-6"/>
      <w:kern w:val="32"/>
      <w:sz w:val="40"/>
      <w:szCs w:val="32"/>
    </w:rPr>
  </w:style>
  <w:style w:type="character" w:customStyle="1" w:styleId="Heading2Char">
    <w:name w:val="Heading 2 Char"/>
    <w:basedOn w:val="DefaultParagraphFont"/>
    <w:link w:val="Heading2"/>
    <w:rsid w:val="000E266E"/>
    <w:rPr>
      <w:rFonts w:asciiTheme="majorHAnsi" w:hAnsiTheme="majorHAnsi"/>
      <w:bCs/>
      <w:iCs/>
      <w:color w:val="2B3B5F" w:themeColor="text2"/>
      <w:kern w:val="20"/>
      <w:sz w:val="32"/>
      <w:szCs w:val="28"/>
    </w:rPr>
  </w:style>
  <w:style w:type="character" w:customStyle="1" w:styleId="Heading3Char">
    <w:name w:val="Heading 3 Char"/>
    <w:basedOn w:val="DefaultParagraphFont"/>
    <w:link w:val="Heading3"/>
    <w:rsid w:val="000E266E"/>
    <w:rPr>
      <w:b/>
      <w:color w:val="2B3B5F" w:themeColor="text2"/>
      <w:sz w:val="28"/>
    </w:rPr>
  </w:style>
  <w:style w:type="character" w:customStyle="1" w:styleId="Heading4Char">
    <w:name w:val="Heading 4 Char"/>
    <w:basedOn w:val="DefaultParagraphFont"/>
    <w:link w:val="Heading4"/>
    <w:rsid w:val="000E266E"/>
    <w:rPr>
      <w:rFonts w:eastAsiaTheme="majorEastAsia" w:cstheme="majorBidi"/>
      <w:b/>
      <w:bCs/>
      <w:i/>
      <w:iCs/>
      <w:color w:val="2B3B5F" w:themeColor="text2"/>
      <w:sz w:val="24"/>
    </w:rPr>
  </w:style>
  <w:style w:type="character" w:customStyle="1" w:styleId="Heading5Char">
    <w:name w:val="Heading 5 Char"/>
    <w:basedOn w:val="DefaultParagraphFont"/>
    <w:link w:val="Heading5"/>
    <w:rsid w:val="000E266E"/>
    <w:rPr>
      <w:rFonts w:asciiTheme="majorHAnsi" w:eastAsiaTheme="majorEastAsia" w:hAnsiTheme="majorHAnsi" w:cstheme="majorBidi"/>
      <w:i/>
      <w:color w:val="636366"/>
      <w:sz w:val="24"/>
    </w:rPr>
  </w:style>
  <w:style w:type="character" w:customStyle="1" w:styleId="Heading6Char">
    <w:name w:val="Heading 6 Char"/>
    <w:basedOn w:val="DefaultParagraphFont"/>
    <w:link w:val="Heading6"/>
    <w:rsid w:val="000E266E"/>
    <w:rPr>
      <w:rFonts w:asciiTheme="majorHAnsi" w:eastAsiaTheme="majorEastAsia" w:hAnsiTheme="majorHAnsi" w:cstheme="majorBidi"/>
      <w:i/>
      <w:iCs/>
      <w:color w:val="2B3B5F" w:themeColor="text2"/>
      <w:sz w:val="24"/>
    </w:rPr>
  </w:style>
  <w:style w:type="character" w:customStyle="1" w:styleId="Heading7Char">
    <w:name w:val="Heading 7 Char"/>
    <w:basedOn w:val="DefaultParagraphFont"/>
    <w:link w:val="Heading7"/>
    <w:semiHidden/>
    <w:rsid w:val="000E266E"/>
    <w:rPr>
      <w:rFonts w:asciiTheme="majorHAnsi" w:eastAsiaTheme="majorEastAsia" w:hAnsiTheme="majorHAnsi" w:cstheme="majorBidi"/>
      <w:b/>
      <w:iCs/>
      <w:color w:val="FFFFFF"/>
    </w:rPr>
  </w:style>
  <w:style w:type="character" w:customStyle="1" w:styleId="Heading8Char">
    <w:name w:val="Heading 8 Char"/>
    <w:aliases w:val="Appendix Title Char"/>
    <w:basedOn w:val="DefaultParagraphFont"/>
    <w:link w:val="Heading8"/>
    <w:rsid w:val="000E266E"/>
    <w:rPr>
      <w:rFonts w:asciiTheme="majorHAnsi" w:eastAsiaTheme="majorEastAsia" w:hAnsiTheme="majorHAnsi" w:cstheme="majorBidi"/>
      <w:color w:val="2B3B5F" w:themeColor="text2"/>
      <w:sz w:val="40"/>
    </w:rPr>
  </w:style>
  <w:style w:type="character" w:customStyle="1" w:styleId="Heading9Char">
    <w:name w:val="Heading 9 Char"/>
    <w:aliases w:val="Appendix Heading 1 Char"/>
    <w:basedOn w:val="DefaultParagraphFont"/>
    <w:link w:val="Heading9"/>
    <w:rsid w:val="00846FA0"/>
    <w:rPr>
      <w:rFonts w:asciiTheme="majorHAnsi" w:hAnsiTheme="majorHAnsi"/>
      <w:color w:val="2B3B5F" w:themeColor="text2"/>
      <w:sz w:val="32"/>
    </w:rPr>
  </w:style>
  <w:style w:type="paragraph" w:customStyle="1" w:styleId="AppendixHeading2">
    <w:name w:val="Appendix Heading 2"/>
    <w:basedOn w:val="Normal"/>
    <w:next w:val="BodyText"/>
    <w:rsid w:val="00656EE8"/>
    <w:pPr>
      <w:keepNext/>
      <w:keepLines/>
      <w:numPr>
        <w:ilvl w:val="2"/>
        <w:numId w:val="1"/>
      </w:numPr>
      <w:tabs>
        <w:tab w:val="clear" w:pos="765"/>
        <w:tab w:val="num" w:pos="360"/>
        <w:tab w:val="left" w:pos="851"/>
        <w:tab w:val="left" w:pos="1843"/>
        <w:tab w:val="left" w:pos="2126"/>
        <w:tab w:val="left" w:pos="2410"/>
      </w:tabs>
      <w:spacing w:before="470" w:after="227"/>
      <w:ind w:left="0" w:firstLine="0"/>
    </w:pPr>
    <w:rPr>
      <w:rFonts w:asciiTheme="majorHAnsi" w:hAnsiTheme="majorHAnsi"/>
      <w:color w:val="2B3B5F" w:themeColor="text2"/>
      <w:sz w:val="28"/>
    </w:rPr>
  </w:style>
  <w:style w:type="paragraph" w:customStyle="1" w:styleId="AppendixHeading3">
    <w:name w:val="Appendix Heading 3"/>
    <w:basedOn w:val="Normal"/>
    <w:next w:val="BodyText"/>
    <w:rsid w:val="00CA5598"/>
    <w:pPr>
      <w:keepNext/>
      <w:keepLines/>
      <w:numPr>
        <w:ilvl w:val="3"/>
        <w:numId w:val="1"/>
      </w:numPr>
      <w:tabs>
        <w:tab w:val="left" w:pos="1559"/>
        <w:tab w:val="left" w:pos="1843"/>
        <w:tab w:val="left" w:pos="2126"/>
        <w:tab w:val="left" w:pos="2410"/>
        <w:tab w:val="left" w:pos="6804"/>
      </w:tabs>
      <w:spacing w:before="227" w:after="113"/>
    </w:pPr>
    <w:rPr>
      <w:b/>
      <w:color w:val="2B3B5F" w:themeColor="text2"/>
    </w:rPr>
  </w:style>
  <w:style w:type="character" w:customStyle="1" w:styleId="Bold">
    <w:name w:val="Bold"/>
    <w:rsid w:val="00961DBB"/>
    <w:rPr>
      <w:b/>
    </w:rPr>
  </w:style>
  <w:style w:type="character" w:customStyle="1" w:styleId="BoldAndItalics">
    <w:name w:val="Bold And Italics"/>
    <w:rsid w:val="00961DBB"/>
    <w:rPr>
      <w:b/>
      <w:i/>
    </w:rPr>
  </w:style>
  <w:style w:type="paragraph" w:styleId="Caption">
    <w:name w:val="caption"/>
    <w:basedOn w:val="Normal"/>
    <w:next w:val="BodyText"/>
    <w:rsid w:val="00961DBB"/>
    <w:pPr>
      <w:keepNext/>
      <w:spacing w:before="340" w:after="114"/>
    </w:pPr>
    <w:rPr>
      <w:b/>
      <w:bCs/>
      <w:color w:val="2B3B5F" w:themeColor="text2"/>
      <w:spacing w:val="-4"/>
    </w:rPr>
  </w:style>
  <w:style w:type="paragraph" w:styleId="Footer">
    <w:name w:val="footer"/>
    <w:basedOn w:val="Normal"/>
    <w:link w:val="FooterChar"/>
    <w:rsid w:val="00961DBB"/>
    <w:pPr>
      <w:spacing w:line="240" w:lineRule="auto"/>
    </w:pPr>
    <w:rPr>
      <w:b/>
      <w:color w:val="788184" w:themeColor="background2"/>
    </w:rPr>
  </w:style>
  <w:style w:type="character" w:customStyle="1" w:styleId="FooterChar">
    <w:name w:val="Footer Char"/>
    <w:basedOn w:val="DefaultParagraphFont"/>
    <w:link w:val="Footer"/>
    <w:rsid w:val="000E266E"/>
    <w:rPr>
      <w:b/>
      <w:color w:val="788184" w:themeColor="background2"/>
    </w:rPr>
  </w:style>
  <w:style w:type="paragraph" w:customStyle="1" w:styleId="FooterLeft">
    <w:name w:val="Footer Left"/>
    <w:basedOn w:val="Footer"/>
    <w:rsid w:val="00961DBB"/>
    <w:pPr>
      <w:framePr w:wrap="around" w:vAnchor="page" w:hAnchor="margin" w:yAlign="bottom"/>
      <w:spacing w:before="180" w:after="120"/>
      <w:ind w:left="397"/>
    </w:pPr>
    <w:rPr>
      <w:spacing w:val="-2"/>
    </w:rPr>
  </w:style>
  <w:style w:type="paragraph" w:customStyle="1" w:styleId="FooterRight">
    <w:name w:val="Footer Right"/>
    <w:basedOn w:val="FooterLeft"/>
    <w:next w:val="Footer"/>
    <w:rsid w:val="00961DBB"/>
    <w:pPr>
      <w:framePr w:wrap="around" w:xAlign="right"/>
      <w:ind w:right="397"/>
      <w:jc w:val="right"/>
    </w:pPr>
  </w:style>
  <w:style w:type="paragraph" w:customStyle="1" w:styleId="FooterRightPageNumber">
    <w:name w:val="Footer Right Page Number"/>
    <w:basedOn w:val="Normal"/>
    <w:rsid w:val="00E915E6"/>
    <w:pPr>
      <w:spacing w:before="180" w:after="120" w:line="240" w:lineRule="auto"/>
      <w:jc w:val="right"/>
    </w:pPr>
    <w:rPr>
      <w:b/>
      <w:noProof/>
      <w:color w:val="788184" w:themeColor="background2"/>
    </w:rPr>
  </w:style>
  <w:style w:type="paragraph" w:customStyle="1" w:styleId="FooterLeftPageNumber">
    <w:name w:val="Footer Left Page Number"/>
    <w:basedOn w:val="Footer"/>
    <w:rsid w:val="00961DBB"/>
    <w:pPr>
      <w:framePr w:wrap="around" w:vAnchor="page" w:hAnchor="margin" w:yAlign="bottom"/>
      <w:spacing w:before="180" w:after="120"/>
      <w:ind w:right="57"/>
    </w:pPr>
  </w:style>
  <w:style w:type="paragraph" w:customStyle="1" w:styleId="FootnoteSeparator">
    <w:name w:val="Footnote Separator"/>
    <w:basedOn w:val="Normal"/>
    <w:unhideWhenUsed/>
    <w:rsid w:val="00961DBB"/>
    <w:pPr>
      <w:pBdr>
        <w:top w:val="single" w:sz="2" w:space="0" w:color="000000" w:themeColor="text1"/>
      </w:pBdr>
      <w:spacing w:before="120" w:line="120" w:lineRule="exact"/>
    </w:pPr>
    <w:rPr>
      <w:sz w:val="14"/>
      <w:szCs w:val="16"/>
    </w:rPr>
  </w:style>
  <w:style w:type="paragraph" w:styleId="Header">
    <w:name w:val="header"/>
    <w:basedOn w:val="Normal"/>
    <w:link w:val="HeaderChar"/>
    <w:rsid w:val="00961DBB"/>
    <w:pPr>
      <w:spacing w:line="240" w:lineRule="auto"/>
    </w:pPr>
  </w:style>
  <w:style w:type="character" w:customStyle="1" w:styleId="HeaderChar">
    <w:name w:val="Header Char"/>
    <w:basedOn w:val="DefaultParagraphFont"/>
    <w:link w:val="Header"/>
    <w:rsid w:val="000E266E"/>
  </w:style>
  <w:style w:type="paragraph" w:customStyle="1" w:styleId="HighlightText">
    <w:name w:val="Highlight Text"/>
    <w:basedOn w:val="Normal"/>
    <w:qFormat/>
    <w:rsid w:val="00961DBB"/>
    <w:pPr>
      <w:spacing w:before="120" w:after="420"/>
    </w:pPr>
    <w:rPr>
      <w:i/>
      <w:color w:val="2B3B5F" w:themeColor="text2"/>
      <w:spacing w:val="-1"/>
    </w:rPr>
  </w:style>
  <w:style w:type="paragraph" w:customStyle="1" w:styleId="Introduction">
    <w:name w:val="Introduction"/>
    <w:basedOn w:val="Normal"/>
    <w:next w:val="BodyText"/>
    <w:qFormat/>
    <w:rsid w:val="00961DBB"/>
    <w:pPr>
      <w:spacing w:after="180" w:line="360" w:lineRule="atLeast"/>
    </w:pPr>
    <w:rPr>
      <w:color w:val="2B3B5F" w:themeColor="text2"/>
      <w:spacing w:val="-2"/>
      <w:sz w:val="30"/>
    </w:rPr>
  </w:style>
  <w:style w:type="character" w:customStyle="1" w:styleId="Italics">
    <w:name w:val="Italics"/>
    <w:rsid w:val="00961DBB"/>
    <w:rPr>
      <w:i/>
    </w:rPr>
  </w:style>
  <w:style w:type="paragraph" w:styleId="ListBullet">
    <w:name w:val="List Bullet"/>
    <w:basedOn w:val="Normal"/>
    <w:unhideWhenUsed/>
    <w:qFormat/>
    <w:rsid w:val="00961DBB"/>
    <w:pPr>
      <w:keepLines/>
      <w:numPr>
        <w:numId w:val="2"/>
      </w:numPr>
      <w:spacing w:after="113"/>
    </w:pPr>
    <w:rPr>
      <w:spacing w:val="-1"/>
    </w:rPr>
  </w:style>
  <w:style w:type="paragraph" w:styleId="ListBullet2">
    <w:name w:val="List Bullet 2"/>
    <w:basedOn w:val="ListBullet"/>
    <w:unhideWhenUsed/>
    <w:qFormat/>
    <w:rsid w:val="00961DBB"/>
    <w:pPr>
      <w:numPr>
        <w:ilvl w:val="1"/>
      </w:numPr>
    </w:pPr>
  </w:style>
  <w:style w:type="paragraph" w:styleId="ListBullet3">
    <w:name w:val="List Bullet 3"/>
    <w:basedOn w:val="ListBullet2"/>
    <w:unhideWhenUsed/>
    <w:rsid w:val="00961DBB"/>
    <w:pPr>
      <w:numPr>
        <w:ilvl w:val="2"/>
      </w:numPr>
    </w:pPr>
  </w:style>
  <w:style w:type="paragraph" w:styleId="ListContinue">
    <w:name w:val="List Continue"/>
    <w:basedOn w:val="Normal"/>
    <w:semiHidden/>
    <w:qFormat/>
    <w:rsid w:val="00961DBB"/>
    <w:pPr>
      <w:spacing w:before="220" w:after="220"/>
      <w:ind w:left="340"/>
    </w:pPr>
  </w:style>
  <w:style w:type="paragraph" w:styleId="ListContinue2">
    <w:name w:val="List Continue 2"/>
    <w:basedOn w:val="Normal"/>
    <w:semiHidden/>
    <w:qFormat/>
    <w:rsid w:val="00961DBB"/>
    <w:pPr>
      <w:spacing w:before="220" w:after="220"/>
      <w:ind w:left="680"/>
    </w:pPr>
  </w:style>
  <w:style w:type="paragraph" w:styleId="ListNumber">
    <w:name w:val="List Number"/>
    <w:basedOn w:val="Normal"/>
    <w:qFormat/>
    <w:rsid w:val="00961DBB"/>
    <w:pPr>
      <w:numPr>
        <w:numId w:val="3"/>
      </w:numPr>
      <w:spacing w:before="113" w:after="113"/>
    </w:pPr>
    <w:rPr>
      <w:spacing w:val="-1"/>
    </w:rPr>
  </w:style>
  <w:style w:type="paragraph" w:styleId="ListNumber2">
    <w:name w:val="List Number 2"/>
    <w:basedOn w:val="Normal"/>
    <w:qFormat/>
    <w:rsid w:val="00961DBB"/>
    <w:pPr>
      <w:numPr>
        <w:ilvl w:val="1"/>
        <w:numId w:val="3"/>
      </w:numPr>
      <w:spacing w:before="113" w:after="113"/>
    </w:pPr>
    <w:rPr>
      <w:spacing w:val="-1"/>
    </w:rPr>
  </w:style>
  <w:style w:type="paragraph" w:styleId="ListNumber3">
    <w:name w:val="List Number 3"/>
    <w:basedOn w:val="Normal"/>
    <w:qFormat/>
    <w:rsid w:val="00961DBB"/>
    <w:pPr>
      <w:numPr>
        <w:ilvl w:val="2"/>
        <w:numId w:val="3"/>
      </w:numPr>
      <w:spacing w:before="113" w:after="113"/>
    </w:pPr>
    <w:rPr>
      <w:spacing w:val="-1"/>
    </w:rPr>
  </w:style>
  <w:style w:type="character" w:customStyle="1" w:styleId="MySubscript">
    <w:name w:val="MySubscript"/>
    <w:uiPriority w:val="99"/>
    <w:rsid w:val="00961DBB"/>
    <w:rPr>
      <w:vertAlign w:val="subscript"/>
    </w:rPr>
  </w:style>
  <w:style w:type="character" w:customStyle="1" w:styleId="MySubscriptItalics">
    <w:name w:val="MySubscript&amp;Italics"/>
    <w:uiPriority w:val="99"/>
    <w:rsid w:val="00961DBB"/>
    <w:rPr>
      <w:i/>
      <w:vertAlign w:val="subscript"/>
    </w:rPr>
  </w:style>
  <w:style w:type="character" w:customStyle="1" w:styleId="MySuperscript">
    <w:name w:val="MySuperscript"/>
    <w:uiPriority w:val="99"/>
    <w:rsid w:val="00961DBB"/>
    <w:rPr>
      <w:vertAlign w:val="superscript"/>
    </w:rPr>
  </w:style>
  <w:style w:type="character" w:customStyle="1" w:styleId="MySuperscriptItalics">
    <w:name w:val="MySuperscript&amp;Italics"/>
    <w:uiPriority w:val="99"/>
    <w:rsid w:val="00961DBB"/>
    <w:rPr>
      <w:i/>
      <w:vertAlign w:val="superscript"/>
    </w:rPr>
  </w:style>
  <w:style w:type="paragraph" w:styleId="NoSpacing">
    <w:name w:val="No Spacing"/>
    <w:next w:val="BodyText"/>
    <w:rsid w:val="00961DBB"/>
    <w:pPr>
      <w:spacing w:line="240" w:lineRule="auto"/>
    </w:pPr>
    <w:rPr>
      <w:rFonts w:eastAsia="Times New Roman" w:cs="Arial"/>
      <w:lang w:eastAsia="en-AU"/>
    </w:rPr>
  </w:style>
  <w:style w:type="paragraph" w:customStyle="1" w:styleId="OverviewBodyText">
    <w:name w:val="Overview Body Text"/>
    <w:basedOn w:val="Normal"/>
    <w:rsid w:val="00512226"/>
    <w:pPr>
      <w:spacing w:after="113"/>
    </w:pPr>
  </w:style>
  <w:style w:type="paragraph" w:customStyle="1" w:styleId="OverviewHeading2">
    <w:name w:val="Overview Heading 2"/>
    <w:basedOn w:val="Normal"/>
    <w:next w:val="OverviewBodyText"/>
    <w:rsid w:val="00512226"/>
    <w:pPr>
      <w:keepNext/>
      <w:keepLines/>
      <w:spacing w:before="470" w:after="227"/>
    </w:pPr>
    <w:rPr>
      <w:rFonts w:asciiTheme="majorHAnsi" w:hAnsiTheme="majorHAnsi"/>
      <w:color w:val="2B3B5F" w:themeColor="text2"/>
      <w:sz w:val="32"/>
    </w:rPr>
  </w:style>
  <w:style w:type="paragraph" w:customStyle="1" w:styleId="OverviewHeading3">
    <w:name w:val="Overview Heading 3"/>
    <w:basedOn w:val="OverviewHeading2"/>
    <w:next w:val="OverviewBodyText"/>
    <w:rsid w:val="00512226"/>
    <w:rPr>
      <w:sz w:val="28"/>
    </w:rPr>
  </w:style>
  <w:style w:type="character" w:styleId="PageNumber">
    <w:name w:val="page number"/>
    <w:basedOn w:val="DefaultParagraphFont"/>
    <w:semiHidden/>
    <w:rsid w:val="00961DBB"/>
    <w:rPr>
      <w:rFonts w:ascii="Arial" w:hAnsi="Arial"/>
      <w:b/>
      <w:color w:val="auto"/>
      <w:sz w:val="16"/>
    </w:rPr>
  </w:style>
  <w:style w:type="paragraph" w:customStyle="1" w:styleId="PageNumberOdd">
    <w:name w:val="Page Number Odd"/>
    <w:semiHidden/>
    <w:rsid w:val="00961DBB"/>
    <w:pPr>
      <w:ind w:right="57"/>
      <w:jc w:val="right"/>
    </w:pPr>
    <w:rPr>
      <w:rFonts w:eastAsia="Times New Roman" w:cs="Arial"/>
      <w:b/>
      <w:color w:val="2B3B5F" w:themeColor="text2"/>
      <w:sz w:val="14"/>
      <w:szCs w:val="28"/>
      <w:lang w:eastAsia="en-AU"/>
    </w:rPr>
  </w:style>
  <w:style w:type="paragraph" w:customStyle="1" w:styleId="PageNumberEven">
    <w:name w:val="Page Number Even"/>
    <w:basedOn w:val="PageNumberOdd"/>
    <w:semiHidden/>
    <w:rsid w:val="00961DBB"/>
    <w:pPr>
      <w:framePr w:hSpace="181" w:wrap="around" w:vAnchor="page" w:hAnchor="page" w:yAlign="bottom"/>
      <w:jc w:val="left"/>
    </w:pPr>
  </w:style>
  <w:style w:type="character" w:styleId="PlaceholderText">
    <w:name w:val="Placeholder Text"/>
    <w:basedOn w:val="DefaultParagraphFont"/>
    <w:rsid w:val="00961DBB"/>
    <w:rPr>
      <w:color w:val="808080"/>
    </w:rPr>
  </w:style>
  <w:style w:type="paragraph" w:customStyle="1" w:styleId="PullOutBoxBodyText">
    <w:name w:val="Pull Out Box Body Text"/>
    <w:basedOn w:val="Normal"/>
    <w:qFormat/>
    <w:rsid w:val="00961DBB"/>
    <w:pPr>
      <w:spacing w:before="113" w:after="113"/>
      <w:ind w:left="227" w:right="170"/>
    </w:pPr>
    <w:rPr>
      <w:spacing w:val="-1"/>
    </w:rPr>
  </w:style>
  <w:style w:type="paragraph" w:customStyle="1" w:styleId="PullOutBoxBullet">
    <w:name w:val="Pull Out Box Bullet"/>
    <w:basedOn w:val="PullOutBoxBodyText"/>
    <w:qFormat/>
    <w:rsid w:val="00961DBB"/>
    <w:pPr>
      <w:numPr>
        <w:numId w:val="4"/>
      </w:numPr>
    </w:pPr>
  </w:style>
  <w:style w:type="paragraph" w:customStyle="1" w:styleId="PullOutBoxBullet2">
    <w:name w:val="Pull Out Box Bullet 2"/>
    <w:basedOn w:val="PullOutBoxBodyText"/>
    <w:qFormat/>
    <w:rsid w:val="00961DBB"/>
    <w:pPr>
      <w:numPr>
        <w:ilvl w:val="1"/>
        <w:numId w:val="4"/>
      </w:numPr>
    </w:pPr>
  </w:style>
  <w:style w:type="paragraph" w:customStyle="1" w:styleId="PullOutBoxBullet3">
    <w:name w:val="Pull Out Box Bullet 3"/>
    <w:basedOn w:val="PullOutBoxBodyText"/>
    <w:qFormat/>
    <w:rsid w:val="00961DBB"/>
    <w:pPr>
      <w:numPr>
        <w:ilvl w:val="2"/>
        <w:numId w:val="4"/>
      </w:numPr>
    </w:pPr>
  </w:style>
  <w:style w:type="paragraph" w:customStyle="1" w:styleId="PullOutBoxHeading">
    <w:name w:val="Pull Out Box Heading"/>
    <w:basedOn w:val="PullOutBoxBodyText"/>
    <w:qFormat/>
    <w:rsid w:val="009E446D"/>
    <w:pPr>
      <w:keepNext/>
      <w:keepLines/>
      <w:spacing w:before="114" w:after="114" w:line="360" w:lineRule="atLeast"/>
    </w:pPr>
    <w:rPr>
      <w:b/>
      <w:color w:val="2B3B5F" w:themeColor="text2"/>
      <w:sz w:val="28"/>
    </w:rPr>
  </w:style>
  <w:style w:type="paragraph" w:customStyle="1" w:styleId="PullOutBoxNumber">
    <w:name w:val="Pull Out Box Number"/>
    <w:basedOn w:val="PullOutBoxBodyText"/>
    <w:qFormat/>
    <w:rsid w:val="00961DBB"/>
    <w:pPr>
      <w:numPr>
        <w:numId w:val="5"/>
      </w:numPr>
    </w:pPr>
  </w:style>
  <w:style w:type="paragraph" w:customStyle="1" w:styleId="PullOutBoxNumber2">
    <w:name w:val="Pull Out Box Number 2"/>
    <w:basedOn w:val="PullOutBoxBodyText"/>
    <w:qFormat/>
    <w:rsid w:val="00961DBB"/>
    <w:pPr>
      <w:numPr>
        <w:ilvl w:val="1"/>
        <w:numId w:val="5"/>
      </w:numPr>
    </w:pPr>
  </w:style>
  <w:style w:type="paragraph" w:customStyle="1" w:styleId="PullOutBoxNumber3">
    <w:name w:val="Pull Out Box Number 3"/>
    <w:basedOn w:val="PullOutBoxBodyText"/>
    <w:qFormat/>
    <w:rsid w:val="00961DBB"/>
    <w:pPr>
      <w:numPr>
        <w:ilvl w:val="2"/>
        <w:numId w:val="5"/>
      </w:numPr>
    </w:pPr>
  </w:style>
  <w:style w:type="table" w:customStyle="1" w:styleId="PullOutBoxTable">
    <w:name w:val="Pull Out Box Table"/>
    <w:basedOn w:val="TableNormal"/>
    <w:uiPriority w:val="99"/>
    <w:rsid w:val="00961DBB"/>
    <w:pPr>
      <w:spacing w:line="240" w:lineRule="auto"/>
    </w:pPr>
    <w:rPr>
      <w:rFonts w:eastAsia="Times New Roman" w:cs="Arial"/>
      <w:lang w:eastAsia="en-AU"/>
    </w:rPr>
    <w:tblPr>
      <w:tblBorders>
        <w:top w:val="single" w:sz="4" w:space="0" w:color="D7DDE9" w:themeColor="accent3"/>
        <w:left w:val="single" w:sz="4" w:space="0" w:color="D7DDE9" w:themeColor="accent3"/>
        <w:bottom w:val="single" w:sz="4" w:space="0" w:color="D7DDE9" w:themeColor="accent3"/>
        <w:right w:val="single" w:sz="4" w:space="0" w:color="D7DDE9" w:themeColor="accent3"/>
        <w:insideH w:val="single" w:sz="4" w:space="0" w:color="D7DDE9" w:themeColor="accent3"/>
        <w:insideV w:val="single" w:sz="4" w:space="0" w:color="D7DDE9" w:themeColor="accent3"/>
      </w:tblBorders>
      <w:tblCellMar>
        <w:top w:w="28" w:type="dxa"/>
        <w:left w:w="0" w:type="dxa"/>
        <w:bottom w:w="28" w:type="dxa"/>
        <w:right w:w="0" w:type="dxa"/>
      </w:tblCellMar>
    </w:tblPr>
    <w:tcPr>
      <w:shd w:val="clear" w:color="auto" w:fill="D7DDE9" w:themeFill="accent3"/>
    </w:tcPr>
  </w:style>
  <w:style w:type="paragraph" w:styleId="Quote">
    <w:name w:val="Quote"/>
    <w:basedOn w:val="Normal"/>
    <w:link w:val="QuoteChar"/>
    <w:qFormat/>
    <w:rsid w:val="00961DBB"/>
    <w:pPr>
      <w:tabs>
        <w:tab w:val="left" w:pos="1134"/>
      </w:tabs>
      <w:spacing w:before="240" w:after="240"/>
      <w:ind w:left="284"/>
    </w:pPr>
    <w:rPr>
      <w:i/>
      <w:iCs/>
    </w:rPr>
  </w:style>
  <w:style w:type="character" w:customStyle="1" w:styleId="QuoteChar">
    <w:name w:val="Quote Char"/>
    <w:basedOn w:val="DefaultParagraphFont"/>
    <w:link w:val="Quote"/>
    <w:rsid w:val="000E266E"/>
    <w:rPr>
      <w:i/>
      <w:iCs/>
    </w:rPr>
  </w:style>
  <w:style w:type="paragraph" w:customStyle="1" w:styleId="QuoteBullet">
    <w:name w:val="Quote Bullet"/>
    <w:basedOn w:val="Quote"/>
    <w:qFormat/>
    <w:rsid w:val="00961DBB"/>
    <w:pPr>
      <w:numPr>
        <w:numId w:val="6"/>
      </w:numPr>
    </w:pPr>
  </w:style>
  <w:style w:type="paragraph" w:customStyle="1" w:styleId="QuoteBullet2">
    <w:name w:val="Quote Bullet 2"/>
    <w:basedOn w:val="Quote"/>
    <w:qFormat/>
    <w:rsid w:val="00961DBB"/>
    <w:pPr>
      <w:numPr>
        <w:ilvl w:val="1"/>
        <w:numId w:val="6"/>
      </w:numPr>
      <w:tabs>
        <w:tab w:val="clear" w:pos="1134"/>
      </w:tabs>
    </w:pPr>
  </w:style>
  <w:style w:type="paragraph" w:customStyle="1" w:styleId="SectionHeading">
    <w:name w:val="Section Heading"/>
    <w:basedOn w:val="Normal"/>
    <w:next w:val="BodyText"/>
    <w:rsid w:val="00E45766"/>
    <w:pPr>
      <w:keepLines/>
      <w:spacing w:before="4320" w:line="360" w:lineRule="auto"/>
      <w:ind w:left="1701"/>
      <w:jc w:val="right"/>
      <w:outlineLvl w:val="0"/>
    </w:pPr>
    <w:rPr>
      <w:rFonts w:asciiTheme="majorHAnsi" w:hAnsiTheme="majorHAnsi"/>
      <w:noProof/>
      <w:color w:val="2B3B5F" w:themeColor="text2"/>
      <w:sz w:val="50"/>
      <w:szCs w:val="40"/>
    </w:rPr>
  </w:style>
  <w:style w:type="character" w:customStyle="1" w:styleId="SectionSubtitle">
    <w:name w:val="Section Subtitle"/>
    <w:rsid w:val="00E45766"/>
    <w:rPr>
      <w:color w:val="751D71" w:themeColor="accent4"/>
      <w:sz w:val="40"/>
    </w:rPr>
  </w:style>
  <w:style w:type="paragraph" w:styleId="Subtitle">
    <w:name w:val="Subtitle"/>
    <w:basedOn w:val="Normal"/>
    <w:next w:val="Normal"/>
    <w:link w:val="SubtitleChar"/>
    <w:rsid w:val="00961DBB"/>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0E266E"/>
    <w:rPr>
      <w:rFonts w:asciiTheme="majorHAnsi" w:eastAsiaTheme="majorEastAsia" w:hAnsiTheme="majorHAnsi" w:cstheme="majorBidi"/>
      <w:iCs/>
      <w:spacing w:val="15"/>
    </w:rPr>
  </w:style>
  <w:style w:type="character" w:customStyle="1" w:styleId="Superscript">
    <w:name w:val="Superscript"/>
    <w:rsid w:val="00961DBB"/>
    <w:rPr>
      <w:vertAlign w:val="superscript"/>
    </w:rPr>
  </w:style>
  <w:style w:type="table" w:customStyle="1" w:styleId="TableAsPlaceholder">
    <w:name w:val="Table As Placeholder"/>
    <w:basedOn w:val="TableNormal"/>
    <w:uiPriority w:val="99"/>
    <w:qFormat/>
    <w:rsid w:val="00961DBB"/>
    <w:rPr>
      <w:rFonts w:eastAsia="Times New Roman" w:cs="Arial"/>
      <w:lang w:eastAsia="en-AU"/>
    </w:rPr>
    <w:tblPr>
      <w:tblCellMar>
        <w:left w:w="0" w:type="dxa"/>
        <w:right w:w="0" w:type="dxa"/>
      </w:tblCellMar>
    </w:tblPr>
  </w:style>
  <w:style w:type="paragraph" w:customStyle="1" w:styleId="TableFootnotes">
    <w:name w:val="Table Footnotes"/>
    <w:basedOn w:val="Normal"/>
    <w:rsid w:val="00035ADE"/>
    <w:pPr>
      <w:keepLines/>
      <w:numPr>
        <w:numId w:val="7"/>
      </w:numPr>
      <w:spacing w:after="50"/>
    </w:pPr>
    <w:rPr>
      <w:color w:val="788184" w:themeColor="background2"/>
      <w:sz w:val="20"/>
    </w:rPr>
  </w:style>
  <w:style w:type="table" w:styleId="TableGrid">
    <w:name w:val="Table Grid"/>
    <w:basedOn w:val="TableNormal"/>
    <w:uiPriority w:val="59"/>
    <w:rsid w:val="00F85D29"/>
    <w:pPr>
      <w:spacing w:before="70" w:after="70" w:line="260" w:lineRule="atLeast"/>
      <w:ind w:left="113" w:right="113"/>
    </w:pPr>
    <w:rPr>
      <w:rFonts w:eastAsia="Times New Roman" w:cs="Times New Roman"/>
      <w:sz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Theme="minorHAnsi" w:hAnsiTheme="minorHAnsi"/>
        <w:b w:val="0"/>
        <w:i w:val="0"/>
        <w:color w:val="FFFFFF" w:themeColor="background1"/>
        <w:sz w:val="20"/>
      </w:rPr>
      <w:tblPr/>
      <w:tcPr>
        <w:tcBorders>
          <w:top w:val="nil"/>
          <w:left w:val="nil"/>
          <w:bottom w:val="nil"/>
          <w:right w:val="nil"/>
          <w:insideH w:val="nil"/>
          <w:insideV w:val="nil"/>
          <w:tl2br w:val="nil"/>
          <w:tr2bl w:val="nil"/>
        </w:tcBorders>
        <w:shd w:val="clear" w:color="auto" w:fill="2B3B5F" w:themeFill="text2"/>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hemeFill="accent3"/>
      </w:tcPr>
    </w:tblStylePr>
    <w:tblStylePr w:type="nwCell">
      <w:pPr>
        <w:jc w:val="left"/>
      </w:pPr>
      <w:tblPr/>
      <w:tcPr>
        <w:vAlign w:val="top"/>
      </w:tcPr>
    </w:tblStylePr>
  </w:style>
  <w:style w:type="paragraph" w:customStyle="1" w:styleId="TableHeading">
    <w:name w:val="Table Heading"/>
    <w:basedOn w:val="Normal"/>
    <w:qFormat/>
    <w:rsid w:val="0048342E"/>
    <w:pPr>
      <w:keepNext/>
      <w:keepLines/>
      <w:spacing w:before="70" w:after="70" w:line="260" w:lineRule="atLeast"/>
      <w:ind w:left="113" w:right="113"/>
    </w:pPr>
    <w:rPr>
      <w:rFonts w:cs="Times New Roman"/>
      <w:b/>
      <w:color w:val="FFFFFF"/>
      <w:sz w:val="20"/>
    </w:rPr>
  </w:style>
  <w:style w:type="paragraph" w:customStyle="1" w:styleId="TableHeadingCentred">
    <w:name w:val="Table Heading Centred"/>
    <w:basedOn w:val="TableHeading"/>
    <w:qFormat/>
    <w:rsid w:val="00956D5A"/>
    <w:pPr>
      <w:jc w:val="center"/>
    </w:pPr>
    <w:rPr>
      <w:color w:val="auto"/>
    </w:rPr>
  </w:style>
  <w:style w:type="paragraph" w:customStyle="1" w:styleId="TableHeadingRight">
    <w:name w:val="Table Heading Right"/>
    <w:basedOn w:val="TableHeading"/>
    <w:qFormat/>
    <w:rsid w:val="00956D5A"/>
    <w:pPr>
      <w:jc w:val="right"/>
    </w:pPr>
  </w:style>
  <w:style w:type="paragraph" w:customStyle="1" w:styleId="Source">
    <w:name w:val="Source"/>
    <w:basedOn w:val="Normal"/>
    <w:next w:val="BodyText17ptAbove"/>
    <w:rsid w:val="00035ADE"/>
    <w:pPr>
      <w:spacing w:before="180" w:after="114"/>
      <w:contextualSpacing/>
    </w:pPr>
    <w:rPr>
      <w:rFonts w:cs="Times New Roman"/>
      <w:color w:val="788184" w:themeColor="background2"/>
      <w:sz w:val="20"/>
      <w:szCs w:val="14"/>
    </w:rPr>
  </w:style>
  <w:style w:type="paragraph" w:customStyle="1" w:styleId="TableText">
    <w:name w:val="Table Text"/>
    <w:basedOn w:val="Normal"/>
    <w:qFormat/>
    <w:rsid w:val="0048342E"/>
    <w:pPr>
      <w:spacing w:before="70" w:after="70" w:line="260" w:lineRule="atLeast"/>
      <w:ind w:left="113" w:right="113"/>
    </w:pPr>
    <w:rPr>
      <w:rFonts w:cs="Times New Roman"/>
      <w:sz w:val="20"/>
    </w:rPr>
  </w:style>
  <w:style w:type="paragraph" w:customStyle="1" w:styleId="TableTextBold">
    <w:name w:val="Table Text Bold"/>
    <w:basedOn w:val="TableText"/>
    <w:semiHidden/>
    <w:qFormat/>
    <w:rsid w:val="00961DBB"/>
    <w:rPr>
      <w:b/>
    </w:rPr>
  </w:style>
  <w:style w:type="paragraph" w:customStyle="1" w:styleId="TableTextBullet">
    <w:name w:val="Table Text Bullet"/>
    <w:basedOn w:val="TableText"/>
    <w:rsid w:val="00961DBB"/>
    <w:pPr>
      <w:numPr>
        <w:numId w:val="8"/>
      </w:numPr>
    </w:pPr>
  </w:style>
  <w:style w:type="paragraph" w:customStyle="1" w:styleId="TableTextBullet2">
    <w:name w:val="Table Text Bullet 2"/>
    <w:basedOn w:val="TableTextBullet"/>
    <w:qFormat/>
    <w:rsid w:val="00961DBB"/>
    <w:pPr>
      <w:numPr>
        <w:ilvl w:val="1"/>
      </w:numPr>
    </w:pPr>
    <w:rPr>
      <w:bCs/>
    </w:rPr>
  </w:style>
  <w:style w:type="paragraph" w:customStyle="1" w:styleId="TableTextBullet3">
    <w:name w:val="Table Text Bullet 3"/>
    <w:basedOn w:val="TableTextBullet2"/>
    <w:qFormat/>
    <w:rsid w:val="00961DBB"/>
    <w:pPr>
      <w:numPr>
        <w:ilvl w:val="2"/>
      </w:numPr>
    </w:pPr>
    <w:rPr>
      <w:bCs w:val="0"/>
    </w:rPr>
  </w:style>
  <w:style w:type="paragraph" w:customStyle="1" w:styleId="TableTextNumber">
    <w:name w:val="Table Text Number"/>
    <w:basedOn w:val="TableText"/>
    <w:qFormat/>
    <w:rsid w:val="00961DBB"/>
    <w:pPr>
      <w:numPr>
        <w:numId w:val="9"/>
      </w:numPr>
    </w:pPr>
  </w:style>
  <w:style w:type="paragraph" w:customStyle="1" w:styleId="TableTextNumber2">
    <w:name w:val="Table Text Number 2"/>
    <w:basedOn w:val="TableTextNumber"/>
    <w:qFormat/>
    <w:rsid w:val="00961DBB"/>
    <w:pPr>
      <w:numPr>
        <w:ilvl w:val="1"/>
      </w:numPr>
      <w:tabs>
        <w:tab w:val="clear" w:pos="709"/>
        <w:tab w:val="num" w:pos="680"/>
      </w:tabs>
      <w:ind w:left="680"/>
    </w:pPr>
  </w:style>
  <w:style w:type="paragraph" w:customStyle="1" w:styleId="TableTextNumber3">
    <w:name w:val="Table Text Number 3"/>
    <w:basedOn w:val="TableTextNumber2"/>
    <w:qFormat/>
    <w:rsid w:val="00961DBB"/>
    <w:pPr>
      <w:numPr>
        <w:ilvl w:val="2"/>
      </w:numPr>
    </w:pPr>
  </w:style>
  <w:style w:type="paragraph" w:customStyle="1" w:styleId="TableTextRight">
    <w:name w:val="Table Text Right"/>
    <w:basedOn w:val="TableText"/>
    <w:qFormat/>
    <w:rsid w:val="00961DBB"/>
    <w:pPr>
      <w:jc w:val="right"/>
    </w:pPr>
  </w:style>
  <w:style w:type="paragraph" w:customStyle="1" w:styleId="TableofContents2">
    <w:name w:val="TableofContents2"/>
    <w:basedOn w:val="Normal"/>
    <w:semiHidden/>
    <w:rsid w:val="00CA0B7E"/>
    <w:pPr>
      <w:keepNext/>
      <w:spacing w:after="113"/>
    </w:pPr>
    <w:rPr>
      <w:sz w:val="28"/>
      <w:szCs w:val="28"/>
    </w:rPr>
  </w:style>
  <w:style w:type="paragraph" w:styleId="Title">
    <w:name w:val="Title"/>
    <w:basedOn w:val="Normal"/>
    <w:next w:val="Normal"/>
    <w:link w:val="TitleChar"/>
    <w:rsid w:val="00195228"/>
    <w:pPr>
      <w:spacing w:after="100" w:line="240" w:lineRule="auto"/>
      <w:jc w:val="right"/>
    </w:pPr>
    <w:rPr>
      <w:rFonts w:asciiTheme="majorHAnsi" w:eastAsiaTheme="majorEastAsia" w:hAnsiTheme="majorHAnsi" w:cstheme="majorBidi"/>
      <w:color w:val="2B3B5F" w:themeColor="text2"/>
      <w:spacing w:val="-2"/>
      <w:sz w:val="50"/>
      <w:szCs w:val="50"/>
    </w:rPr>
  </w:style>
  <w:style w:type="character" w:customStyle="1" w:styleId="TitleChar">
    <w:name w:val="Title Char"/>
    <w:basedOn w:val="DefaultParagraphFont"/>
    <w:link w:val="Title"/>
    <w:rsid w:val="000E266E"/>
    <w:rPr>
      <w:rFonts w:asciiTheme="majorHAnsi" w:eastAsiaTheme="majorEastAsia" w:hAnsiTheme="majorHAnsi" w:cstheme="majorBidi"/>
      <w:color w:val="2B3B5F" w:themeColor="text2"/>
      <w:spacing w:val="-2"/>
      <w:sz w:val="50"/>
      <w:szCs w:val="50"/>
    </w:rPr>
  </w:style>
  <w:style w:type="paragraph" w:customStyle="1" w:styleId="Title2">
    <w:name w:val="Title 2"/>
    <w:basedOn w:val="Normal"/>
    <w:link w:val="Title2Char"/>
    <w:rsid w:val="00C8728F"/>
    <w:pPr>
      <w:spacing w:after="250"/>
      <w:ind w:left="397"/>
      <w:jc w:val="right"/>
    </w:pPr>
    <w:rPr>
      <w:rFonts w:asciiTheme="majorHAnsi" w:hAnsiTheme="majorHAnsi"/>
      <w:color w:val="FFFFFF"/>
      <w:spacing w:val="-2"/>
      <w:sz w:val="32"/>
    </w:rPr>
  </w:style>
  <w:style w:type="character" w:customStyle="1" w:styleId="Title2Char">
    <w:name w:val="Title 2 Char"/>
    <w:basedOn w:val="DefaultParagraphFont"/>
    <w:link w:val="Title2"/>
    <w:rsid w:val="000E266E"/>
    <w:rPr>
      <w:rFonts w:asciiTheme="majorHAnsi" w:hAnsiTheme="majorHAnsi"/>
      <w:color w:val="FFFFFF"/>
      <w:spacing w:val="-2"/>
      <w:sz w:val="32"/>
    </w:rPr>
  </w:style>
  <w:style w:type="paragraph" w:customStyle="1" w:styleId="Title3">
    <w:name w:val="Title 3"/>
    <w:basedOn w:val="Title2"/>
    <w:rsid w:val="00195228"/>
    <w:pPr>
      <w:framePr w:wrap="auto" w:vAnchor="page" w:hAnchor="margin" w:y="5779"/>
    </w:pPr>
    <w:rPr>
      <w:rFonts w:eastAsia="Times New Roman" w:cs="Arial"/>
      <w:i/>
      <w:spacing w:val="8"/>
      <w:lang w:eastAsia="en-AU"/>
    </w:rPr>
  </w:style>
  <w:style w:type="paragraph" w:styleId="TOC1">
    <w:name w:val="toc 1"/>
    <w:basedOn w:val="Normal"/>
    <w:next w:val="Normal"/>
    <w:uiPriority w:val="39"/>
    <w:rsid w:val="001B2C65"/>
    <w:pPr>
      <w:tabs>
        <w:tab w:val="left" w:pos="454"/>
        <w:tab w:val="right" w:leader="underscore" w:pos="8165"/>
      </w:tabs>
      <w:spacing w:after="227"/>
      <w:ind w:left="454" w:right="851" w:hanging="454"/>
    </w:pPr>
    <w:rPr>
      <w:b/>
      <w:noProof/>
      <w:color w:val="2B3B5F" w:themeColor="text2"/>
    </w:rPr>
  </w:style>
  <w:style w:type="paragraph" w:styleId="TOC2">
    <w:name w:val="toc 2"/>
    <w:basedOn w:val="Normal"/>
    <w:next w:val="Normal"/>
    <w:uiPriority w:val="39"/>
    <w:rsid w:val="001B2C65"/>
    <w:pPr>
      <w:tabs>
        <w:tab w:val="left" w:pos="1021"/>
        <w:tab w:val="right" w:leader="underscore" w:pos="8165"/>
      </w:tabs>
      <w:spacing w:after="227"/>
      <w:ind w:left="1021" w:right="851" w:hanging="567"/>
    </w:pPr>
    <w:rPr>
      <w:noProof/>
      <w:szCs w:val="28"/>
    </w:rPr>
  </w:style>
  <w:style w:type="paragraph" w:styleId="TOC3">
    <w:name w:val="toc 3"/>
    <w:basedOn w:val="Normal"/>
    <w:next w:val="Normal"/>
    <w:uiPriority w:val="39"/>
    <w:rsid w:val="001B2C65"/>
    <w:pPr>
      <w:tabs>
        <w:tab w:val="left" w:pos="1758"/>
        <w:tab w:val="right" w:leader="underscore" w:pos="8165"/>
      </w:tabs>
      <w:spacing w:after="227"/>
      <w:ind w:left="1758" w:right="851" w:hanging="737"/>
    </w:pPr>
    <w:rPr>
      <w:rFonts w:eastAsiaTheme="minorEastAsia"/>
      <w:noProof/>
    </w:rPr>
  </w:style>
  <w:style w:type="paragraph" w:styleId="TOC4">
    <w:name w:val="toc 4"/>
    <w:basedOn w:val="Normal"/>
    <w:uiPriority w:val="39"/>
    <w:rsid w:val="006C5E72"/>
    <w:pPr>
      <w:tabs>
        <w:tab w:val="right" w:leader="underscore" w:pos="8165"/>
      </w:tabs>
      <w:spacing w:after="80"/>
      <w:ind w:right="851"/>
    </w:pPr>
    <w:rPr>
      <w:noProof/>
    </w:rPr>
  </w:style>
  <w:style w:type="paragraph" w:styleId="TOC5">
    <w:name w:val="toc 5"/>
    <w:basedOn w:val="Normal"/>
    <w:next w:val="Normal"/>
    <w:autoRedefine/>
    <w:rsid w:val="0096618E"/>
    <w:pPr>
      <w:tabs>
        <w:tab w:val="right" w:leader="underscore" w:pos="8165"/>
      </w:tabs>
      <w:spacing w:after="227"/>
      <w:ind w:right="851"/>
    </w:pPr>
    <w:rPr>
      <w:b/>
      <w:color w:val="2B3B5F" w:themeColor="text2"/>
    </w:rPr>
  </w:style>
  <w:style w:type="paragraph" w:styleId="TOC6">
    <w:name w:val="toc 6"/>
    <w:basedOn w:val="Normal"/>
    <w:next w:val="Normal"/>
    <w:autoRedefine/>
    <w:semiHidden/>
    <w:rsid w:val="00961DBB"/>
    <w:pPr>
      <w:spacing w:after="100"/>
      <w:ind w:left="1000"/>
    </w:pPr>
  </w:style>
  <w:style w:type="paragraph" w:styleId="TOC7">
    <w:name w:val="toc 7"/>
    <w:basedOn w:val="Normal"/>
    <w:next w:val="Normal"/>
    <w:autoRedefine/>
    <w:semiHidden/>
    <w:rsid w:val="00961DBB"/>
    <w:pPr>
      <w:spacing w:after="100"/>
      <w:ind w:left="1200"/>
    </w:pPr>
  </w:style>
  <w:style w:type="paragraph" w:styleId="TOC8">
    <w:name w:val="toc 8"/>
    <w:basedOn w:val="Normal"/>
    <w:next w:val="Normal"/>
    <w:autoRedefine/>
    <w:rsid w:val="00961DBB"/>
    <w:pPr>
      <w:tabs>
        <w:tab w:val="right" w:leader="dot" w:pos="9582"/>
      </w:tabs>
      <w:spacing w:after="227"/>
      <w:ind w:right="907"/>
    </w:pPr>
    <w:rPr>
      <w:color w:val="2B3B5F" w:themeColor="text2"/>
    </w:rPr>
  </w:style>
  <w:style w:type="paragraph" w:styleId="TOCHeading">
    <w:name w:val="TOC Heading"/>
    <w:basedOn w:val="Normal"/>
    <w:rsid w:val="00733970"/>
    <w:pPr>
      <w:tabs>
        <w:tab w:val="left" w:pos="1134"/>
        <w:tab w:val="left" w:pos="2268"/>
        <w:tab w:val="left" w:pos="3402"/>
        <w:tab w:val="left" w:pos="4536"/>
        <w:tab w:val="left" w:pos="5103"/>
      </w:tabs>
      <w:spacing w:before="480" w:after="340" w:line="240" w:lineRule="auto"/>
    </w:pPr>
    <w:rPr>
      <w:rFonts w:asciiTheme="majorHAnsi" w:hAnsiTheme="majorHAnsi"/>
      <w:color w:val="2B3B5F" w:themeColor="text2"/>
      <w:sz w:val="40"/>
      <w:szCs w:val="40"/>
    </w:rPr>
  </w:style>
  <w:style w:type="paragraph" w:customStyle="1" w:styleId="TOFHeading">
    <w:name w:val="TOF Heading"/>
    <w:basedOn w:val="Normal"/>
    <w:rsid w:val="00961DBB"/>
    <w:pPr>
      <w:keepNext/>
      <w:tabs>
        <w:tab w:val="left" w:pos="2268"/>
      </w:tabs>
      <w:spacing w:before="300" w:after="120"/>
    </w:pPr>
    <w:rPr>
      <w:color w:val="2B3B5F" w:themeColor="text2"/>
      <w:sz w:val="28"/>
      <w:szCs w:val="32"/>
    </w:rPr>
  </w:style>
  <w:style w:type="paragraph" w:customStyle="1" w:styleId="xDisclaimerHeading">
    <w:name w:val="xDisclaimer Heading"/>
    <w:basedOn w:val="Normal"/>
    <w:link w:val="xDisclaimerHeadingChar"/>
    <w:rsid w:val="00961DBB"/>
    <w:pPr>
      <w:framePr w:hSpace="181" w:wrap="around" w:hAnchor="margin" w:y="4310"/>
      <w:spacing w:before="170" w:after="57" w:line="280" w:lineRule="atLeast"/>
      <w:suppressOverlap/>
    </w:pPr>
    <w:rPr>
      <w:b/>
    </w:rPr>
  </w:style>
  <w:style w:type="character" w:customStyle="1" w:styleId="xDisclaimerHeadingChar">
    <w:name w:val="xDisclaimer Heading Char"/>
    <w:basedOn w:val="DefaultParagraphFont"/>
    <w:link w:val="xDisclaimerHeading"/>
    <w:rsid w:val="000E266E"/>
    <w:rPr>
      <w:b/>
    </w:rPr>
  </w:style>
  <w:style w:type="paragraph" w:customStyle="1" w:styleId="xDisclaimerText">
    <w:name w:val="xDisclaimer Text"/>
    <w:basedOn w:val="Normal"/>
    <w:rsid w:val="00961DBB"/>
    <w:pPr>
      <w:spacing w:after="57" w:line="302" w:lineRule="atLeast"/>
    </w:pPr>
    <w:rPr>
      <w:rFonts w:cs="Times New Roman"/>
    </w:rPr>
  </w:style>
  <w:style w:type="paragraph" w:customStyle="1" w:styleId="xDisclaimerText2">
    <w:name w:val="xDisclaimer Text 2"/>
    <w:basedOn w:val="xDisclaimerHeading"/>
    <w:rsid w:val="00961DBB"/>
    <w:pPr>
      <w:framePr w:wrap="around"/>
      <w:spacing w:before="0" w:after="170" w:line="302" w:lineRule="atLeast"/>
    </w:pPr>
    <w:rPr>
      <w:b w:val="0"/>
    </w:rPr>
  </w:style>
  <w:style w:type="paragraph" w:customStyle="1" w:styleId="xDisclaimertext3">
    <w:name w:val="xDisclaimer text 3"/>
    <w:basedOn w:val="xDisclaimerText"/>
    <w:rsid w:val="00961DBB"/>
    <w:pPr>
      <w:spacing w:before="170" w:after="170"/>
    </w:pPr>
  </w:style>
  <w:style w:type="paragraph" w:customStyle="1" w:styleId="xInlineShape">
    <w:name w:val="xInlineShape"/>
    <w:basedOn w:val="Normal"/>
    <w:next w:val="BodyText"/>
    <w:rsid w:val="009A3E58"/>
    <w:pPr>
      <w:keepNext/>
      <w:spacing w:before="300" w:after="120" w:line="240" w:lineRule="auto"/>
    </w:pPr>
  </w:style>
  <w:style w:type="paragraph" w:customStyle="1" w:styleId="xStatus">
    <w:name w:val="xStatus"/>
    <w:basedOn w:val="Normal"/>
    <w:semiHidden/>
    <w:rsid w:val="0094468E"/>
    <w:pPr>
      <w:tabs>
        <w:tab w:val="left" w:pos="1134"/>
        <w:tab w:val="left" w:pos="2268"/>
        <w:tab w:val="left" w:pos="3402"/>
        <w:tab w:val="left" w:pos="4536"/>
        <w:tab w:val="left" w:pos="5103"/>
      </w:tabs>
      <w:spacing w:line="1400" w:lineRule="exact"/>
      <w:jc w:val="center"/>
    </w:pPr>
    <w:rPr>
      <w:caps/>
      <w:color w:val="EAEAEA"/>
      <w:spacing w:val="40"/>
      <w:sz w:val="140"/>
    </w:rPr>
  </w:style>
  <w:style w:type="paragraph" w:customStyle="1" w:styleId="xDisclaimerHeadingwithxDisclaimerText">
    <w:name w:val="xDisclaimer Heading (with xDisclaimer Text)"/>
    <w:basedOn w:val="xDisclaimerHeading"/>
    <w:link w:val="xDisclaimerHeadingwithxDisclaimerTextChar"/>
    <w:qFormat/>
    <w:rsid w:val="00961DBB"/>
    <w:pPr>
      <w:framePr w:wrap="around"/>
    </w:pPr>
  </w:style>
  <w:style w:type="character" w:customStyle="1" w:styleId="xDisclaimerHeadingwithxDisclaimerTextChar">
    <w:name w:val="xDisclaimer Heading (with xDisclaimer Text) Char"/>
    <w:basedOn w:val="xDisclaimerHeadingChar"/>
    <w:link w:val="xDisclaimerHeadingwithxDisclaimerText"/>
    <w:rsid w:val="000E266E"/>
    <w:rPr>
      <w:b/>
    </w:rPr>
  </w:style>
  <w:style w:type="character" w:styleId="Hyperlink">
    <w:name w:val="Hyperlink"/>
    <w:basedOn w:val="DefaultParagraphFont"/>
    <w:uiPriority w:val="99"/>
    <w:unhideWhenUsed/>
    <w:rsid w:val="00903E3F"/>
    <w:rPr>
      <w:color w:val="auto"/>
      <w:u w:val="single"/>
    </w:rPr>
  </w:style>
  <w:style w:type="paragraph" w:styleId="BalloonText">
    <w:name w:val="Balloon Text"/>
    <w:basedOn w:val="Normal"/>
    <w:link w:val="BalloonTextChar"/>
    <w:semiHidden/>
    <w:unhideWhenUsed/>
    <w:rsid w:val="00903E3F"/>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E266E"/>
    <w:rPr>
      <w:rFonts w:ascii="Tahoma" w:hAnsi="Tahoma" w:cs="Tahoma"/>
      <w:sz w:val="16"/>
      <w:szCs w:val="16"/>
    </w:rPr>
  </w:style>
  <w:style w:type="paragraph" w:customStyle="1" w:styleId="CaptionBefore12pt">
    <w:name w:val="Caption + Before: 12pt"/>
    <w:basedOn w:val="Caption"/>
    <w:rsid w:val="00FD6119"/>
    <w:pPr>
      <w:spacing w:before="240"/>
    </w:pPr>
  </w:style>
  <w:style w:type="paragraph" w:customStyle="1" w:styleId="xBackPageWebAddress">
    <w:name w:val="xBack Page Web Address"/>
    <w:basedOn w:val="Normal"/>
    <w:rsid w:val="00F31392"/>
    <w:pPr>
      <w:spacing w:before="140" w:line="240" w:lineRule="atLeast"/>
    </w:pPr>
    <w:rPr>
      <w:rFonts w:asciiTheme="majorHAnsi" w:hAnsiTheme="majorHAnsi"/>
      <w:color w:val="FFFFFF"/>
      <w:spacing w:val="-6"/>
      <w:sz w:val="40"/>
      <w:szCs w:val="36"/>
    </w:rPr>
  </w:style>
  <w:style w:type="paragraph" w:customStyle="1" w:styleId="Heading1NoNumbering">
    <w:name w:val="Heading 1 No Numbering"/>
    <w:basedOn w:val="Heading1"/>
    <w:qFormat/>
    <w:rsid w:val="00A12C39"/>
    <w:pPr>
      <w:numPr>
        <w:numId w:val="0"/>
      </w:numPr>
    </w:pPr>
  </w:style>
  <w:style w:type="paragraph" w:styleId="TableofFigures">
    <w:name w:val="table of figures"/>
    <w:basedOn w:val="Normal"/>
    <w:next w:val="Normal"/>
    <w:uiPriority w:val="99"/>
    <w:rsid w:val="00D64CE2"/>
    <w:pPr>
      <w:tabs>
        <w:tab w:val="right" w:leader="underscore" w:pos="8165"/>
      </w:tabs>
      <w:spacing w:after="80"/>
      <w:ind w:right="851"/>
    </w:pPr>
  </w:style>
  <w:style w:type="paragraph" w:customStyle="1" w:styleId="SectionHeadingNoTOC">
    <w:name w:val="Section Heading No TOC"/>
    <w:basedOn w:val="SectionHeading"/>
    <w:rsid w:val="00E45766"/>
  </w:style>
  <w:style w:type="paragraph" w:customStyle="1" w:styleId="TableTextCentred">
    <w:name w:val="Table Text Centred"/>
    <w:basedOn w:val="TableText"/>
    <w:qFormat/>
    <w:rsid w:val="00AE1CC1"/>
    <w:pPr>
      <w:jc w:val="center"/>
    </w:pPr>
    <w:rPr>
      <w:rFonts w:eastAsia="Times New Roman"/>
      <w:lang w:eastAsia="en-AU"/>
    </w:rPr>
  </w:style>
  <w:style w:type="paragraph" w:customStyle="1" w:styleId="FooterRightPageNumberLS">
    <w:name w:val="Footer Right Page Number LS"/>
    <w:basedOn w:val="Normal"/>
    <w:rsid w:val="004E0E49"/>
    <w:pPr>
      <w:framePr w:wrap="auto" w:hAnchor="text" w:x="1"/>
      <w:spacing w:before="180" w:after="120" w:line="240" w:lineRule="auto"/>
      <w:ind w:right="283"/>
      <w:jc w:val="right"/>
    </w:pPr>
    <w:rPr>
      <w:rFonts w:eastAsia="Times New Roman" w:cs="Arial"/>
      <w:b/>
      <w:noProof/>
      <w:color w:val="788184" w:themeColor="background2"/>
      <w:lang w:eastAsia="en-AU"/>
    </w:rPr>
  </w:style>
  <w:style w:type="character" w:customStyle="1" w:styleId="MyBoldItalicsUnderline">
    <w:name w:val="MyBoldItalicsUnderline"/>
    <w:uiPriority w:val="99"/>
    <w:rsid w:val="000E266E"/>
    <w:rPr>
      <w:b/>
      <w:i/>
      <w:u w:val="single"/>
      <w:vertAlign w:val="baseline"/>
    </w:rPr>
  </w:style>
  <w:style w:type="character" w:customStyle="1" w:styleId="MyBoldUnderline">
    <w:name w:val="MyBoldUnderline"/>
    <w:uiPriority w:val="99"/>
    <w:rsid w:val="000E266E"/>
    <w:rPr>
      <w:b/>
      <w:i/>
      <w:u w:val="single"/>
      <w:vertAlign w:val="baseline"/>
    </w:rPr>
  </w:style>
  <w:style w:type="character" w:customStyle="1" w:styleId="MyItalicsUnderline">
    <w:name w:val="MyItalicsUnderline"/>
    <w:uiPriority w:val="99"/>
    <w:rsid w:val="000E266E"/>
    <w:rPr>
      <w:b/>
      <w:i/>
      <w:u w:val="single"/>
      <w:vertAlign w:val="baseline"/>
    </w:rPr>
  </w:style>
  <w:style w:type="character" w:customStyle="1" w:styleId="MyUnderline">
    <w:name w:val="MyUnderline"/>
    <w:uiPriority w:val="99"/>
    <w:rsid w:val="000E266E"/>
    <w:rPr>
      <w:b w:val="0"/>
      <w:i w:val="0"/>
      <w:u w:val="single"/>
      <w:vertAlign w:val="baseline"/>
    </w:rPr>
  </w:style>
  <w:style w:type="paragraph" w:styleId="TOC9">
    <w:name w:val="toc 9"/>
    <w:basedOn w:val="Normal"/>
    <w:next w:val="Normal"/>
    <w:autoRedefine/>
    <w:semiHidden/>
    <w:unhideWhenUsed/>
    <w:rsid w:val="00613471"/>
    <w:pPr>
      <w:spacing w:after="100"/>
      <w:ind w:left="1760"/>
    </w:pPr>
  </w:style>
  <w:style w:type="paragraph" w:styleId="ListParagraph">
    <w:name w:val="List Paragraph"/>
    <w:basedOn w:val="Normal"/>
    <w:link w:val="ListParagraphChar"/>
    <w:uiPriority w:val="34"/>
    <w:rsid w:val="00F95381"/>
    <w:pPr>
      <w:spacing w:before="240" w:line="240" w:lineRule="auto"/>
      <w:ind w:left="720"/>
      <w:contextualSpacing/>
    </w:pPr>
    <w:rPr>
      <w:rFonts w:ascii="Times New Roman" w:hAnsi="Times New Roman" w:cs="Times New Roman"/>
      <w:sz w:val="24"/>
      <w:szCs w:val="24"/>
    </w:rPr>
  </w:style>
  <w:style w:type="paragraph" w:customStyle="1" w:styleId="Bullet1">
    <w:name w:val="Bullet 1"/>
    <w:basedOn w:val="ListParagraph"/>
    <w:link w:val="Bullet1Char"/>
    <w:rsid w:val="00F95381"/>
    <w:pPr>
      <w:keepNext/>
      <w:keepLines/>
      <w:numPr>
        <w:numId w:val="17"/>
      </w:numPr>
      <w:ind w:left="284" w:hanging="284"/>
      <w:contextualSpacing w:val="0"/>
    </w:pPr>
  </w:style>
  <w:style w:type="character" w:customStyle="1" w:styleId="ListParagraphChar">
    <w:name w:val="List Paragraph Char"/>
    <w:basedOn w:val="DefaultParagraphFont"/>
    <w:link w:val="ListParagraph"/>
    <w:uiPriority w:val="34"/>
    <w:rsid w:val="00F95381"/>
    <w:rPr>
      <w:rFonts w:ascii="Times New Roman" w:hAnsi="Times New Roman" w:cs="Times New Roman"/>
      <w:sz w:val="24"/>
      <w:szCs w:val="24"/>
    </w:rPr>
  </w:style>
  <w:style w:type="character" w:customStyle="1" w:styleId="Bullet1Char">
    <w:name w:val="Bullet 1 Char"/>
    <w:basedOn w:val="ListParagraphChar"/>
    <w:link w:val="Bullet1"/>
    <w:rsid w:val="00F95381"/>
    <w:rPr>
      <w:rFonts w:ascii="Times New Roman" w:hAnsi="Times New Roman" w:cs="Times New Roman"/>
      <w:sz w:val="24"/>
      <w:szCs w:val="24"/>
    </w:rPr>
  </w:style>
  <w:style w:type="paragraph" w:customStyle="1" w:styleId="Bullet2">
    <w:name w:val="Bullet 2"/>
    <w:basedOn w:val="Normal"/>
    <w:link w:val="Bullet2Char"/>
    <w:rsid w:val="00F95381"/>
    <w:pPr>
      <w:numPr>
        <w:ilvl w:val="1"/>
        <w:numId w:val="18"/>
      </w:numPr>
      <w:spacing w:before="120" w:line="240" w:lineRule="auto"/>
      <w:ind w:left="568" w:hanging="284"/>
    </w:pPr>
    <w:rPr>
      <w:rFonts w:ascii="Times New Roman" w:eastAsia="Times New Roman" w:hAnsi="Times New Roman" w:cs="Times New Roman"/>
      <w:sz w:val="24"/>
      <w:szCs w:val="20"/>
      <w:lang w:eastAsia="en-AU"/>
    </w:rPr>
  </w:style>
  <w:style w:type="paragraph" w:customStyle="1" w:styleId="Bullet4">
    <w:name w:val="Bullet 4"/>
    <w:basedOn w:val="Normal"/>
    <w:rsid w:val="00F95381"/>
    <w:pPr>
      <w:numPr>
        <w:ilvl w:val="2"/>
        <w:numId w:val="18"/>
      </w:numPr>
      <w:spacing w:before="120" w:line="240" w:lineRule="auto"/>
      <w:ind w:left="1135" w:hanging="284"/>
    </w:pPr>
    <w:rPr>
      <w:rFonts w:ascii="Times New Roman" w:eastAsia="Times New Roman" w:hAnsi="Times New Roman" w:cs="Times New Roman"/>
      <w:sz w:val="24"/>
      <w:szCs w:val="20"/>
      <w:lang w:eastAsia="en-AU"/>
    </w:rPr>
  </w:style>
  <w:style w:type="character" w:customStyle="1" w:styleId="Bullet2Char">
    <w:name w:val="Bullet 2 Char"/>
    <w:basedOn w:val="DefaultParagraphFont"/>
    <w:link w:val="Bullet2"/>
    <w:rsid w:val="00F95381"/>
    <w:rPr>
      <w:rFonts w:ascii="Times New Roman" w:eastAsia="Times New Roman" w:hAnsi="Times New Roman" w:cs="Times New Roman"/>
      <w:sz w:val="24"/>
      <w:szCs w:val="20"/>
      <w:lang w:eastAsia="en-AU"/>
    </w:rPr>
  </w:style>
  <w:style w:type="character" w:styleId="CommentReference">
    <w:name w:val="annotation reference"/>
    <w:basedOn w:val="DefaultParagraphFont"/>
    <w:semiHidden/>
    <w:unhideWhenUsed/>
    <w:rsid w:val="00F95381"/>
    <w:rPr>
      <w:sz w:val="16"/>
      <w:szCs w:val="16"/>
    </w:rPr>
  </w:style>
  <w:style w:type="paragraph" w:styleId="CommentText">
    <w:name w:val="annotation text"/>
    <w:basedOn w:val="Normal"/>
    <w:link w:val="CommentTextChar"/>
    <w:semiHidden/>
    <w:unhideWhenUsed/>
    <w:rsid w:val="00F95381"/>
    <w:pPr>
      <w:spacing w:line="240" w:lineRule="auto"/>
    </w:pPr>
    <w:rPr>
      <w:sz w:val="20"/>
      <w:szCs w:val="20"/>
    </w:rPr>
  </w:style>
  <w:style w:type="character" w:customStyle="1" w:styleId="CommentTextChar">
    <w:name w:val="Comment Text Char"/>
    <w:basedOn w:val="DefaultParagraphFont"/>
    <w:link w:val="CommentText"/>
    <w:semiHidden/>
    <w:rsid w:val="00F95381"/>
    <w:rPr>
      <w:sz w:val="20"/>
      <w:szCs w:val="20"/>
    </w:rPr>
  </w:style>
  <w:style w:type="paragraph" w:styleId="CommentSubject">
    <w:name w:val="annotation subject"/>
    <w:basedOn w:val="CommentText"/>
    <w:next w:val="CommentText"/>
    <w:link w:val="CommentSubjectChar"/>
    <w:semiHidden/>
    <w:unhideWhenUsed/>
    <w:rsid w:val="00F95381"/>
    <w:rPr>
      <w:b/>
      <w:bCs/>
    </w:rPr>
  </w:style>
  <w:style w:type="character" w:customStyle="1" w:styleId="CommentSubjectChar">
    <w:name w:val="Comment Subject Char"/>
    <w:basedOn w:val="CommentTextChar"/>
    <w:link w:val="CommentSubject"/>
    <w:semiHidden/>
    <w:rsid w:val="00F95381"/>
    <w:rPr>
      <w:b/>
      <w:bCs/>
      <w:sz w:val="20"/>
      <w:szCs w:val="20"/>
    </w:rPr>
  </w:style>
  <w:style w:type="table" w:customStyle="1" w:styleId="TableGrid1">
    <w:name w:val="Table Grid1"/>
    <w:basedOn w:val="TableNormal"/>
    <w:next w:val="TableGrid"/>
    <w:uiPriority w:val="59"/>
    <w:rsid w:val="00F95381"/>
    <w:pPr>
      <w:keepNext/>
      <w:keepLines/>
      <w:spacing w:before="60" w:after="6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65BC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234839">
      <w:bodyDiv w:val="1"/>
      <w:marLeft w:val="0"/>
      <w:marRight w:val="0"/>
      <w:marTop w:val="0"/>
      <w:marBottom w:val="0"/>
      <w:divBdr>
        <w:top w:val="none" w:sz="0" w:space="0" w:color="auto"/>
        <w:left w:val="none" w:sz="0" w:space="0" w:color="auto"/>
        <w:bottom w:val="none" w:sz="0" w:space="0" w:color="auto"/>
        <w:right w:val="none" w:sz="0" w:space="0" w:color="auto"/>
      </w:divBdr>
    </w:div>
    <w:div w:id="311980882">
      <w:bodyDiv w:val="1"/>
      <w:marLeft w:val="0"/>
      <w:marRight w:val="0"/>
      <w:marTop w:val="0"/>
      <w:marBottom w:val="0"/>
      <w:divBdr>
        <w:top w:val="none" w:sz="0" w:space="0" w:color="auto"/>
        <w:left w:val="none" w:sz="0" w:space="0" w:color="auto"/>
        <w:bottom w:val="none" w:sz="0" w:space="0" w:color="auto"/>
        <w:right w:val="none" w:sz="0" w:space="0" w:color="auto"/>
      </w:divBdr>
    </w:div>
    <w:div w:id="650330154">
      <w:bodyDiv w:val="1"/>
      <w:marLeft w:val="0"/>
      <w:marRight w:val="0"/>
      <w:marTop w:val="0"/>
      <w:marBottom w:val="0"/>
      <w:divBdr>
        <w:top w:val="none" w:sz="0" w:space="0" w:color="auto"/>
        <w:left w:val="none" w:sz="0" w:space="0" w:color="auto"/>
        <w:bottom w:val="none" w:sz="0" w:space="0" w:color="auto"/>
        <w:right w:val="none" w:sz="0" w:space="0" w:color="auto"/>
      </w:divBdr>
      <w:divsChild>
        <w:div w:id="149565548">
          <w:marLeft w:val="0"/>
          <w:marRight w:val="0"/>
          <w:marTop w:val="0"/>
          <w:marBottom w:val="0"/>
          <w:divBdr>
            <w:top w:val="none" w:sz="0" w:space="0" w:color="auto"/>
            <w:left w:val="none" w:sz="0" w:space="0" w:color="auto"/>
            <w:bottom w:val="none" w:sz="0" w:space="0" w:color="auto"/>
            <w:right w:val="none" w:sz="0" w:space="0" w:color="auto"/>
          </w:divBdr>
          <w:divsChild>
            <w:div w:id="491799991">
              <w:marLeft w:val="3600"/>
              <w:marRight w:val="300"/>
              <w:marTop w:val="0"/>
              <w:marBottom w:val="0"/>
              <w:divBdr>
                <w:top w:val="none" w:sz="0" w:space="0" w:color="auto"/>
                <w:left w:val="none" w:sz="0" w:space="0" w:color="auto"/>
                <w:bottom w:val="none" w:sz="0" w:space="0" w:color="auto"/>
                <w:right w:val="none" w:sz="0" w:space="0" w:color="auto"/>
              </w:divBdr>
            </w:div>
          </w:divsChild>
        </w:div>
      </w:divsChild>
    </w:div>
    <w:div w:id="689188728">
      <w:bodyDiv w:val="1"/>
      <w:marLeft w:val="0"/>
      <w:marRight w:val="0"/>
      <w:marTop w:val="0"/>
      <w:marBottom w:val="0"/>
      <w:divBdr>
        <w:top w:val="none" w:sz="0" w:space="0" w:color="auto"/>
        <w:left w:val="none" w:sz="0" w:space="0" w:color="auto"/>
        <w:bottom w:val="none" w:sz="0" w:space="0" w:color="auto"/>
        <w:right w:val="none" w:sz="0" w:space="0" w:color="auto"/>
      </w:divBdr>
      <w:divsChild>
        <w:div w:id="1437754463">
          <w:marLeft w:val="0"/>
          <w:marRight w:val="0"/>
          <w:marTop w:val="0"/>
          <w:marBottom w:val="0"/>
          <w:divBdr>
            <w:top w:val="none" w:sz="0" w:space="0" w:color="auto"/>
            <w:left w:val="none" w:sz="0" w:space="0" w:color="auto"/>
            <w:bottom w:val="none" w:sz="0" w:space="0" w:color="auto"/>
            <w:right w:val="none" w:sz="0" w:space="0" w:color="auto"/>
          </w:divBdr>
          <w:divsChild>
            <w:div w:id="121045057">
              <w:marLeft w:val="3600"/>
              <w:marRight w:val="300"/>
              <w:marTop w:val="0"/>
              <w:marBottom w:val="0"/>
              <w:divBdr>
                <w:top w:val="none" w:sz="0" w:space="0" w:color="auto"/>
                <w:left w:val="none" w:sz="0" w:space="0" w:color="auto"/>
                <w:bottom w:val="none" w:sz="0" w:space="0" w:color="auto"/>
                <w:right w:val="none" w:sz="0" w:space="0" w:color="auto"/>
              </w:divBdr>
            </w:div>
          </w:divsChild>
        </w:div>
      </w:divsChild>
    </w:div>
    <w:div w:id="1716658880">
      <w:bodyDiv w:val="1"/>
      <w:marLeft w:val="0"/>
      <w:marRight w:val="0"/>
      <w:marTop w:val="0"/>
      <w:marBottom w:val="0"/>
      <w:divBdr>
        <w:top w:val="none" w:sz="0" w:space="0" w:color="auto"/>
        <w:left w:val="none" w:sz="0" w:space="0" w:color="auto"/>
        <w:bottom w:val="none" w:sz="0" w:space="0" w:color="auto"/>
        <w:right w:val="none" w:sz="0" w:space="0" w:color="auto"/>
      </w:divBdr>
      <w:divsChild>
        <w:div w:id="98333730">
          <w:marLeft w:val="0"/>
          <w:marRight w:val="0"/>
          <w:marTop w:val="0"/>
          <w:marBottom w:val="0"/>
          <w:divBdr>
            <w:top w:val="none" w:sz="0" w:space="0" w:color="auto"/>
            <w:left w:val="none" w:sz="0" w:space="0" w:color="auto"/>
            <w:bottom w:val="none" w:sz="0" w:space="0" w:color="auto"/>
            <w:right w:val="none" w:sz="0" w:space="0" w:color="auto"/>
          </w:divBdr>
          <w:divsChild>
            <w:div w:id="580607286">
              <w:marLeft w:val="3600"/>
              <w:marRight w:val="30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reativecommons.org/licenses/by-nc-nd/3.0/au/" TargetMode="External"/><Relationship Id="rId18" Type="http://schemas.openxmlformats.org/officeDocument/2006/relationships/footer" Target="footer2.xml"/><Relationship Id="rId26" Type="http://schemas.openxmlformats.org/officeDocument/2006/relationships/footer" Target="footer6.xml"/><Relationship Id="rId39" Type="http://schemas.openxmlformats.org/officeDocument/2006/relationships/header" Target="header14.xml"/><Relationship Id="rId21" Type="http://schemas.openxmlformats.org/officeDocument/2006/relationships/header" Target="header7.xml"/><Relationship Id="rId34" Type="http://schemas.openxmlformats.org/officeDocument/2006/relationships/footer" Target="footer12.xml"/><Relationship Id="rId42" Type="http://schemas.openxmlformats.org/officeDocument/2006/relationships/image" Target="media/image3.png"/><Relationship Id="rId47" Type="http://schemas.openxmlformats.org/officeDocument/2006/relationships/image" Target="media/image8.png"/><Relationship Id="rId50" Type="http://schemas.openxmlformats.org/officeDocument/2006/relationships/image" Target="media/image11.png"/><Relationship Id="rId55" Type="http://schemas.openxmlformats.org/officeDocument/2006/relationships/image" Target="media/image16.png"/><Relationship Id="rId63" Type="http://schemas.openxmlformats.org/officeDocument/2006/relationships/footer" Target="footer20.xml"/><Relationship Id="rId68" Type="http://schemas.openxmlformats.org/officeDocument/2006/relationships/footer" Target="footer22.xml"/><Relationship Id="rId76" Type="http://schemas.openxmlformats.org/officeDocument/2006/relationships/footer" Target="footer26.xml"/><Relationship Id="rId84" Type="http://schemas.openxmlformats.org/officeDocument/2006/relationships/footer" Target="footer30.xml"/><Relationship Id="rId89" Type="http://schemas.openxmlformats.org/officeDocument/2006/relationships/footer" Target="footer32.xml"/><Relationship Id="rId7" Type="http://schemas.openxmlformats.org/officeDocument/2006/relationships/footnotes" Target="footnotes.xml"/><Relationship Id="rId71" Type="http://schemas.openxmlformats.org/officeDocument/2006/relationships/header" Target="header21.xml"/><Relationship Id="rId92"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footer" Target="footer7.xml"/><Relationship Id="rId11" Type="http://schemas.openxmlformats.org/officeDocument/2006/relationships/header" Target="header3.xml"/><Relationship Id="rId24" Type="http://schemas.openxmlformats.org/officeDocument/2006/relationships/footer" Target="footer5.xml"/><Relationship Id="rId32" Type="http://schemas.openxmlformats.org/officeDocument/2006/relationships/footer" Target="footer10.xml"/><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image" Target="media/image6.png"/><Relationship Id="rId53" Type="http://schemas.openxmlformats.org/officeDocument/2006/relationships/image" Target="media/image14.png"/><Relationship Id="rId58" Type="http://schemas.openxmlformats.org/officeDocument/2006/relationships/header" Target="header16.xml"/><Relationship Id="rId66" Type="http://schemas.openxmlformats.org/officeDocument/2006/relationships/header" Target="header19.xml"/><Relationship Id="rId74" Type="http://schemas.openxmlformats.org/officeDocument/2006/relationships/footer" Target="footer25.xml"/><Relationship Id="rId79" Type="http://schemas.openxmlformats.org/officeDocument/2006/relationships/footer" Target="footer27.xml"/><Relationship Id="rId87" Type="http://schemas.openxmlformats.org/officeDocument/2006/relationships/header" Target="header29.xml"/><Relationship Id="rId5" Type="http://schemas.openxmlformats.org/officeDocument/2006/relationships/settings" Target="settings.xml"/><Relationship Id="rId61" Type="http://schemas.openxmlformats.org/officeDocument/2006/relationships/header" Target="header17.xml"/><Relationship Id="rId82" Type="http://schemas.openxmlformats.org/officeDocument/2006/relationships/header" Target="header27.xml"/><Relationship Id="rId90" Type="http://schemas.openxmlformats.org/officeDocument/2006/relationships/footer" Target="footer33.xml"/><Relationship Id="rId19" Type="http://schemas.openxmlformats.org/officeDocument/2006/relationships/header" Target="header6.xml"/><Relationship Id="rId14" Type="http://schemas.openxmlformats.org/officeDocument/2006/relationships/hyperlink" Target="http://www.itsanhonour.gov.au/coat-arms" TargetMode="Externa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8.xml"/><Relationship Id="rId35" Type="http://schemas.openxmlformats.org/officeDocument/2006/relationships/header" Target="header12.xml"/><Relationship Id="rId43" Type="http://schemas.openxmlformats.org/officeDocument/2006/relationships/image" Target="media/image4.png"/><Relationship Id="rId48" Type="http://schemas.openxmlformats.org/officeDocument/2006/relationships/image" Target="media/image9.png"/><Relationship Id="rId56" Type="http://schemas.openxmlformats.org/officeDocument/2006/relationships/hyperlink" Target="http://www.acoss.org.au/" TargetMode="External"/><Relationship Id="rId64" Type="http://schemas.openxmlformats.org/officeDocument/2006/relationships/image" Target="media/image17.png"/><Relationship Id="rId69" Type="http://schemas.openxmlformats.org/officeDocument/2006/relationships/header" Target="header20.xml"/><Relationship Id="rId77" Type="http://schemas.openxmlformats.org/officeDocument/2006/relationships/header" Target="header24.xml"/><Relationship Id="rId8" Type="http://schemas.openxmlformats.org/officeDocument/2006/relationships/endnotes" Target="endnotes.xml"/><Relationship Id="rId51" Type="http://schemas.openxmlformats.org/officeDocument/2006/relationships/image" Target="media/image12.png"/><Relationship Id="rId72" Type="http://schemas.openxmlformats.org/officeDocument/2006/relationships/header" Target="header22.xml"/><Relationship Id="rId80" Type="http://schemas.openxmlformats.org/officeDocument/2006/relationships/footer" Target="footer28.xml"/><Relationship Id="rId85" Type="http://schemas.openxmlformats.org/officeDocument/2006/relationships/header" Target="header28.xm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header" Target="header9.xml"/><Relationship Id="rId33" Type="http://schemas.openxmlformats.org/officeDocument/2006/relationships/footer" Target="footer11.xml"/><Relationship Id="rId38" Type="http://schemas.openxmlformats.org/officeDocument/2006/relationships/footer" Target="footer14.xml"/><Relationship Id="rId46" Type="http://schemas.openxmlformats.org/officeDocument/2006/relationships/image" Target="media/image7.png"/><Relationship Id="rId59" Type="http://schemas.openxmlformats.org/officeDocument/2006/relationships/footer" Target="footer17.xml"/><Relationship Id="rId67" Type="http://schemas.openxmlformats.org/officeDocument/2006/relationships/footer" Target="footer21.xml"/><Relationship Id="rId20" Type="http://schemas.openxmlformats.org/officeDocument/2006/relationships/footer" Target="footer3.xml"/><Relationship Id="rId41" Type="http://schemas.openxmlformats.org/officeDocument/2006/relationships/footer" Target="footer16.xml"/><Relationship Id="rId54" Type="http://schemas.openxmlformats.org/officeDocument/2006/relationships/image" Target="media/image15.png"/><Relationship Id="rId62" Type="http://schemas.openxmlformats.org/officeDocument/2006/relationships/footer" Target="footer19.xml"/><Relationship Id="rId70" Type="http://schemas.openxmlformats.org/officeDocument/2006/relationships/footer" Target="footer23.xml"/><Relationship Id="rId75" Type="http://schemas.openxmlformats.org/officeDocument/2006/relationships/header" Target="header23.xml"/><Relationship Id="rId83" Type="http://schemas.openxmlformats.org/officeDocument/2006/relationships/footer" Target="footer29.xml"/><Relationship Id="rId88" Type="http://schemas.openxmlformats.org/officeDocument/2006/relationships/header" Target="header30.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4.xml"/><Relationship Id="rId28" Type="http://schemas.openxmlformats.org/officeDocument/2006/relationships/header" Target="header11.xml"/><Relationship Id="rId36" Type="http://schemas.openxmlformats.org/officeDocument/2006/relationships/header" Target="header13.xml"/><Relationship Id="rId49" Type="http://schemas.openxmlformats.org/officeDocument/2006/relationships/image" Target="media/image10.png"/><Relationship Id="rId57" Type="http://schemas.openxmlformats.org/officeDocument/2006/relationships/header" Target="header15.xml"/><Relationship Id="rId10" Type="http://schemas.openxmlformats.org/officeDocument/2006/relationships/header" Target="header2.xml"/><Relationship Id="rId31" Type="http://schemas.openxmlformats.org/officeDocument/2006/relationships/footer" Target="footer9.xml"/><Relationship Id="rId44" Type="http://schemas.openxmlformats.org/officeDocument/2006/relationships/image" Target="media/image5.png"/><Relationship Id="rId52" Type="http://schemas.openxmlformats.org/officeDocument/2006/relationships/image" Target="media/image13.png"/><Relationship Id="rId60" Type="http://schemas.openxmlformats.org/officeDocument/2006/relationships/footer" Target="footer18.xml"/><Relationship Id="rId65" Type="http://schemas.openxmlformats.org/officeDocument/2006/relationships/header" Target="header18.xml"/><Relationship Id="rId73" Type="http://schemas.openxmlformats.org/officeDocument/2006/relationships/footer" Target="footer24.xml"/><Relationship Id="rId78" Type="http://schemas.openxmlformats.org/officeDocument/2006/relationships/header" Target="header25.xml"/><Relationship Id="rId81" Type="http://schemas.openxmlformats.org/officeDocument/2006/relationships/header" Target="header26.xml"/><Relationship Id="rId86" Type="http://schemas.openxmlformats.org/officeDocument/2006/relationships/footer" Target="footer31.xml"/><Relationship Id="rId4" Type="http://schemas.microsoft.com/office/2007/relationships/stylesWithEffects" Target="stylesWithEffects.xml"/><Relationship Id="rId9" Type="http://schemas.openxmlformats.org/officeDocument/2006/relationships/header" Target="header1.xml"/></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23.xml.rels><?xml version="1.0" encoding="UTF-8" standalone="yes"?>
<Relationships xmlns="http://schemas.openxmlformats.org/package/2006/relationships"><Relationship Id="rId1" Type="http://schemas.openxmlformats.org/officeDocument/2006/relationships/image" Target="media/image1.png"/></Relationships>
</file>

<file path=word/_rels/header28.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liganl\AppData\Roaming\Microsoft\Templates\PBO%20Research%20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C4EF870A2A14BE8B3BC4C178CF552A6"/>
        <w:category>
          <w:name w:val="General"/>
          <w:gallery w:val="placeholder"/>
        </w:category>
        <w:types>
          <w:type w:val="bbPlcHdr"/>
        </w:types>
        <w:behaviors>
          <w:behavior w:val="content"/>
        </w:behaviors>
        <w:guid w:val="{3448FCC2-AB13-4784-9E68-68D86F743590}"/>
      </w:docPartPr>
      <w:docPartBody>
        <w:p w:rsidR="00077E62" w:rsidRDefault="00C12D32" w:rsidP="00C12D32">
          <w:pPr>
            <w:pStyle w:val="2C4EF870A2A14BE8B3BC4C178CF552A6"/>
          </w:pPr>
          <w:r w:rsidRPr="004F7039">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ecilia-Italic">
    <w:panose1 w:val="00000000000000000000"/>
    <w:charset w:val="00"/>
    <w:family w:val="roman"/>
    <w:notTrueType/>
    <w:pitch w:val="default"/>
    <w:sig w:usb0="00000003" w:usb1="00000000" w:usb2="00000000" w:usb3="00000000" w:csb0="00000001" w:csb1="00000000"/>
  </w:font>
  <w:font w:name="Caecilia-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D32"/>
    <w:rsid w:val="00014A4D"/>
    <w:rsid w:val="00077E62"/>
    <w:rsid w:val="00100CD9"/>
    <w:rsid w:val="00145C66"/>
    <w:rsid w:val="00164A46"/>
    <w:rsid w:val="001B34FF"/>
    <w:rsid w:val="001D29A8"/>
    <w:rsid w:val="00223885"/>
    <w:rsid w:val="00311C1B"/>
    <w:rsid w:val="00314674"/>
    <w:rsid w:val="00362991"/>
    <w:rsid w:val="003921BA"/>
    <w:rsid w:val="003B4B51"/>
    <w:rsid w:val="0042572E"/>
    <w:rsid w:val="00451DCD"/>
    <w:rsid w:val="00457DDF"/>
    <w:rsid w:val="00592E26"/>
    <w:rsid w:val="006214E1"/>
    <w:rsid w:val="00625C95"/>
    <w:rsid w:val="00641ECC"/>
    <w:rsid w:val="006711F9"/>
    <w:rsid w:val="006866B9"/>
    <w:rsid w:val="007E131F"/>
    <w:rsid w:val="00894A6A"/>
    <w:rsid w:val="00AB30DC"/>
    <w:rsid w:val="00AB320E"/>
    <w:rsid w:val="00AC7681"/>
    <w:rsid w:val="00AF4C2A"/>
    <w:rsid w:val="00B21529"/>
    <w:rsid w:val="00BA0A04"/>
    <w:rsid w:val="00BC33E9"/>
    <w:rsid w:val="00BD3297"/>
    <w:rsid w:val="00C12D32"/>
    <w:rsid w:val="00D12569"/>
    <w:rsid w:val="00D43A8C"/>
    <w:rsid w:val="00D512ED"/>
    <w:rsid w:val="00E33DEE"/>
    <w:rsid w:val="00E54815"/>
    <w:rsid w:val="00EF6DF5"/>
    <w:rsid w:val="00F36BC7"/>
    <w:rsid w:val="00F94DC3"/>
    <w:rsid w:val="00FA6D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F94DC3"/>
    <w:rPr>
      <w:color w:val="808080"/>
    </w:rPr>
  </w:style>
  <w:style w:type="paragraph" w:customStyle="1" w:styleId="2C4EF870A2A14BE8B3BC4C178CF552A6">
    <w:name w:val="2C4EF870A2A14BE8B3BC4C178CF552A6"/>
    <w:rsid w:val="00C12D3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F94DC3"/>
    <w:rPr>
      <w:color w:val="808080"/>
    </w:rPr>
  </w:style>
  <w:style w:type="paragraph" w:customStyle="1" w:styleId="2C4EF870A2A14BE8B3BC4C178CF552A6">
    <w:name w:val="2C4EF870A2A14BE8B3BC4C178CF552A6"/>
    <w:rsid w:val="00C12D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PBO v1">
      <a:dk1>
        <a:srgbClr val="000000"/>
      </a:dk1>
      <a:lt1>
        <a:srgbClr val="FFFFFF"/>
      </a:lt1>
      <a:dk2>
        <a:srgbClr val="2B3B5F"/>
      </a:dk2>
      <a:lt2>
        <a:srgbClr val="788184"/>
      </a:lt2>
      <a:accent1>
        <a:srgbClr val="2B3B5F"/>
      </a:accent1>
      <a:accent2>
        <a:srgbClr val="95A4C6"/>
      </a:accent2>
      <a:accent3>
        <a:srgbClr val="D7DDE9"/>
      </a:accent3>
      <a:accent4>
        <a:srgbClr val="751D71"/>
      </a:accent4>
      <a:accent5>
        <a:srgbClr val="B267B3"/>
      </a:accent5>
      <a:accent6>
        <a:srgbClr val="788184"/>
      </a:accent6>
      <a:hlink>
        <a:srgbClr val="000000"/>
      </a:hlink>
      <a:folHlink>
        <a:srgbClr val="000000"/>
      </a:folHlink>
    </a:clrScheme>
    <a:fontScheme name="PBO v1">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9A1DC-D14E-4483-8609-3225DD1CF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PBO Research Report.dotm</Template>
  <TotalTime>129</TotalTime>
  <Pages>68</Pages>
  <Words>14394</Words>
  <Characters>82052</Characters>
  <Application>Microsoft Office Word</Application>
  <DocSecurity>0</DocSecurity>
  <Lines>683</Lines>
  <Paragraphs>192</Paragraphs>
  <ScaleCrop>false</ScaleCrop>
  <HeadingPairs>
    <vt:vector size="2" baseType="variant">
      <vt:variant>
        <vt:lpstr>Title</vt:lpstr>
      </vt:variant>
      <vt:variant>
        <vt:i4>1</vt:i4>
      </vt:variant>
    </vt:vector>
  </HeadingPairs>
  <TitlesOfParts>
    <vt:vector size="1" baseType="lpstr">
      <vt:lpstr>Goods and Services Tax: Distributional analysis and indicative reform scenarios</vt:lpstr>
    </vt:vector>
  </TitlesOfParts>
  <Company/>
  <LinksUpToDate>false</LinksUpToDate>
  <CharactersWithSpaces>96254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Goods and Services Tax: Distributional analysis and indicative reform scenarios</dc:title>
  <dc:subject>Overview</dc:subject>
  <dc:creator>Parliamentary Budget Office</dc:creator>
  <cp:keywords/>
  <dc:description/>
  <cp:lastModifiedBy>Milligan, Louise (PBO)</cp:lastModifiedBy>
  <cp:revision>330</cp:revision>
  <cp:lastPrinted>2015-12-17T04:31:00Z</cp:lastPrinted>
  <dcterms:created xsi:type="dcterms:W3CDTF">2015-10-14T01:34:00Z</dcterms:created>
  <dcterms:modified xsi:type="dcterms:W3CDTF">2015-12-17T05:31:00Z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Status">
    <vt:lpwstr/>
  </property>
  <property fmtid="{D5CDD505-2E9C-101B-9397-08002B2CF9AE}" pid="3" name="xTOCH2">
    <vt:lpwstr>Y</vt:lpwstr>
  </property>
  <property fmtid="{D5CDD505-2E9C-101B-9397-08002B2CF9AE}" pid="4" name="xTOCH3">
    <vt:lpwstr>N</vt:lpwstr>
  </property>
  <property fmtid="{D5CDD505-2E9C-101B-9397-08002B2CF9AE}" pid="5" name="xTOCTable">
    <vt:lpwstr>S</vt:lpwstr>
  </property>
  <property fmtid="{D5CDD505-2E9C-101B-9397-08002B2CF9AE}" pid="6" name="xTOCFigure">
    <vt:lpwstr>S</vt:lpwstr>
  </property>
  <property fmtid="{D5CDD505-2E9C-101B-9397-08002B2CF9AE}" pid="7" name="xTOCApp">
    <vt:lpwstr>S</vt:lpwstr>
  </property>
  <property fmtid="{D5CDD505-2E9C-101B-9397-08002B2CF9AE}" pid="8" name="xNumberedBodyText">
    <vt:lpwstr>False</vt:lpwstr>
  </property>
  <property fmtid="{D5CDD505-2E9C-101B-9397-08002B2CF9AE}" pid="9" name="xCR">
    <vt:lpwstr>Tables</vt:lpwstr>
  </property>
  <property fmtid="{D5CDD505-2E9C-101B-9397-08002B2CF9AE}" pid="10" name="xHeadingsNumbered">
    <vt:lpwstr>True</vt:lpwstr>
  </property>
  <property fmtid="{D5CDD505-2E9C-101B-9397-08002B2CF9AE}" pid="11" name="xAppendixName">
    <vt:lpwstr>Appendix</vt:lpwstr>
  </property>
  <property fmtid="{D5CDD505-2E9C-101B-9397-08002B2CF9AE}" pid="12" name="_MarkAsFinal">
    <vt:bool>true</vt:bool>
  </property>
</Properties>
</file>