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3.xml" ContentType="application/vnd.openxmlformats-officedocument.wordprocessingml.header+xml"/>
  <Override PartName="/word/footer2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01D" w:rsidRDefault="006E301D" w:rsidP="00961DBB">
      <w:bookmarkStart w:id="0" w:name="_GoBack"/>
      <w:bookmarkEnd w:id="0"/>
    </w:p>
    <w:tbl>
      <w:tblPr>
        <w:tblStyle w:val="TableAsPlaceholder"/>
        <w:tblpPr w:leftFromText="181" w:rightFromText="181" w:vertAnchor="page" w:horzAnchor="margin" w:tblpY="5779"/>
        <w:tblOverlap w:val="never"/>
        <w:tblW w:w="8277" w:type="dxa"/>
        <w:tblLayout w:type="fixed"/>
        <w:tblLook w:val="04A0" w:firstRow="1" w:lastRow="0" w:firstColumn="1" w:lastColumn="0" w:noHBand="0" w:noVBand="1"/>
      </w:tblPr>
      <w:tblGrid>
        <w:gridCol w:w="8277"/>
      </w:tblGrid>
      <w:tr w:rsidR="00961DBB" w:rsidRPr="00227D7D" w:rsidTr="00C8728F">
        <w:trPr>
          <w:trHeight w:val="907"/>
        </w:trPr>
        <w:tc>
          <w:tcPr>
            <w:tcW w:w="8277" w:type="dxa"/>
          </w:tcPr>
          <w:p w:rsidR="00961DBB" w:rsidRPr="00227D7D" w:rsidRDefault="00D312D4" w:rsidP="00D216AD">
            <w:pPr>
              <w:pStyle w:val="Title"/>
            </w:pPr>
            <w:r w:rsidRPr="00227D7D">
              <w:t>Medicare Benefits Schedule</w:t>
            </w:r>
          </w:p>
        </w:tc>
      </w:tr>
      <w:tr w:rsidR="00F20647" w:rsidRPr="00227D7D" w:rsidTr="00C8728F">
        <w:trPr>
          <w:trHeight w:val="680"/>
        </w:trPr>
        <w:tc>
          <w:tcPr>
            <w:tcW w:w="8277" w:type="dxa"/>
          </w:tcPr>
          <w:p w:rsidR="00F20647" w:rsidRPr="00227D7D" w:rsidRDefault="00D312D4" w:rsidP="00BA1AE3">
            <w:pPr>
              <w:pStyle w:val="Title2"/>
            </w:pPr>
            <w:r w:rsidRPr="00227D7D">
              <w:t xml:space="preserve">Spending trends and </w:t>
            </w:r>
            <w:r w:rsidR="00BA1AE3">
              <w:t>projections</w:t>
            </w:r>
          </w:p>
        </w:tc>
      </w:tr>
      <w:tr w:rsidR="00195228" w:rsidRPr="00227D7D" w:rsidTr="00C8728F">
        <w:trPr>
          <w:trHeight w:val="765"/>
        </w:trPr>
        <w:tc>
          <w:tcPr>
            <w:tcW w:w="8277" w:type="dxa"/>
          </w:tcPr>
          <w:p w:rsidR="00195228" w:rsidRPr="00227D7D" w:rsidRDefault="00866F09" w:rsidP="00D2329A">
            <w:pPr>
              <w:pStyle w:val="Title3"/>
              <w:framePr w:wrap="auto" w:vAnchor="margin" w:hAnchor="text" w:yAlign="inline"/>
            </w:pPr>
            <w:r w:rsidRPr="00227D7D">
              <w:t xml:space="preserve">Report no. </w:t>
            </w:r>
            <w:r w:rsidR="008E5721">
              <w:t>0</w:t>
            </w:r>
            <w:r w:rsidR="00D16E82">
              <w:t>4</w:t>
            </w:r>
            <w:r w:rsidR="006537B3" w:rsidRPr="00227D7D">
              <w:t>/2015</w:t>
            </w:r>
          </w:p>
        </w:tc>
      </w:tr>
    </w:tbl>
    <w:p w:rsidR="00961DBB" w:rsidRPr="00227D7D" w:rsidRDefault="00961DBB" w:rsidP="00961DBB"/>
    <w:p w:rsidR="00961DBB" w:rsidRPr="00227D7D" w:rsidRDefault="00961DBB">
      <w:pPr>
        <w:sectPr w:rsidR="00961DBB" w:rsidRPr="00227D7D" w:rsidSect="009057D9">
          <w:headerReference w:type="even" r:id="rId9"/>
          <w:headerReference w:type="default" r:id="rId10"/>
          <w:footerReference w:type="even" r:id="rId11"/>
          <w:headerReference w:type="first" r:id="rId12"/>
          <w:footerReference w:type="first" r:id="rId13"/>
          <w:pgSz w:w="11906" w:h="16838" w:code="9"/>
          <w:pgMar w:top="1361" w:right="1797" w:bottom="1474" w:left="1797" w:header="284" w:footer="454" w:gutter="0"/>
          <w:cols w:space="708"/>
          <w:titlePg/>
          <w:docGrid w:linePitch="360"/>
        </w:sectPr>
      </w:pPr>
    </w:p>
    <w:p w:rsidR="00961DBB" w:rsidRPr="00227D7D" w:rsidRDefault="00961DBB" w:rsidP="00961DBB"/>
    <w:tbl>
      <w:tblPr>
        <w:tblStyle w:val="TableAsPlaceholder"/>
        <w:tblpPr w:leftFromText="181" w:rightFromText="181" w:horzAnchor="margin" w:tblpY="4310"/>
        <w:tblOverlap w:val="never"/>
        <w:tblW w:w="0" w:type="auto"/>
        <w:tblCellMar>
          <w:bottom w:w="57" w:type="dxa"/>
          <w:right w:w="57" w:type="dxa"/>
        </w:tblCellMar>
        <w:tblLook w:val="04A0" w:firstRow="1" w:lastRow="0" w:firstColumn="1" w:lastColumn="0" w:noHBand="0" w:noVBand="1"/>
      </w:tblPr>
      <w:tblGrid>
        <w:gridCol w:w="8220"/>
      </w:tblGrid>
      <w:tr w:rsidR="00961DBB" w:rsidRPr="00227D7D" w:rsidTr="0087390B">
        <w:trPr>
          <w:trHeight w:val="8165"/>
        </w:trPr>
        <w:tc>
          <w:tcPr>
            <w:tcW w:w="8220" w:type="dxa"/>
            <w:vAlign w:val="bottom"/>
          </w:tcPr>
          <w:p w:rsidR="00961DBB" w:rsidRPr="00227D7D" w:rsidRDefault="00961DBB" w:rsidP="00BB5013">
            <w:pPr>
              <w:pStyle w:val="xDisclaimerText2"/>
              <w:framePr w:hSpace="0" w:wrap="auto" w:hAnchor="text" w:yAlign="inline"/>
              <w:suppressOverlap w:val="0"/>
            </w:pPr>
            <w:bookmarkStart w:id="1" w:name="_DisclaimerMarker"/>
            <w:bookmarkEnd w:id="1"/>
            <w:r w:rsidRPr="00227D7D">
              <w:t>© Commonwealth of Australia</w:t>
            </w:r>
            <w:r w:rsidR="00F20647" w:rsidRPr="00227D7D">
              <w:t xml:space="preserve"> </w:t>
            </w:r>
            <w:r w:rsidR="00D312D4" w:rsidRPr="00227D7D">
              <w:t>2015</w:t>
            </w:r>
          </w:p>
          <w:p w:rsidR="00961DBB" w:rsidRPr="00227D7D" w:rsidRDefault="00961DBB" w:rsidP="00BB5013">
            <w:pPr>
              <w:pStyle w:val="xDisclaimerText2"/>
              <w:framePr w:hSpace="0" w:wrap="auto" w:hAnchor="text" w:yAlign="inline"/>
              <w:suppressOverlap w:val="0"/>
            </w:pPr>
            <w:r w:rsidRPr="00227D7D">
              <w:t>IS</w:t>
            </w:r>
            <w:r w:rsidR="009A4ED5">
              <w:t>B</w:t>
            </w:r>
            <w:r w:rsidRPr="00227D7D">
              <w:t xml:space="preserve">N </w:t>
            </w:r>
            <w:r w:rsidR="00777CD1" w:rsidRPr="00227D7D">
              <w:t xml:space="preserve">978-0-9925131-6-0 </w:t>
            </w:r>
            <w:r w:rsidRPr="00227D7D">
              <w:t>(Online)</w:t>
            </w:r>
          </w:p>
          <w:p w:rsidR="00961DBB" w:rsidRPr="00227D7D" w:rsidRDefault="00961DBB" w:rsidP="00BB5013">
            <w:pPr>
              <w:pStyle w:val="xDisclaimerText2"/>
              <w:framePr w:hSpace="0" w:wrap="auto" w:hAnchor="text" w:yAlign="inline"/>
              <w:suppressOverlap w:val="0"/>
            </w:pPr>
            <w:r w:rsidRPr="00227D7D">
              <w:t>This work is licensed under the Creative Commons Attribution-</w:t>
            </w:r>
            <w:proofErr w:type="spellStart"/>
            <w:r w:rsidRPr="00227D7D">
              <w:t>NonCommercial</w:t>
            </w:r>
            <w:proofErr w:type="spellEnd"/>
            <w:r w:rsidRPr="00227D7D">
              <w:t>-</w:t>
            </w:r>
            <w:proofErr w:type="spellStart"/>
            <w:r w:rsidRPr="00227D7D">
              <w:t>NoDerivs</w:t>
            </w:r>
            <w:proofErr w:type="spellEnd"/>
            <w:r w:rsidRPr="00227D7D">
              <w:t xml:space="preserve"> 3.0 Australia License.</w:t>
            </w:r>
          </w:p>
          <w:p w:rsidR="00961DBB" w:rsidRPr="00227D7D" w:rsidRDefault="003B3D44" w:rsidP="00BB5013">
            <w:pPr>
              <w:pStyle w:val="xDisclaimerText2"/>
              <w:framePr w:hSpace="0" w:wrap="auto" w:hAnchor="text" w:yAlign="inline"/>
              <w:spacing w:before="240"/>
              <w:suppressOverlap w:val="0"/>
            </w:pPr>
            <w:r w:rsidRPr="00227D7D">
              <w:rPr>
                <w:noProof/>
              </w:rPr>
              <w:drawing>
                <wp:inline distT="0" distB="0" distL="0" distR="0" wp14:anchorId="3A792D0E" wp14:editId="55C257EA">
                  <wp:extent cx="1079086" cy="377985"/>
                  <wp:effectExtent l="0" t="0" r="6985" b="3175"/>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on creative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79086" cy="377985"/>
                          </a:xfrm>
                          <a:prstGeom prst="rect">
                            <a:avLst/>
                          </a:prstGeom>
                        </pic:spPr>
                      </pic:pic>
                    </a:graphicData>
                  </a:graphic>
                </wp:inline>
              </w:drawing>
            </w:r>
          </w:p>
          <w:p w:rsidR="00961DBB" w:rsidRPr="00227D7D" w:rsidRDefault="00961DBB" w:rsidP="00BB5013">
            <w:pPr>
              <w:pStyle w:val="xDisclaimerText2"/>
              <w:framePr w:hSpace="0" w:wrap="auto" w:hAnchor="text" w:yAlign="inline"/>
              <w:suppressOverlap w:val="0"/>
            </w:pPr>
            <w:r w:rsidRPr="00227D7D">
              <w:t>The details of this licence are available on the Creative Commons website:</w:t>
            </w:r>
            <w:r w:rsidRPr="00227D7D">
              <w:rPr>
                <w:color w:val="FF0000"/>
              </w:rPr>
              <w:t xml:space="preserve"> </w:t>
            </w:r>
            <w:hyperlink r:id="rId15" w:history="1">
              <w:r w:rsidR="00BB5013" w:rsidRPr="00227D7D">
                <w:t>http://creativecommons.org/licenses/by-nc-nd/3.0/au/</w:t>
              </w:r>
            </w:hyperlink>
            <w:r w:rsidR="00BB5013" w:rsidRPr="00227D7D">
              <w:t xml:space="preserve"> </w:t>
            </w:r>
          </w:p>
          <w:p w:rsidR="00961DBB" w:rsidRPr="00227D7D" w:rsidRDefault="00961DBB" w:rsidP="00BB5013">
            <w:pPr>
              <w:pStyle w:val="xDisclaimerHeading"/>
              <w:framePr w:hSpace="0" w:wrap="auto" w:hAnchor="text" w:yAlign="inline"/>
              <w:suppressOverlap w:val="0"/>
            </w:pPr>
            <w:r w:rsidRPr="00227D7D">
              <w:t>Use of the Coat of Arms</w:t>
            </w:r>
          </w:p>
          <w:p w:rsidR="00961DBB" w:rsidRPr="00227D7D" w:rsidRDefault="00961DBB" w:rsidP="00BB5013">
            <w:pPr>
              <w:pStyle w:val="xDisclaimerText2"/>
              <w:framePr w:hSpace="0" w:wrap="auto" w:hAnchor="text" w:yAlign="inline"/>
              <w:suppressOverlap w:val="0"/>
            </w:pPr>
            <w:r w:rsidRPr="00227D7D">
              <w:t xml:space="preserve">The terms under which the Coat of Arms can be used are detailed on the following website: </w:t>
            </w:r>
            <w:hyperlink r:id="rId16" w:history="1">
              <w:r w:rsidR="00BB5013" w:rsidRPr="00227D7D">
                <w:t>www.itsanhonour.gov.au/coat-arms</w:t>
              </w:r>
            </w:hyperlink>
            <w:r w:rsidR="00BB5013" w:rsidRPr="00227D7D">
              <w:t xml:space="preserve"> </w:t>
            </w:r>
          </w:p>
          <w:p w:rsidR="00961DBB" w:rsidRPr="00227D7D" w:rsidRDefault="00961DBB" w:rsidP="00BB5013">
            <w:pPr>
              <w:pStyle w:val="xDisclaimerText"/>
            </w:pPr>
            <w:r w:rsidRPr="00227D7D">
              <w:rPr>
                <w:rStyle w:val="xDisclaimerHeadingwithxDisclaimerTextChar"/>
              </w:rPr>
              <w:t>Produced by:</w:t>
            </w:r>
            <w:r w:rsidRPr="00227D7D">
              <w:t xml:space="preserve"> Parliamentary Budget Office</w:t>
            </w:r>
          </w:p>
          <w:p w:rsidR="00961DBB" w:rsidRPr="00227D7D" w:rsidRDefault="00961DBB" w:rsidP="00BB5013">
            <w:pPr>
              <w:pStyle w:val="xDisclaimerText"/>
            </w:pPr>
            <w:r w:rsidRPr="00227D7D">
              <w:rPr>
                <w:rStyle w:val="xDisclaimerHeadingwithxDisclaimerTextChar"/>
              </w:rPr>
              <w:t>Designed by:</w:t>
            </w:r>
            <w:r w:rsidRPr="00227D7D">
              <w:t xml:space="preserve"> </w:t>
            </w:r>
            <w:r w:rsidR="00777CD1" w:rsidRPr="00227D7D">
              <w:t>Studio Tweed</w:t>
            </w:r>
          </w:p>
          <w:p w:rsidR="00961DBB" w:rsidRPr="00227D7D" w:rsidRDefault="00777CD1" w:rsidP="0087390B">
            <w:pPr>
              <w:pStyle w:val="xDisclaimerHeading"/>
              <w:framePr w:hSpace="0" w:wrap="auto" w:hAnchor="text" w:yAlign="inline"/>
              <w:suppressOverlap w:val="0"/>
            </w:pPr>
            <w:r w:rsidRPr="00227D7D">
              <w:t>Assistant Parliamentary Budget Officer</w:t>
            </w:r>
          </w:p>
          <w:p w:rsidR="00961DBB" w:rsidRPr="00227D7D" w:rsidRDefault="006537B3" w:rsidP="0087390B">
            <w:pPr>
              <w:pStyle w:val="xDisclaimerText"/>
            </w:pPr>
            <w:r w:rsidRPr="00227D7D">
              <w:t>Fiscal Policy Analysis Division</w:t>
            </w:r>
          </w:p>
          <w:p w:rsidR="00961DBB" w:rsidRPr="00227D7D" w:rsidRDefault="00961DBB" w:rsidP="0087390B">
            <w:pPr>
              <w:pStyle w:val="xDisclaimerText2"/>
              <w:framePr w:hSpace="0" w:wrap="auto" w:hAnchor="text" w:yAlign="inline"/>
              <w:suppressOverlap w:val="0"/>
            </w:pPr>
            <w:r w:rsidRPr="00227D7D">
              <w:t>Parliamentary Budget Office</w:t>
            </w:r>
          </w:p>
          <w:p w:rsidR="00961DBB" w:rsidRPr="00227D7D" w:rsidRDefault="00961DBB" w:rsidP="0087390B">
            <w:pPr>
              <w:pStyle w:val="xDisclaimerText"/>
            </w:pPr>
            <w:r w:rsidRPr="00227D7D">
              <w:t>Parliament House</w:t>
            </w:r>
          </w:p>
          <w:p w:rsidR="00961DBB" w:rsidRPr="00227D7D" w:rsidRDefault="00961DBB" w:rsidP="0087390B">
            <w:pPr>
              <w:pStyle w:val="xDisclaimerText"/>
            </w:pPr>
            <w:r w:rsidRPr="00227D7D">
              <w:t>PO Box 6010</w:t>
            </w:r>
          </w:p>
          <w:p w:rsidR="00961DBB" w:rsidRPr="00227D7D" w:rsidRDefault="00961DBB" w:rsidP="0087390B">
            <w:pPr>
              <w:pStyle w:val="xDisclaimerText2"/>
              <w:framePr w:hSpace="0" w:wrap="auto" w:hAnchor="text" w:yAlign="inline"/>
              <w:suppressOverlap w:val="0"/>
            </w:pPr>
            <w:r w:rsidRPr="00227D7D">
              <w:t>CANBERRA ACT 2600</w:t>
            </w:r>
          </w:p>
          <w:p w:rsidR="00961DBB" w:rsidRPr="00227D7D" w:rsidRDefault="00961DBB" w:rsidP="0087390B">
            <w:pPr>
              <w:pStyle w:val="xDisclaimerText"/>
            </w:pPr>
            <w:r w:rsidRPr="00227D7D">
              <w:t>Phone: (02) 6277 9500</w:t>
            </w:r>
          </w:p>
          <w:p w:rsidR="00961DBB" w:rsidRPr="00227D7D" w:rsidRDefault="00961DBB" w:rsidP="0087390B">
            <w:pPr>
              <w:pStyle w:val="xDisclaimerText"/>
            </w:pPr>
            <w:r w:rsidRPr="00227D7D">
              <w:t xml:space="preserve">Email: </w:t>
            </w:r>
            <w:hyperlink r:id="rId17" w:history="1">
              <w:r w:rsidR="006537B3" w:rsidRPr="00227D7D">
                <w:rPr>
                  <w:rStyle w:val="Hyperlink"/>
                </w:rPr>
                <w:t>pbo@pbo.gov.au</w:t>
              </w:r>
            </w:hyperlink>
          </w:p>
        </w:tc>
      </w:tr>
    </w:tbl>
    <w:p w:rsidR="00961DBB" w:rsidRPr="00227D7D" w:rsidRDefault="00961DBB" w:rsidP="00961DBB"/>
    <w:p w:rsidR="00961DBB" w:rsidRPr="00227D7D" w:rsidRDefault="00961DBB">
      <w:pPr>
        <w:sectPr w:rsidR="00961DBB" w:rsidRPr="00227D7D" w:rsidSect="00D312D4">
          <w:headerReference w:type="even" r:id="rId18"/>
          <w:headerReference w:type="default" r:id="rId19"/>
          <w:footerReference w:type="default" r:id="rId20"/>
          <w:headerReference w:type="first" r:id="rId21"/>
          <w:pgSz w:w="11906" w:h="16838" w:code="9"/>
          <w:pgMar w:top="1361" w:right="1797" w:bottom="1474" w:left="1797" w:header="284" w:footer="454" w:gutter="0"/>
          <w:pgNumType w:fmt="lowerRoman"/>
          <w:cols w:space="708"/>
          <w:docGrid w:linePitch="360"/>
        </w:sectPr>
      </w:pPr>
    </w:p>
    <w:p w:rsidR="005C2E49" w:rsidRDefault="00866F09" w:rsidP="00930E56">
      <w:pPr>
        <w:pStyle w:val="TOCHeading"/>
        <w:spacing w:before="0"/>
        <w:rPr>
          <w:b/>
          <w:bCs/>
        </w:rPr>
      </w:pPr>
      <w:bookmarkStart w:id="2" w:name="_Toc411505205"/>
      <w:bookmarkStart w:id="3" w:name="_Toc411521677"/>
      <w:bookmarkStart w:id="4" w:name="_Toc411521785"/>
      <w:r w:rsidRPr="00227D7D">
        <w:lastRenderedPageBreak/>
        <w:t>Contents</w:t>
      </w:r>
      <w:bookmarkStart w:id="5" w:name="_TOCMarker"/>
      <w:bookmarkStart w:id="6" w:name="Here"/>
      <w:bookmarkStart w:id="7" w:name="_Toc436050774"/>
      <w:bookmarkEnd w:id="5"/>
      <w:bookmarkEnd w:id="6"/>
    </w:p>
    <w:bookmarkStart w:id="8" w:name="_Toc436205146"/>
    <w:p w:rsidR="00D4249E" w:rsidRDefault="00930E56">
      <w:pPr>
        <w:pStyle w:val="TOC1"/>
        <w:rPr>
          <w:rFonts w:eastAsiaTheme="minorEastAsia"/>
          <w:b w:val="0"/>
          <w:color w:val="auto"/>
          <w:lang w:eastAsia="en-AU"/>
        </w:rPr>
      </w:pPr>
      <w:r>
        <w:rPr>
          <w:bCs/>
          <w:color w:val="auto"/>
        </w:rPr>
        <w:fldChar w:fldCharType="begin"/>
      </w:r>
      <w:r>
        <w:rPr>
          <w:bCs/>
          <w:color w:val="auto"/>
        </w:rPr>
        <w:instrText xml:space="preserve"> TOC \h \z \t "Heading 1,1,Heading 1 No Numbering,1,Section Heading,5" </w:instrText>
      </w:r>
      <w:r>
        <w:rPr>
          <w:bCs/>
          <w:color w:val="auto"/>
        </w:rPr>
        <w:fldChar w:fldCharType="separate"/>
      </w:r>
      <w:hyperlink w:anchor="_Toc436208543" w:history="1">
        <w:r w:rsidR="00D4249E" w:rsidRPr="005871A9">
          <w:rPr>
            <w:rStyle w:val="Hyperlink"/>
          </w:rPr>
          <w:t>Foreword</w:t>
        </w:r>
        <w:r w:rsidR="00D4249E">
          <w:rPr>
            <w:webHidden/>
          </w:rPr>
          <w:tab/>
        </w:r>
        <w:r w:rsidR="00D4249E">
          <w:rPr>
            <w:webHidden/>
          </w:rPr>
          <w:fldChar w:fldCharType="begin"/>
        </w:r>
        <w:r w:rsidR="00D4249E">
          <w:rPr>
            <w:webHidden/>
          </w:rPr>
          <w:instrText xml:space="preserve"> PAGEREF _Toc436208543 \h </w:instrText>
        </w:r>
        <w:r w:rsidR="00D4249E">
          <w:rPr>
            <w:webHidden/>
          </w:rPr>
        </w:r>
        <w:r w:rsidR="00D4249E">
          <w:rPr>
            <w:webHidden/>
          </w:rPr>
          <w:fldChar w:fldCharType="separate"/>
        </w:r>
        <w:r w:rsidR="00235C48">
          <w:rPr>
            <w:webHidden/>
          </w:rPr>
          <w:t>v</w:t>
        </w:r>
        <w:r w:rsidR="00D4249E">
          <w:rPr>
            <w:webHidden/>
          </w:rPr>
          <w:fldChar w:fldCharType="end"/>
        </w:r>
      </w:hyperlink>
    </w:p>
    <w:p w:rsidR="00D4249E" w:rsidRDefault="00AF4AB9">
      <w:pPr>
        <w:pStyle w:val="TOC1"/>
        <w:rPr>
          <w:rFonts w:eastAsiaTheme="minorEastAsia"/>
          <w:b w:val="0"/>
          <w:color w:val="auto"/>
          <w:lang w:eastAsia="en-AU"/>
        </w:rPr>
      </w:pPr>
      <w:hyperlink w:anchor="_Toc436208544" w:history="1">
        <w:r w:rsidR="00D4249E" w:rsidRPr="005871A9">
          <w:rPr>
            <w:rStyle w:val="Hyperlink"/>
          </w:rPr>
          <w:t>Overview</w:t>
        </w:r>
        <w:r w:rsidR="00D4249E">
          <w:rPr>
            <w:webHidden/>
          </w:rPr>
          <w:tab/>
        </w:r>
        <w:r w:rsidR="00D4249E">
          <w:rPr>
            <w:webHidden/>
          </w:rPr>
          <w:fldChar w:fldCharType="begin"/>
        </w:r>
        <w:r w:rsidR="00D4249E">
          <w:rPr>
            <w:webHidden/>
          </w:rPr>
          <w:instrText xml:space="preserve"> PAGEREF _Toc436208544 \h </w:instrText>
        </w:r>
        <w:r w:rsidR="00D4249E">
          <w:rPr>
            <w:webHidden/>
          </w:rPr>
        </w:r>
        <w:r w:rsidR="00D4249E">
          <w:rPr>
            <w:webHidden/>
          </w:rPr>
          <w:fldChar w:fldCharType="separate"/>
        </w:r>
        <w:r w:rsidR="00235C48">
          <w:rPr>
            <w:webHidden/>
          </w:rPr>
          <w:t>vi</w:t>
        </w:r>
        <w:r w:rsidR="00D4249E">
          <w:rPr>
            <w:webHidden/>
          </w:rPr>
          <w:fldChar w:fldCharType="end"/>
        </w:r>
      </w:hyperlink>
    </w:p>
    <w:p w:rsidR="00D4249E" w:rsidRDefault="00AF4AB9">
      <w:pPr>
        <w:pStyle w:val="TOC1"/>
        <w:rPr>
          <w:rFonts w:eastAsiaTheme="minorEastAsia"/>
          <w:b w:val="0"/>
          <w:color w:val="auto"/>
          <w:lang w:eastAsia="en-AU"/>
        </w:rPr>
      </w:pPr>
      <w:hyperlink w:anchor="_Toc436208545" w:history="1">
        <w:r w:rsidR="00D4249E" w:rsidRPr="005871A9">
          <w:rPr>
            <w:rStyle w:val="Hyperlink"/>
          </w:rPr>
          <w:t>1</w:t>
        </w:r>
        <w:r w:rsidR="00D4249E">
          <w:rPr>
            <w:rFonts w:eastAsiaTheme="minorEastAsia"/>
            <w:b w:val="0"/>
            <w:color w:val="auto"/>
            <w:lang w:eastAsia="en-AU"/>
          </w:rPr>
          <w:tab/>
        </w:r>
        <w:r w:rsidR="00D4249E" w:rsidRPr="005871A9">
          <w:rPr>
            <w:rStyle w:val="Hyperlink"/>
          </w:rPr>
          <w:t>Medicare Benefits Schedule</w:t>
        </w:r>
        <w:r w:rsidR="00D4249E">
          <w:rPr>
            <w:webHidden/>
          </w:rPr>
          <w:tab/>
        </w:r>
        <w:r w:rsidR="00D4249E">
          <w:rPr>
            <w:webHidden/>
          </w:rPr>
          <w:fldChar w:fldCharType="begin"/>
        </w:r>
        <w:r w:rsidR="00D4249E">
          <w:rPr>
            <w:webHidden/>
          </w:rPr>
          <w:instrText xml:space="preserve"> PAGEREF _Toc436208545 \h </w:instrText>
        </w:r>
        <w:r w:rsidR="00D4249E">
          <w:rPr>
            <w:webHidden/>
          </w:rPr>
        </w:r>
        <w:r w:rsidR="00D4249E">
          <w:rPr>
            <w:webHidden/>
          </w:rPr>
          <w:fldChar w:fldCharType="separate"/>
        </w:r>
        <w:r w:rsidR="00235C48">
          <w:rPr>
            <w:webHidden/>
          </w:rPr>
          <w:t>1</w:t>
        </w:r>
        <w:r w:rsidR="00D4249E">
          <w:rPr>
            <w:webHidden/>
          </w:rPr>
          <w:fldChar w:fldCharType="end"/>
        </w:r>
      </w:hyperlink>
    </w:p>
    <w:p w:rsidR="00D4249E" w:rsidRDefault="00AF4AB9">
      <w:pPr>
        <w:pStyle w:val="TOC1"/>
        <w:rPr>
          <w:rFonts w:eastAsiaTheme="minorEastAsia"/>
          <w:b w:val="0"/>
          <w:color w:val="auto"/>
          <w:lang w:eastAsia="en-AU"/>
        </w:rPr>
      </w:pPr>
      <w:hyperlink w:anchor="_Toc436208546" w:history="1">
        <w:r w:rsidR="00D4249E" w:rsidRPr="005871A9">
          <w:rPr>
            <w:rStyle w:val="Hyperlink"/>
          </w:rPr>
          <w:t>2</w:t>
        </w:r>
        <w:r w:rsidR="00D4249E">
          <w:rPr>
            <w:rFonts w:eastAsiaTheme="minorEastAsia"/>
            <w:b w:val="0"/>
            <w:color w:val="auto"/>
            <w:lang w:eastAsia="en-AU"/>
          </w:rPr>
          <w:tab/>
        </w:r>
        <w:r w:rsidR="00D4249E" w:rsidRPr="005871A9">
          <w:rPr>
            <w:rStyle w:val="Hyperlink"/>
          </w:rPr>
          <w:t>Trends in aggregate Medicare Benefits Schedule spending</w:t>
        </w:r>
        <w:r w:rsidR="00D4249E">
          <w:rPr>
            <w:webHidden/>
          </w:rPr>
          <w:tab/>
        </w:r>
        <w:r w:rsidR="00D4249E">
          <w:rPr>
            <w:webHidden/>
          </w:rPr>
          <w:fldChar w:fldCharType="begin"/>
        </w:r>
        <w:r w:rsidR="00D4249E">
          <w:rPr>
            <w:webHidden/>
          </w:rPr>
          <w:instrText xml:space="preserve"> PAGEREF _Toc436208546 \h </w:instrText>
        </w:r>
        <w:r w:rsidR="00D4249E">
          <w:rPr>
            <w:webHidden/>
          </w:rPr>
        </w:r>
        <w:r w:rsidR="00D4249E">
          <w:rPr>
            <w:webHidden/>
          </w:rPr>
          <w:fldChar w:fldCharType="separate"/>
        </w:r>
        <w:r w:rsidR="00235C48">
          <w:rPr>
            <w:webHidden/>
          </w:rPr>
          <w:t>4</w:t>
        </w:r>
        <w:r w:rsidR="00D4249E">
          <w:rPr>
            <w:webHidden/>
          </w:rPr>
          <w:fldChar w:fldCharType="end"/>
        </w:r>
      </w:hyperlink>
    </w:p>
    <w:p w:rsidR="00930E56" w:rsidRDefault="00AF4AB9" w:rsidP="00930E56">
      <w:pPr>
        <w:pStyle w:val="TOC1"/>
        <w:rPr>
          <w:bCs/>
          <w:color w:val="auto"/>
        </w:rPr>
      </w:pPr>
      <w:hyperlink w:anchor="_Toc436208547" w:history="1">
        <w:r w:rsidR="00D4249E" w:rsidRPr="005871A9">
          <w:rPr>
            <w:rStyle w:val="Hyperlink"/>
          </w:rPr>
          <w:t>3</w:t>
        </w:r>
        <w:r w:rsidR="00D4249E">
          <w:rPr>
            <w:rFonts w:eastAsiaTheme="minorEastAsia"/>
            <w:b w:val="0"/>
            <w:color w:val="auto"/>
            <w:lang w:eastAsia="en-AU"/>
          </w:rPr>
          <w:tab/>
        </w:r>
        <w:r w:rsidR="00D4249E" w:rsidRPr="005871A9">
          <w:rPr>
            <w:rStyle w:val="Hyperlink"/>
          </w:rPr>
          <w:t>Medicare Benefits Schedule spending by category</w:t>
        </w:r>
        <w:r w:rsidR="00D4249E">
          <w:rPr>
            <w:webHidden/>
          </w:rPr>
          <w:tab/>
        </w:r>
        <w:r w:rsidR="00D4249E">
          <w:rPr>
            <w:webHidden/>
          </w:rPr>
          <w:fldChar w:fldCharType="begin"/>
        </w:r>
        <w:r w:rsidR="00D4249E">
          <w:rPr>
            <w:webHidden/>
          </w:rPr>
          <w:instrText xml:space="preserve"> PAGEREF _Toc436208547 \h </w:instrText>
        </w:r>
        <w:r w:rsidR="00D4249E">
          <w:rPr>
            <w:webHidden/>
          </w:rPr>
        </w:r>
        <w:r w:rsidR="00D4249E">
          <w:rPr>
            <w:webHidden/>
          </w:rPr>
          <w:fldChar w:fldCharType="separate"/>
        </w:r>
        <w:r w:rsidR="00235C48">
          <w:rPr>
            <w:webHidden/>
          </w:rPr>
          <w:t>13</w:t>
        </w:r>
        <w:r w:rsidR="00D4249E">
          <w:rPr>
            <w:webHidden/>
          </w:rPr>
          <w:fldChar w:fldCharType="end"/>
        </w:r>
      </w:hyperlink>
      <w:r w:rsidR="00930E56">
        <w:rPr>
          <w:bCs/>
          <w:color w:val="auto"/>
        </w:rPr>
        <w:fldChar w:fldCharType="end"/>
      </w:r>
    </w:p>
    <w:p w:rsidR="00930E56" w:rsidRDefault="00930E56" w:rsidP="00930E56">
      <w:pPr>
        <w:pStyle w:val="TOFHeading"/>
      </w:pPr>
      <w:bookmarkStart w:id="9" w:name="_LOF"/>
      <w:r>
        <w:t>List of tables</w:t>
      </w:r>
    </w:p>
    <w:p w:rsidR="00930E56" w:rsidRDefault="00AF4AB9" w:rsidP="003E6951">
      <w:pPr>
        <w:pStyle w:val="TableofFigures"/>
        <w:ind w:left="1134" w:hanging="1134"/>
      </w:pPr>
      <w:r>
        <w:fldChar w:fldCharType="begin"/>
      </w:r>
      <w:r>
        <w:instrText xml:space="preserve"> TOC \c "Table" \w \h \* MERGEFORMAT </w:instrText>
      </w:r>
      <w:r>
        <w:fldChar w:fldCharType="separate"/>
      </w:r>
      <w:hyperlink w:anchor="_Toc436205212" w:history="1">
        <w:r w:rsidR="00930E56" w:rsidRPr="00466EE2">
          <w:rPr>
            <w:rStyle w:val="Hyperlink"/>
            <w:noProof/>
          </w:rPr>
          <w:t>Table 2–1:</w:t>
        </w:r>
        <w:r w:rsidR="003E6951">
          <w:rPr>
            <w:rStyle w:val="Hyperlink"/>
            <w:noProof/>
          </w:rPr>
          <w:tab/>
        </w:r>
        <w:r w:rsidR="00930E56" w:rsidRPr="00466EE2">
          <w:rPr>
            <w:rStyle w:val="Hyperlink"/>
            <w:noProof/>
          </w:rPr>
          <w:t>Medicare Benefit Schedule spending, 1993–94 to 2025–26</w:t>
        </w:r>
        <w:r w:rsidR="00930E56">
          <w:rPr>
            <w:noProof/>
          </w:rPr>
          <w:tab/>
        </w:r>
        <w:r w:rsidR="00930E56">
          <w:rPr>
            <w:noProof/>
          </w:rPr>
          <w:fldChar w:fldCharType="begin"/>
        </w:r>
        <w:r w:rsidR="00930E56">
          <w:rPr>
            <w:noProof/>
          </w:rPr>
          <w:instrText xml:space="preserve"> PAGEREF _Toc436205212 \h </w:instrText>
        </w:r>
        <w:r w:rsidR="00930E56">
          <w:rPr>
            <w:noProof/>
          </w:rPr>
        </w:r>
        <w:r w:rsidR="00930E56">
          <w:rPr>
            <w:noProof/>
          </w:rPr>
          <w:fldChar w:fldCharType="separate"/>
        </w:r>
        <w:r w:rsidR="00235C48">
          <w:rPr>
            <w:noProof/>
          </w:rPr>
          <w:t>6</w:t>
        </w:r>
        <w:r w:rsidR="00930E56">
          <w:rPr>
            <w:noProof/>
          </w:rPr>
          <w:fldChar w:fldCharType="end"/>
        </w:r>
      </w:hyperlink>
      <w:r>
        <w:rPr>
          <w:noProof/>
        </w:rPr>
        <w:fldChar w:fldCharType="end"/>
      </w:r>
    </w:p>
    <w:p w:rsidR="002D187D" w:rsidRPr="002D187D" w:rsidRDefault="00AF4AB9" w:rsidP="002D187D">
      <w:pPr>
        <w:tabs>
          <w:tab w:val="left" w:pos="7938"/>
        </w:tabs>
        <w:ind w:left="1134" w:hanging="1134"/>
      </w:pPr>
      <w:hyperlink w:anchor="TableC1" w:history="1">
        <w:r w:rsidR="002D187D" w:rsidRPr="002D187D">
          <w:rPr>
            <w:rStyle w:val="Hyperlink"/>
            <w:u w:val="none"/>
          </w:rPr>
          <w:t>Table C–1:</w:t>
        </w:r>
        <w:r w:rsidR="002D187D" w:rsidRPr="002D187D">
          <w:rPr>
            <w:rStyle w:val="Hyperlink"/>
            <w:u w:val="none"/>
          </w:rPr>
          <w:tab/>
          <w:t xml:space="preserve">Historical average level changes used for Medicare Benefit Schedule </w:t>
        </w:r>
        <w:r w:rsidR="002D187D" w:rsidRPr="002D187D">
          <w:rPr>
            <w:rStyle w:val="Hyperlink"/>
            <w:u w:val="none"/>
          </w:rPr>
          <w:br/>
          <w:t>projections</w:t>
        </w:r>
        <w:r w:rsidR="002D187D" w:rsidRPr="002D187D">
          <w:rPr>
            <w:rStyle w:val="Hyperlink"/>
          </w:rPr>
          <w:tab/>
        </w:r>
        <w:r w:rsidR="002D187D" w:rsidRPr="002D187D">
          <w:rPr>
            <w:rStyle w:val="Hyperlink"/>
            <w:u w:val="none"/>
          </w:rPr>
          <w:t>27</w:t>
        </w:r>
      </w:hyperlink>
    </w:p>
    <w:p w:rsidR="00930E56" w:rsidRDefault="00930E56" w:rsidP="00930E56">
      <w:pPr>
        <w:pStyle w:val="TOFHeading"/>
      </w:pPr>
      <w:r>
        <w:t>List of figures</w:t>
      </w:r>
    </w:p>
    <w:p w:rsidR="00930E56" w:rsidRDefault="00930E56" w:rsidP="00930E56">
      <w:pPr>
        <w:pStyle w:val="TableofFigures"/>
        <w:ind w:left="1134" w:hanging="1134"/>
        <w:rPr>
          <w:rFonts w:eastAsiaTheme="minorEastAsia"/>
          <w:noProof/>
          <w:lang w:eastAsia="en-AU"/>
        </w:rPr>
      </w:pPr>
      <w:r>
        <w:fldChar w:fldCharType="begin"/>
      </w:r>
      <w:r>
        <w:instrText xml:space="preserve"> TOC \c "Figure" \w \h \* MERGEFORMAT </w:instrText>
      </w:r>
      <w:r>
        <w:fldChar w:fldCharType="separate"/>
      </w:r>
      <w:hyperlink w:anchor="_Toc436205213" w:history="1">
        <w:r w:rsidRPr="00957BE1">
          <w:rPr>
            <w:rStyle w:val="Hyperlink"/>
            <w:noProof/>
          </w:rPr>
          <w:t>Figure 1:</w:t>
        </w:r>
        <w:r>
          <w:rPr>
            <w:rStyle w:val="Hyperlink"/>
            <w:noProof/>
          </w:rPr>
          <w:tab/>
        </w:r>
        <w:r w:rsidRPr="00957BE1">
          <w:rPr>
            <w:rStyle w:val="Hyperlink"/>
            <w:noProof/>
          </w:rPr>
          <w:t xml:space="preserve">Cumulative real growth in spending per person on the </w:t>
        </w:r>
        <w:r>
          <w:rPr>
            <w:rStyle w:val="Hyperlink"/>
            <w:noProof/>
          </w:rPr>
          <w:br/>
        </w:r>
        <w:r w:rsidRPr="00957BE1">
          <w:rPr>
            <w:rStyle w:val="Hyperlink"/>
            <w:noProof/>
          </w:rPr>
          <w:t>Medicare Benefits Schedule</w:t>
        </w:r>
        <w:r>
          <w:rPr>
            <w:noProof/>
          </w:rPr>
          <w:tab/>
        </w:r>
        <w:r>
          <w:rPr>
            <w:noProof/>
          </w:rPr>
          <w:fldChar w:fldCharType="begin"/>
        </w:r>
        <w:r>
          <w:rPr>
            <w:noProof/>
          </w:rPr>
          <w:instrText xml:space="preserve"> PAGEREF _Toc436205213 \h </w:instrText>
        </w:r>
        <w:r>
          <w:rPr>
            <w:noProof/>
          </w:rPr>
        </w:r>
        <w:r>
          <w:rPr>
            <w:noProof/>
          </w:rPr>
          <w:fldChar w:fldCharType="separate"/>
        </w:r>
        <w:r w:rsidR="00235C48">
          <w:rPr>
            <w:noProof/>
          </w:rPr>
          <w:t>vi</w:t>
        </w:r>
        <w:r>
          <w:rPr>
            <w:noProof/>
          </w:rPr>
          <w:fldChar w:fldCharType="end"/>
        </w:r>
      </w:hyperlink>
    </w:p>
    <w:p w:rsidR="00930E56" w:rsidRDefault="00AF4AB9" w:rsidP="00930E56">
      <w:pPr>
        <w:pStyle w:val="TableofFigures"/>
        <w:ind w:left="1134" w:hanging="1134"/>
        <w:rPr>
          <w:rFonts w:eastAsiaTheme="minorEastAsia"/>
          <w:noProof/>
          <w:lang w:eastAsia="en-AU"/>
        </w:rPr>
      </w:pPr>
      <w:hyperlink w:anchor="_Toc436205214" w:history="1">
        <w:r w:rsidR="00930E56">
          <w:rPr>
            <w:rStyle w:val="Hyperlink"/>
            <w:noProof/>
          </w:rPr>
          <w:t>Figure 2:</w:t>
        </w:r>
        <w:r w:rsidR="00930E56">
          <w:rPr>
            <w:rStyle w:val="Hyperlink"/>
            <w:noProof/>
          </w:rPr>
          <w:tab/>
        </w:r>
        <w:r w:rsidR="00930E56" w:rsidRPr="00957BE1">
          <w:rPr>
            <w:rStyle w:val="Hyperlink"/>
            <w:noProof/>
          </w:rPr>
          <w:t>Cumulative real growth in spending per person on the Medicare Benefits Schedule, by category, actuals and projections</w:t>
        </w:r>
        <w:r w:rsidR="00930E56">
          <w:rPr>
            <w:noProof/>
          </w:rPr>
          <w:tab/>
        </w:r>
        <w:r w:rsidR="00930E56">
          <w:rPr>
            <w:noProof/>
          </w:rPr>
          <w:fldChar w:fldCharType="begin"/>
        </w:r>
        <w:r w:rsidR="00930E56">
          <w:rPr>
            <w:noProof/>
          </w:rPr>
          <w:instrText xml:space="preserve"> PAGEREF _Toc436205214 \h </w:instrText>
        </w:r>
        <w:r w:rsidR="00930E56">
          <w:rPr>
            <w:noProof/>
          </w:rPr>
        </w:r>
        <w:r w:rsidR="00930E56">
          <w:rPr>
            <w:noProof/>
          </w:rPr>
          <w:fldChar w:fldCharType="separate"/>
        </w:r>
        <w:r w:rsidR="00235C48">
          <w:rPr>
            <w:noProof/>
          </w:rPr>
          <w:t>ix</w:t>
        </w:r>
        <w:r w:rsidR="00930E56">
          <w:rPr>
            <w:noProof/>
          </w:rPr>
          <w:fldChar w:fldCharType="end"/>
        </w:r>
      </w:hyperlink>
    </w:p>
    <w:p w:rsidR="00930E56" w:rsidRDefault="00AF4AB9" w:rsidP="00930E56">
      <w:pPr>
        <w:pStyle w:val="TableofFigures"/>
        <w:ind w:left="1134" w:hanging="1134"/>
        <w:rPr>
          <w:rFonts w:eastAsiaTheme="minorEastAsia"/>
          <w:noProof/>
          <w:lang w:eastAsia="en-AU"/>
        </w:rPr>
      </w:pPr>
      <w:hyperlink w:anchor="_Toc436205215" w:history="1">
        <w:r w:rsidR="00930E56" w:rsidRPr="00957BE1">
          <w:rPr>
            <w:rStyle w:val="Hyperlink"/>
            <w:noProof/>
          </w:rPr>
          <w:t>Figure 1–1:</w:t>
        </w:r>
        <w:r w:rsidR="00930E56">
          <w:rPr>
            <w:rStyle w:val="Hyperlink"/>
            <w:noProof/>
          </w:rPr>
          <w:tab/>
        </w:r>
        <w:r w:rsidR="00930E56" w:rsidRPr="00957BE1">
          <w:rPr>
            <w:rStyle w:val="Hyperlink"/>
            <w:noProof/>
          </w:rPr>
          <w:t>Medicare Benefits Schedule spending by category in 2014–15</w:t>
        </w:r>
        <w:r w:rsidR="00930E56">
          <w:rPr>
            <w:noProof/>
          </w:rPr>
          <w:tab/>
        </w:r>
        <w:r w:rsidR="00930E56">
          <w:rPr>
            <w:noProof/>
          </w:rPr>
          <w:fldChar w:fldCharType="begin"/>
        </w:r>
        <w:r w:rsidR="00930E56">
          <w:rPr>
            <w:noProof/>
          </w:rPr>
          <w:instrText xml:space="preserve"> PAGEREF _Toc436205215 \h </w:instrText>
        </w:r>
        <w:r w:rsidR="00930E56">
          <w:rPr>
            <w:noProof/>
          </w:rPr>
        </w:r>
        <w:r w:rsidR="00930E56">
          <w:rPr>
            <w:noProof/>
          </w:rPr>
          <w:fldChar w:fldCharType="separate"/>
        </w:r>
        <w:r w:rsidR="00235C48">
          <w:rPr>
            <w:noProof/>
          </w:rPr>
          <w:t>3</w:t>
        </w:r>
        <w:r w:rsidR="00930E56">
          <w:rPr>
            <w:noProof/>
          </w:rPr>
          <w:fldChar w:fldCharType="end"/>
        </w:r>
      </w:hyperlink>
    </w:p>
    <w:p w:rsidR="00930E56" w:rsidRDefault="00AF4AB9" w:rsidP="00930E56">
      <w:pPr>
        <w:pStyle w:val="TableofFigures"/>
        <w:ind w:left="1134" w:hanging="1134"/>
        <w:rPr>
          <w:rFonts w:eastAsiaTheme="minorEastAsia"/>
          <w:noProof/>
          <w:lang w:eastAsia="en-AU"/>
        </w:rPr>
      </w:pPr>
      <w:hyperlink w:anchor="_Toc436205216" w:history="1">
        <w:r w:rsidR="00930E56" w:rsidRPr="00957BE1">
          <w:rPr>
            <w:rStyle w:val="Hyperlink"/>
            <w:noProof/>
          </w:rPr>
          <w:t>Figure 2–1:</w:t>
        </w:r>
        <w:r w:rsidR="00930E56">
          <w:rPr>
            <w:rStyle w:val="Hyperlink"/>
            <w:noProof/>
          </w:rPr>
          <w:tab/>
        </w:r>
        <w:r w:rsidR="00930E56" w:rsidRPr="00957BE1">
          <w:rPr>
            <w:rStyle w:val="Hyperlink"/>
            <w:noProof/>
          </w:rPr>
          <w:t>Annual real growth in government spending per person on the Medicare Benefits Schedule</w:t>
        </w:r>
        <w:r w:rsidR="00930E56">
          <w:rPr>
            <w:noProof/>
          </w:rPr>
          <w:tab/>
        </w:r>
        <w:r w:rsidR="00930E56">
          <w:rPr>
            <w:noProof/>
          </w:rPr>
          <w:fldChar w:fldCharType="begin"/>
        </w:r>
        <w:r w:rsidR="00930E56">
          <w:rPr>
            <w:noProof/>
          </w:rPr>
          <w:instrText xml:space="preserve"> PAGEREF _Toc436205216 \h </w:instrText>
        </w:r>
        <w:r w:rsidR="00930E56">
          <w:rPr>
            <w:noProof/>
          </w:rPr>
        </w:r>
        <w:r w:rsidR="00930E56">
          <w:rPr>
            <w:noProof/>
          </w:rPr>
          <w:fldChar w:fldCharType="separate"/>
        </w:r>
        <w:r w:rsidR="00235C48">
          <w:rPr>
            <w:noProof/>
          </w:rPr>
          <w:t>4</w:t>
        </w:r>
        <w:r w:rsidR="00930E56">
          <w:rPr>
            <w:noProof/>
          </w:rPr>
          <w:fldChar w:fldCharType="end"/>
        </w:r>
      </w:hyperlink>
    </w:p>
    <w:p w:rsidR="00930E56" w:rsidRDefault="00AF4AB9" w:rsidP="00930E56">
      <w:pPr>
        <w:pStyle w:val="TableofFigures"/>
        <w:ind w:left="1134" w:hanging="1134"/>
        <w:rPr>
          <w:rFonts w:eastAsiaTheme="minorEastAsia"/>
          <w:noProof/>
          <w:lang w:eastAsia="en-AU"/>
        </w:rPr>
      </w:pPr>
      <w:hyperlink w:anchor="_Toc436205217" w:history="1">
        <w:r w:rsidR="00930E56" w:rsidRPr="00957BE1">
          <w:rPr>
            <w:rStyle w:val="Hyperlink"/>
            <w:noProof/>
          </w:rPr>
          <w:t>Figure 2–2:</w:t>
        </w:r>
        <w:r w:rsidR="00930E56">
          <w:rPr>
            <w:rStyle w:val="Hyperlink"/>
            <w:noProof/>
          </w:rPr>
          <w:tab/>
        </w:r>
        <w:r w:rsidR="00930E56" w:rsidRPr="00957BE1">
          <w:rPr>
            <w:rStyle w:val="Hyperlink"/>
            <w:noProof/>
          </w:rPr>
          <w:t xml:space="preserve">Medicare Benefits Schedule spending per person by category </w:t>
        </w:r>
        <w:r w:rsidR="00930E56">
          <w:rPr>
            <w:rStyle w:val="Hyperlink"/>
            <w:noProof/>
          </w:rPr>
          <w:br/>
        </w:r>
        <w:r w:rsidR="00930E56" w:rsidRPr="00957BE1">
          <w:rPr>
            <w:rStyle w:val="Hyperlink"/>
            <w:noProof/>
          </w:rPr>
          <w:t>(2014–15 dollars)</w:t>
        </w:r>
        <w:r w:rsidR="00930E56">
          <w:rPr>
            <w:noProof/>
          </w:rPr>
          <w:tab/>
        </w:r>
        <w:r w:rsidR="00930E56">
          <w:rPr>
            <w:noProof/>
          </w:rPr>
          <w:fldChar w:fldCharType="begin"/>
        </w:r>
        <w:r w:rsidR="00930E56">
          <w:rPr>
            <w:noProof/>
          </w:rPr>
          <w:instrText xml:space="preserve"> PAGEREF _Toc436205217 \h </w:instrText>
        </w:r>
        <w:r w:rsidR="00930E56">
          <w:rPr>
            <w:noProof/>
          </w:rPr>
        </w:r>
        <w:r w:rsidR="00930E56">
          <w:rPr>
            <w:noProof/>
          </w:rPr>
          <w:fldChar w:fldCharType="separate"/>
        </w:r>
        <w:r w:rsidR="00235C48">
          <w:rPr>
            <w:noProof/>
          </w:rPr>
          <w:t>5</w:t>
        </w:r>
        <w:r w:rsidR="00930E56">
          <w:rPr>
            <w:noProof/>
          </w:rPr>
          <w:fldChar w:fldCharType="end"/>
        </w:r>
      </w:hyperlink>
    </w:p>
    <w:p w:rsidR="00930E56" w:rsidRDefault="00AF4AB9" w:rsidP="00930E56">
      <w:pPr>
        <w:pStyle w:val="TableofFigures"/>
        <w:ind w:left="1134" w:hanging="1134"/>
        <w:rPr>
          <w:rFonts w:eastAsiaTheme="minorEastAsia"/>
          <w:noProof/>
          <w:lang w:eastAsia="en-AU"/>
        </w:rPr>
      </w:pPr>
      <w:hyperlink w:anchor="_Toc436205218" w:history="1">
        <w:r w:rsidR="00930E56" w:rsidRPr="00957BE1">
          <w:rPr>
            <w:rStyle w:val="Hyperlink"/>
            <w:noProof/>
          </w:rPr>
          <w:t>Figure 2–3:</w:t>
        </w:r>
        <w:r w:rsidR="00930E56">
          <w:rPr>
            <w:rStyle w:val="Hyperlink"/>
            <w:noProof/>
          </w:rPr>
          <w:tab/>
        </w:r>
        <w:r w:rsidR="00930E56" w:rsidRPr="00957BE1">
          <w:rPr>
            <w:rStyle w:val="Hyperlink"/>
            <w:noProof/>
          </w:rPr>
          <w:t xml:space="preserve">Cumulative real growth in spending per person on the </w:t>
        </w:r>
        <w:r w:rsidR="00930E56">
          <w:rPr>
            <w:rStyle w:val="Hyperlink"/>
            <w:noProof/>
          </w:rPr>
          <w:br/>
        </w:r>
        <w:r w:rsidR="00930E56" w:rsidRPr="00957BE1">
          <w:rPr>
            <w:rStyle w:val="Hyperlink"/>
            <w:noProof/>
          </w:rPr>
          <w:t>Medicare Benefits Schedule</w:t>
        </w:r>
        <w:r w:rsidR="00930E56">
          <w:rPr>
            <w:noProof/>
          </w:rPr>
          <w:tab/>
        </w:r>
        <w:r w:rsidR="00930E56">
          <w:rPr>
            <w:noProof/>
          </w:rPr>
          <w:fldChar w:fldCharType="begin"/>
        </w:r>
        <w:r w:rsidR="00930E56">
          <w:rPr>
            <w:noProof/>
          </w:rPr>
          <w:instrText xml:space="preserve"> PAGEREF _Toc436205218 \h </w:instrText>
        </w:r>
        <w:r w:rsidR="00930E56">
          <w:rPr>
            <w:noProof/>
          </w:rPr>
        </w:r>
        <w:r w:rsidR="00930E56">
          <w:rPr>
            <w:noProof/>
          </w:rPr>
          <w:fldChar w:fldCharType="separate"/>
        </w:r>
        <w:r w:rsidR="00235C48">
          <w:rPr>
            <w:noProof/>
          </w:rPr>
          <w:t>7</w:t>
        </w:r>
        <w:r w:rsidR="00930E56">
          <w:rPr>
            <w:noProof/>
          </w:rPr>
          <w:fldChar w:fldCharType="end"/>
        </w:r>
      </w:hyperlink>
    </w:p>
    <w:p w:rsidR="00930E56" w:rsidRDefault="00AF4AB9" w:rsidP="00930E56">
      <w:pPr>
        <w:pStyle w:val="TableofFigures"/>
        <w:ind w:left="1134" w:hanging="1134"/>
        <w:rPr>
          <w:rFonts w:eastAsiaTheme="minorEastAsia"/>
          <w:noProof/>
          <w:lang w:eastAsia="en-AU"/>
        </w:rPr>
      </w:pPr>
      <w:hyperlink w:anchor="_Toc436205219" w:history="1">
        <w:r w:rsidR="00930E56" w:rsidRPr="00957BE1">
          <w:rPr>
            <w:rStyle w:val="Hyperlink"/>
            <w:noProof/>
          </w:rPr>
          <w:t>Figure 2–4:</w:t>
        </w:r>
        <w:r w:rsidR="00930E56">
          <w:rPr>
            <w:rStyle w:val="Hyperlink"/>
            <w:noProof/>
          </w:rPr>
          <w:tab/>
        </w:r>
        <w:r w:rsidR="00930E56" w:rsidRPr="00957BE1">
          <w:rPr>
            <w:rStyle w:val="Hyperlink"/>
            <w:noProof/>
          </w:rPr>
          <w:t>Medicare Benefits Schedule, benefit paid per service (2014–15 dollars) and services per person</w:t>
        </w:r>
        <w:r w:rsidR="00930E56">
          <w:rPr>
            <w:noProof/>
          </w:rPr>
          <w:tab/>
        </w:r>
        <w:r w:rsidR="00930E56">
          <w:rPr>
            <w:noProof/>
          </w:rPr>
          <w:fldChar w:fldCharType="begin"/>
        </w:r>
        <w:r w:rsidR="00930E56">
          <w:rPr>
            <w:noProof/>
          </w:rPr>
          <w:instrText xml:space="preserve"> PAGEREF _Toc436205219 \h </w:instrText>
        </w:r>
        <w:r w:rsidR="00930E56">
          <w:rPr>
            <w:noProof/>
          </w:rPr>
        </w:r>
        <w:r w:rsidR="00930E56">
          <w:rPr>
            <w:noProof/>
          </w:rPr>
          <w:fldChar w:fldCharType="separate"/>
        </w:r>
        <w:r w:rsidR="00235C48">
          <w:rPr>
            <w:noProof/>
          </w:rPr>
          <w:t>9</w:t>
        </w:r>
        <w:r w:rsidR="00930E56">
          <w:rPr>
            <w:noProof/>
          </w:rPr>
          <w:fldChar w:fldCharType="end"/>
        </w:r>
      </w:hyperlink>
    </w:p>
    <w:p w:rsidR="00930E56" w:rsidRDefault="00AF4AB9" w:rsidP="00930E56">
      <w:pPr>
        <w:pStyle w:val="TableofFigures"/>
        <w:tabs>
          <w:tab w:val="left" w:pos="1134"/>
        </w:tabs>
        <w:ind w:left="1134" w:hanging="1134"/>
        <w:rPr>
          <w:rFonts w:eastAsiaTheme="minorEastAsia"/>
          <w:noProof/>
          <w:lang w:eastAsia="en-AU"/>
        </w:rPr>
      </w:pPr>
      <w:hyperlink w:anchor="_Toc436205220" w:history="1">
        <w:r w:rsidR="00930E56" w:rsidRPr="00957BE1">
          <w:rPr>
            <w:rStyle w:val="Hyperlink"/>
            <w:noProof/>
          </w:rPr>
          <w:t>Figure 2–5:</w:t>
        </w:r>
        <w:r w:rsidR="00930E56">
          <w:rPr>
            <w:rStyle w:val="Hyperlink"/>
            <w:noProof/>
          </w:rPr>
          <w:tab/>
        </w:r>
        <w:r w:rsidR="00930E56" w:rsidRPr="00957BE1">
          <w:rPr>
            <w:rStyle w:val="Hyperlink"/>
            <w:noProof/>
          </w:rPr>
          <w:t>Proportion of the Australian population by age group</w:t>
        </w:r>
        <w:r w:rsidR="00930E56">
          <w:rPr>
            <w:noProof/>
          </w:rPr>
          <w:tab/>
        </w:r>
        <w:r w:rsidR="00930E56">
          <w:rPr>
            <w:noProof/>
          </w:rPr>
          <w:fldChar w:fldCharType="begin"/>
        </w:r>
        <w:r w:rsidR="00930E56">
          <w:rPr>
            <w:noProof/>
          </w:rPr>
          <w:instrText xml:space="preserve"> PAGEREF _Toc436205220 \h </w:instrText>
        </w:r>
        <w:r w:rsidR="00930E56">
          <w:rPr>
            <w:noProof/>
          </w:rPr>
        </w:r>
        <w:r w:rsidR="00930E56">
          <w:rPr>
            <w:noProof/>
          </w:rPr>
          <w:fldChar w:fldCharType="separate"/>
        </w:r>
        <w:r w:rsidR="00235C48">
          <w:rPr>
            <w:noProof/>
          </w:rPr>
          <w:t>10</w:t>
        </w:r>
        <w:r w:rsidR="00930E56">
          <w:rPr>
            <w:noProof/>
          </w:rPr>
          <w:fldChar w:fldCharType="end"/>
        </w:r>
      </w:hyperlink>
    </w:p>
    <w:p w:rsidR="00930E56" w:rsidRDefault="00AF4AB9" w:rsidP="00930E56">
      <w:pPr>
        <w:pStyle w:val="TableofFigures"/>
        <w:ind w:left="1134" w:hanging="1134"/>
        <w:rPr>
          <w:rFonts w:eastAsiaTheme="minorEastAsia"/>
          <w:noProof/>
          <w:lang w:eastAsia="en-AU"/>
        </w:rPr>
      </w:pPr>
      <w:hyperlink w:anchor="_Toc436205221" w:history="1">
        <w:r w:rsidR="00930E56" w:rsidRPr="00957BE1">
          <w:rPr>
            <w:rStyle w:val="Hyperlink"/>
            <w:noProof/>
          </w:rPr>
          <w:t>Figure 2–6:</w:t>
        </w:r>
        <w:r w:rsidR="00930E56">
          <w:rPr>
            <w:rStyle w:val="Hyperlink"/>
            <w:noProof/>
          </w:rPr>
          <w:tab/>
        </w:r>
        <w:r w:rsidR="00930E56" w:rsidRPr="00957BE1">
          <w:rPr>
            <w:rStyle w:val="Hyperlink"/>
            <w:noProof/>
          </w:rPr>
          <w:t xml:space="preserve">Medicare Benefit Schedule spending per person by age group </w:t>
        </w:r>
        <w:r w:rsidR="00930E56">
          <w:rPr>
            <w:rStyle w:val="Hyperlink"/>
            <w:noProof/>
          </w:rPr>
          <w:br/>
        </w:r>
        <w:r w:rsidR="00930E56" w:rsidRPr="00957BE1">
          <w:rPr>
            <w:rStyle w:val="Hyperlink"/>
            <w:noProof/>
          </w:rPr>
          <w:t>(2014–15 dollars)</w:t>
        </w:r>
        <w:r w:rsidR="00930E56">
          <w:rPr>
            <w:noProof/>
          </w:rPr>
          <w:tab/>
        </w:r>
        <w:r w:rsidR="00930E56">
          <w:rPr>
            <w:noProof/>
          </w:rPr>
          <w:fldChar w:fldCharType="begin"/>
        </w:r>
        <w:r w:rsidR="00930E56">
          <w:rPr>
            <w:noProof/>
          </w:rPr>
          <w:instrText xml:space="preserve"> PAGEREF _Toc436205221 \h </w:instrText>
        </w:r>
        <w:r w:rsidR="00930E56">
          <w:rPr>
            <w:noProof/>
          </w:rPr>
        </w:r>
        <w:r w:rsidR="00930E56">
          <w:rPr>
            <w:noProof/>
          </w:rPr>
          <w:fldChar w:fldCharType="separate"/>
        </w:r>
        <w:r w:rsidR="00235C48">
          <w:rPr>
            <w:noProof/>
          </w:rPr>
          <w:t>11</w:t>
        </w:r>
        <w:r w:rsidR="00930E56">
          <w:rPr>
            <w:noProof/>
          </w:rPr>
          <w:fldChar w:fldCharType="end"/>
        </w:r>
      </w:hyperlink>
    </w:p>
    <w:p w:rsidR="00930E56" w:rsidRDefault="00AF4AB9" w:rsidP="00930E56">
      <w:pPr>
        <w:pStyle w:val="TableofFigures"/>
        <w:ind w:left="1134" w:hanging="1134"/>
        <w:rPr>
          <w:rFonts w:eastAsiaTheme="minorEastAsia"/>
          <w:noProof/>
          <w:lang w:eastAsia="en-AU"/>
        </w:rPr>
      </w:pPr>
      <w:hyperlink w:anchor="_Toc436205222" w:history="1">
        <w:r w:rsidR="00930E56" w:rsidRPr="00957BE1">
          <w:rPr>
            <w:rStyle w:val="Hyperlink"/>
            <w:noProof/>
          </w:rPr>
          <w:t>Figure 2–7:</w:t>
        </w:r>
        <w:r w:rsidR="00930E56">
          <w:rPr>
            <w:rStyle w:val="Hyperlink"/>
            <w:noProof/>
          </w:rPr>
          <w:tab/>
        </w:r>
        <w:r w:rsidR="00930E56" w:rsidRPr="00957BE1">
          <w:rPr>
            <w:rStyle w:val="Hyperlink"/>
            <w:noProof/>
          </w:rPr>
          <w:t>Medicare Benefits Schedule spending by age group (2014–15 dollars)</w:t>
        </w:r>
        <w:r w:rsidR="00930E56">
          <w:rPr>
            <w:noProof/>
          </w:rPr>
          <w:tab/>
        </w:r>
        <w:r w:rsidR="00930E56">
          <w:rPr>
            <w:noProof/>
          </w:rPr>
          <w:fldChar w:fldCharType="begin"/>
        </w:r>
        <w:r w:rsidR="00930E56">
          <w:rPr>
            <w:noProof/>
          </w:rPr>
          <w:instrText xml:space="preserve"> PAGEREF _Toc436205222 \h </w:instrText>
        </w:r>
        <w:r w:rsidR="00930E56">
          <w:rPr>
            <w:noProof/>
          </w:rPr>
        </w:r>
        <w:r w:rsidR="00930E56">
          <w:rPr>
            <w:noProof/>
          </w:rPr>
          <w:fldChar w:fldCharType="separate"/>
        </w:r>
        <w:r w:rsidR="00235C48">
          <w:rPr>
            <w:noProof/>
          </w:rPr>
          <w:t>12</w:t>
        </w:r>
        <w:r w:rsidR="00930E56">
          <w:rPr>
            <w:noProof/>
          </w:rPr>
          <w:fldChar w:fldCharType="end"/>
        </w:r>
      </w:hyperlink>
    </w:p>
    <w:p w:rsidR="00930E56" w:rsidRDefault="00AF4AB9" w:rsidP="00930E56">
      <w:pPr>
        <w:pStyle w:val="TableofFigures"/>
        <w:ind w:left="1134" w:hanging="1134"/>
        <w:rPr>
          <w:rFonts w:eastAsiaTheme="minorEastAsia"/>
          <w:noProof/>
          <w:lang w:eastAsia="en-AU"/>
        </w:rPr>
      </w:pPr>
      <w:hyperlink w:anchor="_Toc436205223" w:history="1">
        <w:r w:rsidR="00930E56" w:rsidRPr="00957BE1">
          <w:rPr>
            <w:rStyle w:val="Hyperlink"/>
            <w:noProof/>
          </w:rPr>
          <w:t>Figure 3–1:</w:t>
        </w:r>
        <w:r w:rsidR="00930E56">
          <w:rPr>
            <w:rStyle w:val="Hyperlink"/>
            <w:noProof/>
          </w:rPr>
          <w:tab/>
        </w:r>
        <w:r w:rsidR="00930E56" w:rsidRPr="00957BE1">
          <w:rPr>
            <w:rStyle w:val="Hyperlink"/>
            <w:noProof/>
          </w:rPr>
          <w:t>Pathology and diagnostics, benefit paid per service (2014–15 dollars) and services per person</w:t>
        </w:r>
        <w:r w:rsidR="00930E56">
          <w:rPr>
            <w:noProof/>
          </w:rPr>
          <w:tab/>
        </w:r>
        <w:r w:rsidR="00930E56">
          <w:rPr>
            <w:noProof/>
          </w:rPr>
          <w:fldChar w:fldCharType="begin"/>
        </w:r>
        <w:r w:rsidR="00930E56">
          <w:rPr>
            <w:noProof/>
          </w:rPr>
          <w:instrText xml:space="preserve"> PAGEREF _Toc436205223 \h </w:instrText>
        </w:r>
        <w:r w:rsidR="00930E56">
          <w:rPr>
            <w:noProof/>
          </w:rPr>
        </w:r>
        <w:r w:rsidR="00930E56">
          <w:rPr>
            <w:noProof/>
          </w:rPr>
          <w:fldChar w:fldCharType="separate"/>
        </w:r>
        <w:r w:rsidR="00235C48">
          <w:rPr>
            <w:noProof/>
          </w:rPr>
          <w:t>13</w:t>
        </w:r>
        <w:r w:rsidR="00930E56">
          <w:rPr>
            <w:noProof/>
          </w:rPr>
          <w:fldChar w:fldCharType="end"/>
        </w:r>
      </w:hyperlink>
    </w:p>
    <w:p w:rsidR="00930E56" w:rsidRDefault="00AF4AB9" w:rsidP="00930E56">
      <w:pPr>
        <w:pStyle w:val="TableofFigures"/>
        <w:ind w:left="1134" w:hanging="1134"/>
        <w:rPr>
          <w:rFonts w:eastAsiaTheme="minorEastAsia"/>
          <w:noProof/>
          <w:lang w:eastAsia="en-AU"/>
        </w:rPr>
      </w:pPr>
      <w:hyperlink w:anchor="_Toc436205224" w:history="1">
        <w:r w:rsidR="00930E56" w:rsidRPr="00957BE1">
          <w:rPr>
            <w:rStyle w:val="Hyperlink"/>
            <w:noProof/>
          </w:rPr>
          <w:t>Figure 3–2:</w:t>
        </w:r>
        <w:r w:rsidR="00930E56">
          <w:rPr>
            <w:rStyle w:val="Hyperlink"/>
            <w:noProof/>
          </w:rPr>
          <w:tab/>
        </w:r>
        <w:r w:rsidR="00930E56" w:rsidRPr="00957BE1">
          <w:rPr>
            <w:rStyle w:val="Hyperlink"/>
            <w:noProof/>
          </w:rPr>
          <w:t>GP and GP-type services, benefit paid per service (2014–15 dollars) and services per person</w:t>
        </w:r>
        <w:r w:rsidR="00930E56">
          <w:rPr>
            <w:noProof/>
          </w:rPr>
          <w:tab/>
        </w:r>
        <w:r w:rsidR="00930E56">
          <w:rPr>
            <w:noProof/>
          </w:rPr>
          <w:fldChar w:fldCharType="begin"/>
        </w:r>
        <w:r w:rsidR="00930E56">
          <w:rPr>
            <w:noProof/>
          </w:rPr>
          <w:instrText xml:space="preserve"> PAGEREF _Toc436205224 \h </w:instrText>
        </w:r>
        <w:r w:rsidR="00930E56">
          <w:rPr>
            <w:noProof/>
          </w:rPr>
        </w:r>
        <w:r w:rsidR="00930E56">
          <w:rPr>
            <w:noProof/>
          </w:rPr>
          <w:fldChar w:fldCharType="separate"/>
        </w:r>
        <w:r w:rsidR="00235C48">
          <w:rPr>
            <w:noProof/>
          </w:rPr>
          <w:t>15</w:t>
        </w:r>
        <w:r w:rsidR="00930E56">
          <w:rPr>
            <w:noProof/>
          </w:rPr>
          <w:fldChar w:fldCharType="end"/>
        </w:r>
      </w:hyperlink>
    </w:p>
    <w:p w:rsidR="00930E56" w:rsidRDefault="00AF4AB9" w:rsidP="00930E56">
      <w:pPr>
        <w:pStyle w:val="TableofFigures"/>
        <w:ind w:left="1134" w:hanging="1134"/>
        <w:rPr>
          <w:rFonts w:eastAsiaTheme="minorEastAsia"/>
          <w:noProof/>
          <w:lang w:eastAsia="en-AU"/>
        </w:rPr>
      </w:pPr>
      <w:hyperlink w:anchor="_Toc436205225" w:history="1">
        <w:r w:rsidR="00930E56" w:rsidRPr="00957BE1">
          <w:rPr>
            <w:rStyle w:val="Hyperlink"/>
            <w:noProof/>
          </w:rPr>
          <w:t>Figure 3–3:</w:t>
        </w:r>
        <w:r w:rsidR="00930E56">
          <w:rPr>
            <w:rStyle w:val="Hyperlink"/>
            <w:noProof/>
          </w:rPr>
          <w:tab/>
        </w:r>
        <w:r w:rsidR="00930E56" w:rsidRPr="00957BE1">
          <w:rPr>
            <w:rStyle w:val="Hyperlink"/>
            <w:noProof/>
          </w:rPr>
          <w:t>GP and GP-type services, services per person, males and females aged</w:t>
        </w:r>
        <w:r w:rsidR="00930E56">
          <w:rPr>
            <w:rStyle w:val="Hyperlink"/>
            <w:noProof/>
          </w:rPr>
          <w:t> </w:t>
        </w:r>
        <w:r w:rsidR="00930E56" w:rsidRPr="00957BE1">
          <w:rPr>
            <w:rStyle w:val="Hyperlink"/>
            <w:noProof/>
          </w:rPr>
          <w:t>75 and over</w:t>
        </w:r>
        <w:r w:rsidR="00930E56">
          <w:rPr>
            <w:noProof/>
          </w:rPr>
          <w:tab/>
        </w:r>
        <w:r w:rsidR="00930E56">
          <w:rPr>
            <w:noProof/>
          </w:rPr>
          <w:fldChar w:fldCharType="begin"/>
        </w:r>
        <w:r w:rsidR="00930E56">
          <w:rPr>
            <w:noProof/>
          </w:rPr>
          <w:instrText xml:space="preserve"> PAGEREF _Toc436205225 \h </w:instrText>
        </w:r>
        <w:r w:rsidR="00930E56">
          <w:rPr>
            <w:noProof/>
          </w:rPr>
        </w:r>
        <w:r w:rsidR="00930E56">
          <w:rPr>
            <w:noProof/>
          </w:rPr>
          <w:fldChar w:fldCharType="separate"/>
        </w:r>
        <w:r w:rsidR="00235C48">
          <w:rPr>
            <w:noProof/>
          </w:rPr>
          <w:t>15</w:t>
        </w:r>
        <w:r w:rsidR="00930E56">
          <w:rPr>
            <w:noProof/>
          </w:rPr>
          <w:fldChar w:fldCharType="end"/>
        </w:r>
      </w:hyperlink>
    </w:p>
    <w:p w:rsidR="00930E56" w:rsidRDefault="00AF4AB9" w:rsidP="00930E56">
      <w:pPr>
        <w:pStyle w:val="TableofFigures"/>
        <w:ind w:left="1134" w:hanging="1134"/>
        <w:rPr>
          <w:rFonts w:eastAsiaTheme="minorEastAsia"/>
          <w:noProof/>
          <w:lang w:eastAsia="en-AU"/>
        </w:rPr>
      </w:pPr>
      <w:hyperlink w:anchor="_Toc436205226" w:history="1">
        <w:r w:rsidR="00930E56" w:rsidRPr="00957BE1">
          <w:rPr>
            <w:rStyle w:val="Hyperlink"/>
            <w:noProof/>
          </w:rPr>
          <w:t>Figure 3–4:</w:t>
        </w:r>
        <w:r w:rsidR="00930E56">
          <w:rPr>
            <w:rStyle w:val="Hyperlink"/>
            <w:noProof/>
          </w:rPr>
          <w:tab/>
        </w:r>
        <w:r w:rsidR="00930E56" w:rsidRPr="00957BE1">
          <w:rPr>
            <w:rStyle w:val="Hyperlink"/>
            <w:noProof/>
          </w:rPr>
          <w:t>Surgeries and treatments, benefit paid per service (2014–15 dollars) and services per person</w:t>
        </w:r>
        <w:r w:rsidR="00930E56">
          <w:rPr>
            <w:noProof/>
          </w:rPr>
          <w:tab/>
        </w:r>
        <w:r w:rsidR="00930E56">
          <w:rPr>
            <w:noProof/>
          </w:rPr>
          <w:fldChar w:fldCharType="begin"/>
        </w:r>
        <w:r w:rsidR="00930E56">
          <w:rPr>
            <w:noProof/>
          </w:rPr>
          <w:instrText xml:space="preserve"> PAGEREF _Toc436205226 \h </w:instrText>
        </w:r>
        <w:r w:rsidR="00930E56">
          <w:rPr>
            <w:noProof/>
          </w:rPr>
        </w:r>
        <w:r w:rsidR="00930E56">
          <w:rPr>
            <w:noProof/>
          </w:rPr>
          <w:fldChar w:fldCharType="separate"/>
        </w:r>
        <w:r w:rsidR="00235C48">
          <w:rPr>
            <w:noProof/>
          </w:rPr>
          <w:t>16</w:t>
        </w:r>
        <w:r w:rsidR="00930E56">
          <w:rPr>
            <w:noProof/>
          </w:rPr>
          <w:fldChar w:fldCharType="end"/>
        </w:r>
      </w:hyperlink>
    </w:p>
    <w:p w:rsidR="00930E56" w:rsidRDefault="00AF4AB9" w:rsidP="00930E56">
      <w:pPr>
        <w:pStyle w:val="TableofFigures"/>
        <w:ind w:left="1134" w:hanging="1134"/>
        <w:rPr>
          <w:rFonts w:eastAsiaTheme="minorEastAsia"/>
          <w:noProof/>
          <w:lang w:eastAsia="en-AU"/>
        </w:rPr>
      </w:pPr>
      <w:hyperlink w:anchor="_Toc436205227" w:history="1">
        <w:r w:rsidR="00930E56" w:rsidRPr="00957BE1">
          <w:rPr>
            <w:rStyle w:val="Hyperlink"/>
            <w:noProof/>
          </w:rPr>
          <w:t>Figure 3–5:</w:t>
        </w:r>
        <w:r w:rsidR="00930E56">
          <w:rPr>
            <w:rStyle w:val="Hyperlink"/>
            <w:noProof/>
          </w:rPr>
          <w:tab/>
        </w:r>
        <w:r w:rsidR="00930E56" w:rsidRPr="00957BE1">
          <w:rPr>
            <w:rStyle w:val="Hyperlink"/>
            <w:noProof/>
          </w:rPr>
          <w:t xml:space="preserve">Allied health services, benefit paid per service (2014–15 dollars) </w:t>
        </w:r>
        <w:r w:rsidR="00930E56">
          <w:rPr>
            <w:rStyle w:val="Hyperlink"/>
            <w:noProof/>
          </w:rPr>
          <w:br/>
        </w:r>
        <w:r w:rsidR="00930E56" w:rsidRPr="00957BE1">
          <w:rPr>
            <w:rStyle w:val="Hyperlink"/>
            <w:noProof/>
          </w:rPr>
          <w:t>and services per person</w:t>
        </w:r>
        <w:r w:rsidR="00930E56">
          <w:rPr>
            <w:noProof/>
          </w:rPr>
          <w:tab/>
        </w:r>
        <w:r w:rsidR="00930E56">
          <w:rPr>
            <w:noProof/>
          </w:rPr>
          <w:fldChar w:fldCharType="begin"/>
        </w:r>
        <w:r w:rsidR="00930E56">
          <w:rPr>
            <w:noProof/>
          </w:rPr>
          <w:instrText xml:space="preserve"> PAGEREF _Toc436205227 \h </w:instrText>
        </w:r>
        <w:r w:rsidR="00930E56">
          <w:rPr>
            <w:noProof/>
          </w:rPr>
        </w:r>
        <w:r w:rsidR="00930E56">
          <w:rPr>
            <w:noProof/>
          </w:rPr>
          <w:fldChar w:fldCharType="separate"/>
        </w:r>
        <w:r w:rsidR="00235C48">
          <w:rPr>
            <w:noProof/>
          </w:rPr>
          <w:t>18</w:t>
        </w:r>
        <w:r w:rsidR="00930E56">
          <w:rPr>
            <w:noProof/>
          </w:rPr>
          <w:fldChar w:fldCharType="end"/>
        </w:r>
      </w:hyperlink>
    </w:p>
    <w:p w:rsidR="00930E56" w:rsidRDefault="00AF4AB9" w:rsidP="00930E56">
      <w:pPr>
        <w:pStyle w:val="TableofFigures"/>
        <w:ind w:left="1134" w:hanging="1134"/>
        <w:rPr>
          <w:rFonts w:eastAsiaTheme="minorEastAsia"/>
          <w:noProof/>
          <w:lang w:eastAsia="en-AU"/>
        </w:rPr>
      </w:pPr>
      <w:hyperlink w:anchor="_Toc436205228" w:history="1">
        <w:r w:rsidR="00930E56" w:rsidRPr="00957BE1">
          <w:rPr>
            <w:rStyle w:val="Hyperlink"/>
            <w:noProof/>
          </w:rPr>
          <w:t>Figure 3–6:</w:t>
        </w:r>
        <w:r w:rsidR="00930E56">
          <w:rPr>
            <w:rStyle w:val="Hyperlink"/>
            <w:noProof/>
          </w:rPr>
          <w:tab/>
        </w:r>
        <w:r w:rsidR="00930E56" w:rsidRPr="00957BE1">
          <w:rPr>
            <w:rStyle w:val="Hyperlink"/>
            <w:noProof/>
          </w:rPr>
          <w:t>Bulk billing benefits paid per person (2014–15 dollars)</w:t>
        </w:r>
        <w:r w:rsidR="00930E56">
          <w:rPr>
            <w:noProof/>
          </w:rPr>
          <w:tab/>
        </w:r>
        <w:r w:rsidR="00930E56">
          <w:rPr>
            <w:noProof/>
          </w:rPr>
          <w:fldChar w:fldCharType="begin"/>
        </w:r>
        <w:r w:rsidR="00930E56">
          <w:rPr>
            <w:noProof/>
          </w:rPr>
          <w:instrText xml:space="preserve"> PAGEREF _Toc436205228 \h </w:instrText>
        </w:r>
        <w:r w:rsidR="00930E56">
          <w:rPr>
            <w:noProof/>
          </w:rPr>
        </w:r>
        <w:r w:rsidR="00930E56">
          <w:rPr>
            <w:noProof/>
          </w:rPr>
          <w:fldChar w:fldCharType="separate"/>
        </w:r>
        <w:r w:rsidR="00235C48">
          <w:rPr>
            <w:noProof/>
          </w:rPr>
          <w:t>19</w:t>
        </w:r>
        <w:r w:rsidR="00930E56">
          <w:rPr>
            <w:noProof/>
          </w:rPr>
          <w:fldChar w:fldCharType="end"/>
        </w:r>
      </w:hyperlink>
    </w:p>
    <w:p w:rsidR="00930E56" w:rsidRDefault="00AF4AB9" w:rsidP="00930E56">
      <w:pPr>
        <w:pStyle w:val="TableofFigures"/>
        <w:ind w:left="1134" w:hanging="1134"/>
      </w:pPr>
      <w:hyperlink w:anchor="_Toc436205229" w:history="1">
        <w:r w:rsidR="00930E56" w:rsidRPr="00957BE1">
          <w:rPr>
            <w:rStyle w:val="Hyperlink"/>
            <w:noProof/>
          </w:rPr>
          <w:t>Figure 3–7:</w:t>
        </w:r>
        <w:r w:rsidR="00930E56">
          <w:rPr>
            <w:rStyle w:val="Hyperlink"/>
            <w:noProof/>
          </w:rPr>
          <w:tab/>
        </w:r>
        <w:r w:rsidR="00930E56" w:rsidRPr="00957BE1">
          <w:rPr>
            <w:rStyle w:val="Hyperlink"/>
            <w:noProof/>
          </w:rPr>
          <w:t xml:space="preserve">Specialist services, benefit paid per service (2014–15 dollars) </w:t>
        </w:r>
        <w:r w:rsidR="00930E56">
          <w:rPr>
            <w:rStyle w:val="Hyperlink"/>
            <w:noProof/>
          </w:rPr>
          <w:br/>
        </w:r>
        <w:r w:rsidR="00930E56" w:rsidRPr="00957BE1">
          <w:rPr>
            <w:rStyle w:val="Hyperlink"/>
            <w:noProof/>
          </w:rPr>
          <w:t>and services per person</w:t>
        </w:r>
        <w:r w:rsidR="00930E56">
          <w:rPr>
            <w:noProof/>
          </w:rPr>
          <w:tab/>
        </w:r>
        <w:r w:rsidR="00930E56">
          <w:rPr>
            <w:noProof/>
          </w:rPr>
          <w:fldChar w:fldCharType="begin"/>
        </w:r>
        <w:r w:rsidR="00930E56">
          <w:rPr>
            <w:noProof/>
          </w:rPr>
          <w:instrText xml:space="preserve"> PAGEREF _Toc436205229 \h </w:instrText>
        </w:r>
        <w:r w:rsidR="00930E56">
          <w:rPr>
            <w:noProof/>
          </w:rPr>
        </w:r>
        <w:r w:rsidR="00930E56">
          <w:rPr>
            <w:noProof/>
          </w:rPr>
          <w:fldChar w:fldCharType="separate"/>
        </w:r>
        <w:r w:rsidR="00235C48">
          <w:rPr>
            <w:noProof/>
          </w:rPr>
          <w:t>20</w:t>
        </w:r>
        <w:r w:rsidR="00930E56">
          <w:rPr>
            <w:noProof/>
          </w:rPr>
          <w:fldChar w:fldCharType="end"/>
        </w:r>
      </w:hyperlink>
      <w:r w:rsidR="00930E56">
        <w:fldChar w:fldCharType="end"/>
      </w:r>
    </w:p>
    <w:p w:rsidR="00930E56" w:rsidRDefault="00930E56" w:rsidP="00930E56">
      <w:pPr>
        <w:pStyle w:val="TOFHeading"/>
      </w:pPr>
      <w:r>
        <w:t>List of appendices</w:t>
      </w:r>
    </w:p>
    <w:p w:rsidR="00930E56" w:rsidRPr="00930E56" w:rsidRDefault="00930E56">
      <w:pPr>
        <w:pStyle w:val="TOC4"/>
      </w:pPr>
      <w:r>
        <w:fldChar w:fldCharType="begin"/>
      </w:r>
      <w:r>
        <w:instrText xml:space="preserve"> TOC \h \z \u \t "Heading 8,4" \* Charformat </w:instrText>
      </w:r>
      <w:r>
        <w:fldChar w:fldCharType="separate"/>
      </w:r>
      <w:hyperlink w:anchor="_Toc436205209" w:history="1">
        <w:r w:rsidRPr="00930E56">
          <w:t>Appendix A – PBO categories for analysis of the Medicare Benefits Schedule</w:t>
        </w:r>
        <w:r>
          <w:rPr>
            <w:webHidden/>
          </w:rPr>
          <w:tab/>
        </w:r>
        <w:r>
          <w:rPr>
            <w:webHidden/>
          </w:rPr>
          <w:fldChar w:fldCharType="begin"/>
        </w:r>
        <w:r>
          <w:rPr>
            <w:webHidden/>
          </w:rPr>
          <w:instrText xml:space="preserve"> PAGEREF _Toc436205209 \h </w:instrText>
        </w:r>
        <w:r>
          <w:rPr>
            <w:webHidden/>
          </w:rPr>
        </w:r>
        <w:r>
          <w:rPr>
            <w:webHidden/>
          </w:rPr>
          <w:fldChar w:fldCharType="separate"/>
        </w:r>
        <w:r w:rsidR="00235C48">
          <w:rPr>
            <w:webHidden/>
          </w:rPr>
          <w:t>22</w:t>
        </w:r>
        <w:r>
          <w:rPr>
            <w:webHidden/>
          </w:rPr>
          <w:fldChar w:fldCharType="end"/>
        </w:r>
      </w:hyperlink>
    </w:p>
    <w:p w:rsidR="00930E56" w:rsidRPr="00930E56" w:rsidRDefault="00AF4AB9" w:rsidP="00930E56">
      <w:pPr>
        <w:pStyle w:val="TOC4"/>
        <w:ind w:left="1247" w:hanging="1247"/>
      </w:pPr>
      <w:hyperlink w:anchor="_Toc436205210" w:history="1">
        <w:r w:rsidR="00930E56" w:rsidRPr="00930E56">
          <w:t>Appendix B – Significant changes affecting the Medicare Benefits Schedule since 1993–94</w:t>
        </w:r>
        <w:r w:rsidR="00930E56">
          <w:rPr>
            <w:webHidden/>
          </w:rPr>
          <w:tab/>
        </w:r>
        <w:r w:rsidR="00930E56">
          <w:rPr>
            <w:webHidden/>
          </w:rPr>
          <w:fldChar w:fldCharType="begin"/>
        </w:r>
        <w:r w:rsidR="00930E56">
          <w:rPr>
            <w:webHidden/>
          </w:rPr>
          <w:instrText xml:space="preserve"> PAGEREF _Toc436205210 \h </w:instrText>
        </w:r>
        <w:r w:rsidR="00930E56">
          <w:rPr>
            <w:webHidden/>
          </w:rPr>
        </w:r>
        <w:r w:rsidR="00930E56">
          <w:rPr>
            <w:webHidden/>
          </w:rPr>
          <w:fldChar w:fldCharType="separate"/>
        </w:r>
        <w:r w:rsidR="00235C48">
          <w:rPr>
            <w:webHidden/>
          </w:rPr>
          <w:t>24</w:t>
        </w:r>
        <w:r w:rsidR="00930E56">
          <w:rPr>
            <w:webHidden/>
          </w:rPr>
          <w:fldChar w:fldCharType="end"/>
        </w:r>
      </w:hyperlink>
    </w:p>
    <w:p w:rsidR="00930E56" w:rsidRPr="00930E56" w:rsidRDefault="00AF4AB9">
      <w:pPr>
        <w:pStyle w:val="TOC4"/>
      </w:pPr>
      <w:hyperlink w:anchor="_Toc436205211" w:history="1">
        <w:r w:rsidR="00930E56" w:rsidRPr="00930E56">
          <w:t>Appendix C – Technical notes and sources</w:t>
        </w:r>
        <w:r w:rsidR="00930E56">
          <w:rPr>
            <w:webHidden/>
          </w:rPr>
          <w:tab/>
        </w:r>
        <w:r w:rsidR="00930E56">
          <w:rPr>
            <w:webHidden/>
          </w:rPr>
          <w:fldChar w:fldCharType="begin"/>
        </w:r>
        <w:r w:rsidR="00930E56">
          <w:rPr>
            <w:webHidden/>
          </w:rPr>
          <w:instrText xml:space="preserve"> PAGEREF _Toc436205211 \h </w:instrText>
        </w:r>
        <w:r w:rsidR="00930E56">
          <w:rPr>
            <w:webHidden/>
          </w:rPr>
        </w:r>
        <w:r w:rsidR="00930E56">
          <w:rPr>
            <w:webHidden/>
          </w:rPr>
          <w:fldChar w:fldCharType="separate"/>
        </w:r>
        <w:r w:rsidR="00235C48">
          <w:rPr>
            <w:webHidden/>
          </w:rPr>
          <w:t>26</w:t>
        </w:r>
        <w:r w:rsidR="00930E56">
          <w:rPr>
            <w:webHidden/>
          </w:rPr>
          <w:fldChar w:fldCharType="end"/>
        </w:r>
      </w:hyperlink>
    </w:p>
    <w:p w:rsidR="00930E56" w:rsidRPr="00BE1666" w:rsidRDefault="00930E56" w:rsidP="00A13FBE">
      <w:pPr>
        <w:pStyle w:val="BodyText"/>
        <w:rPr>
          <w:rFonts w:cstheme="minorBidi"/>
          <w:noProof/>
          <w:spacing w:val="0"/>
        </w:rPr>
      </w:pPr>
    </w:p>
    <w:p w:rsidR="00A13FBE" w:rsidRPr="00BE1666" w:rsidRDefault="00A13FBE" w:rsidP="00A13FBE">
      <w:pPr>
        <w:pStyle w:val="BodyText"/>
        <w:rPr>
          <w:rFonts w:cstheme="minorBidi"/>
          <w:noProof/>
          <w:spacing w:val="0"/>
        </w:rPr>
        <w:sectPr w:rsidR="00A13FBE" w:rsidRPr="00BE1666" w:rsidSect="00985CB6">
          <w:headerReference w:type="even" r:id="rId22"/>
          <w:headerReference w:type="default" r:id="rId23"/>
          <w:footerReference w:type="even" r:id="rId24"/>
          <w:footerReference w:type="default" r:id="rId25"/>
          <w:headerReference w:type="first" r:id="rId26"/>
          <w:footerReference w:type="first" r:id="rId27"/>
          <w:pgSz w:w="11906" w:h="16838" w:code="9"/>
          <w:pgMar w:top="1361" w:right="1797" w:bottom="1474" w:left="1797" w:header="284" w:footer="454" w:gutter="0"/>
          <w:pgNumType w:fmt="lowerRoman"/>
          <w:cols w:space="708"/>
          <w:docGrid w:linePitch="360"/>
        </w:sectPr>
      </w:pPr>
    </w:p>
    <w:p w:rsidR="00E714C9" w:rsidRPr="00227D7D" w:rsidRDefault="00930E56" w:rsidP="00ED5D93">
      <w:pPr>
        <w:pStyle w:val="Heading1"/>
        <w:numPr>
          <w:ilvl w:val="0"/>
          <w:numId w:val="0"/>
        </w:numPr>
      </w:pPr>
      <w:r>
        <w:lastRenderedPageBreak/>
        <w:fldChar w:fldCharType="end"/>
      </w:r>
      <w:bookmarkStart w:id="10" w:name="_Toc436208543"/>
      <w:bookmarkEnd w:id="9"/>
      <w:r w:rsidR="00E714C9" w:rsidRPr="00ED5D93">
        <w:t>Foreword</w:t>
      </w:r>
      <w:bookmarkStart w:id="11" w:name="_ForewordMarker"/>
      <w:bookmarkEnd w:id="7"/>
      <w:bookmarkEnd w:id="8"/>
      <w:bookmarkEnd w:id="10"/>
      <w:bookmarkEnd w:id="11"/>
    </w:p>
    <w:p w:rsidR="008A0495" w:rsidRDefault="008A0495" w:rsidP="00417931">
      <w:pPr>
        <w:pStyle w:val="BodyText"/>
      </w:pPr>
      <w:r>
        <w:t>The Medicare Benefits Schedule (MBS) represents a large and rapidly growing component of Australian Government spending</w:t>
      </w:r>
      <w:r w:rsidR="009922E9">
        <w:t>.</w:t>
      </w:r>
    </w:p>
    <w:p w:rsidR="00E714C9" w:rsidRPr="00227D7D" w:rsidRDefault="00C10E3A" w:rsidP="00417931">
      <w:pPr>
        <w:pStyle w:val="BodyText"/>
      </w:pPr>
      <w:r w:rsidRPr="00F248B4">
        <w:t>T</w:t>
      </w:r>
      <w:r w:rsidR="00E714C9" w:rsidRPr="00F248B4">
        <w:t xml:space="preserve">his report </w:t>
      </w:r>
      <w:r w:rsidR="008A0495">
        <w:t>examines</w:t>
      </w:r>
      <w:r w:rsidR="00E714C9" w:rsidRPr="00F248B4">
        <w:t xml:space="preserve"> the</w:t>
      </w:r>
      <w:r w:rsidR="00E714C9" w:rsidRPr="00227D7D">
        <w:t xml:space="preserve"> </w:t>
      </w:r>
      <w:r w:rsidR="00E10F1D">
        <w:t xml:space="preserve">main factors contributing to the growth in </w:t>
      </w:r>
      <w:r w:rsidR="00BA1AE3">
        <w:t>MBS</w:t>
      </w:r>
      <w:r w:rsidR="00E10F1D">
        <w:t xml:space="preserve"> spending</w:t>
      </w:r>
      <w:r w:rsidR="00BA1AE3" w:rsidRPr="00227D7D">
        <w:t xml:space="preserve"> </w:t>
      </w:r>
      <w:r w:rsidR="008A0495">
        <w:t>over the past two decades</w:t>
      </w:r>
      <w:r w:rsidR="00E10F1D">
        <w:t>, including the impact of Government policy changes.  It also</w:t>
      </w:r>
      <w:r w:rsidR="00EE2083" w:rsidRPr="00227D7D">
        <w:t xml:space="preserve"> </w:t>
      </w:r>
      <w:r w:rsidR="008A0495">
        <w:t xml:space="preserve">provides </w:t>
      </w:r>
      <w:r w:rsidR="00EE2083" w:rsidRPr="00227D7D">
        <w:t>project</w:t>
      </w:r>
      <w:r w:rsidR="008A0495">
        <w:t>ions of MBS spending over the next decade based on current policy settings.</w:t>
      </w:r>
    </w:p>
    <w:p w:rsidR="00E714C9" w:rsidRPr="00D547B3" w:rsidRDefault="00AA5161" w:rsidP="00417931">
      <w:pPr>
        <w:pStyle w:val="BodyText"/>
      </w:pPr>
      <w:r>
        <w:t xml:space="preserve">The report </w:t>
      </w:r>
      <w:r w:rsidR="00E10F1D">
        <w:t>provides an objective analysis of MBS spending trends.  It makes no judgements as to the appropriateness of the growth in MBS spending</w:t>
      </w:r>
      <w:r w:rsidR="00467249">
        <w:t>,</w:t>
      </w:r>
      <w:r w:rsidR="00E10F1D">
        <w:t xml:space="preserve"> nor its effectiveness </w:t>
      </w:r>
      <w:r w:rsidR="00467249">
        <w:t>in addressing</w:t>
      </w:r>
      <w:r w:rsidR="00E10F1D">
        <w:t xml:space="preserve"> </w:t>
      </w:r>
      <w:r w:rsidR="00E10F1D" w:rsidRPr="00D547B3">
        <w:t>Australia’s health outcomes</w:t>
      </w:r>
      <w:r w:rsidR="006A0EC8" w:rsidRPr="00D547B3">
        <w:t>.</w:t>
      </w:r>
    </w:p>
    <w:p w:rsidR="00E714C9" w:rsidRPr="00227D7D" w:rsidRDefault="00E714C9" w:rsidP="00417931">
      <w:pPr>
        <w:pStyle w:val="BodyText"/>
      </w:pPr>
      <w:r w:rsidRPr="00D547B3">
        <w:t xml:space="preserve">The </w:t>
      </w:r>
      <w:r w:rsidR="00032D4E" w:rsidRPr="00D547B3">
        <w:t xml:space="preserve">historical </w:t>
      </w:r>
      <w:r w:rsidRPr="00D547B3">
        <w:t xml:space="preserve">data underlying </w:t>
      </w:r>
      <w:r w:rsidR="00E10F1D" w:rsidRPr="00D547B3">
        <w:t xml:space="preserve">the </w:t>
      </w:r>
      <w:r w:rsidR="00237875" w:rsidRPr="00D547B3">
        <w:t>analysis in this</w:t>
      </w:r>
      <w:r w:rsidRPr="00D547B3">
        <w:t xml:space="preserve"> report </w:t>
      </w:r>
      <w:r w:rsidR="00422681" w:rsidRPr="00D547B3">
        <w:t>are sourced from</w:t>
      </w:r>
      <w:r w:rsidRPr="00D547B3">
        <w:t xml:space="preserve"> the Department of Human Services website.  </w:t>
      </w:r>
      <w:r w:rsidR="00B7604A" w:rsidRPr="00D547B3">
        <w:t xml:space="preserve">For the purposes of the analysis, the large </w:t>
      </w:r>
      <w:r w:rsidR="006A0EC8" w:rsidRPr="00D547B3">
        <w:t xml:space="preserve">number of services available under the MBS </w:t>
      </w:r>
      <w:r w:rsidR="000B5EEA" w:rsidRPr="00D547B3">
        <w:t xml:space="preserve">has </w:t>
      </w:r>
      <w:r w:rsidR="00B7604A" w:rsidRPr="00D547B3">
        <w:t xml:space="preserve">been </w:t>
      </w:r>
      <w:r w:rsidR="000B5EEA" w:rsidRPr="00D547B3">
        <w:t>consolidated into a smaller number of broad service categories.</w:t>
      </w:r>
      <w:r w:rsidR="00422681" w:rsidRPr="00D547B3">
        <w:t xml:space="preserve">  The analysis, including projections, based on this consolidated data is</w:t>
      </w:r>
      <w:r w:rsidR="00D16E82" w:rsidRPr="00D547B3">
        <w:t xml:space="preserve"> available on the PBO website.</w:t>
      </w:r>
    </w:p>
    <w:p w:rsidR="00E714C9" w:rsidRDefault="00E714C9" w:rsidP="00417931">
      <w:pPr>
        <w:pStyle w:val="BodyText"/>
      </w:pPr>
      <w:r w:rsidRPr="00227D7D">
        <w:t>I would like to thank the PBO staff involved in the preparation of this report</w:t>
      </w:r>
      <w:r w:rsidR="000B5EEA">
        <w:t>:</w:t>
      </w:r>
      <w:r w:rsidRPr="00227D7D">
        <w:t xml:space="preserve"> Tim Pyne, Paul Gardiner, </w:t>
      </w:r>
      <w:r w:rsidR="000913F4" w:rsidRPr="00227D7D">
        <w:t xml:space="preserve">Rebecca McCallum, </w:t>
      </w:r>
      <w:r w:rsidRPr="00227D7D">
        <w:t>Rithy Lim</w:t>
      </w:r>
      <w:r w:rsidR="00237875" w:rsidRPr="00227D7D">
        <w:t>, Cid Mateo</w:t>
      </w:r>
      <w:r w:rsidR="00740355" w:rsidRPr="00227D7D">
        <w:t>,</w:t>
      </w:r>
      <w:r w:rsidR="006A3109" w:rsidRPr="00227D7D">
        <w:t xml:space="preserve"> Thea Walton</w:t>
      </w:r>
      <w:r w:rsidR="000913F4" w:rsidRPr="00227D7D">
        <w:t xml:space="preserve"> and Anupam Sharma</w:t>
      </w:r>
      <w:r w:rsidRPr="00227D7D">
        <w:t>.  The report was prepared for publication by Louise Milligan and Helen Moorhouse.</w:t>
      </w:r>
    </w:p>
    <w:p w:rsidR="000B5EEA" w:rsidRDefault="00BA1AE3" w:rsidP="00417931">
      <w:pPr>
        <w:pStyle w:val="BodyText"/>
      </w:pPr>
      <w:r w:rsidRPr="00D64B02">
        <w:t>I also wish to thank the external referees who provided helpful comments and suggestions on the report, namely</w:t>
      </w:r>
      <w:r w:rsidR="000B5EEA">
        <w:t>:</w:t>
      </w:r>
      <w:r w:rsidRPr="00D64B02">
        <w:t xml:space="preserve"> the Grattan Institute; </w:t>
      </w:r>
      <w:r w:rsidRPr="00296721">
        <w:t xml:space="preserve">Dr Ian McRae, </w:t>
      </w:r>
      <w:r w:rsidR="009C0811" w:rsidRPr="00296721">
        <w:t xml:space="preserve">Australian Primary Health Care Institute, </w:t>
      </w:r>
      <w:r w:rsidR="009C0811" w:rsidRPr="00F248B4">
        <w:t xml:space="preserve">Australian National University; Professor Andrew </w:t>
      </w:r>
      <w:proofErr w:type="spellStart"/>
      <w:r w:rsidR="009C0811" w:rsidRPr="00F248B4">
        <w:t>Podger</w:t>
      </w:r>
      <w:proofErr w:type="spellEnd"/>
      <w:r w:rsidR="009C0811" w:rsidRPr="00F248B4">
        <w:t xml:space="preserve">, Professor of Public Policy, Australian National University; </w:t>
      </w:r>
      <w:r w:rsidR="00881714">
        <w:t xml:space="preserve">Adjunct Associate </w:t>
      </w:r>
      <w:r w:rsidR="009C0811" w:rsidRPr="00F248B4">
        <w:t xml:space="preserve">Professor John Goss, </w:t>
      </w:r>
      <w:r w:rsidR="00881714">
        <w:t>Faculty of</w:t>
      </w:r>
      <w:r w:rsidR="009C0811" w:rsidRPr="00F248B4">
        <w:t xml:space="preserve"> Health, University of Canberra; and the </w:t>
      </w:r>
      <w:r w:rsidR="009C0811" w:rsidRPr="00816850">
        <w:t>Commonwealth Department of Health</w:t>
      </w:r>
      <w:r w:rsidR="009C0811" w:rsidRPr="00D64B02">
        <w:t>.</w:t>
      </w:r>
    </w:p>
    <w:p w:rsidR="00BA1AE3" w:rsidRDefault="00BA1AE3" w:rsidP="00417931">
      <w:pPr>
        <w:pStyle w:val="BodyText"/>
      </w:pPr>
      <w:r w:rsidRPr="00296721">
        <w:t>The assistance of external reviewers does not imply any responsibility on their part for the content of the final report, which rests solely with the PBO.</w:t>
      </w:r>
    </w:p>
    <w:p w:rsidR="00E714C9" w:rsidRPr="00227D7D" w:rsidRDefault="00E714C9" w:rsidP="007955EF">
      <w:pPr>
        <w:spacing w:before="960"/>
      </w:pPr>
      <w:r w:rsidRPr="00227D7D">
        <w:t>Phil Bowen PSM FCPA</w:t>
      </w:r>
    </w:p>
    <w:p w:rsidR="00E714C9" w:rsidRPr="00227D7D" w:rsidRDefault="00E714C9" w:rsidP="007955EF">
      <w:pPr>
        <w:spacing w:after="114"/>
      </w:pPr>
      <w:r w:rsidRPr="00227D7D">
        <w:t>Parliamentary Budget Officer</w:t>
      </w:r>
    </w:p>
    <w:p w:rsidR="00D216AD" w:rsidRDefault="00AF4AB9" w:rsidP="00584123">
      <w:pPr>
        <w:tabs>
          <w:tab w:val="left" w:pos="4804"/>
        </w:tabs>
        <w:sectPr w:rsidR="00D216AD" w:rsidSect="00985CB6">
          <w:pgSz w:w="11906" w:h="16838" w:code="9"/>
          <w:pgMar w:top="1361" w:right="1797" w:bottom="1474" w:left="1797" w:header="284" w:footer="454" w:gutter="0"/>
          <w:pgNumType w:fmt="lowerRoman"/>
          <w:cols w:space="708"/>
          <w:docGrid w:linePitch="360"/>
        </w:sectPr>
      </w:pPr>
      <w:sdt>
        <w:sdtPr>
          <w:alias w:val="Date"/>
          <w:tag w:val="Date"/>
          <w:id w:val="-226846581"/>
          <w:placeholder>
            <w:docPart w:val="7628A7B35E7643CD834E0FEFE10BD7CD"/>
          </w:placeholder>
          <w:date w:fullDate="2015-11-25T00:00:00Z">
            <w:dateFormat w:val="d MMMM yyyy"/>
            <w:lid w:val="en-AU"/>
            <w:storeMappedDataAs w:val="dateTime"/>
            <w:calendar w:val="gregorian"/>
          </w:date>
        </w:sdtPr>
        <w:sdtEndPr/>
        <w:sdtContent>
          <w:r w:rsidR="00B32DD9">
            <w:t>25 November 2015</w:t>
          </w:r>
        </w:sdtContent>
      </w:sdt>
      <w:bookmarkStart w:id="12" w:name="_Toc436050775"/>
    </w:p>
    <w:p w:rsidR="00A40BE9" w:rsidRPr="00A40BE9" w:rsidRDefault="00826CC3" w:rsidP="00A40BE9">
      <w:pPr>
        <w:pStyle w:val="Heading1NoNumbering"/>
      </w:pPr>
      <w:bookmarkStart w:id="13" w:name="_Toc436205147"/>
      <w:bookmarkStart w:id="14" w:name="_Toc436208544"/>
      <w:r w:rsidRPr="00227D7D">
        <w:lastRenderedPageBreak/>
        <w:t>Overview</w:t>
      </w:r>
      <w:bookmarkStart w:id="15" w:name="_OverviewMarker"/>
      <w:bookmarkEnd w:id="12"/>
      <w:bookmarkEnd w:id="13"/>
      <w:bookmarkEnd w:id="14"/>
      <w:bookmarkEnd w:id="15"/>
    </w:p>
    <w:p w:rsidR="00E77A4E" w:rsidRDefault="00E77A4E" w:rsidP="00417931">
      <w:pPr>
        <w:pStyle w:val="BodyText"/>
      </w:pPr>
      <w:r w:rsidRPr="00A41124">
        <w:t xml:space="preserve">The Medicare Benefits Schedule (MBS) provides universal access to government subsidised health services.  </w:t>
      </w:r>
      <w:r w:rsidR="00531B00">
        <w:t>It</w:t>
      </w:r>
      <w:r w:rsidRPr="00A41124">
        <w:t xml:space="preserve"> </w:t>
      </w:r>
      <w:r>
        <w:t xml:space="preserve">accounts for almost one third of </w:t>
      </w:r>
      <w:r w:rsidR="00860CD4">
        <w:t xml:space="preserve">Australian Government </w:t>
      </w:r>
      <w:r>
        <w:t>health spending and around 5</w:t>
      </w:r>
      <w:r w:rsidR="00CF3FB1">
        <w:t> </w:t>
      </w:r>
      <w:r>
        <w:t xml:space="preserve">per cent of total </w:t>
      </w:r>
      <w:r w:rsidR="00860CD4">
        <w:t>expenditure</w:t>
      </w:r>
      <w:r w:rsidR="00715A47">
        <w:t xml:space="preserve"> </w:t>
      </w:r>
      <w:r w:rsidR="00531B00">
        <w:t>by the Australian Government</w:t>
      </w:r>
      <w:r w:rsidR="00701DF4">
        <w:t xml:space="preserve"> </w:t>
      </w:r>
      <w:r>
        <w:t>($20.2 billion in 2014</w:t>
      </w:r>
      <w:r w:rsidR="00691F5F">
        <w:t>–</w:t>
      </w:r>
      <w:r>
        <w:t>15).</w:t>
      </w:r>
    </w:p>
    <w:p w:rsidR="004859CF" w:rsidRDefault="00E77A4E" w:rsidP="00417931">
      <w:pPr>
        <w:pStyle w:val="BodyText"/>
      </w:pPr>
      <w:r w:rsidRPr="000467F6">
        <w:t xml:space="preserve">MBS spending </w:t>
      </w:r>
      <w:r w:rsidR="00C244CA">
        <w:t>per person</w:t>
      </w:r>
      <w:r w:rsidRPr="000467F6">
        <w:t xml:space="preserve"> </w:t>
      </w:r>
      <w:r>
        <w:t xml:space="preserve">has grown </w:t>
      </w:r>
      <w:r w:rsidRPr="000467F6">
        <w:t xml:space="preserve">in real terms by </w:t>
      </w:r>
      <w:r>
        <w:t xml:space="preserve">more than </w:t>
      </w:r>
      <w:r w:rsidRPr="0082617C">
        <w:t>60 per cent</w:t>
      </w:r>
      <w:r>
        <w:t>, or 2.3 per cent annually, over</w:t>
      </w:r>
      <w:r w:rsidR="00CF3FB1">
        <w:t xml:space="preserve"> the past two decades</w:t>
      </w:r>
      <w:r w:rsidR="00531B00">
        <w:t xml:space="preserve">, significantly outstripping the real growth in total government spending </w:t>
      </w:r>
      <w:r w:rsidR="00C244CA">
        <w:t>per person</w:t>
      </w:r>
      <w:r w:rsidR="004E43D6">
        <w:t xml:space="preserve"> (1.8 per cent annually)</w:t>
      </w:r>
      <w:r w:rsidR="00531B00">
        <w:t>.</w:t>
      </w:r>
      <w:r w:rsidRPr="000467F6">
        <w:t xml:space="preserve"> </w:t>
      </w:r>
      <w:r>
        <w:t xml:space="preserve"> </w:t>
      </w:r>
      <w:r w:rsidR="00531B00">
        <w:t>More than three quarters of this growth</w:t>
      </w:r>
      <w:r w:rsidR="004E43D6">
        <w:t xml:space="preserve"> </w:t>
      </w:r>
      <w:r w:rsidR="00531B00">
        <w:t>occurred over the past decade, due mainly to major policy changes that broadened the scope of the MBS or increased the benefits payable for existing services</w:t>
      </w:r>
      <w:r w:rsidR="002C119D">
        <w:t xml:space="preserve"> </w:t>
      </w:r>
      <w:r w:rsidR="002C119D" w:rsidRPr="00793D14">
        <w:t>(</w:t>
      </w:r>
      <w:r w:rsidR="00691F5F">
        <w:fldChar w:fldCharType="begin"/>
      </w:r>
      <w:r w:rsidR="00691F5F">
        <w:instrText xml:space="preserve"> REF _Ref436039905 \h </w:instrText>
      </w:r>
      <w:r w:rsidR="00417931">
        <w:instrText xml:space="preserve"> \* MERGEFORMAT </w:instrText>
      </w:r>
      <w:r w:rsidR="00691F5F">
        <w:fldChar w:fldCharType="separate"/>
      </w:r>
      <w:r w:rsidR="00235C48" w:rsidRPr="002A578F">
        <w:t xml:space="preserve">Figure </w:t>
      </w:r>
      <w:r w:rsidR="00235C48">
        <w:rPr>
          <w:noProof/>
        </w:rPr>
        <w:t>1</w:t>
      </w:r>
      <w:r w:rsidR="00691F5F">
        <w:fldChar w:fldCharType="end"/>
      </w:r>
      <w:r w:rsidR="002C119D" w:rsidRPr="00793D14">
        <w:t>)</w:t>
      </w:r>
      <w:r w:rsidR="00531B00">
        <w:t>.</w:t>
      </w:r>
    </w:p>
    <w:p w:rsidR="00E77A4E" w:rsidRDefault="00793D14" w:rsidP="00417931">
      <w:pPr>
        <w:pStyle w:val="BodyText"/>
      </w:pPr>
      <w:r w:rsidRPr="00040F1C">
        <w:t>The remaining growth occurred in those MBS services that were in place before 1993</w:t>
      </w:r>
      <w:r w:rsidR="00AD10B3">
        <w:t>–</w:t>
      </w:r>
      <w:r w:rsidRPr="00040F1C">
        <w:t>94</w:t>
      </w:r>
      <w:r w:rsidR="00B74A3D" w:rsidRPr="00040F1C">
        <w:t xml:space="preserve">, in particular due to increased utilisation </w:t>
      </w:r>
      <w:r w:rsidRPr="00040F1C">
        <w:t>of existing pathology, diagnostic and surgical services.</w:t>
      </w:r>
    </w:p>
    <w:p w:rsidR="00E77A4E" w:rsidRDefault="00E77A4E" w:rsidP="00E77A4E">
      <w:pPr>
        <w:pStyle w:val="Caption"/>
      </w:pPr>
      <w:bookmarkStart w:id="16" w:name="_Ref436039905"/>
      <w:bookmarkStart w:id="17" w:name="_Toc436050991"/>
      <w:bookmarkStart w:id="18" w:name="_Toc436205213"/>
      <w:r w:rsidRPr="002A578F">
        <w:t xml:space="preserve">Figure </w:t>
      </w:r>
      <w:fldSimple w:instr=" SEQ Figure \* ARABIC \s 1 ">
        <w:r w:rsidR="00235C48">
          <w:rPr>
            <w:noProof/>
          </w:rPr>
          <w:t>1</w:t>
        </w:r>
      </w:fldSimple>
      <w:bookmarkEnd w:id="16"/>
      <w:r w:rsidRPr="00056916">
        <w:t xml:space="preserve">: </w:t>
      </w:r>
      <w:r w:rsidRPr="00430BD4">
        <w:t xml:space="preserve">Cumulative real growth in spending </w:t>
      </w:r>
      <w:r w:rsidR="00C244CA">
        <w:t>per person</w:t>
      </w:r>
      <w:r w:rsidRPr="00430BD4">
        <w:t xml:space="preserve"> on the </w:t>
      </w:r>
      <w:r>
        <w:t>Medicare Benefits Schedule</w:t>
      </w:r>
      <w:bookmarkEnd w:id="17"/>
      <w:bookmarkEnd w:id="18"/>
    </w:p>
    <w:tbl>
      <w:tblPr>
        <w:tblStyle w:val="TableGrid"/>
        <w:tblW w:w="6730" w:type="pct"/>
        <w:tblInd w:w="-1418" w:type="dxa"/>
        <w:tblLook w:val="0680" w:firstRow="0" w:lastRow="0" w:firstColumn="1" w:lastColumn="0" w:noHBand="1" w:noVBand="1"/>
      </w:tblPr>
      <w:tblGrid>
        <w:gridCol w:w="2086"/>
        <w:gridCol w:w="415"/>
        <w:gridCol w:w="415"/>
        <w:gridCol w:w="415"/>
        <w:gridCol w:w="414"/>
        <w:gridCol w:w="414"/>
        <w:gridCol w:w="414"/>
        <w:gridCol w:w="414"/>
        <w:gridCol w:w="414"/>
        <w:gridCol w:w="414"/>
        <w:gridCol w:w="414"/>
        <w:gridCol w:w="414"/>
        <w:gridCol w:w="414"/>
        <w:gridCol w:w="414"/>
        <w:gridCol w:w="414"/>
        <w:gridCol w:w="414"/>
        <w:gridCol w:w="414"/>
        <w:gridCol w:w="414"/>
        <w:gridCol w:w="414"/>
        <w:gridCol w:w="414"/>
        <w:gridCol w:w="414"/>
        <w:gridCol w:w="414"/>
        <w:gridCol w:w="405"/>
      </w:tblGrid>
      <w:tr w:rsidR="00665272" w:rsidRPr="00665272" w:rsidTr="00665272">
        <w:trPr>
          <w:cantSplit/>
        </w:trPr>
        <w:tc>
          <w:tcPr>
            <w:cnfStyle w:val="001000000000" w:firstRow="0" w:lastRow="0" w:firstColumn="1" w:lastColumn="0" w:oddVBand="0" w:evenVBand="0" w:oddHBand="0" w:evenHBand="0" w:firstRowFirstColumn="0" w:firstRowLastColumn="0" w:lastRowFirstColumn="0" w:lastRowLastColumn="0"/>
            <w:tcW w:w="931" w:type="pct"/>
            <w:vAlign w:val="bottom"/>
          </w:tcPr>
          <w:p w:rsidR="009D2465" w:rsidRPr="00665272" w:rsidRDefault="00692995" w:rsidP="009D2465">
            <w:pPr>
              <w:spacing w:before="0" w:after="0" w:line="240" w:lineRule="auto"/>
              <w:ind w:left="0" w:right="0"/>
              <w:rPr>
                <w:rFonts w:ascii="Calibri" w:hAnsi="Calibri"/>
                <w:b/>
                <w:bCs/>
                <w:color w:val="FFFFFF" w:themeColor="background1"/>
                <w:sz w:val="10"/>
                <w:szCs w:val="10"/>
              </w:rPr>
            </w:pPr>
            <w:r w:rsidRPr="00665272">
              <w:rPr>
                <w:noProof/>
                <w:color w:val="FFFFFF" w:themeColor="background1"/>
              </w:rPr>
              <w:drawing>
                <wp:anchor distT="0" distB="0" distL="114300" distR="114300" simplePos="0" relativeHeight="251662336" behindDoc="0" locked="0" layoutInCell="1" allowOverlap="1" wp14:anchorId="031532D7" wp14:editId="5F4C0BFD">
                  <wp:simplePos x="0" y="0"/>
                  <wp:positionH relativeFrom="column">
                    <wp:posOffset>916305</wp:posOffset>
                  </wp:positionH>
                  <wp:positionV relativeFrom="paragraph">
                    <wp:posOffset>-5080</wp:posOffset>
                  </wp:positionV>
                  <wp:extent cx="5279390" cy="5053965"/>
                  <wp:effectExtent l="0" t="0" r="0" b="0"/>
                  <wp:wrapNone/>
                  <wp:docPr id="43" name="Picture 43"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9390" cy="5053965"/>
                          </a:xfrm>
                          <a:prstGeom prst="rect">
                            <a:avLst/>
                          </a:prstGeom>
                          <a:noFill/>
                        </pic:spPr>
                      </pic:pic>
                    </a:graphicData>
                  </a:graphic>
                  <wp14:sizeRelH relativeFrom="page">
                    <wp14:pctWidth>0</wp14:pctWidth>
                  </wp14:sizeRelH>
                  <wp14:sizeRelV relativeFrom="page">
                    <wp14:pctHeight>0</wp14:pctHeight>
                  </wp14:sizeRelV>
                </wp:anchor>
              </w:drawing>
            </w:r>
            <w:r w:rsidR="009D2465" w:rsidRPr="00665272">
              <w:rPr>
                <w:rFonts w:ascii="Calibri" w:hAnsi="Calibri"/>
                <w:b/>
                <w:bCs/>
                <w:color w:val="FFFFFF" w:themeColor="background1"/>
                <w:sz w:val="10"/>
                <w:szCs w:val="10"/>
              </w:rPr>
              <w:t>Medicare Benefits Schedule major policy</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1993-94</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1994-95</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1995-96</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1996-97</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1997-98</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1998-99</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1999-00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2000-01</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2001-02</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2002-03</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2003-04</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2004-05</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2005-06</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2006-07</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2007-08</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2008-09</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2009-10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2010-11</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2011-12</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2012-13</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2013-14</w:t>
            </w:r>
          </w:p>
        </w:tc>
        <w:tc>
          <w:tcPr>
            <w:tcW w:w="181"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2014-15</w:t>
            </w:r>
          </w:p>
        </w:tc>
      </w:tr>
      <w:tr w:rsidR="00665272" w:rsidRPr="00665272" w:rsidTr="00665272">
        <w:trPr>
          <w:cantSplit/>
        </w:trPr>
        <w:tc>
          <w:tcPr>
            <w:cnfStyle w:val="001000000000" w:firstRow="0" w:lastRow="0" w:firstColumn="1" w:lastColumn="0" w:oddVBand="0" w:evenVBand="0" w:oddHBand="0" w:evenHBand="0" w:firstRowFirstColumn="0" w:firstRowLastColumn="0" w:lastRowFirstColumn="0" w:lastRowLastColumn="0"/>
            <w:tcW w:w="931" w:type="pct"/>
            <w:vAlign w:val="bottom"/>
          </w:tcPr>
          <w:p w:rsidR="009D2465" w:rsidRPr="00665272" w:rsidRDefault="009D2465" w:rsidP="009D2465">
            <w:pPr>
              <w:spacing w:before="0" w:after="0" w:line="240" w:lineRule="auto"/>
              <w:ind w:left="0" w:right="0"/>
              <w:rPr>
                <w:rFonts w:ascii="Calibri" w:hAnsi="Calibri"/>
                <w:color w:val="FFFFFF" w:themeColor="background1"/>
                <w:sz w:val="10"/>
                <w:szCs w:val="10"/>
              </w:rPr>
            </w:pPr>
            <w:r w:rsidRPr="00665272">
              <w:rPr>
                <w:rFonts w:ascii="Calibri" w:hAnsi="Calibri"/>
                <w:color w:val="FFFFFF" w:themeColor="background1"/>
                <w:sz w:val="10"/>
                <w:szCs w:val="10"/>
              </w:rPr>
              <w:t>MBS items as at 1993-94</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1.7</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2.2</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0.2</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0.8</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2.7</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2.8</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0.5</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2.5</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1.8</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2.4</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4.5</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4.8</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4.8</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5.4</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5.0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5.7</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6.0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9.2</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11.6</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12.9</w:t>
            </w:r>
          </w:p>
        </w:tc>
        <w:tc>
          <w:tcPr>
            <w:tcW w:w="181"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14.0</w:t>
            </w:r>
          </w:p>
        </w:tc>
      </w:tr>
      <w:tr w:rsidR="00665272" w:rsidRPr="00665272" w:rsidTr="00665272">
        <w:trPr>
          <w:cantSplit/>
        </w:trPr>
        <w:tc>
          <w:tcPr>
            <w:cnfStyle w:val="001000000000" w:firstRow="0" w:lastRow="0" w:firstColumn="1" w:lastColumn="0" w:oddVBand="0" w:evenVBand="0" w:oddHBand="0" w:evenHBand="0" w:firstRowFirstColumn="0" w:firstRowLastColumn="0" w:lastRowFirstColumn="0" w:lastRowLastColumn="0"/>
            <w:tcW w:w="931" w:type="pct"/>
            <w:vAlign w:val="bottom"/>
          </w:tcPr>
          <w:p w:rsidR="009D2465" w:rsidRPr="00665272" w:rsidRDefault="009D2465" w:rsidP="009D2465">
            <w:pPr>
              <w:spacing w:before="0" w:after="0" w:line="240" w:lineRule="auto"/>
              <w:ind w:left="0" w:right="0"/>
              <w:rPr>
                <w:rFonts w:ascii="Calibri" w:hAnsi="Calibri"/>
                <w:color w:val="FFFFFF" w:themeColor="background1"/>
                <w:sz w:val="10"/>
                <w:szCs w:val="10"/>
              </w:rPr>
            </w:pPr>
            <w:r w:rsidRPr="00665272">
              <w:rPr>
                <w:rFonts w:ascii="Calibri" w:hAnsi="Calibri"/>
                <w:color w:val="FFFFFF" w:themeColor="background1"/>
                <w:sz w:val="10"/>
                <w:szCs w:val="10"/>
              </w:rPr>
              <w:t>Reform of diagnostic imaging including new items for CT scans (1996-97)</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1.5</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2.7</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3.0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3.1</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3.3</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3.4</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3.5</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3.7</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4.2</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4.5</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4.7</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4.9</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5.1</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5.3</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5.3</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6.0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6.2</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6.4</w:t>
            </w:r>
          </w:p>
        </w:tc>
        <w:tc>
          <w:tcPr>
            <w:tcW w:w="181"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6.6</w:t>
            </w:r>
          </w:p>
        </w:tc>
      </w:tr>
      <w:tr w:rsidR="00665272" w:rsidRPr="00665272" w:rsidTr="00665272">
        <w:trPr>
          <w:cantSplit/>
        </w:trPr>
        <w:tc>
          <w:tcPr>
            <w:cnfStyle w:val="001000000000" w:firstRow="0" w:lastRow="0" w:firstColumn="1" w:lastColumn="0" w:oddVBand="0" w:evenVBand="0" w:oddHBand="0" w:evenHBand="0" w:firstRowFirstColumn="0" w:firstRowLastColumn="0" w:lastRowFirstColumn="0" w:lastRowLastColumn="0"/>
            <w:tcW w:w="931" w:type="pct"/>
            <w:vAlign w:val="bottom"/>
          </w:tcPr>
          <w:p w:rsidR="009D2465" w:rsidRPr="00665272" w:rsidRDefault="009D2465" w:rsidP="009D2465">
            <w:pPr>
              <w:spacing w:before="0" w:after="0" w:line="240" w:lineRule="auto"/>
              <w:ind w:left="0" w:right="0"/>
              <w:rPr>
                <w:rFonts w:ascii="Calibri" w:hAnsi="Calibri"/>
                <w:color w:val="FFFFFF" w:themeColor="background1"/>
                <w:sz w:val="10"/>
                <w:szCs w:val="10"/>
              </w:rPr>
            </w:pPr>
            <w:r w:rsidRPr="00665272">
              <w:rPr>
                <w:rFonts w:ascii="Calibri" w:hAnsi="Calibri"/>
                <w:color w:val="FFFFFF" w:themeColor="background1"/>
                <w:sz w:val="10"/>
                <w:szCs w:val="10"/>
              </w:rPr>
              <w:t>Introduction of Magnetic Resonance Imaging (1998-99)</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0.7</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1.1</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1.2</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1.3</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1.4</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1.5</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1.3</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1.4</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1.5</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1.6</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1.6</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1.8</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1.9</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2.0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2.1</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2.7</w:t>
            </w:r>
          </w:p>
        </w:tc>
        <w:tc>
          <w:tcPr>
            <w:tcW w:w="181"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3.1</w:t>
            </w:r>
          </w:p>
        </w:tc>
      </w:tr>
      <w:tr w:rsidR="00665272" w:rsidRPr="00665272" w:rsidTr="00665272">
        <w:trPr>
          <w:cantSplit/>
        </w:trPr>
        <w:tc>
          <w:tcPr>
            <w:cnfStyle w:val="001000000000" w:firstRow="0" w:lastRow="0" w:firstColumn="1" w:lastColumn="0" w:oddVBand="0" w:evenVBand="0" w:oddHBand="0" w:evenHBand="0" w:firstRowFirstColumn="0" w:firstRowLastColumn="0" w:lastRowFirstColumn="0" w:lastRowLastColumn="0"/>
            <w:tcW w:w="931" w:type="pct"/>
            <w:vAlign w:val="bottom"/>
          </w:tcPr>
          <w:p w:rsidR="009D2465" w:rsidRPr="00665272" w:rsidRDefault="009D2465" w:rsidP="009D2465">
            <w:pPr>
              <w:spacing w:before="0" w:after="0" w:line="240" w:lineRule="auto"/>
              <w:ind w:left="0" w:right="0"/>
              <w:rPr>
                <w:rFonts w:ascii="Calibri" w:hAnsi="Calibri"/>
                <w:color w:val="FFFFFF" w:themeColor="background1"/>
                <w:sz w:val="10"/>
                <w:szCs w:val="10"/>
              </w:rPr>
            </w:pPr>
            <w:r w:rsidRPr="00665272">
              <w:rPr>
                <w:rFonts w:ascii="Calibri" w:hAnsi="Calibri"/>
                <w:color w:val="FFFFFF" w:themeColor="background1"/>
                <w:sz w:val="10"/>
                <w:szCs w:val="10"/>
              </w:rPr>
              <w:t>Introduction of multidisciplinary care plans (1999-2000)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0.1</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0.5</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0.4</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0.4</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0.8</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1.6</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1.8</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2.3</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2.8</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3.1</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3.6</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4.2</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4.5</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5.0</w:t>
            </w:r>
          </w:p>
        </w:tc>
        <w:tc>
          <w:tcPr>
            <w:tcW w:w="181"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5.6</w:t>
            </w:r>
          </w:p>
        </w:tc>
      </w:tr>
      <w:tr w:rsidR="00665272" w:rsidRPr="00665272" w:rsidTr="00665272">
        <w:trPr>
          <w:cantSplit/>
        </w:trPr>
        <w:tc>
          <w:tcPr>
            <w:cnfStyle w:val="001000000000" w:firstRow="0" w:lastRow="0" w:firstColumn="1" w:lastColumn="0" w:oddVBand="0" w:evenVBand="0" w:oddHBand="0" w:evenHBand="0" w:firstRowFirstColumn="0" w:firstRowLastColumn="0" w:lastRowFirstColumn="0" w:lastRowLastColumn="0"/>
            <w:tcW w:w="931" w:type="pct"/>
            <w:vAlign w:val="bottom"/>
          </w:tcPr>
          <w:p w:rsidR="009D2465" w:rsidRPr="00665272" w:rsidRDefault="009D2465" w:rsidP="009D2465">
            <w:pPr>
              <w:spacing w:before="0" w:after="0" w:line="240" w:lineRule="auto"/>
              <w:ind w:left="0" w:right="0"/>
              <w:rPr>
                <w:rFonts w:ascii="Calibri" w:hAnsi="Calibri"/>
                <w:color w:val="FFFFFF" w:themeColor="background1"/>
                <w:sz w:val="10"/>
                <w:szCs w:val="10"/>
              </w:rPr>
            </w:pPr>
            <w:r w:rsidRPr="00665272">
              <w:rPr>
                <w:rFonts w:ascii="Calibri" w:hAnsi="Calibri"/>
                <w:color w:val="FFFFFF" w:themeColor="background1"/>
                <w:sz w:val="10"/>
                <w:szCs w:val="10"/>
              </w:rPr>
              <w:t>New items for mental health care provided by a GP (2001-02)</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0.1</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0.8</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1.4</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1.7</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1.9</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2.1</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1.7</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1.6</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1.8</w:t>
            </w:r>
          </w:p>
        </w:tc>
        <w:tc>
          <w:tcPr>
            <w:tcW w:w="181"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1.9</w:t>
            </w:r>
          </w:p>
        </w:tc>
      </w:tr>
      <w:tr w:rsidR="00665272" w:rsidRPr="00665272" w:rsidTr="00665272">
        <w:trPr>
          <w:cantSplit/>
        </w:trPr>
        <w:tc>
          <w:tcPr>
            <w:cnfStyle w:val="001000000000" w:firstRow="0" w:lastRow="0" w:firstColumn="1" w:lastColumn="0" w:oddVBand="0" w:evenVBand="0" w:oddHBand="0" w:evenHBand="0" w:firstRowFirstColumn="0" w:firstRowLastColumn="0" w:lastRowFirstColumn="0" w:lastRowLastColumn="0"/>
            <w:tcW w:w="931" w:type="pct"/>
            <w:vAlign w:val="bottom"/>
          </w:tcPr>
          <w:p w:rsidR="009D2465" w:rsidRPr="00665272" w:rsidRDefault="009D2465" w:rsidP="009D2465">
            <w:pPr>
              <w:spacing w:before="0" w:after="0" w:line="240" w:lineRule="auto"/>
              <w:ind w:left="0" w:right="0"/>
              <w:rPr>
                <w:rFonts w:ascii="Calibri" w:hAnsi="Calibri"/>
                <w:color w:val="FFFFFF" w:themeColor="background1"/>
                <w:sz w:val="10"/>
                <w:szCs w:val="10"/>
              </w:rPr>
            </w:pPr>
            <w:r w:rsidRPr="00665272">
              <w:rPr>
                <w:rFonts w:ascii="Calibri" w:hAnsi="Calibri"/>
                <w:color w:val="FFFFFF" w:themeColor="background1"/>
                <w:sz w:val="10"/>
                <w:szCs w:val="10"/>
              </w:rPr>
              <w:t>Extended Medicare Safety Net (2003-04)</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0.3</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2.9</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3.2</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3.1</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3.8</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4.6</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4.5</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3.2</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3.5</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3.5</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3.3</w:t>
            </w:r>
          </w:p>
        </w:tc>
        <w:tc>
          <w:tcPr>
            <w:tcW w:w="181"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3.4</w:t>
            </w:r>
          </w:p>
        </w:tc>
      </w:tr>
      <w:tr w:rsidR="00665272" w:rsidRPr="00665272" w:rsidTr="00665272">
        <w:trPr>
          <w:cantSplit/>
        </w:trPr>
        <w:tc>
          <w:tcPr>
            <w:cnfStyle w:val="001000000000" w:firstRow="0" w:lastRow="0" w:firstColumn="1" w:lastColumn="0" w:oddVBand="0" w:evenVBand="0" w:oddHBand="0" w:evenHBand="0" w:firstRowFirstColumn="0" w:firstRowLastColumn="0" w:lastRowFirstColumn="0" w:lastRowLastColumn="0"/>
            <w:tcW w:w="931" w:type="pct"/>
            <w:vAlign w:val="bottom"/>
          </w:tcPr>
          <w:p w:rsidR="009D2465" w:rsidRPr="00665272" w:rsidRDefault="009D2465" w:rsidP="009D2465">
            <w:pPr>
              <w:spacing w:before="0" w:after="0" w:line="240" w:lineRule="auto"/>
              <w:ind w:left="0" w:right="0"/>
              <w:rPr>
                <w:rFonts w:ascii="Calibri" w:hAnsi="Calibri"/>
                <w:color w:val="FFFFFF" w:themeColor="background1"/>
                <w:sz w:val="10"/>
                <w:szCs w:val="10"/>
              </w:rPr>
            </w:pPr>
            <w:r w:rsidRPr="00665272">
              <w:rPr>
                <w:rFonts w:ascii="Calibri" w:hAnsi="Calibri"/>
                <w:color w:val="FFFFFF" w:themeColor="background1"/>
                <w:sz w:val="10"/>
                <w:szCs w:val="10"/>
              </w:rPr>
              <w:t>Bulk billing incentives (2003-04, 2004-05 and 2009-10)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1.2</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3.9</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4.1</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4.2</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4.4</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4.4</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5.1</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5.3</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5.2</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5.2</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5.3</w:t>
            </w:r>
          </w:p>
        </w:tc>
        <w:tc>
          <w:tcPr>
            <w:tcW w:w="181"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5.4</w:t>
            </w:r>
          </w:p>
        </w:tc>
      </w:tr>
      <w:tr w:rsidR="00665272" w:rsidRPr="00665272" w:rsidTr="00665272">
        <w:trPr>
          <w:cantSplit/>
        </w:trPr>
        <w:tc>
          <w:tcPr>
            <w:cnfStyle w:val="001000000000" w:firstRow="0" w:lastRow="0" w:firstColumn="1" w:lastColumn="0" w:oddVBand="0" w:evenVBand="0" w:oddHBand="0" w:evenHBand="0" w:firstRowFirstColumn="0" w:firstRowLastColumn="0" w:lastRowFirstColumn="0" w:lastRowLastColumn="0"/>
            <w:tcW w:w="931" w:type="pct"/>
            <w:vAlign w:val="bottom"/>
          </w:tcPr>
          <w:p w:rsidR="009D2465" w:rsidRPr="00665272" w:rsidRDefault="009D2465" w:rsidP="009D2465">
            <w:pPr>
              <w:spacing w:before="0" w:after="0" w:line="240" w:lineRule="auto"/>
              <w:ind w:left="0" w:right="0"/>
              <w:rPr>
                <w:rFonts w:ascii="Calibri" w:hAnsi="Calibri"/>
                <w:color w:val="FFFFFF" w:themeColor="background1"/>
                <w:sz w:val="10"/>
                <w:szCs w:val="10"/>
              </w:rPr>
            </w:pPr>
            <w:r w:rsidRPr="00665272">
              <w:rPr>
                <w:rFonts w:ascii="Calibri" w:hAnsi="Calibri"/>
                <w:color w:val="FFFFFF" w:themeColor="background1"/>
                <w:sz w:val="10"/>
                <w:szCs w:val="10"/>
              </w:rPr>
              <w:t>New items and higher rebates for after-hours GP services (2004-05)</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0.9</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2.1</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2.3</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2.6</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2.6</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2.6</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2.9</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3.0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3.2</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3.5</w:t>
            </w:r>
          </w:p>
        </w:tc>
        <w:tc>
          <w:tcPr>
            <w:tcW w:w="181"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3.7</w:t>
            </w:r>
          </w:p>
        </w:tc>
      </w:tr>
      <w:tr w:rsidR="00665272" w:rsidRPr="00665272" w:rsidTr="00665272">
        <w:trPr>
          <w:cantSplit/>
        </w:trPr>
        <w:tc>
          <w:tcPr>
            <w:cnfStyle w:val="001000000000" w:firstRow="0" w:lastRow="0" w:firstColumn="1" w:lastColumn="0" w:oddVBand="0" w:evenVBand="0" w:oddHBand="0" w:evenHBand="0" w:firstRowFirstColumn="0" w:firstRowLastColumn="0" w:lastRowFirstColumn="0" w:lastRowLastColumn="0"/>
            <w:tcW w:w="931" w:type="pct"/>
            <w:vAlign w:val="bottom"/>
          </w:tcPr>
          <w:p w:rsidR="009D2465" w:rsidRPr="00665272" w:rsidRDefault="009D2465" w:rsidP="009D2465">
            <w:pPr>
              <w:spacing w:before="0" w:after="0" w:line="240" w:lineRule="auto"/>
              <w:ind w:left="0" w:right="0"/>
              <w:rPr>
                <w:rFonts w:ascii="Calibri" w:hAnsi="Calibri"/>
                <w:color w:val="FFFFFF" w:themeColor="background1"/>
                <w:sz w:val="10"/>
                <w:szCs w:val="10"/>
              </w:rPr>
            </w:pPr>
            <w:r w:rsidRPr="00665272">
              <w:rPr>
                <w:rFonts w:ascii="Calibri" w:hAnsi="Calibri"/>
                <w:color w:val="FFFFFF" w:themeColor="background1"/>
                <w:sz w:val="10"/>
                <w:szCs w:val="10"/>
              </w:rPr>
              <w:t>GP attendance benefit increased to 100% of the schedule fee (2004-05)</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2.9</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6.5</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6.6</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6.9</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6.8</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7.0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7.1</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7.3</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7.5</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7.7</w:t>
            </w:r>
          </w:p>
        </w:tc>
        <w:tc>
          <w:tcPr>
            <w:tcW w:w="181"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8.0</w:t>
            </w:r>
          </w:p>
        </w:tc>
      </w:tr>
      <w:tr w:rsidR="00665272" w:rsidRPr="00665272" w:rsidTr="00665272">
        <w:trPr>
          <w:cantSplit/>
        </w:trPr>
        <w:tc>
          <w:tcPr>
            <w:cnfStyle w:val="001000000000" w:firstRow="0" w:lastRow="0" w:firstColumn="1" w:lastColumn="0" w:oddVBand="0" w:evenVBand="0" w:oddHBand="0" w:evenHBand="0" w:firstRowFirstColumn="0" w:firstRowLastColumn="0" w:lastRowFirstColumn="0" w:lastRowLastColumn="0"/>
            <w:tcW w:w="931" w:type="pct"/>
            <w:vAlign w:val="bottom"/>
          </w:tcPr>
          <w:p w:rsidR="009D2465" w:rsidRPr="00665272" w:rsidRDefault="009D2465" w:rsidP="009D2465">
            <w:pPr>
              <w:spacing w:before="0" w:after="0" w:line="240" w:lineRule="auto"/>
              <w:ind w:left="0" w:right="0"/>
              <w:rPr>
                <w:rFonts w:ascii="Calibri" w:hAnsi="Calibri"/>
                <w:color w:val="FFFFFF" w:themeColor="background1"/>
                <w:sz w:val="10"/>
                <w:szCs w:val="10"/>
              </w:rPr>
            </w:pPr>
            <w:r w:rsidRPr="00665272">
              <w:rPr>
                <w:rFonts w:ascii="Calibri" w:hAnsi="Calibri"/>
                <w:color w:val="FFFFFF" w:themeColor="background1"/>
                <w:sz w:val="10"/>
                <w:szCs w:val="10"/>
              </w:rPr>
              <w:t>New items for some other medical professionals (2004-05)</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0.1</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0.3</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0.5</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0.7</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0.9</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1.2</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1.4</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1.7</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1.9</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2.1</w:t>
            </w:r>
          </w:p>
        </w:tc>
        <w:tc>
          <w:tcPr>
            <w:tcW w:w="181"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2.3</w:t>
            </w:r>
          </w:p>
        </w:tc>
      </w:tr>
      <w:tr w:rsidR="00665272" w:rsidRPr="00665272" w:rsidTr="00665272">
        <w:trPr>
          <w:cantSplit/>
        </w:trPr>
        <w:tc>
          <w:tcPr>
            <w:cnfStyle w:val="001000000000" w:firstRow="0" w:lastRow="0" w:firstColumn="1" w:lastColumn="0" w:oddVBand="0" w:evenVBand="0" w:oddHBand="0" w:evenHBand="0" w:firstRowFirstColumn="0" w:firstRowLastColumn="0" w:lastRowFirstColumn="0" w:lastRowLastColumn="0"/>
            <w:tcW w:w="931" w:type="pct"/>
            <w:vAlign w:val="bottom"/>
          </w:tcPr>
          <w:p w:rsidR="009D2465" w:rsidRPr="00665272" w:rsidRDefault="009D2465" w:rsidP="009D2465">
            <w:pPr>
              <w:spacing w:before="0" w:after="0" w:line="240" w:lineRule="auto"/>
              <w:ind w:left="0" w:right="0"/>
              <w:rPr>
                <w:rFonts w:ascii="Calibri" w:hAnsi="Calibri"/>
                <w:color w:val="FFFFFF" w:themeColor="background1"/>
                <w:sz w:val="10"/>
                <w:szCs w:val="10"/>
              </w:rPr>
            </w:pPr>
            <w:r w:rsidRPr="00665272">
              <w:rPr>
                <w:rFonts w:ascii="Calibri" w:hAnsi="Calibri"/>
                <w:color w:val="FFFFFF" w:themeColor="background1"/>
                <w:sz w:val="10"/>
                <w:szCs w:val="10"/>
              </w:rPr>
              <w:t>Introduction of items for allied mental health practitioners (2006-07)</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0.7</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2.1</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2.7</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3.1</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3.5</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3.5</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3.8</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3.8</w:t>
            </w:r>
          </w:p>
        </w:tc>
        <w:tc>
          <w:tcPr>
            <w:tcW w:w="181"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4.0</w:t>
            </w:r>
          </w:p>
        </w:tc>
      </w:tr>
      <w:tr w:rsidR="00665272" w:rsidRPr="00665272" w:rsidTr="00665272">
        <w:trPr>
          <w:cantSplit/>
        </w:trPr>
        <w:tc>
          <w:tcPr>
            <w:cnfStyle w:val="001000000000" w:firstRow="0" w:lastRow="0" w:firstColumn="1" w:lastColumn="0" w:oddVBand="0" w:evenVBand="0" w:oddHBand="0" w:evenHBand="0" w:firstRowFirstColumn="0" w:firstRowLastColumn="0" w:lastRowFirstColumn="0" w:lastRowLastColumn="0"/>
            <w:tcW w:w="931" w:type="pct"/>
            <w:vAlign w:val="bottom"/>
          </w:tcPr>
          <w:p w:rsidR="009D2465" w:rsidRPr="00665272" w:rsidRDefault="009D2465" w:rsidP="009D2465">
            <w:pPr>
              <w:spacing w:before="0" w:after="0" w:line="240" w:lineRule="auto"/>
              <w:ind w:left="0" w:right="0"/>
              <w:rPr>
                <w:rFonts w:ascii="Calibri" w:hAnsi="Calibri"/>
                <w:color w:val="FFFFFF" w:themeColor="background1"/>
                <w:sz w:val="10"/>
                <w:szCs w:val="10"/>
              </w:rPr>
            </w:pPr>
            <w:r w:rsidRPr="00665272">
              <w:rPr>
                <w:rFonts w:ascii="Calibri" w:hAnsi="Calibri"/>
                <w:color w:val="FFFFFF" w:themeColor="background1"/>
                <w:sz w:val="10"/>
                <w:szCs w:val="10"/>
              </w:rPr>
              <w:t>New items for annual health assessments for patients with an intellectual disability (2007-08)</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0.5</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1.2</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1.3</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1.5</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1.6</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1.7</w:t>
            </w:r>
          </w:p>
        </w:tc>
        <w:tc>
          <w:tcPr>
            <w:tcW w:w="181"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1.9</w:t>
            </w:r>
          </w:p>
        </w:tc>
      </w:tr>
      <w:tr w:rsidR="00665272" w:rsidRPr="00665272" w:rsidTr="00665272">
        <w:trPr>
          <w:cantSplit/>
        </w:trPr>
        <w:tc>
          <w:tcPr>
            <w:cnfStyle w:val="001000000000" w:firstRow="0" w:lastRow="0" w:firstColumn="1" w:lastColumn="0" w:oddVBand="0" w:evenVBand="0" w:oddHBand="0" w:evenHBand="0" w:firstRowFirstColumn="0" w:firstRowLastColumn="0" w:lastRowFirstColumn="0" w:lastRowLastColumn="0"/>
            <w:tcW w:w="931" w:type="pct"/>
            <w:vAlign w:val="bottom"/>
          </w:tcPr>
          <w:p w:rsidR="009D2465" w:rsidRPr="00665272" w:rsidRDefault="009D2465" w:rsidP="009D2465">
            <w:pPr>
              <w:spacing w:before="0" w:after="0" w:line="240" w:lineRule="auto"/>
              <w:ind w:left="0" w:right="0"/>
              <w:rPr>
                <w:rFonts w:ascii="Calibri" w:hAnsi="Calibri"/>
                <w:color w:val="FFFFFF" w:themeColor="background1"/>
                <w:sz w:val="10"/>
                <w:szCs w:val="10"/>
              </w:rPr>
            </w:pPr>
            <w:r w:rsidRPr="00665272">
              <w:rPr>
                <w:rFonts w:ascii="Calibri" w:hAnsi="Calibri"/>
                <w:color w:val="FFFFFF" w:themeColor="background1"/>
                <w:sz w:val="10"/>
                <w:szCs w:val="10"/>
              </w:rPr>
              <w:t>Other major policy</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0.1</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0.3</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0.3</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0.5</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0.7</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0.9</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1.4</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2.0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2.1</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2.3</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1.8</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1.6</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1.5</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1.6</w:t>
            </w:r>
          </w:p>
        </w:tc>
        <w:tc>
          <w:tcPr>
            <w:tcW w:w="181"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65272">
              <w:rPr>
                <w:rFonts w:ascii="Calibri" w:hAnsi="Calibri"/>
                <w:color w:val="FFFFFF" w:themeColor="background1"/>
                <w:sz w:val="10"/>
                <w:szCs w:val="10"/>
              </w:rPr>
              <w:t>1.7</w:t>
            </w:r>
          </w:p>
        </w:tc>
      </w:tr>
      <w:tr w:rsidR="00665272" w:rsidRPr="00665272" w:rsidTr="00665272">
        <w:trPr>
          <w:cantSplit/>
        </w:trPr>
        <w:tc>
          <w:tcPr>
            <w:cnfStyle w:val="001000000000" w:firstRow="0" w:lastRow="0" w:firstColumn="1" w:lastColumn="0" w:oddVBand="0" w:evenVBand="0" w:oddHBand="0" w:evenHBand="0" w:firstRowFirstColumn="0" w:firstRowLastColumn="0" w:lastRowFirstColumn="0" w:lastRowLastColumn="0"/>
            <w:tcW w:w="931" w:type="pct"/>
            <w:vAlign w:val="bottom"/>
          </w:tcPr>
          <w:p w:rsidR="009D2465" w:rsidRPr="00665272" w:rsidRDefault="009D2465" w:rsidP="009D2465">
            <w:pPr>
              <w:spacing w:before="0" w:after="0" w:line="240" w:lineRule="auto"/>
              <w:ind w:left="0" w:right="0"/>
              <w:rPr>
                <w:rFonts w:ascii="Calibri" w:hAnsi="Calibri"/>
                <w:b/>
                <w:bCs/>
                <w:color w:val="FFFFFF" w:themeColor="background1"/>
                <w:sz w:val="10"/>
                <w:szCs w:val="10"/>
              </w:rPr>
            </w:pPr>
            <w:r w:rsidRPr="00665272">
              <w:rPr>
                <w:rFonts w:ascii="Calibri" w:hAnsi="Calibri"/>
                <w:b/>
                <w:bCs/>
                <w:color w:val="FFFFFF" w:themeColor="background1"/>
                <w:sz w:val="10"/>
                <w:szCs w:val="10"/>
              </w:rPr>
              <w:t>TOTAL</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0.0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1.7</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2.2</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1.6</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3.5</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6.4</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7.0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5.1</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7.8</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7.1</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9.6</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21.7</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28.7</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31.0</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36.3</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39.2</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42.5</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43.6</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48.8</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52.8</w:t>
            </w:r>
          </w:p>
        </w:tc>
        <w:tc>
          <w:tcPr>
            <w:tcW w:w="185"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56.2</w:t>
            </w:r>
          </w:p>
        </w:tc>
        <w:tc>
          <w:tcPr>
            <w:tcW w:w="181" w:type="pct"/>
            <w:vAlign w:val="bottom"/>
          </w:tcPr>
          <w:p w:rsidR="009D2465" w:rsidRPr="00665272" w:rsidRDefault="009D2465" w:rsidP="0077249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65272">
              <w:rPr>
                <w:rFonts w:ascii="Calibri" w:hAnsi="Calibri"/>
                <w:b/>
                <w:bCs/>
                <w:color w:val="FFFFFF" w:themeColor="background1"/>
                <w:sz w:val="10"/>
                <w:szCs w:val="10"/>
              </w:rPr>
              <w:t>61.6</w:t>
            </w:r>
          </w:p>
        </w:tc>
      </w:tr>
    </w:tbl>
    <w:p w:rsidR="005F63C9" w:rsidRPr="00176ED4" w:rsidRDefault="005F63C9" w:rsidP="00176ED4">
      <w:pPr>
        <w:pStyle w:val="Source"/>
        <w:spacing w:before="4680"/>
        <w:rPr>
          <w:color w:val="FFFFFF" w:themeColor="background1"/>
        </w:rPr>
      </w:pPr>
      <w:r w:rsidRPr="00176ED4">
        <w:rPr>
          <w:color w:val="FFFFFF" w:themeColor="background1"/>
        </w:rPr>
        <w:t>Note: Figures provided are contributions to real growth in percentage points</w:t>
      </w:r>
    </w:p>
    <w:p w:rsidR="00E77A4E" w:rsidRPr="00692995" w:rsidRDefault="00E77A4E" w:rsidP="00692995">
      <w:pPr>
        <w:pStyle w:val="Source"/>
      </w:pPr>
      <w:r w:rsidRPr="00692995">
        <w:t>Source: PBO analysis of MBS data from the Department of Human Services and ABS.</w:t>
      </w:r>
    </w:p>
    <w:p w:rsidR="00D317CE" w:rsidRPr="009E51D1" w:rsidRDefault="00D317CE" w:rsidP="00417931">
      <w:pPr>
        <w:pStyle w:val="BodyText"/>
      </w:pPr>
      <w:r w:rsidRPr="00DD0F3F">
        <w:lastRenderedPageBreak/>
        <w:t xml:space="preserve">The major policy changes that drove the increased growth in MBS spending </w:t>
      </w:r>
      <w:r w:rsidR="00C244CA" w:rsidRPr="00DD0F3F">
        <w:t>per person</w:t>
      </w:r>
      <w:r w:rsidRPr="00DD0F3F">
        <w:t xml:space="preserve"> over the past decade largely impacted three broad service areas: general practitioners (GPs); allied health; and pathology and diagnostics.</w:t>
      </w:r>
      <w:r w:rsidRPr="00DD0F3F">
        <w:rPr>
          <w:i/>
        </w:rPr>
        <w:t xml:space="preserve"> </w:t>
      </w:r>
      <w:r w:rsidRPr="00DD0F3F">
        <w:t xml:space="preserve"> In addition, the introduction of the Extended Medicare Safety Net (EMSN) </w:t>
      </w:r>
      <w:r w:rsidR="00AD10B3">
        <w:t>in 2003–</w:t>
      </w:r>
      <w:r w:rsidR="00B74A3D" w:rsidRPr="00DD0F3F">
        <w:t xml:space="preserve">04 </w:t>
      </w:r>
      <w:r w:rsidRPr="00DD0F3F">
        <w:t xml:space="preserve">contributed to </w:t>
      </w:r>
      <w:r w:rsidR="00B74A3D" w:rsidRPr="00DD0F3F">
        <w:t xml:space="preserve">the </w:t>
      </w:r>
      <w:r w:rsidRPr="00DD0F3F">
        <w:t xml:space="preserve">growth in </w:t>
      </w:r>
      <w:r w:rsidR="00B74A3D" w:rsidRPr="00DD0F3F">
        <w:t xml:space="preserve">spending on a number of </w:t>
      </w:r>
      <w:r w:rsidRPr="00DD0F3F">
        <w:t xml:space="preserve">MBS </w:t>
      </w:r>
      <w:r w:rsidR="00793D14" w:rsidRPr="00DD0F3F">
        <w:t>services</w:t>
      </w:r>
      <w:r w:rsidRPr="00DD0F3F">
        <w:t>.</w:t>
      </w:r>
    </w:p>
    <w:p w:rsidR="0060148E" w:rsidRPr="00392519" w:rsidRDefault="0060148E" w:rsidP="00BE1666">
      <w:pPr>
        <w:pStyle w:val="Heading3"/>
        <w:numPr>
          <w:ilvl w:val="0"/>
          <w:numId w:val="0"/>
        </w:numPr>
      </w:pPr>
      <w:r w:rsidRPr="00392519">
        <w:t>General practitioners</w:t>
      </w:r>
    </w:p>
    <w:p w:rsidR="00EC558F" w:rsidRDefault="00EC558F" w:rsidP="00417931">
      <w:pPr>
        <w:pStyle w:val="BodyText"/>
      </w:pPr>
      <w:r>
        <w:t>The major drivers of the growth in spending on the MBS over the past decade were p</w:t>
      </w:r>
      <w:r w:rsidR="00E77A4E">
        <w:t>olicy changes affecting GP services</w:t>
      </w:r>
      <w:r w:rsidR="00D33AB3">
        <w:t xml:space="preserve"> which </w:t>
      </w:r>
      <w:r>
        <w:t xml:space="preserve">contributed 44 per cent of the real growth in </w:t>
      </w:r>
      <w:r w:rsidR="00C244CA">
        <w:t>per person</w:t>
      </w:r>
      <w:r>
        <w:t xml:space="preserve"> spending on the MBS </w:t>
      </w:r>
      <w:r w:rsidR="00B62AA3">
        <w:t>over this period</w:t>
      </w:r>
      <w:r w:rsidR="008960D0">
        <w:t>.</w:t>
      </w:r>
    </w:p>
    <w:p w:rsidR="00E77A4E" w:rsidRDefault="00E77A4E" w:rsidP="00417931">
      <w:pPr>
        <w:pStyle w:val="BodyText"/>
      </w:pPr>
      <w:r>
        <w:t>T</w:t>
      </w:r>
      <w:r w:rsidRPr="004D0893">
        <w:t>he increase in the GP rebate</w:t>
      </w:r>
      <w:r>
        <w:t xml:space="preserve"> from 85 per cent </w:t>
      </w:r>
      <w:r w:rsidRPr="004D0893">
        <w:t xml:space="preserve">to 100 per cent of the Schedule Fee </w:t>
      </w:r>
      <w:r w:rsidR="00AD10B3">
        <w:t xml:space="preserve">in </w:t>
      </w:r>
      <w:r w:rsidR="00AD10B3">
        <w:br/>
        <w:t>2004–</w:t>
      </w:r>
      <w:r>
        <w:t xml:space="preserve">05, leading to </w:t>
      </w:r>
      <w:r w:rsidRPr="004D0893">
        <w:t>higher government benefits being paid for GP services already provided</w:t>
      </w:r>
      <w:r>
        <w:t>, was the largest contributor to growth</w:t>
      </w:r>
      <w:r w:rsidRPr="004D0893">
        <w:t>.</w:t>
      </w:r>
    </w:p>
    <w:p w:rsidR="00E77A4E" w:rsidRDefault="00E77A4E" w:rsidP="00417931">
      <w:pPr>
        <w:pStyle w:val="BodyText"/>
      </w:pPr>
      <w:r>
        <w:t>At the same time</w:t>
      </w:r>
      <w:r w:rsidRPr="007D79AF">
        <w:t>,</w:t>
      </w:r>
      <w:r>
        <w:t xml:space="preserve"> bulk billing incentives for GPs </w:t>
      </w:r>
      <w:r w:rsidRPr="007D79AF">
        <w:t xml:space="preserve">were introduced and services </w:t>
      </w:r>
      <w:r>
        <w:t xml:space="preserve">were </w:t>
      </w:r>
      <w:r w:rsidRPr="007D79AF">
        <w:t>added for after</w:t>
      </w:r>
      <w:r w:rsidRPr="007D79AF">
        <w:noBreakHyphen/>
        <w:t>hours</w:t>
      </w:r>
      <w:r>
        <w:t xml:space="preserve"> GP care, which significantly increased the number of services accessed by patients.  Multidisciplinary care plans also contributed to the acceleration in spending growth through an increase in the number of</w:t>
      </w:r>
      <w:r w:rsidR="00AD10B3">
        <w:t xml:space="preserve"> services accessed by patients.</w:t>
      </w:r>
    </w:p>
    <w:p w:rsidR="00E77A4E" w:rsidRDefault="00E77A4E" w:rsidP="00417931">
      <w:pPr>
        <w:pStyle w:val="BodyText"/>
      </w:pPr>
      <w:r w:rsidRPr="00713B47">
        <w:t xml:space="preserve">While </w:t>
      </w:r>
      <w:r w:rsidR="00F85DAC">
        <w:t xml:space="preserve">decisions to expand the coverage of the MBS and increase MBS benefits </w:t>
      </w:r>
      <w:r w:rsidRPr="00713B47">
        <w:t>were the key contributor</w:t>
      </w:r>
      <w:r w:rsidR="00F85DAC">
        <w:t>s</w:t>
      </w:r>
      <w:r w:rsidRPr="00713B47">
        <w:t xml:space="preserve"> to </w:t>
      </w:r>
      <w:r w:rsidR="00F85DAC">
        <w:t xml:space="preserve">the </w:t>
      </w:r>
      <w:r w:rsidRPr="00713B47">
        <w:t>growth in GP services, other factors al</w:t>
      </w:r>
      <w:r w:rsidR="001C5794">
        <w:t xml:space="preserve">so influenced spending growth.  </w:t>
      </w:r>
      <w:r w:rsidR="00403896" w:rsidRPr="00DD0F3F">
        <w:t xml:space="preserve">Utilisation of GP services </w:t>
      </w:r>
      <w:r w:rsidR="001C5794" w:rsidRPr="00DD0F3F">
        <w:t xml:space="preserve">was </w:t>
      </w:r>
      <w:r w:rsidR="00793D14" w:rsidRPr="00DD0F3F">
        <w:t xml:space="preserve">likely </w:t>
      </w:r>
      <w:r w:rsidR="001C5794" w:rsidRPr="00DD0F3F">
        <w:t xml:space="preserve">influenced </w:t>
      </w:r>
      <w:r w:rsidR="00D97122" w:rsidRPr="00DD0F3F">
        <w:t xml:space="preserve">by </w:t>
      </w:r>
      <w:r w:rsidR="00403896" w:rsidRPr="00DD0F3F">
        <w:t>changes in the bulk billing rate which fell between 1993</w:t>
      </w:r>
      <w:r w:rsidR="00AD10B3">
        <w:t>–</w:t>
      </w:r>
      <w:r w:rsidR="00403896" w:rsidRPr="00DD0F3F">
        <w:t>94 and 2004</w:t>
      </w:r>
      <w:r w:rsidR="00AD10B3">
        <w:t>–</w:t>
      </w:r>
      <w:r w:rsidR="00403896" w:rsidRPr="00DD0F3F">
        <w:t xml:space="preserve">05 and then increased </w:t>
      </w:r>
      <w:r w:rsidR="001C5794" w:rsidRPr="00DD0F3F">
        <w:t>following the increase in the GP rebate and the introduction of bulk billing incentives</w:t>
      </w:r>
      <w:r w:rsidR="003F25CD" w:rsidRPr="00DD0F3F">
        <w:t xml:space="preserve">.  </w:t>
      </w:r>
      <w:r w:rsidR="00403896" w:rsidRPr="00DD0F3F">
        <w:t xml:space="preserve">Variations in the number of GPs due to changes to the rules relating to migrant GPs and the opening of new medical schools </w:t>
      </w:r>
      <w:r w:rsidR="003F25CD" w:rsidRPr="00DD0F3F">
        <w:t xml:space="preserve">also </w:t>
      </w:r>
      <w:r w:rsidR="00403896" w:rsidRPr="00DD0F3F">
        <w:t xml:space="preserve">influenced the growth </w:t>
      </w:r>
      <w:r w:rsidR="003F25CD" w:rsidRPr="00DD0F3F">
        <w:t>in GP services.</w:t>
      </w:r>
    </w:p>
    <w:p w:rsidR="003874B0" w:rsidRPr="004859CF" w:rsidRDefault="003874B0" w:rsidP="00BE1666">
      <w:pPr>
        <w:pStyle w:val="Heading3"/>
        <w:numPr>
          <w:ilvl w:val="0"/>
          <w:numId w:val="0"/>
        </w:numPr>
      </w:pPr>
      <w:r w:rsidRPr="004859CF">
        <w:t>Allied health</w:t>
      </w:r>
    </w:p>
    <w:p w:rsidR="003874B0" w:rsidRPr="0019603B" w:rsidRDefault="003874B0" w:rsidP="00417931">
      <w:pPr>
        <w:pStyle w:val="BodyText"/>
      </w:pPr>
      <w:r w:rsidRPr="0019603B">
        <w:t>Polic</w:t>
      </w:r>
      <w:r w:rsidR="00B62AA3">
        <w:t xml:space="preserve">y changes </w:t>
      </w:r>
      <w:r w:rsidR="005941A0">
        <w:t xml:space="preserve">that extended the coverage </w:t>
      </w:r>
      <w:r w:rsidR="00A52692">
        <w:t>of the MBS to certain</w:t>
      </w:r>
      <w:r w:rsidR="00B62AA3">
        <w:t xml:space="preserve"> </w:t>
      </w:r>
      <w:r w:rsidRPr="0019603B">
        <w:t>allied health services contr</w:t>
      </w:r>
      <w:r w:rsidR="00793D14">
        <w:t xml:space="preserve">ibuted 16 per cent of the real </w:t>
      </w:r>
      <w:r w:rsidRPr="0019603B">
        <w:t xml:space="preserve">growth in </w:t>
      </w:r>
      <w:r w:rsidR="00C244CA">
        <w:t>per person</w:t>
      </w:r>
      <w:r w:rsidRPr="0019603B">
        <w:t xml:space="preserve"> spending on the MBS over the past decade.</w:t>
      </w:r>
    </w:p>
    <w:p w:rsidR="00310B94" w:rsidRDefault="00B62AA3" w:rsidP="00417931">
      <w:pPr>
        <w:pStyle w:val="BodyText"/>
      </w:pPr>
      <w:r>
        <w:t>In particular</w:t>
      </w:r>
      <w:r w:rsidR="00BB6E9B">
        <w:t xml:space="preserve">, this reflected </w:t>
      </w:r>
      <w:r>
        <w:t xml:space="preserve">the inclusion of </w:t>
      </w:r>
      <w:r w:rsidR="002C288A">
        <w:t xml:space="preserve">a wide range of allied health services such as </w:t>
      </w:r>
      <w:r>
        <w:t>physiotherapy</w:t>
      </w:r>
      <w:r w:rsidR="002C288A">
        <w:t xml:space="preserve"> </w:t>
      </w:r>
      <w:r>
        <w:t>and mental health</w:t>
      </w:r>
      <w:r w:rsidR="002C288A">
        <w:t xml:space="preserve">care </w:t>
      </w:r>
      <w:r>
        <w:t>within the scope of the MBS</w:t>
      </w:r>
      <w:r w:rsidR="00BB6E9B">
        <w:t xml:space="preserve"> </w:t>
      </w:r>
      <w:r w:rsidR="002C288A">
        <w:t>from 2003</w:t>
      </w:r>
      <w:r w:rsidR="008C2BF6">
        <w:t>–</w:t>
      </w:r>
      <w:r w:rsidR="002C288A">
        <w:t>04 onwards</w:t>
      </w:r>
      <w:r w:rsidR="00BB6E9B">
        <w:t>.</w:t>
      </w:r>
    </w:p>
    <w:p w:rsidR="00310B94" w:rsidRDefault="00310B94" w:rsidP="00417931">
      <w:pPr>
        <w:pStyle w:val="BodyText"/>
        <w:sectPr w:rsidR="00310B94" w:rsidSect="00985CB6">
          <w:pgSz w:w="11906" w:h="16838" w:code="9"/>
          <w:pgMar w:top="1361" w:right="1797" w:bottom="1474" w:left="1797" w:header="284" w:footer="454" w:gutter="0"/>
          <w:pgNumType w:fmt="lowerRoman"/>
          <w:cols w:space="708"/>
          <w:docGrid w:linePitch="360"/>
        </w:sectPr>
      </w:pPr>
    </w:p>
    <w:p w:rsidR="0060148E" w:rsidRPr="00392519" w:rsidRDefault="0060148E" w:rsidP="00BE1666">
      <w:pPr>
        <w:pStyle w:val="Heading3"/>
        <w:numPr>
          <w:ilvl w:val="0"/>
          <w:numId w:val="0"/>
        </w:numPr>
      </w:pPr>
      <w:r w:rsidRPr="00392519">
        <w:lastRenderedPageBreak/>
        <w:t>Pathology and diagnostic services</w:t>
      </w:r>
    </w:p>
    <w:p w:rsidR="00DC6442" w:rsidRDefault="00A52692" w:rsidP="00417931">
      <w:pPr>
        <w:pStyle w:val="BodyText"/>
      </w:pPr>
      <w:r>
        <w:t>T</w:t>
      </w:r>
      <w:r w:rsidR="004E402F">
        <w:t>he addition of diagnostic imag</w:t>
      </w:r>
      <w:r>
        <w:t>ing services to the MBS in the late 1990s</w:t>
      </w:r>
      <w:r w:rsidR="00CB2383">
        <w:t>,</w:t>
      </w:r>
      <w:r>
        <w:t xml:space="preserve"> along with the rapid growth in the number of these services accessed by patients, </w:t>
      </w:r>
      <w:r w:rsidR="008E208F" w:rsidRPr="0019603B">
        <w:t xml:space="preserve">contributed </w:t>
      </w:r>
      <w:r w:rsidR="0019603B" w:rsidRPr="0019603B">
        <w:t>9</w:t>
      </w:r>
      <w:r w:rsidR="002E39FA" w:rsidRPr="0019603B">
        <w:t xml:space="preserve"> per cent of the </w:t>
      </w:r>
      <w:r w:rsidR="00793D14">
        <w:t xml:space="preserve">real </w:t>
      </w:r>
      <w:r w:rsidR="002E39FA" w:rsidRPr="0019603B">
        <w:t xml:space="preserve">growth in </w:t>
      </w:r>
      <w:r w:rsidR="00C244CA">
        <w:t>per person</w:t>
      </w:r>
      <w:r w:rsidR="002E39FA" w:rsidRPr="0019603B">
        <w:t xml:space="preserve"> spending on the MBS over the past decade</w:t>
      </w:r>
      <w:r w:rsidR="00CB2383">
        <w:t>.</w:t>
      </w:r>
    </w:p>
    <w:p w:rsidR="00E77A4E" w:rsidRDefault="00E77A4E" w:rsidP="00417931">
      <w:pPr>
        <w:pStyle w:val="BodyText"/>
      </w:pPr>
      <w:r>
        <w:t>Also contributing to growth in the number of services</w:t>
      </w:r>
      <w:r w:rsidRPr="007D79AF">
        <w:t xml:space="preserve"> was </w:t>
      </w:r>
      <w:r>
        <w:t>an increase in the number of pathology services accessed</w:t>
      </w:r>
      <w:r w:rsidRPr="007D79AF">
        <w:t xml:space="preserve"> by </w:t>
      </w:r>
      <w:r>
        <w:t xml:space="preserve">males aged 75 and over during the latter part of the past decade, reflecting a greater focus on chronic disease management and preventative health strategies.  This group of older men rapidly increased the number of pathology and diagnostic </w:t>
      </w:r>
      <w:r w:rsidRPr="007D79AF">
        <w:t xml:space="preserve">services </w:t>
      </w:r>
      <w:r w:rsidR="00BC7D40">
        <w:t xml:space="preserve">they </w:t>
      </w:r>
      <w:r w:rsidRPr="007D79AF">
        <w:t xml:space="preserve">accessed to </w:t>
      </w:r>
      <w:r>
        <w:t xml:space="preserve">a </w:t>
      </w:r>
      <w:r w:rsidR="00BC7D40">
        <w:t>level</w:t>
      </w:r>
      <w:r>
        <w:t xml:space="preserve"> above that of f</w:t>
      </w:r>
      <w:r w:rsidRPr="007D79AF">
        <w:t>emales aged 75 and over</w:t>
      </w:r>
      <w:r>
        <w:t xml:space="preserve"> by </w:t>
      </w:r>
      <w:r w:rsidR="00810F54">
        <w:br/>
      </w:r>
      <w:r>
        <w:t>2014</w:t>
      </w:r>
      <w:r w:rsidR="00810F54">
        <w:t>–</w:t>
      </w:r>
      <w:r>
        <w:t>15</w:t>
      </w:r>
      <w:r w:rsidRPr="007D79AF">
        <w:t>.</w:t>
      </w:r>
    </w:p>
    <w:p w:rsidR="00E77A4E" w:rsidRPr="00C01E20" w:rsidRDefault="00E77A4E" w:rsidP="00417931">
      <w:pPr>
        <w:pStyle w:val="BodyText"/>
      </w:pPr>
      <w:r>
        <w:t xml:space="preserve">The rapid growth in the number of pathology and diagnostic services accessed over the past decade was partially offset by a </w:t>
      </w:r>
      <w:r w:rsidRPr="00713B47">
        <w:t>decline in t</w:t>
      </w:r>
      <w:r>
        <w:t xml:space="preserve">he benefit paid by the government for each service accessed by patients. </w:t>
      </w:r>
      <w:r w:rsidR="00C01E20">
        <w:t xml:space="preserve"> </w:t>
      </w:r>
      <w:r w:rsidR="00C01E20" w:rsidRPr="00701DF4">
        <w:t xml:space="preserve">Funding agreements between the government and the pathology and diagnostic industries capped growth in outlays on these services.  </w:t>
      </w:r>
      <w:r w:rsidR="00406235" w:rsidRPr="00701DF4">
        <w:t>Unlike</w:t>
      </w:r>
      <w:r w:rsidR="00406235">
        <w:t xml:space="preserve"> other MBS services, pathology and diagnostic benefit levels have not been indexed since 1998.  </w:t>
      </w:r>
      <w:r>
        <w:t>In addition, technology improvements in the pathology industry allowed significantly more services to be delivered for a given benefit level.</w:t>
      </w:r>
    </w:p>
    <w:p w:rsidR="00D317CE" w:rsidRPr="004859CF" w:rsidRDefault="00D317CE" w:rsidP="00BE1666">
      <w:pPr>
        <w:pStyle w:val="Heading3"/>
        <w:numPr>
          <w:ilvl w:val="0"/>
          <w:numId w:val="0"/>
        </w:numPr>
      </w:pPr>
      <w:r w:rsidRPr="004859CF">
        <w:t xml:space="preserve">Extended Medicare </w:t>
      </w:r>
      <w:r w:rsidR="004859CF" w:rsidRPr="004859CF">
        <w:t>S</w:t>
      </w:r>
      <w:r w:rsidRPr="004859CF">
        <w:t xml:space="preserve">afety </w:t>
      </w:r>
      <w:r w:rsidR="004859CF" w:rsidRPr="004859CF">
        <w:t>N</w:t>
      </w:r>
      <w:r w:rsidRPr="004859CF">
        <w:t>et</w:t>
      </w:r>
    </w:p>
    <w:p w:rsidR="00D317CE" w:rsidRPr="00DD0F3F" w:rsidRDefault="00D317CE" w:rsidP="00417931">
      <w:pPr>
        <w:pStyle w:val="BodyText"/>
      </w:pPr>
      <w:r w:rsidRPr="00DD0F3F">
        <w:t>The i</w:t>
      </w:r>
      <w:r w:rsidR="00810F54">
        <w:t>ntroduction of the EMSN in 2003–</w:t>
      </w:r>
      <w:r w:rsidRPr="00DD0F3F">
        <w:t xml:space="preserve">04 contributed </w:t>
      </w:r>
      <w:r w:rsidR="00FA628B">
        <w:t>6</w:t>
      </w:r>
      <w:r w:rsidRPr="00DD0F3F">
        <w:t xml:space="preserve"> per cent of the </w:t>
      </w:r>
      <w:r w:rsidR="00793D14" w:rsidRPr="00DD0F3F">
        <w:t xml:space="preserve">real </w:t>
      </w:r>
      <w:r w:rsidRPr="00DD0F3F">
        <w:t xml:space="preserve">growth in </w:t>
      </w:r>
      <w:r w:rsidR="00C244CA" w:rsidRPr="00DD0F3F">
        <w:t>per person</w:t>
      </w:r>
      <w:r w:rsidRPr="00DD0F3F">
        <w:t xml:space="preserve"> spending on</w:t>
      </w:r>
      <w:r w:rsidR="004859CF" w:rsidRPr="00DD0F3F">
        <w:t xml:space="preserve"> the MBS over the past decade.</w:t>
      </w:r>
    </w:p>
    <w:p w:rsidR="00D317CE" w:rsidRPr="00DD0F3F" w:rsidRDefault="00D317CE" w:rsidP="00417931">
      <w:pPr>
        <w:pStyle w:val="BodyText"/>
      </w:pPr>
      <w:r w:rsidRPr="00DD0F3F">
        <w:t>The EMSN paid 80 per cent of out-of-hospital patient expenses over a set threshold.  This meant that benefits were paid even when providers charged substantially more than the government</w:t>
      </w:r>
      <w:r w:rsidR="00CB2383" w:rsidRPr="00DD0F3F">
        <w:t>-</w:t>
      </w:r>
      <w:r w:rsidRPr="00DD0F3F">
        <w:t>determined fee for service, that is, the Schedule Fee.  The introduction of the EMSN primarily affected surgeries and treatments and specialist services by significantly increasing the benefit paid by the government for these servi</w:t>
      </w:r>
      <w:r w:rsidR="00810F54">
        <w:t>ces.</w:t>
      </w:r>
    </w:p>
    <w:p w:rsidR="00D317CE" w:rsidRDefault="00D317CE" w:rsidP="00417931">
      <w:pPr>
        <w:pStyle w:val="BodyText"/>
        <w:rPr>
          <w:rFonts w:ascii="Arial" w:hAnsi="Arial" w:cs="Arial"/>
          <w:sz w:val="16"/>
          <w:szCs w:val="16"/>
        </w:rPr>
      </w:pPr>
      <w:r w:rsidRPr="00DD0F3F">
        <w:t>In response, the Government progressively introduced a range o</w:t>
      </w:r>
      <w:r w:rsidR="009B4C9F">
        <w:t>f Extended Medicare Safety Net</w:t>
      </w:r>
      <w:r w:rsidR="00077562">
        <w:t xml:space="preserve"> benefit</w:t>
      </w:r>
      <w:r w:rsidR="009B4C9F">
        <w:t xml:space="preserve"> c</w:t>
      </w:r>
      <w:r w:rsidRPr="00DD0F3F">
        <w:t>aps from 1 January 2010, which limit</w:t>
      </w:r>
      <w:r w:rsidR="00CB2383" w:rsidRPr="00DD0F3F">
        <w:t>ed</w:t>
      </w:r>
      <w:r w:rsidRPr="00DD0F3F">
        <w:t xml:space="preserve"> the out</w:t>
      </w:r>
      <w:r w:rsidRPr="00DD0F3F">
        <w:noBreakHyphen/>
        <w:t>of</w:t>
      </w:r>
      <w:r w:rsidRPr="00DD0F3F">
        <w:noBreakHyphen/>
        <w:t>pocket expenses the MBS cover</w:t>
      </w:r>
      <w:r w:rsidR="00CB2383" w:rsidRPr="00DD0F3F">
        <w:t>s</w:t>
      </w:r>
      <w:r w:rsidRPr="00DD0F3F">
        <w:t xml:space="preserve"> for certain services.  This resulted in slower growth over the latter part of the past decade.</w:t>
      </w:r>
    </w:p>
    <w:p w:rsidR="0060148E" w:rsidRPr="00392519" w:rsidRDefault="0060148E" w:rsidP="00A660B0">
      <w:pPr>
        <w:pStyle w:val="Heading2"/>
        <w:numPr>
          <w:ilvl w:val="0"/>
          <w:numId w:val="0"/>
        </w:numPr>
      </w:pPr>
      <w:r w:rsidRPr="00392519">
        <w:t>Projected MBS spending over the next decade</w:t>
      </w:r>
    </w:p>
    <w:p w:rsidR="00810F54" w:rsidRDefault="00E77A4E" w:rsidP="00417931">
      <w:pPr>
        <w:pStyle w:val="BodyText"/>
      </w:pPr>
      <w:r>
        <w:t xml:space="preserve">Based on current policy settings, growth in MBS </w:t>
      </w:r>
      <w:r w:rsidR="004707A4">
        <w:t xml:space="preserve">spending </w:t>
      </w:r>
      <w:r w:rsidR="00C244CA">
        <w:t>per person</w:t>
      </w:r>
      <w:r>
        <w:t xml:space="preserve"> </w:t>
      </w:r>
      <w:r w:rsidRPr="000467F6">
        <w:t xml:space="preserve">is projected </w:t>
      </w:r>
      <w:r>
        <w:t xml:space="preserve">to slow to </w:t>
      </w:r>
      <w:r w:rsidRPr="000467F6">
        <w:t xml:space="preserve">1.4 per cent annually </w:t>
      </w:r>
      <w:r>
        <w:t>in real terms over the next decade</w:t>
      </w:r>
      <w:r w:rsidR="006C786F">
        <w:t>,</w:t>
      </w:r>
      <w:r>
        <w:t xml:space="preserve"> reaching </w:t>
      </w:r>
      <w:r w:rsidRPr="000467F6">
        <w:t>$36.6 billion in nominal terms by 2025</w:t>
      </w:r>
      <w:r w:rsidR="00E50AFB">
        <w:t>–</w:t>
      </w:r>
      <w:r w:rsidRPr="000467F6">
        <w:t>26</w:t>
      </w:r>
      <w:r w:rsidR="005157D1">
        <w:t>.</w:t>
      </w:r>
      <w:r w:rsidR="0020316A">
        <w:t xml:space="preserve">  </w:t>
      </w:r>
      <w:r w:rsidR="0020316A" w:rsidRPr="00701DF4">
        <w:t xml:space="preserve">The </w:t>
      </w:r>
      <w:r w:rsidR="00682F46" w:rsidRPr="00701DF4">
        <w:t xml:space="preserve">historical and projected </w:t>
      </w:r>
      <w:r w:rsidR="0020316A" w:rsidRPr="00701DF4">
        <w:t xml:space="preserve">cumulative growth in MBS spending </w:t>
      </w:r>
      <w:r w:rsidR="00C244CA">
        <w:t>per person</w:t>
      </w:r>
      <w:r w:rsidR="0020316A" w:rsidRPr="00701DF4">
        <w:t xml:space="preserve"> </w:t>
      </w:r>
      <w:r w:rsidR="00810F54">
        <w:t xml:space="preserve">by </w:t>
      </w:r>
      <w:r w:rsidR="00D86646">
        <w:t xml:space="preserve">service </w:t>
      </w:r>
      <w:r w:rsidR="00810F54">
        <w:t xml:space="preserve">category is shown in </w:t>
      </w:r>
      <w:r w:rsidR="00810F54">
        <w:fldChar w:fldCharType="begin"/>
      </w:r>
      <w:r w:rsidR="00810F54">
        <w:instrText xml:space="preserve"> REF _Ref436040574 \h </w:instrText>
      </w:r>
      <w:r w:rsidR="00417931">
        <w:instrText xml:space="preserve"> \* MERGEFORMAT </w:instrText>
      </w:r>
      <w:r w:rsidR="00810F54">
        <w:fldChar w:fldCharType="separate"/>
      </w:r>
      <w:r w:rsidR="00235C48" w:rsidRPr="00810F54">
        <w:t xml:space="preserve">Figure </w:t>
      </w:r>
      <w:r w:rsidR="00235C48">
        <w:rPr>
          <w:noProof/>
        </w:rPr>
        <w:t>2</w:t>
      </w:r>
      <w:r w:rsidR="00810F54">
        <w:fldChar w:fldCharType="end"/>
      </w:r>
      <w:r w:rsidR="00935D81" w:rsidRPr="00701DF4">
        <w:t>.</w:t>
      </w:r>
    </w:p>
    <w:p w:rsidR="00810F54" w:rsidRDefault="00810F54" w:rsidP="00810F54">
      <w:pPr>
        <w:pStyle w:val="Caption"/>
      </w:pPr>
      <w:bookmarkStart w:id="19" w:name="_Ref436040574"/>
      <w:bookmarkStart w:id="20" w:name="_Toc436050992"/>
      <w:bookmarkStart w:id="21" w:name="_Toc436205214"/>
      <w:r w:rsidRPr="00810F54">
        <w:lastRenderedPageBreak/>
        <w:t xml:space="preserve">Figure </w:t>
      </w:r>
      <w:fldSimple w:instr=" SEQ Figure \* ARABIC \s 1 ">
        <w:r w:rsidR="00235C48">
          <w:rPr>
            <w:noProof/>
          </w:rPr>
          <w:t>2</w:t>
        </w:r>
      </w:fldSimple>
      <w:bookmarkEnd w:id="19"/>
      <w:r w:rsidRPr="00810F54">
        <w:t>: Cumulative real growth in spending per person on the Medicare Benefits Schedule, by category</w:t>
      </w:r>
      <w:bookmarkEnd w:id="20"/>
      <w:r w:rsidR="00D6172B">
        <w:t xml:space="preserve">, </w:t>
      </w:r>
      <w:r w:rsidR="009F768D">
        <w:t xml:space="preserve">actuals </w:t>
      </w:r>
      <w:r w:rsidR="00D6172B">
        <w:t>and projections</w:t>
      </w:r>
      <w:bookmarkEnd w:id="21"/>
    </w:p>
    <w:tbl>
      <w:tblPr>
        <w:tblStyle w:val="TableGrid"/>
        <w:tblW w:w="6823" w:type="pct"/>
        <w:tblInd w:w="-1560" w:type="dxa"/>
        <w:tblLook w:val="0680" w:firstRow="0" w:lastRow="0" w:firstColumn="1" w:lastColumn="0" w:noHBand="1" w:noVBand="1"/>
      </w:tblPr>
      <w:tblGrid>
        <w:gridCol w:w="1120"/>
        <w:gridCol w:w="308"/>
        <w:gridCol w:w="310"/>
        <w:gridCol w:w="310"/>
        <w:gridCol w:w="304"/>
        <w:gridCol w:w="7"/>
        <w:gridCol w:w="302"/>
        <w:gridCol w:w="7"/>
        <w:gridCol w:w="302"/>
        <w:gridCol w:w="9"/>
        <w:gridCol w:w="299"/>
        <w:gridCol w:w="11"/>
        <w:gridCol w:w="295"/>
        <w:gridCol w:w="14"/>
        <w:gridCol w:w="293"/>
        <w:gridCol w:w="14"/>
        <w:gridCol w:w="293"/>
        <w:gridCol w:w="16"/>
        <w:gridCol w:w="293"/>
        <w:gridCol w:w="16"/>
        <w:gridCol w:w="293"/>
        <w:gridCol w:w="16"/>
        <w:gridCol w:w="293"/>
        <w:gridCol w:w="14"/>
        <w:gridCol w:w="295"/>
        <w:gridCol w:w="14"/>
        <w:gridCol w:w="295"/>
        <w:gridCol w:w="14"/>
        <w:gridCol w:w="295"/>
        <w:gridCol w:w="14"/>
        <w:gridCol w:w="295"/>
        <w:gridCol w:w="11"/>
        <w:gridCol w:w="299"/>
        <w:gridCol w:w="11"/>
        <w:gridCol w:w="299"/>
        <w:gridCol w:w="11"/>
        <w:gridCol w:w="299"/>
        <w:gridCol w:w="11"/>
        <w:gridCol w:w="299"/>
        <w:gridCol w:w="9"/>
        <w:gridCol w:w="302"/>
        <w:gridCol w:w="9"/>
        <w:gridCol w:w="311"/>
        <w:gridCol w:w="311"/>
        <w:gridCol w:w="311"/>
        <w:gridCol w:w="313"/>
        <w:gridCol w:w="315"/>
        <w:gridCol w:w="313"/>
        <w:gridCol w:w="313"/>
        <w:gridCol w:w="311"/>
        <w:gridCol w:w="313"/>
        <w:gridCol w:w="318"/>
        <w:gridCol w:w="293"/>
      </w:tblGrid>
      <w:tr w:rsidR="00A04836" w:rsidRPr="00A04836" w:rsidTr="00A04836">
        <w:trPr>
          <w:cantSplit/>
        </w:trPr>
        <w:tc>
          <w:tcPr>
            <w:cnfStyle w:val="001000000000" w:firstRow="0" w:lastRow="0" w:firstColumn="1" w:lastColumn="0" w:oddVBand="0" w:evenVBand="0" w:oddHBand="0" w:evenHBand="0" w:firstRowFirstColumn="0" w:firstRowLastColumn="0" w:lastRowFirstColumn="0" w:lastRowLastColumn="0"/>
            <w:tcW w:w="494" w:type="pct"/>
            <w:vAlign w:val="bottom"/>
          </w:tcPr>
          <w:p w:rsidR="00FB5CD7" w:rsidRPr="00A04836" w:rsidRDefault="00FB5CD7" w:rsidP="00A549AA">
            <w:pPr>
              <w:spacing w:before="0" w:after="0" w:line="240" w:lineRule="auto"/>
              <w:ind w:left="0" w:right="0"/>
              <w:rPr>
                <w:rFonts w:ascii="Calibri" w:hAnsi="Calibri"/>
                <w:bCs/>
                <w:color w:val="FFFFFF" w:themeColor="background1"/>
                <w:sz w:val="10"/>
                <w:szCs w:val="10"/>
              </w:rPr>
            </w:pPr>
            <w:r w:rsidRPr="00A04836">
              <w:rPr>
                <w:rFonts w:ascii="Calibri" w:hAnsi="Calibri"/>
                <w:bCs/>
                <w:color w:val="FFFFFF" w:themeColor="background1"/>
                <w:sz w:val="10"/>
                <w:szCs w:val="10"/>
              </w:rPr>
              <w:t>MBS category</w:t>
            </w:r>
          </w:p>
        </w:tc>
        <w:tc>
          <w:tcPr>
            <w:tcW w:w="136"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1993-94</w:t>
            </w:r>
          </w:p>
        </w:tc>
        <w:tc>
          <w:tcPr>
            <w:tcW w:w="137" w:type="pct"/>
            <w:vAlign w:val="bottom"/>
          </w:tcPr>
          <w:p w:rsidR="00FB5CD7" w:rsidRPr="00A04836" w:rsidRDefault="00DD519A"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noProof/>
                <w:color w:val="FFFFFF" w:themeColor="background1"/>
              </w:rPr>
              <w:drawing>
                <wp:anchor distT="0" distB="0" distL="114300" distR="114300" simplePos="0" relativeHeight="251663360" behindDoc="0" locked="0" layoutInCell="1" allowOverlap="1" wp14:anchorId="0BC19DC8" wp14:editId="1DCEBE93">
                  <wp:simplePos x="0" y="0"/>
                  <wp:positionH relativeFrom="column">
                    <wp:posOffset>40640</wp:posOffset>
                  </wp:positionH>
                  <wp:positionV relativeFrom="paragraph">
                    <wp:posOffset>-5715</wp:posOffset>
                  </wp:positionV>
                  <wp:extent cx="5279390" cy="3602990"/>
                  <wp:effectExtent l="0" t="0" r="0" b="0"/>
                  <wp:wrapNone/>
                  <wp:docPr id="44" name="Picture 44"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9390" cy="3602990"/>
                          </a:xfrm>
                          <a:prstGeom prst="rect">
                            <a:avLst/>
                          </a:prstGeom>
                          <a:noFill/>
                        </pic:spPr>
                      </pic:pic>
                    </a:graphicData>
                  </a:graphic>
                  <wp14:sizeRelH relativeFrom="page">
                    <wp14:pctWidth>0</wp14:pctWidth>
                  </wp14:sizeRelH>
                  <wp14:sizeRelV relativeFrom="page">
                    <wp14:pctHeight>0</wp14:pctHeight>
                  </wp14:sizeRelV>
                </wp:anchor>
              </w:drawing>
            </w:r>
            <w:r w:rsidR="00FB5CD7" w:rsidRPr="00A04836">
              <w:rPr>
                <w:rFonts w:ascii="Calibri" w:hAnsi="Calibri"/>
                <w:b/>
                <w:bCs/>
                <w:color w:val="FFFFFF" w:themeColor="background1"/>
                <w:sz w:val="10"/>
                <w:szCs w:val="10"/>
              </w:rPr>
              <w:t>1994-95</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1995-96</w:t>
            </w:r>
          </w:p>
        </w:tc>
        <w:tc>
          <w:tcPr>
            <w:tcW w:w="134"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1996-97</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1997-98</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1998-99</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1999-00</w:t>
            </w:r>
          </w:p>
        </w:tc>
        <w:tc>
          <w:tcPr>
            <w:tcW w:w="135"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2000-01</w:t>
            </w:r>
          </w:p>
        </w:tc>
        <w:tc>
          <w:tcPr>
            <w:tcW w:w="135"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2001-02</w:t>
            </w:r>
          </w:p>
        </w:tc>
        <w:tc>
          <w:tcPr>
            <w:tcW w:w="135"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2002-03</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2003-04</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2004-05</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2005-06</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2006-07</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2007-08</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2008-09</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2009-10</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2010-11</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2011-12</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2012-13</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2013-14</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2014-15</w:t>
            </w:r>
          </w:p>
        </w:tc>
        <w:tc>
          <w:tcPr>
            <w:tcW w:w="140"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2015-16</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2016-17</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2017-18</w:t>
            </w:r>
          </w:p>
        </w:tc>
        <w:tc>
          <w:tcPr>
            <w:tcW w:w="13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2018-19</w:t>
            </w:r>
          </w:p>
        </w:tc>
        <w:tc>
          <w:tcPr>
            <w:tcW w:w="139"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2019-20</w:t>
            </w:r>
          </w:p>
        </w:tc>
        <w:tc>
          <w:tcPr>
            <w:tcW w:w="13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2020-21</w:t>
            </w:r>
          </w:p>
        </w:tc>
        <w:tc>
          <w:tcPr>
            <w:tcW w:w="13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2021-22</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2022-23</w:t>
            </w:r>
          </w:p>
        </w:tc>
        <w:tc>
          <w:tcPr>
            <w:tcW w:w="13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2023-24</w:t>
            </w:r>
          </w:p>
        </w:tc>
        <w:tc>
          <w:tcPr>
            <w:tcW w:w="140"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2024-25</w:t>
            </w:r>
          </w:p>
        </w:tc>
        <w:tc>
          <w:tcPr>
            <w:tcW w:w="12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2025-26</w:t>
            </w:r>
          </w:p>
        </w:tc>
      </w:tr>
      <w:tr w:rsidR="00A04836" w:rsidRPr="00A04836" w:rsidTr="00A04836">
        <w:trPr>
          <w:cantSplit/>
        </w:trPr>
        <w:tc>
          <w:tcPr>
            <w:cnfStyle w:val="001000000000" w:firstRow="0" w:lastRow="0" w:firstColumn="1" w:lastColumn="0" w:oddVBand="0" w:evenVBand="0" w:oddHBand="0" w:evenHBand="0" w:firstRowFirstColumn="0" w:firstRowLastColumn="0" w:lastRowFirstColumn="0" w:lastRowLastColumn="0"/>
            <w:tcW w:w="494" w:type="pct"/>
            <w:vAlign w:val="bottom"/>
          </w:tcPr>
          <w:p w:rsidR="00FB5CD7" w:rsidRPr="00A04836" w:rsidRDefault="00FB5CD7" w:rsidP="0032459D">
            <w:pPr>
              <w:spacing w:before="0" w:after="0" w:line="240" w:lineRule="auto"/>
              <w:ind w:left="0" w:right="0"/>
              <w:rPr>
                <w:rFonts w:ascii="Calibri" w:hAnsi="Calibri"/>
                <w:color w:val="FFFFFF" w:themeColor="background1"/>
                <w:sz w:val="10"/>
                <w:szCs w:val="10"/>
              </w:rPr>
            </w:pPr>
            <w:r w:rsidRPr="00A04836">
              <w:rPr>
                <w:rFonts w:ascii="Calibri" w:hAnsi="Calibri"/>
                <w:color w:val="FFFFFF" w:themeColor="background1"/>
                <w:sz w:val="10"/>
                <w:szCs w:val="10"/>
              </w:rPr>
              <w:t>Pathology and diagnostics</w:t>
            </w:r>
          </w:p>
        </w:tc>
        <w:tc>
          <w:tcPr>
            <w:tcW w:w="136"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1.6</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2.3</w:t>
            </w:r>
          </w:p>
        </w:tc>
        <w:tc>
          <w:tcPr>
            <w:tcW w:w="134"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2.4</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4.2</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7.0</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7.7</w:t>
            </w:r>
          </w:p>
        </w:tc>
        <w:tc>
          <w:tcPr>
            <w:tcW w:w="135"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7.2</w:t>
            </w:r>
          </w:p>
        </w:tc>
        <w:tc>
          <w:tcPr>
            <w:tcW w:w="135"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8.1</w:t>
            </w:r>
          </w:p>
        </w:tc>
        <w:tc>
          <w:tcPr>
            <w:tcW w:w="135"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8.3</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9.1</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11.3</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12.7</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13.5</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14.2</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14.5</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14.8</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14.8</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16.7</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17.9</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19.2</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20.1</w:t>
            </w:r>
          </w:p>
        </w:tc>
        <w:tc>
          <w:tcPr>
            <w:tcW w:w="140"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20.7</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21.3</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21.9</w:t>
            </w:r>
          </w:p>
        </w:tc>
        <w:tc>
          <w:tcPr>
            <w:tcW w:w="13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22.4</w:t>
            </w:r>
          </w:p>
        </w:tc>
        <w:tc>
          <w:tcPr>
            <w:tcW w:w="139"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22.9</w:t>
            </w:r>
          </w:p>
        </w:tc>
        <w:tc>
          <w:tcPr>
            <w:tcW w:w="13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23.4</w:t>
            </w:r>
          </w:p>
        </w:tc>
        <w:tc>
          <w:tcPr>
            <w:tcW w:w="13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23.9</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24.4</w:t>
            </w:r>
          </w:p>
        </w:tc>
        <w:tc>
          <w:tcPr>
            <w:tcW w:w="13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24.9</w:t>
            </w:r>
          </w:p>
        </w:tc>
        <w:tc>
          <w:tcPr>
            <w:tcW w:w="140"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25.3</w:t>
            </w:r>
          </w:p>
        </w:tc>
        <w:tc>
          <w:tcPr>
            <w:tcW w:w="12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25.7</w:t>
            </w:r>
          </w:p>
        </w:tc>
      </w:tr>
      <w:tr w:rsidR="00A04836" w:rsidRPr="00A04836" w:rsidTr="00A04836">
        <w:trPr>
          <w:cantSplit/>
        </w:trPr>
        <w:tc>
          <w:tcPr>
            <w:cnfStyle w:val="001000000000" w:firstRow="0" w:lastRow="0" w:firstColumn="1" w:lastColumn="0" w:oddVBand="0" w:evenVBand="0" w:oddHBand="0" w:evenHBand="0" w:firstRowFirstColumn="0" w:firstRowLastColumn="0" w:lastRowFirstColumn="0" w:lastRowLastColumn="0"/>
            <w:tcW w:w="494" w:type="pct"/>
            <w:vAlign w:val="bottom"/>
          </w:tcPr>
          <w:p w:rsidR="00FB5CD7" w:rsidRPr="00A04836" w:rsidRDefault="00FB5CD7" w:rsidP="0032459D">
            <w:pPr>
              <w:spacing w:before="0" w:after="0" w:line="240" w:lineRule="auto"/>
              <w:ind w:left="0" w:right="0"/>
              <w:rPr>
                <w:rFonts w:ascii="Calibri" w:hAnsi="Calibri"/>
                <w:color w:val="FFFFFF" w:themeColor="background1"/>
                <w:sz w:val="10"/>
                <w:szCs w:val="10"/>
              </w:rPr>
            </w:pPr>
            <w:r w:rsidRPr="00A04836">
              <w:rPr>
                <w:rFonts w:ascii="Calibri" w:hAnsi="Calibri"/>
                <w:color w:val="FFFFFF" w:themeColor="background1"/>
                <w:sz w:val="10"/>
                <w:szCs w:val="10"/>
              </w:rPr>
              <w:t>GP and GP-type services</w:t>
            </w:r>
          </w:p>
        </w:tc>
        <w:tc>
          <w:tcPr>
            <w:tcW w:w="136"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-0.3</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-0.3</w:t>
            </w:r>
          </w:p>
        </w:tc>
        <w:tc>
          <w:tcPr>
            <w:tcW w:w="134"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-0.9</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-0.8</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-1.3</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-1.7</w:t>
            </w:r>
          </w:p>
        </w:tc>
        <w:tc>
          <w:tcPr>
            <w:tcW w:w="135"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-2.7</w:t>
            </w:r>
          </w:p>
        </w:tc>
        <w:tc>
          <w:tcPr>
            <w:tcW w:w="135"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-1.7</w:t>
            </w:r>
          </w:p>
        </w:tc>
        <w:tc>
          <w:tcPr>
            <w:tcW w:w="135"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-2.9</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-3.0</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1.5</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5.9</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6.4</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8.4</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8.2</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9.1</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9.7</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10.7</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11.9</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13.2</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15.2</w:t>
            </w:r>
          </w:p>
        </w:tc>
        <w:tc>
          <w:tcPr>
            <w:tcW w:w="140"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15.3</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15.2</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15.1</w:t>
            </w:r>
          </w:p>
        </w:tc>
        <w:tc>
          <w:tcPr>
            <w:tcW w:w="13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15.9</w:t>
            </w:r>
          </w:p>
        </w:tc>
        <w:tc>
          <w:tcPr>
            <w:tcW w:w="139"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16.8</w:t>
            </w:r>
          </w:p>
        </w:tc>
        <w:tc>
          <w:tcPr>
            <w:tcW w:w="13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17.7</w:t>
            </w:r>
          </w:p>
        </w:tc>
        <w:tc>
          <w:tcPr>
            <w:tcW w:w="13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18.7</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19.7</w:t>
            </w:r>
          </w:p>
        </w:tc>
        <w:tc>
          <w:tcPr>
            <w:tcW w:w="13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20.6</w:t>
            </w:r>
          </w:p>
        </w:tc>
        <w:tc>
          <w:tcPr>
            <w:tcW w:w="140"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21.6</w:t>
            </w:r>
          </w:p>
        </w:tc>
        <w:tc>
          <w:tcPr>
            <w:tcW w:w="12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22.5</w:t>
            </w:r>
          </w:p>
        </w:tc>
      </w:tr>
      <w:tr w:rsidR="00A04836" w:rsidRPr="00A04836" w:rsidTr="00A04836">
        <w:trPr>
          <w:cantSplit/>
        </w:trPr>
        <w:tc>
          <w:tcPr>
            <w:cnfStyle w:val="001000000000" w:firstRow="0" w:lastRow="0" w:firstColumn="1" w:lastColumn="0" w:oddVBand="0" w:evenVBand="0" w:oddHBand="0" w:evenHBand="0" w:firstRowFirstColumn="0" w:firstRowLastColumn="0" w:lastRowFirstColumn="0" w:lastRowLastColumn="0"/>
            <w:tcW w:w="494" w:type="pct"/>
            <w:vAlign w:val="bottom"/>
          </w:tcPr>
          <w:p w:rsidR="00FB5CD7" w:rsidRPr="00A04836" w:rsidRDefault="00FB5CD7" w:rsidP="0032459D">
            <w:pPr>
              <w:spacing w:before="0" w:after="0" w:line="240" w:lineRule="auto"/>
              <w:ind w:left="0" w:right="0"/>
              <w:rPr>
                <w:rFonts w:ascii="Calibri" w:hAnsi="Calibri"/>
                <w:color w:val="FFFFFF" w:themeColor="background1"/>
                <w:sz w:val="10"/>
                <w:szCs w:val="10"/>
              </w:rPr>
            </w:pPr>
            <w:r w:rsidRPr="00A04836">
              <w:rPr>
                <w:rFonts w:ascii="Calibri" w:hAnsi="Calibri"/>
                <w:color w:val="FFFFFF" w:themeColor="background1"/>
                <w:sz w:val="10"/>
                <w:szCs w:val="10"/>
              </w:rPr>
              <w:t>Surgeries and treatments</w:t>
            </w:r>
          </w:p>
        </w:tc>
        <w:tc>
          <w:tcPr>
            <w:tcW w:w="136"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0.2</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0.2</w:t>
            </w:r>
          </w:p>
        </w:tc>
        <w:tc>
          <w:tcPr>
            <w:tcW w:w="134"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0.3</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0.3</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0.7</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1.0</w:t>
            </w:r>
          </w:p>
        </w:tc>
        <w:tc>
          <w:tcPr>
            <w:tcW w:w="135"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1.4</w:t>
            </w:r>
          </w:p>
        </w:tc>
        <w:tc>
          <w:tcPr>
            <w:tcW w:w="135"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2.3</w:t>
            </w:r>
          </w:p>
        </w:tc>
        <w:tc>
          <w:tcPr>
            <w:tcW w:w="135"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2.7</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3.2</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5.3</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6.2</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7.0</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8.4</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9.8</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10.5</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9.5</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10.7</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11.3</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11.5</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11.7</w:t>
            </w:r>
          </w:p>
        </w:tc>
        <w:tc>
          <w:tcPr>
            <w:tcW w:w="140"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12.0</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12.2</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12.4</w:t>
            </w:r>
          </w:p>
        </w:tc>
        <w:tc>
          <w:tcPr>
            <w:tcW w:w="13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13.0</w:t>
            </w:r>
          </w:p>
        </w:tc>
        <w:tc>
          <w:tcPr>
            <w:tcW w:w="139"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13.7</w:t>
            </w:r>
          </w:p>
        </w:tc>
        <w:tc>
          <w:tcPr>
            <w:tcW w:w="13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14.4</w:t>
            </w:r>
          </w:p>
        </w:tc>
        <w:tc>
          <w:tcPr>
            <w:tcW w:w="13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15.2</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15.9</w:t>
            </w:r>
          </w:p>
        </w:tc>
        <w:tc>
          <w:tcPr>
            <w:tcW w:w="13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16.7</w:t>
            </w:r>
          </w:p>
        </w:tc>
        <w:tc>
          <w:tcPr>
            <w:tcW w:w="140"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17.5</w:t>
            </w:r>
          </w:p>
        </w:tc>
        <w:tc>
          <w:tcPr>
            <w:tcW w:w="12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18.3</w:t>
            </w:r>
          </w:p>
        </w:tc>
      </w:tr>
      <w:tr w:rsidR="00A04836" w:rsidRPr="00A04836" w:rsidTr="00A04836">
        <w:trPr>
          <w:cantSplit/>
        </w:trPr>
        <w:tc>
          <w:tcPr>
            <w:cnfStyle w:val="001000000000" w:firstRow="0" w:lastRow="0" w:firstColumn="1" w:lastColumn="0" w:oddVBand="0" w:evenVBand="0" w:oddHBand="0" w:evenHBand="0" w:firstRowFirstColumn="0" w:firstRowLastColumn="0" w:lastRowFirstColumn="0" w:lastRowLastColumn="0"/>
            <w:tcW w:w="494" w:type="pct"/>
            <w:vAlign w:val="bottom"/>
          </w:tcPr>
          <w:p w:rsidR="00FB5CD7" w:rsidRPr="00A04836" w:rsidRDefault="00FB5CD7" w:rsidP="0032459D">
            <w:pPr>
              <w:spacing w:before="0" w:after="0" w:line="240" w:lineRule="auto"/>
              <w:ind w:left="0" w:right="0"/>
              <w:rPr>
                <w:rFonts w:ascii="Calibri" w:hAnsi="Calibri"/>
                <w:color w:val="FFFFFF" w:themeColor="background1"/>
                <w:sz w:val="10"/>
                <w:szCs w:val="10"/>
              </w:rPr>
            </w:pPr>
            <w:r w:rsidRPr="00A04836">
              <w:rPr>
                <w:rFonts w:ascii="Calibri" w:hAnsi="Calibri"/>
                <w:color w:val="FFFFFF" w:themeColor="background1"/>
                <w:sz w:val="10"/>
                <w:szCs w:val="10"/>
              </w:rPr>
              <w:t>Allied health</w:t>
            </w:r>
          </w:p>
        </w:tc>
        <w:tc>
          <w:tcPr>
            <w:tcW w:w="136"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0.0</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0.1</w:t>
            </w:r>
          </w:p>
        </w:tc>
        <w:tc>
          <w:tcPr>
            <w:tcW w:w="134"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0.1</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0.0</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0.0</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0.1</w:t>
            </w:r>
          </w:p>
        </w:tc>
        <w:tc>
          <w:tcPr>
            <w:tcW w:w="135"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0.0</w:t>
            </w:r>
          </w:p>
        </w:tc>
        <w:tc>
          <w:tcPr>
            <w:tcW w:w="135"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0.1</w:t>
            </w:r>
          </w:p>
        </w:tc>
        <w:tc>
          <w:tcPr>
            <w:tcW w:w="135"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0.1</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0.2</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0.5</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0.7</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1.5</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3.0</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4.0</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4.8</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5.4</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5.8</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6.4</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6.7</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7.1</w:t>
            </w:r>
          </w:p>
        </w:tc>
        <w:tc>
          <w:tcPr>
            <w:tcW w:w="140"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7.4</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7.6</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7.8</w:t>
            </w:r>
          </w:p>
        </w:tc>
        <w:tc>
          <w:tcPr>
            <w:tcW w:w="13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8.2</w:t>
            </w:r>
          </w:p>
        </w:tc>
        <w:tc>
          <w:tcPr>
            <w:tcW w:w="139"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8.5</w:t>
            </w:r>
          </w:p>
        </w:tc>
        <w:tc>
          <w:tcPr>
            <w:tcW w:w="13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8.9</w:t>
            </w:r>
          </w:p>
        </w:tc>
        <w:tc>
          <w:tcPr>
            <w:tcW w:w="13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9.3</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9.6</w:t>
            </w:r>
          </w:p>
        </w:tc>
        <w:tc>
          <w:tcPr>
            <w:tcW w:w="13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9.9</w:t>
            </w:r>
          </w:p>
        </w:tc>
        <w:tc>
          <w:tcPr>
            <w:tcW w:w="140"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10.3</w:t>
            </w:r>
          </w:p>
        </w:tc>
        <w:tc>
          <w:tcPr>
            <w:tcW w:w="12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10.6</w:t>
            </w:r>
          </w:p>
        </w:tc>
      </w:tr>
      <w:tr w:rsidR="00A04836" w:rsidRPr="00A04836" w:rsidTr="00A04836">
        <w:trPr>
          <w:cantSplit/>
        </w:trPr>
        <w:tc>
          <w:tcPr>
            <w:cnfStyle w:val="001000000000" w:firstRow="0" w:lastRow="0" w:firstColumn="1" w:lastColumn="0" w:oddVBand="0" w:evenVBand="0" w:oddHBand="0" w:evenHBand="0" w:firstRowFirstColumn="0" w:firstRowLastColumn="0" w:lastRowFirstColumn="0" w:lastRowLastColumn="0"/>
            <w:tcW w:w="494" w:type="pct"/>
            <w:vAlign w:val="bottom"/>
          </w:tcPr>
          <w:p w:rsidR="00FB5CD7" w:rsidRPr="00A04836" w:rsidRDefault="00FB5CD7" w:rsidP="0032459D">
            <w:pPr>
              <w:spacing w:before="0" w:after="0" w:line="240" w:lineRule="auto"/>
              <w:ind w:left="0" w:right="0"/>
              <w:rPr>
                <w:rFonts w:ascii="Calibri" w:hAnsi="Calibri"/>
                <w:color w:val="FFFFFF" w:themeColor="background1"/>
                <w:sz w:val="10"/>
                <w:szCs w:val="10"/>
              </w:rPr>
            </w:pPr>
            <w:r w:rsidRPr="00A04836">
              <w:rPr>
                <w:rFonts w:ascii="Calibri" w:hAnsi="Calibri"/>
                <w:color w:val="FFFFFF" w:themeColor="background1"/>
                <w:sz w:val="10"/>
                <w:szCs w:val="10"/>
              </w:rPr>
              <w:t>Bulk billing incentives</w:t>
            </w:r>
          </w:p>
        </w:tc>
        <w:tc>
          <w:tcPr>
            <w:tcW w:w="136"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0.0</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0.0</w:t>
            </w:r>
          </w:p>
        </w:tc>
        <w:tc>
          <w:tcPr>
            <w:tcW w:w="134"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0.0</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0.0</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0.0</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0.0</w:t>
            </w:r>
          </w:p>
        </w:tc>
        <w:tc>
          <w:tcPr>
            <w:tcW w:w="135"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0.0</w:t>
            </w:r>
          </w:p>
        </w:tc>
        <w:tc>
          <w:tcPr>
            <w:tcW w:w="135"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0.0</w:t>
            </w:r>
          </w:p>
        </w:tc>
        <w:tc>
          <w:tcPr>
            <w:tcW w:w="135"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0.0</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1.2</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3.9</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4.1</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4.2</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4.4</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4.4</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5.1</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5.3</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5.2</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5.2</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5.3</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5.4</w:t>
            </w:r>
          </w:p>
        </w:tc>
        <w:tc>
          <w:tcPr>
            <w:tcW w:w="140"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5.4</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5.4</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5.3</w:t>
            </w:r>
          </w:p>
        </w:tc>
        <w:tc>
          <w:tcPr>
            <w:tcW w:w="13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5.4</w:t>
            </w:r>
          </w:p>
        </w:tc>
        <w:tc>
          <w:tcPr>
            <w:tcW w:w="139"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5.5</w:t>
            </w:r>
          </w:p>
        </w:tc>
        <w:tc>
          <w:tcPr>
            <w:tcW w:w="13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5.6</w:t>
            </w:r>
          </w:p>
        </w:tc>
        <w:tc>
          <w:tcPr>
            <w:tcW w:w="13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5.7</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5.8</w:t>
            </w:r>
          </w:p>
        </w:tc>
        <w:tc>
          <w:tcPr>
            <w:tcW w:w="13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5.9</w:t>
            </w:r>
          </w:p>
        </w:tc>
        <w:tc>
          <w:tcPr>
            <w:tcW w:w="140"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5.9</w:t>
            </w:r>
          </w:p>
        </w:tc>
        <w:tc>
          <w:tcPr>
            <w:tcW w:w="12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6.0</w:t>
            </w:r>
          </w:p>
        </w:tc>
      </w:tr>
      <w:tr w:rsidR="00A04836" w:rsidRPr="00A04836" w:rsidTr="00A04836">
        <w:trPr>
          <w:cantSplit/>
        </w:trPr>
        <w:tc>
          <w:tcPr>
            <w:cnfStyle w:val="001000000000" w:firstRow="0" w:lastRow="0" w:firstColumn="1" w:lastColumn="0" w:oddVBand="0" w:evenVBand="0" w:oddHBand="0" w:evenHBand="0" w:firstRowFirstColumn="0" w:firstRowLastColumn="0" w:lastRowFirstColumn="0" w:lastRowLastColumn="0"/>
            <w:tcW w:w="494" w:type="pct"/>
            <w:vAlign w:val="bottom"/>
          </w:tcPr>
          <w:p w:rsidR="00FB5CD7" w:rsidRPr="00A04836" w:rsidRDefault="00FB5CD7" w:rsidP="0032459D">
            <w:pPr>
              <w:spacing w:before="0" w:after="0" w:line="240" w:lineRule="auto"/>
              <w:ind w:left="0" w:right="0"/>
              <w:rPr>
                <w:rFonts w:ascii="Calibri" w:hAnsi="Calibri"/>
                <w:color w:val="FFFFFF" w:themeColor="background1"/>
                <w:sz w:val="10"/>
                <w:szCs w:val="10"/>
              </w:rPr>
            </w:pPr>
            <w:r w:rsidRPr="00A04836">
              <w:rPr>
                <w:rFonts w:ascii="Calibri" w:hAnsi="Calibri"/>
                <w:color w:val="FFFFFF" w:themeColor="background1"/>
                <w:sz w:val="10"/>
                <w:szCs w:val="10"/>
              </w:rPr>
              <w:t>Specialist services</w:t>
            </w:r>
          </w:p>
        </w:tc>
        <w:tc>
          <w:tcPr>
            <w:tcW w:w="136"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0.1</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0.0</w:t>
            </w:r>
          </w:p>
        </w:tc>
        <w:tc>
          <w:tcPr>
            <w:tcW w:w="134"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-0.2</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-0.2</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0.0</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-0.1</w:t>
            </w:r>
          </w:p>
        </w:tc>
        <w:tc>
          <w:tcPr>
            <w:tcW w:w="135"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-0.6</w:t>
            </w:r>
          </w:p>
        </w:tc>
        <w:tc>
          <w:tcPr>
            <w:tcW w:w="135"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-0.7</w:t>
            </w:r>
          </w:p>
        </w:tc>
        <w:tc>
          <w:tcPr>
            <w:tcW w:w="135"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-0.8</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-0.8</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-0.1</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-0.1</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-0.3</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0.0</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0.4</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0.7</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0.7</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1.2</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1.7</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1.9</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2.2</w:t>
            </w:r>
          </w:p>
        </w:tc>
        <w:tc>
          <w:tcPr>
            <w:tcW w:w="140"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2.2</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2.2</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2.1</w:t>
            </w:r>
          </w:p>
        </w:tc>
        <w:tc>
          <w:tcPr>
            <w:tcW w:w="13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2.4</w:t>
            </w:r>
          </w:p>
        </w:tc>
        <w:tc>
          <w:tcPr>
            <w:tcW w:w="139"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2.7</w:t>
            </w:r>
          </w:p>
        </w:tc>
        <w:tc>
          <w:tcPr>
            <w:tcW w:w="13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3.0</w:t>
            </w:r>
          </w:p>
        </w:tc>
        <w:tc>
          <w:tcPr>
            <w:tcW w:w="13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3.4</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3.7</w:t>
            </w:r>
          </w:p>
        </w:tc>
        <w:tc>
          <w:tcPr>
            <w:tcW w:w="13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4.1</w:t>
            </w:r>
          </w:p>
        </w:tc>
        <w:tc>
          <w:tcPr>
            <w:tcW w:w="139"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4.4</w:t>
            </w:r>
          </w:p>
        </w:tc>
        <w:tc>
          <w:tcPr>
            <w:tcW w:w="129"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04836">
              <w:rPr>
                <w:rFonts w:ascii="Calibri" w:hAnsi="Calibri"/>
                <w:color w:val="FFFFFF" w:themeColor="background1"/>
                <w:sz w:val="10"/>
                <w:szCs w:val="10"/>
              </w:rPr>
              <w:t>4.8</w:t>
            </w:r>
          </w:p>
        </w:tc>
      </w:tr>
      <w:tr w:rsidR="00A04836" w:rsidRPr="00A04836" w:rsidTr="00A04836">
        <w:trPr>
          <w:cantSplit/>
        </w:trPr>
        <w:tc>
          <w:tcPr>
            <w:cnfStyle w:val="001000000000" w:firstRow="0" w:lastRow="0" w:firstColumn="1" w:lastColumn="0" w:oddVBand="0" w:evenVBand="0" w:oddHBand="0" w:evenHBand="0" w:firstRowFirstColumn="0" w:firstRowLastColumn="0" w:lastRowFirstColumn="0" w:lastRowLastColumn="0"/>
            <w:tcW w:w="494" w:type="pct"/>
            <w:vAlign w:val="bottom"/>
          </w:tcPr>
          <w:p w:rsidR="00FB5CD7" w:rsidRPr="00A04836" w:rsidRDefault="00FB5CD7" w:rsidP="0032459D">
            <w:pPr>
              <w:spacing w:before="0" w:after="0" w:line="240" w:lineRule="auto"/>
              <w:ind w:left="0" w:right="0"/>
              <w:rPr>
                <w:rFonts w:ascii="Calibri" w:hAnsi="Calibri"/>
                <w:b/>
                <w:bCs/>
                <w:color w:val="FFFFFF" w:themeColor="background1"/>
                <w:sz w:val="10"/>
                <w:szCs w:val="10"/>
              </w:rPr>
            </w:pPr>
            <w:r w:rsidRPr="00A04836">
              <w:rPr>
                <w:rFonts w:ascii="Calibri" w:hAnsi="Calibri"/>
                <w:b/>
                <w:bCs/>
                <w:color w:val="FFFFFF" w:themeColor="background1"/>
                <w:sz w:val="10"/>
                <w:szCs w:val="10"/>
              </w:rPr>
              <w:t>TOTAL</w:t>
            </w:r>
          </w:p>
        </w:tc>
        <w:tc>
          <w:tcPr>
            <w:tcW w:w="136"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1.7</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2.2</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1.6</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3.5</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6.4</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7.0</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5.2</w:t>
            </w:r>
          </w:p>
        </w:tc>
        <w:tc>
          <w:tcPr>
            <w:tcW w:w="135"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8.0</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7.4</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10.1</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22.4</w:t>
            </w:r>
          </w:p>
        </w:tc>
        <w:tc>
          <w:tcPr>
            <w:tcW w:w="135"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29.6</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32.4</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38.3</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41.3</w:t>
            </w:r>
          </w:p>
        </w:tc>
        <w:tc>
          <w:tcPr>
            <w:tcW w:w="135"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44.8</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45.4</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50.4</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54.4</w:t>
            </w:r>
          </w:p>
        </w:tc>
        <w:tc>
          <w:tcPr>
            <w:tcW w:w="136"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57.8</w:t>
            </w:r>
          </w:p>
        </w:tc>
        <w:tc>
          <w:tcPr>
            <w:tcW w:w="137" w:type="pct"/>
            <w:gridSpan w:val="2"/>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61.6</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62.9</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63.8</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64.6</w:t>
            </w:r>
          </w:p>
        </w:tc>
        <w:tc>
          <w:tcPr>
            <w:tcW w:w="13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67.4</w:t>
            </w:r>
          </w:p>
        </w:tc>
        <w:tc>
          <w:tcPr>
            <w:tcW w:w="139"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70.2</w:t>
            </w:r>
          </w:p>
        </w:tc>
        <w:tc>
          <w:tcPr>
            <w:tcW w:w="13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73.1</w:t>
            </w:r>
          </w:p>
        </w:tc>
        <w:tc>
          <w:tcPr>
            <w:tcW w:w="13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76.1</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79.1</w:t>
            </w:r>
          </w:p>
        </w:tc>
        <w:tc>
          <w:tcPr>
            <w:tcW w:w="138"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82.0</w:t>
            </w:r>
          </w:p>
        </w:tc>
        <w:tc>
          <w:tcPr>
            <w:tcW w:w="137"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85.0</w:t>
            </w:r>
          </w:p>
        </w:tc>
        <w:tc>
          <w:tcPr>
            <w:tcW w:w="131" w:type="pct"/>
            <w:vAlign w:val="bottom"/>
          </w:tcPr>
          <w:p w:rsidR="00FB5CD7" w:rsidRPr="00A04836" w:rsidRDefault="00FB5CD7" w:rsidP="00FB5CD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04836">
              <w:rPr>
                <w:rFonts w:ascii="Calibri" w:hAnsi="Calibri"/>
                <w:b/>
                <w:bCs/>
                <w:color w:val="FFFFFF" w:themeColor="background1"/>
                <w:sz w:val="10"/>
                <w:szCs w:val="10"/>
              </w:rPr>
              <w:t>87.9</w:t>
            </w:r>
          </w:p>
        </w:tc>
      </w:tr>
    </w:tbl>
    <w:p w:rsidR="00953482" w:rsidRPr="00953482" w:rsidRDefault="00953482" w:rsidP="00DD519A">
      <w:pPr>
        <w:pStyle w:val="Source"/>
        <w:spacing w:before="4200"/>
      </w:pPr>
      <w:r w:rsidRPr="00953482">
        <w:t>Note: Figures provided are the annual cumulative percentage point change from 1993–94.</w:t>
      </w:r>
    </w:p>
    <w:p w:rsidR="005157D1" w:rsidRPr="00AE7431" w:rsidRDefault="005157D1" w:rsidP="00762E98">
      <w:pPr>
        <w:pStyle w:val="Source"/>
        <w:spacing w:before="4560"/>
      </w:pPr>
      <w:r w:rsidRPr="00AE7431">
        <w:t>Source: PBO analysis of MBS data from the D</w:t>
      </w:r>
      <w:r w:rsidR="00AE7431">
        <w:t xml:space="preserve">epartment of Human Services, </w:t>
      </w:r>
      <w:r w:rsidRPr="00AE7431">
        <w:t>ABS</w:t>
      </w:r>
      <w:r w:rsidR="00AE7431">
        <w:t xml:space="preserve"> and Treasury</w:t>
      </w:r>
      <w:r w:rsidRPr="00AE7431">
        <w:t>.</w:t>
      </w:r>
    </w:p>
    <w:p w:rsidR="00673684" w:rsidRDefault="00E77A4E" w:rsidP="00417931">
      <w:pPr>
        <w:pStyle w:val="BodyText"/>
        <w:rPr>
          <w:rFonts w:ascii="Calibri" w:eastAsia="Calibri" w:hAnsi="Calibri"/>
        </w:rPr>
      </w:pPr>
      <w:r w:rsidRPr="00DD0F3F">
        <w:t xml:space="preserve">The slower growth in projected spending compared to the past </w:t>
      </w:r>
      <w:r w:rsidR="00793D14" w:rsidRPr="00DD0F3F">
        <w:t xml:space="preserve">decade is expected to be predominantly </w:t>
      </w:r>
      <w:r w:rsidRPr="00DD0F3F">
        <w:t xml:space="preserve">driven by the decline in the benefit paid by the government for each service accessed.  </w:t>
      </w:r>
      <w:r w:rsidR="00B92E0B" w:rsidRPr="00DD0F3F">
        <w:t xml:space="preserve">Following </w:t>
      </w:r>
      <w:r w:rsidR="00EB28CC" w:rsidRPr="00DD0F3F">
        <w:t xml:space="preserve">real </w:t>
      </w:r>
      <w:r w:rsidR="00B92E0B" w:rsidRPr="00DD0F3F">
        <w:t xml:space="preserve">growth </w:t>
      </w:r>
      <w:r w:rsidR="00F710D0" w:rsidRPr="00DD0F3F">
        <w:t>of 0.7 per cent annually</w:t>
      </w:r>
      <w:r w:rsidR="000C4FAF" w:rsidRPr="00DD0F3F">
        <w:t xml:space="preserve"> </w:t>
      </w:r>
      <w:r w:rsidR="00F710D0" w:rsidRPr="00DD0F3F">
        <w:t xml:space="preserve">over the past decade, </w:t>
      </w:r>
      <w:r w:rsidR="0064381E" w:rsidRPr="00DD0F3F">
        <w:rPr>
          <w:rFonts w:ascii="Calibri" w:eastAsia="Calibri" w:hAnsi="Calibri"/>
        </w:rPr>
        <w:t xml:space="preserve">the benefit paid for each MBS service </w:t>
      </w:r>
      <w:r w:rsidR="00701DF4" w:rsidRPr="00DD0F3F">
        <w:rPr>
          <w:rFonts w:ascii="Calibri" w:eastAsia="Calibri" w:hAnsi="Calibri"/>
        </w:rPr>
        <w:t>i</w:t>
      </w:r>
      <w:r w:rsidR="00793D14" w:rsidRPr="00DD0F3F">
        <w:rPr>
          <w:rFonts w:ascii="Calibri" w:eastAsia="Calibri" w:hAnsi="Calibri"/>
        </w:rPr>
        <w:t xml:space="preserve">s projected to decline </w:t>
      </w:r>
      <w:r w:rsidR="00EB28CC" w:rsidRPr="00DD0F3F">
        <w:rPr>
          <w:rFonts w:ascii="Calibri" w:eastAsia="Calibri" w:hAnsi="Calibri"/>
        </w:rPr>
        <w:t xml:space="preserve">in real terms </w:t>
      </w:r>
      <w:r w:rsidR="00F710D0" w:rsidRPr="00DD0F3F">
        <w:rPr>
          <w:rFonts w:ascii="Calibri" w:eastAsia="Calibri" w:hAnsi="Calibri"/>
        </w:rPr>
        <w:t xml:space="preserve">by </w:t>
      </w:r>
      <w:r w:rsidR="00701DF4" w:rsidRPr="00DD0F3F">
        <w:rPr>
          <w:rFonts w:ascii="Calibri" w:eastAsia="Calibri" w:hAnsi="Calibri"/>
        </w:rPr>
        <w:t>0.8 per</w:t>
      </w:r>
      <w:r w:rsidR="00193420">
        <w:rPr>
          <w:rFonts w:ascii="Calibri" w:eastAsia="Calibri" w:hAnsi="Calibri"/>
        </w:rPr>
        <w:t> </w:t>
      </w:r>
      <w:r w:rsidR="00701DF4" w:rsidRPr="00DD0F3F">
        <w:rPr>
          <w:rFonts w:ascii="Calibri" w:eastAsia="Calibri" w:hAnsi="Calibri"/>
        </w:rPr>
        <w:t>cent annually over the next decade.</w:t>
      </w:r>
    </w:p>
    <w:p w:rsidR="003A3C79" w:rsidRPr="00E55F44" w:rsidRDefault="00793D14" w:rsidP="00417931">
      <w:pPr>
        <w:pStyle w:val="BodyText"/>
        <w:rPr>
          <w:rFonts w:ascii="Calibri" w:eastAsia="Calibri" w:hAnsi="Calibri"/>
        </w:rPr>
      </w:pPr>
      <w:r w:rsidRPr="00DD0F3F">
        <w:rPr>
          <w:rFonts w:ascii="Calibri" w:eastAsia="Calibri" w:hAnsi="Calibri"/>
        </w:rPr>
        <w:t xml:space="preserve">Marginally </w:t>
      </w:r>
      <w:r w:rsidR="00B92E0B" w:rsidRPr="00DD0F3F">
        <w:rPr>
          <w:rFonts w:ascii="Calibri" w:eastAsia="Calibri" w:hAnsi="Calibri"/>
        </w:rPr>
        <w:t xml:space="preserve">slower growth in the </w:t>
      </w:r>
      <w:r w:rsidR="006C786F" w:rsidRPr="00DD0F3F">
        <w:rPr>
          <w:rFonts w:ascii="Calibri" w:eastAsia="Calibri" w:hAnsi="Calibri"/>
        </w:rPr>
        <w:t xml:space="preserve">utilisation </w:t>
      </w:r>
      <w:r w:rsidR="00B92E0B" w:rsidRPr="00DD0F3F">
        <w:rPr>
          <w:rFonts w:ascii="Calibri" w:eastAsia="Calibri" w:hAnsi="Calibri"/>
        </w:rPr>
        <w:t>of services also</w:t>
      </w:r>
      <w:r w:rsidR="003A3C79" w:rsidRPr="00DD0F3F">
        <w:rPr>
          <w:rFonts w:ascii="Calibri" w:eastAsia="Calibri" w:hAnsi="Calibri"/>
        </w:rPr>
        <w:t xml:space="preserve"> </w:t>
      </w:r>
      <w:r w:rsidRPr="00DD0F3F">
        <w:rPr>
          <w:rFonts w:ascii="Calibri" w:eastAsia="Calibri" w:hAnsi="Calibri"/>
        </w:rPr>
        <w:t>contributes to</w:t>
      </w:r>
      <w:r w:rsidR="003A3C79" w:rsidRPr="00DD0F3F">
        <w:rPr>
          <w:rFonts w:ascii="Calibri" w:eastAsia="Calibri" w:hAnsi="Calibri"/>
        </w:rPr>
        <w:t xml:space="preserve"> the projected slowdown in</w:t>
      </w:r>
      <w:r w:rsidR="001A4F6A" w:rsidRPr="00DD0F3F">
        <w:rPr>
          <w:rFonts w:ascii="Calibri" w:eastAsia="Calibri" w:hAnsi="Calibri"/>
        </w:rPr>
        <w:t xml:space="preserve"> </w:t>
      </w:r>
      <w:r w:rsidR="0064381E" w:rsidRPr="00DD0F3F">
        <w:rPr>
          <w:rFonts w:ascii="Calibri" w:eastAsia="Calibri" w:hAnsi="Calibri"/>
        </w:rPr>
        <w:t>spending</w:t>
      </w:r>
      <w:r w:rsidR="002F649C" w:rsidRPr="00DD0F3F">
        <w:rPr>
          <w:rFonts w:ascii="Calibri" w:eastAsia="Calibri" w:hAnsi="Calibri"/>
        </w:rPr>
        <w:t xml:space="preserve"> growth</w:t>
      </w:r>
      <w:r w:rsidR="00EB28CC" w:rsidRPr="00DD0F3F">
        <w:rPr>
          <w:rFonts w:ascii="Calibri" w:eastAsia="Calibri" w:hAnsi="Calibri"/>
        </w:rPr>
        <w:t>, reflecting the</w:t>
      </w:r>
      <w:r w:rsidR="003A3C79" w:rsidRPr="00DD0F3F">
        <w:rPr>
          <w:rFonts w:ascii="Calibri" w:eastAsia="Calibri" w:hAnsi="Calibri"/>
        </w:rPr>
        <w:t xml:space="preserve"> recent slower growth in the </w:t>
      </w:r>
      <w:r w:rsidR="006C786F" w:rsidRPr="00DD0F3F">
        <w:rPr>
          <w:rFonts w:ascii="Calibri" w:eastAsia="Calibri" w:hAnsi="Calibri"/>
        </w:rPr>
        <w:t xml:space="preserve">utilisation </w:t>
      </w:r>
      <w:r w:rsidR="003A3C79" w:rsidRPr="00DD0F3F">
        <w:rPr>
          <w:rFonts w:ascii="Calibri" w:eastAsia="Calibri" w:hAnsi="Calibri"/>
        </w:rPr>
        <w:t xml:space="preserve">of MBS </w:t>
      </w:r>
      <w:r w:rsidR="003A3C79" w:rsidRPr="00E55F44">
        <w:rPr>
          <w:rFonts w:ascii="Calibri" w:eastAsia="Calibri" w:hAnsi="Calibri"/>
        </w:rPr>
        <w:t xml:space="preserve">services </w:t>
      </w:r>
      <w:r w:rsidR="001A4F6A" w:rsidRPr="00E55F44">
        <w:rPr>
          <w:rFonts w:ascii="Calibri" w:eastAsia="Calibri" w:hAnsi="Calibri"/>
        </w:rPr>
        <w:t xml:space="preserve">added </w:t>
      </w:r>
      <w:r w:rsidR="006C786F" w:rsidRPr="00E55F44">
        <w:rPr>
          <w:rFonts w:ascii="Calibri" w:eastAsia="Calibri" w:hAnsi="Calibri"/>
        </w:rPr>
        <w:t xml:space="preserve">during </w:t>
      </w:r>
      <w:r w:rsidR="001A4F6A" w:rsidRPr="00E55F44">
        <w:rPr>
          <w:rFonts w:ascii="Calibri" w:eastAsia="Calibri" w:hAnsi="Calibri"/>
        </w:rPr>
        <w:t>the past decade</w:t>
      </w:r>
      <w:r w:rsidR="003A3C79" w:rsidRPr="00E55F44">
        <w:rPr>
          <w:rFonts w:ascii="Calibri" w:eastAsia="Calibri" w:hAnsi="Calibri"/>
        </w:rPr>
        <w:t>.</w:t>
      </w:r>
    </w:p>
    <w:p w:rsidR="00F54832" w:rsidRDefault="00E77A4E" w:rsidP="00417931">
      <w:pPr>
        <w:pStyle w:val="BodyText"/>
      </w:pPr>
      <w:r w:rsidRPr="00E55F44">
        <w:t xml:space="preserve">Growth in spending </w:t>
      </w:r>
      <w:r w:rsidR="00C244CA" w:rsidRPr="00E55F44">
        <w:t>per person</w:t>
      </w:r>
      <w:r w:rsidRPr="00E55F44">
        <w:t xml:space="preserve"> on GP services is projected to slow </w:t>
      </w:r>
      <w:r w:rsidR="00E72ED2" w:rsidRPr="00E55F44">
        <w:t xml:space="preserve">sharply </w:t>
      </w:r>
      <w:r w:rsidRPr="00E55F44">
        <w:t xml:space="preserve">to 1.2 per cent annually </w:t>
      </w:r>
      <w:r w:rsidR="00793D14" w:rsidRPr="00E55F44">
        <w:t>from 3.7 per cent annuall</w:t>
      </w:r>
      <w:r w:rsidR="00CD7D42" w:rsidRPr="00E55F44">
        <w:t>y over the past decade</w:t>
      </w:r>
      <w:r w:rsidR="00793D14" w:rsidRPr="00E55F44">
        <w:t xml:space="preserve"> </w:t>
      </w:r>
      <w:r w:rsidRPr="00E55F44">
        <w:t>in real t</w:t>
      </w:r>
      <w:r w:rsidR="00A46235" w:rsidRPr="00E55F44">
        <w:t>erms</w:t>
      </w:r>
      <w:r w:rsidR="00CB6305" w:rsidRPr="00E55F44">
        <w:t xml:space="preserve">, largely due to a slowing in the </w:t>
      </w:r>
      <w:r w:rsidR="002C0594" w:rsidRPr="00E55F44">
        <w:t xml:space="preserve">growth in the </w:t>
      </w:r>
      <w:r w:rsidR="00CB6305" w:rsidRPr="00E55F44">
        <w:t>benefit paid for each GP service</w:t>
      </w:r>
      <w:r w:rsidR="00CD7D42" w:rsidRPr="00E55F44">
        <w:t>.</w:t>
      </w:r>
      <w:r w:rsidR="00A46235" w:rsidRPr="00E55F44">
        <w:t xml:space="preserve"> </w:t>
      </w:r>
      <w:r w:rsidR="00CD7D42" w:rsidRPr="00E55F44">
        <w:t xml:space="preserve"> </w:t>
      </w:r>
      <w:r w:rsidR="001313AD" w:rsidRPr="00E55F44">
        <w:t>Strong g</w:t>
      </w:r>
      <w:r w:rsidR="00C96E0D" w:rsidRPr="00E55F44">
        <w:t xml:space="preserve">rowth </w:t>
      </w:r>
      <w:r w:rsidR="00CB6305" w:rsidRPr="00E55F44">
        <w:t xml:space="preserve">in the benefit paid for each service </w:t>
      </w:r>
      <w:r w:rsidR="00C96E0D" w:rsidRPr="00E55F44">
        <w:t>over the past decade r</w:t>
      </w:r>
      <w:r w:rsidR="001313AD" w:rsidRPr="00E55F44">
        <w:t>esulted from t</w:t>
      </w:r>
      <w:r w:rsidR="00C96E0D" w:rsidRPr="00E55F44">
        <w:t>he one-off impact of the increase in the GP rebate from 85 to 100 per cent in 2004</w:t>
      </w:r>
      <w:r w:rsidR="008C2BF6">
        <w:t>–</w:t>
      </w:r>
      <w:r w:rsidR="00C96E0D" w:rsidRPr="00E55F44">
        <w:t xml:space="preserve">05.  </w:t>
      </w:r>
      <w:r w:rsidR="00CD7D42" w:rsidRPr="00E55F44">
        <w:t>Th</w:t>
      </w:r>
      <w:r w:rsidR="00C96E0D" w:rsidRPr="00E55F44">
        <w:t>e</w:t>
      </w:r>
      <w:r w:rsidR="004D4ADE" w:rsidRPr="00E55F44">
        <w:t xml:space="preserve"> projected </w:t>
      </w:r>
      <w:r w:rsidR="00C96E0D" w:rsidRPr="00E55F44">
        <w:t>s</w:t>
      </w:r>
      <w:r w:rsidR="00CB6305" w:rsidRPr="00E55F44">
        <w:t xml:space="preserve">lower growth </w:t>
      </w:r>
      <w:r w:rsidR="00C96E0D" w:rsidRPr="00E55F44">
        <w:t>reflects the combination of the flat</w:t>
      </w:r>
      <w:r w:rsidR="00151DF3" w:rsidRPr="00E55F44">
        <w:t xml:space="preserve"> growth in the</w:t>
      </w:r>
      <w:r w:rsidR="00CB6305" w:rsidRPr="00E55F44">
        <w:t xml:space="preserve"> </w:t>
      </w:r>
      <w:r w:rsidR="00C96E0D" w:rsidRPr="00E55F44">
        <w:t xml:space="preserve">benefit paid since the one-off increase in the </w:t>
      </w:r>
      <w:r w:rsidR="005653A3" w:rsidRPr="00E55F44">
        <w:t>GP rebate and</w:t>
      </w:r>
      <w:r w:rsidR="00C96E0D" w:rsidRPr="00E55F44">
        <w:t xml:space="preserve"> government decisions to pause the indexation of GP benefits until 2017–18.</w:t>
      </w:r>
    </w:p>
    <w:p w:rsidR="00D216AD" w:rsidRDefault="0009708A" w:rsidP="00417931">
      <w:pPr>
        <w:pStyle w:val="BodyText"/>
      </w:pPr>
      <w:r w:rsidRPr="00DD0F3F">
        <w:t xml:space="preserve">Slightly slower growth in </w:t>
      </w:r>
      <w:r w:rsidR="00673684" w:rsidRPr="00DD0F3F">
        <w:t>GP attendance rates</w:t>
      </w:r>
      <w:r w:rsidR="00EB28CC" w:rsidRPr="00DD0F3F">
        <w:t>,</w:t>
      </w:r>
      <w:r w:rsidR="00D97122" w:rsidRPr="00DD0F3F">
        <w:t xml:space="preserve"> largely </w:t>
      </w:r>
      <w:r w:rsidRPr="00DD0F3F">
        <w:t xml:space="preserve">due to slower growth in attendance rates of </w:t>
      </w:r>
      <w:r w:rsidR="00673684" w:rsidRPr="00DD0F3F">
        <w:t>males aged 75 and over</w:t>
      </w:r>
      <w:r w:rsidR="00E72ED2" w:rsidRPr="00DD0F3F">
        <w:t>, which</w:t>
      </w:r>
      <w:r w:rsidR="00673684" w:rsidRPr="00DD0F3F">
        <w:t xml:space="preserve"> have caught up to equivalent female attendance rates</w:t>
      </w:r>
      <w:r w:rsidRPr="00DD0F3F">
        <w:t xml:space="preserve">, also contributes </w:t>
      </w:r>
      <w:r w:rsidR="00423DB6" w:rsidRPr="00DD0F3F">
        <w:t xml:space="preserve">marginally </w:t>
      </w:r>
      <w:r w:rsidRPr="00DD0F3F">
        <w:t>to the slowing</w:t>
      </w:r>
      <w:r w:rsidR="00EB28CC" w:rsidRPr="00DD0F3F">
        <w:t xml:space="preserve"> in spending per person on GP services</w:t>
      </w:r>
      <w:r w:rsidR="00E77A4E" w:rsidRPr="00DD0F3F">
        <w:t>.</w:t>
      </w:r>
    </w:p>
    <w:p w:rsidR="00D216AD" w:rsidRDefault="00D216AD" w:rsidP="00417931">
      <w:pPr>
        <w:pStyle w:val="BodyText"/>
        <w:sectPr w:rsidR="00D216AD" w:rsidSect="00A549AA">
          <w:pgSz w:w="11906" w:h="16838" w:code="9"/>
          <w:pgMar w:top="1361" w:right="1797" w:bottom="1560" w:left="1797" w:header="284" w:footer="454" w:gutter="0"/>
          <w:pgNumType w:fmt="lowerRoman"/>
          <w:cols w:space="708"/>
          <w:docGrid w:linePitch="360"/>
        </w:sectPr>
      </w:pPr>
    </w:p>
    <w:p w:rsidR="00E77A4E" w:rsidRPr="00DD0F3F" w:rsidRDefault="00423DB6" w:rsidP="00417931">
      <w:pPr>
        <w:pStyle w:val="BodyText"/>
      </w:pPr>
      <w:r w:rsidRPr="00DD0F3F">
        <w:lastRenderedPageBreak/>
        <w:t>G</w:t>
      </w:r>
      <w:r w:rsidR="00E77A4E" w:rsidRPr="00DD0F3F">
        <w:t xml:space="preserve">rowth in spending </w:t>
      </w:r>
      <w:r w:rsidR="00C244CA" w:rsidRPr="00DD0F3F">
        <w:t>per person</w:t>
      </w:r>
      <w:r w:rsidR="00E77A4E" w:rsidRPr="00DD0F3F">
        <w:t xml:space="preserve"> on pathology and diagnostics services is projected to slow </w:t>
      </w:r>
      <w:r w:rsidR="008960D0" w:rsidRPr="00DD0F3F">
        <w:t xml:space="preserve">considerably </w:t>
      </w:r>
      <w:r w:rsidR="00E77A4E" w:rsidRPr="00DD0F3F">
        <w:t xml:space="preserve">to 1.0 per cent annually </w:t>
      </w:r>
      <w:r w:rsidR="0009708A" w:rsidRPr="00DD0F3F">
        <w:t xml:space="preserve">from </w:t>
      </w:r>
      <w:r w:rsidR="00CD7D42" w:rsidRPr="00DD0F3F">
        <w:t xml:space="preserve">2.4 per cent annually over the past decade </w:t>
      </w:r>
      <w:r w:rsidR="00E77A4E" w:rsidRPr="00DD0F3F">
        <w:t>in real terms</w:t>
      </w:r>
      <w:r w:rsidR="00CD7D42" w:rsidRPr="00DD0F3F">
        <w:t xml:space="preserve">. </w:t>
      </w:r>
      <w:r w:rsidR="00E77A4E" w:rsidRPr="00DD0F3F">
        <w:t xml:space="preserve"> </w:t>
      </w:r>
      <w:r w:rsidR="001313AD">
        <w:t xml:space="preserve">This </w:t>
      </w:r>
      <w:r w:rsidR="00D97122" w:rsidRPr="00DD0F3F">
        <w:t xml:space="preserve">largely </w:t>
      </w:r>
      <w:r w:rsidRPr="00DD0F3F">
        <w:t>reflects</w:t>
      </w:r>
      <w:r w:rsidR="00E77A4E" w:rsidRPr="00DD0F3F">
        <w:t xml:space="preserve"> </w:t>
      </w:r>
      <w:r w:rsidR="00CD7D42" w:rsidRPr="00DD0F3F">
        <w:t xml:space="preserve">a slowing in growth in </w:t>
      </w:r>
      <w:r w:rsidR="00935D81" w:rsidRPr="00DD0F3F">
        <w:t xml:space="preserve">the number of </w:t>
      </w:r>
      <w:r w:rsidR="0069789D" w:rsidRPr="00DD0F3F">
        <w:t xml:space="preserve">pathology and diagnostic services </w:t>
      </w:r>
      <w:r w:rsidR="00CD7D42" w:rsidRPr="00DD0F3F">
        <w:t xml:space="preserve">used by </w:t>
      </w:r>
      <w:r w:rsidR="006E427B" w:rsidRPr="00DD0F3F">
        <w:t xml:space="preserve">males aged 75 and over </w:t>
      </w:r>
      <w:r w:rsidRPr="00DD0F3F">
        <w:t xml:space="preserve">which have </w:t>
      </w:r>
      <w:r w:rsidR="006E427B" w:rsidRPr="00DD0F3F">
        <w:t xml:space="preserve">caught up to </w:t>
      </w:r>
      <w:r w:rsidR="00935D81" w:rsidRPr="00DD0F3F">
        <w:t xml:space="preserve">that of </w:t>
      </w:r>
      <w:r w:rsidRPr="00DD0F3F">
        <w:t xml:space="preserve">equivalent </w:t>
      </w:r>
      <w:r w:rsidR="00DB7D63">
        <w:t xml:space="preserve">services </w:t>
      </w:r>
      <w:r w:rsidRPr="00DD0F3F">
        <w:t>used</w:t>
      </w:r>
      <w:r w:rsidR="00A744A2" w:rsidRPr="00DD0F3F">
        <w:t xml:space="preserve"> </w:t>
      </w:r>
      <w:r w:rsidR="00DB7D63">
        <w:t xml:space="preserve">by females </w:t>
      </w:r>
      <w:r w:rsidR="00A744A2" w:rsidRPr="00DD0F3F">
        <w:t>over the past decade</w:t>
      </w:r>
      <w:r w:rsidR="006E427B" w:rsidRPr="00DD0F3F">
        <w:t xml:space="preserve">.  </w:t>
      </w:r>
      <w:r w:rsidR="00E77A4E" w:rsidRPr="00DD0F3F">
        <w:t xml:space="preserve">The benefit paid per service is expected to continue to decline in real terms </w:t>
      </w:r>
      <w:r w:rsidR="00402D5E" w:rsidRPr="00DD0F3F">
        <w:t xml:space="preserve">consistent with the trend </w:t>
      </w:r>
      <w:r w:rsidR="00087B4F" w:rsidRPr="00DD0F3F">
        <w:t>of</w:t>
      </w:r>
      <w:r w:rsidR="00402D5E" w:rsidRPr="00DD0F3F">
        <w:t xml:space="preserve"> the past </w:t>
      </w:r>
      <w:r w:rsidR="009F6EC2" w:rsidRPr="00DD0F3F">
        <w:t>d</w:t>
      </w:r>
      <w:r w:rsidR="00402D5E" w:rsidRPr="00DD0F3F">
        <w:t>ecade.</w:t>
      </w:r>
    </w:p>
    <w:p w:rsidR="00E77A4E" w:rsidRDefault="00E77A4E" w:rsidP="00417931">
      <w:pPr>
        <w:pStyle w:val="BodyText"/>
      </w:pPr>
      <w:r w:rsidRPr="00DD0F3F">
        <w:t xml:space="preserve">Growth in spending on allied health services </w:t>
      </w:r>
      <w:r w:rsidR="00C244CA" w:rsidRPr="00DD0F3F">
        <w:t>per person</w:t>
      </w:r>
      <w:r w:rsidRPr="00DD0F3F">
        <w:t xml:space="preserve"> is projected to slow to 2.9 per cent annually </w:t>
      </w:r>
      <w:r w:rsidR="00CD7D42" w:rsidRPr="00DD0F3F">
        <w:t xml:space="preserve">from 12.7 per cent annually over the past decade </w:t>
      </w:r>
      <w:r w:rsidRPr="00DD0F3F">
        <w:t xml:space="preserve">in real terms.  This slowing in </w:t>
      </w:r>
      <w:r w:rsidR="00935D81" w:rsidRPr="00DD0F3F">
        <w:t xml:space="preserve">spending </w:t>
      </w:r>
      <w:r w:rsidRPr="00DD0F3F">
        <w:t xml:space="preserve">growth </w:t>
      </w:r>
      <w:r w:rsidR="00CD7D42" w:rsidRPr="00DD0F3F">
        <w:t xml:space="preserve">largely </w:t>
      </w:r>
      <w:r w:rsidR="00935D81" w:rsidRPr="00DD0F3F">
        <w:t xml:space="preserve">reflects </w:t>
      </w:r>
      <w:r w:rsidR="00CD7D42" w:rsidRPr="00DD0F3F">
        <w:t xml:space="preserve">the </w:t>
      </w:r>
      <w:r w:rsidR="00935D81" w:rsidRPr="00DD0F3F">
        <w:t xml:space="preserve">recent slower growth in the use of these services </w:t>
      </w:r>
      <w:r w:rsidR="007E04F3" w:rsidRPr="00DD0F3F">
        <w:t>and</w:t>
      </w:r>
      <w:r w:rsidR="00D97122" w:rsidRPr="00DD0F3F">
        <w:t>,</w:t>
      </w:r>
      <w:r w:rsidR="007E04F3" w:rsidRPr="00DD0F3F">
        <w:t xml:space="preserve"> to a lesser degree</w:t>
      </w:r>
      <w:r w:rsidR="00D97122" w:rsidRPr="00DD0F3F">
        <w:t>,</w:t>
      </w:r>
      <w:r w:rsidR="007E04F3" w:rsidRPr="00DD0F3F">
        <w:t xml:space="preserve"> </w:t>
      </w:r>
      <w:r w:rsidR="00402D5E" w:rsidRPr="00DD0F3F">
        <w:t xml:space="preserve">the </w:t>
      </w:r>
      <w:r w:rsidR="00F40E45">
        <w:t>benefit paid by the government for each service accessed</w:t>
      </w:r>
      <w:r w:rsidR="007E04F3" w:rsidRPr="00DD0F3F">
        <w:t>.</w:t>
      </w:r>
    </w:p>
    <w:p w:rsidR="006517D6" w:rsidRPr="00392519" w:rsidRDefault="006517D6" w:rsidP="00E55F44">
      <w:pPr>
        <w:pStyle w:val="Heading3"/>
        <w:numPr>
          <w:ilvl w:val="0"/>
          <w:numId w:val="0"/>
        </w:numPr>
        <w:ind w:left="765" w:hanging="765"/>
      </w:pPr>
      <w:r w:rsidRPr="00A660B0">
        <w:t>The impact of ageing on projected growth</w:t>
      </w:r>
      <w:r w:rsidR="00E23DB4" w:rsidRPr="00A660B0">
        <w:t xml:space="preserve"> </w:t>
      </w:r>
      <w:r w:rsidR="009B7C4A" w:rsidRPr="00A660B0">
        <w:t>in MBS spending</w:t>
      </w:r>
    </w:p>
    <w:p w:rsidR="009B7C4A" w:rsidRPr="00DD0F3F" w:rsidRDefault="009B7C4A" w:rsidP="00417931">
      <w:pPr>
        <w:pStyle w:val="BodyText"/>
      </w:pPr>
      <w:r w:rsidRPr="00DD0F3F">
        <w:t>As noted earlier, MBS spending per person is projected to grow in real terms by 1.4 per cent from 2014</w:t>
      </w:r>
      <w:r w:rsidR="00CD21CA">
        <w:t>–</w:t>
      </w:r>
      <w:r w:rsidRPr="00DD0F3F">
        <w:t>15 to 2025</w:t>
      </w:r>
      <w:r w:rsidR="00CD21CA">
        <w:t>–</w:t>
      </w:r>
      <w:r w:rsidRPr="00DD0F3F">
        <w:t xml:space="preserve">26.  As discussed in the 2015 Intergenerational Report, this growth will be largely driven by non-demographic factors such as rising income, wage costs in the health sector, changes in disease rates and technological change, which impact on the number of services used by patients and the benefits paid by the government for </w:t>
      </w:r>
      <w:r w:rsidR="00A46235" w:rsidRPr="00DD0F3F">
        <w:t xml:space="preserve">these </w:t>
      </w:r>
      <w:r w:rsidRPr="00DD0F3F">
        <w:t>services.</w:t>
      </w:r>
    </w:p>
    <w:p w:rsidR="00985CB6" w:rsidRDefault="009B7C4A" w:rsidP="00417931">
      <w:pPr>
        <w:pStyle w:val="BodyText"/>
      </w:pPr>
      <w:r w:rsidRPr="00DD0F3F">
        <w:t xml:space="preserve">The ageing of the population (the increase in the proportion of the population in older age groups) is </w:t>
      </w:r>
      <w:r w:rsidR="00032D4E" w:rsidRPr="00DD0F3F">
        <w:t xml:space="preserve">projected </w:t>
      </w:r>
      <w:r w:rsidRPr="00DD0F3F">
        <w:t>to account for around one third of the annual growth in spending per person between 2014</w:t>
      </w:r>
      <w:r w:rsidR="00CD21CA">
        <w:t>–</w:t>
      </w:r>
      <w:r w:rsidRPr="00DD0F3F">
        <w:t>15 and 2025</w:t>
      </w:r>
      <w:r w:rsidR="00CD21CA">
        <w:t>–</w:t>
      </w:r>
      <w:r w:rsidRPr="00DD0F3F">
        <w:t>26.</w:t>
      </w:r>
    </w:p>
    <w:p w:rsidR="00CC5B54" w:rsidRDefault="00CC5B54" w:rsidP="00CD21CA">
      <w:pPr>
        <w:pStyle w:val="OverviewBodyText"/>
      </w:pPr>
    </w:p>
    <w:p w:rsidR="00CC5B54" w:rsidRDefault="00CC5B54" w:rsidP="00CD21CA">
      <w:pPr>
        <w:pStyle w:val="OverviewBodyText"/>
        <w:sectPr w:rsidR="00CC5B54" w:rsidSect="00A13FBE">
          <w:pgSz w:w="11906" w:h="16838" w:code="9"/>
          <w:pgMar w:top="1361" w:right="1797" w:bottom="1474" w:left="1797" w:header="284" w:footer="454" w:gutter="0"/>
          <w:pgNumType w:fmt="lowerRoman"/>
          <w:cols w:space="708"/>
          <w:docGrid w:linePitch="360"/>
        </w:sectPr>
      </w:pPr>
    </w:p>
    <w:p w:rsidR="00903E3F" w:rsidRPr="00227D7D" w:rsidRDefault="00E17F21" w:rsidP="00826CC3">
      <w:pPr>
        <w:pStyle w:val="Heading1"/>
      </w:pPr>
      <w:bookmarkStart w:id="22" w:name="_Toc436050776"/>
      <w:bookmarkStart w:id="23" w:name="_Toc436205148"/>
      <w:bookmarkStart w:id="24" w:name="_Toc436208545"/>
      <w:r w:rsidRPr="00227D7D">
        <w:lastRenderedPageBreak/>
        <w:t>Medicare Benefits Schedule</w:t>
      </w:r>
      <w:bookmarkEnd w:id="2"/>
      <w:bookmarkEnd w:id="3"/>
      <w:bookmarkEnd w:id="4"/>
      <w:bookmarkEnd w:id="22"/>
      <w:bookmarkEnd w:id="23"/>
      <w:bookmarkEnd w:id="24"/>
    </w:p>
    <w:p w:rsidR="004F36CC" w:rsidRPr="00227D7D" w:rsidRDefault="00EC220B" w:rsidP="00CD21CA">
      <w:pPr>
        <w:pStyle w:val="BodyText"/>
      </w:pPr>
      <w:r w:rsidRPr="00BE12A6">
        <w:t>T</w:t>
      </w:r>
      <w:r w:rsidR="00D55457" w:rsidRPr="00BE12A6">
        <w:t>he Medicare Benefits Schedule (</w:t>
      </w:r>
      <w:r w:rsidR="00DF7D43" w:rsidRPr="00BE12A6">
        <w:t>MBS</w:t>
      </w:r>
      <w:r w:rsidR="00D55457" w:rsidRPr="00BE12A6">
        <w:t xml:space="preserve">) was introduced </w:t>
      </w:r>
      <w:r w:rsidRPr="000A7084">
        <w:t>in February 1984</w:t>
      </w:r>
      <w:r w:rsidR="00051C98" w:rsidRPr="000A7084">
        <w:t xml:space="preserve"> </w:t>
      </w:r>
      <w:r w:rsidR="00BC21BF">
        <w:t>as part of the broader Medicare</w:t>
      </w:r>
      <w:r w:rsidR="00E96DE1" w:rsidRPr="00701D20">
        <w:rPr>
          <w:rStyle w:val="FootnoteReference"/>
        </w:rPr>
        <w:footnoteReference w:id="1"/>
      </w:r>
      <w:r w:rsidR="00BC21BF">
        <w:t xml:space="preserve"> health insurance scheme</w:t>
      </w:r>
      <w:r w:rsidR="00BC21BF" w:rsidRPr="00345AA9">
        <w:t xml:space="preserve"> </w:t>
      </w:r>
      <w:r w:rsidR="00D55457" w:rsidRPr="00345AA9">
        <w:t xml:space="preserve">to </w:t>
      </w:r>
      <w:r w:rsidR="004F36CC" w:rsidRPr="00FD7186">
        <w:t xml:space="preserve">provide universal </w:t>
      </w:r>
      <w:r w:rsidR="00C71246" w:rsidRPr="006D77AB">
        <w:t xml:space="preserve">access to </w:t>
      </w:r>
      <w:r w:rsidR="004F36CC" w:rsidRPr="00D63179">
        <w:t>government</w:t>
      </w:r>
      <w:r w:rsidR="001953E7" w:rsidRPr="00D63179">
        <w:t xml:space="preserve"> </w:t>
      </w:r>
      <w:r w:rsidR="00D55457" w:rsidRPr="00D63179">
        <w:t>subsidised health services</w:t>
      </w:r>
      <w:r w:rsidR="006E4317" w:rsidRPr="00D63179">
        <w:t xml:space="preserve">. </w:t>
      </w:r>
      <w:r w:rsidR="004F36CC" w:rsidRPr="00D63179">
        <w:t xml:space="preserve"> Prior to this, except for a short per</w:t>
      </w:r>
      <w:r w:rsidR="004F36CC" w:rsidRPr="00BE12A6">
        <w:t xml:space="preserve">iod </w:t>
      </w:r>
      <w:r w:rsidR="002A6E64">
        <w:t>from</w:t>
      </w:r>
      <w:r w:rsidR="004F36CC" w:rsidRPr="00BE12A6">
        <w:t xml:space="preserve"> the mid-1970s</w:t>
      </w:r>
      <w:r w:rsidR="00EF13C6" w:rsidRPr="00EF13C6">
        <w:t xml:space="preserve"> </w:t>
      </w:r>
      <w:r w:rsidR="00EF13C6">
        <w:t>to 1981</w:t>
      </w:r>
      <w:r w:rsidR="004F36CC" w:rsidRPr="00BE12A6">
        <w:t xml:space="preserve">, </w:t>
      </w:r>
      <w:r w:rsidR="009605AF" w:rsidRPr="00BE12A6">
        <w:t xml:space="preserve">most </w:t>
      </w:r>
      <w:r w:rsidR="00CF01D1" w:rsidRPr="00BE12A6">
        <w:t>Australians had to either purchase private health insurance or provide for their own health care outside hospitals</w:t>
      </w:r>
      <w:r w:rsidR="00F04494">
        <w:t>.</w:t>
      </w:r>
      <w:r w:rsidR="00085B6F" w:rsidRPr="00701D20">
        <w:rPr>
          <w:rStyle w:val="FootnoteReference"/>
        </w:rPr>
        <w:footnoteReference w:id="2"/>
      </w:r>
    </w:p>
    <w:p w:rsidR="00114C27" w:rsidRPr="00227D7D" w:rsidRDefault="00DF7D43" w:rsidP="00CD21CA">
      <w:pPr>
        <w:pStyle w:val="BodyText"/>
      </w:pPr>
      <w:r>
        <w:t>The MBS</w:t>
      </w:r>
      <w:r w:rsidR="00E52D66" w:rsidRPr="00227D7D">
        <w:t xml:space="preserve"> currently</w:t>
      </w:r>
      <w:r w:rsidR="00866F09" w:rsidRPr="00227D7D">
        <w:t xml:space="preserve"> covers </w:t>
      </w:r>
      <w:r w:rsidR="00A40F11" w:rsidRPr="00227D7D">
        <w:t>professional consultations with doctors, specialists and o</w:t>
      </w:r>
      <w:r w:rsidR="00773662" w:rsidRPr="00227D7D">
        <w:t xml:space="preserve">ther health care professionals; </w:t>
      </w:r>
      <w:r w:rsidR="00A40F11" w:rsidRPr="00227D7D">
        <w:t xml:space="preserve">pathology </w:t>
      </w:r>
      <w:r w:rsidR="00D3428D" w:rsidRPr="00227D7D">
        <w:t>and other dia</w:t>
      </w:r>
      <w:r w:rsidR="00773662" w:rsidRPr="00227D7D">
        <w:t>gnostic services; and operations and procedures undertaken in surgeries and hospitals</w:t>
      </w:r>
      <w:r w:rsidR="00727C09" w:rsidRPr="00227D7D">
        <w:t>.</w:t>
      </w:r>
    </w:p>
    <w:p w:rsidR="002D664C" w:rsidRPr="00227D7D" w:rsidRDefault="005D66D0" w:rsidP="00CD21CA">
      <w:pPr>
        <w:pStyle w:val="BodyText"/>
      </w:pPr>
      <w:r w:rsidRPr="00227D7D">
        <w:t>Each service</w:t>
      </w:r>
      <w:r w:rsidR="003B17D3" w:rsidRPr="00227D7D">
        <w:t xml:space="preserve"> funded through </w:t>
      </w:r>
      <w:r w:rsidR="00DF7D43">
        <w:t>the MBS</w:t>
      </w:r>
      <w:r w:rsidRPr="00227D7D">
        <w:t xml:space="preserve"> is</w:t>
      </w:r>
      <w:r w:rsidR="00A602C8" w:rsidRPr="00227D7D">
        <w:t xml:space="preserve"> allocated a unique item number</w:t>
      </w:r>
      <w:r w:rsidRPr="00227D7D">
        <w:t xml:space="preserve"> associated with a full description of the service, a</w:t>
      </w:r>
      <w:r w:rsidR="00EF13C6">
        <w:t xml:space="preserve"> fee for service or</w:t>
      </w:r>
      <w:r w:rsidRPr="00227D7D">
        <w:t xml:space="preserve"> ‘Schedule Fee’, and the relevant benefit level</w:t>
      </w:r>
      <w:r w:rsidR="00EF13C6">
        <w:t xml:space="preserve"> paid by the government</w:t>
      </w:r>
      <w:r w:rsidR="00266F0A" w:rsidRPr="00227D7D">
        <w:t>.</w:t>
      </w:r>
    </w:p>
    <w:p w:rsidR="005E69C6" w:rsidRDefault="003B17D3" w:rsidP="00CD21CA">
      <w:pPr>
        <w:pStyle w:val="BodyText"/>
      </w:pPr>
      <w:r w:rsidRPr="00227D7D">
        <w:t>The Schedule Fee for an item is determined at the time of listing and calculated in consul</w:t>
      </w:r>
      <w:r w:rsidR="0021524D">
        <w:t>tation with the medical profession</w:t>
      </w:r>
      <w:r w:rsidR="00266F0A" w:rsidRPr="00227D7D">
        <w:t xml:space="preserve">.  </w:t>
      </w:r>
      <w:r w:rsidRPr="00227D7D">
        <w:t>It takes into account the direct and indirect costs of providing the service (for example</w:t>
      </w:r>
      <w:r w:rsidR="00826292" w:rsidRPr="00227D7D">
        <w:t>,</w:t>
      </w:r>
      <w:r w:rsidRPr="00227D7D">
        <w:t xml:space="preserve"> the length and complexity of the service, any consumables used, </w:t>
      </w:r>
      <w:r w:rsidR="00372827" w:rsidRPr="00227D7D">
        <w:t xml:space="preserve">administrative costs </w:t>
      </w:r>
      <w:r w:rsidRPr="00227D7D">
        <w:t>and rent for premises)</w:t>
      </w:r>
      <w:r w:rsidR="005A4D4B">
        <w:t>.</w:t>
      </w:r>
      <w:r w:rsidR="005E69C6">
        <w:t xml:space="preserve">  The Schedule Fee</w:t>
      </w:r>
      <w:r w:rsidR="00A37CF4">
        <w:t>s</w:t>
      </w:r>
      <w:r w:rsidR="005E69C6">
        <w:t xml:space="preserve"> for </w:t>
      </w:r>
      <w:r w:rsidR="005E69C6" w:rsidRPr="00DD6AE0">
        <w:t xml:space="preserve">MBS items are generally indexed yearly by a </w:t>
      </w:r>
      <w:r w:rsidR="00D458C9">
        <w:t xml:space="preserve">combination of a </w:t>
      </w:r>
      <w:r w:rsidR="005E69C6" w:rsidRPr="00DD6AE0">
        <w:t xml:space="preserve">wage index (the Safety Net Adjustment) and the Consumer Price Index.  However, some </w:t>
      </w:r>
      <w:r w:rsidR="005E69C6">
        <w:t>MBS items, for example pathology and diagnostic services, have not been routinely indexed since 1998.</w:t>
      </w:r>
    </w:p>
    <w:p w:rsidR="003B17D3" w:rsidRPr="00227D7D" w:rsidRDefault="00DF7D43" w:rsidP="00CD21CA">
      <w:pPr>
        <w:pStyle w:val="BodyText"/>
      </w:pPr>
      <w:r>
        <w:t>MBS</w:t>
      </w:r>
      <w:r w:rsidR="00D442E7" w:rsidRPr="00227D7D">
        <w:t xml:space="preserve"> items may also be reviewed and Schedule Fees adjusted </w:t>
      </w:r>
      <w:r w:rsidR="00D442E7" w:rsidRPr="00326162">
        <w:t>when</w:t>
      </w:r>
      <w:r w:rsidR="00D442E7" w:rsidRPr="00227D7D">
        <w:t xml:space="preserve"> costs are considered to have </w:t>
      </w:r>
      <w:r w:rsidR="00F3678C">
        <w:t>changed</w:t>
      </w:r>
      <w:r w:rsidR="00F3678C" w:rsidRPr="00227D7D">
        <w:t xml:space="preserve"> </w:t>
      </w:r>
      <w:r w:rsidR="00D442E7" w:rsidRPr="00227D7D">
        <w:t>(for example</w:t>
      </w:r>
      <w:r w:rsidR="00826292" w:rsidRPr="00227D7D">
        <w:t>,</w:t>
      </w:r>
      <w:r w:rsidR="00D442E7" w:rsidRPr="00227D7D">
        <w:t xml:space="preserve"> due to technological improvements)</w:t>
      </w:r>
      <w:r w:rsidR="000A286F" w:rsidRPr="00227D7D">
        <w:t>.  The independent Medical Services Advisory Committee provides advice to the government in relation to medical services</w:t>
      </w:r>
      <w:r w:rsidR="00AA5161">
        <w:t xml:space="preserve"> </w:t>
      </w:r>
      <w:r w:rsidR="00F3678C">
        <w:t xml:space="preserve">and the fee for service for items </w:t>
      </w:r>
      <w:r w:rsidR="00AA5161">
        <w:t xml:space="preserve">to be added to the </w:t>
      </w:r>
      <w:r>
        <w:t>MBS</w:t>
      </w:r>
      <w:r w:rsidR="00266F0A" w:rsidRPr="00227D7D">
        <w:t xml:space="preserve">.  </w:t>
      </w:r>
      <w:r w:rsidR="000A286F" w:rsidRPr="00227D7D">
        <w:t>However, t</w:t>
      </w:r>
      <w:r w:rsidR="00AA4B4B" w:rsidRPr="00227D7D">
        <w:t xml:space="preserve">he </w:t>
      </w:r>
      <w:r w:rsidR="003F2BD3" w:rsidRPr="00227D7D">
        <w:t>decisions to add, amend</w:t>
      </w:r>
      <w:r w:rsidR="00AA4B4B" w:rsidRPr="00227D7D">
        <w:t xml:space="preserve"> or remov</w:t>
      </w:r>
      <w:r w:rsidR="003F2BD3" w:rsidRPr="00227D7D">
        <w:t>e</w:t>
      </w:r>
      <w:r w:rsidR="00AA4B4B" w:rsidRPr="00227D7D">
        <w:t xml:space="preserve"> items, </w:t>
      </w:r>
      <w:r w:rsidR="003F2BD3" w:rsidRPr="00227D7D">
        <w:t xml:space="preserve">and adjust fees are </w:t>
      </w:r>
      <w:r w:rsidR="000A286F" w:rsidRPr="00227D7D">
        <w:t xml:space="preserve">ultimately </w:t>
      </w:r>
      <w:r w:rsidR="003F2BD3" w:rsidRPr="00227D7D">
        <w:t>made by government</w:t>
      </w:r>
      <w:r w:rsidR="000A286F" w:rsidRPr="00227D7D">
        <w:t>.</w:t>
      </w:r>
    </w:p>
    <w:p w:rsidR="003B17D3" w:rsidRPr="00227D7D" w:rsidRDefault="003B17D3" w:rsidP="00CD21CA">
      <w:pPr>
        <w:pStyle w:val="BodyText"/>
      </w:pPr>
      <w:r w:rsidRPr="00227D7D">
        <w:t xml:space="preserve">The benefit level </w:t>
      </w:r>
      <w:r w:rsidR="002D664C" w:rsidRPr="00227D7D">
        <w:t xml:space="preserve">paid by the government </w:t>
      </w:r>
      <w:r w:rsidRPr="00227D7D">
        <w:t>varies depending on the type of service and where it is undertaken</w:t>
      </w:r>
      <w:r w:rsidR="00266F0A" w:rsidRPr="00227D7D">
        <w:t xml:space="preserve">.  </w:t>
      </w:r>
      <w:r w:rsidRPr="00227D7D">
        <w:t xml:space="preserve">In general, </w:t>
      </w:r>
      <w:r w:rsidR="00493D8D" w:rsidRPr="00227D7D">
        <w:t xml:space="preserve">current </w:t>
      </w:r>
      <w:r w:rsidRPr="00227D7D">
        <w:t>benefit levels are as follows:</w:t>
      </w:r>
    </w:p>
    <w:p w:rsidR="003B17D3" w:rsidRPr="00227D7D" w:rsidRDefault="003B17D3" w:rsidP="003B17D3">
      <w:pPr>
        <w:pStyle w:val="ListBullet"/>
      </w:pPr>
      <w:r w:rsidRPr="00227D7D">
        <w:t xml:space="preserve">75 per cent </w:t>
      </w:r>
      <w:r w:rsidR="003811D6" w:rsidRPr="00227D7D">
        <w:t xml:space="preserve">of the Schedule Fee </w:t>
      </w:r>
      <w:r w:rsidRPr="00227D7D">
        <w:t>for services provided in hospital if admitted as a private patient</w:t>
      </w:r>
    </w:p>
    <w:p w:rsidR="003B17D3" w:rsidRPr="00227D7D" w:rsidRDefault="003B17D3" w:rsidP="003B17D3">
      <w:pPr>
        <w:pStyle w:val="ListBullet"/>
      </w:pPr>
      <w:r w:rsidRPr="00227D7D">
        <w:t>85 per cent</w:t>
      </w:r>
      <w:r w:rsidR="003811D6" w:rsidRPr="00227D7D">
        <w:t xml:space="preserve"> of the Schedule </w:t>
      </w:r>
      <w:r w:rsidR="001953E7">
        <w:t>F</w:t>
      </w:r>
      <w:r w:rsidR="003811D6" w:rsidRPr="00227D7D">
        <w:t>ee</w:t>
      </w:r>
      <w:r w:rsidRPr="00227D7D">
        <w:t xml:space="preserve"> for services provided outside hospital</w:t>
      </w:r>
      <w:r w:rsidR="00F95CC0" w:rsidRPr="00701D20">
        <w:rPr>
          <w:rStyle w:val="FootnoteReference"/>
        </w:rPr>
        <w:footnoteReference w:id="3"/>
      </w:r>
    </w:p>
    <w:p w:rsidR="00CD21CA" w:rsidRDefault="003B17D3" w:rsidP="00372827">
      <w:pPr>
        <w:pStyle w:val="ListBullet"/>
      </w:pPr>
      <w:r w:rsidRPr="00227D7D">
        <w:t>100 per cent</w:t>
      </w:r>
      <w:r w:rsidR="003811D6" w:rsidRPr="00227D7D">
        <w:t xml:space="preserve"> of the Schedule Fee</w:t>
      </w:r>
      <w:r w:rsidRPr="00227D7D">
        <w:t xml:space="preserve"> for GP consultations or services provided on behalf of a GP by other medical practitioners including nurses</w:t>
      </w:r>
      <w:r w:rsidR="00727C09" w:rsidRPr="00227D7D">
        <w:t>.</w:t>
      </w:r>
    </w:p>
    <w:p w:rsidR="00654F68" w:rsidRDefault="000A4508" w:rsidP="00654F68">
      <w:pPr>
        <w:pStyle w:val="BodyText"/>
      </w:pPr>
      <w:bookmarkStart w:id="25" w:name="_Toc411505206"/>
      <w:r w:rsidRPr="00BE12A6">
        <w:lastRenderedPageBreak/>
        <w:t>T</w:t>
      </w:r>
      <w:r w:rsidR="0005443C" w:rsidRPr="00BE12A6">
        <w:t>he patient pay</w:t>
      </w:r>
      <w:r w:rsidRPr="00BE12A6">
        <w:t>s</w:t>
      </w:r>
      <w:r w:rsidR="0005443C" w:rsidRPr="00BE12A6">
        <w:t xml:space="preserve"> any </w:t>
      </w:r>
      <w:r w:rsidR="00654F68" w:rsidRPr="00BE12A6">
        <w:t xml:space="preserve">difference between the </w:t>
      </w:r>
      <w:r w:rsidR="00416FC7">
        <w:t>payment</w:t>
      </w:r>
      <w:r w:rsidR="00416FC7" w:rsidRPr="00BE12A6">
        <w:t xml:space="preserve"> </w:t>
      </w:r>
      <w:r w:rsidR="00654F68" w:rsidRPr="00BE12A6">
        <w:t>charged</w:t>
      </w:r>
      <w:r w:rsidR="00654F68">
        <w:t xml:space="preserve"> </w:t>
      </w:r>
      <w:r w:rsidR="00654F68" w:rsidRPr="00BE12A6">
        <w:t xml:space="preserve">by the service provider and the </w:t>
      </w:r>
      <w:r w:rsidRPr="00BE12A6">
        <w:t>benefit level</w:t>
      </w:r>
      <w:r w:rsidR="00F04494">
        <w:t>.</w:t>
      </w:r>
      <w:r w:rsidR="00991A09" w:rsidRPr="00701D20">
        <w:rPr>
          <w:rStyle w:val="FootnoteReference"/>
        </w:rPr>
        <w:footnoteReference w:id="4"/>
      </w:r>
      <w:r w:rsidR="00266F0A" w:rsidRPr="00D63179">
        <w:t xml:space="preserve">  </w:t>
      </w:r>
      <w:r w:rsidR="00565787" w:rsidRPr="00D63179">
        <w:t>W</w:t>
      </w:r>
      <w:r w:rsidR="00826CC3" w:rsidRPr="00D63179">
        <w:t>hen</w:t>
      </w:r>
      <w:r w:rsidR="0028473D" w:rsidRPr="00D63179">
        <w:t xml:space="preserve"> the service provider agrees to accept the</w:t>
      </w:r>
      <w:r w:rsidR="0028473D" w:rsidRPr="00227D7D">
        <w:t xml:space="preserve"> benefit level (75, 85 or 100 per cent of the Schedule Fee) as the full payment for that service and not charge any amount in excess of the </w:t>
      </w:r>
      <w:r w:rsidR="003F167C" w:rsidRPr="00227D7D">
        <w:t>benefit</w:t>
      </w:r>
      <w:r w:rsidR="00565787" w:rsidRPr="00227D7D">
        <w:t>, this is referred to as bulk billing</w:t>
      </w:r>
      <w:r w:rsidR="0028473D" w:rsidRPr="00227D7D">
        <w:t>.</w:t>
      </w:r>
      <w:r w:rsidR="00546ABE">
        <w:t xml:space="preserve">  </w:t>
      </w:r>
      <w:r w:rsidR="00546ABE" w:rsidRPr="00BE12A6">
        <w:t>The government pays this amount directly to the service provider</w:t>
      </w:r>
      <w:r w:rsidR="00416FC7">
        <w:t xml:space="preserve"> for GP and GP-type services and pathology and diagnostic services</w:t>
      </w:r>
      <w:r w:rsidR="00546ABE" w:rsidRPr="00BE12A6">
        <w:t>.</w:t>
      </w:r>
    </w:p>
    <w:p w:rsidR="00654F68" w:rsidRPr="00227D7D" w:rsidRDefault="00991A09" w:rsidP="00654F68">
      <w:pPr>
        <w:pStyle w:val="BodyText"/>
      </w:pPr>
      <w:r>
        <w:t>Medical s</w:t>
      </w:r>
      <w:r w:rsidR="00654F68" w:rsidRPr="00227D7D">
        <w:t xml:space="preserve">ervices provided in public hospitals for public patients are funded through agreements between the states, territories and the Commonwealth, and are not covered by </w:t>
      </w:r>
      <w:r w:rsidR="00654F68">
        <w:t>the MBS</w:t>
      </w:r>
      <w:r w:rsidR="00F04494">
        <w:t>.</w:t>
      </w:r>
      <w:r w:rsidR="00654F68" w:rsidRPr="00701D20">
        <w:rPr>
          <w:rStyle w:val="FootnoteReference"/>
        </w:rPr>
        <w:footnoteReference w:id="5"/>
      </w:r>
    </w:p>
    <w:p w:rsidR="000826F7" w:rsidRPr="00227D7D" w:rsidRDefault="000826F7" w:rsidP="00826CC3">
      <w:pPr>
        <w:pStyle w:val="Heading2"/>
      </w:pPr>
      <w:bookmarkStart w:id="26" w:name="_Toc433016355"/>
      <w:bookmarkStart w:id="27" w:name="_Toc433032846"/>
      <w:bookmarkStart w:id="28" w:name="_Toc433621253"/>
      <w:bookmarkStart w:id="29" w:name="_Toc436050777"/>
      <w:bookmarkEnd w:id="26"/>
      <w:bookmarkEnd w:id="27"/>
      <w:bookmarkEnd w:id="28"/>
      <w:r w:rsidRPr="00227D7D">
        <w:t>Financing</w:t>
      </w:r>
      <w:bookmarkEnd w:id="29"/>
    </w:p>
    <w:p w:rsidR="00D64B02" w:rsidRDefault="00DF7D43" w:rsidP="00EE2E09">
      <w:pPr>
        <w:pStyle w:val="BodyText"/>
      </w:pPr>
      <w:bookmarkStart w:id="30" w:name="_Toc411521678"/>
      <w:bookmarkStart w:id="31" w:name="_Toc411521786"/>
      <w:bookmarkEnd w:id="25"/>
      <w:r>
        <w:t>The MBS</w:t>
      </w:r>
      <w:r w:rsidR="00EE2E09" w:rsidRPr="00227D7D">
        <w:t xml:space="preserve"> </w:t>
      </w:r>
      <w:r w:rsidR="00723844">
        <w:t xml:space="preserve">is financed by the </w:t>
      </w:r>
      <w:r w:rsidR="004E1E9D">
        <w:t>Australian</w:t>
      </w:r>
      <w:r w:rsidR="00723844">
        <w:t xml:space="preserve"> </w:t>
      </w:r>
      <w:r w:rsidR="004E1E9D">
        <w:t>G</w:t>
      </w:r>
      <w:r w:rsidR="00EE2E09" w:rsidRPr="00227D7D">
        <w:t>overnment</w:t>
      </w:r>
      <w:r w:rsidR="00266F0A" w:rsidRPr="00227D7D">
        <w:t xml:space="preserve">.  </w:t>
      </w:r>
      <w:r w:rsidR="0017067E" w:rsidRPr="00227D7D">
        <w:t xml:space="preserve">The Medicare </w:t>
      </w:r>
      <w:r w:rsidR="00C73F5A" w:rsidRPr="00227D7D">
        <w:t>l</w:t>
      </w:r>
      <w:r w:rsidR="00EE2E09" w:rsidRPr="00227D7D">
        <w:t xml:space="preserve">evy was introduced with </w:t>
      </w:r>
      <w:r w:rsidR="004E1E9D">
        <w:t>the MBS</w:t>
      </w:r>
      <w:r w:rsidR="004E1E9D" w:rsidRPr="00227D7D">
        <w:t xml:space="preserve"> </w:t>
      </w:r>
      <w:r w:rsidR="00EE2E09" w:rsidRPr="00227D7D">
        <w:t xml:space="preserve">in 1984 in order to supplement taxation revenue and assist the </w:t>
      </w:r>
      <w:r w:rsidR="00EE2E09" w:rsidRPr="00BE12A6">
        <w:t xml:space="preserve">government to meet the costs associated with </w:t>
      </w:r>
      <w:r w:rsidRPr="00BE12A6">
        <w:t xml:space="preserve">the </w:t>
      </w:r>
      <w:r w:rsidR="00EE2E09" w:rsidRPr="00BE12A6">
        <w:t>Medicare</w:t>
      </w:r>
      <w:r w:rsidRPr="00BE12A6">
        <w:t xml:space="preserve"> </w:t>
      </w:r>
      <w:r w:rsidR="00085B6F">
        <w:t>health insurance scheme.</w:t>
      </w:r>
    </w:p>
    <w:p w:rsidR="00416FC7" w:rsidRDefault="00EE2E09" w:rsidP="00EE2E09">
      <w:pPr>
        <w:pStyle w:val="BodyText"/>
      </w:pPr>
      <w:r w:rsidRPr="00345AA9">
        <w:t>The levy</w:t>
      </w:r>
      <w:r w:rsidRPr="00227D7D">
        <w:t xml:space="preserve"> was</w:t>
      </w:r>
      <w:r w:rsidR="002E3009" w:rsidRPr="00227D7D">
        <w:t xml:space="preserve"> initially</w:t>
      </w:r>
      <w:r w:rsidRPr="00227D7D">
        <w:t xml:space="preserve"> set at 1 per cent of taxable income above a low income threshold </w:t>
      </w:r>
      <w:r w:rsidR="00991A09">
        <w:t xml:space="preserve">to cover the additional expenditure of moving to a national health insurance scheme.  It was </w:t>
      </w:r>
      <w:r w:rsidRPr="00227D7D">
        <w:t xml:space="preserve">expected to cover approximately 60 per cent of the total cost of </w:t>
      </w:r>
      <w:r w:rsidR="00DF7D43">
        <w:t xml:space="preserve">the </w:t>
      </w:r>
      <w:r w:rsidR="00416FC7">
        <w:t>Medicare scheme</w:t>
      </w:r>
      <w:r w:rsidR="00F04494">
        <w:t>.</w:t>
      </w:r>
      <w:r w:rsidRPr="00701D20">
        <w:rPr>
          <w:rStyle w:val="FootnoteReference"/>
        </w:rPr>
        <w:footnoteReference w:id="6"/>
      </w:r>
      <w:r w:rsidR="00011CFA">
        <w:t xml:space="preserve">  </w:t>
      </w:r>
      <w:r w:rsidR="00416FC7">
        <w:t>In</w:t>
      </w:r>
      <w:r w:rsidR="00CD21CA">
        <w:t> </w:t>
      </w:r>
      <w:r w:rsidR="00416FC7">
        <w:t>1993, the M</w:t>
      </w:r>
      <w:r w:rsidR="00011CFA">
        <w:t>edicare levy increased from</w:t>
      </w:r>
      <w:r w:rsidR="00416FC7">
        <w:t xml:space="preserve"> </w:t>
      </w:r>
      <w:r w:rsidR="00011CFA">
        <w:t>1 to </w:t>
      </w:r>
      <w:r w:rsidR="00416FC7">
        <w:t>1.4 per cent</w:t>
      </w:r>
      <w:r w:rsidR="00011CFA">
        <w:t xml:space="preserve"> and to 1.5 per cent in 1995.</w:t>
      </w:r>
    </w:p>
    <w:p w:rsidR="00D216AD" w:rsidRDefault="00EE2E09" w:rsidP="00EE2E09">
      <w:pPr>
        <w:pStyle w:val="BodyText"/>
        <w:sectPr w:rsidR="00D216AD" w:rsidSect="00A13FBE">
          <w:footerReference w:type="even" r:id="rId30"/>
          <w:footerReference w:type="default" r:id="rId31"/>
          <w:pgSz w:w="11906" w:h="16838" w:code="9"/>
          <w:pgMar w:top="1361" w:right="1797" w:bottom="1474" w:left="1797" w:header="284" w:footer="454" w:gutter="0"/>
          <w:pgNumType w:start="1"/>
          <w:cols w:space="708"/>
          <w:docGrid w:linePitch="360"/>
        </w:sectPr>
      </w:pPr>
      <w:r w:rsidRPr="00227D7D">
        <w:t>From 1</w:t>
      </w:r>
      <w:r w:rsidR="00DF7D43">
        <w:t> </w:t>
      </w:r>
      <w:r w:rsidRPr="00227D7D">
        <w:t>July</w:t>
      </w:r>
      <w:r w:rsidR="00DF7D43">
        <w:t> </w:t>
      </w:r>
      <w:r w:rsidRPr="00227D7D">
        <w:t>2014, the Medicare</w:t>
      </w:r>
      <w:r w:rsidR="00C73F5A" w:rsidRPr="00227D7D">
        <w:t xml:space="preserve"> l</w:t>
      </w:r>
      <w:r w:rsidR="00720D54" w:rsidRPr="00227D7D">
        <w:t xml:space="preserve">evy increased </w:t>
      </w:r>
      <w:r w:rsidR="002E3009" w:rsidRPr="00227D7D">
        <w:t>from 1.5 to 2 per </w:t>
      </w:r>
      <w:r w:rsidR="00720D54" w:rsidRPr="00227D7D">
        <w:t>cent</w:t>
      </w:r>
      <w:r w:rsidR="002E3009" w:rsidRPr="00227D7D">
        <w:t xml:space="preserve">, with the revenue raised from the increase placed into a </w:t>
      </w:r>
      <w:proofErr w:type="spellStart"/>
      <w:r w:rsidR="002E3009" w:rsidRPr="00227D7D">
        <w:t>DisabilityCare</w:t>
      </w:r>
      <w:proofErr w:type="spellEnd"/>
      <w:r w:rsidR="002E3009" w:rsidRPr="00227D7D">
        <w:t xml:space="preserve"> Australia Fund for 10 years, which will </w:t>
      </w:r>
      <w:r w:rsidR="008256E8" w:rsidRPr="00BE12A6">
        <w:t xml:space="preserve">help </w:t>
      </w:r>
      <w:r w:rsidR="002E3009" w:rsidRPr="00BE12A6">
        <w:t>fund the additional costs of delivering the National Disability Insurance Scheme</w:t>
      </w:r>
      <w:r w:rsidR="00266F0A" w:rsidRPr="00BE12A6">
        <w:t>.</w:t>
      </w:r>
      <w:r w:rsidR="00ED0E0F" w:rsidRPr="00BE12A6">
        <w:t xml:space="preserve">  </w:t>
      </w:r>
      <w:r w:rsidRPr="00BE12A6">
        <w:t>In 201</w:t>
      </w:r>
      <w:r w:rsidR="002A3432" w:rsidRPr="00BE12A6">
        <w:t>4</w:t>
      </w:r>
      <w:r w:rsidR="00CD21CA">
        <w:t>–</w:t>
      </w:r>
      <w:r w:rsidR="00C73F5A" w:rsidRPr="00BE12A6">
        <w:t>1</w:t>
      </w:r>
      <w:r w:rsidR="002A3432" w:rsidRPr="00BE12A6">
        <w:t>5</w:t>
      </w:r>
      <w:r w:rsidR="00C73F5A" w:rsidRPr="00BE12A6">
        <w:t xml:space="preserve">, the Medicare </w:t>
      </w:r>
      <w:r w:rsidR="002A3432" w:rsidRPr="00BE12A6">
        <w:t xml:space="preserve">and </w:t>
      </w:r>
      <w:proofErr w:type="spellStart"/>
      <w:r w:rsidR="002A3432" w:rsidRPr="00BE12A6">
        <w:t>DisabilityCare</w:t>
      </w:r>
      <w:proofErr w:type="spellEnd"/>
      <w:r w:rsidR="002A3432" w:rsidRPr="00BE12A6">
        <w:t xml:space="preserve"> Australia </w:t>
      </w:r>
      <w:r w:rsidR="00C73F5A" w:rsidRPr="00BE12A6">
        <w:t>l</w:t>
      </w:r>
      <w:r w:rsidRPr="00BE12A6">
        <w:t>evy</w:t>
      </w:r>
      <w:r w:rsidR="002E7868">
        <w:t>,</w:t>
      </w:r>
      <w:r w:rsidRPr="00BE12A6">
        <w:t xml:space="preserve"> </w:t>
      </w:r>
      <w:r w:rsidR="002E7868">
        <w:t xml:space="preserve">as it is now known, and the Medicare levy surcharge </w:t>
      </w:r>
      <w:r w:rsidRPr="00BE12A6">
        <w:t xml:space="preserve">raised an </w:t>
      </w:r>
      <w:r w:rsidR="00850C41" w:rsidRPr="00BE12A6">
        <w:t>estimated $1</w:t>
      </w:r>
      <w:r w:rsidR="002A3432" w:rsidRPr="00BE12A6">
        <w:t>4.6</w:t>
      </w:r>
      <w:r w:rsidR="00850C41" w:rsidRPr="00BE12A6">
        <w:t> </w:t>
      </w:r>
      <w:r w:rsidRPr="00BE12A6">
        <w:t>billion</w:t>
      </w:r>
      <w:r w:rsidR="00F04494">
        <w:t>.</w:t>
      </w:r>
      <w:r w:rsidR="00FB26D9" w:rsidRPr="00701D20">
        <w:rPr>
          <w:rStyle w:val="FootnoteReference"/>
        </w:rPr>
        <w:footnoteReference w:id="7"/>
      </w:r>
    </w:p>
    <w:p w:rsidR="00EE2E09" w:rsidRPr="00227D7D" w:rsidRDefault="00081899" w:rsidP="00826CC3">
      <w:pPr>
        <w:pStyle w:val="Heading2"/>
      </w:pPr>
      <w:bookmarkStart w:id="32" w:name="_Toc436050778"/>
      <w:r w:rsidRPr="00227D7D">
        <w:lastRenderedPageBreak/>
        <w:t>Expenditure</w:t>
      </w:r>
      <w:bookmarkEnd w:id="32"/>
    </w:p>
    <w:bookmarkEnd w:id="30"/>
    <w:bookmarkEnd w:id="31"/>
    <w:p w:rsidR="00C16CE6" w:rsidRDefault="004E1E9D" w:rsidP="00114C27">
      <w:pPr>
        <w:pStyle w:val="BodyText"/>
      </w:pPr>
      <w:r>
        <w:t>Australian Government</w:t>
      </w:r>
      <w:r w:rsidR="006B6C66" w:rsidRPr="00227D7D">
        <w:t xml:space="preserve"> </w:t>
      </w:r>
      <w:r w:rsidR="00D16C1B" w:rsidRPr="00227D7D">
        <w:t xml:space="preserve">health spending in </w:t>
      </w:r>
      <w:r w:rsidR="00C9102A" w:rsidRPr="00227D7D">
        <w:t>2014</w:t>
      </w:r>
      <w:r w:rsidR="00CD21CA">
        <w:t>–</w:t>
      </w:r>
      <w:r w:rsidR="00C9102A" w:rsidRPr="00227D7D">
        <w:t>15</w:t>
      </w:r>
      <w:r w:rsidR="00D16C1B" w:rsidRPr="00227D7D">
        <w:t xml:space="preserve"> totalled</w:t>
      </w:r>
      <w:r w:rsidR="00C9102A" w:rsidRPr="00227D7D">
        <w:t xml:space="preserve"> </w:t>
      </w:r>
      <w:r w:rsidR="00AE44D1" w:rsidRPr="00227D7D">
        <w:t>$</w:t>
      </w:r>
      <w:r w:rsidR="004D7B4B" w:rsidRPr="00227D7D">
        <w:t>6</w:t>
      </w:r>
      <w:r w:rsidR="006A4098">
        <w:t>5.7</w:t>
      </w:r>
      <w:r w:rsidR="00AE44D1" w:rsidRPr="00227D7D">
        <w:t xml:space="preserve"> billion</w:t>
      </w:r>
      <w:r w:rsidR="00D16C1B" w:rsidRPr="00227D7D">
        <w:t>.</w:t>
      </w:r>
      <w:r w:rsidR="00266F0A" w:rsidRPr="00227D7D">
        <w:t xml:space="preserve">  </w:t>
      </w:r>
      <w:r w:rsidR="00DF7D43">
        <w:t>The MBS</w:t>
      </w:r>
      <w:r w:rsidR="00114C27" w:rsidRPr="00227D7D">
        <w:t xml:space="preserve"> account</w:t>
      </w:r>
      <w:r w:rsidR="002700EF" w:rsidRPr="00227D7D">
        <w:t>ed</w:t>
      </w:r>
      <w:r w:rsidR="00114C27" w:rsidRPr="00227D7D">
        <w:t xml:space="preserve"> for</w:t>
      </w:r>
      <w:r w:rsidR="0083312F" w:rsidRPr="00227D7D">
        <w:t xml:space="preserve"> </w:t>
      </w:r>
      <w:r w:rsidR="002700EF" w:rsidRPr="00227D7D">
        <w:t>$</w:t>
      </w:r>
      <w:r w:rsidR="00C9102A" w:rsidRPr="00227D7D">
        <w:t>20.</w:t>
      </w:r>
      <w:r w:rsidR="006A4098">
        <w:t>2</w:t>
      </w:r>
      <w:r w:rsidR="002700EF" w:rsidRPr="00227D7D">
        <w:t> billion</w:t>
      </w:r>
      <w:r w:rsidR="006B6C66" w:rsidRPr="00227D7D">
        <w:t>,</w:t>
      </w:r>
      <w:r w:rsidR="002700EF" w:rsidRPr="00227D7D">
        <w:t xml:space="preserve"> or </w:t>
      </w:r>
      <w:r w:rsidR="0083312F" w:rsidRPr="00227D7D">
        <w:t>3</w:t>
      </w:r>
      <w:r w:rsidR="006C0B7A">
        <w:t>1</w:t>
      </w:r>
      <w:r w:rsidR="002700EF" w:rsidRPr="00227D7D">
        <w:t> per cent</w:t>
      </w:r>
      <w:r w:rsidR="00114C27" w:rsidRPr="00227D7D">
        <w:t xml:space="preserve"> </w:t>
      </w:r>
      <w:r w:rsidR="002700EF" w:rsidRPr="00227D7D">
        <w:t xml:space="preserve">of </w:t>
      </w:r>
      <w:r w:rsidR="000B120C" w:rsidRPr="00227D7D">
        <w:t>total health spending</w:t>
      </w:r>
      <w:r w:rsidR="004D7B4B" w:rsidRPr="00227D7D">
        <w:t xml:space="preserve">, and </w:t>
      </w:r>
      <w:r w:rsidR="006C0B7A">
        <w:t>5</w:t>
      </w:r>
      <w:r w:rsidR="004D7B4B" w:rsidRPr="00227D7D">
        <w:t xml:space="preserve"> per cent of total </w:t>
      </w:r>
      <w:r w:rsidR="00BA2B0D">
        <w:t>Australian</w:t>
      </w:r>
      <w:r w:rsidR="004D7B4B" w:rsidRPr="00227D7D">
        <w:t xml:space="preserve"> </w:t>
      </w:r>
      <w:r w:rsidR="00BA2B0D">
        <w:t>G</w:t>
      </w:r>
      <w:r w:rsidR="004D7B4B" w:rsidRPr="00227D7D">
        <w:t>overnment expenditure</w:t>
      </w:r>
      <w:r w:rsidR="00114C27" w:rsidRPr="00227D7D">
        <w:t>.</w:t>
      </w:r>
    </w:p>
    <w:p w:rsidR="000B120C" w:rsidRPr="00227D7D" w:rsidRDefault="001953E7" w:rsidP="000B120C">
      <w:pPr>
        <w:pStyle w:val="BodyText"/>
      </w:pPr>
      <w:r>
        <w:t>Around o</w:t>
      </w:r>
      <w:r w:rsidR="000B120C" w:rsidRPr="00227D7D">
        <w:t>ne</w:t>
      </w:r>
      <w:r w:rsidR="0090443D" w:rsidRPr="00227D7D">
        <w:t>-</w:t>
      </w:r>
      <w:r w:rsidR="000B120C" w:rsidRPr="00227D7D">
        <w:t xml:space="preserve">third of the total cost of </w:t>
      </w:r>
      <w:r w:rsidR="00DF7D43">
        <w:t>the MBS</w:t>
      </w:r>
      <w:r w:rsidR="000B120C" w:rsidRPr="00227D7D">
        <w:t xml:space="preserve"> </w:t>
      </w:r>
      <w:r w:rsidR="0083312F" w:rsidRPr="00227D7D">
        <w:t>in 20</w:t>
      </w:r>
      <w:r w:rsidR="00D16C1B" w:rsidRPr="00227D7D">
        <w:t>14</w:t>
      </w:r>
      <w:r w:rsidR="00CD21CA">
        <w:t>–</w:t>
      </w:r>
      <w:r w:rsidR="0083312F" w:rsidRPr="00227D7D">
        <w:t>15</w:t>
      </w:r>
      <w:r w:rsidR="00D16C1B" w:rsidRPr="00227D7D">
        <w:t xml:space="preserve"> </w:t>
      </w:r>
      <w:r w:rsidR="000B120C" w:rsidRPr="00227D7D">
        <w:t>was associated with GP</w:t>
      </w:r>
      <w:r w:rsidR="00BC1869" w:rsidRPr="00227D7D">
        <w:t xml:space="preserve"> and GP-type</w:t>
      </w:r>
      <w:r w:rsidR="000B120C" w:rsidRPr="00227D7D">
        <w:t xml:space="preserve"> services</w:t>
      </w:r>
      <w:r w:rsidR="00BC1869" w:rsidRPr="00227D7D">
        <w:t xml:space="preserve"> (GP services)</w:t>
      </w:r>
      <w:r w:rsidR="000B120C" w:rsidRPr="00227D7D">
        <w:t>,</w:t>
      </w:r>
      <w:r w:rsidR="00693AA7">
        <w:t xml:space="preserve"> 30 per cent </w:t>
      </w:r>
      <w:r w:rsidR="000B120C" w:rsidRPr="00227D7D">
        <w:t xml:space="preserve">was related to pathology and diagnostic services such as blood tests and ultrasounds, and the remainder </w:t>
      </w:r>
      <w:r w:rsidR="000C11A8" w:rsidRPr="00227D7D">
        <w:t>wa</w:t>
      </w:r>
      <w:r w:rsidR="000B120C" w:rsidRPr="00227D7D">
        <w:t>s split between surgeries and treatments</w:t>
      </w:r>
      <w:r w:rsidR="00A72B00" w:rsidRPr="00701D20">
        <w:rPr>
          <w:rStyle w:val="FootnoteReference"/>
        </w:rPr>
        <w:footnoteReference w:id="8"/>
      </w:r>
      <w:r w:rsidR="000B120C" w:rsidRPr="00227D7D">
        <w:t xml:space="preserve"> (</w:t>
      </w:r>
      <w:r w:rsidR="004D7B4B" w:rsidRPr="00227D7D">
        <w:t>1</w:t>
      </w:r>
      <w:r w:rsidR="008D75B9">
        <w:t>7</w:t>
      </w:r>
      <w:r w:rsidR="000B120C" w:rsidRPr="00227D7D">
        <w:t> per cent), specialist</w:t>
      </w:r>
      <w:r w:rsidR="003E1E69">
        <w:t xml:space="preserve"> services</w:t>
      </w:r>
      <w:r w:rsidR="00382DBC" w:rsidRPr="00701D20">
        <w:rPr>
          <w:rStyle w:val="FootnoteReference"/>
        </w:rPr>
        <w:footnoteReference w:id="9"/>
      </w:r>
      <w:r w:rsidR="000B120C" w:rsidRPr="00227D7D">
        <w:t xml:space="preserve"> (</w:t>
      </w:r>
      <w:r w:rsidR="004D7B4B" w:rsidRPr="00227D7D">
        <w:t>10</w:t>
      </w:r>
      <w:r w:rsidR="000B120C" w:rsidRPr="00227D7D">
        <w:t> per cent), allied health</w:t>
      </w:r>
      <w:r w:rsidR="00EC7F80" w:rsidRPr="00701D20">
        <w:rPr>
          <w:rStyle w:val="FootnoteReference"/>
        </w:rPr>
        <w:footnoteReference w:id="10"/>
      </w:r>
      <w:r w:rsidR="000B120C" w:rsidRPr="00227D7D">
        <w:t xml:space="preserve"> (</w:t>
      </w:r>
      <w:r w:rsidR="008D75B9">
        <w:t>6</w:t>
      </w:r>
      <w:r w:rsidR="000B120C" w:rsidRPr="00227D7D">
        <w:t> per cent)</w:t>
      </w:r>
      <w:r>
        <w:t xml:space="preserve"> and</w:t>
      </w:r>
      <w:r w:rsidR="000B120C" w:rsidRPr="00227D7D">
        <w:t xml:space="preserve"> bulk billing incentives (3</w:t>
      </w:r>
      <w:r w:rsidR="004D7B4B" w:rsidRPr="00227D7D">
        <w:t> </w:t>
      </w:r>
      <w:r w:rsidR="000B120C" w:rsidRPr="00227D7D">
        <w:t>per cent)</w:t>
      </w:r>
      <w:r>
        <w:t xml:space="preserve"> </w:t>
      </w:r>
      <w:r w:rsidR="000B120C" w:rsidRPr="00227D7D">
        <w:t>(</w:t>
      </w:r>
      <w:r w:rsidR="00CD21CA">
        <w:fldChar w:fldCharType="begin"/>
      </w:r>
      <w:r w:rsidR="00CD21CA">
        <w:instrText xml:space="preserve"> REF _Ref436040945 \h </w:instrText>
      </w:r>
      <w:r w:rsidR="00CD21CA">
        <w:fldChar w:fldCharType="separate"/>
      </w:r>
      <w:r w:rsidR="00235C48" w:rsidRPr="00CD21CA">
        <w:t xml:space="preserve">Figure </w:t>
      </w:r>
      <w:r w:rsidR="00235C48">
        <w:rPr>
          <w:noProof/>
        </w:rPr>
        <w:t>1</w:t>
      </w:r>
      <w:r w:rsidR="00235C48" w:rsidRPr="00CD21CA">
        <w:t>–</w:t>
      </w:r>
      <w:r w:rsidR="00235C48">
        <w:rPr>
          <w:noProof/>
        </w:rPr>
        <w:t>1</w:t>
      </w:r>
      <w:r w:rsidR="00CD21CA">
        <w:fldChar w:fldCharType="end"/>
      </w:r>
      <w:r w:rsidR="000B120C" w:rsidRPr="00227D7D">
        <w:t>).</w:t>
      </w:r>
      <w:r w:rsidR="00512A39" w:rsidRPr="00227D7D">
        <w:t xml:space="preserve"> </w:t>
      </w:r>
      <w:r w:rsidR="00081899" w:rsidRPr="00227D7D">
        <w:t xml:space="preserve"> More detailed analysis of expenditure by </w:t>
      </w:r>
      <w:r w:rsidR="001F18A3">
        <w:t xml:space="preserve">these </w:t>
      </w:r>
      <w:r w:rsidR="00081899" w:rsidRPr="00227D7D">
        <w:t>categor</w:t>
      </w:r>
      <w:r w:rsidR="001F18A3">
        <w:t>ies</w:t>
      </w:r>
      <w:r w:rsidR="00081899" w:rsidRPr="00227D7D">
        <w:t xml:space="preserve"> is provided in Chapter 3.</w:t>
      </w:r>
    </w:p>
    <w:p w:rsidR="00CD21CA" w:rsidRDefault="00DD519A" w:rsidP="00CD21CA">
      <w:pPr>
        <w:pStyle w:val="Caption"/>
      </w:pPr>
      <w:bookmarkStart w:id="33" w:name="_Ref436040945"/>
      <w:bookmarkStart w:id="34" w:name="_Toc436050993"/>
      <w:bookmarkStart w:id="35" w:name="_Toc436205215"/>
      <w:bookmarkStart w:id="36" w:name="_Toc411521684"/>
      <w:r>
        <w:rPr>
          <w:noProof/>
          <w:lang w:eastAsia="en-AU"/>
        </w:rPr>
        <w:drawing>
          <wp:anchor distT="0" distB="0" distL="114300" distR="114300" simplePos="0" relativeHeight="251664384" behindDoc="0" locked="0" layoutInCell="1" allowOverlap="1" wp14:anchorId="1D571D23" wp14:editId="32058BE7">
            <wp:simplePos x="0" y="0"/>
            <wp:positionH relativeFrom="column">
              <wp:posOffset>-3598</wp:posOffset>
            </wp:positionH>
            <wp:positionV relativeFrom="paragraph">
              <wp:posOffset>399415</wp:posOffset>
            </wp:positionV>
            <wp:extent cx="4584700" cy="2578735"/>
            <wp:effectExtent l="0" t="0" r="6350" b="0"/>
            <wp:wrapNone/>
            <wp:docPr id="45" name="Picture 45"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84700" cy="2578735"/>
                    </a:xfrm>
                    <a:prstGeom prst="rect">
                      <a:avLst/>
                    </a:prstGeom>
                    <a:noFill/>
                  </pic:spPr>
                </pic:pic>
              </a:graphicData>
            </a:graphic>
            <wp14:sizeRelH relativeFrom="page">
              <wp14:pctWidth>0</wp14:pctWidth>
            </wp14:sizeRelH>
            <wp14:sizeRelV relativeFrom="page">
              <wp14:pctHeight>0</wp14:pctHeight>
            </wp14:sizeRelV>
          </wp:anchor>
        </w:drawing>
      </w:r>
      <w:r w:rsidR="00CD21CA" w:rsidRPr="00CD21CA">
        <w:t xml:space="preserve">Figure </w:t>
      </w:r>
      <w:fldSimple w:instr=" STYLEREF 1 \s ">
        <w:r w:rsidR="00235C48">
          <w:rPr>
            <w:noProof/>
          </w:rPr>
          <w:t>1</w:t>
        </w:r>
      </w:fldSimple>
      <w:r w:rsidR="00CD21CA" w:rsidRPr="00CD21CA">
        <w:t>–</w:t>
      </w:r>
      <w:fldSimple w:instr=" SEQ Figure \* ARABIC \s 1 ">
        <w:r w:rsidR="00235C48">
          <w:rPr>
            <w:noProof/>
          </w:rPr>
          <w:t>1</w:t>
        </w:r>
      </w:fldSimple>
      <w:bookmarkEnd w:id="33"/>
      <w:r w:rsidR="00CD21CA" w:rsidRPr="00CD21CA">
        <w:t>: Medicare Benefits Schedule spending by category in 2014</w:t>
      </w:r>
      <w:r w:rsidR="00CD21CA">
        <w:t>–</w:t>
      </w:r>
      <w:r w:rsidR="00CD21CA" w:rsidRPr="00CD21CA">
        <w:t>15</w:t>
      </w:r>
      <w:bookmarkEnd w:id="34"/>
      <w:bookmarkEnd w:id="35"/>
    </w:p>
    <w:tbl>
      <w:tblPr>
        <w:tblStyle w:val="TableGrid"/>
        <w:tblW w:w="1170" w:type="pct"/>
        <w:tblLook w:val="0680" w:firstRow="0" w:lastRow="0" w:firstColumn="1" w:lastColumn="0" w:noHBand="1" w:noVBand="1"/>
      </w:tblPr>
      <w:tblGrid>
        <w:gridCol w:w="1334"/>
        <w:gridCol w:w="611"/>
      </w:tblGrid>
      <w:tr w:rsidR="00617606" w:rsidRPr="00617606" w:rsidTr="00617606">
        <w:trPr>
          <w:cantSplit/>
        </w:trPr>
        <w:tc>
          <w:tcPr>
            <w:cnfStyle w:val="001000000000" w:firstRow="0" w:lastRow="0" w:firstColumn="1" w:lastColumn="0" w:oddVBand="0" w:evenVBand="0" w:oddHBand="0" w:evenHBand="0" w:firstRowFirstColumn="0" w:firstRowLastColumn="0" w:lastRowFirstColumn="0" w:lastRowLastColumn="0"/>
            <w:tcW w:w="3429" w:type="pct"/>
            <w:vAlign w:val="bottom"/>
          </w:tcPr>
          <w:p w:rsidR="00C83061" w:rsidRPr="00617606" w:rsidRDefault="00C83061" w:rsidP="00BB5871">
            <w:pPr>
              <w:spacing w:before="0" w:after="0" w:line="240" w:lineRule="auto"/>
              <w:ind w:left="0"/>
              <w:rPr>
                <w:rFonts w:ascii="Calibri" w:hAnsi="Calibri"/>
                <w:b/>
                <w:bCs/>
                <w:color w:val="FFFFFF" w:themeColor="background1"/>
                <w:sz w:val="10"/>
                <w:szCs w:val="10"/>
              </w:rPr>
            </w:pPr>
            <w:r w:rsidRPr="00617606">
              <w:rPr>
                <w:rFonts w:ascii="Calibri" w:hAnsi="Calibri"/>
                <w:b/>
                <w:bCs/>
                <w:color w:val="FFFFFF" w:themeColor="background1"/>
                <w:sz w:val="10"/>
                <w:szCs w:val="10"/>
              </w:rPr>
              <w:t>MBS category</w:t>
            </w:r>
          </w:p>
        </w:tc>
        <w:tc>
          <w:tcPr>
            <w:tcW w:w="1571" w:type="pct"/>
            <w:vAlign w:val="bottom"/>
          </w:tcPr>
          <w:p w:rsidR="00C83061" w:rsidRPr="00617606" w:rsidRDefault="00C83061" w:rsidP="00BB5871">
            <w:pPr>
              <w:spacing w:before="0"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17606">
              <w:rPr>
                <w:rFonts w:ascii="Calibri" w:hAnsi="Calibri"/>
                <w:b/>
                <w:bCs/>
                <w:color w:val="FFFFFF" w:themeColor="background1"/>
                <w:sz w:val="10"/>
                <w:szCs w:val="10"/>
              </w:rPr>
              <w:t>2014-15</w:t>
            </w:r>
          </w:p>
        </w:tc>
      </w:tr>
      <w:tr w:rsidR="00617606" w:rsidRPr="00617606" w:rsidTr="00617606">
        <w:trPr>
          <w:cantSplit/>
        </w:trPr>
        <w:tc>
          <w:tcPr>
            <w:cnfStyle w:val="001000000000" w:firstRow="0" w:lastRow="0" w:firstColumn="1" w:lastColumn="0" w:oddVBand="0" w:evenVBand="0" w:oddHBand="0" w:evenHBand="0" w:firstRowFirstColumn="0" w:firstRowLastColumn="0" w:lastRowFirstColumn="0" w:lastRowLastColumn="0"/>
            <w:tcW w:w="3429" w:type="pct"/>
            <w:vAlign w:val="bottom"/>
          </w:tcPr>
          <w:p w:rsidR="00C83061" w:rsidRPr="00617606" w:rsidRDefault="00C83061" w:rsidP="00BB5871">
            <w:pPr>
              <w:spacing w:before="0" w:after="0" w:line="240" w:lineRule="auto"/>
              <w:ind w:left="0"/>
              <w:rPr>
                <w:rFonts w:ascii="Calibri" w:hAnsi="Calibri"/>
                <w:color w:val="FFFFFF" w:themeColor="background1"/>
                <w:sz w:val="10"/>
                <w:szCs w:val="10"/>
              </w:rPr>
            </w:pPr>
            <w:r w:rsidRPr="00617606">
              <w:rPr>
                <w:rFonts w:ascii="Calibri" w:hAnsi="Calibri"/>
                <w:color w:val="FFFFFF" w:themeColor="background1"/>
                <w:sz w:val="10"/>
                <w:szCs w:val="10"/>
              </w:rPr>
              <w:t>GP services</w:t>
            </w:r>
          </w:p>
        </w:tc>
        <w:tc>
          <w:tcPr>
            <w:tcW w:w="1571" w:type="pct"/>
            <w:vAlign w:val="bottom"/>
          </w:tcPr>
          <w:p w:rsidR="00C83061" w:rsidRPr="00617606" w:rsidRDefault="00C83061" w:rsidP="00BB5871">
            <w:pPr>
              <w:spacing w:before="0"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17606">
              <w:rPr>
                <w:rFonts w:ascii="Calibri" w:hAnsi="Calibri"/>
                <w:color w:val="FFFFFF" w:themeColor="background1"/>
                <w:sz w:val="10"/>
                <w:szCs w:val="10"/>
              </w:rPr>
              <w:t>34</w:t>
            </w:r>
          </w:p>
        </w:tc>
      </w:tr>
      <w:tr w:rsidR="00617606" w:rsidRPr="00617606" w:rsidTr="00617606">
        <w:trPr>
          <w:cantSplit/>
        </w:trPr>
        <w:tc>
          <w:tcPr>
            <w:cnfStyle w:val="001000000000" w:firstRow="0" w:lastRow="0" w:firstColumn="1" w:lastColumn="0" w:oddVBand="0" w:evenVBand="0" w:oddHBand="0" w:evenHBand="0" w:firstRowFirstColumn="0" w:firstRowLastColumn="0" w:lastRowFirstColumn="0" w:lastRowLastColumn="0"/>
            <w:tcW w:w="3429" w:type="pct"/>
            <w:vAlign w:val="bottom"/>
          </w:tcPr>
          <w:p w:rsidR="00C83061" w:rsidRPr="00617606" w:rsidRDefault="00C83061" w:rsidP="00BB5871">
            <w:pPr>
              <w:spacing w:before="0" w:after="0" w:line="240" w:lineRule="auto"/>
              <w:ind w:left="0"/>
              <w:rPr>
                <w:rFonts w:ascii="Calibri" w:hAnsi="Calibri"/>
                <w:color w:val="FFFFFF" w:themeColor="background1"/>
                <w:sz w:val="10"/>
                <w:szCs w:val="10"/>
              </w:rPr>
            </w:pPr>
            <w:r w:rsidRPr="00617606">
              <w:rPr>
                <w:rFonts w:ascii="Calibri" w:hAnsi="Calibri"/>
                <w:color w:val="FFFFFF" w:themeColor="background1"/>
                <w:sz w:val="10"/>
                <w:szCs w:val="10"/>
              </w:rPr>
              <w:t>Pathology and diagnostics</w:t>
            </w:r>
          </w:p>
        </w:tc>
        <w:tc>
          <w:tcPr>
            <w:tcW w:w="1571" w:type="pct"/>
            <w:vAlign w:val="bottom"/>
          </w:tcPr>
          <w:p w:rsidR="00C83061" w:rsidRPr="00617606" w:rsidRDefault="00C83061" w:rsidP="00BB5871">
            <w:pPr>
              <w:spacing w:before="0"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17606">
              <w:rPr>
                <w:rFonts w:ascii="Calibri" w:hAnsi="Calibri"/>
                <w:color w:val="FFFFFF" w:themeColor="background1"/>
                <w:sz w:val="10"/>
                <w:szCs w:val="10"/>
              </w:rPr>
              <w:t>30</w:t>
            </w:r>
          </w:p>
        </w:tc>
      </w:tr>
      <w:tr w:rsidR="00617606" w:rsidRPr="00617606" w:rsidTr="00617606">
        <w:trPr>
          <w:cantSplit/>
        </w:trPr>
        <w:tc>
          <w:tcPr>
            <w:cnfStyle w:val="001000000000" w:firstRow="0" w:lastRow="0" w:firstColumn="1" w:lastColumn="0" w:oddVBand="0" w:evenVBand="0" w:oddHBand="0" w:evenHBand="0" w:firstRowFirstColumn="0" w:firstRowLastColumn="0" w:lastRowFirstColumn="0" w:lastRowLastColumn="0"/>
            <w:tcW w:w="3429" w:type="pct"/>
            <w:vAlign w:val="bottom"/>
          </w:tcPr>
          <w:p w:rsidR="00C83061" w:rsidRPr="00617606" w:rsidRDefault="00C83061" w:rsidP="00BB5871">
            <w:pPr>
              <w:spacing w:before="0" w:after="0" w:line="240" w:lineRule="auto"/>
              <w:ind w:left="0"/>
              <w:rPr>
                <w:rFonts w:ascii="Calibri" w:hAnsi="Calibri"/>
                <w:color w:val="FFFFFF" w:themeColor="background1"/>
                <w:sz w:val="10"/>
                <w:szCs w:val="10"/>
              </w:rPr>
            </w:pPr>
            <w:r w:rsidRPr="00617606">
              <w:rPr>
                <w:rFonts w:ascii="Calibri" w:hAnsi="Calibri"/>
                <w:color w:val="FFFFFF" w:themeColor="background1"/>
                <w:sz w:val="10"/>
                <w:szCs w:val="10"/>
              </w:rPr>
              <w:t>Surgeries and treatments</w:t>
            </w:r>
          </w:p>
        </w:tc>
        <w:tc>
          <w:tcPr>
            <w:tcW w:w="1571" w:type="pct"/>
            <w:vAlign w:val="bottom"/>
          </w:tcPr>
          <w:p w:rsidR="00C83061" w:rsidRPr="00617606" w:rsidRDefault="00C83061" w:rsidP="00BB5871">
            <w:pPr>
              <w:spacing w:before="0"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17606">
              <w:rPr>
                <w:rFonts w:ascii="Calibri" w:hAnsi="Calibri"/>
                <w:color w:val="FFFFFF" w:themeColor="background1"/>
                <w:sz w:val="10"/>
                <w:szCs w:val="10"/>
              </w:rPr>
              <w:t>17</w:t>
            </w:r>
          </w:p>
        </w:tc>
      </w:tr>
      <w:tr w:rsidR="00617606" w:rsidRPr="00617606" w:rsidTr="00617606">
        <w:trPr>
          <w:cantSplit/>
        </w:trPr>
        <w:tc>
          <w:tcPr>
            <w:cnfStyle w:val="001000000000" w:firstRow="0" w:lastRow="0" w:firstColumn="1" w:lastColumn="0" w:oddVBand="0" w:evenVBand="0" w:oddHBand="0" w:evenHBand="0" w:firstRowFirstColumn="0" w:firstRowLastColumn="0" w:lastRowFirstColumn="0" w:lastRowLastColumn="0"/>
            <w:tcW w:w="3429" w:type="pct"/>
            <w:vAlign w:val="bottom"/>
          </w:tcPr>
          <w:p w:rsidR="00C83061" w:rsidRPr="00617606" w:rsidRDefault="00C83061" w:rsidP="00BB5871">
            <w:pPr>
              <w:spacing w:before="0" w:after="0" w:line="240" w:lineRule="auto"/>
              <w:ind w:left="0"/>
              <w:rPr>
                <w:rFonts w:ascii="Calibri" w:hAnsi="Calibri"/>
                <w:color w:val="FFFFFF" w:themeColor="background1"/>
                <w:sz w:val="10"/>
                <w:szCs w:val="10"/>
              </w:rPr>
            </w:pPr>
            <w:r w:rsidRPr="00617606">
              <w:rPr>
                <w:rFonts w:ascii="Calibri" w:hAnsi="Calibri"/>
                <w:color w:val="FFFFFF" w:themeColor="background1"/>
                <w:sz w:val="10"/>
                <w:szCs w:val="10"/>
              </w:rPr>
              <w:t>Specialist services</w:t>
            </w:r>
          </w:p>
        </w:tc>
        <w:tc>
          <w:tcPr>
            <w:tcW w:w="1571" w:type="pct"/>
            <w:vAlign w:val="bottom"/>
          </w:tcPr>
          <w:p w:rsidR="00C83061" w:rsidRPr="00617606" w:rsidRDefault="00C83061" w:rsidP="00BB5871">
            <w:pPr>
              <w:spacing w:before="0"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17606">
              <w:rPr>
                <w:rFonts w:ascii="Calibri" w:hAnsi="Calibri"/>
                <w:color w:val="FFFFFF" w:themeColor="background1"/>
                <w:sz w:val="10"/>
                <w:szCs w:val="10"/>
              </w:rPr>
              <w:t>10</w:t>
            </w:r>
          </w:p>
        </w:tc>
      </w:tr>
      <w:tr w:rsidR="00617606" w:rsidRPr="00617606" w:rsidTr="00617606">
        <w:trPr>
          <w:cantSplit/>
        </w:trPr>
        <w:tc>
          <w:tcPr>
            <w:cnfStyle w:val="001000000000" w:firstRow="0" w:lastRow="0" w:firstColumn="1" w:lastColumn="0" w:oddVBand="0" w:evenVBand="0" w:oddHBand="0" w:evenHBand="0" w:firstRowFirstColumn="0" w:firstRowLastColumn="0" w:lastRowFirstColumn="0" w:lastRowLastColumn="0"/>
            <w:tcW w:w="3429" w:type="pct"/>
            <w:vAlign w:val="bottom"/>
          </w:tcPr>
          <w:p w:rsidR="00C83061" w:rsidRPr="00617606" w:rsidRDefault="00C83061" w:rsidP="00BB5871">
            <w:pPr>
              <w:spacing w:before="0" w:after="0" w:line="240" w:lineRule="auto"/>
              <w:ind w:left="0"/>
              <w:rPr>
                <w:rFonts w:ascii="Calibri" w:hAnsi="Calibri"/>
                <w:color w:val="FFFFFF" w:themeColor="background1"/>
                <w:sz w:val="10"/>
                <w:szCs w:val="10"/>
              </w:rPr>
            </w:pPr>
            <w:r w:rsidRPr="00617606">
              <w:rPr>
                <w:rFonts w:ascii="Calibri" w:hAnsi="Calibri"/>
                <w:color w:val="FFFFFF" w:themeColor="background1"/>
                <w:sz w:val="10"/>
                <w:szCs w:val="10"/>
              </w:rPr>
              <w:t>Allied health</w:t>
            </w:r>
          </w:p>
        </w:tc>
        <w:tc>
          <w:tcPr>
            <w:tcW w:w="1571" w:type="pct"/>
            <w:vAlign w:val="bottom"/>
          </w:tcPr>
          <w:p w:rsidR="00C83061" w:rsidRPr="00617606" w:rsidRDefault="00C83061" w:rsidP="00BB5871">
            <w:pPr>
              <w:spacing w:before="0"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17606">
              <w:rPr>
                <w:rFonts w:ascii="Calibri" w:hAnsi="Calibri"/>
                <w:color w:val="FFFFFF" w:themeColor="background1"/>
                <w:sz w:val="10"/>
                <w:szCs w:val="10"/>
              </w:rPr>
              <w:t>6</w:t>
            </w:r>
          </w:p>
        </w:tc>
      </w:tr>
      <w:tr w:rsidR="00617606" w:rsidRPr="00617606" w:rsidTr="00617606">
        <w:trPr>
          <w:cantSplit/>
        </w:trPr>
        <w:tc>
          <w:tcPr>
            <w:cnfStyle w:val="001000000000" w:firstRow="0" w:lastRow="0" w:firstColumn="1" w:lastColumn="0" w:oddVBand="0" w:evenVBand="0" w:oddHBand="0" w:evenHBand="0" w:firstRowFirstColumn="0" w:firstRowLastColumn="0" w:lastRowFirstColumn="0" w:lastRowLastColumn="0"/>
            <w:tcW w:w="3429" w:type="pct"/>
            <w:vAlign w:val="bottom"/>
          </w:tcPr>
          <w:p w:rsidR="00C83061" w:rsidRPr="00617606" w:rsidRDefault="00C83061" w:rsidP="00BB5871">
            <w:pPr>
              <w:spacing w:before="0" w:after="0" w:line="240" w:lineRule="auto"/>
              <w:ind w:left="0"/>
              <w:rPr>
                <w:rFonts w:ascii="Calibri" w:hAnsi="Calibri"/>
                <w:color w:val="FFFFFF" w:themeColor="background1"/>
                <w:sz w:val="10"/>
                <w:szCs w:val="10"/>
              </w:rPr>
            </w:pPr>
            <w:r w:rsidRPr="00617606">
              <w:rPr>
                <w:rFonts w:ascii="Calibri" w:hAnsi="Calibri"/>
                <w:color w:val="FFFFFF" w:themeColor="background1"/>
                <w:sz w:val="10"/>
                <w:szCs w:val="10"/>
              </w:rPr>
              <w:t>Bulk billing incentives</w:t>
            </w:r>
          </w:p>
        </w:tc>
        <w:tc>
          <w:tcPr>
            <w:tcW w:w="1571" w:type="pct"/>
            <w:vAlign w:val="bottom"/>
          </w:tcPr>
          <w:p w:rsidR="00C83061" w:rsidRPr="00617606" w:rsidRDefault="00C83061" w:rsidP="00BB5871">
            <w:pPr>
              <w:spacing w:before="0"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17606">
              <w:rPr>
                <w:rFonts w:ascii="Calibri" w:hAnsi="Calibri"/>
                <w:color w:val="FFFFFF" w:themeColor="background1"/>
                <w:sz w:val="10"/>
                <w:szCs w:val="10"/>
              </w:rPr>
              <w:t>3</w:t>
            </w:r>
          </w:p>
        </w:tc>
      </w:tr>
    </w:tbl>
    <w:p w:rsidR="00BB5871" w:rsidRPr="00617606" w:rsidRDefault="00BB5871" w:rsidP="00BB5871">
      <w:pPr>
        <w:pStyle w:val="Source"/>
        <w:spacing w:before="2880"/>
        <w:rPr>
          <w:color w:val="FFFFFF" w:themeColor="background1"/>
        </w:rPr>
      </w:pPr>
      <w:bookmarkStart w:id="37" w:name="_Toc411521679"/>
      <w:bookmarkStart w:id="38" w:name="_Toc411521787"/>
      <w:bookmarkEnd w:id="36"/>
      <w:r w:rsidRPr="00617606">
        <w:rPr>
          <w:color w:val="FFFFFF" w:themeColor="background1"/>
        </w:rPr>
        <w:t>Note: Figures provided are per cent.</w:t>
      </w:r>
    </w:p>
    <w:p w:rsidR="00826CC3" w:rsidRPr="00227D7D" w:rsidRDefault="00126CB9" w:rsidP="00F15654">
      <w:pPr>
        <w:pStyle w:val="Source"/>
      </w:pPr>
      <w:r w:rsidRPr="00227D7D">
        <w:t xml:space="preserve">Source: PBO analysis of </w:t>
      </w:r>
      <w:r w:rsidR="00DF7D43">
        <w:t>MBS</w:t>
      </w:r>
      <w:r w:rsidRPr="00227D7D">
        <w:t xml:space="preserve"> data from the Department of Human Services.</w:t>
      </w:r>
    </w:p>
    <w:p w:rsidR="00AF0A77" w:rsidRPr="00AF0A77" w:rsidRDefault="00081899" w:rsidP="00417931">
      <w:pPr>
        <w:pStyle w:val="BodyText"/>
      </w:pPr>
      <w:r w:rsidRPr="00227D7D">
        <w:t xml:space="preserve">Details of the categories used in this report are provided in Appendix A.  Data used for the analysis are available at </w:t>
      </w:r>
      <w:hyperlink r:id="rId33" w:history="1">
        <w:r w:rsidRPr="00227D7D">
          <w:rPr>
            <w:rStyle w:val="Hyperlink"/>
          </w:rPr>
          <w:t>medicarestatistics.humanservices.gov.au/statistics/</w:t>
        </w:r>
        <w:proofErr w:type="spellStart"/>
        <w:r w:rsidRPr="00227D7D">
          <w:rPr>
            <w:rStyle w:val="Hyperlink"/>
          </w:rPr>
          <w:t>mbs_item.jsp</w:t>
        </w:r>
        <w:proofErr w:type="spellEnd"/>
      </w:hyperlink>
      <w:r w:rsidRPr="00227D7D">
        <w:t>.</w:t>
      </w:r>
    </w:p>
    <w:p w:rsidR="00826CC3" w:rsidRPr="00227D7D" w:rsidRDefault="00826CC3" w:rsidP="00417931">
      <w:pPr>
        <w:pStyle w:val="BodyText"/>
        <w:sectPr w:rsidR="00826CC3" w:rsidRPr="00227D7D" w:rsidSect="00310B94">
          <w:pgSz w:w="11906" w:h="16838" w:code="9"/>
          <w:pgMar w:top="1361" w:right="1797" w:bottom="1474" w:left="1797" w:header="284" w:footer="454" w:gutter="0"/>
          <w:cols w:space="708"/>
          <w:docGrid w:linePitch="360"/>
        </w:sectPr>
      </w:pPr>
    </w:p>
    <w:p w:rsidR="00593570" w:rsidRPr="00227D7D" w:rsidRDefault="005A7550" w:rsidP="00826CC3">
      <w:pPr>
        <w:pStyle w:val="Heading1"/>
      </w:pPr>
      <w:bookmarkStart w:id="39" w:name="_Toc436050779"/>
      <w:bookmarkStart w:id="40" w:name="_Toc436205149"/>
      <w:bookmarkStart w:id="41" w:name="_Toc436208546"/>
      <w:r w:rsidRPr="00227D7D">
        <w:lastRenderedPageBreak/>
        <w:t>T</w:t>
      </w:r>
      <w:r w:rsidR="00593570" w:rsidRPr="00227D7D">
        <w:t>rends</w:t>
      </w:r>
      <w:bookmarkEnd w:id="37"/>
      <w:bookmarkEnd w:id="38"/>
      <w:r w:rsidR="00926822" w:rsidRPr="00227D7D">
        <w:t xml:space="preserve"> in </w:t>
      </w:r>
      <w:r w:rsidR="00C82519" w:rsidRPr="00227D7D">
        <w:t xml:space="preserve">aggregate </w:t>
      </w:r>
      <w:r w:rsidR="00DF7D43">
        <w:t>M</w:t>
      </w:r>
      <w:r w:rsidR="00FC3C64">
        <w:t>edicare Benefits Schedule</w:t>
      </w:r>
      <w:r w:rsidRPr="00227D7D">
        <w:t xml:space="preserve"> spending</w:t>
      </w:r>
      <w:bookmarkEnd w:id="39"/>
      <w:bookmarkEnd w:id="40"/>
      <w:bookmarkEnd w:id="41"/>
    </w:p>
    <w:p w:rsidR="00F052DD" w:rsidRDefault="00E50C82" w:rsidP="003A0F76">
      <w:pPr>
        <w:pStyle w:val="BodyText"/>
      </w:pPr>
      <w:r w:rsidRPr="00056916">
        <w:t>Spending</w:t>
      </w:r>
      <w:r w:rsidR="00630427" w:rsidRPr="00056916">
        <w:t xml:space="preserve"> </w:t>
      </w:r>
      <w:r w:rsidR="00C244CA">
        <w:t>per person</w:t>
      </w:r>
      <w:r w:rsidR="0087053F" w:rsidRPr="00701D20">
        <w:rPr>
          <w:rStyle w:val="FootnoteReference"/>
        </w:rPr>
        <w:footnoteReference w:id="11"/>
      </w:r>
      <w:r w:rsidR="00630427" w:rsidRPr="00056916">
        <w:t xml:space="preserve"> </w:t>
      </w:r>
      <w:r w:rsidRPr="00056916">
        <w:t>on the MBS g</w:t>
      </w:r>
      <w:r w:rsidR="00630427" w:rsidRPr="00056916">
        <w:t>rew</w:t>
      </w:r>
      <w:r w:rsidRPr="00056916">
        <w:t xml:space="preserve"> in real terms</w:t>
      </w:r>
      <w:r w:rsidR="00630427" w:rsidRPr="00056916">
        <w:t xml:space="preserve"> by 61.6 per cent between 1993</w:t>
      </w:r>
      <w:r w:rsidR="005116E5">
        <w:t>–</w:t>
      </w:r>
      <w:r w:rsidR="00630427" w:rsidRPr="00056916">
        <w:t>94 and 2014</w:t>
      </w:r>
      <w:r w:rsidR="005116E5">
        <w:t>–</w:t>
      </w:r>
      <w:r w:rsidR="002E2F98" w:rsidRPr="00056916">
        <w:t>15, or 2.3 per cent annually</w:t>
      </w:r>
      <w:r w:rsidR="00266F0A" w:rsidRPr="00F248B4">
        <w:t xml:space="preserve">.  </w:t>
      </w:r>
      <w:r w:rsidR="00F052DD" w:rsidRPr="00245605">
        <w:t>In comparison,</w:t>
      </w:r>
      <w:r w:rsidR="00133EE0">
        <w:t xml:space="preserve"> real</w:t>
      </w:r>
      <w:r w:rsidR="00F052DD" w:rsidRPr="00245605">
        <w:t xml:space="preserve"> growth in </w:t>
      </w:r>
      <w:r w:rsidR="00EC6951" w:rsidRPr="00245605">
        <w:t>total</w:t>
      </w:r>
      <w:r w:rsidR="0006217C">
        <w:t xml:space="preserve"> government </w:t>
      </w:r>
      <w:r w:rsidR="00EC6951" w:rsidRPr="00245605">
        <w:t xml:space="preserve">spending </w:t>
      </w:r>
      <w:r w:rsidR="00C244CA">
        <w:t>per person</w:t>
      </w:r>
      <w:r w:rsidR="00F052DD" w:rsidRPr="00245605">
        <w:t xml:space="preserve"> averaged 1.</w:t>
      </w:r>
      <w:r w:rsidR="00EC6951" w:rsidRPr="0078208F">
        <w:t>8</w:t>
      </w:r>
      <w:r w:rsidR="00F052DD" w:rsidRPr="0078208F">
        <w:t> per cent annually over this period.</w:t>
      </w:r>
    </w:p>
    <w:p w:rsidR="007232C2" w:rsidRDefault="008D300A" w:rsidP="003A0F76">
      <w:pPr>
        <w:pStyle w:val="BodyText"/>
      </w:pPr>
      <w:r w:rsidRPr="00322FFB">
        <w:t>There were marked differences in the spending tr</w:t>
      </w:r>
      <w:r w:rsidR="00322FFB" w:rsidRPr="00322FFB">
        <w:t>ends over the past two decades.</w:t>
      </w:r>
      <w:r>
        <w:t xml:space="preserve">  </w:t>
      </w:r>
      <w:r w:rsidR="00133EE0">
        <w:t>Real g</w:t>
      </w:r>
      <w:r w:rsidR="0006237C" w:rsidRPr="003A0F76">
        <w:t xml:space="preserve">rowth </w:t>
      </w:r>
      <w:r w:rsidR="00E43CC1" w:rsidRPr="003A0F76">
        <w:t xml:space="preserve">in </w:t>
      </w:r>
      <w:r w:rsidR="00DF7D43">
        <w:t>MBS</w:t>
      </w:r>
      <w:r w:rsidR="007329F3">
        <w:t xml:space="preserve"> </w:t>
      </w:r>
      <w:r w:rsidR="00E43CC1" w:rsidRPr="003A0F76">
        <w:t xml:space="preserve">spending </w:t>
      </w:r>
      <w:r w:rsidR="00C244CA">
        <w:t>per person</w:t>
      </w:r>
      <w:r w:rsidR="00E43CC1" w:rsidRPr="003A0F76">
        <w:t xml:space="preserve"> </w:t>
      </w:r>
      <w:r w:rsidR="0006237C" w:rsidRPr="003A0F76">
        <w:t xml:space="preserve">was relatively </w:t>
      </w:r>
      <w:r w:rsidR="00BD2663" w:rsidRPr="003A0F76">
        <w:t>modest</w:t>
      </w:r>
      <w:r w:rsidR="0006237C" w:rsidRPr="003A0F76">
        <w:t xml:space="preserve"> </w:t>
      </w:r>
      <w:r w:rsidR="00630C19" w:rsidRPr="003A0F76">
        <w:t>u</w:t>
      </w:r>
      <w:r w:rsidR="00CD64EE" w:rsidRPr="003A0F76">
        <w:t xml:space="preserve">p to </w:t>
      </w:r>
      <w:r w:rsidR="0006237C" w:rsidRPr="003A0F76">
        <w:t>2003</w:t>
      </w:r>
      <w:r w:rsidR="006847B0">
        <w:t>–</w:t>
      </w:r>
      <w:r w:rsidR="0006237C" w:rsidRPr="003A0F76">
        <w:t xml:space="preserve">04, averaging </w:t>
      </w:r>
      <w:r w:rsidR="00B0303F" w:rsidRPr="003A0F76">
        <w:t>1.0</w:t>
      </w:r>
      <w:r w:rsidR="0006237C" w:rsidRPr="003A0F76">
        <w:t xml:space="preserve"> per cent </w:t>
      </w:r>
      <w:r w:rsidR="00BD2663" w:rsidRPr="003A0F76">
        <w:t>annually</w:t>
      </w:r>
      <w:r w:rsidR="00266F0A" w:rsidRPr="003A0F76">
        <w:t xml:space="preserve">.  </w:t>
      </w:r>
      <w:r w:rsidR="006847B0">
        <w:t>From 2003–</w:t>
      </w:r>
      <w:r w:rsidR="00557E27" w:rsidRPr="003A0F76">
        <w:t>04 to 2014</w:t>
      </w:r>
      <w:r w:rsidR="006847B0">
        <w:t>–</w:t>
      </w:r>
      <w:r w:rsidR="00557E27" w:rsidRPr="003A0F76">
        <w:t xml:space="preserve">15, </w:t>
      </w:r>
      <w:r w:rsidR="00133EE0">
        <w:t>it</w:t>
      </w:r>
      <w:r w:rsidR="00557E27" w:rsidRPr="003A0F76">
        <w:t xml:space="preserve"> more than trebled, averaging </w:t>
      </w:r>
      <w:r w:rsidR="00B0303F" w:rsidRPr="003A0F76">
        <w:t>3.</w:t>
      </w:r>
      <w:r w:rsidR="00581CA7">
        <w:t>6</w:t>
      </w:r>
      <w:r w:rsidR="0006237C" w:rsidRPr="003A0F76">
        <w:t> per cent a</w:t>
      </w:r>
      <w:r w:rsidR="00BA719D" w:rsidRPr="003A0F76">
        <w:t>nnually</w:t>
      </w:r>
      <w:r w:rsidR="00DD6AE0">
        <w:t xml:space="preserve">, </w:t>
      </w:r>
      <w:r w:rsidR="00D458C9">
        <w:t xml:space="preserve">largely </w:t>
      </w:r>
      <w:r w:rsidR="00DD6AE0">
        <w:t>driven by</w:t>
      </w:r>
      <w:r w:rsidR="00A41124">
        <w:t xml:space="preserve"> a spike in</w:t>
      </w:r>
      <w:r w:rsidR="00DD6AE0">
        <w:t xml:space="preserve"> growth in 2004</w:t>
      </w:r>
      <w:r w:rsidR="006847B0">
        <w:t>–</w:t>
      </w:r>
      <w:r w:rsidR="00DD6AE0">
        <w:t>05</w:t>
      </w:r>
      <w:r w:rsidR="00EF2676">
        <w:t xml:space="preserve"> </w:t>
      </w:r>
      <w:r w:rsidR="00EF2676" w:rsidRPr="00F248B4">
        <w:t>(</w:t>
      </w:r>
      <w:r w:rsidR="005116E5">
        <w:fldChar w:fldCharType="begin"/>
      </w:r>
      <w:r w:rsidR="005116E5">
        <w:instrText xml:space="preserve"> REF _Ref436041328 \h </w:instrText>
      </w:r>
      <w:r w:rsidR="005116E5">
        <w:fldChar w:fldCharType="separate"/>
      </w:r>
      <w:r w:rsidR="00235C48" w:rsidRPr="005116E5">
        <w:t xml:space="preserve">Figure </w:t>
      </w:r>
      <w:r w:rsidR="00235C48">
        <w:rPr>
          <w:noProof/>
        </w:rPr>
        <w:t>2</w:t>
      </w:r>
      <w:r w:rsidR="00235C48" w:rsidRPr="005116E5">
        <w:t>–</w:t>
      </w:r>
      <w:r w:rsidR="00235C48">
        <w:rPr>
          <w:noProof/>
        </w:rPr>
        <w:t>1</w:t>
      </w:r>
      <w:r w:rsidR="005116E5">
        <w:fldChar w:fldCharType="end"/>
      </w:r>
      <w:r w:rsidR="00EF2676" w:rsidRPr="00F248B4">
        <w:t>)</w:t>
      </w:r>
      <w:r w:rsidR="00512A39" w:rsidRPr="003A0F76">
        <w:t>.</w:t>
      </w:r>
    </w:p>
    <w:p w:rsidR="002E4A48" w:rsidRPr="00227D7D" w:rsidRDefault="00957C0D" w:rsidP="003A0F76">
      <w:pPr>
        <w:pStyle w:val="BodyText"/>
      </w:pPr>
      <w:r w:rsidRPr="003A0F76">
        <w:t>From 2014</w:t>
      </w:r>
      <w:r w:rsidR="006847B0">
        <w:t>–</w:t>
      </w:r>
      <w:r w:rsidRPr="003A0F76">
        <w:t>15</w:t>
      </w:r>
      <w:r w:rsidR="00EE2083" w:rsidRPr="003A0F76">
        <w:t xml:space="preserve"> to 2025</w:t>
      </w:r>
      <w:r w:rsidR="006847B0">
        <w:t>–</w:t>
      </w:r>
      <w:r w:rsidR="00EE2083" w:rsidRPr="003A0F76">
        <w:t>26</w:t>
      </w:r>
      <w:r w:rsidR="00E43CC1" w:rsidRPr="003A0F76">
        <w:t xml:space="preserve">, real </w:t>
      </w:r>
      <w:r w:rsidR="00133EE0">
        <w:t xml:space="preserve">growth in MBS </w:t>
      </w:r>
      <w:r w:rsidR="00E43CC1" w:rsidRPr="003A0F76">
        <w:t xml:space="preserve">spending </w:t>
      </w:r>
      <w:r w:rsidR="00C244CA">
        <w:t>per person</w:t>
      </w:r>
      <w:r w:rsidR="00E43CC1" w:rsidRPr="003A0F76">
        <w:t xml:space="preserve"> </w:t>
      </w:r>
      <w:r w:rsidR="00B167F1" w:rsidRPr="003A0F76">
        <w:t xml:space="preserve">is projected to </w:t>
      </w:r>
      <w:r w:rsidR="0091700B" w:rsidRPr="003A0F76">
        <w:t>slow to</w:t>
      </w:r>
      <w:r w:rsidR="00B167F1" w:rsidRPr="003A0F76">
        <w:t xml:space="preserve"> </w:t>
      </w:r>
      <w:r w:rsidR="00F7701D" w:rsidRPr="003A0F76">
        <w:t>1.</w:t>
      </w:r>
      <w:r w:rsidR="002E2F98">
        <w:t>4</w:t>
      </w:r>
      <w:r w:rsidR="00581CA7" w:rsidRPr="003A0F76">
        <w:t> </w:t>
      </w:r>
      <w:r w:rsidR="00B167F1" w:rsidRPr="003A0F76">
        <w:t>per cent annually</w:t>
      </w:r>
      <w:r w:rsidR="00133EE0">
        <w:t>, based on current policy settings</w:t>
      </w:r>
      <w:r w:rsidR="00E43CC1" w:rsidRPr="003A0F76">
        <w:t>.</w:t>
      </w:r>
    </w:p>
    <w:p w:rsidR="005116E5" w:rsidRDefault="00942B5A" w:rsidP="005116E5">
      <w:pPr>
        <w:pStyle w:val="Caption"/>
      </w:pPr>
      <w:bookmarkStart w:id="42" w:name="_Ref436041328"/>
      <w:bookmarkStart w:id="43" w:name="_Toc436050994"/>
      <w:bookmarkStart w:id="44" w:name="_Toc436205216"/>
      <w:r>
        <w:rPr>
          <w:noProof/>
          <w:lang w:eastAsia="en-AU"/>
        </w:rPr>
        <w:drawing>
          <wp:anchor distT="0" distB="0" distL="114300" distR="114300" simplePos="0" relativeHeight="251665408" behindDoc="0" locked="0" layoutInCell="1" allowOverlap="1" wp14:anchorId="74337D81" wp14:editId="7662A569">
            <wp:simplePos x="0" y="0"/>
            <wp:positionH relativeFrom="column">
              <wp:posOffset>4586</wp:posOffset>
            </wp:positionH>
            <wp:positionV relativeFrom="paragraph">
              <wp:posOffset>581660</wp:posOffset>
            </wp:positionV>
            <wp:extent cx="5279390" cy="2792095"/>
            <wp:effectExtent l="0" t="0" r="0" b="8255"/>
            <wp:wrapNone/>
            <wp:docPr id="46" name="Picture 46"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79390" cy="2792095"/>
                    </a:xfrm>
                    <a:prstGeom prst="rect">
                      <a:avLst/>
                    </a:prstGeom>
                    <a:noFill/>
                  </pic:spPr>
                </pic:pic>
              </a:graphicData>
            </a:graphic>
            <wp14:sizeRelH relativeFrom="page">
              <wp14:pctWidth>0</wp14:pctWidth>
            </wp14:sizeRelH>
            <wp14:sizeRelV relativeFrom="page">
              <wp14:pctHeight>0</wp14:pctHeight>
            </wp14:sizeRelV>
          </wp:anchor>
        </w:drawing>
      </w:r>
      <w:r w:rsidR="005116E5" w:rsidRPr="005116E5">
        <w:t xml:space="preserve">Figure </w:t>
      </w:r>
      <w:fldSimple w:instr=" STYLEREF 1 \s ">
        <w:r w:rsidR="00235C48">
          <w:rPr>
            <w:noProof/>
          </w:rPr>
          <w:t>2</w:t>
        </w:r>
      </w:fldSimple>
      <w:r w:rsidR="005116E5" w:rsidRPr="005116E5">
        <w:t>–</w:t>
      </w:r>
      <w:fldSimple w:instr=" SEQ Figure \* ARABIC \s 1 ">
        <w:r w:rsidR="00235C48">
          <w:rPr>
            <w:noProof/>
          </w:rPr>
          <w:t>1</w:t>
        </w:r>
      </w:fldSimple>
      <w:bookmarkEnd w:id="42"/>
      <w:r w:rsidR="005116E5" w:rsidRPr="005116E5">
        <w:t>: Annual real growth in government spending per person on the Medicare Benefits</w:t>
      </w:r>
      <w:r w:rsidR="005116E5">
        <w:t xml:space="preserve"> Schedule</w:t>
      </w:r>
      <w:bookmarkEnd w:id="43"/>
      <w:bookmarkEnd w:id="44"/>
    </w:p>
    <w:tbl>
      <w:tblPr>
        <w:tblStyle w:val="TableGrid"/>
        <w:tblW w:w="6651" w:type="pct"/>
        <w:tblInd w:w="-1418" w:type="dxa"/>
        <w:tblLook w:val="0680" w:firstRow="0" w:lastRow="0" w:firstColumn="1" w:lastColumn="0" w:noHBand="1" w:noVBand="1"/>
      </w:tblPr>
      <w:tblGrid>
        <w:gridCol w:w="1454"/>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tblGrid>
      <w:tr w:rsidR="00301481" w:rsidRPr="00301481" w:rsidTr="00301481">
        <w:trPr>
          <w:cantSplit/>
        </w:trPr>
        <w:tc>
          <w:tcPr>
            <w:cnfStyle w:val="001000000000" w:firstRow="0" w:lastRow="0" w:firstColumn="1" w:lastColumn="0" w:oddVBand="0" w:evenVBand="0" w:oddHBand="0" w:evenHBand="0" w:firstRowFirstColumn="0" w:firstRowLastColumn="0" w:lastRowFirstColumn="0" w:lastRowLastColumn="0"/>
            <w:tcW w:w="658" w:type="pct"/>
            <w:vAlign w:val="bottom"/>
          </w:tcPr>
          <w:p w:rsidR="00DC125B" w:rsidRPr="00301481" w:rsidRDefault="00DC125B" w:rsidP="00DC125B">
            <w:pPr>
              <w:spacing w:before="0" w:after="0" w:line="240" w:lineRule="auto"/>
              <w:ind w:left="0" w:right="57"/>
              <w:rPr>
                <w:rFonts w:ascii="Calibri" w:hAnsi="Calibri"/>
                <w:b/>
                <w:bCs/>
                <w:color w:val="FFFFFF" w:themeColor="background1"/>
                <w:sz w:val="10"/>
                <w:szCs w:val="10"/>
              </w:rPr>
            </w:pPr>
            <w:r w:rsidRPr="00301481">
              <w:rPr>
                <w:rFonts w:ascii="Calibri" w:hAnsi="Calibri"/>
                <w:b/>
                <w:bCs/>
                <w:color w:val="FFFFFF" w:themeColor="background1"/>
                <w:sz w:val="10"/>
                <w:szCs w:val="10"/>
              </w:rPr>
              <w:t>Annual real growth in spending per person on the MBS</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01481">
              <w:rPr>
                <w:rFonts w:ascii="Calibri" w:hAnsi="Calibri"/>
                <w:b/>
                <w:bCs/>
                <w:color w:val="FFFFFF" w:themeColor="background1"/>
                <w:sz w:val="10"/>
                <w:szCs w:val="10"/>
              </w:rPr>
              <w:t>1993-94</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01481">
              <w:rPr>
                <w:rFonts w:ascii="Calibri" w:hAnsi="Calibri"/>
                <w:b/>
                <w:bCs/>
                <w:color w:val="FFFFFF" w:themeColor="background1"/>
                <w:sz w:val="10"/>
                <w:szCs w:val="10"/>
              </w:rPr>
              <w:t>1994-95</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01481">
              <w:rPr>
                <w:rFonts w:ascii="Calibri" w:hAnsi="Calibri"/>
                <w:b/>
                <w:bCs/>
                <w:color w:val="FFFFFF" w:themeColor="background1"/>
                <w:sz w:val="10"/>
                <w:szCs w:val="10"/>
              </w:rPr>
              <w:t>1995-96</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01481">
              <w:rPr>
                <w:rFonts w:ascii="Calibri" w:hAnsi="Calibri"/>
                <w:b/>
                <w:bCs/>
                <w:color w:val="FFFFFF" w:themeColor="background1"/>
                <w:sz w:val="10"/>
                <w:szCs w:val="10"/>
              </w:rPr>
              <w:t>1996-97</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01481">
              <w:rPr>
                <w:rFonts w:ascii="Calibri" w:hAnsi="Calibri"/>
                <w:b/>
                <w:bCs/>
                <w:color w:val="FFFFFF" w:themeColor="background1"/>
                <w:sz w:val="10"/>
                <w:szCs w:val="10"/>
              </w:rPr>
              <w:t>1997-98</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01481">
              <w:rPr>
                <w:rFonts w:ascii="Calibri" w:hAnsi="Calibri"/>
                <w:b/>
                <w:bCs/>
                <w:color w:val="FFFFFF" w:themeColor="background1"/>
                <w:sz w:val="10"/>
                <w:szCs w:val="10"/>
              </w:rPr>
              <w:t>1998-99</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01481">
              <w:rPr>
                <w:rFonts w:ascii="Calibri" w:hAnsi="Calibri"/>
                <w:b/>
                <w:bCs/>
                <w:color w:val="FFFFFF" w:themeColor="background1"/>
                <w:sz w:val="10"/>
                <w:szCs w:val="10"/>
              </w:rPr>
              <w:t>1999-00</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01481">
              <w:rPr>
                <w:rFonts w:ascii="Calibri" w:hAnsi="Calibri"/>
                <w:b/>
                <w:bCs/>
                <w:color w:val="FFFFFF" w:themeColor="background1"/>
                <w:sz w:val="10"/>
                <w:szCs w:val="10"/>
              </w:rPr>
              <w:t>2000-01</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01481">
              <w:rPr>
                <w:rFonts w:ascii="Calibri" w:hAnsi="Calibri"/>
                <w:b/>
                <w:bCs/>
                <w:color w:val="FFFFFF" w:themeColor="background1"/>
                <w:sz w:val="10"/>
                <w:szCs w:val="10"/>
              </w:rPr>
              <w:t>2001-02</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01481">
              <w:rPr>
                <w:rFonts w:ascii="Calibri" w:hAnsi="Calibri"/>
                <w:b/>
                <w:bCs/>
                <w:color w:val="FFFFFF" w:themeColor="background1"/>
                <w:sz w:val="10"/>
                <w:szCs w:val="10"/>
              </w:rPr>
              <w:t>2002-03</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01481">
              <w:rPr>
                <w:rFonts w:ascii="Calibri" w:hAnsi="Calibri"/>
                <w:b/>
                <w:bCs/>
                <w:color w:val="FFFFFF" w:themeColor="background1"/>
                <w:sz w:val="10"/>
                <w:szCs w:val="10"/>
              </w:rPr>
              <w:t>2003-04</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01481">
              <w:rPr>
                <w:rFonts w:ascii="Calibri" w:hAnsi="Calibri"/>
                <w:b/>
                <w:bCs/>
                <w:color w:val="FFFFFF" w:themeColor="background1"/>
                <w:sz w:val="10"/>
                <w:szCs w:val="10"/>
              </w:rPr>
              <w:t>2004-05</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01481">
              <w:rPr>
                <w:rFonts w:ascii="Calibri" w:hAnsi="Calibri"/>
                <w:b/>
                <w:bCs/>
                <w:color w:val="FFFFFF" w:themeColor="background1"/>
                <w:sz w:val="10"/>
                <w:szCs w:val="10"/>
              </w:rPr>
              <w:t>2005-06</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01481">
              <w:rPr>
                <w:rFonts w:ascii="Calibri" w:hAnsi="Calibri"/>
                <w:b/>
                <w:bCs/>
                <w:color w:val="FFFFFF" w:themeColor="background1"/>
                <w:sz w:val="10"/>
                <w:szCs w:val="10"/>
              </w:rPr>
              <w:t>2006-07</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01481">
              <w:rPr>
                <w:rFonts w:ascii="Calibri" w:hAnsi="Calibri"/>
                <w:b/>
                <w:bCs/>
                <w:color w:val="FFFFFF" w:themeColor="background1"/>
                <w:sz w:val="10"/>
                <w:szCs w:val="10"/>
              </w:rPr>
              <w:t>2007-08</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01481">
              <w:rPr>
                <w:rFonts w:ascii="Calibri" w:hAnsi="Calibri"/>
                <w:b/>
                <w:bCs/>
                <w:color w:val="FFFFFF" w:themeColor="background1"/>
                <w:sz w:val="10"/>
                <w:szCs w:val="10"/>
              </w:rPr>
              <w:t>2008-09</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01481">
              <w:rPr>
                <w:rFonts w:ascii="Calibri" w:hAnsi="Calibri"/>
                <w:b/>
                <w:bCs/>
                <w:color w:val="FFFFFF" w:themeColor="background1"/>
                <w:sz w:val="10"/>
                <w:szCs w:val="10"/>
              </w:rPr>
              <w:t>2009-10</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01481">
              <w:rPr>
                <w:rFonts w:ascii="Calibri" w:hAnsi="Calibri"/>
                <w:b/>
                <w:bCs/>
                <w:color w:val="FFFFFF" w:themeColor="background1"/>
                <w:sz w:val="10"/>
                <w:szCs w:val="10"/>
              </w:rPr>
              <w:t>2010-11</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01481">
              <w:rPr>
                <w:rFonts w:ascii="Calibri" w:hAnsi="Calibri"/>
                <w:b/>
                <w:bCs/>
                <w:color w:val="FFFFFF" w:themeColor="background1"/>
                <w:sz w:val="10"/>
                <w:szCs w:val="10"/>
              </w:rPr>
              <w:t>2011-12</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01481">
              <w:rPr>
                <w:rFonts w:ascii="Calibri" w:hAnsi="Calibri"/>
                <w:b/>
                <w:bCs/>
                <w:color w:val="FFFFFF" w:themeColor="background1"/>
                <w:sz w:val="10"/>
                <w:szCs w:val="10"/>
              </w:rPr>
              <w:t>2012-13</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01481">
              <w:rPr>
                <w:rFonts w:ascii="Calibri" w:hAnsi="Calibri"/>
                <w:b/>
                <w:bCs/>
                <w:color w:val="FFFFFF" w:themeColor="background1"/>
                <w:sz w:val="10"/>
                <w:szCs w:val="10"/>
              </w:rPr>
              <w:t>2013-14</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01481">
              <w:rPr>
                <w:rFonts w:ascii="Calibri" w:hAnsi="Calibri"/>
                <w:b/>
                <w:bCs/>
                <w:color w:val="FFFFFF" w:themeColor="background1"/>
                <w:sz w:val="10"/>
                <w:szCs w:val="10"/>
              </w:rPr>
              <w:t>2014-15</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01481">
              <w:rPr>
                <w:rFonts w:ascii="Calibri" w:hAnsi="Calibri"/>
                <w:b/>
                <w:bCs/>
                <w:color w:val="FFFFFF" w:themeColor="background1"/>
                <w:sz w:val="10"/>
                <w:szCs w:val="10"/>
              </w:rPr>
              <w:t>2015-16</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01481">
              <w:rPr>
                <w:rFonts w:ascii="Calibri" w:hAnsi="Calibri"/>
                <w:b/>
                <w:bCs/>
                <w:color w:val="FFFFFF" w:themeColor="background1"/>
                <w:sz w:val="10"/>
                <w:szCs w:val="10"/>
              </w:rPr>
              <w:t>2016-17</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01481">
              <w:rPr>
                <w:rFonts w:ascii="Calibri" w:hAnsi="Calibri"/>
                <w:b/>
                <w:bCs/>
                <w:color w:val="FFFFFF" w:themeColor="background1"/>
                <w:sz w:val="10"/>
                <w:szCs w:val="10"/>
              </w:rPr>
              <w:t>2017-18</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01481">
              <w:rPr>
                <w:rFonts w:ascii="Calibri" w:hAnsi="Calibri"/>
                <w:b/>
                <w:bCs/>
                <w:color w:val="FFFFFF" w:themeColor="background1"/>
                <w:sz w:val="10"/>
                <w:szCs w:val="10"/>
              </w:rPr>
              <w:t>2018-19</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01481">
              <w:rPr>
                <w:rFonts w:ascii="Calibri" w:hAnsi="Calibri"/>
                <w:b/>
                <w:bCs/>
                <w:color w:val="FFFFFF" w:themeColor="background1"/>
                <w:sz w:val="10"/>
                <w:szCs w:val="10"/>
              </w:rPr>
              <w:t>2019-20</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01481">
              <w:rPr>
                <w:rFonts w:ascii="Calibri" w:hAnsi="Calibri"/>
                <w:b/>
                <w:bCs/>
                <w:color w:val="FFFFFF" w:themeColor="background1"/>
                <w:sz w:val="10"/>
                <w:szCs w:val="10"/>
              </w:rPr>
              <w:t>2020-21</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01481">
              <w:rPr>
                <w:rFonts w:ascii="Calibri" w:hAnsi="Calibri"/>
                <w:b/>
                <w:bCs/>
                <w:color w:val="FFFFFF" w:themeColor="background1"/>
                <w:sz w:val="10"/>
                <w:szCs w:val="10"/>
              </w:rPr>
              <w:t>2021-22</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01481">
              <w:rPr>
                <w:rFonts w:ascii="Calibri" w:hAnsi="Calibri"/>
                <w:b/>
                <w:bCs/>
                <w:color w:val="FFFFFF" w:themeColor="background1"/>
                <w:sz w:val="10"/>
                <w:szCs w:val="10"/>
              </w:rPr>
              <w:t>2022-23</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01481">
              <w:rPr>
                <w:rFonts w:ascii="Calibri" w:hAnsi="Calibri"/>
                <w:b/>
                <w:bCs/>
                <w:color w:val="FFFFFF" w:themeColor="background1"/>
                <w:sz w:val="10"/>
                <w:szCs w:val="10"/>
              </w:rPr>
              <w:t>2023-24</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01481">
              <w:rPr>
                <w:rFonts w:ascii="Calibri" w:hAnsi="Calibri"/>
                <w:b/>
                <w:bCs/>
                <w:color w:val="FFFFFF" w:themeColor="background1"/>
                <w:sz w:val="10"/>
                <w:szCs w:val="10"/>
              </w:rPr>
              <w:t>2024-25</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01481">
              <w:rPr>
                <w:rFonts w:ascii="Calibri" w:hAnsi="Calibri"/>
                <w:b/>
                <w:bCs/>
                <w:color w:val="FFFFFF" w:themeColor="background1"/>
                <w:sz w:val="10"/>
                <w:szCs w:val="10"/>
              </w:rPr>
              <w:t>2025-26</w:t>
            </w:r>
          </w:p>
        </w:tc>
      </w:tr>
      <w:tr w:rsidR="00301481" w:rsidRPr="00301481" w:rsidTr="00301481">
        <w:trPr>
          <w:cantSplit/>
        </w:trPr>
        <w:tc>
          <w:tcPr>
            <w:cnfStyle w:val="001000000000" w:firstRow="0" w:lastRow="0" w:firstColumn="1" w:lastColumn="0" w:oddVBand="0" w:evenVBand="0" w:oddHBand="0" w:evenHBand="0" w:firstRowFirstColumn="0" w:firstRowLastColumn="0" w:lastRowFirstColumn="0" w:lastRowLastColumn="0"/>
            <w:tcW w:w="658" w:type="pct"/>
            <w:vAlign w:val="bottom"/>
          </w:tcPr>
          <w:p w:rsidR="00DC125B" w:rsidRPr="00301481" w:rsidRDefault="00DC125B" w:rsidP="00DC125B">
            <w:pPr>
              <w:spacing w:before="0" w:after="0" w:line="240" w:lineRule="auto"/>
              <w:ind w:left="0" w:right="57"/>
              <w:rPr>
                <w:rFonts w:ascii="Calibri" w:hAnsi="Calibri"/>
                <w:color w:val="FFFFFF" w:themeColor="background1"/>
                <w:sz w:val="10"/>
                <w:szCs w:val="10"/>
              </w:rPr>
            </w:pPr>
            <w:r w:rsidRPr="00301481">
              <w:rPr>
                <w:rFonts w:ascii="Calibri" w:hAnsi="Calibri"/>
                <w:color w:val="FFFFFF" w:themeColor="background1"/>
                <w:sz w:val="10"/>
                <w:szCs w:val="10"/>
              </w:rPr>
              <w:t>Benefits per person – annual real growth (per cent)</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0.0</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1.7</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0.5</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-0.5</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1.8</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2.9</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0.5</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-1.7</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2.6</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-0.6</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2.5</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11.3</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5.8</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2.2</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4.5</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2.2</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2.5</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0.4</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3.4</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2.7</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2.2</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2.4</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0.8</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0.6</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0.5</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1.7</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1.7</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1.7</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1.7</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1.7</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1.6</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1.6</w:t>
            </w:r>
          </w:p>
        </w:tc>
        <w:tc>
          <w:tcPr>
            <w:tcW w:w="132" w:type="pct"/>
          </w:tcPr>
          <w:p w:rsidR="00DC125B" w:rsidRPr="00301481" w:rsidRDefault="00DC125B"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1.6</w:t>
            </w:r>
          </w:p>
        </w:tc>
      </w:tr>
      <w:tr w:rsidR="00301481" w:rsidRPr="00301481" w:rsidTr="00301481">
        <w:trPr>
          <w:gridAfter w:val="24"/>
          <w:wAfter w:w="3158" w:type="pct"/>
          <w:cantSplit/>
        </w:trPr>
        <w:tc>
          <w:tcPr>
            <w:cnfStyle w:val="001000000000" w:firstRow="0" w:lastRow="0" w:firstColumn="1" w:lastColumn="0" w:oddVBand="0" w:evenVBand="0" w:oddHBand="0" w:evenHBand="0" w:firstRowFirstColumn="0" w:firstRowLastColumn="0" w:lastRowFirstColumn="0" w:lastRowLastColumn="0"/>
            <w:tcW w:w="658" w:type="pct"/>
            <w:vAlign w:val="bottom"/>
          </w:tcPr>
          <w:p w:rsidR="00942B5A" w:rsidRPr="00301481" w:rsidRDefault="00942B5A" w:rsidP="00DC125B">
            <w:pPr>
              <w:spacing w:before="0" w:after="0" w:line="240" w:lineRule="auto"/>
              <w:ind w:left="0" w:right="57"/>
              <w:rPr>
                <w:rFonts w:ascii="Calibri" w:hAnsi="Calibri"/>
                <w:color w:val="FFFFFF" w:themeColor="background1"/>
                <w:sz w:val="10"/>
                <w:szCs w:val="10"/>
              </w:rPr>
            </w:pPr>
          </w:p>
        </w:tc>
        <w:tc>
          <w:tcPr>
            <w:tcW w:w="395" w:type="pct"/>
            <w:gridSpan w:val="3"/>
          </w:tcPr>
          <w:p w:rsidR="00942B5A" w:rsidRPr="00301481" w:rsidRDefault="00942B5A"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color w:val="FFFFFF" w:themeColor="background1"/>
                <w:sz w:val="10"/>
                <w:szCs w:val="10"/>
              </w:rPr>
            </w:pPr>
            <w:r w:rsidRPr="00301481">
              <w:rPr>
                <w:rFonts w:ascii="Calibri" w:hAnsi="Calibri"/>
                <w:b/>
                <w:color w:val="FFFFFF" w:themeColor="background1"/>
                <w:sz w:val="10"/>
                <w:szCs w:val="10"/>
              </w:rPr>
              <w:t>1993-94 to 2003-04</w:t>
            </w:r>
          </w:p>
        </w:tc>
        <w:tc>
          <w:tcPr>
            <w:tcW w:w="395" w:type="pct"/>
            <w:gridSpan w:val="3"/>
          </w:tcPr>
          <w:p w:rsidR="00942B5A" w:rsidRPr="00301481" w:rsidRDefault="00942B5A"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color w:val="FFFFFF" w:themeColor="background1"/>
                <w:sz w:val="10"/>
                <w:szCs w:val="10"/>
              </w:rPr>
            </w:pPr>
            <w:r w:rsidRPr="00301481">
              <w:rPr>
                <w:rFonts w:ascii="Calibri" w:hAnsi="Calibri"/>
                <w:b/>
                <w:color w:val="FFFFFF" w:themeColor="background1"/>
                <w:sz w:val="10"/>
                <w:szCs w:val="10"/>
              </w:rPr>
              <w:t>2003-04 to 2014-15</w:t>
            </w:r>
          </w:p>
        </w:tc>
        <w:tc>
          <w:tcPr>
            <w:tcW w:w="395" w:type="pct"/>
            <w:gridSpan w:val="3"/>
          </w:tcPr>
          <w:p w:rsidR="00942B5A" w:rsidRPr="00301481" w:rsidRDefault="00942B5A"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color w:val="FFFFFF" w:themeColor="background1"/>
                <w:sz w:val="10"/>
                <w:szCs w:val="10"/>
              </w:rPr>
            </w:pPr>
            <w:r w:rsidRPr="00301481">
              <w:rPr>
                <w:rFonts w:ascii="Calibri" w:hAnsi="Calibri"/>
                <w:b/>
                <w:color w:val="FFFFFF" w:themeColor="background1"/>
                <w:sz w:val="10"/>
                <w:szCs w:val="10"/>
              </w:rPr>
              <w:t>2014-15 to 2025-26</w:t>
            </w:r>
          </w:p>
        </w:tc>
      </w:tr>
      <w:tr w:rsidR="00301481" w:rsidRPr="00301481" w:rsidTr="00301481">
        <w:trPr>
          <w:gridAfter w:val="24"/>
          <w:wAfter w:w="3158" w:type="pct"/>
          <w:cantSplit/>
        </w:trPr>
        <w:tc>
          <w:tcPr>
            <w:cnfStyle w:val="001000000000" w:firstRow="0" w:lastRow="0" w:firstColumn="1" w:lastColumn="0" w:oddVBand="0" w:evenVBand="0" w:oddHBand="0" w:evenHBand="0" w:firstRowFirstColumn="0" w:firstRowLastColumn="0" w:lastRowFirstColumn="0" w:lastRowLastColumn="0"/>
            <w:tcW w:w="658" w:type="pct"/>
            <w:vAlign w:val="bottom"/>
          </w:tcPr>
          <w:p w:rsidR="00942B5A" w:rsidRPr="00301481" w:rsidRDefault="00942B5A" w:rsidP="00DC125B">
            <w:pPr>
              <w:spacing w:before="0" w:after="0" w:line="240" w:lineRule="auto"/>
              <w:ind w:left="0" w:right="57"/>
              <w:rPr>
                <w:rFonts w:ascii="Calibri" w:hAnsi="Calibri"/>
                <w:color w:val="FFFFFF" w:themeColor="background1"/>
                <w:sz w:val="10"/>
                <w:szCs w:val="10"/>
              </w:rPr>
            </w:pPr>
            <w:r w:rsidRPr="00301481">
              <w:rPr>
                <w:rFonts w:ascii="Calibri" w:hAnsi="Calibri"/>
                <w:color w:val="FFFFFF" w:themeColor="background1"/>
                <w:sz w:val="10"/>
                <w:szCs w:val="10"/>
              </w:rPr>
              <w:t>Benefits per person – average annual real growth over the decade (per cent)</w:t>
            </w:r>
          </w:p>
        </w:tc>
        <w:tc>
          <w:tcPr>
            <w:tcW w:w="395" w:type="pct"/>
            <w:gridSpan w:val="3"/>
          </w:tcPr>
          <w:p w:rsidR="00942B5A" w:rsidRPr="00301481" w:rsidRDefault="00942B5A"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1.0</w:t>
            </w:r>
          </w:p>
        </w:tc>
        <w:tc>
          <w:tcPr>
            <w:tcW w:w="395" w:type="pct"/>
            <w:gridSpan w:val="3"/>
          </w:tcPr>
          <w:p w:rsidR="00942B5A" w:rsidRPr="00301481" w:rsidRDefault="00942B5A"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3.6</w:t>
            </w:r>
          </w:p>
        </w:tc>
        <w:tc>
          <w:tcPr>
            <w:tcW w:w="395" w:type="pct"/>
            <w:gridSpan w:val="3"/>
          </w:tcPr>
          <w:p w:rsidR="00942B5A" w:rsidRPr="00301481" w:rsidRDefault="00942B5A" w:rsidP="00942B5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01481">
              <w:rPr>
                <w:rFonts w:ascii="Calibri" w:hAnsi="Calibri"/>
                <w:color w:val="FFFFFF" w:themeColor="background1"/>
                <w:sz w:val="10"/>
                <w:szCs w:val="10"/>
              </w:rPr>
              <w:t>1.4</w:t>
            </w:r>
          </w:p>
        </w:tc>
      </w:tr>
    </w:tbl>
    <w:p w:rsidR="00F15654" w:rsidRPr="00227D7D" w:rsidRDefault="00F15654" w:rsidP="00866F2C">
      <w:pPr>
        <w:pStyle w:val="Source"/>
        <w:spacing w:before="3480"/>
      </w:pPr>
      <w:bookmarkStart w:id="45" w:name="_Toc411521682"/>
      <w:r w:rsidRPr="00227D7D">
        <w:t>Source: PBO analysis</w:t>
      </w:r>
      <w:r w:rsidR="00826CC3" w:rsidRPr="00227D7D">
        <w:t xml:space="preserve"> </w:t>
      </w:r>
      <w:r w:rsidR="0091700B" w:rsidRPr="00227D7D">
        <w:t>of</w:t>
      </w:r>
      <w:r w:rsidR="00826CC3" w:rsidRPr="00227D7D">
        <w:t xml:space="preserve"> </w:t>
      </w:r>
      <w:r w:rsidR="00DF7D43">
        <w:t>MBS</w:t>
      </w:r>
      <w:r w:rsidR="00826CC3" w:rsidRPr="00227D7D">
        <w:t xml:space="preserve"> data </w:t>
      </w:r>
      <w:r w:rsidR="00126CB9" w:rsidRPr="00227D7D">
        <w:t>from</w:t>
      </w:r>
      <w:r w:rsidR="00826CC3" w:rsidRPr="00227D7D">
        <w:t xml:space="preserve"> the Department of Human Services</w:t>
      </w:r>
      <w:r w:rsidR="002B6C3D">
        <w:t>, ABS and Treasury</w:t>
      </w:r>
      <w:r w:rsidRPr="00227D7D">
        <w:t>.</w:t>
      </w:r>
    </w:p>
    <w:p w:rsidR="00EF2676" w:rsidRPr="000467F6" w:rsidRDefault="00EF2676" w:rsidP="00360E80">
      <w:pPr>
        <w:pStyle w:val="BodyText17ptAbove"/>
      </w:pPr>
      <w:r w:rsidRPr="000467F6">
        <w:t xml:space="preserve">Spending on GP services, </w:t>
      </w:r>
      <w:r w:rsidR="00DD0F3F">
        <w:t xml:space="preserve">pathology and diagnostics, </w:t>
      </w:r>
      <w:r w:rsidRPr="000467F6">
        <w:t xml:space="preserve">surgeries and treatments and allied </w:t>
      </w:r>
      <w:r w:rsidRPr="00322FFB">
        <w:t>health ser</w:t>
      </w:r>
      <w:r w:rsidR="006847B0">
        <w:t>vices grew strongly from 2003–</w:t>
      </w:r>
      <w:r w:rsidR="00322FFB" w:rsidRPr="00322FFB">
        <w:t>04</w:t>
      </w:r>
      <w:r w:rsidR="000A7E93" w:rsidRPr="00322FFB">
        <w:t xml:space="preserve"> </w:t>
      </w:r>
      <w:r w:rsidRPr="00322FFB">
        <w:t>to 2014</w:t>
      </w:r>
      <w:r w:rsidR="006847B0">
        <w:t>–</w:t>
      </w:r>
      <w:r w:rsidRPr="00322FFB">
        <w:t>15.</w:t>
      </w:r>
      <w:r w:rsidR="00DD0F3F">
        <w:t xml:space="preserve">  </w:t>
      </w:r>
      <w:r w:rsidRPr="00322FFB">
        <w:t>Spending on these categories</w:t>
      </w:r>
      <w:r w:rsidRPr="000467F6">
        <w:t xml:space="preserve"> accounted for around </w:t>
      </w:r>
      <w:r w:rsidRPr="000A7E93">
        <w:t>90 per cent</w:t>
      </w:r>
      <w:r w:rsidRPr="000467F6">
        <w:t xml:space="preserve"> of the total growth in spending </w:t>
      </w:r>
      <w:r w:rsidR="00C244CA">
        <w:t>per person</w:t>
      </w:r>
      <w:r w:rsidR="005116E5">
        <w:t xml:space="preserve"> on the MBS over the period.</w:t>
      </w:r>
    </w:p>
    <w:p w:rsidR="00AE7431" w:rsidRPr="00417931" w:rsidRDefault="00EF2676" w:rsidP="00417931">
      <w:pPr>
        <w:pStyle w:val="BodyText"/>
      </w:pPr>
      <w:r w:rsidRPr="00417931">
        <w:lastRenderedPageBreak/>
        <w:t xml:space="preserve">While growth for these categories is projected to slow </w:t>
      </w:r>
      <w:r w:rsidR="00D458C9" w:rsidRPr="00417931">
        <w:t>over the period 2014</w:t>
      </w:r>
      <w:r w:rsidR="006847B0" w:rsidRPr="00417931">
        <w:t>–</w:t>
      </w:r>
      <w:r w:rsidR="00D458C9" w:rsidRPr="00417931">
        <w:t xml:space="preserve">15 </w:t>
      </w:r>
      <w:r w:rsidRPr="00417931">
        <w:t>to 2024</w:t>
      </w:r>
      <w:r w:rsidR="006847B0" w:rsidRPr="00417931">
        <w:t>–</w:t>
      </w:r>
      <w:r w:rsidRPr="00417931">
        <w:t xml:space="preserve">25, </w:t>
      </w:r>
      <w:r w:rsidR="007E1237" w:rsidRPr="00417931">
        <w:t xml:space="preserve">together </w:t>
      </w:r>
      <w:r w:rsidRPr="00417931">
        <w:t xml:space="preserve">they are still projected to account for </w:t>
      </w:r>
      <w:r w:rsidR="007E1237" w:rsidRPr="00417931">
        <w:t>around 90 per cent of growth, although with some changes in the composition of this growth</w:t>
      </w:r>
      <w:r w:rsidR="00777BB3" w:rsidRPr="00417931">
        <w:t>.</w:t>
      </w:r>
    </w:p>
    <w:p w:rsidR="00EF2676" w:rsidRPr="00417931" w:rsidRDefault="007E1237" w:rsidP="00417931">
      <w:pPr>
        <w:pStyle w:val="BodyText"/>
      </w:pPr>
      <w:r w:rsidRPr="00417931">
        <w:t>T</w:t>
      </w:r>
      <w:r w:rsidR="00EF2676" w:rsidRPr="00417931">
        <w:t xml:space="preserve">he share of real growth </w:t>
      </w:r>
      <w:r w:rsidR="00C244CA" w:rsidRPr="00417931">
        <w:t>per person</w:t>
      </w:r>
      <w:r w:rsidR="00EF2676" w:rsidRPr="00417931">
        <w:t xml:space="preserve"> for pathology and diagnostics is projected to fall from one-third to one-fifth of the total, with surgeries and treatments increasing its share of real growth from one-fifth to one-quarter of the total between the historical and projection periods.</w:t>
      </w:r>
    </w:p>
    <w:p w:rsidR="00777BB3" w:rsidRPr="00417931" w:rsidRDefault="00777BB3" w:rsidP="00417931">
      <w:pPr>
        <w:pStyle w:val="BodyText"/>
      </w:pPr>
      <w:r w:rsidRPr="00417931">
        <w:t xml:space="preserve">In real terms, government spending </w:t>
      </w:r>
      <w:r w:rsidR="00C244CA" w:rsidRPr="00417931">
        <w:t>per person</w:t>
      </w:r>
      <w:r w:rsidRPr="00417931">
        <w:t xml:space="preserve"> on GP services is projected to reach around $325 a year by 2025</w:t>
      </w:r>
      <w:r w:rsidR="006847B0" w:rsidRPr="00417931">
        <w:t>–</w:t>
      </w:r>
      <w:r w:rsidRPr="00417931">
        <w:t>26, above spending on pathology and diagnostic services ($280), surgeries and treatments ($175), specialist services ($100) and allied health ($70)</w:t>
      </w:r>
      <w:r w:rsidR="006847B0" w:rsidRPr="00417931">
        <w:br/>
      </w:r>
      <w:r w:rsidRPr="00417931">
        <w:t>(</w:t>
      </w:r>
      <w:r w:rsidR="006847B0" w:rsidRPr="00417931">
        <w:fldChar w:fldCharType="begin"/>
      </w:r>
      <w:r w:rsidR="006847B0" w:rsidRPr="00417931">
        <w:instrText xml:space="preserve"> REF _Ref436041734 \h </w:instrText>
      </w:r>
      <w:r w:rsidR="00417931">
        <w:instrText xml:space="preserve"> \* MERGEFORMAT </w:instrText>
      </w:r>
      <w:r w:rsidR="006847B0" w:rsidRPr="00417931">
        <w:fldChar w:fldCharType="separate"/>
      </w:r>
      <w:r w:rsidR="00235C48" w:rsidRPr="006847B0">
        <w:t xml:space="preserve">Figure </w:t>
      </w:r>
      <w:r w:rsidR="00235C48">
        <w:t>2</w:t>
      </w:r>
      <w:r w:rsidR="00235C48" w:rsidRPr="006847B0">
        <w:t>–</w:t>
      </w:r>
      <w:r w:rsidR="00235C48">
        <w:t>2</w:t>
      </w:r>
      <w:r w:rsidR="006847B0" w:rsidRPr="00417931">
        <w:fldChar w:fldCharType="end"/>
      </w:r>
      <w:r w:rsidRPr="00417931">
        <w:t>).</w:t>
      </w:r>
    </w:p>
    <w:p w:rsidR="006847B0" w:rsidRPr="006847B0" w:rsidRDefault="00B32E26" w:rsidP="006847B0">
      <w:pPr>
        <w:pStyle w:val="Caption"/>
      </w:pPr>
      <w:bookmarkStart w:id="46" w:name="_Ref436041734"/>
      <w:bookmarkStart w:id="47" w:name="_Toc436050995"/>
      <w:bookmarkStart w:id="48" w:name="_Toc436205217"/>
      <w:r>
        <w:rPr>
          <w:noProof/>
          <w:lang w:eastAsia="en-AU"/>
        </w:rPr>
        <w:drawing>
          <wp:anchor distT="0" distB="0" distL="114300" distR="114300" simplePos="0" relativeHeight="251679744" behindDoc="0" locked="0" layoutInCell="1" allowOverlap="1" wp14:anchorId="48EA2AB4" wp14:editId="5A7506FE">
            <wp:simplePos x="0" y="0"/>
            <wp:positionH relativeFrom="column">
              <wp:posOffset>-101734</wp:posOffset>
            </wp:positionH>
            <wp:positionV relativeFrom="paragraph">
              <wp:posOffset>381635</wp:posOffset>
            </wp:positionV>
            <wp:extent cx="5566410" cy="3328670"/>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66410" cy="3328670"/>
                    </a:xfrm>
                    <a:prstGeom prst="rect">
                      <a:avLst/>
                    </a:prstGeom>
                    <a:noFill/>
                  </pic:spPr>
                </pic:pic>
              </a:graphicData>
            </a:graphic>
            <wp14:sizeRelH relativeFrom="page">
              <wp14:pctWidth>0</wp14:pctWidth>
            </wp14:sizeRelH>
            <wp14:sizeRelV relativeFrom="page">
              <wp14:pctHeight>0</wp14:pctHeight>
            </wp14:sizeRelV>
          </wp:anchor>
        </w:drawing>
      </w:r>
      <w:r w:rsidR="006847B0" w:rsidRPr="006847B0">
        <w:t xml:space="preserve">Figure </w:t>
      </w:r>
      <w:fldSimple w:instr=" STYLEREF 1 \s ">
        <w:r w:rsidR="00235C48">
          <w:rPr>
            <w:noProof/>
          </w:rPr>
          <w:t>2</w:t>
        </w:r>
      </w:fldSimple>
      <w:r w:rsidR="006847B0" w:rsidRPr="006847B0">
        <w:t>–</w:t>
      </w:r>
      <w:fldSimple w:instr=" SEQ Figure \* ARABIC \s 1 ">
        <w:r w:rsidR="00235C48">
          <w:rPr>
            <w:noProof/>
          </w:rPr>
          <w:t>2</w:t>
        </w:r>
      </w:fldSimple>
      <w:bookmarkEnd w:id="46"/>
      <w:r w:rsidR="006847B0" w:rsidRPr="006847B0">
        <w:t>: Medicare Benefits Schedule spending per person by category (2014</w:t>
      </w:r>
      <w:r w:rsidR="003F3A1E">
        <w:t>–</w:t>
      </w:r>
      <w:r w:rsidR="006847B0" w:rsidRPr="006847B0">
        <w:t>15 dollars)</w:t>
      </w:r>
      <w:bookmarkEnd w:id="47"/>
      <w:bookmarkEnd w:id="48"/>
    </w:p>
    <w:tbl>
      <w:tblPr>
        <w:tblStyle w:val="TableGrid"/>
        <w:tblW w:w="6737" w:type="pct"/>
        <w:tblInd w:w="-1418" w:type="dxa"/>
        <w:tblLook w:val="0680" w:firstRow="0" w:lastRow="0" w:firstColumn="1" w:lastColumn="0" w:noHBand="1" w:noVBand="1"/>
      </w:tblPr>
      <w:tblGrid>
        <w:gridCol w:w="1417"/>
        <w:gridCol w:w="295"/>
        <w:gridCol w:w="295"/>
        <w:gridCol w:w="297"/>
        <w:gridCol w:w="295"/>
        <w:gridCol w:w="297"/>
        <w:gridCol w:w="295"/>
        <w:gridCol w:w="297"/>
        <w:gridCol w:w="297"/>
        <w:gridCol w:w="297"/>
        <w:gridCol w:w="297"/>
        <w:gridCol w:w="297"/>
        <w:gridCol w:w="297"/>
        <w:gridCol w:w="295"/>
        <w:gridCol w:w="297"/>
        <w:gridCol w:w="297"/>
        <w:gridCol w:w="297"/>
        <w:gridCol w:w="297"/>
        <w:gridCol w:w="297"/>
        <w:gridCol w:w="297"/>
        <w:gridCol w:w="297"/>
        <w:gridCol w:w="295"/>
        <w:gridCol w:w="297"/>
        <w:gridCol w:w="295"/>
        <w:gridCol w:w="297"/>
        <w:gridCol w:w="298"/>
        <w:gridCol w:w="298"/>
        <w:gridCol w:w="298"/>
        <w:gridCol w:w="296"/>
        <w:gridCol w:w="298"/>
        <w:gridCol w:w="296"/>
        <w:gridCol w:w="298"/>
        <w:gridCol w:w="296"/>
        <w:gridCol w:w="291"/>
      </w:tblGrid>
      <w:tr w:rsidR="00B64781" w:rsidRPr="00B64781" w:rsidTr="00B64781">
        <w:trPr>
          <w:cantSplit/>
        </w:trPr>
        <w:tc>
          <w:tcPr>
            <w:cnfStyle w:val="001000000000" w:firstRow="0" w:lastRow="0" w:firstColumn="1" w:lastColumn="0" w:oddVBand="0" w:evenVBand="0" w:oddHBand="0" w:evenHBand="0" w:firstRowFirstColumn="0" w:firstRowLastColumn="0" w:lastRowFirstColumn="0" w:lastRowLastColumn="0"/>
            <w:tcW w:w="633" w:type="pct"/>
            <w:vAlign w:val="bottom"/>
          </w:tcPr>
          <w:p w:rsidR="000826DC" w:rsidRPr="00B64781" w:rsidRDefault="000826DC" w:rsidP="000826DC">
            <w:pPr>
              <w:spacing w:before="0" w:after="0" w:line="240" w:lineRule="auto"/>
              <w:ind w:left="0" w:right="57"/>
              <w:rPr>
                <w:rFonts w:ascii="Calibri" w:hAnsi="Calibri"/>
                <w:b/>
                <w:bCs/>
                <w:color w:val="FFFFFF" w:themeColor="background1"/>
                <w:sz w:val="10"/>
                <w:szCs w:val="10"/>
              </w:rPr>
            </w:pPr>
            <w:r w:rsidRPr="00B64781">
              <w:rPr>
                <w:rFonts w:ascii="Calibri" w:hAnsi="Calibri"/>
                <w:b/>
                <w:bCs/>
                <w:color w:val="FFFFFF" w:themeColor="background1"/>
                <w:sz w:val="10"/>
                <w:szCs w:val="10"/>
              </w:rPr>
              <w:t>MBS category</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1993-94</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1994-95</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1995-96</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1996-97</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1997-98</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1998-99</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1999-00</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2000-01</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2001-02</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2002-03</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2003-04</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2004-05</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2005-06</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2006-07</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2007-08</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2008-09</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2009-10</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2010-11</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2011-12</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2012-13</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2013-14</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2014-15</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2015-16</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2016-17</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2017-18</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2018-19</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2019-20</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2020-21</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2021-22</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2022-23</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2023-24</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2024-25</w:t>
            </w:r>
          </w:p>
        </w:tc>
        <w:tc>
          <w:tcPr>
            <w:tcW w:w="130"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2025-26</w:t>
            </w:r>
          </w:p>
        </w:tc>
      </w:tr>
      <w:tr w:rsidR="00B64781" w:rsidRPr="00B64781" w:rsidTr="00B64781">
        <w:trPr>
          <w:cantSplit/>
        </w:trPr>
        <w:tc>
          <w:tcPr>
            <w:cnfStyle w:val="001000000000" w:firstRow="0" w:lastRow="0" w:firstColumn="1" w:lastColumn="0" w:oddVBand="0" w:evenVBand="0" w:oddHBand="0" w:evenHBand="0" w:firstRowFirstColumn="0" w:firstRowLastColumn="0" w:lastRowFirstColumn="0" w:lastRowLastColumn="0"/>
            <w:tcW w:w="633" w:type="pct"/>
            <w:vAlign w:val="bottom"/>
          </w:tcPr>
          <w:p w:rsidR="000826DC" w:rsidRPr="00B64781" w:rsidRDefault="000826DC" w:rsidP="000826DC">
            <w:pPr>
              <w:spacing w:before="0" w:after="0" w:line="240" w:lineRule="auto"/>
              <w:ind w:left="0" w:right="57"/>
              <w:rPr>
                <w:rFonts w:ascii="Calibri" w:hAnsi="Calibri"/>
                <w:color w:val="FFFFFF" w:themeColor="background1"/>
                <w:sz w:val="10"/>
                <w:szCs w:val="10"/>
              </w:rPr>
            </w:pPr>
            <w:r w:rsidRPr="00B64781">
              <w:rPr>
                <w:rFonts w:ascii="Calibri" w:hAnsi="Calibri"/>
                <w:color w:val="FFFFFF" w:themeColor="background1"/>
                <w:sz w:val="10"/>
                <w:szCs w:val="10"/>
              </w:rPr>
              <w:t>Pathology and diagnostics</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150.4</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159.1</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162.3</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162.9</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172.4</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187.3</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191.1</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188.2</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192.9</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194.1</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198.3</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210.2</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217.4</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221.7</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225.4</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226.8</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228.2</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228.5</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238.6</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244.7</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251.8</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256.2</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259.5</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262.7</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265.7</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268.5</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271.3</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274.0</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276.6</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279.2</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281.5</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283.8</w:t>
            </w:r>
          </w:p>
        </w:tc>
        <w:tc>
          <w:tcPr>
            <w:tcW w:w="130"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285.9</w:t>
            </w:r>
          </w:p>
        </w:tc>
      </w:tr>
      <w:tr w:rsidR="00B64781" w:rsidRPr="00B64781" w:rsidTr="00B64781">
        <w:trPr>
          <w:cantSplit/>
        </w:trPr>
        <w:tc>
          <w:tcPr>
            <w:cnfStyle w:val="001000000000" w:firstRow="0" w:lastRow="0" w:firstColumn="1" w:lastColumn="0" w:oddVBand="0" w:evenVBand="0" w:oddHBand="0" w:evenHBand="0" w:firstRowFirstColumn="0" w:firstRowLastColumn="0" w:lastRowFirstColumn="0" w:lastRowLastColumn="0"/>
            <w:tcW w:w="633" w:type="pct"/>
            <w:vAlign w:val="bottom"/>
          </w:tcPr>
          <w:p w:rsidR="000826DC" w:rsidRPr="00B64781" w:rsidRDefault="000826DC" w:rsidP="000826DC">
            <w:pPr>
              <w:spacing w:before="0" w:after="0" w:line="240" w:lineRule="auto"/>
              <w:ind w:left="0" w:right="57"/>
              <w:rPr>
                <w:rFonts w:ascii="Calibri" w:hAnsi="Calibri"/>
                <w:color w:val="FFFFFF" w:themeColor="background1"/>
                <w:sz w:val="10"/>
                <w:szCs w:val="10"/>
              </w:rPr>
            </w:pPr>
            <w:r w:rsidRPr="00B64781">
              <w:rPr>
                <w:rFonts w:ascii="Calibri" w:hAnsi="Calibri"/>
                <w:color w:val="FFFFFF" w:themeColor="background1"/>
                <w:sz w:val="10"/>
                <w:szCs w:val="10"/>
              </w:rPr>
              <w:t>GP services</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208.4</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206.7</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206.5</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203.7</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204.1</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201.8</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199.5</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194.1</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199.5</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193.1</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192.7</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216.2</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239.7</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242.2</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252.5</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251.7</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256.2</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259.5</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265.0</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271.3</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277.8</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288.5</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288.8</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288.5</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287.9</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292.5</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297.2</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302.0</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307.0</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312.0</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317.1</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322.1</w:t>
            </w:r>
          </w:p>
        </w:tc>
        <w:tc>
          <w:tcPr>
            <w:tcW w:w="130"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327.2</w:t>
            </w:r>
          </w:p>
        </w:tc>
      </w:tr>
      <w:tr w:rsidR="00B64781" w:rsidRPr="00B64781" w:rsidTr="00B64781">
        <w:trPr>
          <w:cantSplit/>
        </w:trPr>
        <w:tc>
          <w:tcPr>
            <w:cnfStyle w:val="001000000000" w:firstRow="0" w:lastRow="0" w:firstColumn="1" w:lastColumn="0" w:oddVBand="0" w:evenVBand="0" w:oddHBand="0" w:evenHBand="0" w:firstRowFirstColumn="0" w:firstRowLastColumn="0" w:lastRowFirstColumn="0" w:lastRowLastColumn="0"/>
            <w:tcW w:w="633" w:type="pct"/>
            <w:vAlign w:val="bottom"/>
          </w:tcPr>
          <w:p w:rsidR="000826DC" w:rsidRPr="00B64781" w:rsidRDefault="000826DC" w:rsidP="000826DC">
            <w:pPr>
              <w:spacing w:before="0" w:after="0" w:line="240" w:lineRule="auto"/>
              <w:ind w:left="0" w:right="57"/>
              <w:rPr>
                <w:rFonts w:ascii="Calibri" w:hAnsi="Calibri"/>
                <w:color w:val="FFFFFF" w:themeColor="background1"/>
                <w:sz w:val="10"/>
                <w:szCs w:val="10"/>
              </w:rPr>
            </w:pPr>
            <w:r w:rsidRPr="00B64781">
              <w:rPr>
                <w:rFonts w:ascii="Calibri" w:hAnsi="Calibri"/>
                <w:color w:val="FFFFFF" w:themeColor="background1"/>
                <w:sz w:val="10"/>
                <w:szCs w:val="10"/>
              </w:rPr>
              <w:t>Surgeries and treatments</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79.5</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80.6</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80.4</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81.0</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81.1</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83.2</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84.9</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86.7</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91.7</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93.9</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96.5</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107.5</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112.2</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116.4</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123.8</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131.2</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134.8</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129.8</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135.9</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139.0</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140.1</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141.2</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142.7</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143.8</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144.7</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148.2</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151.9</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155.7</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159.6</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163.6</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167.6</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171.7</w:t>
            </w:r>
          </w:p>
        </w:tc>
        <w:tc>
          <w:tcPr>
            <w:tcW w:w="130"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175.8</w:t>
            </w:r>
          </w:p>
        </w:tc>
      </w:tr>
      <w:tr w:rsidR="00B64781" w:rsidRPr="00B64781" w:rsidTr="00B64781">
        <w:trPr>
          <w:cantSplit/>
        </w:trPr>
        <w:tc>
          <w:tcPr>
            <w:cnfStyle w:val="001000000000" w:firstRow="0" w:lastRow="0" w:firstColumn="1" w:lastColumn="0" w:oddVBand="0" w:evenVBand="0" w:oddHBand="0" w:evenHBand="0" w:firstRowFirstColumn="0" w:firstRowLastColumn="0" w:lastRowFirstColumn="0" w:lastRowLastColumn="0"/>
            <w:tcW w:w="633" w:type="pct"/>
            <w:vAlign w:val="bottom"/>
          </w:tcPr>
          <w:p w:rsidR="000826DC" w:rsidRPr="00B64781" w:rsidRDefault="000826DC" w:rsidP="000826DC">
            <w:pPr>
              <w:spacing w:before="0" w:after="0" w:line="240" w:lineRule="auto"/>
              <w:ind w:left="0" w:right="57"/>
              <w:rPr>
                <w:rFonts w:ascii="Calibri" w:hAnsi="Calibri"/>
                <w:color w:val="FFFFFF" w:themeColor="background1"/>
                <w:sz w:val="10"/>
                <w:szCs w:val="10"/>
              </w:rPr>
            </w:pPr>
            <w:r w:rsidRPr="00B64781">
              <w:rPr>
                <w:rFonts w:ascii="Calibri" w:hAnsi="Calibri"/>
                <w:color w:val="FFFFFF" w:themeColor="background1"/>
                <w:sz w:val="10"/>
                <w:szCs w:val="10"/>
              </w:rPr>
              <w:t>Allied health</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12.2</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12.2</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12.7</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12.7</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12.3</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12.3</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12.6</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12.4</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12.5</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12.7</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13.3</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14.8</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15.7</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20.1</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28.0</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33.3</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37.4</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40.5</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42.7</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45.9</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47.6</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49.6</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51.0</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52.3</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53.4</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55.3</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57.2</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59.1</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61.0</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62.9</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64.7</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66.4</w:t>
            </w:r>
          </w:p>
        </w:tc>
        <w:tc>
          <w:tcPr>
            <w:tcW w:w="130"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68.1</w:t>
            </w:r>
          </w:p>
        </w:tc>
      </w:tr>
      <w:tr w:rsidR="00B64781" w:rsidRPr="00B64781" w:rsidTr="00B64781">
        <w:trPr>
          <w:cantSplit/>
        </w:trPr>
        <w:tc>
          <w:tcPr>
            <w:cnfStyle w:val="001000000000" w:firstRow="0" w:lastRow="0" w:firstColumn="1" w:lastColumn="0" w:oddVBand="0" w:evenVBand="0" w:oddHBand="0" w:evenHBand="0" w:firstRowFirstColumn="0" w:firstRowLastColumn="0" w:lastRowFirstColumn="0" w:lastRowLastColumn="0"/>
            <w:tcW w:w="633" w:type="pct"/>
            <w:vAlign w:val="bottom"/>
          </w:tcPr>
          <w:p w:rsidR="000826DC" w:rsidRPr="00B64781" w:rsidRDefault="000826DC" w:rsidP="000826DC">
            <w:pPr>
              <w:spacing w:before="0" w:after="0" w:line="240" w:lineRule="auto"/>
              <w:ind w:left="0" w:right="57"/>
              <w:rPr>
                <w:rFonts w:ascii="Calibri" w:hAnsi="Calibri"/>
                <w:color w:val="FFFFFF" w:themeColor="background1"/>
                <w:sz w:val="10"/>
                <w:szCs w:val="10"/>
              </w:rPr>
            </w:pPr>
            <w:r w:rsidRPr="00B64781">
              <w:rPr>
                <w:rFonts w:ascii="Calibri" w:hAnsi="Calibri"/>
                <w:color w:val="FFFFFF" w:themeColor="background1"/>
                <w:sz w:val="10"/>
                <w:szCs w:val="10"/>
              </w:rPr>
              <w:t>Bulk billing incentives</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6.6</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20.8</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21.9</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22.2</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23.0</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23.2</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26.7</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27.9</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27.7</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27.7</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28.0</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28.4</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28.4</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28.3</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28.2</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28.6</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29.0</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29.5</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29.9</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30.4</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30.9</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31.4</w:t>
            </w:r>
          </w:p>
        </w:tc>
        <w:tc>
          <w:tcPr>
            <w:tcW w:w="130"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31.8</w:t>
            </w:r>
          </w:p>
        </w:tc>
      </w:tr>
      <w:tr w:rsidR="00B64781" w:rsidRPr="00B64781" w:rsidTr="00B64781">
        <w:trPr>
          <w:cantSplit/>
        </w:trPr>
        <w:tc>
          <w:tcPr>
            <w:cnfStyle w:val="001000000000" w:firstRow="0" w:lastRow="0" w:firstColumn="1" w:lastColumn="0" w:oddVBand="0" w:evenVBand="0" w:oddHBand="0" w:evenHBand="0" w:firstRowFirstColumn="0" w:firstRowLastColumn="0" w:lastRowFirstColumn="0" w:lastRowLastColumn="0"/>
            <w:tcW w:w="633" w:type="pct"/>
            <w:vAlign w:val="bottom"/>
          </w:tcPr>
          <w:p w:rsidR="000826DC" w:rsidRPr="00B64781" w:rsidRDefault="000826DC" w:rsidP="000826DC">
            <w:pPr>
              <w:spacing w:before="0" w:after="0" w:line="240" w:lineRule="auto"/>
              <w:ind w:left="0" w:right="57"/>
              <w:rPr>
                <w:rFonts w:ascii="Calibri" w:hAnsi="Calibri"/>
                <w:color w:val="FFFFFF" w:themeColor="background1"/>
                <w:sz w:val="10"/>
                <w:szCs w:val="10"/>
              </w:rPr>
            </w:pPr>
            <w:r w:rsidRPr="00B64781">
              <w:rPr>
                <w:rFonts w:ascii="Calibri" w:hAnsi="Calibri"/>
                <w:color w:val="FFFFFF" w:themeColor="background1"/>
                <w:sz w:val="10"/>
                <w:szCs w:val="10"/>
              </w:rPr>
              <w:t>Specialist services</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77.1</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77.6</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76.9</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75.8</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75.8</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76.9</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76.4</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73.7</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73.1</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72.7</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73.1</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76.3</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76.5</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75.7</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76.8</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79.0</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80.5</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80.7</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83.4</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85.9</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87.1</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88.6</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88.6</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88.5</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88.4</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89.8</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91.4</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93.0</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94.7</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96.6</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98.4</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100.4</w:t>
            </w:r>
          </w:p>
        </w:tc>
        <w:tc>
          <w:tcPr>
            <w:tcW w:w="130"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B64781">
              <w:rPr>
                <w:rFonts w:ascii="Calibri" w:hAnsi="Calibri"/>
                <w:color w:val="FFFFFF" w:themeColor="background1"/>
                <w:sz w:val="10"/>
                <w:szCs w:val="10"/>
              </w:rPr>
              <w:t>102.4</w:t>
            </w:r>
          </w:p>
        </w:tc>
      </w:tr>
      <w:tr w:rsidR="00B64781" w:rsidRPr="00B64781" w:rsidTr="00B64781">
        <w:trPr>
          <w:cantSplit/>
        </w:trPr>
        <w:tc>
          <w:tcPr>
            <w:cnfStyle w:val="001000000000" w:firstRow="0" w:lastRow="0" w:firstColumn="1" w:lastColumn="0" w:oddVBand="0" w:evenVBand="0" w:oddHBand="0" w:evenHBand="0" w:firstRowFirstColumn="0" w:firstRowLastColumn="0" w:lastRowFirstColumn="0" w:lastRowLastColumn="0"/>
            <w:tcW w:w="633" w:type="pct"/>
            <w:vAlign w:val="bottom"/>
          </w:tcPr>
          <w:p w:rsidR="000826DC" w:rsidRPr="00B64781" w:rsidRDefault="000826DC" w:rsidP="000826DC">
            <w:pPr>
              <w:spacing w:before="0" w:after="0" w:line="240" w:lineRule="auto"/>
              <w:ind w:left="0" w:right="57"/>
              <w:rPr>
                <w:rFonts w:ascii="Calibri" w:hAnsi="Calibri"/>
                <w:b/>
                <w:bCs/>
                <w:color w:val="FFFFFF" w:themeColor="background1"/>
                <w:sz w:val="10"/>
                <w:szCs w:val="10"/>
              </w:rPr>
            </w:pPr>
            <w:r w:rsidRPr="00B64781">
              <w:rPr>
                <w:rFonts w:ascii="Calibri" w:hAnsi="Calibri"/>
                <w:b/>
                <w:bCs/>
                <w:color w:val="FFFFFF" w:themeColor="background1"/>
                <w:sz w:val="10"/>
                <w:szCs w:val="10"/>
              </w:rPr>
              <w:t>Total MBS spending per person</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527.5</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536.2</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538.8</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536.1</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545.8</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561.5</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564.5</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555.0</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569.7</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566.6</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580.5</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645.9</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683.4</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698.3</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729.5</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745.3</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763.8</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767.0</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793.3</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814.4</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832.5</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852.4</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859.0</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864.1</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868.2</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883.0</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898.0</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913.2</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928.8</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944.6</w:t>
            </w:r>
          </w:p>
        </w:tc>
        <w:tc>
          <w:tcPr>
            <w:tcW w:w="133"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960.2</w:t>
            </w:r>
          </w:p>
        </w:tc>
        <w:tc>
          <w:tcPr>
            <w:tcW w:w="132"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975.7</w:t>
            </w:r>
          </w:p>
        </w:tc>
        <w:tc>
          <w:tcPr>
            <w:tcW w:w="130" w:type="pct"/>
            <w:vAlign w:val="bottom"/>
          </w:tcPr>
          <w:p w:rsidR="000826DC" w:rsidRPr="00B64781" w:rsidRDefault="000826DC" w:rsidP="000826D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B64781">
              <w:rPr>
                <w:rFonts w:ascii="Calibri" w:hAnsi="Calibri"/>
                <w:b/>
                <w:bCs/>
                <w:color w:val="FFFFFF" w:themeColor="background1"/>
                <w:sz w:val="10"/>
                <w:szCs w:val="10"/>
              </w:rPr>
              <w:t>991.3</w:t>
            </w:r>
          </w:p>
        </w:tc>
      </w:tr>
    </w:tbl>
    <w:p w:rsidR="00777BB3" w:rsidRDefault="00777BB3" w:rsidP="00B64781">
      <w:pPr>
        <w:pStyle w:val="Source"/>
        <w:spacing w:before="4200"/>
      </w:pPr>
      <w:r w:rsidRPr="00ED044E">
        <w:t>Source: PBO analysis of MBS data from the Department of H</w:t>
      </w:r>
      <w:r>
        <w:t>uman Services, ABS and Treasury.</w:t>
      </w:r>
    </w:p>
    <w:p w:rsidR="00D547B3" w:rsidRDefault="0071322B" w:rsidP="00360E80">
      <w:pPr>
        <w:pStyle w:val="BodyText17ptAbove"/>
        <w:sectPr w:rsidR="00D547B3" w:rsidSect="0090727D">
          <w:headerReference w:type="even" r:id="rId36"/>
          <w:headerReference w:type="default" r:id="rId37"/>
          <w:footerReference w:type="default" r:id="rId38"/>
          <w:headerReference w:type="first" r:id="rId39"/>
          <w:pgSz w:w="11906" w:h="16838" w:code="9"/>
          <w:pgMar w:top="1361" w:right="1797" w:bottom="1474" w:left="1797" w:header="284" w:footer="454" w:gutter="0"/>
          <w:cols w:space="708"/>
          <w:docGrid w:linePitch="360"/>
        </w:sectPr>
      </w:pPr>
      <w:r>
        <w:fldChar w:fldCharType="begin"/>
      </w:r>
      <w:r>
        <w:instrText xml:space="preserve"> REF _Ref436054900 \h </w:instrText>
      </w:r>
      <w:r w:rsidR="00417931">
        <w:instrText xml:space="preserve"> \* MERGEFORMAT </w:instrText>
      </w:r>
      <w:r>
        <w:fldChar w:fldCharType="separate"/>
      </w:r>
      <w:r w:rsidR="00235C48" w:rsidRPr="00BD4A0C">
        <w:t xml:space="preserve">Table </w:t>
      </w:r>
      <w:r w:rsidR="00235C48">
        <w:rPr>
          <w:noProof/>
        </w:rPr>
        <w:t>2</w:t>
      </w:r>
      <w:r w:rsidR="00235C48" w:rsidRPr="00BD4A0C">
        <w:t>–</w:t>
      </w:r>
      <w:r w:rsidR="00235C48">
        <w:rPr>
          <w:noProof/>
        </w:rPr>
        <w:t>1</w:t>
      </w:r>
      <w:r>
        <w:fldChar w:fldCharType="end"/>
      </w:r>
      <w:r>
        <w:t xml:space="preserve"> </w:t>
      </w:r>
      <w:r w:rsidR="004F2148" w:rsidRPr="009168B2">
        <w:t>shows</w:t>
      </w:r>
      <w:r w:rsidR="00D547B3" w:rsidRPr="009168B2">
        <w:t xml:space="preserve"> </w:t>
      </w:r>
      <w:r w:rsidR="004F2148" w:rsidRPr="009168B2">
        <w:t>the amount spent on each MBS category in 2014</w:t>
      </w:r>
      <w:r w:rsidR="006847B0">
        <w:t>–</w:t>
      </w:r>
      <w:r w:rsidR="004F2148" w:rsidRPr="009168B2">
        <w:t>15 and the amount projected to be spent in 2025</w:t>
      </w:r>
      <w:r w:rsidR="006847B0">
        <w:t>–</w:t>
      </w:r>
      <w:r w:rsidR="004F2148" w:rsidRPr="009168B2">
        <w:t>26 in nominal terms.  It also details the annual real growth rates</w:t>
      </w:r>
      <w:r w:rsidR="00B47913" w:rsidRPr="009168B2">
        <w:t xml:space="preserve"> per person</w:t>
      </w:r>
      <w:r w:rsidR="004F2148" w:rsidRPr="009168B2">
        <w:t>,</w:t>
      </w:r>
      <w:r w:rsidR="00B47913" w:rsidRPr="009168B2">
        <w:t xml:space="preserve"> and the</w:t>
      </w:r>
      <w:r w:rsidR="004F2148" w:rsidRPr="009168B2">
        <w:t xml:space="preserve"> contributions </w:t>
      </w:r>
      <w:r w:rsidR="00B47913" w:rsidRPr="009168B2">
        <w:t>and shares of</w:t>
      </w:r>
      <w:r w:rsidR="00D547B3" w:rsidRPr="009168B2">
        <w:t xml:space="preserve"> </w:t>
      </w:r>
      <w:r w:rsidR="00B47913" w:rsidRPr="009168B2">
        <w:t>these growth rates</w:t>
      </w:r>
      <w:r w:rsidR="004F2148" w:rsidRPr="009168B2">
        <w:t xml:space="preserve"> </w:t>
      </w:r>
      <w:r w:rsidR="00B47913" w:rsidRPr="009168B2">
        <w:t xml:space="preserve">for </w:t>
      </w:r>
      <w:r w:rsidR="004F2148" w:rsidRPr="009168B2">
        <w:t>each MBS category over the historical and projection periods.</w:t>
      </w:r>
    </w:p>
    <w:p w:rsidR="00BD4A0C" w:rsidRPr="00BD4A0C" w:rsidRDefault="00BD4A0C" w:rsidP="00BD4A0C">
      <w:pPr>
        <w:pStyle w:val="Caption"/>
      </w:pPr>
      <w:bookmarkStart w:id="49" w:name="_Ref436054900"/>
      <w:bookmarkStart w:id="50" w:name="_Toc436205212"/>
      <w:bookmarkStart w:id="51" w:name="_Ref436041783"/>
      <w:bookmarkStart w:id="52" w:name="_Toc436050990"/>
      <w:r w:rsidRPr="00BD4A0C">
        <w:lastRenderedPageBreak/>
        <w:t xml:space="preserve">Table </w:t>
      </w:r>
      <w:fldSimple w:instr=" STYLEREF 1 \s ">
        <w:r w:rsidR="00235C48">
          <w:rPr>
            <w:noProof/>
          </w:rPr>
          <w:t>2</w:t>
        </w:r>
      </w:fldSimple>
      <w:r w:rsidRPr="00BD4A0C">
        <w:t>–</w:t>
      </w:r>
      <w:fldSimple w:instr=" SEQ Table \* ARABIC \s 1 ">
        <w:r w:rsidR="00235C48">
          <w:rPr>
            <w:noProof/>
          </w:rPr>
          <w:t>1</w:t>
        </w:r>
      </w:fldSimple>
      <w:bookmarkEnd w:id="49"/>
      <w:r w:rsidRPr="00BD4A0C">
        <w:t>: Medicare Benefit Schedule spending, 1993–94 to 2025–26</w:t>
      </w:r>
      <w:bookmarkEnd w:id="50"/>
    </w:p>
    <w:tbl>
      <w:tblPr>
        <w:tblStyle w:val="TableGrid"/>
        <w:tblW w:w="0" w:type="auto"/>
        <w:tblInd w:w="-25" w:type="dxa"/>
        <w:tblLayout w:type="fixed"/>
        <w:tblLook w:val="04A0" w:firstRow="1" w:lastRow="0" w:firstColumn="1" w:lastColumn="0" w:noHBand="0" w:noVBand="1"/>
      </w:tblPr>
      <w:tblGrid>
        <w:gridCol w:w="1418"/>
        <w:gridCol w:w="894"/>
        <w:gridCol w:w="895"/>
        <w:gridCol w:w="894"/>
        <w:gridCol w:w="895"/>
        <w:gridCol w:w="894"/>
        <w:gridCol w:w="895"/>
        <w:gridCol w:w="894"/>
        <w:gridCol w:w="895"/>
        <w:gridCol w:w="894"/>
        <w:gridCol w:w="895"/>
        <w:gridCol w:w="894"/>
        <w:gridCol w:w="895"/>
        <w:gridCol w:w="894"/>
        <w:gridCol w:w="895"/>
      </w:tblGrid>
      <w:tr w:rsidR="00977067" w:rsidRPr="001447D8" w:rsidTr="0097706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18" w:type="dxa"/>
            <w:tcBorders>
              <w:right w:val="single" w:sz="4" w:space="0" w:color="auto"/>
            </w:tcBorders>
            <w:noWrap/>
            <w:hideMark/>
          </w:tcPr>
          <w:bookmarkEnd w:id="51"/>
          <w:bookmarkEnd w:id="52"/>
          <w:p w:rsidR="0090727D" w:rsidRPr="001447D8" w:rsidRDefault="0090727D" w:rsidP="000F3630">
            <w:pPr>
              <w:pStyle w:val="TableHeading"/>
              <w:rPr>
                <w:rFonts w:ascii="Arial" w:hAnsi="Arial" w:cs="Arial"/>
                <w:sz w:val="13"/>
                <w:szCs w:val="13"/>
              </w:rPr>
            </w:pPr>
            <w:r w:rsidRPr="001447D8">
              <w:rPr>
                <w:rFonts w:ascii="Arial" w:hAnsi="Arial" w:cs="Arial"/>
                <w:sz w:val="13"/>
                <w:szCs w:val="13"/>
              </w:rPr>
              <w:t> </w:t>
            </w:r>
            <w:r>
              <w:rPr>
                <w:rFonts w:ascii="Arial" w:hAnsi="Arial" w:cs="Arial"/>
                <w:sz w:val="13"/>
                <w:szCs w:val="13"/>
              </w:rPr>
              <w:t>MBS category</w:t>
            </w:r>
          </w:p>
        </w:tc>
        <w:tc>
          <w:tcPr>
            <w:tcW w:w="1789" w:type="dxa"/>
            <w:gridSpan w:val="2"/>
            <w:tcBorders>
              <w:left w:val="single" w:sz="4" w:space="0" w:color="auto"/>
              <w:right w:val="single" w:sz="4" w:space="0" w:color="auto"/>
            </w:tcBorders>
            <w:hideMark/>
          </w:tcPr>
          <w:p w:rsidR="0090727D" w:rsidRPr="001447D8" w:rsidRDefault="0090727D" w:rsidP="00E740D1">
            <w:pPr>
              <w:pStyle w:val="TableHeadingCentred"/>
              <w:cnfStyle w:val="100000000000" w:firstRow="1" w:lastRow="0" w:firstColumn="0" w:lastColumn="0" w:oddVBand="0" w:evenVBand="0" w:oddHBand="0" w:evenHBand="0" w:firstRowFirstColumn="0" w:firstRowLastColumn="0" w:lastRowFirstColumn="0" w:lastRowLastColumn="0"/>
              <w:rPr>
                <w:rFonts w:ascii="Arial" w:hAnsi="Arial" w:cs="Arial"/>
                <w:sz w:val="13"/>
                <w:szCs w:val="13"/>
              </w:rPr>
            </w:pPr>
            <w:r w:rsidRPr="001447D8">
              <w:rPr>
                <w:rFonts w:ascii="Arial" w:hAnsi="Arial" w:cs="Arial"/>
                <w:sz w:val="13"/>
                <w:szCs w:val="13"/>
              </w:rPr>
              <w:t>MBS spending in nominal terms</w:t>
            </w:r>
          </w:p>
        </w:tc>
        <w:tc>
          <w:tcPr>
            <w:tcW w:w="3578" w:type="dxa"/>
            <w:gridSpan w:val="4"/>
            <w:tcBorders>
              <w:left w:val="single" w:sz="4" w:space="0" w:color="auto"/>
              <w:right w:val="single" w:sz="4" w:space="0" w:color="auto"/>
            </w:tcBorders>
          </w:tcPr>
          <w:p w:rsidR="0090727D" w:rsidRPr="001447D8" w:rsidRDefault="0090727D" w:rsidP="00E740D1">
            <w:pPr>
              <w:pStyle w:val="TableHeadingCentred"/>
              <w:cnfStyle w:val="100000000000" w:firstRow="1" w:lastRow="0" w:firstColumn="0" w:lastColumn="0" w:oddVBand="0" w:evenVBand="0" w:oddHBand="0" w:evenHBand="0" w:firstRowFirstColumn="0" w:firstRowLastColumn="0" w:lastRowFirstColumn="0" w:lastRowLastColumn="0"/>
              <w:rPr>
                <w:rFonts w:ascii="Arial" w:hAnsi="Arial" w:cs="Arial"/>
                <w:sz w:val="13"/>
                <w:szCs w:val="13"/>
              </w:rPr>
            </w:pPr>
            <w:r w:rsidRPr="001447D8">
              <w:rPr>
                <w:rFonts w:ascii="Arial" w:hAnsi="Arial" w:cs="Arial"/>
                <w:sz w:val="13"/>
                <w:szCs w:val="13"/>
              </w:rPr>
              <w:t xml:space="preserve">Annual real growth </w:t>
            </w:r>
            <w:r w:rsidR="00C244CA">
              <w:rPr>
                <w:rFonts w:ascii="Arial" w:hAnsi="Arial" w:cs="Arial"/>
                <w:sz w:val="13"/>
                <w:szCs w:val="13"/>
              </w:rPr>
              <w:t>per person</w:t>
            </w:r>
          </w:p>
        </w:tc>
        <w:tc>
          <w:tcPr>
            <w:tcW w:w="3578" w:type="dxa"/>
            <w:gridSpan w:val="4"/>
            <w:tcBorders>
              <w:left w:val="single" w:sz="4" w:space="0" w:color="auto"/>
              <w:right w:val="single" w:sz="4" w:space="0" w:color="auto"/>
            </w:tcBorders>
          </w:tcPr>
          <w:p w:rsidR="0090727D" w:rsidRPr="001447D8" w:rsidRDefault="0090727D" w:rsidP="00E740D1">
            <w:pPr>
              <w:pStyle w:val="TableHeadingCentred"/>
              <w:cnfStyle w:val="100000000000" w:firstRow="1" w:lastRow="0" w:firstColumn="0" w:lastColumn="0" w:oddVBand="0" w:evenVBand="0" w:oddHBand="0" w:evenHBand="0" w:firstRowFirstColumn="0" w:firstRowLastColumn="0" w:lastRowFirstColumn="0" w:lastRowLastColumn="0"/>
              <w:rPr>
                <w:rFonts w:ascii="Arial" w:hAnsi="Arial" w:cs="Arial"/>
                <w:sz w:val="13"/>
                <w:szCs w:val="13"/>
              </w:rPr>
            </w:pPr>
            <w:r w:rsidRPr="001447D8">
              <w:rPr>
                <w:rFonts w:ascii="Arial" w:hAnsi="Arial" w:cs="Arial"/>
                <w:sz w:val="13"/>
                <w:szCs w:val="13"/>
              </w:rPr>
              <w:t xml:space="preserve">Contribution to real </w:t>
            </w:r>
            <w:r w:rsidRPr="001447D8">
              <w:rPr>
                <w:rFonts w:ascii="Arial" w:hAnsi="Arial" w:cs="Arial"/>
                <w:sz w:val="13"/>
                <w:szCs w:val="13"/>
              </w:rPr>
              <w:br/>
              <w:t xml:space="preserve">growth </w:t>
            </w:r>
            <w:r w:rsidR="00C244CA">
              <w:rPr>
                <w:rFonts w:ascii="Arial" w:hAnsi="Arial" w:cs="Arial"/>
                <w:sz w:val="13"/>
                <w:szCs w:val="13"/>
              </w:rPr>
              <w:t>per person</w:t>
            </w:r>
            <w:r w:rsidRPr="00701D20">
              <w:rPr>
                <w:rStyle w:val="FootnoteReference"/>
              </w:rPr>
              <w:footnoteReference w:id="12"/>
            </w:r>
          </w:p>
        </w:tc>
        <w:tc>
          <w:tcPr>
            <w:tcW w:w="3578" w:type="dxa"/>
            <w:gridSpan w:val="4"/>
            <w:tcBorders>
              <w:left w:val="single" w:sz="4" w:space="0" w:color="auto"/>
            </w:tcBorders>
          </w:tcPr>
          <w:p w:rsidR="0090727D" w:rsidRPr="001447D8" w:rsidRDefault="0090727D" w:rsidP="00E740D1">
            <w:pPr>
              <w:pStyle w:val="TableHeadingCentred"/>
              <w:cnfStyle w:val="100000000000" w:firstRow="1" w:lastRow="0" w:firstColumn="0" w:lastColumn="0" w:oddVBand="0" w:evenVBand="0" w:oddHBand="0" w:evenHBand="0" w:firstRowFirstColumn="0" w:firstRowLastColumn="0" w:lastRowFirstColumn="0" w:lastRowLastColumn="0"/>
              <w:rPr>
                <w:rFonts w:ascii="Arial" w:hAnsi="Arial" w:cs="Arial"/>
                <w:sz w:val="13"/>
                <w:szCs w:val="13"/>
              </w:rPr>
            </w:pPr>
            <w:r w:rsidRPr="001447D8">
              <w:rPr>
                <w:rFonts w:ascii="Arial" w:hAnsi="Arial" w:cs="Arial"/>
                <w:sz w:val="13"/>
                <w:szCs w:val="13"/>
              </w:rPr>
              <w:t xml:space="preserve">Share of real growth </w:t>
            </w:r>
            <w:r w:rsidR="00C244CA">
              <w:rPr>
                <w:rFonts w:ascii="Arial" w:hAnsi="Arial" w:cs="Arial"/>
                <w:sz w:val="13"/>
                <w:szCs w:val="13"/>
              </w:rPr>
              <w:t>per person</w:t>
            </w:r>
          </w:p>
        </w:tc>
      </w:tr>
      <w:tr w:rsidR="00555DB9" w:rsidRPr="009E1EEE" w:rsidTr="00977067">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auto"/>
            </w:tcBorders>
            <w:noWrap/>
            <w:hideMark/>
          </w:tcPr>
          <w:p w:rsidR="009E1EEE" w:rsidRPr="009E1EEE" w:rsidRDefault="009E1EEE" w:rsidP="00E740D1">
            <w:pPr>
              <w:pStyle w:val="TableText"/>
              <w:spacing w:line="276" w:lineRule="auto"/>
              <w:jc w:val="center"/>
              <w:rPr>
                <w:rFonts w:ascii="Arial" w:hAnsi="Arial" w:cs="Arial"/>
                <w:sz w:val="13"/>
                <w:szCs w:val="13"/>
              </w:rPr>
            </w:pPr>
          </w:p>
        </w:tc>
        <w:tc>
          <w:tcPr>
            <w:tcW w:w="894" w:type="dxa"/>
            <w:tcBorders>
              <w:left w:val="single" w:sz="4" w:space="0" w:color="auto"/>
            </w:tcBorders>
            <w:hideMark/>
          </w:tcPr>
          <w:p w:rsidR="009E1EEE" w:rsidRPr="009E1EEE" w:rsidRDefault="009E1EEE" w:rsidP="00E50AFB">
            <w:pPr>
              <w:pStyle w:val="TableTextCentred"/>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13"/>
                <w:szCs w:val="13"/>
              </w:rPr>
            </w:pPr>
            <w:r w:rsidRPr="009E1EEE">
              <w:rPr>
                <w:rFonts w:ascii="Arial" w:hAnsi="Arial" w:cs="Arial"/>
                <w:b/>
                <w:bCs/>
                <w:sz w:val="13"/>
                <w:szCs w:val="13"/>
              </w:rPr>
              <w:t>2014</w:t>
            </w:r>
            <w:r w:rsidR="00E50AFB">
              <w:rPr>
                <w:rFonts w:ascii="Arial" w:hAnsi="Arial" w:cs="Arial"/>
                <w:b/>
                <w:bCs/>
                <w:sz w:val="13"/>
                <w:szCs w:val="13"/>
              </w:rPr>
              <w:t>–</w:t>
            </w:r>
            <w:r w:rsidRPr="009E1EEE">
              <w:rPr>
                <w:rFonts w:ascii="Arial" w:hAnsi="Arial" w:cs="Arial"/>
                <w:b/>
                <w:bCs/>
                <w:sz w:val="13"/>
                <w:szCs w:val="13"/>
              </w:rPr>
              <w:t>15</w:t>
            </w:r>
          </w:p>
        </w:tc>
        <w:tc>
          <w:tcPr>
            <w:tcW w:w="895" w:type="dxa"/>
            <w:tcBorders>
              <w:right w:val="single" w:sz="4" w:space="0" w:color="auto"/>
            </w:tcBorders>
          </w:tcPr>
          <w:p w:rsidR="009E1EEE" w:rsidRPr="009E1EEE" w:rsidRDefault="009E1EEE" w:rsidP="00E50AFB">
            <w:pPr>
              <w:pStyle w:val="TableTextCentred"/>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13"/>
                <w:szCs w:val="13"/>
              </w:rPr>
            </w:pPr>
            <w:r w:rsidRPr="009E1EEE">
              <w:rPr>
                <w:rFonts w:ascii="Arial" w:hAnsi="Arial" w:cs="Arial"/>
                <w:b/>
                <w:bCs/>
                <w:sz w:val="13"/>
                <w:szCs w:val="13"/>
              </w:rPr>
              <w:t>2025</w:t>
            </w:r>
            <w:r w:rsidR="00E50AFB">
              <w:rPr>
                <w:rFonts w:ascii="Arial" w:hAnsi="Arial" w:cs="Arial"/>
                <w:b/>
                <w:bCs/>
                <w:sz w:val="13"/>
                <w:szCs w:val="13"/>
              </w:rPr>
              <w:t>–</w:t>
            </w:r>
            <w:r w:rsidRPr="009E1EEE">
              <w:rPr>
                <w:rFonts w:ascii="Arial" w:hAnsi="Arial" w:cs="Arial"/>
                <w:b/>
                <w:bCs/>
                <w:sz w:val="13"/>
                <w:szCs w:val="13"/>
              </w:rPr>
              <w:t>26</w:t>
            </w:r>
          </w:p>
        </w:tc>
        <w:tc>
          <w:tcPr>
            <w:tcW w:w="894" w:type="dxa"/>
            <w:tcBorders>
              <w:left w:val="single" w:sz="4" w:space="0" w:color="auto"/>
            </w:tcBorders>
          </w:tcPr>
          <w:p w:rsidR="009E1EEE" w:rsidRPr="009E1EEE" w:rsidRDefault="009E1EEE" w:rsidP="00E50AFB">
            <w:pPr>
              <w:pStyle w:val="TableTextCentred"/>
              <w:spacing w:line="276" w:lineRule="auto"/>
              <w:ind w:right="0"/>
              <w:cnfStyle w:val="000000100000" w:firstRow="0" w:lastRow="0" w:firstColumn="0" w:lastColumn="0" w:oddVBand="0" w:evenVBand="0" w:oddHBand="1" w:evenHBand="0" w:firstRowFirstColumn="0" w:firstRowLastColumn="0" w:lastRowFirstColumn="0" w:lastRowLastColumn="0"/>
              <w:rPr>
                <w:rFonts w:ascii="Arial" w:hAnsi="Arial" w:cs="Arial"/>
                <w:b/>
                <w:bCs/>
                <w:sz w:val="13"/>
                <w:szCs w:val="13"/>
              </w:rPr>
            </w:pPr>
            <w:r w:rsidRPr="009E1EEE">
              <w:rPr>
                <w:rFonts w:ascii="Arial" w:hAnsi="Arial" w:cs="Arial"/>
                <w:b/>
                <w:bCs/>
                <w:sz w:val="13"/>
                <w:szCs w:val="13"/>
              </w:rPr>
              <w:t>1993</w:t>
            </w:r>
            <w:r w:rsidR="00E50AFB">
              <w:rPr>
                <w:rFonts w:ascii="Arial" w:hAnsi="Arial" w:cs="Arial"/>
                <w:b/>
                <w:bCs/>
                <w:sz w:val="13"/>
                <w:szCs w:val="13"/>
              </w:rPr>
              <w:t>–</w:t>
            </w:r>
            <w:r w:rsidRPr="009E1EEE">
              <w:rPr>
                <w:rFonts w:ascii="Arial" w:hAnsi="Arial" w:cs="Arial"/>
                <w:b/>
                <w:bCs/>
                <w:sz w:val="13"/>
                <w:szCs w:val="13"/>
              </w:rPr>
              <w:t>94 to 2014</w:t>
            </w:r>
            <w:r w:rsidR="00E50AFB">
              <w:rPr>
                <w:rFonts w:ascii="Arial" w:hAnsi="Arial" w:cs="Arial"/>
                <w:b/>
                <w:bCs/>
                <w:sz w:val="13"/>
                <w:szCs w:val="13"/>
              </w:rPr>
              <w:t>–</w:t>
            </w:r>
            <w:r w:rsidRPr="009E1EEE">
              <w:rPr>
                <w:rFonts w:ascii="Arial" w:hAnsi="Arial" w:cs="Arial"/>
                <w:b/>
                <w:bCs/>
                <w:sz w:val="13"/>
                <w:szCs w:val="13"/>
              </w:rPr>
              <w:t>15</w:t>
            </w:r>
          </w:p>
        </w:tc>
        <w:tc>
          <w:tcPr>
            <w:tcW w:w="895" w:type="dxa"/>
            <w:hideMark/>
          </w:tcPr>
          <w:p w:rsidR="009E1EEE" w:rsidRPr="009E1EEE" w:rsidRDefault="009E1EEE" w:rsidP="00E50AFB">
            <w:pPr>
              <w:pStyle w:val="TableTextCentred"/>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13"/>
                <w:szCs w:val="13"/>
              </w:rPr>
            </w:pPr>
            <w:r w:rsidRPr="009E1EEE">
              <w:rPr>
                <w:rFonts w:ascii="Arial" w:hAnsi="Arial" w:cs="Arial"/>
                <w:b/>
                <w:bCs/>
                <w:sz w:val="13"/>
                <w:szCs w:val="13"/>
              </w:rPr>
              <w:t>1993</w:t>
            </w:r>
            <w:r w:rsidR="00E50AFB">
              <w:rPr>
                <w:rFonts w:ascii="Arial" w:hAnsi="Arial" w:cs="Arial"/>
                <w:b/>
                <w:bCs/>
                <w:sz w:val="13"/>
                <w:szCs w:val="13"/>
              </w:rPr>
              <w:t>–</w:t>
            </w:r>
            <w:r w:rsidRPr="009E1EEE">
              <w:rPr>
                <w:rFonts w:ascii="Arial" w:hAnsi="Arial" w:cs="Arial"/>
                <w:b/>
                <w:bCs/>
                <w:sz w:val="13"/>
                <w:szCs w:val="13"/>
              </w:rPr>
              <w:t xml:space="preserve">94 to </w:t>
            </w:r>
            <w:r w:rsidRPr="009E1EEE">
              <w:rPr>
                <w:rFonts w:ascii="Arial" w:hAnsi="Arial" w:cs="Arial"/>
                <w:b/>
                <w:bCs/>
                <w:sz w:val="13"/>
                <w:szCs w:val="13"/>
              </w:rPr>
              <w:br/>
              <w:t>2003</w:t>
            </w:r>
            <w:r w:rsidR="00E50AFB">
              <w:rPr>
                <w:rFonts w:ascii="Arial" w:hAnsi="Arial" w:cs="Arial"/>
                <w:b/>
                <w:bCs/>
                <w:sz w:val="13"/>
                <w:szCs w:val="13"/>
              </w:rPr>
              <w:t>–</w:t>
            </w:r>
            <w:r w:rsidRPr="009E1EEE">
              <w:rPr>
                <w:rFonts w:ascii="Arial" w:hAnsi="Arial" w:cs="Arial"/>
                <w:b/>
                <w:bCs/>
                <w:sz w:val="13"/>
                <w:szCs w:val="13"/>
              </w:rPr>
              <w:t>04</w:t>
            </w:r>
          </w:p>
        </w:tc>
        <w:tc>
          <w:tcPr>
            <w:tcW w:w="894" w:type="dxa"/>
          </w:tcPr>
          <w:p w:rsidR="009E1EEE" w:rsidRPr="009E1EEE" w:rsidRDefault="009E1EEE" w:rsidP="00E50AFB">
            <w:pPr>
              <w:pStyle w:val="TableTextCentred"/>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13"/>
                <w:szCs w:val="13"/>
              </w:rPr>
            </w:pPr>
            <w:r w:rsidRPr="009E1EEE">
              <w:rPr>
                <w:rFonts w:ascii="Arial" w:hAnsi="Arial" w:cs="Arial"/>
                <w:b/>
                <w:bCs/>
                <w:sz w:val="13"/>
                <w:szCs w:val="13"/>
              </w:rPr>
              <w:t>2003</w:t>
            </w:r>
            <w:r w:rsidR="00E50AFB">
              <w:rPr>
                <w:rFonts w:ascii="Arial" w:hAnsi="Arial" w:cs="Arial"/>
                <w:b/>
                <w:bCs/>
                <w:sz w:val="13"/>
                <w:szCs w:val="13"/>
              </w:rPr>
              <w:t>–</w:t>
            </w:r>
            <w:r w:rsidRPr="009E1EEE">
              <w:rPr>
                <w:rFonts w:ascii="Arial" w:hAnsi="Arial" w:cs="Arial"/>
                <w:b/>
                <w:bCs/>
                <w:sz w:val="13"/>
                <w:szCs w:val="13"/>
              </w:rPr>
              <w:t>04 to 2014</w:t>
            </w:r>
            <w:r w:rsidR="00E50AFB">
              <w:rPr>
                <w:rFonts w:ascii="Arial" w:hAnsi="Arial" w:cs="Arial"/>
                <w:b/>
                <w:bCs/>
                <w:sz w:val="13"/>
                <w:szCs w:val="13"/>
              </w:rPr>
              <w:t>–</w:t>
            </w:r>
            <w:r w:rsidRPr="009E1EEE">
              <w:rPr>
                <w:rFonts w:ascii="Arial" w:hAnsi="Arial" w:cs="Arial"/>
                <w:b/>
                <w:bCs/>
                <w:sz w:val="13"/>
                <w:szCs w:val="13"/>
              </w:rPr>
              <w:t>15</w:t>
            </w:r>
          </w:p>
        </w:tc>
        <w:tc>
          <w:tcPr>
            <w:tcW w:w="895" w:type="dxa"/>
            <w:tcBorders>
              <w:right w:val="single" w:sz="4" w:space="0" w:color="auto"/>
            </w:tcBorders>
            <w:hideMark/>
          </w:tcPr>
          <w:p w:rsidR="009E1EEE" w:rsidRPr="009E1EEE" w:rsidRDefault="009E1EEE" w:rsidP="00E50AFB">
            <w:pPr>
              <w:pStyle w:val="TableTextCentred"/>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b/>
                <w:bCs/>
                <w:sz w:val="13"/>
                <w:szCs w:val="13"/>
              </w:rPr>
            </w:pPr>
            <w:r w:rsidRPr="009E1EEE">
              <w:rPr>
                <w:rFonts w:ascii="Arial" w:hAnsi="Arial" w:cs="Arial"/>
                <w:b/>
                <w:bCs/>
                <w:sz w:val="13"/>
                <w:szCs w:val="13"/>
              </w:rPr>
              <w:t>2014</w:t>
            </w:r>
            <w:r w:rsidR="00E50AFB">
              <w:rPr>
                <w:rFonts w:ascii="Arial" w:hAnsi="Arial" w:cs="Arial"/>
                <w:b/>
                <w:bCs/>
                <w:sz w:val="13"/>
                <w:szCs w:val="13"/>
              </w:rPr>
              <w:t>–</w:t>
            </w:r>
            <w:r w:rsidRPr="009E1EEE">
              <w:rPr>
                <w:rFonts w:ascii="Arial" w:hAnsi="Arial" w:cs="Arial"/>
                <w:b/>
                <w:bCs/>
                <w:sz w:val="13"/>
                <w:szCs w:val="13"/>
              </w:rPr>
              <w:t xml:space="preserve">15 to </w:t>
            </w:r>
            <w:r w:rsidRPr="009E1EEE">
              <w:rPr>
                <w:rFonts w:ascii="Arial" w:hAnsi="Arial" w:cs="Arial"/>
                <w:b/>
                <w:bCs/>
                <w:sz w:val="13"/>
                <w:szCs w:val="13"/>
              </w:rPr>
              <w:br/>
              <w:t>2025</w:t>
            </w:r>
            <w:r w:rsidR="00E50AFB">
              <w:rPr>
                <w:rFonts w:ascii="Arial" w:hAnsi="Arial" w:cs="Arial"/>
                <w:b/>
                <w:bCs/>
                <w:sz w:val="13"/>
                <w:szCs w:val="13"/>
              </w:rPr>
              <w:t>–</w:t>
            </w:r>
            <w:r w:rsidRPr="009E1EEE">
              <w:rPr>
                <w:rFonts w:ascii="Arial" w:hAnsi="Arial" w:cs="Arial"/>
                <w:b/>
                <w:bCs/>
                <w:sz w:val="13"/>
                <w:szCs w:val="13"/>
              </w:rPr>
              <w:t>26</w:t>
            </w:r>
          </w:p>
        </w:tc>
        <w:tc>
          <w:tcPr>
            <w:tcW w:w="894" w:type="dxa"/>
            <w:tcBorders>
              <w:left w:val="single" w:sz="4" w:space="0" w:color="auto"/>
            </w:tcBorders>
          </w:tcPr>
          <w:p w:rsidR="009E1EEE" w:rsidRPr="009E1EEE" w:rsidRDefault="009E1EEE" w:rsidP="00E50AFB">
            <w:pPr>
              <w:pStyle w:val="TableTextCentred"/>
              <w:spacing w:line="276" w:lineRule="auto"/>
              <w:ind w:right="0"/>
              <w:cnfStyle w:val="000000100000" w:firstRow="0" w:lastRow="0" w:firstColumn="0" w:lastColumn="0" w:oddVBand="0" w:evenVBand="0" w:oddHBand="1" w:evenHBand="0" w:firstRowFirstColumn="0" w:firstRowLastColumn="0" w:lastRowFirstColumn="0" w:lastRowLastColumn="0"/>
              <w:rPr>
                <w:rFonts w:ascii="Arial" w:hAnsi="Arial" w:cs="Arial"/>
                <w:b/>
                <w:bCs/>
                <w:sz w:val="13"/>
                <w:szCs w:val="13"/>
              </w:rPr>
            </w:pPr>
            <w:r w:rsidRPr="009E1EEE">
              <w:rPr>
                <w:rFonts w:ascii="Arial" w:hAnsi="Arial" w:cs="Arial"/>
                <w:b/>
                <w:bCs/>
                <w:sz w:val="13"/>
                <w:szCs w:val="13"/>
              </w:rPr>
              <w:t>1993</w:t>
            </w:r>
            <w:r w:rsidR="00E50AFB">
              <w:rPr>
                <w:rFonts w:ascii="Arial" w:hAnsi="Arial" w:cs="Arial"/>
                <w:b/>
                <w:bCs/>
                <w:sz w:val="13"/>
                <w:szCs w:val="13"/>
              </w:rPr>
              <w:t>–</w:t>
            </w:r>
            <w:r w:rsidRPr="009E1EEE">
              <w:rPr>
                <w:rFonts w:ascii="Arial" w:hAnsi="Arial" w:cs="Arial"/>
                <w:b/>
                <w:bCs/>
                <w:sz w:val="13"/>
                <w:szCs w:val="13"/>
              </w:rPr>
              <w:t>94 to 2014</w:t>
            </w:r>
            <w:r w:rsidR="00E50AFB">
              <w:rPr>
                <w:rFonts w:ascii="Arial" w:hAnsi="Arial" w:cs="Arial"/>
                <w:b/>
                <w:bCs/>
                <w:sz w:val="13"/>
                <w:szCs w:val="13"/>
              </w:rPr>
              <w:t>–</w:t>
            </w:r>
            <w:r w:rsidRPr="009E1EEE">
              <w:rPr>
                <w:rFonts w:ascii="Arial" w:hAnsi="Arial" w:cs="Arial"/>
                <w:b/>
                <w:bCs/>
                <w:sz w:val="13"/>
                <w:szCs w:val="13"/>
              </w:rPr>
              <w:t>15</w:t>
            </w:r>
          </w:p>
        </w:tc>
        <w:tc>
          <w:tcPr>
            <w:tcW w:w="895" w:type="dxa"/>
            <w:hideMark/>
          </w:tcPr>
          <w:p w:rsidR="009E1EEE" w:rsidRPr="009E1EEE" w:rsidRDefault="00E50AFB" w:rsidP="00E50AFB">
            <w:pPr>
              <w:pStyle w:val="TableTextCentred"/>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13"/>
                <w:szCs w:val="13"/>
              </w:rPr>
            </w:pPr>
            <w:r>
              <w:rPr>
                <w:rFonts w:ascii="Arial" w:hAnsi="Arial" w:cs="Arial"/>
                <w:b/>
                <w:bCs/>
                <w:sz w:val="13"/>
                <w:szCs w:val="13"/>
              </w:rPr>
              <w:t>1993–</w:t>
            </w:r>
            <w:r w:rsidR="009E1EEE" w:rsidRPr="009E1EEE">
              <w:rPr>
                <w:rFonts w:ascii="Arial" w:hAnsi="Arial" w:cs="Arial"/>
                <w:b/>
                <w:bCs/>
                <w:sz w:val="13"/>
                <w:szCs w:val="13"/>
              </w:rPr>
              <w:t xml:space="preserve">94 to </w:t>
            </w:r>
            <w:r w:rsidR="009E1EEE" w:rsidRPr="009E1EEE">
              <w:rPr>
                <w:rFonts w:ascii="Arial" w:hAnsi="Arial" w:cs="Arial"/>
                <w:b/>
                <w:bCs/>
                <w:sz w:val="13"/>
                <w:szCs w:val="13"/>
              </w:rPr>
              <w:br/>
              <w:t>2003</w:t>
            </w:r>
            <w:r>
              <w:rPr>
                <w:rFonts w:ascii="Arial" w:hAnsi="Arial" w:cs="Arial"/>
                <w:b/>
                <w:bCs/>
                <w:sz w:val="13"/>
                <w:szCs w:val="13"/>
              </w:rPr>
              <w:t>–</w:t>
            </w:r>
            <w:r w:rsidR="009E1EEE" w:rsidRPr="009E1EEE">
              <w:rPr>
                <w:rFonts w:ascii="Arial" w:hAnsi="Arial" w:cs="Arial"/>
                <w:b/>
                <w:bCs/>
                <w:sz w:val="13"/>
                <w:szCs w:val="13"/>
              </w:rPr>
              <w:t>04</w:t>
            </w:r>
          </w:p>
        </w:tc>
        <w:tc>
          <w:tcPr>
            <w:tcW w:w="894" w:type="dxa"/>
          </w:tcPr>
          <w:p w:rsidR="009E1EEE" w:rsidRPr="009E1EEE" w:rsidRDefault="009E1EEE" w:rsidP="00E50AFB">
            <w:pPr>
              <w:pStyle w:val="TableTextCentred"/>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13"/>
                <w:szCs w:val="13"/>
              </w:rPr>
            </w:pPr>
            <w:r w:rsidRPr="009E1EEE">
              <w:rPr>
                <w:rFonts w:ascii="Arial" w:hAnsi="Arial" w:cs="Arial"/>
                <w:b/>
                <w:bCs/>
                <w:sz w:val="13"/>
                <w:szCs w:val="13"/>
              </w:rPr>
              <w:t>2003</w:t>
            </w:r>
            <w:r w:rsidR="00E50AFB">
              <w:rPr>
                <w:rFonts w:ascii="Arial" w:hAnsi="Arial" w:cs="Arial"/>
                <w:b/>
                <w:bCs/>
                <w:sz w:val="13"/>
                <w:szCs w:val="13"/>
              </w:rPr>
              <w:t>–</w:t>
            </w:r>
            <w:r w:rsidRPr="009E1EEE">
              <w:rPr>
                <w:rFonts w:ascii="Arial" w:hAnsi="Arial" w:cs="Arial"/>
                <w:b/>
                <w:bCs/>
                <w:sz w:val="13"/>
                <w:szCs w:val="13"/>
              </w:rPr>
              <w:t>04 to 2014</w:t>
            </w:r>
            <w:r w:rsidR="00E50AFB">
              <w:rPr>
                <w:rFonts w:ascii="Arial" w:hAnsi="Arial" w:cs="Arial"/>
                <w:b/>
                <w:bCs/>
                <w:sz w:val="13"/>
                <w:szCs w:val="13"/>
              </w:rPr>
              <w:t>–</w:t>
            </w:r>
            <w:r w:rsidRPr="009E1EEE">
              <w:rPr>
                <w:rFonts w:ascii="Arial" w:hAnsi="Arial" w:cs="Arial"/>
                <w:b/>
                <w:bCs/>
                <w:sz w:val="13"/>
                <w:szCs w:val="13"/>
              </w:rPr>
              <w:t>15</w:t>
            </w:r>
          </w:p>
        </w:tc>
        <w:tc>
          <w:tcPr>
            <w:tcW w:w="895" w:type="dxa"/>
            <w:tcBorders>
              <w:right w:val="single" w:sz="4" w:space="0" w:color="auto"/>
            </w:tcBorders>
            <w:hideMark/>
          </w:tcPr>
          <w:p w:rsidR="009E1EEE" w:rsidRPr="009E1EEE" w:rsidRDefault="009E1EEE" w:rsidP="00E50AFB">
            <w:pPr>
              <w:pStyle w:val="TableTextCentred"/>
              <w:spacing w:line="276" w:lineRule="auto"/>
              <w:ind w:left="55"/>
              <w:cnfStyle w:val="000000100000" w:firstRow="0" w:lastRow="0" w:firstColumn="0" w:lastColumn="0" w:oddVBand="0" w:evenVBand="0" w:oddHBand="1" w:evenHBand="0" w:firstRowFirstColumn="0" w:firstRowLastColumn="0" w:lastRowFirstColumn="0" w:lastRowLastColumn="0"/>
              <w:rPr>
                <w:rFonts w:ascii="Arial" w:hAnsi="Arial" w:cs="Arial"/>
                <w:b/>
                <w:bCs/>
                <w:sz w:val="13"/>
                <w:szCs w:val="13"/>
              </w:rPr>
            </w:pPr>
            <w:r w:rsidRPr="009E1EEE">
              <w:rPr>
                <w:rFonts w:ascii="Arial" w:hAnsi="Arial" w:cs="Arial"/>
                <w:b/>
                <w:bCs/>
                <w:sz w:val="13"/>
                <w:szCs w:val="13"/>
              </w:rPr>
              <w:t>2014</w:t>
            </w:r>
            <w:r w:rsidR="00E50AFB">
              <w:rPr>
                <w:rFonts w:ascii="Arial" w:hAnsi="Arial" w:cs="Arial"/>
                <w:b/>
                <w:bCs/>
                <w:sz w:val="13"/>
                <w:szCs w:val="13"/>
              </w:rPr>
              <w:t xml:space="preserve">–15 to </w:t>
            </w:r>
            <w:r w:rsidR="00E50AFB">
              <w:rPr>
                <w:rFonts w:ascii="Arial" w:hAnsi="Arial" w:cs="Arial"/>
                <w:b/>
                <w:bCs/>
                <w:sz w:val="13"/>
                <w:szCs w:val="13"/>
              </w:rPr>
              <w:br/>
              <w:t>2025–</w:t>
            </w:r>
            <w:r w:rsidRPr="009E1EEE">
              <w:rPr>
                <w:rFonts w:ascii="Arial" w:hAnsi="Arial" w:cs="Arial"/>
                <w:b/>
                <w:bCs/>
                <w:sz w:val="13"/>
                <w:szCs w:val="13"/>
              </w:rPr>
              <w:t>26</w:t>
            </w:r>
          </w:p>
        </w:tc>
        <w:tc>
          <w:tcPr>
            <w:tcW w:w="894" w:type="dxa"/>
            <w:tcBorders>
              <w:left w:val="single" w:sz="4" w:space="0" w:color="auto"/>
            </w:tcBorders>
          </w:tcPr>
          <w:p w:rsidR="009E1EEE" w:rsidRPr="009E1EEE" w:rsidRDefault="00E50AFB" w:rsidP="00E50AFB">
            <w:pPr>
              <w:pStyle w:val="TableTextCentred"/>
              <w:spacing w:line="276" w:lineRule="auto"/>
              <w:ind w:left="10"/>
              <w:cnfStyle w:val="000000100000" w:firstRow="0" w:lastRow="0" w:firstColumn="0" w:lastColumn="0" w:oddVBand="0" w:evenVBand="0" w:oddHBand="1" w:evenHBand="0" w:firstRowFirstColumn="0" w:firstRowLastColumn="0" w:lastRowFirstColumn="0" w:lastRowLastColumn="0"/>
              <w:rPr>
                <w:rFonts w:ascii="Arial" w:hAnsi="Arial" w:cs="Arial"/>
                <w:b/>
                <w:bCs/>
                <w:sz w:val="13"/>
                <w:szCs w:val="13"/>
              </w:rPr>
            </w:pPr>
            <w:r>
              <w:rPr>
                <w:rFonts w:ascii="Arial" w:hAnsi="Arial" w:cs="Arial"/>
                <w:b/>
                <w:bCs/>
                <w:sz w:val="13"/>
                <w:szCs w:val="13"/>
              </w:rPr>
              <w:t>1993–</w:t>
            </w:r>
            <w:r w:rsidR="009E1EEE" w:rsidRPr="009E1EEE">
              <w:rPr>
                <w:rFonts w:ascii="Arial" w:hAnsi="Arial" w:cs="Arial"/>
                <w:b/>
                <w:bCs/>
                <w:sz w:val="13"/>
                <w:szCs w:val="13"/>
              </w:rPr>
              <w:t>94 to 2014</w:t>
            </w:r>
            <w:r>
              <w:rPr>
                <w:rFonts w:ascii="Arial" w:hAnsi="Arial" w:cs="Arial"/>
                <w:b/>
                <w:bCs/>
                <w:sz w:val="13"/>
                <w:szCs w:val="13"/>
              </w:rPr>
              <w:t>–</w:t>
            </w:r>
            <w:r w:rsidR="009E1EEE" w:rsidRPr="009E1EEE">
              <w:rPr>
                <w:rFonts w:ascii="Arial" w:hAnsi="Arial" w:cs="Arial"/>
                <w:b/>
                <w:bCs/>
                <w:sz w:val="13"/>
                <w:szCs w:val="13"/>
              </w:rPr>
              <w:t>15</w:t>
            </w:r>
          </w:p>
        </w:tc>
        <w:tc>
          <w:tcPr>
            <w:tcW w:w="895" w:type="dxa"/>
            <w:hideMark/>
          </w:tcPr>
          <w:p w:rsidR="009E1EEE" w:rsidRPr="009E1EEE" w:rsidRDefault="00E50AFB" w:rsidP="00E50AFB">
            <w:pPr>
              <w:pStyle w:val="TableTextCentred"/>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13"/>
                <w:szCs w:val="13"/>
              </w:rPr>
            </w:pPr>
            <w:r>
              <w:rPr>
                <w:rFonts w:ascii="Arial" w:hAnsi="Arial" w:cs="Arial"/>
                <w:b/>
                <w:bCs/>
                <w:sz w:val="13"/>
                <w:szCs w:val="13"/>
              </w:rPr>
              <w:t>1993–</w:t>
            </w:r>
            <w:r w:rsidR="009E1EEE" w:rsidRPr="009E1EEE">
              <w:rPr>
                <w:rFonts w:ascii="Arial" w:hAnsi="Arial" w:cs="Arial"/>
                <w:b/>
                <w:bCs/>
                <w:sz w:val="13"/>
                <w:szCs w:val="13"/>
              </w:rPr>
              <w:t xml:space="preserve">94 to </w:t>
            </w:r>
            <w:r w:rsidR="009E1EEE" w:rsidRPr="009E1EEE">
              <w:rPr>
                <w:rFonts w:ascii="Arial" w:hAnsi="Arial" w:cs="Arial"/>
                <w:b/>
                <w:bCs/>
                <w:sz w:val="13"/>
                <w:szCs w:val="13"/>
              </w:rPr>
              <w:br/>
              <w:t>2003</w:t>
            </w:r>
            <w:r>
              <w:rPr>
                <w:rFonts w:ascii="Arial" w:hAnsi="Arial" w:cs="Arial"/>
                <w:b/>
                <w:bCs/>
                <w:sz w:val="13"/>
                <w:szCs w:val="13"/>
              </w:rPr>
              <w:t>–</w:t>
            </w:r>
            <w:r w:rsidR="009E1EEE" w:rsidRPr="009E1EEE">
              <w:rPr>
                <w:rFonts w:ascii="Arial" w:hAnsi="Arial" w:cs="Arial"/>
                <w:b/>
                <w:bCs/>
                <w:sz w:val="13"/>
                <w:szCs w:val="13"/>
              </w:rPr>
              <w:t>04</w:t>
            </w:r>
          </w:p>
        </w:tc>
        <w:tc>
          <w:tcPr>
            <w:tcW w:w="894" w:type="dxa"/>
          </w:tcPr>
          <w:p w:rsidR="009E1EEE" w:rsidRPr="009E1EEE" w:rsidRDefault="009E1EEE" w:rsidP="00E50AFB">
            <w:pPr>
              <w:pStyle w:val="TableTextCentred"/>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13"/>
                <w:szCs w:val="13"/>
              </w:rPr>
            </w:pPr>
            <w:r w:rsidRPr="009E1EEE">
              <w:rPr>
                <w:rFonts w:ascii="Arial" w:hAnsi="Arial" w:cs="Arial"/>
                <w:b/>
                <w:bCs/>
                <w:sz w:val="13"/>
                <w:szCs w:val="13"/>
              </w:rPr>
              <w:t>2003</w:t>
            </w:r>
            <w:r w:rsidR="00E50AFB">
              <w:rPr>
                <w:rFonts w:ascii="Arial" w:hAnsi="Arial" w:cs="Arial"/>
                <w:b/>
                <w:bCs/>
                <w:sz w:val="13"/>
                <w:szCs w:val="13"/>
              </w:rPr>
              <w:t>–04 to 2014–</w:t>
            </w:r>
            <w:r w:rsidRPr="009E1EEE">
              <w:rPr>
                <w:rFonts w:ascii="Arial" w:hAnsi="Arial" w:cs="Arial"/>
                <w:b/>
                <w:bCs/>
                <w:sz w:val="13"/>
                <w:szCs w:val="13"/>
              </w:rPr>
              <w:t>15</w:t>
            </w:r>
          </w:p>
        </w:tc>
        <w:tc>
          <w:tcPr>
            <w:tcW w:w="895" w:type="dxa"/>
            <w:hideMark/>
          </w:tcPr>
          <w:p w:rsidR="009E1EEE" w:rsidRPr="009E1EEE" w:rsidRDefault="009E1EEE" w:rsidP="00E50AFB">
            <w:pPr>
              <w:pStyle w:val="TableTextCentred"/>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13"/>
                <w:szCs w:val="13"/>
              </w:rPr>
            </w:pPr>
            <w:r w:rsidRPr="009E1EEE">
              <w:rPr>
                <w:rFonts w:ascii="Arial" w:hAnsi="Arial" w:cs="Arial"/>
                <w:b/>
                <w:bCs/>
                <w:sz w:val="13"/>
                <w:szCs w:val="13"/>
              </w:rPr>
              <w:t>2014</w:t>
            </w:r>
            <w:r w:rsidR="00E50AFB">
              <w:rPr>
                <w:rFonts w:ascii="Arial" w:hAnsi="Arial" w:cs="Arial"/>
                <w:b/>
                <w:bCs/>
                <w:sz w:val="13"/>
                <w:szCs w:val="13"/>
              </w:rPr>
              <w:t>–</w:t>
            </w:r>
            <w:r w:rsidRPr="009E1EEE">
              <w:rPr>
                <w:rFonts w:ascii="Arial" w:hAnsi="Arial" w:cs="Arial"/>
                <w:b/>
                <w:bCs/>
                <w:sz w:val="13"/>
                <w:szCs w:val="13"/>
              </w:rPr>
              <w:t>15 to 2025</w:t>
            </w:r>
            <w:r w:rsidR="00E50AFB">
              <w:rPr>
                <w:rFonts w:ascii="Arial" w:hAnsi="Arial" w:cs="Arial"/>
                <w:b/>
                <w:bCs/>
                <w:sz w:val="13"/>
                <w:szCs w:val="13"/>
              </w:rPr>
              <w:t>–</w:t>
            </w:r>
            <w:r w:rsidRPr="009E1EEE">
              <w:rPr>
                <w:rFonts w:ascii="Arial" w:hAnsi="Arial" w:cs="Arial"/>
                <w:b/>
                <w:bCs/>
                <w:sz w:val="13"/>
                <w:szCs w:val="13"/>
              </w:rPr>
              <w:t>26</w:t>
            </w:r>
          </w:p>
        </w:tc>
      </w:tr>
      <w:tr w:rsidR="0090727D" w:rsidRPr="001447D8" w:rsidTr="00977067">
        <w:trPr>
          <w:trHeight w:hRule="exact" w:val="397"/>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auto"/>
            </w:tcBorders>
            <w:noWrap/>
            <w:hideMark/>
          </w:tcPr>
          <w:p w:rsidR="0090727D" w:rsidRPr="001447D8" w:rsidRDefault="0090727D" w:rsidP="00D11C1E">
            <w:pPr>
              <w:pStyle w:val="TableText"/>
              <w:spacing w:line="276" w:lineRule="auto"/>
              <w:rPr>
                <w:rFonts w:ascii="Arial" w:hAnsi="Arial" w:cs="Arial"/>
                <w:sz w:val="13"/>
                <w:szCs w:val="13"/>
              </w:rPr>
            </w:pPr>
            <w:r w:rsidRPr="001447D8">
              <w:rPr>
                <w:rFonts w:ascii="Arial" w:hAnsi="Arial" w:cs="Arial"/>
                <w:sz w:val="13"/>
                <w:szCs w:val="13"/>
              </w:rPr>
              <w:t> </w:t>
            </w:r>
          </w:p>
        </w:tc>
        <w:tc>
          <w:tcPr>
            <w:tcW w:w="1789" w:type="dxa"/>
            <w:gridSpan w:val="2"/>
            <w:tcBorders>
              <w:left w:val="single" w:sz="4" w:space="0" w:color="auto"/>
              <w:right w:val="single" w:sz="4" w:space="0" w:color="auto"/>
            </w:tcBorders>
            <w:hideMark/>
          </w:tcPr>
          <w:p w:rsidR="0090727D" w:rsidRPr="001447D8" w:rsidRDefault="0090727D" w:rsidP="00555DB9">
            <w:pPr>
              <w:pStyle w:val="TableTextCentred"/>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1447D8">
              <w:rPr>
                <w:rFonts w:ascii="Arial" w:hAnsi="Arial" w:cs="Arial"/>
                <w:color w:val="000000"/>
                <w:sz w:val="13"/>
                <w:szCs w:val="13"/>
              </w:rPr>
              <w:t>$ billions</w:t>
            </w:r>
          </w:p>
        </w:tc>
        <w:tc>
          <w:tcPr>
            <w:tcW w:w="3578" w:type="dxa"/>
            <w:gridSpan w:val="4"/>
            <w:tcBorders>
              <w:left w:val="single" w:sz="4" w:space="0" w:color="auto"/>
              <w:right w:val="single" w:sz="4" w:space="0" w:color="auto"/>
            </w:tcBorders>
          </w:tcPr>
          <w:p w:rsidR="0090727D" w:rsidRPr="001447D8" w:rsidRDefault="0090727D" w:rsidP="00E740D1">
            <w:pPr>
              <w:pStyle w:val="TableTextCentred"/>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Pr>
                <w:rFonts w:ascii="Arial" w:hAnsi="Arial" w:cs="Arial"/>
                <w:color w:val="000000"/>
                <w:sz w:val="13"/>
                <w:szCs w:val="13"/>
              </w:rPr>
              <w:t>per cent</w:t>
            </w:r>
          </w:p>
        </w:tc>
        <w:tc>
          <w:tcPr>
            <w:tcW w:w="3578" w:type="dxa"/>
            <w:gridSpan w:val="4"/>
            <w:tcBorders>
              <w:left w:val="single" w:sz="4" w:space="0" w:color="auto"/>
              <w:right w:val="single" w:sz="4" w:space="0" w:color="auto"/>
            </w:tcBorders>
          </w:tcPr>
          <w:p w:rsidR="0090727D" w:rsidRPr="001447D8" w:rsidRDefault="0090727D" w:rsidP="00977067">
            <w:pPr>
              <w:pStyle w:val="TableTextCentred"/>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1447D8">
              <w:rPr>
                <w:rFonts w:ascii="Arial" w:hAnsi="Arial" w:cs="Arial"/>
                <w:color w:val="000000"/>
                <w:sz w:val="13"/>
                <w:szCs w:val="13"/>
              </w:rPr>
              <w:t>percentage points</w:t>
            </w:r>
          </w:p>
        </w:tc>
        <w:tc>
          <w:tcPr>
            <w:tcW w:w="3578" w:type="dxa"/>
            <w:gridSpan w:val="4"/>
            <w:tcBorders>
              <w:left w:val="single" w:sz="4" w:space="0" w:color="auto"/>
            </w:tcBorders>
          </w:tcPr>
          <w:p w:rsidR="0090727D" w:rsidRPr="001447D8" w:rsidRDefault="0090727D" w:rsidP="00E740D1">
            <w:pPr>
              <w:pStyle w:val="TableTextCentred"/>
              <w:spacing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Pr>
                <w:rFonts w:ascii="Arial" w:hAnsi="Arial" w:cs="Arial"/>
                <w:color w:val="000000"/>
                <w:sz w:val="13"/>
                <w:szCs w:val="13"/>
              </w:rPr>
              <w:t>per cent</w:t>
            </w:r>
          </w:p>
        </w:tc>
      </w:tr>
      <w:tr w:rsidR="00555DB9" w:rsidRPr="001447D8" w:rsidTr="00977067">
        <w:trPr>
          <w:cnfStyle w:val="000000100000" w:firstRow="0" w:lastRow="0" w:firstColumn="0" w:lastColumn="0" w:oddVBand="0" w:evenVBand="0" w:oddHBand="1" w:evenHBand="0" w:firstRowFirstColumn="0" w:firstRowLastColumn="0" w:lastRowFirstColumn="0" w:lastRowLastColumn="0"/>
          <w:trHeight w:hRule="exact" w:val="624"/>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auto"/>
            </w:tcBorders>
            <w:noWrap/>
            <w:hideMark/>
          </w:tcPr>
          <w:p w:rsidR="00D3162C" w:rsidRPr="001447D8" w:rsidRDefault="00D3162C" w:rsidP="00D11C1E">
            <w:pPr>
              <w:pStyle w:val="TableText"/>
              <w:spacing w:line="276" w:lineRule="auto"/>
              <w:rPr>
                <w:rFonts w:ascii="Arial" w:hAnsi="Arial" w:cs="Arial"/>
                <w:sz w:val="13"/>
                <w:szCs w:val="13"/>
              </w:rPr>
            </w:pPr>
            <w:r w:rsidRPr="001447D8">
              <w:rPr>
                <w:rFonts w:ascii="Arial" w:hAnsi="Arial" w:cs="Arial"/>
                <w:sz w:val="13"/>
                <w:szCs w:val="13"/>
              </w:rPr>
              <w:t>Pathology and diagnostics</w:t>
            </w:r>
          </w:p>
        </w:tc>
        <w:tc>
          <w:tcPr>
            <w:tcW w:w="894" w:type="dxa"/>
            <w:tcBorders>
              <w:left w:val="single" w:sz="4" w:space="0" w:color="auto"/>
            </w:tcBorders>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6.1</w:t>
            </w:r>
          </w:p>
        </w:tc>
        <w:tc>
          <w:tcPr>
            <w:tcW w:w="895" w:type="dxa"/>
            <w:tcBorders>
              <w:right w:val="single" w:sz="4" w:space="0" w:color="auto"/>
            </w:tcBorders>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10.6</w:t>
            </w:r>
          </w:p>
        </w:tc>
        <w:tc>
          <w:tcPr>
            <w:tcW w:w="894" w:type="dxa"/>
            <w:tcBorders>
              <w:left w:val="single" w:sz="4" w:space="0" w:color="auto"/>
            </w:tcBorders>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2.6</w:t>
            </w:r>
          </w:p>
        </w:tc>
        <w:tc>
          <w:tcPr>
            <w:tcW w:w="895" w:type="dxa"/>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2.8</w:t>
            </w:r>
          </w:p>
        </w:tc>
        <w:tc>
          <w:tcPr>
            <w:tcW w:w="894" w:type="dxa"/>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2.4</w:t>
            </w:r>
          </w:p>
        </w:tc>
        <w:tc>
          <w:tcPr>
            <w:tcW w:w="895" w:type="dxa"/>
            <w:tcBorders>
              <w:right w:val="single" w:sz="4" w:space="0" w:color="auto"/>
            </w:tcBorders>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1.0</w:t>
            </w:r>
          </w:p>
        </w:tc>
        <w:tc>
          <w:tcPr>
            <w:tcW w:w="894" w:type="dxa"/>
            <w:tcBorders>
              <w:left w:val="single" w:sz="4" w:space="0" w:color="auto"/>
            </w:tcBorders>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20.1</w:t>
            </w:r>
          </w:p>
        </w:tc>
        <w:tc>
          <w:tcPr>
            <w:tcW w:w="895" w:type="dxa"/>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9.1</w:t>
            </w:r>
          </w:p>
        </w:tc>
        <w:tc>
          <w:tcPr>
            <w:tcW w:w="894" w:type="dxa"/>
          </w:tcPr>
          <w:p w:rsidR="00D3162C" w:rsidRPr="00D3162C"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555DB9">
              <w:rPr>
                <w:rFonts w:ascii="Arial" w:hAnsi="Arial" w:cs="Arial"/>
                <w:color w:val="000000"/>
                <w:sz w:val="13"/>
                <w:szCs w:val="13"/>
              </w:rPr>
              <w:t>10.0</w:t>
            </w:r>
          </w:p>
        </w:tc>
        <w:tc>
          <w:tcPr>
            <w:tcW w:w="895" w:type="dxa"/>
            <w:tcBorders>
              <w:right w:val="single" w:sz="4" w:space="0" w:color="auto"/>
            </w:tcBorders>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3.5</w:t>
            </w:r>
          </w:p>
        </w:tc>
        <w:tc>
          <w:tcPr>
            <w:tcW w:w="894" w:type="dxa"/>
            <w:tcBorders>
              <w:left w:val="single" w:sz="4" w:space="0" w:color="auto"/>
            </w:tcBorders>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33</w:t>
            </w:r>
          </w:p>
        </w:tc>
        <w:tc>
          <w:tcPr>
            <w:tcW w:w="895" w:type="dxa"/>
            <w:noWrap/>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90</w:t>
            </w:r>
          </w:p>
        </w:tc>
        <w:tc>
          <w:tcPr>
            <w:tcW w:w="894" w:type="dxa"/>
          </w:tcPr>
          <w:p w:rsidR="00D3162C" w:rsidRPr="00D3162C"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555DB9">
              <w:rPr>
                <w:rFonts w:ascii="Arial" w:hAnsi="Arial" w:cs="Arial"/>
                <w:color w:val="000000"/>
                <w:sz w:val="13"/>
                <w:szCs w:val="13"/>
              </w:rPr>
              <w:t>21</w:t>
            </w:r>
          </w:p>
        </w:tc>
        <w:tc>
          <w:tcPr>
            <w:tcW w:w="895" w:type="dxa"/>
            <w:noWrap/>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21</w:t>
            </w:r>
          </w:p>
        </w:tc>
      </w:tr>
      <w:tr w:rsidR="00555DB9" w:rsidRPr="001447D8" w:rsidTr="00977067">
        <w:trPr>
          <w:trHeight w:hRule="exact" w:val="624"/>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auto"/>
            </w:tcBorders>
            <w:noWrap/>
            <w:hideMark/>
          </w:tcPr>
          <w:p w:rsidR="00D3162C" w:rsidRPr="001447D8" w:rsidRDefault="00D3162C" w:rsidP="00D11C1E">
            <w:pPr>
              <w:pStyle w:val="TableText"/>
              <w:spacing w:line="276" w:lineRule="auto"/>
              <w:rPr>
                <w:rFonts w:ascii="Arial" w:hAnsi="Arial" w:cs="Arial"/>
                <w:sz w:val="13"/>
                <w:szCs w:val="13"/>
              </w:rPr>
            </w:pPr>
            <w:r w:rsidRPr="001447D8">
              <w:rPr>
                <w:rFonts w:ascii="Arial" w:hAnsi="Arial" w:cs="Arial"/>
                <w:sz w:val="13"/>
                <w:szCs w:val="13"/>
              </w:rPr>
              <w:t>GP and GP-type services</w:t>
            </w:r>
          </w:p>
        </w:tc>
        <w:tc>
          <w:tcPr>
            <w:tcW w:w="894" w:type="dxa"/>
            <w:tcBorders>
              <w:left w:val="single" w:sz="4" w:space="0" w:color="auto"/>
            </w:tcBorders>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6.8</w:t>
            </w:r>
          </w:p>
        </w:tc>
        <w:tc>
          <w:tcPr>
            <w:tcW w:w="895" w:type="dxa"/>
            <w:tcBorders>
              <w:right w:val="single" w:sz="4" w:space="0" w:color="auto"/>
            </w:tcBorders>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12.1</w:t>
            </w:r>
          </w:p>
        </w:tc>
        <w:tc>
          <w:tcPr>
            <w:tcW w:w="894" w:type="dxa"/>
            <w:tcBorders>
              <w:left w:val="single" w:sz="4" w:space="0" w:color="auto"/>
            </w:tcBorders>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1.6</w:t>
            </w:r>
          </w:p>
        </w:tc>
        <w:tc>
          <w:tcPr>
            <w:tcW w:w="895" w:type="dxa"/>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-0.8</w:t>
            </w:r>
          </w:p>
        </w:tc>
        <w:tc>
          <w:tcPr>
            <w:tcW w:w="894" w:type="dxa"/>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3.7</w:t>
            </w:r>
          </w:p>
        </w:tc>
        <w:tc>
          <w:tcPr>
            <w:tcW w:w="895" w:type="dxa"/>
            <w:tcBorders>
              <w:right w:val="single" w:sz="4" w:space="0" w:color="auto"/>
            </w:tcBorders>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1.2</w:t>
            </w:r>
          </w:p>
        </w:tc>
        <w:tc>
          <w:tcPr>
            <w:tcW w:w="894" w:type="dxa"/>
            <w:tcBorders>
              <w:left w:val="single" w:sz="4" w:space="0" w:color="auto"/>
            </w:tcBorders>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15.2</w:t>
            </w:r>
          </w:p>
        </w:tc>
        <w:tc>
          <w:tcPr>
            <w:tcW w:w="895" w:type="dxa"/>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-3.0</w:t>
            </w:r>
          </w:p>
        </w:tc>
        <w:tc>
          <w:tcPr>
            <w:tcW w:w="894" w:type="dxa"/>
          </w:tcPr>
          <w:p w:rsidR="00D3162C" w:rsidRPr="00D3162C"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555DB9">
              <w:rPr>
                <w:rFonts w:ascii="Arial" w:hAnsi="Arial" w:cs="Arial"/>
                <w:color w:val="000000"/>
                <w:sz w:val="13"/>
                <w:szCs w:val="13"/>
              </w:rPr>
              <w:t>16.5</w:t>
            </w:r>
          </w:p>
        </w:tc>
        <w:tc>
          <w:tcPr>
            <w:tcW w:w="895" w:type="dxa"/>
            <w:tcBorders>
              <w:right w:val="single" w:sz="4" w:space="0" w:color="auto"/>
            </w:tcBorders>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4.5</w:t>
            </w:r>
          </w:p>
        </w:tc>
        <w:tc>
          <w:tcPr>
            <w:tcW w:w="894" w:type="dxa"/>
            <w:tcBorders>
              <w:left w:val="single" w:sz="4" w:space="0" w:color="auto"/>
            </w:tcBorders>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25</w:t>
            </w:r>
          </w:p>
        </w:tc>
        <w:tc>
          <w:tcPr>
            <w:tcW w:w="895" w:type="dxa"/>
            <w:noWrap/>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-29</w:t>
            </w:r>
          </w:p>
        </w:tc>
        <w:tc>
          <w:tcPr>
            <w:tcW w:w="894" w:type="dxa"/>
          </w:tcPr>
          <w:p w:rsidR="00D3162C" w:rsidRPr="00D3162C"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555DB9">
              <w:rPr>
                <w:rFonts w:ascii="Arial" w:hAnsi="Arial" w:cs="Arial"/>
                <w:color w:val="000000"/>
                <w:sz w:val="13"/>
                <w:szCs w:val="13"/>
              </w:rPr>
              <w:t>35</w:t>
            </w:r>
          </w:p>
        </w:tc>
        <w:tc>
          <w:tcPr>
            <w:tcW w:w="895" w:type="dxa"/>
            <w:noWrap/>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28</w:t>
            </w:r>
          </w:p>
        </w:tc>
      </w:tr>
      <w:tr w:rsidR="00555DB9" w:rsidRPr="001447D8" w:rsidTr="00977067">
        <w:trPr>
          <w:cnfStyle w:val="000000100000" w:firstRow="0" w:lastRow="0" w:firstColumn="0" w:lastColumn="0" w:oddVBand="0" w:evenVBand="0" w:oddHBand="1" w:evenHBand="0" w:firstRowFirstColumn="0" w:firstRowLastColumn="0" w:lastRowFirstColumn="0" w:lastRowLastColumn="0"/>
          <w:trHeight w:hRule="exact" w:val="624"/>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auto"/>
            </w:tcBorders>
            <w:noWrap/>
            <w:hideMark/>
          </w:tcPr>
          <w:p w:rsidR="00D3162C" w:rsidRPr="001447D8" w:rsidRDefault="00D3162C" w:rsidP="00D11C1E">
            <w:pPr>
              <w:pStyle w:val="TableText"/>
              <w:spacing w:line="276" w:lineRule="auto"/>
              <w:rPr>
                <w:rFonts w:ascii="Arial" w:hAnsi="Arial" w:cs="Arial"/>
                <w:sz w:val="13"/>
                <w:szCs w:val="13"/>
              </w:rPr>
            </w:pPr>
            <w:r w:rsidRPr="001447D8">
              <w:rPr>
                <w:rFonts w:ascii="Arial" w:hAnsi="Arial" w:cs="Arial"/>
                <w:sz w:val="13"/>
                <w:szCs w:val="13"/>
              </w:rPr>
              <w:t>Surgeries and treatments</w:t>
            </w:r>
          </w:p>
        </w:tc>
        <w:tc>
          <w:tcPr>
            <w:tcW w:w="894" w:type="dxa"/>
            <w:tcBorders>
              <w:left w:val="single" w:sz="4" w:space="0" w:color="auto"/>
            </w:tcBorders>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3.3</w:t>
            </w:r>
          </w:p>
        </w:tc>
        <w:tc>
          <w:tcPr>
            <w:tcW w:w="895" w:type="dxa"/>
            <w:tcBorders>
              <w:right w:val="single" w:sz="4" w:space="0" w:color="auto"/>
            </w:tcBorders>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6.5</w:t>
            </w:r>
          </w:p>
        </w:tc>
        <w:tc>
          <w:tcPr>
            <w:tcW w:w="894" w:type="dxa"/>
            <w:tcBorders>
              <w:left w:val="single" w:sz="4" w:space="0" w:color="auto"/>
            </w:tcBorders>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2.8</w:t>
            </w:r>
          </w:p>
        </w:tc>
        <w:tc>
          <w:tcPr>
            <w:tcW w:w="895" w:type="dxa"/>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2.0</w:t>
            </w:r>
          </w:p>
        </w:tc>
        <w:tc>
          <w:tcPr>
            <w:tcW w:w="894" w:type="dxa"/>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3.5</w:t>
            </w:r>
          </w:p>
        </w:tc>
        <w:tc>
          <w:tcPr>
            <w:tcW w:w="895" w:type="dxa"/>
            <w:tcBorders>
              <w:right w:val="single" w:sz="4" w:space="0" w:color="auto"/>
            </w:tcBorders>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2.0</w:t>
            </w:r>
          </w:p>
        </w:tc>
        <w:tc>
          <w:tcPr>
            <w:tcW w:w="894" w:type="dxa"/>
            <w:tcBorders>
              <w:left w:val="single" w:sz="4" w:space="0" w:color="auto"/>
            </w:tcBorders>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11.7</w:t>
            </w:r>
          </w:p>
        </w:tc>
        <w:tc>
          <w:tcPr>
            <w:tcW w:w="895" w:type="dxa"/>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3.2</w:t>
            </w:r>
          </w:p>
        </w:tc>
        <w:tc>
          <w:tcPr>
            <w:tcW w:w="894" w:type="dxa"/>
          </w:tcPr>
          <w:p w:rsidR="00D3162C" w:rsidRPr="00D3162C"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555DB9">
              <w:rPr>
                <w:rFonts w:ascii="Arial" w:hAnsi="Arial" w:cs="Arial"/>
                <w:color w:val="000000"/>
                <w:sz w:val="13"/>
                <w:szCs w:val="13"/>
              </w:rPr>
              <w:t>7.7</w:t>
            </w:r>
          </w:p>
        </w:tc>
        <w:tc>
          <w:tcPr>
            <w:tcW w:w="895" w:type="dxa"/>
            <w:tcBorders>
              <w:right w:val="single" w:sz="4" w:space="0" w:color="auto"/>
            </w:tcBorders>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4.1</w:t>
            </w:r>
          </w:p>
        </w:tc>
        <w:tc>
          <w:tcPr>
            <w:tcW w:w="894" w:type="dxa"/>
            <w:tcBorders>
              <w:left w:val="single" w:sz="4" w:space="0" w:color="auto"/>
            </w:tcBorders>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19</w:t>
            </w:r>
          </w:p>
        </w:tc>
        <w:tc>
          <w:tcPr>
            <w:tcW w:w="895" w:type="dxa"/>
            <w:noWrap/>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32</w:t>
            </w:r>
          </w:p>
        </w:tc>
        <w:tc>
          <w:tcPr>
            <w:tcW w:w="894" w:type="dxa"/>
          </w:tcPr>
          <w:p w:rsidR="00D3162C" w:rsidRPr="00D3162C"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555DB9">
              <w:rPr>
                <w:rFonts w:ascii="Arial" w:hAnsi="Arial" w:cs="Arial"/>
                <w:color w:val="000000"/>
                <w:sz w:val="13"/>
                <w:szCs w:val="13"/>
              </w:rPr>
              <w:t>16</w:t>
            </w:r>
          </w:p>
        </w:tc>
        <w:tc>
          <w:tcPr>
            <w:tcW w:w="895" w:type="dxa"/>
            <w:noWrap/>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25</w:t>
            </w:r>
          </w:p>
        </w:tc>
      </w:tr>
      <w:tr w:rsidR="00555DB9" w:rsidRPr="001447D8" w:rsidTr="00977067">
        <w:trPr>
          <w:trHeight w:hRule="exact" w:val="624"/>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auto"/>
            </w:tcBorders>
            <w:noWrap/>
            <w:hideMark/>
          </w:tcPr>
          <w:p w:rsidR="00D3162C" w:rsidRPr="001447D8" w:rsidRDefault="00D3162C" w:rsidP="00D11C1E">
            <w:pPr>
              <w:pStyle w:val="TableText"/>
              <w:spacing w:line="276" w:lineRule="auto"/>
              <w:rPr>
                <w:rFonts w:ascii="Arial" w:hAnsi="Arial" w:cs="Arial"/>
                <w:sz w:val="13"/>
                <w:szCs w:val="13"/>
              </w:rPr>
            </w:pPr>
            <w:r w:rsidRPr="001447D8">
              <w:rPr>
                <w:rFonts w:ascii="Arial" w:hAnsi="Arial" w:cs="Arial"/>
                <w:sz w:val="13"/>
                <w:szCs w:val="13"/>
              </w:rPr>
              <w:t>Allied health</w:t>
            </w:r>
          </w:p>
        </w:tc>
        <w:tc>
          <w:tcPr>
            <w:tcW w:w="894" w:type="dxa"/>
            <w:tcBorders>
              <w:left w:val="single" w:sz="4" w:space="0" w:color="auto"/>
            </w:tcBorders>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1.2</w:t>
            </w:r>
          </w:p>
        </w:tc>
        <w:tc>
          <w:tcPr>
            <w:tcW w:w="895" w:type="dxa"/>
            <w:tcBorders>
              <w:right w:val="single" w:sz="4" w:space="0" w:color="auto"/>
            </w:tcBorders>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2.5</w:t>
            </w:r>
          </w:p>
        </w:tc>
        <w:tc>
          <w:tcPr>
            <w:tcW w:w="894" w:type="dxa"/>
            <w:tcBorders>
              <w:left w:val="single" w:sz="4" w:space="0" w:color="auto"/>
            </w:tcBorders>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6.9</w:t>
            </w:r>
          </w:p>
        </w:tc>
        <w:tc>
          <w:tcPr>
            <w:tcW w:w="895" w:type="dxa"/>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0.9</w:t>
            </w:r>
          </w:p>
        </w:tc>
        <w:tc>
          <w:tcPr>
            <w:tcW w:w="894" w:type="dxa"/>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12.7</w:t>
            </w:r>
          </w:p>
        </w:tc>
        <w:tc>
          <w:tcPr>
            <w:tcW w:w="895" w:type="dxa"/>
            <w:tcBorders>
              <w:right w:val="single" w:sz="4" w:space="0" w:color="auto"/>
            </w:tcBorders>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2.9</w:t>
            </w:r>
          </w:p>
        </w:tc>
        <w:tc>
          <w:tcPr>
            <w:tcW w:w="894" w:type="dxa"/>
            <w:tcBorders>
              <w:left w:val="single" w:sz="4" w:space="0" w:color="auto"/>
            </w:tcBorders>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7.1</w:t>
            </w:r>
          </w:p>
        </w:tc>
        <w:tc>
          <w:tcPr>
            <w:tcW w:w="895" w:type="dxa"/>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0.2</w:t>
            </w:r>
          </w:p>
        </w:tc>
        <w:tc>
          <w:tcPr>
            <w:tcW w:w="894" w:type="dxa"/>
          </w:tcPr>
          <w:p w:rsidR="00D3162C" w:rsidRPr="00D3162C"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555DB9">
              <w:rPr>
                <w:rFonts w:ascii="Arial" w:hAnsi="Arial" w:cs="Arial"/>
                <w:color w:val="000000"/>
                <w:sz w:val="13"/>
                <w:szCs w:val="13"/>
              </w:rPr>
              <w:t>6.2</w:t>
            </w:r>
          </w:p>
        </w:tc>
        <w:tc>
          <w:tcPr>
            <w:tcW w:w="895" w:type="dxa"/>
            <w:tcBorders>
              <w:right w:val="single" w:sz="4" w:space="0" w:color="auto"/>
            </w:tcBorders>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2.2</w:t>
            </w:r>
          </w:p>
        </w:tc>
        <w:tc>
          <w:tcPr>
            <w:tcW w:w="894" w:type="dxa"/>
            <w:tcBorders>
              <w:left w:val="single" w:sz="4" w:space="0" w:color="auto"/>
            </w:tcBorders>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12</w:t>
            </w:r>
          </w:p>
        </w:tc>
        <w:tc>
          <w:tcPr>
            <w:tcW w:w="895" w:type="dxa"/>
            <w:noWrap/>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2</w:t>
            </w:r>
          </w:p>
        </w:tc>
        <w:tc>
          <w:tcPr>
            <w:tcW w:w="894" w:type="dxa"/>
          </w:tcPr>
          <w:p w:rsidR="00D3162C" w:rsidRPr="00D3162C"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555DB9">
              <w:rPr>
                <w:rFonts w:ascii="Arial" w:hAnsi="Arial" w:cs="Arial"/>
                <w:color w:val="000000"/>
                <w:sz w:val="13"/>
                <w:szCs w:val="13"/>
              </w:rPr>
              <w:t>13</w:t>
            </w:r>
          </w:p>
        </w:tc>
        <w:tc>
          <w:tcPr>
            <w:tcW w:w="895" w:type="dxa"/>
            <w:noWrap/>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13</w:t>
            </w:r>
          </w:p>
        </w:tc>
      </w:tr>
      <w:tr w:rsidR="00555DB9" w:rsidRPr="001447D8" w:rsidTr="00977067">
        <w:trPr>
          <w:cnfStyle w:val="000000100000" w:firstRow="0" w:lastRow="0" w:firstColumn="0" w:lastColumn="0" w:oddVBand="0" w:evenVBand="0" w:oddHBand="1" w:evenHBand="0" w:firstRowFirstColumn="0" w:firstRowLastColumn="0" w:lastRowFirstColumn="0" w:lastRowLastColumn="0"/>
          <w:trHeight w:hRule="exact" w:val="624"/>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auto"/>
            </w:tcBorders>
            <w:noWrap/>
            <w:hideMark/>
          </w:tcPr>
          <w:p w:rsidR="00D3162C" w:rsidRPr="001447D8" w:rsidRDefault="00D3162C" w:rsidP="00D11C1E">
            <w:pPr>
              <w:pStyle w:val="TableText"/>
              <w:spacing w:line="276" w:lineRule="auto"/>
              <w:rPr>
                <w:rFonts w:ascii="Arial" w:hAnsi="Arial" w:cs="Arial"/>
                <w:sz w:val="13"/>
                <w:szCs w:val="13"/>
              </w:rPr>
            </w:pPr>
            <w:r w:rsidRPr="001447D8">
              <w:rPr>
                <w:rFonts w:ascii="Arial" w:hAnsi="Arial" w:cs="Arial"/>
                <w:sz w:val="13"/>
                <w:szCs w:val="13"/>
              </w:rPr>
              <w:t>Bulk billing incentives</w:t>
            </w:r>
            <w:r w:rsidRPr="00701D20">
              <w:rPr>
                <w:rStyle w:val="FootnoteReference"/>
              </w:rPr>
              <w:footnoteReference w:id="13"/>
            </w:r>
          </w:p>
        </w:tc>
        <w:tc>
          <w:tcPr>
            <w:tcW w:w="894" w:type="dxa"/>
            <w:tcBorders>
              <w:left w:val="single" w:sz="4" w:space="0" w:color="auto"/>
            </w:tcBorders>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0.7</w:t>
            </w:r>
          </w:p>
        </w:tc>
        <w:tc>
          <w:tcPr>
            <w:tcW w:w="895" w:type="dxa"/>
            <w:tcBorders>
              <w:right w:val="single" w:sz="4" w:space="0" w:color="auto"/>
            </w:tcBorders>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1.2</w:t>
            </w:r>
          </w:p>
        </w:tc>
        <w:tc>
          <w:tcPr>
            <w:tcW w:w="894" w:type="dxa"/>
            <w:tcBorders>
              <w:left w:val="single" w:sz="4" w:space="0" w:color="auto"/>
            </w:tcBorders>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w:t>
            </w:r>
          </w:p>
        </w:tc>
        <w:tc>
          <w:tcPr>
            <w:tcW w:w="895" w:type="dxa"/>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w:t>
            </w:r>
          </w:p>
        </w:tc>
        <w:tc>
          <w:tcPr>
            <w:tcW w:w="894" w:type="dxa"/>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14.2</w:t>
            </w:r>
          </w:p>
        </w:tc>
        <w:tc>
          <w:tcPr>
            <w:tcW w:w="895" w:type="dxa"/>
            <w:tcBorders>
              <w:right w:val="single" w:sz="4" w:space="0" w:color="auto"/>
            </w:tcBorders>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1.1</w:t>
            </w:r>
          </w:p>
        </w:tc>
        <w:tc>
          <w:tcPr>
            <w:tcW w:w="894" w:type="dxa"/>
            <w:tcBorders>
              <w:left w:val="single" w:sz="4" w:space="0" w:color="auto"/>
            </w:tcBorders>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5.4</w:t>
            </w:r>
          </w:p>
        </w:tc>
        <w:tc>
          <w:tcPr>
            <w:tcW w:w="895" w:type="dxa"/>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1.2</w:t>
            </w:r>
          </w:p>
        </w:tc>
        <w:tc>
          <w:tcPr>
            <w:tcW w:w="894" w:type="dxa"/>
          </w:tcPr>
          <w:p w:rsidR="00D3162C" w:rsidRPr="00D3162C"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555DB9">
              <w:rPr>
                <w:rFonts w:ascii="Arial" w:hAnsi="Arial" w:cs="Arial"/>
                <w:color w:val="000000"/>
                <w:sz w:val="13"/>
                <w:szCs w:val="13"/>
              </w:rPr>
              <w:t>3.8</w:t>
            </w:r>
          </w:p>
        </w:tc>
        <w:tc>
          <w:tcPr>
            <w:tcW w:w="895" w:type="dxa"/>
            <w:tcBorders>
              <w:right w:val="single" w:sz="4" w:space="0" w:color="auto"/>
            </w:tcBorders>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0.4</w:t>
            </w:r>
          </w:p>
        </w:tc>
        <w:tc>
          <w:tcPr>
            <w:tcW w:w="894" w:type="dxa"/>
            <w:tcBorders>
              <w:left w:val="single" w:sz="4" w:space="0" w:color="auto"/>
            </w:tcBorders>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9</w:t>
            </w:r>
          </w:p>
        </w:tc>
        <w:tc>
          <w:tcPr>
            <w:tcW w:w="895" w:type="dxa"/>
            <w:noWrap/>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12</w:t>
            </w:r>
          </w:p>
        </w:tc>
        <w:tc>
          <w:tcPr>
            <w:tcW w:w="894" w:type="dxa"/>
          </w:tcPr>
          <w:p w:rsidR="00D3162C" w:rsidRPr="00D3162C"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555DB9">
              <w:rPr>
                <w:rFonts w:ascii="Arial" w:hAnsi="Arial" w:cs="Arial"/>
                <w:color w:val="000000"/>
                <w:sz w:val="13"/>
                <w:szCs w:val="13"/>
              </w:rPr>
              <w:t>8</w:t>
            </w:r>
          </w:p>
        </w:tc>
        <w:tc>
          <w:tcPr>
            <w:tcW w:w="895" w:type="dxa"/>
            <w:noWrap/>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2</w:t>
            </w:r>
          </w:p>
        </w:tc>
      </w:tr>
      <w:tr w:rsidR="00555DB9" w:rsidRPr="001447D8" w:rsidTr="00977067">
        <w:trPr>
          <w:trHeight w:hRule="exact" w:val="624"/>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auto"/>
            </w:tcBorders>
            <w:noWrap/>
            <w:hideMark/>
          </w:tcPr>
          <w:p w:rsidR="00D3162C" w:rsidRPr="001447D8" w:rsidRDefault="00D3162C" w:rsidP="00D11C1E">
            <w:pPr>
              <w:pStyle w:val="TableText"/>
              <w:spacing w:line="276" w:lineRule="auto"/>
              <w:rPr>
                <w:rFonts w:ascii="Arial" w:hAnsi="Arial" w:cs="Arial"/>
                <w:sz w:val="13"/>
                <w:szCs w:val="13"/>
              </w:rPr>
            </w:pPr>
            <w:r w:rsidRPr="001447D8">
              <w:rPr>
                <w:rFonts w:ascii="Arial" w:hAnsi="Arial" w:cs="Arial"/>
                <w:sz w:val="13"/>
                <w:szCs w:val="13"/>
              </w:rPr>
              <w:t>Specialist services</w:t>
            </w:r>
          </w:p>
        </w:tc>
        <w:tc>
          <w:tcPr>
            <w:tcW w:w="894" w:type="dxa"/>
            <w:tcBorders>
              <w:left w:val="single" w:sz="4" w:space="0" w:color="auto"/>
            </w:tcBorders>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2.1</w:t>
            </w:r>
          </w:p>
        </w:tc>
        <w:tc>
          <w:tcPr>
            <w:tcW w:w="895" w:type="dxa"/>
            <w:tcBorders>
              <w:right w:val="single" w:sz="4" w:space="0" w:color="auto"/>
            </w:tcBorders>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3.8</w:t>
            </w:r>
          </w:p>
        </w:tc>
        <w:tc>
          <w:tcPr>
            <w:tcW w:w="894" w:type="dxa"/>
            <w:tcBorders>
              <w:left w:val="single" w:sz="4" w:space="0" w:color="auto"/>
            </w:tcBorders>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0.7</w:t>
            </w:r>
          </w:p>
        </w:tc>
        <w:tc>
          <w:tcPr>
            <w:tcW w:w="895" w:type="dxa"/>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-0.5</w:t>
            </w:r>
          </w:p>
        </w:tc>
        <w:tc>
          <w:tcPr>
            <w:tcW w:w="894" w:type="dxa"/>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1.8</w:t>
            </w:r>
          </w:p>
        </w:tc>
        <w:tc>
          <w:tcPr>
            <w:tcW w:w="895" w:type="dxa"/>
            <w:tcBorders>
              <w:right w:val="single" w:sz="4" w:space="0" w:color="auto"/>
            </w:tcBorders>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1.3</w:t>
            </w:r>
          </w:p>
        </w:tc>
        <w:tc>
          <w:tcPr>
            <w:tcW w:w="894" w:type="dxa"/>
            <w:tcBorders>
              <w:left w:val="single" w:sz="4" w:space="0" w:color="auto"/>
            </w:tcBorders>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2.2</w:t>
            </w:r>
          </w:p>
        </w:tc>
        <w:tc>
          <w:tcPr>
            <w:tcW w:w="895" w:type="dxa"/>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-0.8</w:t>
            </w:r>
          </w:p>
        </w:tc>
        <w:tc>
          <w:tcPr>
            <w:tcW w:w="894" w:type="dxa"/>
          </w:tcPr>
          <w:p w:rsidR="00D3162C" w:rsidRPr="00D3162C"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555DB9">
              <w:rPr>
                <w:rFonts w:ascii="Arial" w:hAnsi="Arial" w:cs="Arial"/>
                <w:color w:val="000000"/>
                <w:sz w:val="13"/>
                <w:szCs w:val="13"/>
              </w:rPr>
              <w:t>2.7</w:t>
            </w:r>
          </w:p>
        </w:tc>
        <w:tc>
          <w:tcPr>
            <w:tcW w:w="895" w:type="dxa"/>
            <w:tcBorders>
              <w:right w:val="single" w:sz="4" w:space="0" w:color="auto"/>
            </w:tcBorders>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1.6</w:t>
            </w:r>
          </w:p>
        </w:tc>
        <w:tc>
          <w:tcPr>
            <w:tcW w:w="894" w:type="dxa"/>
            <w:tcBorders>
              <w:left w:val="single" w:sz="4" w:space="0" w:color="auto"/>
            </w:tcBorders>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4</w:t>
            </w:r>
          </w:p>
        </w:tc>
        <w:tc>
          <w:tcPr>
            <w:tcW w:w="895" w:type="dxa"/>
            <w:noWrap/>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-8</w:t>
            </w:r>
          </w:p>
        </w:tc>
        <w:tc>
          <w:tcPr>
            <w:tcW w:w="894" w:type="dxa"/>
          </w:tcPr>
          <w:p w:rsidR="00D3162C" w:rsidRPr="00D3162C"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555DB9">
              <w:rPr>
                <w:rFonts w:ascii="Arial" w:hAnsi="Arial" w:cs="Arial"/>
                <w:color w:val="000000"/>
                <w:sz w:val="13"/>
                <w:szCs w:val="13"/>
              </w:rPr>
              <w:t>6</w:t>
            </w:r>
          </w:p>
        </w:tc>
        <w:tc>
          <w:tcPr>
            <w:tcW w:w="895" w:type="dxa"/>
            <w:noWrap/>
          </w:tcPr>
          <w:p w:rsidR="00D3162C" w:rsidRPr="009E1EEE" w:rsidRDefault="00D316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3"/>
                <w:szCs w:val="13"/>
              </w:rPr>
            </w:pPr>
            <w:r w:rsidRPr="009E1EEE">
              <w:rPr>
                <w:rFonts w:ascii="Arial" w:hAnsi="Arial" w:cs="Arial"/>
                <w:color w:val="000000"/>
                <w:sz w:val="13"/>
                <w:szCs w:val="13"/>
              </w:rPr>
              <w:t>10</w:t>
            </w:r>
          </w:p>
        </w:tc>
      </w:tr>
      <w:tr w:rsidR="00555DB9" w:rsidRPr="001447D8" w:rsidTr="00977067">
        <w:trPr>
          <w:cnfStyle w:val="000000100000" w:firstRow="0" w:lastRow="0" w:firstColumn="0" w:lastColumn="0" w:oddVBand="0" w:evenVBand="0" w:oddHBand="1" w:evenHBand="0" w:firstRowFirstColumn="0" w:firstRowLastColumn="0" w:lastRowFirstColumn="0" w:lastRowLastColumn="0"/>
          <w:trHeight w:hRule="exact" w:val="624"/>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auto"/>
            </w:tcBorders>
            <w:noWrap/>
            <w:hideMark/>
          </w:tcPr>
          <w:p w:rsidR="00D3162C" w:rsidRPr="001447D8" w:rsidRDefault="00D3162C" w:rsidP="00D11C1E">
            <w:pPr>
              <w:pStyle w:val="TableText"/>
              <w:spacing w:line="276" w:lineRule="auto"/>
              <w:rPr>
                <w:rFonts w:ascii="Arial" w:hAnsi="Arial" w:cs="Arial"/>
                <w:b/>
                <w:sz w:val="13"/>
                <w:szCs w:val="13"/>
              </w:rPr>
            </w:pPr>
            <w:r w:rsidRPr="001447D8">
              <w:rPr>
                <w:rFonts w:ascii="Arial" w:hAnsi="Arial" w:cs="Arial"/>
                <w:b/>
                <w:sz w:val="13"/>
                <w:szCs w:val="13"/>
              </w:rPr>
              <w:t>TOTAL</w:t>
            </w:r>
          </w:p>
        </w:tc>
        <w:tc>
          <w:tcPr>
            <w:tcW w:w="894" w:type="dxa"/>
            <w:tcBorders>
              <w:left w:val="single" w:sz="4" w:space="0" w:color="auto"/>
            </w:tcBorders>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9E1EEE">
              <w:rPr>
                <w:rFonts w:ascii="Arial" w:hAnsi="Arial" w:cs="Arial"/>
                <w:b/>
                <w:bCs/>
                <w:color w:val="000000"/>
                <w:sz w:val="13"/>
                <w:szCs w:val="13"/>
              </w:rPr>
              <w:t>20.2</w:t>
            </w:r>
          </w:p>
        </w:tc>
        <w:tc>
          <w:tcPr>
            <w:tcW w:w="895" w:type="dxa"/>
            <w:tcBorders>
              <w:right w:val="single" w:sz="4" w:space="0" w:color="auto"/>
            </w:tcBorders>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9E1EEE">
              <w:rPr>
                <w:rFonts w:ascii="Arial" w:hAnsi="Arial" w:cs="Arial"/>
                <w:b/>
                <w:bCs/>
                <w:color w:val="000000"/>
                <w:sz w:val="13"/>
                <w:szCs w:val="13"/>
              </w:rPr>
              <w:t>36.6</w:t>
            </w:r>
          </w:p>
        </w:tc>
        <w:tc>
          <w:tcPr>
            <w:tcW w:w="894" w:type="dxa"/>
            <w:tcBorders>
              <w:left w:val="single" w:sz="4" w:space="0" w:color="auto"/>
            </w:tcBorders>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9E1EEE">
              <w:rPr>
                <w:rFonts w:ascii="Arial" w:hAnsi="Arial" w:cs="Arial"/>
                <w:b/>
                <w:bCs/>
                <w:color w:val="000000"/>
                <w:sz w:val="13"/>
                <w:szCs w:val="13"/>
              </w:rPr>
              <w:t>2.3</w:t>
            </w:r>
          </w:p>
        </w:tc>
        <w:tc>
          <w:tcPr>
            <w:tcW w:w="895" w:type="dxa"/>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9E1EEE">
              <w:rPr>
                <w:rFonts w:ascii="Arial" w:hAnsi="Arial" w:cs="Arial"/>
                <w:b/>
                <w:bCs/>
                <w:color w:val="000000"/>
                <w:sz w:val="13"/>
                <w:szCs w:val="13"/>
              </w:rPr>
              <w:t>1.0</w:t>
            </w:r>
          </w:p>
        </w:tc>
        <w:tc>
          <w:tcPr>
            <w:tcW w:w="894" w:type="dxa"/>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9E1EEE">
              <w:rPr>
                <w:rFonts w:ascii="Arial" w:hAnsi="Arial" w:cs="Arial"/>
                <w:b/>
                <w:bCs/>
                <w:color w:val="000000"/>
                <w:sz w:val="13"/>
                <w:szCs w:val="13"/>
              </w:rPr>
              <w:t>3.6</w:t>
            </w:r>
          </w:p>
        </w:tc>
        <w:tc>
          <w:tcPr>
            <w:tcW w:w="895" w:type="dxa"/>
            <w:tcBorders>
              <w:right w:val="single" w:sz="4" w:space="0" w:color="auto"/>
            </w:tcBorders>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9E1EEE">
              <w:rPr>
                <w:rFonts w:ascii="Arial" w:hAnsi="Arial" w:cs="Arial"/>
                <w:b/>
                <w:bCs/>
                <w:color w:val="000000"/>
                <w:sz w:val="13"/>
                <w:szCs w:val="13"/>
              </w:rPr>
              <w:t>1.4</w:t>
            </w:r>
          </w:p>
        </w:tc>
        <w:tc>
          <w:tcPr>
            <w:tcW w:w="894" w:type="dxa"/>
            <w:tcBorders>
              <w:left w:val="single" w:sz="4" w:space="0" w:color="auto"/>
            </w:tcBorders>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9E1EEE">
              <w:rPr>
                <w:rFonts w:ascii="Arial" w:hAnsi="Arial" w:cs="Arial"/>
                <w:b/>
                <w:bCs/>
                <w:color w:val="000000"/>
                <w:sz w:val="13"/>
                <w:szCs w:val="13"/>
              </w:rPr>
              <w:t>61.6</w:t>
            </w:r>
          </w:p>
        </w:tc>
        <w:tc>
          <w:tcPr>
            <w:tcW w:w="895" w:type="dxa"/>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9E1EEE">
              <w:rPr>
                <w:rFonts w:ascii="Arial" w:hAnsi="Arial" w:cs="Arial"/>
                <w:b/>
                <w:bCs/>
                <w:color w:val="000000"/>
                <w:sz w:val="13"/>
                <w:szCs w:val="13"/>
              </w:rPr>
              <w:t>10.1</w:t>
            </w:r>
          </w:p>
        </w:tc>
        <w:tc>
          <w:tcPr>
            <w:tcW w:w="894" w:type="dxa"/>
          </w:tcPr>
          <w:p w:rsidR="00D3162C" w:rsidRPr="00D3162C"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555DB9">
              <w:rPr>
                <w:rFonts w:ascii="Arial" w:hAnsi="Arial" w:cs="Arial"/>
                <w:b/>
                <w:bCs/>
                <w:color w:val="000000"/>
                <w:sz w:val="13"/>
                <w:szCs w:val="13"/>
              </w:rPr>
              <w:t>46.8</w:t>
            </w:r>
          </w:p>
        </w:tc>
        <w:tc>
          <w:tcPr>
            <w:tcW w:w="895" w:type="dxa"/>
            <w:tcBorders>
              <w:right w:val="single" w:sz="4" w:space="0" w:color="auto"/>
            </w:tcBorders>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9E1EEE">
              <w:rPr>
                <w:rFonts w:ascii="Arial" w:hAnsi="Arial" w:cs="Arial"/>
                <w:b/>
                <w:bCs/>
                <w:color w:val="000000"/>
                <w:sz w:val="13"/>
                <w:szCs w:val="13"/>
              </w:rPr>
              <w:t>16.3</w:t>
            </w:r>
          </w:p>
        </w:tc>
        <w:tc>
          <w:tcPr>
            <w:tcW w:w="894" w:type="dxa"/>
            <w:tcBorders>
              <w:left w:val="single" w:sz="4" w:space="0" w:color="auto"/>
            </w:tcBorders>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9E1EEE">
              <w:rPr>
                <w:rFonts w:ascii="Arial" w:hAnsi="Arial" w:cs="Arial"/>
                <w:b/>
                <w:bCs/>
                <w:color w:val="000000"/>
                <w:sz w:val="13"/>
                <w:szCs w:val="13"/>
              </w:rPr>
              <w:t>100</w:t>
            </w:r>
          </w:p>
        </w:tc>
        <w:tc>
          <w:tcPr>
            <w:tcW w:w="895" w:type="dxa"/>
            <w:noWrap/>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9E1EEE">
              <w:rPr>
                <w:rFonts w:ascii="Arial" w:hAnsi="Arial" w:cs="Arial"/>
                <w:b/>
                <w:bCs/>
                <w:color w:val="000000"/>
                <w:sz w:val="13"/>
                <w:szCs w:val="13"/>
              </w:rPr>
              <w:t>100</w:t>
            </w:r>
          </w:p>
        </w:tc>
        <w:tc>
          <w:tcPr>
            <w:tcW w:w="894" w:type="dxa"/>
          </w:tcPr>
          <w:p w:rsidR="00D3162C" w:rsidRPr="00D3162C"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555DB9">
              <w:rPr>
                <w:rFonts w:ascii="Arial" w:hAnsi="Arial" w:cs="Arial"/>
                <w:b/>
                <w:bCs/>
                <w:color w:val="000000"/>
                <w:sz w:val="13"/>
                <w:szCs w:val="13"/>
              </w:rPr>
              <w:t>100</w:t>
            </w:r>
          </w:p>
        </w:tc>
        <w:tc>
          <w:tcPr>
            <w:tcW w:w="895" w:type="dxa"/>
            <w:noWrap/>
          </w:tcPr>
          <w:p w:rsidR="00D3162C" w:rsidRPr="009E1EEE" w:rsidRDefault="00D3162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3"/>
                <w:szCs w:val="13"/>
              </w:rPr>
            </w:pPr>
            <w:r w:rsidRPr="009E1EEE">
              <w:rPr>
                <w:rFonts w:ascii="Arial" w:hAnsi="Arial" w:cs="Arial"/>
                <w:b/>
                <w:bCs/>
                <w:color w:val="000000"/>
                <w:sz w:val="13"/>
                <w:szCs w:val="13"/>
              </w:rPr>
              <w:t>100</w:t>
            </w:r>
          </w:p>
        </w:tc>
      </w:tr>
    </w:tbl>
    <w:p w:rsidR="00C0621D" w:rsidRPr="00D11C1E" w:rsidRDefault="00177A3E" w:rsidP="005116E5">
      <w:pPr>
        <w:pStyle w:val="Source"/>
      </w:pPr>
      <w:r w:rsidRPr="00227D7D">
        <w:t xml:space="preserve">Source: PBO analysis of </w:t>
      </w:r>
      <w:r>
        <w:t>MBS</w:t>
      </w:r>
      <w:r w:rsidRPr="00227D7D">
        <w:t xml:space="preserve"> data from the Department of Human Services</w:t>
      </w:r>
      <w:r>
        <w:t>, ABS and Treasury</w:t>
      </w:r>
      <w:r w:rsidRPr="00227D7D">
        <w:t>.</w:t>
      </w:r>
    </w:p>
    <w:p w:rsidR="00232965" w:rsidRDefault="00232965" w:rsidP="005116E5">
      <w:pPr>
        <w:pStyle w:val="Source"/>
        <w:sectPr w:rsidR="00232965" w:rsidSect="00A660B0">
          <w:headerReference w:type="even" r:id="rId40"/>
          <w:headerReference w:type="default" r:id="rId41"/>
          <w:footerReference w:type="even" r:id="rId42"/>
          <w:footerReference w:type="default" r:id="rId43"/>
          <w:pgSz w:w="16838" w:h="11906" w:orient="landscape" w:code="9"/>
          <w:pgMar w:top="1361" w:right="1797" w:bottom="1474" w:left="1797" w:header="283" w:footer="454" w:gutter="0"/>
          <w:cols w:space="708"/>
          <w:docGrid w:linePitch="360"/>
        </w:sectPr>
      </w:pPr>
    </w:p>
    <w:p w:rsidR="00DD6AE0" w:rsidRDefault="00DD6AE0" w:rsidP="00DD6AE0">
      <w:pPr>
        <w:pStyle w:val="BodyText"/>
        <w:tabs>
          <w:tab w:val="left" w:pos="3402"/>
        </w:tabs>
      </w:pPr>
      <w:r w:rsidRPr="00056916">
        <w:lastRenderedPageBreak/>
        <w:t xml:space="preserve">The historical and projected spending trends are explored in more detail below and in </w:t>
      </w:r>
      <w:r w:rsidR="009F768D">
        <w:t>Chapter</w:t>
      </w:r>
      <w:r w:rsidRPr="00056916">
        <w:t> 3.</w:t>
      </w:r>
    </w:p>
    <w:p w:rsidR="000C7B8B" w:rsidRPr="005116E5" w:rsidRDefault="000C7B8B" w:rsidP="005116E5">
      <w:pPr>
        <w:pStyle w:val="Heading2"/>
      </w:pPr>
      <w:bookmarkStart w:id="53" w:name="_Toc436050780"/>
      <w:r w:rsidRPr="005116E5">
        <w:t xml:space="preserve">Historical </w:t>
      </w:r>
      <w:r w:rsidR="00EE2083" w:rsidRPr="005116E5">
        <w:t>t</w:t>
      </w:r>
      <w:r w:rsidRPr="005116E5">
        <w:t>rends</w:t>
      </w:r>
      <w:bookmarkEnd w:id="53"/>
    </w:p>
    <w:p w:rsidR="00DD0F3F" w:rsidRDefault="00F8069D" w:rsidP="00DD0F3F">
      <w:pPr>
        <w:pStyle w:val="BodyText"/>
      </w:pPr>
      <w:r w:rsidRPr="00D547B3">
        <w:t>S</w:t>
      </w:r>
      <w:r w:rsidR="00DD0F3F" w:rsidRPr="00D547B3">
        <w:t xml:space="preserve">pending per person </w:t>
      </w:r>
      <w:r w:rsidRPr="00D547B3">
        <w:t xml:space="preserve">on the MBS grew in </w:t>
      </w:r>
      <w:r w:rsidR="00DD0F3F" w:rsidRPr="00D547B3">
        <w:t xml:space="preserve">real terms by </w:t>
      </w:r>
      <w:r w:rsidRPr="00D547B3">
        <w:t xml:space="preserve">2.3 per cent annually </w:t>
      </w:r>
      <w:r w:rsidR="00DD0F3F" w:rsidRPr="00D547B3">
        <w:t>over the past two decades.  More than three quarters of this growth occurred over the past decade, due mainly to major policy changes</w:t>
      </w:r>
      <w:r w:rsidRPr="00701D20">
        <w:rPr>
          <w:rStyle w:val="FootnoteReference"/>
        </w:rPr>
        <w:footnoteReference w:id="14"/>
      </w:r>
      <w:r w:rsidRPr="00D547B3">
        <w:t xml:space="preserve"> </w:t>
      </w:r>
      <w:r w:rsidR="00DD0F3F" w:rsidRPr="00D547B3">
        <w:t xml:space="preserve">that broadened the scope of the MBS or increased the benefits payable for existing services </w:t>
      </w:r>
      <w:r w:rsidRPr="00D547B3">
        <w:t>(</w:t>
      </w:r>
      <w:r w:rsidR="003C0EEA">
        <w:fldChar w:fldCharType="begin"/>
      </w:r>
      <w:r w:rsidR="003C0EEA">
        <w:instrText xml:space="preserve"> REF _Ref436042023 \h </w:instrText>
      </w:r>
      <w:r w:rsidR="003C0EEA">
        <w:fldChar w:fldCharType="separate"/>
      </w:r>
      <w:r w:rsidR="00235C48" w:rsidRPr="003C0EEA">
        <w:t xml:space="preserve">Figure </w:t>
      </w:r>
      <w:r w:rsidR="00235C48">
        <w:rPr>
          <w:noProof/>
        </w:rPr>
        <w:t>2</w:t>
      </w:r>
      <w:r w:rsidR="00235C48" w:rsidRPr="003C0EEA">
        <w:t>–</w:t>
      </w:r>
      <w:r w:rsidR="00235C48">
        <w:rPr>
          <w:noProof/>
        </w:rPr>
        <w:t>3</w:t>
      </w:r>
      <w:r w:rsidR="003C0EEA">
        <w:fldChar w:fldCharType="end"/>
      </w:r>
      <w:r w:rsidR="00DD0F3F" w:rsidRPr="00D547B3">
        <w:t>).</w:t>
      </w:r>
    </w:p>
    <w:p w:rsidR="003C0EEA" w:rsidRDefault="00F8069D" w:rsidP="00591E69">
      <w:pPr>
        <w:pStyle w:val="BodyText"/>
        <w:rPr>
          <w:b/>
        </w:rPr>
      </w:pPr>
      <w:r w:rsidRPr="00040F1C">
        <w:t>The remaining growth occurred in those MBS services that were in place before 1993</w:t>
      </w:r>
      <w:r w:rsidR="00E50AFB">
        <w:t>–</w:t>
      </w:r>
      <w:r w:rsidRPr="00040F1C">
        <w:t>94</w:t>
      </w:r>
      <w:r w:rsidR="00A660B0">
        <w:t>,</w:t>
      </w:r>
      <w:r w:rsidRPr="00701D20">
        <w:rPr>
          <w:rStyle w:val="FootnoteReference"/>
        </w:rPr>
        <w:footnoteReference w:id="15"/>
      </w:r>
      <w:r w:rsidRPr="00040F1C">
        <w:t xml:space="preserve"> in particular due to increased utilisation of existing pathology, diagnostic and surgical services.</w:t>
      </w:r>
    </w:p>
    <w:p w:rsidR="00741EAD" w:rsidRPr="003C0EEA" w:rsidRDefault="00434286" w:rsidP="003C0EEA">
      <w:pPr>
        <w:pStyle w:val="Caption"/>
        <w:rPr>
          <w:b w:val="0"/>
          <w:vertAlign w:val="superscript"/>
        </w:rPr>
      </w:pPr>
      <w:bookmarkStart w:id="54" w:name="_Ref436042023"/>
      <w:bookmarkStart w:id="55" w:name="_Toc436050996"/>
      <w:bookmarkStart w:id="56" w:name="_Toc436205218"/>
      <w:r>
        <w:rPr>
          <w:noProof/>
          <w:lang w:eastAsia="en-AU"/>
        </w:rPr>
        <w:drawing>
          <wp:anchor distT="0" distB="0" distL="114300" distR="114300" simplePos="0" relativeHeight="251667456" behindDoc="0" locked="0" layoutInCell="1" allowOverlap="1" wp14:anchorId="569A22AD" wp14:editId="72312FF8">
            <wp:simplePos x="0" y="0"/>
            <wp:positionH relativeFrom="column">
              <wp:posOffset>-1764</wp:posOffset>
            </wp:positionH>
            <wp:positionV relativeFrom="paragraph">
              <wp:posOffset>583565</wp:posOffset>
            </wp:positionV>
            <wp:extent cx="5279390" cy="4681855"/>
            <wp:effectExtent l="0" t="0" r="0" b="4445"/>
            <wp:wrapNone/>
            <wp:docPr id="49" name="Picture 49"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79390" cy="4681855"/>
                    </a:xfrm>
                    <a:prstGeom prst="rect">
                      <a:avLst/>
                    </a:prstGeom>
                    <a:noFill/>
                  </pic:spPr>
                </pic:pic>
              </a:graphicData>
            </a:graphic>
            <wp14:sizeRelH relativeFrom="page">
              <wp14:pctWidth>0</wp14:pctWidth>
            </wp14:sizeRelH>
            <wp14:sizeRelV relativeFrom="page">
              <wp14:pctHeight>0</wp14:pctHeight>
            </wp14:sizeRelV>
          </wp:anchor>
        </w:drawing>
      </w:r>
      <w:r w:rsidR="003C0EEA" w:rsidRPr="003C0EEA">
        <w:t xml:space="preserve">Figure </w:t>
      </w:r>
      <w:fldSimple w:instr=" STYLEREF 1 \s ">
        <w:r w:rsidR="00235C48">
          <w:rPr>
            <w:noProof/>
          </w:rPr>
          <w:t>2</w:t>
        </w:r>
      </w:fldSimple>
      <w:r w:rsidR="003C0EEA" w:rsidRPr="003C0EEA">
        <w:t>–</w:t>
      </w:r>
      <w:fldSimple w:instr=" SEQ Figure \* ARABIC \s 1 ">
        <w:r w:rsidR="00235C48">
          <w:rPr>
            <w:noProof/>
          </w:rPr>
          <w:t>3</w:t>
        </w:r>
      </w:fldSimple>
      <w:bookmarkEnd w:id="54"/>
      <w:r w:rsidR="003C0EEA" w:rsidRPr="003C0EEA">
        <w:t>: Cumulative real growth in spending per person on the Medicare Benefits Schedule</w:t>
      </w:r>
      <w:r w:rsidR="00B96F14" w:rsidRPr="00701D20">
        <w:rPr>
          <w:rStyle w:val="FootnoteReference"/>
        </w:rPr>
        <w:footnoteReference w:id="16"/>
      </w:r>
      <w:bookmarkEnd w:id="55"/>
      <w:bookmarkEnd w:id="56"/>
    </w:p>
    <w:tbl>
      <w:tblPr>
        <w:tblStyle w:val="TableGrid"/>
        <w:tblW w:w="6733" w:type="pct"/>
        <w:tblInd w:w="-1418" w:type="dxa"/>
        <w:tblLook w:val="0680" w:firstRow="0" w:lastRow="0" w:firstColumn="1" w:lastColumn="0" w:noHBand="1" w:noVBand="1"/>
      </w:tblPr>
      <w:tblGrid>
        <w:gridCol w:w="1841"/>
        <w:gridCol w:w="426"/>
        <w:gridCol w:w="426"/>
        <w:gridCol w:w="426"/>
        <w:gridCol w:w="426"/>
        <w:gridCol w:w="426"/>
        <w:gridCol w:w="426"/>
        <w:gridCol w:w="426"/>
        <w:gridCol w:w="425"/>
        <w:gridCol w:w="425"/>
        <w:gridCol w:w="425"/>
        <w:gridCol w:w="425"/>
        <w:gridCol w:w="425"/>
        <w:gridCol w:w="425"/>
        <w:gridCol w:w="425"/>
        <w:gridCol w:w="425"/>
        <w:gridCol w:w="425"/>
        <w:gridCol w:w="425"/>
        <w:gridCol w:w="425"/>
        <w:gridCol w:w="425"/>
        <w:gridCol w:w="425"/>
        <w:gridCol w:w="425"/>
        <w:gridCol w:w="421"/>
      </w:tblGrid>
      <w:tr w:rsidR="00967FD9" w:rsidRPr="00967FD9" w:rsidTr="00967FD9">
        <w:trPr>
          <w:cantSplit/>
        </w:trPr>
        <w:tc>
          <w:tcPr>
            <w:cnfStyle w:val="001000000000" w:firstRow="0" w:lastRow="0" w:firstColumn="1" w:lastColumn="0" w:oddVBand="0" w:evenVBand="0" w:oddHBand="0" w:evenHBand="0" w:firstRowFirstColumn="0" w:firstRowLastColumn="0" w:lastRowFirstColumn="0" w:lastRowLastColumn="0"/>
            <w:tcW w:w="822" w:type="pct"/>
            <w:vAlign w:val="bottom"/>
          </w:tcPr>
          <w:p w:rsidR="00694611" w:rsidRPr="00967FD9" w:rsidRDefault="00694611" w:rsidP="001F6638">
            <w:pPr>
              <w:spacing w:before="0" w:after="0" w:line="240" w:lineRule="auto"/>
              <w:ind w:left="0" w:right="57"/>
              <w:rPr>
                <w:rFonts w:ascii="Calibri" w:hAnsi="Calibri"/>
                <w:b/>
                <w:bCs/>
                <w:color w:val="FFFFFF" w:themeColor="background1"/>
                <w:sz w:val="10"/>
                <w:szCs w:val="10"/>
              </w:rPr>
            </w:pPr>
            <w:r w:rsidRPr="00967FD9">
              <w:rPr>
                <w:rFonts w:ascii="Calibri" w:hAnsi="Calibri"/>
                <w:b/>
                <w:bCs/>
                <w:color w:val="FFFFFF" w:themeColor="background1"/>
                <w:sz w:val="10"/>
                <w:szCs w:val="10"/>
              </w:rPr>
              <w:t>Medicare Benefits Schedule major policy</w:t>
            </w:r>
          </w:p>
        </w:tc>
        <w:tc>
          <w:tcPr>
            <w:tcW w:w="190" w:type="pct"/>
            <w:vAlign w:val="bottom"/>
          </w:tcPr>
          <w:p w:rsidR="00694611" w:rsidRPr="00967FD9" w:rsidRDefault="00694611" w:rsidP="0069461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1993-94</w:t>
            </w:r>
          </w:p>
        </w:tc>
        <w:tc>
          <w:tcPr>
            <w:tcW w:w="190" w:type="pct"/>
            <w:vAlign w:val="bottom"/>
          </w:tcPr>
          <w:p w:rsidR="00694611" w:rsidRPr="00967FD9" w:rsidRDefault="00694611" w:rsidP="0069461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1994-95</w:t>
            </w:r>
          </w:p>
        </w:tc>
        <w:tc>
          <w:tcPr>
            <w:tcW w:w="190" w:type="pct"/>
            <w:vAlign w:val="bottom"/>
          </w:tcPr>
          <w:p w:rsidR="00694611" w:rsidRPr="00967FD9" w:rsidRDefault="00694611" w:rsidP="0069461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1995-96</w:t>
            </w:r>
          </w:p>
        </w:tc>
        <w:tc>
          <w:tcPr>
            <w:tcW w:w="190" w:type="pct"/>
            <w:vAlign w:val="bottom"/>
          </w:tcPr>
          <w:p w:rsidR="00694611" w:rsidRPr="00967FD9" w:rsidRDefault="00694611" w:rsidP="0069461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1996-97</w:t>
            </w:r>
          </w:p>
        </w:tc>
        <w:tc>
          <w:tcPr>
            <w:tcW w:w="190" w:type="pct"/>
            <w:vAlign w:val="bottom"/>
          </w:tcPr>
          <w:p w:rsidR="00694611" w:rsidRPr="00967FD9" w:rsidRDefault="00694611" w:rsidP="0069461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1997-98</w:t>
            </w:r>
          </w:p>
        </w:tc>
        <w:tc>
          <w:tcPr>
            <w:tcW w:w="190" w:type="pct"/>
            <w:vAlign w:val="bottom"/>
          </w:tcPr>
          <w:p w:rsidR="00694611" w:rsidRPr="00967FD9" w:rsidRDefault="00694611" w:rsidP="0069461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1998-99</w:t>
            </w:r>
          </w:p>
        </w:tc>
        <w:tc>
          <w:tcPr>
            <w:tcW w:w="190" w:type="pct"/>
            <w:vAlign w:val="bottom"/>
          </w:tcPr>
          <w:p w:rsidR="00694611" w:rsidRPr="00967FD9" w:rsidRDefault="00694611" w:rsidP="0069461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1999-00</w:t>
            </w:r>
          </w:p>
        </w:tc>
        <w:tc>
          <w:tcPr>
            <w:tcW w:w="190" w:type="pct"/>
            <w:vAlign w:val="bottom"/>
          </w:tcPr>
          <w:p w:rsidR="00694611" w:rsidRPr="00967FD9" w:rsidRDefault="00694611" w:rsidP="0069461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2000-01</w:t>
            </w:r>
          </w:p>
        </w:tc>
        <w:tc>
          <w:tcPr>
            <w:tcW w:w="190" w:type="pct"/>
            <w:vAlign w:val="bottom"/>
          </w:tcPr>
          <w:p w:rsidR="00694611" w:rsidRPr="00967FD9" w:rsidRDefault="00694611" w:rsidP="0069461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2001-02</w:t>
            </w:r>
          </w:p>
        </w:tc>
        <w:tc>
          <w:tcPr>
            <w:tcW w:w="190" w:type="pct"/>
            <w:vAlign w:val="bottom"/>
          </w:tcPr>
          <w:p w:rsidR="00694611" w:rsidRPr="00967FD9" w:rsidRDefault="00694611" w:rsidP="0069461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2002-03</w:t>
            </w:r>
          </w:p>
        </w:tc>
        <w:tc>
          <w:tcPr>
            <w:tcW w:w="190" w:type="pct"/>
            <w:vAlign w:val="bottom"/>
          </w:tcPr>
          <w:p w:rsidR="00694611" w:rsidRPr="00967FD9" w:rsidRDefault="00694611" w:rsidP="0069461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2003-04</w:t>
            </w:r>
          </w:p>
        </w:tc>
        <w:tc>
          <w:tcPr>
            <w:tcW w:w="190" w:type="pct"/>
            <w:vAlign w:val="bottom"/>
          </w:tcPr>
          <w:p w:rsidR="00694611" w:rsidRPr="00967FD9" w:rsidRDefault="00694611" w:rsidP="0069461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2004-05</w:t>
            </w:r>
          </w:p>
        </w:tc>
        <w:tc>
          <w:tcPr>
            <w:tcW w:w="190" w:type="pct"/>
            <w:vAlign w:val="bottom"/>
          </w:tcPr>
          <w:p w:rsidR="00694611" w:rsidRPr="00967FD9" w:rsidRDefault="00694611" w:rsidP="0069461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2005-06</w:t>
            </w:r>
          </w:p>
        </w:tc>
        <w:tc>
          <w:tcPr>
            <w:tcW w:w="190" w:type="pct"/>
            <w:vAlign w:val="bottom"/>
          </w:tcPr>
          <w:p w:rsidR="00694611" w:rsidRPr="00967FD9" w:rsidRDefault="00694611" w:rsidP="0069461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2006-07</w:t>
            </w:r>
          </w:p>
        </w:tc>
        <w:tc>
          <w:tcPr>
            <w:tcW w:w="190" w:type="pct"/>
            <w:vAlign w:val="bottom"/>
          </w:tcPr>
          <w:p w:rsidR="00694611" w:rsidRPr="00967FD9" w:rsidRDefault="00694611" w:rsidP="0069461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2007-08</w:t>
            </w:r>
          </w:p>
        </w:tc>
        <w:tc>
          <w:tcPr>
            <w:tcW w:w="190" w:type="pct"/>
            <w:vAlign w:val="bottom"/>
          </w:tcPr>
          <w:p w:rsidR="00694611" w:rsidRPr="00967FD9" w:rsidRDefault="00694611" w:rsidP="0069461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2008-09</w:t>
            </w:r>
          </w:p>
        </w:tc>
        <w:tc>
          <w:tcPr>
            <w:tcW w:w="190" w:type="pct"/>
            <w:vAlign w:val="bottom"/>
          </w:tcPr>
          <w:p w:rsidR="00694611" w:rsidRPr="00967FD9" w:rsidRDefault="00694611" w:rsidP="0069461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2009-10</w:t>
            </w:r>
          </w:p>
        </w:tc>
        <w:tc>
          <w:tcPr>
            <w:tcW w:w="190" w:type="pct"/>
            <w:vAlign w:val="bottom"/>
          </w:tcPr>
          <w:p w:rsidR="00694611" w:rsidRPr="00967FD9" w:rsidRDefault="00694611" w:rsidP="0069461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2010-11</w:t>
            </w:r>
          </w:p>
        </w:tc>
        <w:tc>
          <w:tcPr>
            <w:tcW w:w="190" w:type="pct"/>
            <w:vAlign w:val="bottom"/>
          </w:tcPr>
          <w:p w:rsidR="00694611" w:rsidRPr="00967FD9" w:rsidRDefault="00694611" w:rsidP="0069461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2011-12</w:t>
            </w:r>
          </w:p>
        </w:tc>
        <w:tc>
          <w:tcPr>
            <w:tcW w:w="190" w:type="pct"/>
            <w:vAlign w:val="bottom"/>
          </w:tcPr>
          <w:p w:rsidR="00694611" w:rsidRPr="00967FD9" w:rsidRDefault="00694611" w:rsidP="0069461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2012-13</w:t>
            </w:r>
          </w:p>
        </w:tc>
        <w:tc>
          <w:tcPr>
            <w:tcW w:w="190" w:type="pct"/>
            <w:vAlign w:val="bottom"/>
          </w:tcPr>
          <w:p w:rsidR="00694611" w:rsidRPr="00967FD9" w:rsidRDefault="00694611" w:rsidP="0069461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2013-14</w:t>
            </w:r>
          </w:p>
        </w:tc>
        <w:tc>
          <w:tcPr>
            <w:tcW w:w="188" w:type="pct"/>
            <w:vAlign w:val="bottom"/>
          </w:tcPr>
          <w:p w:rsidR="00694611" w:rsidRPr="00967FD9" w:rsidRDefault="00694611" w:rsidP="00694611">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2014-15</w:t>
            </w:r>
          </w:p>
        </w:tc>
      </w:tr>
      <w:tr w:rsidR="00967FD9" w:rsidRPr="00967FD9" w:rsidTr="00967FD9">
        <w:trPr>
          <w:cantSplit/>
        </w:trPr>
        <w:tc>
          <w:tcPr>
            <w:cnfStyle w:val="001000000000" w:firstRow="0" w:lastRow="0" w:firstColumn="1" w:lastColumn="0" w:oddVBand="0" w:evenVBand="0" w:oddHBand="0" w:evenHBand="0" w:firstRowFirstColumn="0" w:firstRowLastColumn="0" w:lastRowFirstColumn="0" w:lastRowLastColumn="0"/>
            <w:tcW w:w="822" w:type="pct"/>
            <w:vAlign w:val="bottom"/>
          </w:tcPr>
          <w:p w:rsidR="00694611" w:rsidRPr="00967FD9" w:rsidRDefault="00694611" w:rsidP="001F6638">
            <w:pPr>
              <w:spacing w:before="0" w:after="0" w:line="240" w:lineRule="auto"/>
              <w:ind w:left="0" w:right="57"/>
              <w:rPr>
                <w:rFonts w:ascii="Calibri" w:hAnsi="Calibri"/>
                <w:color w:val="FFFFFF" w:themeColor="background1"/>
                <w:sz w:val="10"/>
                <w:szCs w:val="10"/>
              </w:rPr>
            </w:pPr>
            <w:r w:rsidRPr="00967FD9">
              <w:rPr>
                <w:rFonts w:ascii="Calibri" w:hAnsi="Calibri"/>
                <w:color w:val="FFFFFF" w:themeColor="background1"/>
                <w:sz w:val="10"/>
                <w:szCs w:val="10"/>
              </w:rPr>
              <w:t>MBS items as at 1993-94</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1.7</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2.2</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0.2</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0.8</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2.7</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2.8</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0.5</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2.5</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1.8</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2.4</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4.5</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4.8</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4.8</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5.4</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5.0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5.7</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6.0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9.2</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11.6</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12.9</w:t>
            </w:r>
          </w:p>
        </w:tc>
        <w:tc>
          <w:tcPr>
            <w:tcW w:w="188"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14.0</w:t>
            </w:r>
          </w:p>
        </w:tc>
      </w:tr>
      <w:tr w:rsidR="00967FD9" w:rsidRPr="00967FD9" w:rsidTr="00967FD9">
        <w:trPr>
          <w:cantSplit/>
        </w:trPr>
        <w:tc>
          <w:tcPr>
            <w:cnfStyle w:val="001000000000" w:firstRow="0" w:lastRow="0" w:firstColumn="1" w:lastColumn="0" w:oddVBand="0" w:evenVBand="0" w:oddHBand="0" w:evenHBand="0" w:firstRowFirstColumn="0" w:firstRowLastColumn="0" w:lastRowFirstColumn="0" w:lastRowLastColumn="0"/>
            <w:tcW w:w="822" w:type="pct"/>
            <w:vAlign w:val="bottom"/>
          </w:tcPr>
          <w:p w:rsidR="00694611" w:rsidRPr="00967FD9" w:rsidRDefault="00694611" w:rsidP="001F6638">
            <w:pPr>
              <w:spacing w:before="0" w:after="0" w:line="240" w:lineRule="auto"/>
              <w:ind w:left="0" w:right="57"/>
              <w:rPr>
                <w:rFonts w:ascii="Calibri" w:hAnsi="Calibri"/>
                <w:color w:val="FFFFFF" w:themeColor="background1"/>
                <w:sz w:val="10"/>
                <w:szCs w:val="10"/>
              </w:rPr>
            </w:pPr>
            <w:r w:rsidRPr="00967FD9">
              <w:rPr>
                <w:rFonts w:ascii="Calibri" w:hAnsi="Calibri"/>
                <w:color w:val="FFFFFF" w:themeColor="background1"/>
                <w:sz w:val="10"/>
                <w:szCs w:val="10"/>
              </w:rPr>
              <w:t>Reform of diagnostic imaging including new items for CT scans (1996-97)</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1.5</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2.7</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3.0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3.1</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3.3</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3.4</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3.5</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3.7</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4.2</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4.5</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4.7</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4.9</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5.1</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5.3</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5.3</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6.0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6.2</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6.4</w:t>
            </w:r>
          </w:p>
        </w:tc>
        <w:tc>
          <w:tcPr>
            <w:tcW w:w="188"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6.6</w:t>
            </w:r>
          </w:p>
        </w:tc>
      </w:tr>
      <w:tr w:rsidR="00967FD9" w:rsidRPr="00967FD9" w:rsidTr="00967FD9">
        <w:trPr>
          <w:cantSplit/>
        </w:trPr>
        <w:tc>
          <w:tcPr>
            <w:cnfStyle w:val="001000000000" w:firstRow="0" w:lastRow="0" w:firstColumn="1" w:lastColumn="0" w:oddVBand="0" w:evenVBand="0" w:oddHBand="0" w:evenHBand="0" w:firstRowFirstColumn="0" w:firstRowLastColumn="0" w:lastRowFirstColumn="0" w:lastRowLastColumn="0"/>
            <w:tcW w:w="822" w:type="pct"/>
            <w:vAlign w:val="bottom"/>
          </w:tcPr>
          <w:p w:rsidR="00694611" w:rsidRPr="00967FD9" w:rsidRDefault="00694611" w:rsidP="001F6638">
            <w:pPr>
              <w:spacing w:before="0" w:after="0" w:line="240" w:lineRule="auto"/>
              <w:ind w:left="0" w:right="57"/>
              <w:rPr>
                <w:rFonts w:ascii="Calibri" w:hAnsi="Calibri"/>
                <w:color w:val="FFFFFF" w:themeColor="background1"/>
                <w:sz w:val="10"/>
                <w:szCs w:val="10"/>
              </w:rPr>
            </w:pPr>
            <w:r w:rsidRPr="00967FD9">
              <w:rPr>
                <w:rFonts w:ascii="Calibri" w:hAnsi="Calibri"/>
                <w:color w:val="FFFFFF" w:themeColor="background1"/>
                <w:sz w:val="10"/>
                <w:szCs w:val="10"/>
              </w:rPr>
              <w:t>Introduction of Magnetic Resonance Imaging (1998-99)</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0.7</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1.1</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1.2</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1.3</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1.4</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1.5</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1.3</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1.4</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1.5</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1.6</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1.6</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1.8</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1.9</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2.0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2.1</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2.7</w:t>
            </w:r>
          </w:p>
        </w:tc>
        <w:tc>
          <w:tcPr>
            <w:tcW w:w="188"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3.1</w:t>
            </w:r>
          </w:p>
        </w:tc>
      </w:tr>
      <w:tr w:rsidR="00967FD9" w:rsidRPr="00967FD9" w:rsidTr="00967FD9">
        <w:trPr>
          <w:cantSplit/>
        </w:trPr>
        <w:tc>
          <w:tcPr>
            <w:cnfStyle w:val="001000000000" w:firstRow="0" w:lastRow="0" w:firstColumn="1" w:lastColumn="0" w:oddVBand="0" w:evenVBand="0" w:oddHBand="0" w:evenHBand="0" w:firstRowFirstColumn="0" w:firstRowLastColumn="0" w:lastRowFirstColumn="0" w:lastRowLastColumn="0"/>
            <w:tcW w:w="822" w:type="pct"/>
            <w:vAlign w:val="bottom"/>
          </w:tcPr>
          <w:p w:rsidR="00694611" w:rsidRPr="00967FD9" w:rsidRDefault="00694611" w:rsidP="001F6638">
            <w:pPr>
              <w:spacing w:before="0" w:after="0" w:line="240" w:lineRule="auto"/>
              <w:ind w:left="0" w:right="57"/>
              <w:rPr>
                <w:rFonts w:ascii="Calibri" w:hAnsi="Calibri"/>
                <w:color w:val="FFFFFF" w:themeColor="background1"/>
                <w:sz w:val="10"/>
                <w:szCs w:val="10"/>
              </w:rPr>
            </w:pPr>
            <w:r w:rsidRPr="00967FD9">
              <w:rPr>
                <w:rFonts w:ascii="Calibri" w:hAnsi="Calibri"/>
                <w:color w:val="FFFFFF" w:themeColor="background1"/>
                <w:sz w:val="10"/>
                <w:szCs w:val="10"/>
              </w:rPr>
              <w:t>Introduction of multidisciplinary care plans (1999-2000)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0.1</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0.5</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0.4</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0.4</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0.8</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1.6</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1.8</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2.3</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2.8</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3.1</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3.6</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4.2</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4.5</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5.0</w:t>
            </w:r>
          </w:p>
        </w:tc>
        <w:tc>
          <w:tcPr>
            <w:tcW w:w="188"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5.6</w:t>
            </w:r>
          </w:p>
        </w:tc>
      </w:tr>
      <w:tr w:rsidR="00967FD9" w:rsidRPr="00967FD9" w:rsidTr="00967FD9">
        <w:trPr>
          <w:cantSplit/>
        </w:trPr>
        <w:tc>
          <w:tcPr>
            <w:cnfStyle w:val="001000000000" w:firstRow="0" w:lastRow="0" w:firstColumn="1" w:lastColumn="0" w:oddVBand="0" w:evenVBand="0" w:oddHBand="0" w:evenHBand="0" w:firstRowFirstColumn="0" w:firstRowLastColumn="0" w:lastRowFirstColumn="0" w:lastRowLastColumn="0"/>
            <w:tcW w:w="822" w:type="pct"/>
            <w:vAlign w:val="bottom"/>
          </w:tcPr>
          <w:p w:rsidR="00694611" w:rsidRPr="00967FD9" w:rsidRDefault="00694611" w:rsidP="001F6638">
            <w:pPr>
              <w:spacing w:before="0" w:after="0" w:line="240" w:lineRule="auto"/>
              <w:ind w:left="0" w:right="57"/>
              <w:rPr>
                <w:rFonts w:ascii="Calibri" w:hAnsi="Calibri"/>
                <w:color w:val="FFFFFF" w:themeColor="background1"/>
                <w:sz w:val="10"/>
                <w:szCs w:val="10"/>
              </w:rPr>
            </w:pPr>
            <w:r w:rsidRPr="00967FD9">
              <w:rPr>
                <w:rFonts w:ascii="Calibri" w:hAnsi="Calibri"/>
                <w:color w:val="FFFFFF" w:themeColor="background1"/>
                <w:sz w:val="10"/>
                <w:szCs w:val="10"/>
              </w:rPr>
              <w:t>New items for mental health care provided by a GP (2001-02)</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0.1</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0.8</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1.4</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1.7</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1.9</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2.1</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1.7</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1.6</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1.8</w:t>
            </w:r>
          </w:p>
        </w:tc>
        <w:tc>
          <w:tcPr>
            <w:tcW w:w="188"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1.9</w:t>
            </w:r>
          </w:p>
        </w:tc>
      </w:tr>
      <w:tr w:rsidR="00967FD9" w:rsidRPr="00967FD9" w:rsidTr="00967FD9">
        <w:trPr>
          <w:cantSplit/>
        </w:trPr>
        <w:tc>
          <w:tcPr>
            <w:cnfStyle w:val="001000000000" w:firstRow="0" w:lastRow="0" w:firstColumn="1" w:lastColumn="0" w:oddVBand="0" w:evenVBand="0" w:oddHBand="0" w:evenHBand="0" w:firstRowFirstColumn="0" w:firstRowLastColumn="0" w:lastRowFirstColumn="0" w:lastRowLastColumn="0"/>
            <w:tcW w:w="822" w:type="pct"/>
            <w:vAlign w:val="bottom"/>
          </w:tcPr>
          <w:p w:rsidR="00694611" w:rsidRPr="00967FD9" w:rsidRDefault="00694611" w:rsidP="001F6638">
            <w:pPr>
              <w:spacing w:before="0" w:after="0" w:line="240" w:lineRule="auto"/>
              <w:ind w:left="0" w:right="57"/>
              <w:rPr>
                <w:rFonts w:ascii="Calibri" w:hAnsi="Calibri"/>
                <w:color w:val="FFFFFF" w:themeColor="background1"/>
                <w:sz w:val="10"/>
                <w:szCs w:val="10"/>
              </w:rPr>
            </w:pPr>
            <w:r w:rsidRPr="00967FD9">
              <w:rPr>
                <w:rFonts w:ascii="Calibri" w:hAnsi="Calibri"/>
                <w:color w:val="FFFFFF" w:themeColor="background1"/>
                <w:sz w:val="10"/>
                <w:szCs w:val="10"/>
              </w:rPr>
              <w:t>Extended Medicare Safety Net (2003-04)</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0.3</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2.9</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3.2</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3.1</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3.8</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4.6</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4.5</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3.2</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3.5</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3.5</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3.3</w:t>
            </w:r>
          </w:p>
        </w:tc>
        <w:tc>
          <w:tcPr>
            <w:tcW w:w="188"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3.4</w:t>
            </w:r>
          </w:p>
        </w:tc>
      </w:tr>
      <w:tr w:rsidR="00967FD9" w:rsidRPr="00967FD9" w:rsidTr="00967FD9">
        <w:trPr>
          <w:cantSplit/>
        </w:trPr>
        <w:tc>
          <w:tcPr>
            <w:cnfStyle w:val="001000000000" w:firstRow="0" w:lastRow="0" w:firstColumn="1" w:lastColumn="0" w:oddVBand="0" w:evenVBand="0" w:oddHBand="0" w:evenHBand="0" w:firstRowFirstColumn="0" w:firstRowLastColumn="0" w:lastRowFirstColumn="0" w:lastRowLastColumn="0"/>
            <w:tcW w:w="822" w:type="pct"/>
            <w:vAlign w:val="bottom"/>
          </w:tcPr>
          <w:p w:rsidR="00694611" w:rsidRPr="00967FD9" w:rsidRDefault="00694611" w:rsidP="001F6638">
            <w:pPr>
              <w:spacing w:before="0" w:after="0" w:line="240" w:lineRule="auto"/>
              <w:ind w:left="0" w:right="57"/>
              <w:rPr>
                <w:rFonts w:ascii="Calibri" w:hAnsi="Calibri"/>
                <w:color w:val="FFFFFF" w:themeColor="background1"/>
                <w:sz w:val="10"/>
                <w:szCs w:val="10"/>
              </w:rPr>
            </w:pPr>
            <w:r w:rsidRPr="00967FD9">
              <w:rPr>
                <w:rFonts w:ascii="Calibri" w:hAnsi="Calibri"/>
                <w:color w:val="FFFFFF" w:themeColor="background1"/>
                <w:sz w:val="10"/>
                <w:szCs w:val="10"/>
              </w:rPr>
              <w:t>Bulk billing incentives (2003-04, 2004-05 and 2009-10)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1.2</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3.9</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4.1</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4.2</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4.4</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4.4</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5.1</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5.3</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5.2</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5.2</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5.3</w:t>
            </w:r>
          </w:p>
        </w:tc>
        <w:tc>
          <w:tcPr>
            <w:tcW w:w="188"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5.4</w:t>
            </w:r>
          </w:p>
        </w:tc>
      </w:tr>
      <w:tr w:rsidR="00967FD9" w:rsidRPr="00967FD9" w:rsidTr="00967FD9">
        <w:trPr>
          <w:cantSplit/>
        </w:trPr>
        <w:tc>
          <w:tcPr>
            <w:cnfStyle w:val="001000000000" w:firstRow="0" w:lastRow="0" w:firstColumn="1" w:lastColumn="0" w:oddVBand="0" w:evenVBand="0" w:oddHBand="0" w:evenHBand="0" w:firstRowFirstColumn="0" w:firstRowLastColumn="0" w:lastRowFirstColumn="0" w:lastRowLastColumn="0"/>
            <w:tcW w:w="822" w:type="pct"/>
            <w:vAlign w:val="bottom"/>
          </w:tcPr>
          <w:p w:rsidR="00694611" w:rsidRPr="00967FD9" w:rsidRDefault="00694611" w:rsidP="001F6638">
            <w:pPr>
              <w:spacing w:before="0" w:after="0" w:line="240" w:lineRule="auto"/>
              <w:ind w:left="0" w:right="57"/>
              <w:rPr>
                <w:rFonts w:ascii="Calibri" w:hAnsi="Calibri"/>
                <w:color w:val="FFFFFF" w:themeColor="background1"/>
                <w:sz w:val="10"/>
                <w:szCs w:val="10"/>
              </w:rPr>
            </w:pPr>
            <w:r w:rsidRPr="00967FD9">
              <w:rPr>
                <w:rFonts w:ascii="Calibri" w:hAnsi="Calibri"/>
                <w:color w:val="FFFFFF" w:themeColor="background1"/>
                <w:sz w:val="10"/>
                <w:szCs w:val="10"/>
              </w:rPr>
              <w:t>New items and higher rebates for after-hours GP services (2004-05)</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0.9</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2.1</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2.3</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2.6</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2.6</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2.6</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2.9</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3.0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3.2</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3.5</w:t>
            </w:r>
          </w:p>
        </w:tc>
        <w:tc>
          <w:tcPr>
            <w:tcW w:w="188"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3.7</w:t>
            </w:r>
          </w:p>
        </w:tc>
      </w:tr>
      <w:tr w:rsidR="00967FD9" w:rsidRPr="00967FD9" w:rsidTr="00967FD9">
        <w:trPr>
          <w:cantSplit/>
        </w:trPr>
        <w:tc>
          <w:tcPr>
            <w:cnfStyle w:val="001000000000" w:firstRow="0" w:lastRow="0" w:firstColumn="1" w:lastColumn="0" w:oddVBand="0" w:evenVBand="0" w:oddHBand="0" w:evenHBand="0" w:firstRowFirstColumn="0" w:firstRowLastColumn="0" w:lastRowFirstColumn="0" w:lastRowLastColumn="0"/>
            <w:tcW w:w="822" w:type="pct"/>
            <w:vAlign w:val="bottom"/>
          </w:tcPr>
          <w:p w:rsidR="00694611" w:rsidRPr="00967FD9" w:rsidRDefault="00694611" w:rsidP="001F6638">
            <w:pPr>
              <w:spacing w:before="0" w:after="0" w:line="240" w:lineRule="auto"/>
              <w:ind w:left="0" w:right="57"/>
              <w:rPr>
                <w:rFonts w:ascii="Calibri" w:hAnsi="Calibri"/>
                <w:color w:val="FFFFFF" w:themeColor="background1"/>
                <w:sz w:val="10"/>
                <w:szCs w:val="10"/>
              </w:rPr>
            </w:pPr>
            <w:r w:rsidRPr="00967FD9">
              <w:rPr>
                <w:rFonts w:ascii="Calibri" w:hAnsi="Calibri"/>
                <w:color w:val="FFFFFF" w:themeColor="background1"/>
                <w:sz w:val="10"/>
                <w:szCs w:val="10"/>
              </w:rPr>
              <w:t>GP attendance benefit increased to 100% of the schedule fee (2004-05)</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2.9</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6.5</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6.6</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6.9</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6.8</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7.0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7.1</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7.3</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7.5</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7.7</w:t>
            </w:r>
          </w:p>
        </w:tc>
        <w:tc>
          <w:tcPr>
            <w:tcW w:w="188"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8.0</w:t>
            </w:r>
          </w:p>
        </w:tc>
      </w:tr>
      <w:tr w:rsidR="00967FD9" w:rsidRPr="00967FD9" w:rsidTr="00967FD9">
        <w:trPr>
          <w:cantSplit/>
        </w:trPr>
        <w:tc>
          <w:tcPr>
            <w:cnfStyle w:val="001000000000" w:firstRow="0" w:lastRow="0" w:firstColumn="1" w:lastColumn="0" w:oddVBand="0" w:evenVBand="0" w:oddHBand="0" w:evenHBand="0" w:firstRowFirstColumn="0" w:firstRowLastColumn="0" w:lastRowFirstColumn="0" w:lastRowLastColumn="0"/>
            <w:tcW w:w="822" w:type="pct"/>
            <w:vAlign w:val="bottom"/>
          </w:tcPr>
          <w:p w:rsidR="00694611" w:rsidRPr="00967FD9" w:rsidRDefault="00694611" w:rsidP="001F6638">
            <w:pPr>
              <w:spacing w:before="0" w:after="0" w:line="240" w:lineRule="auto"/>
              <w:ind w:left="0" w:right="57"/>
              <w:rPr>
                <w:rFonts w:ascii="Calibri" w:hAnsi="Calibri"/>
                <w:color w:val="FFFFFF" w:themeColor="background1"/>
                <w:sz w:val="10"/>
                <w:szCs w:val="10"/>
              </w:rPr>
            </w:pPr>
            <w:r w:rsidRPr="00967FD9">
              <w:rPr>
                <w:rFonts w:ascii="Calibri" w:hAnsi="Calibri"/>
                <w:color w:val="FFFFFF" w:themeColor="background1"/>
                <w:sz w:val="10"/>
                <w:szCs w:val="10"/>
              </w:rPr>
              <w:t>New items for some other medical professionals (2004-05)</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0.1</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0.3</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0.5</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0.7</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0.9</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1.2</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1.4</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1.7</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1.9</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2.1</w:t>
            </w:r>
          </w:p>
        </w:tc>
        <w:tc>
          <w:tcPr>
            <w:tcW w:w="188"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2.3</w:t>
            </w:r>
          </w:p>
        </w:tc>
      </w:tr>
      <w:tr w:rsidR="00967FD9" w:rsidRPr="00967FD9" w:rsidTr="00967FD9">
        <w:trPr>
          <w:cantSplit/>
        </w:trPr>
        <w:tc>
          <w:tcPr>
            <w:cnfStyle w:val="001000000000" w:firstRow="0" w:lastRow="0" w:firstColumn="1" w:lastColumn="0" w:oddVBand="0" w:evenVBand="0" w:oddHBand="0" w:evenHBand="0" w:firstRowFirstColumn="0" w:firstRowLastColumn="0" w:lastRowFirstColumn="0" w:lastRowLastColumn="0"/>
            <w:tcW w:w="822" w:type="pct"/>
            <w:vAlign w:val="bottom"/>
          </w:tcPr>
          <w:p w:rsidR="00694611" w:rsidRPr="00967FD9" w:rsidRDefault="00694611" w:rsidP="001F6638">
            <w:pPr>
              <w:spacing w:before="0" w:after="0" w:line="240" w:lineRule="auto"/>
              <w:ind w:left="0" w:right="57"/>
              <w:rPr>
                <w:rFonts w:ascii="Calibri" w:hAnsi="Calibri"/>
                <w:color w:val="FFFFFF" w:themeColor="background1"/>
                <w:sz w:val="10"/>
                <w:szCs w:val="10"/>
              </w:rPr>
            </w:pPr>
            <w:r w:rsidRPr="00967FD9">
              <w:rPr>
                <w:rFonts w:ascii="Calibri" w:hAnsi="Calibri"/>
                <w:color w:val="FFFFFF" w:themeColor="background1"/>
                <w:sz w:val="10"/>
                <w:szCs w:val="10"/>
              </w:rPr>
              <w:t>Introduction of items for allied mental health practitioners (2006-07)</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0.7</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2.1</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2.7</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3.1</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3.5</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3.5</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3.8</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3.8</w:t>
            </w:r>
          </w:p>
        </w:tc>
        <w:tc>
          <w:tcPr>
            <w:tcW w:w="188"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4.0</w:t>
            </w:r>
          </w:p>
        </w:tc>
      </w:tr>
      <w:tr w:rsidR="00967FD9" w:rsidRPr="00967FD9" w:rsidTr="00967FD9">
        <w:trPr>
          <w:cantSplit/>
        </w:trPr>
        <w:tc>
          <w:tcPr>
            <w:cnfStyle w:val="001000000000" w:firstRow="0" w:lastRow="0" w:firstColumn="1" w:lastColumn="0" w:oddVBand="0" w:evenVBand="0" w:oddHBand="0" w:evenHBand="0" w:firstRowFirstColumn="0" w:firstRowLastColumn="0" w:lastRowFirstColumn="0" w:lastRowLastColumn="0"/>
            <w:tcW w:w="822" w:type="pct"/>
            <w:vAlign w:val="bottom"/>
          </w:tcPr>
          <w:p w:rsidR="00694611" w:rsidRPr="00967FD9" w:rsidRDefault="00694611" w:rsidP="001F6638">
            <w:pPr>
              <w:spacing w:before="0" w:after="0" w:line="240" w:lineRule="auto"/>
              <w:ind w:left="0" w:right="57"/>
              <w:rPr>
                <w:rFonts w:ascii="Calibri" w:hAnsi="Calibri"/>
                <w:color w:val="FFFFFF" w:themeColor="background1"/>
                <w:sz w:val="10"/>
                <w:szCs w:val="10"/>
              </w:rPr>
            </w:pPr>
            <w:r w:rsidRPr="00967FD9">
              <w:rPr>
                <w:rFonts w:ascii="Calibri" w:hAnsi="Calibri"/>
                <w:color w:val="FFFFFF" w:themeColor="background1"/>
                <w:sz w:val="10"/>
                <w:szCs w:val="10"/>
              </w:rPr>
              <w:t>New items for annual health assessments for patients with an intellectual disability (2007-08)</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0.5</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1.2</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1.3</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1.5</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1.6</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1.7</w:t>
            </w:r>
          </w:p>
        </w:tc>
        <w:tc>
          <w:tcPr>
            <w:tcW w:w="188"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1.9</w:t>
            </w:r>
          </w:p>
        </w:tc>
      </w:tr>
      <w:tr w:rsidR="00967FD9" w:rsidRPr="00967FD9" w:rsidTr="00967FD9">
        <w:trPr>
          <w:cantSplit/>
        </w:trPr>
        <w:tc>
          <w:tcPr>
            <w:cnfStyle w:val="001000000000" w:firstRow="0" w:lastRow="0" w:firstColumn="1" w:lastColumn="0" w:oddVBand="0" w:evenVBand="0" w:oddHBand="0" w:evenHBand="0" w:firstRowFirstColumn="0" w:firstRowLastColumn="0" w:lastRowFirstColumn="0" w:lastRowLastColumn="0"/>
            <w:tcW w:w="822" w:type="pct"/>
            <w:vAlign w:val="bottom"/>
          </w:tcPr>
          <w:p w:rsidR="00694611" w:rsidRPr="00967FD9" w:rsidRDefault="00694611" w:rsidP="001F6638">
            <w:pPr>
              <w:spacing w:before="0" w:after="0" w:line="240" w:lineRule="auto"/>
              <w:ind w:left="0" w:right="57"/>
              <w:rPr>
                <w:rFonts w:ascii="Calibri" w:hAnsi="Calibri"/>
                <w:color w:val="FFFFFF" w:themeColor="background1"/>
                <w:sz w:val="10"/>
                <w:szCs w:val="10"/>
              </w:rPr>
            </w:pPr>
            <w:r w:rsidRPr="00967FD9">
              <w:rPr>
                <w:rFonts w:ascii="Calibri" w:hAnsi="Calibri"/>
                <w:color w:val="FFFFFF" w:themeColor="background1"/>
                <w:sz w:val="10"/>
                <w:szCs w:val="10"/>
              </w:rPr>
              <w:t>Other major policy</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0.1</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0.3</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0.3</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0.5</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0.7</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0.9</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1.4</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2.0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2.1</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2.3</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1.8</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1.6</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1.5</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1.6</w:t>
            </w:r>
          </w:p>
        </w:tc>
        <w:tc>
          <w:tcPr>
            <w:tcW w:w="188"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67FD9">
              <w:rPr>
                <w:rFonts w:ascii="Calibri" w:hAnsi="Calibri"/>
                <w:color w:val="FFFFFF" w:themeColor="background1"/>
                <w:sz w:val="10"/>
                <w:szCs w:val="10"/>
              </w:rPr>
              <w:t>1.7</w:t>
            </w:r>
          </w:p>
        </w:tc>
      </w:tr>
      <w:tr w:rsidR="00967FD9" w:rsidRPr="00967FD9" w:rsidTr="00967FD9">
        <w:trPr>
          <w:cantSplit/>
        </w:trPr>
        <w:tc>
          <w:tcPr>
            <w:cnfStyle w:val="001000000000" w:firstRow="0" w:lastRow="0" w:firstColumn="1" w:lastColumn="0" w:oddVBand="0" w:evenVBand="0" w:oddHBand="0" w:evenHBand="0" w:firstRowFirstColumn="0" w:firstRowLastColumn="0" w:lastRowFirstColumn="0" w:lastRowLastColumn="0"/>
            <w:tcW w:w="822" w:type="pct"/>
            <w:vAlign w:val="bottom"/>
          </w:tcPr>
          <w:p w:rsidR="00694611" w:rsidRPr="00967FD9" w:rsidRDefault="00694611" w:rsidP="001F6638">
            <w:pPr>
              <w:spacing w:before="0" w:after="0" w:line="240" w:lineRule="auto"/>
              <w:ind w:left="0" w:right="57"/>
              <w:rPr>
                <w:rFonts w:ascii="Calibri" w:hAnsi="Calibri"/>
                <w:b/>
                <w:bCs/>
                <w:color w:val="FFFFFF" w:themeColor="background1"/>
                <w:sz w:val="10"/>
                <w:szCs w:val="10"/>
              </w:rPr>
            </w:pPr>
            <w:r w:rsidRPr="00967FD9">
              <w:rPr>
                <w:rFonts w:ascii="Calibri" w:hAnsi="Calibri"/>
                <w:b/>
                <w:bCs/>
                <w:color w:val="FFFFFF" w:themeColor="background1"/>
                <w:sz w:val="10"/>
                <w:szCs w:val="10"/>
              </w:rPr>
              <w:t>TOTAL</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0.0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1.7</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2.2</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1.6</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3.5</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6.4</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7.0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5.1</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7.8</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7.1</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9.6</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21.7</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28.7</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31.0</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36.3</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39.2</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42.5</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43.6</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48.8</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52.8</w:t>
            </w:r>
          </w:p>
        </w:tc>
        <w:tc>
          <w:tcPr>
            <w:tcW w:w="190"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56.2</w:t>
            </w:r>
          </w:p>
        </w:tc>
        <w:tc>
          <w:tcPr>
            <w:tcW w:w="188" w:type="pct"/>
          </w:tcPr>
          <w:p w:rsidR="00694611" w:rsidRPr="00967FD9" w:rsidRDefault="00694611" w:rsidP="00694611">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67FD9">
              <w:rPr>
                <w:rFonts w:ascii="Calibri" w:hAnsi="Calibri"/>
                <w:b/>
                <w:bCs/>
                <w:color w:val="FFFFFF" w:themeColor="background1"/>
                <w:sz w:val="10"/>
                <w:szCs w:val="10"/>
              </w:rPr>
              <w:t>61.6</w:t>
            </w:r>
          </w:p>
        </w:tc>
      </w:tr>
    </w:tbl>
    <w:p w:rsidR="00694611" w:rsidRPr="00967FD9" w:rsidRDefault="00694611" w:rsidP="00967FD9">
      <w:pPr>
        <w:pStyle w:val="Source"/>
        <w:spacing w:before="3960"/>
        <w:rPr>
          <w:color w:val="FFFFFF" w:themeColor="background1"/>
        </w:rPr>
      </w:pPr>
      <w:r w:rsidRPr="00967FD9">
        <w:rPr>
          <w:color w:val="FFFFFF" w:themeColor="background1"/>
        </w:rPr>
        <w:t>Note: Figures provided are contributions to real growth in percentage points.</w:t>
      </w:r>
    </w:p>
    <w:p w:rsidR="002F0BB1" w:rsidRPr="005116E5" w:rsidRDefault="002F0BB1" w:rsidP="00C16CE6">
      <w:pPr>
        <w:pStyle w:val="Source"/>
        <w:spacing w:before="0"/>
      </w:pPr>
      <w:r w:rsidRPr="005116E5">
        <w:t xml:space="preserve">Source: PBO analysis </w:t>
      </w:r>
      <w:r w:rsidR="00F02E96" w:rsidRPr="005116E5">
        <w:t>of</w:t>
      </w:r>
      <w:r w:rsidRPr="005116E5">
        <w:t xml:space="preserve"> </w:t>
      </w:r>
      <w:r w:rsidR="00DF7D43" w:rsidRPr="005116E5">
        <w:t>MBS</w:t>
      </w:r>
      <w:r w:rsidRPr="005116E5">
        <w:t xml:space="preserve"> data </w:t>
      </w:r>
      <w:r w:rsidR="00126CB9" w:rsidRPr="005116E5">
        <w:t>from</w:t>
      </w:r>
      <w:r w:rsidRPr="005116E5">
        <w:t xml:space="preserve"> </w:t>
      </w:r>
      <w:r w:rsidR="00126CB9" w:rsidRPr="005116E5">
        <w:t>t</w:t>
      </w:r>
      <w:r w:rsidRPr="005116E5">
        <w:t>he Department of Human Services</w:t>
      </w:r>
      <w:r w:rsidR="002B6C3D" w:rsidRPr="005116E5">
        <w:t xml:space="preserve"> and ABS</w:t>
      </w:r>
      <w:r w:rsidRPr="005116E5">
        <w:t>.</w:t>
      </w:r>
    </w:p>
    <w:p w:rsidR="009F5458" w:rsidRPr="00227D7D" w:rsidRDefault="003C0EEA">
      <w:pPr>
        <w:pStyle w:val="BodyText"/>
      </w:pPr>
      <w:r>
        <w:lastRenderedPageBreak/>
        <w:t>Between 1993–</w:t>
      </w:r>
      <w:r w:rsidR="003C2DD0" w:rsidRPr="00296721">
        <w:t>94 and 200</w:t>
      </w:r>
      <w:r w:rsidR="009D2303" w:rsidRPr="008A0495">
        <w:t>3</w:t>
      </w:r>
      <w:r>
        <w:t>–</w:t>
      </w:r>
      <w:r w:rsidR="003C2DD0" w:rsidRPr="00296721">
        <w:t>0</w:t>
      </w:r>
      <w:r w:rsidR="009D2303" w:rsidRPr="008A0495">
        <w:t>4</w:t>
      </w:r>
      <w:r w:rsidR="003C2DD0" w:rsidRPr="00296721">
        <w:t xml:space="preserve">, </w:t>
      </w:r>
      <w:r w:rsidR="00FC6224">
        <w:t xml:space="preserve">real </w:t>
      </w:r>
      <w:r w:rsidR="003C2DD0" w:rsidRPr="00296721">
        <w:t xml:space="preserve">growth in spending </w:t>
      </w:r>
      <w:r w:rsidR="00C244CA">
        <w:t>per person</w:t>
      </w:r>
      <w:r w:rsidR="003C2DD0" w:rsidRPr="00F248B4">
        <w:t xml:space="preserve"> was </w:t>
      </w:r>
      <w:r w:rsidR="00F052DD" w:rsidRPr="008A0495">
        <w:t>relatively subdued</w:t>
      </w:r>
      <w:r w:rsidR="006A664D">
        <w:t>.</w:t>
      </w:r>
      <w:r>
        <w:t xml:space="preserve"> </w:t>
      </w:r>
      <w:r w:rsidR="006A664D">
        <w:t xml:space="preserve"> Growth over this period was </w:t>
      </w:r>
      <w:r w:rsidR="00D458C9">
        <w:t xml:space="preserve">largely </w:t>
      </w:r>
      <w:r w:rsidR="006A664D">
        <w:t xml:space="preserve">due to the addition of new diagnostic </w:t>
      </w:r>
      <w:r w:rsidR="009F5458" w:rsidRPr="00227D7D">
        <w:t>imaging services</w:t>
      </w:r>
      <w:r w:rsidR="007F6AF6" w:rsidRPr="00227D7D">
        <w:t>.</w:t>
      </w:r>
      <w:r w:rsidR="00B24D6D" w:rsidRPr="00227D7D">
        <w:t xml:space="preserve"> </w:t>
      </w:r>
      <w:r w:rsidR="007F1BE2" w:rsidRPr="00227D7D">
        <w:t xml:space="preserve"> </w:t>
      </w:r>
      <w:r w:rsidR="001671AC">
        <w:t>I</w:t>
      </w:r>
      <w:r w:rsidR="00D667DC" w:rsidRPr="00227D7D">
        <w:t>n 1996</w:t>
      </w:r>
      <w:r>
        <w:t>–</w:t>
      </w:r>
      <w:r w:rsidR="00D667DC" w:rsidRPr="00227D7D">
        <w:t>97</w:t>
      </w:r>
      <w:r w:rsidR="00D458C9">
        <w:t>,</w:t>
      </w:r>
      <w:r w:rsidR="00D667DC" w:rsidRPr="00227D7D">
        <w:t xml:space="preserve"> benefits </w:t>
      </w:r>
      <w:r w:rsidR="001671AC">
        <w:t xml:space="preserve">were </w:t>
      </w:r>
      <w:r w:rsidR="00D667DC" w:rsidRPr="00227D7D">
        <w:t>made available for a wider range o</w:t>
      </w:r>
      <w:r w:rsidR="0085110B" w:rsidRPr="00227D7D">
        <w:t>f C</w:t>
      </w:r>
      <w:r w:rsidR="00673DED" w:rsidRPr="00227D7D">
        <w:t xml:space="preserve">omputed </w:t>
      </w:r>
      <w:r w:rsidR="0085110B" w:rsidRPr="00227D7D">
        <w:t>T</w:t>
      </w:r>
      <w:r w:rsidR="00673DED" w:rsidRPr="00227D7D">
        <w:t>omography (CT) scans, while</w:t>
      </w:r>
      <w:r w:rsidR="007F1BE2" w:rsidRPr="00227D7D">
        <w:t xml:space="preserve"> advances in technology resulted in t</w:t>
      </w:r>
      <w:r w:rsidR="00D667DC" w:rsidRPr="00227D7D">
        <w:t>he introd</w:t>
      </w:r>
      <w:r w:rsidR="0085110B" w:rsidRPr="00227D7D">
        <w:t>uction of Magnetic Resonance I</w:t>
      </w:r>
      <w:r w:rsidR="00D667DC" w:rsidRPr="00227D7D">
        <w:t>maging (MRI) benefits in 1998</w:t>
      </w:r>
      <w:r>
        <w:t>–</w:t>
      </w:r>
      <w:r w:rsidR="00D667DC" w:rsidRPr="00227D7D">
        <w:t>99</w:t>
      </w:r>
      <w:r w:rsidR="00F04494">
        <w:t>.</w:t>
      </w:r>
      <w:r w:rsidR="003C2DD0" w:rsidRPr="00701D20">
        <w:rPr>
          <w:rStyle w:val="FootnoteReference"/>
        </w:rPr>
        <w:footnoteReference w:id="17"/>
      </w:r>
      <w:r w:rsidR="007F1BE2" w:rsidRPr="00227D7D">
        <w:t xml:space="preserve">  As well as broadening the scope of </w:t>
      </w:r>
      <w:r w:rsidR="00DF7D43">
        <w:t>MBS</w:t>
      </w:r>
      <w:r w:rsidR="00673DED" w:rsidRPr="00227D7D">
        <w:t xml:space="preserve"> services</w:t>
      </w:r>
      <w:r w:rsidR="007F1BE2" w:rsidRPr="00227D7D">
        <w:t xml:space="preserve">, these </w:t>
      </w:r>
      <w:r w:rsidR="00FC6224">
        <w:t xml:space="preserve">new services also </w:t>
      </w:r>
      <w:r w:rsidR="007F1BE2" w:rsidRPr="00227D7D">
        <w:t xml:space="preserve">contributed to higher benefits </w:t>
      </w:r>
      <w:r w:rsidR="00DF088B" w:rsidRPr="00227D7D">
        <w:t xml:space="preserve">paid </w:t>
      </w:r>
      <w:r w:rsidR="007F1BE2" w:rsidRPr="00227D7D">
        <w:t>per service</w:t>
      </w:r>
      <w:r w:rsidR="00C06563">
        <w:t xml:space="preserve"> on average</w:t>
      </w:r>
      <w:r w:rsidR="007F1BE2" w:rsidRPr="00227D7D">
        <w:t>.</w:t>
      </w:r>
    </w:p>
    <w:p w:rsidR="001671AC" w:rsidRDefault="000A7E93" w:rsidP="001671AC">
      <w:pPr>
        <w:pStyle w:val="BodyText"/>
      </w:pPr>
      <w:r>
        <w:t>From 2003</w:t>
      </w:r>
      <w:r w:rsidR="003C0EEA">
        <w:t>–</w:t>
      </w:r>
      <w:r>
        <w:t>04</w:t>
      </w:r>
      <w:r w:rsidR="001671AC">
        <w:t xml:space="preserve"> </w:t>
      </w:r>
      <w:r w:rsidR="00DD6AE0">
        <w:t>to 2014</w:t>
      </w:r>
      <w:r w:rsidR="003C0EEA">
        <w:t>–</w:t>
      </w:r>
      <w:r w:rsidR="00DD6AE0">
        <w:t xml:space="preserve">15, </w:t>
      </w:r>
      <w:r w:rsidR="001671AC">
        <w:t>t</w:t>
      </w:r>
      <w:r w:rsidR="006A664D">
        <w:t xml:space="preserve">he significant increase in growth was due to major policy decisions that focussed on GPs.  </w:t>
      </w:r>
      <w:r w:rsidR="001671AC">
        <w:t>The increase in the GP rebate</w:t>
      </w:r>
      <w:r w:rsidR="001671AC" w:rsidRPr="00227D7D">
        <w:t xml:space="preserve"> from 85 per cent to 100 per cent of the Schedule F</w:t>
      </w:r>
      <w:r w:rsidR="001671AC">
        <w:t xml:space="preserve">ee and </w:t>
      </w:r>
      <w:r w:rsidR="001671AC" w:rsidRPr="00227D7D">
        <w:t>the introduction of bulk billing incentives resulted in higher government benefits being paid for</w:t>
      </w:r>
      <w:r w:rsidR="001671AC">
        <w:t xml:space="preserve"> GP</w:t>
      </w:r>
      <w:r w:rsidR="001671AC" w:rsidRPr="00227D7D">
        <w:t xml:space="preserve"> services already provided.</w:t>
      </w:r>
      <w:r w:rsidR="001671AC">
        <w:t xml:space="preserve">  </w:t>
      </w:r>
      <w:r w:rsidR="001671AC" w:rsidRPr="00227D7D">
        <w:t>Services were also added for after</w:t>
      </w:r>
      <w:r w:rsidR="001671AC">
        <w:noBreakHyphen/>
      </w:r>
      <w:r w:rsidR="001671AC" w:rsidRPr="00227D7D">
        <w:t xml:space="preserve">hours GP services </w:t>
      </w:r>
      <w:r w:rsidR="003C0EEA">
        <w:t>at the same time.</w:t>
      </w:r>
    </w:p>
    <w:p w:rsidR="001671AC" w:rsidRDefault="001671AC" w:rsidP="001671AC">
      <w:pPr>
        <w:pStyle w:val="BodyText"/>
      </w:pPr>
      <w:r>
        <w:t xml:space="preserve">Growth in spending on GP services also reflected earlier decisions to </w:t>
      </w:r>
      <w:r w:rsidR="007E78F6" w:rsidRPr="00227D7D">
        <w:t>introduc</w:t>
      </w:r>
      <w:r w:rsidR="007E78F6">
        <w:t>e</w:t>
      </w:r>
      <w:r w:rsidR="007E78F6" w:rsidRPr="00227D7D">
        <w:t xml:space="preserve"> </w:t>
      </w:r>
      <w:r w:rsidR="007E78F6">
        <w:t>multidisciplinary</w:t>
      </w:r>
      <w:r w:rsidRPr="00227D7D">
        <w:t xml:space="preserve"> care plans </w:t>
      </w:r>
      <w:r>
        <w:t>which</w:t>
      </w:r>
      <w:r w:rsidRPr="00227D7D">
        <w:t xml:space="preserve"> added a range of benefits that focussed on better coordinating the roles of GPs and specialists in caring for patients with chronic and/or complex care needs.  Services were also added for GP mental health care as part of the ‘Better Outcomes in Mental Health Care’ program</w:t>
      </w:r>
      <w:r>
        <w:t>.</w:t>
      </w:r>
    </w:p>
    <w:p w:rsidR="00D747C2" w:rsidRDefault="00D747C2" w:rsidP="00D747C2">
      <w:pPr>
        <w:pStyle w:val="BodyText"/>
      </w:pPr>
      <w:r>
        <w:t xml:space="preserve">The addition of allied health services further broadened the scope of the MBS and contributed to </w:t>
      </w:r>
      <w:r w:rsidR="00D458C9">
        <w:t xml:space="preserve">real </w:t>
      </w:r>
      <w:r>
        <w:t xml:space="preserve">growth in spending </w:t>
      </w:r>
      <w:r w:rsidR="00C244CA">
        <w:t>per person</w:t>
      </w:r>
      <w:r>
        <w:t>.  In particular, in 2004</w:t>
      </w:r>
      <w:r w:rsidR="003C0EEA">
        <w:t>–</w:t>
      </w:r>
      <w:r>
        <w:t xml:space="preserve">05 benefits were made available for a wide range of allied health services (such as physiotherapy) and allied mental health </w:t>
      </w:r>
      <w:r w:rsidR="003C0EEA">
        <w:t>services were added in 2006–07.</w:t>
      </w:r>
    </w:p>
    <w:p w:rsidR="00A46235" w:rsidRPr="00A46235" w:rsidRDefault="00A46235" w:rsidP="00A46235">
      <w:pPr>
        <w:pStyle w:val="BodyText"/>
      </w:pPr>
      <w:r w:rsidRPr="00A46235">
        <w:t>The Extended Medicare Safety Net (EMSN) was introduced in 2003</w:t>
      </w:r>
      <w:r w:rsidR="003C0EEA">
        <w:t>–</w:t>
      </w:r>
      <w:r w:rsidRPr="00A46235">
        <w:t>04 and paid 80 per cent of out-of-hospital patient expenses over a set threshold.  This meant that benefits were paid even when providers charged substantially more than the government</w:t>
      </w:r>
      <w:r w:rsidR="00237879">
        <w:t>-</w:t>
      </w:r>
      <w:r w:rsidRPr="00A46235">
        <w:t>determined fee for service, that is, the Schedule Fee.  The introduction of the EMSN primarily affected surgeries and treatments and specialist services by significantly increasing the benefit paid by the</w:t>
      </w:r>
      <w:r w:rsidR="003C0EEA">
        <w:t xml:space="preserve"> government for these services.</w:t>
      </w:r>
    </w:p>
    <w:p w:rsidR="00D216AD" w:rsidRDefault="00A46235" w:rsidP="00A46235">
      <w:pPr>
        <w:pStyle w:val="BodyText"/>
      </w:pPr>
      <w:r w:rsidRPr="00A46235">
        <w:t>In response, the Government progressively introduced a range of Extended Medicare Safety Net</w:t>
      </w:r>
      <w:r w:rsidR="004712E2">
        <w:t xml:space="preserve"> benefit</w:t>
      </w:r>
      <w:r w:rsidRPr="00A46235">
        <w:t xml:space="preserve"> </w:t>
      </w:r>
      <w:r w:rsidR="004712E2">
        <w:t>c</w:t>
      </w:r>
      <w:r w:rsidRPr="00A46235">
        <w:t>aps from 1 January 2010, which limit the out</w:t>
      </w:r>
      <w:r w:rsidRPr="00A46235">
        <w:noBreakHyphen/>
        <w:t>of</w:t>
      </w:r>
      <w:r w:rsidRPr="00A46235">
        <w:noBreakHyphen/>
        <w:t>pocket expenses the MBS will cover for certain services.  This resulted in slower growth over the latter part of the past decade.</w:t>
      </w:r>
    </w:p>
    <w:p w:rsidR="00232965" w:rsidRDefault="00232965" w:rsidP="000C7B8B">
      <w:pPr>
        <w:pStyle w:val="Heading2"/>
        <w:rPr>
          <w:rFonts w:ascii="Arial" w:hAnsi="Arial" w:cs="Arial"/>
          <w:bCs w:val="0"/>
          <w:iCs w:val="0"/>
          <w:color w:val="auto"/>
          <w:spacing w:val="-1"/>
          <w:kern w:val="0"/>
          <w:sz w:val="16"/>
          <w:szCs w:val="16"/>
        </w:rPr>
        <w:sectPr w:rsidR="00232965" w:rsidSect="00232965">
          <w:headerReference w:type="even" r:id="rId45"/>
          <w:headerReference w:type="default" r:id="rId46"/>
          <w:footerReference w:type="even" r:id="rId47"/>
          <w:footerReference w:type="default" r:id="rId48"/>
          <w:headerReference w:type="first" r:id="rId49"/>
          <w:pgSz w:w="11907" w:h="16839" w:code="9"/>
          <w:pgMar w:top="1361" w:right="1797" w:bottom="1474" w:left="1797" w:header="283" w:footer="454" w:gutter="0"/>
          <w:cols w:space="708"/>
          <w:docGrid w:linePitch="360"/>
        </w:sectPr>
      </w:pPr>
      <w:bookmarkStart w:id="57" w:name="_Toc433895072"/>
      <w:bookmarkStart w:id="58" w:name="_Toc434392754"/>
      <w:bookmarkStart w:id="59" w:name="_Toc436050781"/>
      <w:bookmarkEnd w:id="57"/>
      <w:bookmarkEnd w:id="58"/>
    </w:p>
    <w:p w:rsidR="000C7B8B" w:rsidRDefault="000C7B8B" w:rsidP="000C7B8B">
      <w:pPr>
        <w:pStyle w:val="Heading2"/>
      </w:pPr>
      <w:r w:rsidRPr="00227D7D">
        <w:lastRenderedPageBreak/>
        <w:t xml:space="preserve">Projected </w:t>
      </w:r>
      <w:r w:rsidR="00EE2083" w:rsidRPr="00227D7D">
        <w:t>t</w:t>
      </w:r>
      <w:r w:rsidRPr="00227D7D">
        <w:t>rends</w:t>
      </w:r>
      <w:bookmarkEnd w:id="59"/>
    </w:p>
    <w:p w:rsidR="000F2CDE" w:rsidRDefault="00AD6247" w:rsidP="00F91D8E">
      <w:pPr>
        <w:pStyle w:val="BodyText"/>
      </w:pPr>
      <w:r>
        <w:t>T</w:t>
      </w:r>
      <w:r w:rsidR="009025D5" w:rsidRPr="0034303C">
        <w:t>he spending projections</w:t>
      </w:r>
      <w:r w:rsidR="0075617C">
        <w:t xml:space="preserve"> for the period 2014</w:t>
      </w:r>
      <w:r w:rsidR="009F4B39">
        <w:t>–</w:t>
      </w:r>
      <w:r w:rsidR="0075617C">
        <w:t>15 to 2025</w:t>
      </w:r>
      <w:r w:rsidR="009F4B39">
        <w:t>–</w:t>
      </w:r>
      <w:r w:rsidR="0075617C">
        <w:t>26</w:t>
      </w:r>
      <w:r w:rsidR="009025D5" w:rsidRPr="0034303C">
        <w:t xml:space="preserve"> are based on </w:t>
      </w:r>
      <w:r w:rsidR="008835D0">
        <w:t>current</w:t>
      </w:r>
      <w:r w:rsidR="009025D5" w:rsidRPr="0034303C">
        <w:t xml:space="preserve"> policy settings and make no a</w:t>
      </w:r>
      <w:r w:rsidR="00F1193D" w:rsidRPr="006D77AB">
        <w:t>llowance for future policy</w:t>
      </w:r>
      <w:r w:rsidR="009025D5" w:rsidRPr="00D63179">
        <w:t xml:space="preserve"> initiatives relating to </w:t>
      </w:r>
      <w:r w:rsidR="00DF7D43" w:rsidRPr="00D63179">
        <w:t>the MBS</w:t>
      </w:r>
      <w:r w:rsidR="009025D5" w:rsidRPr="00D63179">
        <w:t>.</w:t>
      </w:r>
      <w:r w:rsidR="00412E86" w:rsidRPr="00D63179">
        <w:t xml:space="preserve"> </w:t>
      </w:r>
      <w:r w:rsidR="00CB2445">
        <w:t xml:space="preserve"> </w:t>
      </w:r>
      <w:r w:rsidR="00412E86" w:rsidRPr="00D63179">
        <w:t>The</w:t>
      </w:r>
      <w:r w:rsidR="009F4B39">
        <w:t> </w:t>
      </w:r>
      <w:r w:rsidR="00412E86" w:rsidRPr="00D63179">
        <w:t xml:space="preserve">assumptions </w:t>
      </w:r>
      <w:r w:rsidR="00E222BC" w:rsidRPr="008A0495">
        <w:t>underlying</w:t>
      </w:r>
      <w:r w:rsidR="00412E86" w:rsidRPr="0034303C">
        <w:t xml:space="preserve"> the spending projections are explained in </w:t>
      </w:r>
      <w:r w:rsidR="00887307">
        <w:fldChar w:fldCharType="begin"/>
      </w:r>
      <w:r w:rsidR="00887307">
        <w:instrText xml:space="preserve"> REF _Ref436043210 \r \h </w:instrText>
      </w:r>
      <w:r w:rsidR="00887307">
        <w:fldChar w:fldCharType="separate"/>
      </w:r>
      <w:r w:rsidR="00235C48">
        <w:t>Appendix C</w:t>
      </w:r>
      <w:r w:rsidR="00887307">
        <w:fldChar w:fldCharType="end"/>
      </w:r>
      <w:r w:rsidR="00412E86" w:rsidRPr="0034303C">
        <w:t>.</w:t>
      </w:r>
    </w:p>
    <w:p w:rsidR="00C16CE6" w:rsidRDefault="001E65B7" w:rsidP="001E65B7">
      <w:pPr>
        <w:pStyle w:val="BodyText"/>
      </w:pPr>
      <w:r w:rsidRPr="008A0495">
        <w:t>As with any medium-term projections there are uncertainties surrounding the numbers presented.  In particular,</w:t>
      </w:r>
      <w:r w:rsidR="00296721" w:rsidRPr="008A0495">
        <w:t xml:space="preserve"> when projecting</w:t>
      </w:r>
      <w:r w:rsidRPr="008A0495">
        <w:t xml:space="preserve"> </w:t>
      </w:r>
      <w:r w:rsidR="00801C45">
        <w:t>MBS</w:t>
      </w:r>
      <w:r w:rsidR="00801C45" w:rsidRPr="008A0495">
        <w:t xml:space="preserve"> </w:t>
      </w:r>
      <w:r w:rsidRPr="008A0495">
        <w:t>spending there is uncertainty regarding the ongoing impact of past policy changes and when they are likely to mature.</w:t>
      </w:r>
    </w:p>
    <w:p w:rsidR="004477F1" w:rsidRDefault="004477F1" w:rsidP="001E65B7">
      <w:pPr>
        <w:pStyle w:val="BodyText"/>
      </w:pPr>
      <w:r>
        <w:t xml:space="preserve">The </w:t>
      </w:r>
      <w:r w:rsidRPr="009377DA">
        <w:t xml:space="preserve">analysis of projected </w:t>
      </w:r>
      <w:r>
        <w:t>MBS</w:t>
      </w:r>
      <w:r w:rsidRPr="009377DA">
        <w:t xml:space="preserve"> spending focusses on the </w:t>
      </w:r>
      <w:r w:rsidR="00801C45">
        <w:t>number</w:t>
      </w:r>
      <w:r w:rsidR="00801C45" w:rsidRPr="009377DA">
        <w:t xml:space="preserve"> </w:t>
      </w:r>
      <w:r w:rsidRPr="009377DA">
        <w:t xml:space="preserve">of services </w:t>
      </w:r>
      <w:r w:rsidR="00801C45">
        <w:t xml:space="preserve">used by patients </w:t>
      </w:r>
      <w:r w:rsidRPr="009377DA">
        <w:t xml:space="preserve">(services </w:t>
      </w:r>
      <w:r w:rsidR="00C244CA">
        <w:t>per person</w:t>
      </w:r>
      <w:r w:rsidRPr="009377DA">
        <w:t xml:space="preserve">) and the </w:t>
      </w:r>
      <w:r w:rsidR="00801C45">
        <w:t>benefit paid by</w:t>
      </w:r>
      <w:r w:rsidRPr="009377DA">
        <w:t xml:space="preserve"> gov</w:t>
      </w:r>
      <w:r w:rsidR="00AD6247">
        <w:t xml:space="preserve">ernment </w:t>
      </w:r>
      <w:r w:rsidR="00016D72">
        <w:t xml:space="preserve">for </w:t>
      </w:r>
      <w:r w:rsidR="00AD6247">
        <w:t>these services (</w:t>
      </w:r>
      <w:r w:rsidRPr="009377DA">
        <w:t xml:space="preserve">benefits paid per service). </w:t>
      </w:r>
      <w:r w:rsidR="00482C02">
        <w:t xml:space="preserve"> </w:t>
      </w:r>
      <w:r w:rsidRPr="009377DA">
        <w:t xml:space="preserve">This gives an indication of both the ‘volume’ and ‘price’ influences on </w:t>
      </w:r>
      <w:r w:rsidR="00DD6AE0">
        <w:t xml:space="preserve">government </w:t>
      </w:r>
      <w:r w:rsidRPr="009377DA">
        <w:t>spending.</w:t>
      </w:r>
    </w:p>
    <w:p w:rsidR="00AD6247" w:rsidRPr="00227D7D" w:rsidRDefault="00AD6247" w:rsidP="00AD6247">
      <w:pPr>
        <w:pStyle w:val="Heading3"/>
      </w:pPr>
      <w:bookmarkStart w:id="60" w:name="_Toc433621263"/>
      <w:bookmarkStart w:id="61" w:name="_Toc436050782"/>
      <w:r w:rsidRPr="00227D7D">
        <w:t>Projected spending</w:t>
      </w:r>
      <w:bookmarkEnd w:id="60"/>
      <w:bookmarkEnd w:id="61"/>
    </w:p>
    <w:p w:rsidR="00E17D5D" w:rsidRDefault="00AD6247" w:rsidP="005116E5">
      <w:pPr>
        <w:pStyle w:val="BodyText"/>
      </w:pPr>
      <w:r w:rsidRPr="00C01E20">
        <w:t>From 2014</w:t>
      </w:r>
      <w:r w:rsidR="00887307">
        <w:t>–</w:t>
      </w:r>
      <w:r w:rsidRPr="00C01E20">
        <w:t>15 to 2025</w:t>
      </w:r>
      <w:r w:rsidR="00887307">
        <w:t>–</w:t>
      </w:r>
      <w:r w:rsidRPr="00C01E20">
        <w:t xml:space="preserve">26, MBS spending </w:t>
      </w:r>
      <w:r w:rsidR="00C244CA">
        <w:t>per person</w:t>
      </w:r>
      <w:r w:rsidRPr="00C01E20">
        <w:t xml:space="preserve"> is projected to grow by 1.4 pe</w:t>
      </w:r>
      <w:r w:rsidR="0089021A" w:rsidRPr="00C01E20">
        <w:t xml:space="preserve">r cent annually in real terms, a significant slowing from the previous decade’s growth. </w:t>
      </w:r>
      <w:r w:rsidR="00E17D5D" w:rsidRPr="00C01E20">
        <w:t xml:space="preserve"> </w:t>
      </w:r>
      <w:r w:rsidR="00AD15D5" w:rsidRPr="00C01E20">
        <w:t>Slower growth in</w:t>
      </w:r>
      <w:r w:rsidR="0089021A" w:rsidRPr="00C01E20">
        <w:t xml:space="preserve"> projected sp</w:t>
      </w:r>
      <w:r w:rsidR="00A46235">
        <w:t xml:space="preserve">ending is expected to be predominantly </w:t>
      </w:r>
      <w:r w:rsidR="0089021A" w:rsidRPr="00C01E20">
        <w:t>driven by the decline in the benefit paid per service</w:t>
      </w:r>
      <w:r w:rsidR="00AD15D5" w:rsidRPr="00C01E20">
        <w:t>.</w:t>
      </w:r>
      <w:r w:rsidR="00482C02" w:rsidRPr="00C01E20">
        <w:t xml:space="preserve"> </w:t>
      </w:r>
      <w:r w:rsidR="00AD15D5" w:rsidRPr="00C01E20">
        <w:t xml:space="preserve"> </w:t>
      </w:r>
      <w:r w:rsidR="00C911A9" w:rsidRPr="000E2D07">
        <w:t xml:space="preserve">Also expected to drive the slowdown in projected growth is slower growth in the use of services which were added to the MBS in the past decade.  The projections reflect recent slower growth in the use of these services </w:t>
      </w:r>
      <w:r w:rsidR="00482C02" w:rsidRPr="000E2D07">
        <w:t>(</w:t>
      </w:r>
      <w:r w:rsidR="00887307">
        <w:fldChar w:fldCharType="begin"/>
      </w:r>
      <w:r w:rsidR="00887307">
        <w:instrText xml:space="preserve"> REF _Ref436043315 \h </w:instrText>
      </w:r>
      <w:r w:rsidR="00887307">
        <w:fldChar w:fldCharType="separate"/>
      </w:r>
      <w:r w:rsidR="00235C48" w:rsidRPr="00887307">
        <w:t xml:space="preserve">Figure </w:t>
      </w:r>
      <w:r w:rsidR="00235C48">
        <w:rPr>
          <w:noProof/>
        </w:rPr>
        <w:t>2</w:t>
      </w:r>
      <w:r w:rsidR="00235C48" w:rsidRPr="00887307">
        <w:t>–</w:t>
      </w:r>
      <w:r w:rsidR="00235C48">
        <w:rPr>
          <w:noProof/>
        </w:rPr>
        <w:t>4</w:t>
      </w:r>
      <w:r w:rsidR="00887307">
        <w:fldChar w:fldCharType="end"/>
      </w:r>
      <w:r w:rsidR="00482C02" w:rsidRPr="000E2D07">
        <w:t>)</w:t>
      </w:r>
      <w:r w:rsidRPr="000E2D07">
        <w:t>.</w:t>
      </w:r>
    </w:p>
    <w:p w:rsidR="00887307" w:rsidRPr="00887307" w:rsidRDefault="00887307" w:rsidP="00887307">
      <w:pPr>
        <w:pStyle w:val="Caption"/>
      </w:pPr>
      <w:bookmarkStart w:id="62" w:name="_Ref436043315"/>
      <w:bookmarkStart w:id="63" w:name="_Toc436050997"/>
      <w:bookmarkStart w:id="64" w:name="_Toc436205219"/>
      <w:r w:rsidRPr="00887307">
        <w:t xml:space="preserve">Figure </w:t>
      </w:r>
      <w:fldSimple w:instr=" STYLEREF 1 \s ">
        <w:r w:rsidR="00235C48">
          <w:rPr>
            <w:noProof/>
          </w:rPr>
          <w:t>2</w:t>
        </w:r>
      </w:fldSimple>
      <w:r w:rsidRPr="00887307">
        <w:t>–</w:t>
      </w:r>
      <w:fldSimple w:instr=" SEQ Figure \* ARABIC \s 1 ">
        <w:r w:rsidR="00235C48">
          <w:rPr>
            <w:noProof/>
          </w:rPr>
          <w:t>4</w:t>
        </w:r>
      </w:fldSimple>
      <w:bookmarkEnd w:id="62"/>
      <w:r w:rsidRPr="00887307">
        <w:t>: Medicare Benefits Schedule,</w:t>
      </w:r>
      <w:r>
        <w:t xml:space="preserve"> benefit paid per service (2014–</w:t>
      </w:r>
      <w:r w:rsidRPr="00887307">
        <w:t>15 dollars) and services per person</w:t>
      </w:r>
      <w:bookmarkEnd w:id="63"/>
      <w:bookmarkEnd w:id="64"/>
    </w:p>
    <w:tbl>
      <w:tblPr>
        <w:tblStyle w:val="TableGrid"/>
        <w:tblW w:w="6650" w:type="pct"/>
        <w:tblInd w:w="-1418" w:type="dxa"/>
        <w:tblLook w:val="0680" w:firstRow="0" w:lastRow="0" w:firstColumn="1" w:lastColumn="0" w:noHBand="1" w:noVBand="1"/>
      </w:tblPr>
      <w:tblGrid>
        <w:gridCol w:w="996"/>
        <w:gridCol w:w="304"/>
        <w:gridCol w:w="304"/>
        <w:gridCol w:w="304"/>
        <w:gridCol w:w="304"/>
        <w:gridCol w:w="304"/>
        <w:gridCol w:w="304"/>
        <w:gridCol w:w="304"/>
        <w:gridCol w:w="304"/>
        <w:gridCol w:w="304"/>
        <w:gridCol w:w="304"/>
        <w:gridCol w:w="304"/>
        <w:gridCol w:w="303"/>
        <w:gridCol w:w="303"/>
        <w:gridCol w:w="305"/>
        <w:gridCol w:w="305"/>
        <w:gridCol w:w="305"/>
        <w:gridCol w:w="305"/>
        <w:gridCol w:w="305"/>
        <w:gridCol w:w="305"/>
        <w:gridCol w:w="305"/>
        <w:gridCol w:w="305"/>
        <w:gridCol w:w="305"/>
        <w:gridCol w:w="305"/>
        <w:gridCol w:w="305"/>
        <w:gridCol w:w="305"/>
        <w:gridCol w:w="305"/>
        <w:gridCol w:w="307"/>
        <w:gridCol w:w="307"/>
        <w:gridCol w:w="307"/>
        <w:gridCol w:w="307"/>
        <w:gridCol w:w="307"/>
        <w:gridCol w:w="307"/>
        <w:gridCol w:w="303"/>
      </w:tblGrid>
      <w:tr w:rsidR="008A28A7" w:rsidRPr="008A28A7" w:rsidTr="008A28A7">
        <w:trPr>
          <w:cantSplit/>
        </w:trPr>
        <w:tc>
          <w:tcPr>
            <w:cnfStyle w:val="001000000000" w:firstRow="0" w:lastRow="0" w:firstColumn="1" w:lastColumn="0" w:oddVBand="0" w:evenVBand="0" w:oddHBand="0" w:evenHBand="0" w:firstRowFirstColumn="0" w:firstRowLastColumn="0" w:lastRowFirstColumn="0" w:lastRowLastColumn="0"/>
            <w:tcW w:w="450" w:type="pct"/>
          </w:tcPr>
          <w:p w:rsidR="00B84698" w:rsidRPr="008A28A7" w:rsidRDefault="00B84698" w:rsidP="00B84698">
            <w:pPr>
              <w:pStyle w:val="TableText"/>
              <w:spacing w:before="0" w:after="0" w:line="240" w:lineRule="auto"/>
              <w:ind w:left="0" w:right="57"/>
              <w:rPr>
                <w:color w:val="FFFFFF" w:themeColor="background1"/>
                <w:sz w:val="10"/>
                <w:szCs w:val="10"/>
              </w:rPr>
            </w:pPr>
          </w:p>
        </w:tc>
        <w:tc>
          <w:tcPr>
            <w:tcW w:w="137" w:type="pct"/>
            <w:vAlign w:val="bottom"/>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8A28A7">
              <w:rPr>
                <w:rFonts w:ascii="Calibri" w:hAnsi="Calibri"/>
                <w:b/>
                <w:bCs/>
                <w:color w:val="FFFFFF" w:themeColor="background1"/>
                <w:sz w:val="10"/>
                <w:szCs w:val="10"/>
              </w:rPr>
              <w:t>1993-94</w:t>
            </w:r>
          </w:p>
        </w:tc>
        <w:tc>
          <w:tcPr>
            <w:tcW w:w="137" w:type="pct"/>
            <w:vAlign w:val="bottom"/>
          </w:tcPr>
          <w:p w:rsidR="00B84698" w:rsidRPr="008A28A7" w:rsidRDefault="008061DD"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Pr>
                <w:noProof/>
              </w:rPr>
              <w:drawing>
                <wp:anchor distT="0" distB="0" distL="114300" distR="114300" simplePos="0" relativeHeight="251680768" behindDoc="0" locked="0" layoutInCell="1" allowOverlap="1" wp14:anchorId="640A373A" wp14:editId="76F588C1">
                  <wp:simplePos x="0" y="0"/>
                  <wp:positionH relativeFrom="column">
                    <wp:posOffset>41910</wp:posOffset>
                  </wp:positionH>
                  <wp:positionV relativeFrom="paragraph">
                    <wp:posOffset>6985</wp:posOffset>
                  </wp:positionV>
                  <wp:extent cx="4913630" cy="2231390"/>
                  <wp:effectExtent l="0" t="0" r="127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913630" cy="2231390"/>
                          </a:xfrm>
                          <a:prstGeom prst="rect">
                            <a:avLst/>
                          </a:prstGeom>
                          <a:noFill/>
                        </pic:spPr>
                      </pic:pic>
                    </a:graphicData>
                  </a:graphic>
                  <wp14:sizeRelH relativeFrom="page">
                    <wp14:pctWidth>0</wp14:pctWidth>
                  </wp14:sizeRelH>
                  <wp14:sizeRelV relativeFrom="page">
                    <wp14:pctHeight>0</wp14:pctHeight>
                  </wp14:sizeRelV>
                </wp:anchor>
              </w:drawing>
            </w:r>
            <w:r w:rsidR="00B84698" w:rsidRPr="008A28A7">
              <w:rPr>
                <w:rFonts w:ascii="Calibri" w:hAnsi="Calibri"/>
                <w:b/>
                <w:bCs/>
                <w:color w:val="FFFFFF" w:themeColor="background1"/>
                <w:sz w:val="10"/>
                <w:szCs w:val="10"/>
              </w:rPr>
              <w:t>1994-95</w:t>
            </w:r>
          </w:p>
        </w:tc>
        <w:tc>
          <w:tcPr>
            <w:tcW w:w="137" w:type="pct"/>
            <w:vAlign w:val="bottom"/>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8A28A7">
              <w:rPr>
                <w:rFonts w:ascii="Calibri" w:hAnsi="Calibri"/>
                <w:b/>
                <w:bCs/>
                <w:color w:val="FFFFFF" w:themeColor="background1"/>
                <w:sz w:val="10"/>
                <w:szCs w:val="10"/>
              </w:rPr>
              <w:t>1995-96</w:t>
            </w:r>
          </w:p>
        </w:tc>
        <w:tc>
          <w:tcPr>
            <w:tcW w:w="137" w:type="pct"/>
            <w:vAlign w:val="bottom"/>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8A28A7">
              <w:rPr>
                <w:rFonts w:ascii="Calibri" w:hAnsi="Calibri"/>
                <w:b/>
                <w:bCs/>
                <w:color w:val="FFFFFF" w:themeColor="background1"/>
                <w:sz w:val="10"/>
                <w:szCs w:val="10"/>
              </w:rPr>
              <w:t>1996-97</w:t>
            </w:r>
          </w:p>
        </w:tc>
        <w:tc>
          <w:tcPr>
            <w:tcW w:w="137" w:type="pct"/>
            <w:vAlign w:val="bottom"/>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8A28A7">
              <w:rPr>
                <w:rFonts w:ascii="Calibri" w:hAnsi="Calibri"/>
                <w:b/>
                <w:bCs/>
                <w:color w:val="FFFFFF" w:themeColor="background1"/>
                <w:sz w:val="10"/>
                <w:szCs w:val="10"/>
              </w:rPr>
              <w:t>1997-98</w:t>
            </w:r>
          </w:p>
        </w:tc>
        <w:tc>
          <w:tcPr>
            <w:tcW w:w="137" w:type="pct"/>
            <w:vAlign w:val="bottom"/>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8A28A7">
              <w:rPr>
                <w:rFonts w:ascii="Calibri" w:hAnsi="Calibri"/>
                <w:b/>
                <w:bCs/>
                <w:color w:val="FFFFFF" w:themeColor="background1"/>
                <w:sz w:val="10"/>
                <w:szCs w:val="10"/>
              </w:rPr>
              <w:t>1998-99</w:t>
            </w:r>
          </w:p>
        </w:tc>
        <w:tc>
          <w:tcPr>
            <w:tcW w:w="137" w:type="pct"/>
            <w:vAlign w:val="bottom"/>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8A28A7">
              <w:rPr>
                <w:rFonts w:ascii="Calibri" w:hAnsi="Calibri"/>
                <w:b/>
                <w:bCs/>
                <w:color w:val="FFFFFF" w:themeColor="background1"/>
                <w:sz w:val="10"/>
                <w:szCs w:val="10"/>
              </w:rPr>
              <w:t>1999-00</w:t>
            </w:r>
          </w:p>
        </w:tc>
        <w:tc>
          <w:tcPr>
            <w:tcW w:w="137" w:type="pct"/>
            <w:vAlign w:val="bottom"/>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8A28A7">
              <w:rPr>
                <w:rFonts w:ascii="Calibri" w:hAnsi="Calibri"/>
                <w:b/>
                <w:bCs/>
                <w:color w:val="FFFFFF" w:themeColor="background1"/>
                <w:sz w:val="10"/>
                <w:szCs w:val="10"/>
              </w:rPr>
              <w:t>2000-01</w:t>
            </w:r>
          </w:p>
        </w:tc>
        <w:tc>
          <w:tcPr>
            <w:tcW w:w="137" w:type="pct"/>
            <w:vAlign w:val="bottom"/>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8A28A7">
              <w:rPr>
                <w:rFonts w:ascii="Calibri" w:hAnsi="Calibri"/>
                <w:b/>
                <w:bCs/>
                <w:color w:val="FFFFFF" w:themeColor="background1"/>
                <w:sz w:val="10"/>
                <w:szCs w:val="10"/>
              </w:rPr>
              <w:t>2001-02</w:t>
            </w:r>
          </w:p>
        </w:tc>
        <w:tc>
          <w:tcPr>
            <w:tcW w:w="137" w:type="pct"/>
            <w:vAlign w:val="bottom"/>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8A28A7">
              <w:rPr>
                <w:rFonts w:ascii="Calibri" w:hAnsi="Calibri"/>
                <w:b/>
                <w:bCs/>
                <w:color w:val="FFFFFF" w:themeColor="background1"/>
                <w:sz w:val="10"/>
                <w:szCs w:val="10"/>
              </w:rPr>
              <w:t>2002-03</w:t>
            </w:r>
          </w:p>
        </w:tc>
        <w:tc>
          <w:tcPr>
            <w:tcW w:w="137" w:type="pct"/>
            <w:vAlign w:val="bottom"/>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8A28A7">
              <w:rPr>
                <w:rFonts w:ascii="Calibri" w:hAnsi="Calibri"/>
                <w:b/>
                <w:bCs/>
                <w:color w:val="FFFFFF" w:themeColor="background1"/>
                <w:sz w:val="10"/>
                <w:szCs w:val="10"/>
              </w:rPr>
              <w:t>2003-04</w:t>
            </w:r>
          </w:p>
        </w:tc>
        <w:tc>
          <w:tcPr>
            <w:tcW w:w="137" w:type="pct"/>
            <w:vAlign w:val="bottom"/>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8A28A7">
              <w:rPr>
                <w:rFonts w:ascii="Calibri" w:hAnsi="Calibri"/>
                <w:b/>
                <w:bCs/>
                <w:color w:val="FFFFFF" w:themeColor="background1"/>
                <w:sz w:val="10"/>
                <w:szCs w:val="10"/>
              </w:rPr>
              <w:t>2004-05</w:t>
            </w:r>
          </w:p>
        </w:tc>
        <w:tc>
          <w:tcPr>
            <w:tcW w:w="137" w:type="pct"/>
            <w:vAlign w:val="bottom"/>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8A28A7">
              <w:rPr>
                <w:rFonts w:ascii="Calibri" w:hAnsi="Calibri"/>
                <w:b/>
                <w:bCs/>
                <w:color w:val="FFFFFF" w:themeColor="background1"/>
                <w:sz w:val="10"/>
                <w:szCs w:val="10"/>
              </w:rPr>
              <w:t>2005-06</w:t>
            </w:r>
          </w:p>
        </w:tc>
        <w:tc>
          <w:tcPr>
            <w:tcW w:w="138" w:type="pct"/>
            <w:vAlign w:val="bottom"/>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8A28A7">
              <w:rPr>
                <w:rFonts w:ascii="Calibri" w:hAnsi="Calibri"/>
                <w:b/>
                <w:bCs/>
                <w:color w:val="FFFFFF" w:themeColor="background1"/>
                <w:sz w:val="10"/>
                <w:szCs w:val="10"/>
              </w:rPr>
              <w:t>2006-07</w:t>
            </w:r>
          </w:p>
        </w:tc>
        <w:tc>
          <w:tcPr>
            <w:tcW w:w="138" w:type="pct"/>
            <w:vAlign w:val="bottom"/>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8A28A7">
              <w:rPr>
                <w:rFonts w:ascii="Calibri" w:hAnsi="Calibri"/>
                <w:b/>
                <w:bCs/>
                <w:color w:val="FFFFFF" w:themeColor="background1"/>
                <w:sz w:val="10"/>
                <w:szCs w:val="10"/>
              </w:rPr>
              <w:t>2007-08</w:t>
            </w:r>
          </w:p>
        </w:tc>
        <w:tc>
          <w:tcPr>
            <w:tcW w:w="138" w:type="pct"/>
            <w:vAlign w:val="bottom"/>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8A28A7">
              <w:rPr>
                <w:rFonts w:ascii="Calibri" w:hAnsi="Calibri"/>
                <w:b/>
                <w:bCs/>
                <w:color w:val="FFFFFF" w:themeColor="background1"/>
                <w:sz w:val="10"/>
                <w:szCs w:val="10"/>
              </w:rPr>
              <w:t>2008-09</w:t>
            </w:r>
          </w:p>
        </w:tc>
        <w:tc>
          <w:tcPr>
            <w:tcW w:w="138" w:type="pct"/>
            <w:vAlign w:val="bottom"/>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8A28A7">
              <w:rPr>
                <w:rFonts w:ascii="Calibri" w:hAnsi="Calibri"/>
                <w:b/>
                <w:bCs/>
                <w:color w:val="FFFFFF" w:themeColor="background1"/>
                <w:sz w:val="10"/>
                <w:szCs w:val="10"/>
              </w:rPr>
              <w:t>2009-10</w:t>
            </w:r>
          </w:p>
        </w:tc>
        <w:tc>
          <w:tcPr>
            <w:tcW w:w="138" w:type="pct"/>
            <w:vAlign w:val="bottom"/>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8A28A7">
              <w:rPr>
                <w:rFonts w:ascii="Calibri" w:hAnsi="Calibri"/>
                <w:b/>
                <w:bCs/>
                <w:color w:val="FFFFFF" w:themeColor="background1"/>
                <w:sz w:val="10"/>
                <w:szCs w:val="10"/>
              </w:rPr>
              <w:t>2010-11</w:t>
            </w:r>
          </w:p>
        </w:tc>
        <w:tc>
          <w:tcPr>
            <w:tcW w:w="138" w:type="pct"/>
            <w:vAlign w:val="bottom"/>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8A28A7">
              <w:rPr>
                <w:rFonts w:ascii="Calibri" w:hAnsi="Calibri"/>
                <w:b/>
                <w:bCs/>
                <w:color w:val="FFFFFF" w:themeColor="background1"/>
                <w:sz w:val="10"/>
                <w:szCs w:val="10"/>
              </w:rPr>
              <w:t>2011-12</w:t>
            </w:r>
          </w:p>
        </w:tc>
        <w:tc>
          <w:tcPr>
            <w:tcW w:w="138" w:type="pct"/>
            <w:vAlign w:val="bottom"/>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8A28A7">
              <w:rPr>
                <w:rFonts w:ascii="Calibri" w:hAnsi="Calibri"/>
                <w:b/>
                <w:bCs/>
                <w:color w:val="FFFFFF" w:themeColor="background1"/>
                <w:sz w:val="10"/>
                <w:szCs w:val="10"/>
              </w:rPr>
              <w:t>2012-13</w:t>
            </w:r>
          </w:p>
        </w:tc>
        <w:tc>
          <w:tcPr>
            <w:tcW w:w="138" w:type="pct"/>
            <w:vAlign w:val="bottom"/>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8A28A7">
              <w:rPr>
                <w:rFonts w:ascii="Calibri" w:hAnsi="Calibri"/>
                <w:b/>
                <w:bCs/>
                <w:color w:val="FFFFFF" w:themeColor="background1"/>
                <w:sz w:val="10"/>
                <w:szCs w:val="10"/>
              </w:rPr>
              <w:t>2013-14</w:t>
            </w:r>
          </w:p>
        </w:tc>
        <w:tc>
          <w:tcPr>
            <w:tcW w:w="138" w:type="pct"/>
            <w:vAlign w:val="bottom"/>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8A28A7">
              <w:rPr>
                <w:rFonts w:ascii="Calibri" w:hAnsi="Calibri"/>
                <w:b/>
                <w:bCs/>
                <w:color w:val="FFFFFF" w:themeColor="background1"/>
                <w:sz w:val="10"/>
                <w:szCs w:val="10"/>
              </w:rPr>
              <w:t>2014-15</w:t>
            </w:r>
          </w:p>
        </w:tc>
        <w:tc>
          <w:tcPr>
            <w:tcW w:w="138" w:type="pct"/>
            <w:vAlign w:val="bottom"/>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8A28A7">
              <w:rPr>
                <w:rFonts w:ascii="Calibri" w:hAnsi="Calibri"/>
                <w:b/>
                <w:bCs/>
                <w:color w:val="FFFFFF" w:themeColor="background1"/>
                <w:sz w:val="10"/>
                <w:szCs w:val="10"/>
              </w:rPr>
              <w:t>2015-16</w:t>
            </w:r>
          </w:p>
        </w:tc>
        <w:tc>
          <w:tcPr>
            <w:tcW w:w="138" w:type="pct"/>
            <w:vAlign w:val="bottom"/>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8A28A7">
              <w:rPr>
                <w:rFonts w:ascii="Calibri" w:hAnsi="Calibri"/>
                <w:b/>
                <w:bCs/>
                <w:color w:val="FFFFFF" w:themeColor="background1"/>
                <w:sz w:val="10"/>
                <w:szCs w:val="10"/>
              </w:rPr>
              <w:t>2016-17</w:t>
            </w:r>
          </w:p>
        </w:tc>
        <w:tc>
          <w:tcPr>
            <w:tcW w:w="138" w:type="pct"/>
            <w:vAlign w:val="bottom"/>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8A28A7">
              <w:rPr>
                <w:rFonts w:ascii="Calibri" w:hAnsi="Calibri"/>
                <w:b/>
                <w:bCs/>
                <w:color w:val="FFFFFF" w:themeColor="background1"/>
                <w:sz w:val="10"/>
                <w:szCs w:val="10"/>
              </w:rPr>
              <w:t>2017-18</w:t>
            </w:r>
          </w:p>
        </w:tc>
        <w:tc>
          <w:tcPr>
            <w:tcW w:w="138" w:type="pct"/>
            <w:vAlign w:val="bottom"/>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8A28A7">
              <w:rPr>
                <w:rFonts w:ascii="Calibri" w:hAnsi="Calibri"/>
                <w:b/>
                <w:bCs/>
                <w:color w:val="FFFFFF" w:themeColor="background1"/>
                <w:sz w:val="10"/>
                <w:szCs w:val="10"/>
              </w:rPr>
              <w:t>2018-19</w:t>
            </w:r>
          </w:p>
        </w:tc>
        <w:tc>
          <w:tcPr>
            <w:tcW w:w="139" w:type="pct"/>
            <w:vAlign w:val="bottom"/>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8A28A7">
              <w:rPr>
                <w:rFonts w:ascii="Calibri" w:hAnsi="Calibri"/>
                <w:b/>
                <w:bCs/>
                <w:color w:val="FFFFFF" w:themeColor="background1"/>
                <w:sz w:val="10"/>
                <w:szCs w:val="10"/>
              </w:rPr>
              <w:t>2019-20</w:t>
            </w:r>
          </w:p>
        </w:tc>
        <w:tc>
          <w:tcPr>
            <w:tcW w:w="139" w:type="pct"/>
            <w:vAlign w:val="bottom"/>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8A28A7">
              <w:rPr>
                <w:rFonts w:ascii="Calibri" w:hAnsi="Calibri"/>
                <w:b/>
                <w:bCs/>
                <w:color w:val="FFFFFF" w:themeColor="background1"/>
                <w:sz w:val="10"/>
                <w:szCs w:val="10"/>
              </w:rPr>
              <w:t>2020-21</w:t>
            </w:r>
          </w:p>
        </w:tc>
        <w:tc>
          <w:tcPr>
            <w:tcW w:w="139" w:type="pct"/>
            <w:vAlign w:val="bottom"/>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8A28A7">
              <w:rPr>
                <w:rFonts w:ascii="Calibri" w:hAnsi="Calibri"/>
                <w:b/>
                <w:bCs/>
                <w:color w:val="FFFFFF" w:themeColor="background1"/>
                <w:sz w:val="10"/>
                <w:szCs w:val="10"/>
              </w:rPr>
              <w:t>2021-22</w:t>
            </w:r>
          </w:p>
        </w:tc>
        <w:tc>
          <w:tcPr>
            <w:tcW w:w="139" w:type="pct"/>
            <w:vAlign w:val="bottom"/>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8A28A7">
              <w:rPr>
                <w:rFonts w:ascii="Calibri" w:hAnsi="Calibri"/>
                <w:b/>
                <w:bCs/>
                <w:color w:val="FFFFFF" w:themeColor="background1"/>
                <w:sz w:val="10"/>
                <w:szCs w:val="10"/>
              </w:rPr>
              <w:t>2022-23</w:t>
            </w:r>
          </w:p>
        </w:tc>
        <w:tc>
          <w:tcPr>
            <w:tcW w:w="139" w:type="pct"/>
            <w:vAlign w:val="bottom"/>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8A28A7">
              <w:rPr>
                <w:rFonts w:ascii="Calibri" w:hAnsi="Calibri"/>
                <w:b/>
                <w:bCs/>
                <w:color w:val="FFFFFF" w:themeColor="background1"/>
                <w:sz w:val="10"/>
                <w:szCs w:val="10"/>
              </w:rPr>
              <w:t>2023-24</w:t>
            </w:r>
          </w:p>
        </w:tc>
        <w:tc>
          <w:tcPr>
            <w:tcW w:w="139" w:type="pct"/>
            <w:vAlign w:val="bottom"/>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8A28A7">
              <w:rPr>
                <w:rFonts w:ascii="Calibri" w:hAnsi="Calibri"/>
                <w:b/>
                <w:bCs/>
                <w:color w:val="FFFFFF" w:themeColor="background1"/>
                <w:sz w:val="10"/>
                <w:szCs w:val="10"/>
              </w:rPr>
              <w:t>2024-25</w:t>
            </w:r>
          </w:p>
        </w:tc>
        <w:tc>
          <w:tcPr>
            <w:tcW w:w="135" w:type="pct"/>
            <w:vAlign w:val="bottom"/>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8A28A7">
              <w:rPr>
                <w:rFonts w:ascii="Calibri" w:hAnsi="Calibri"/>
                <w:b/>
                <w:bCs/>
                <w:color w:val="FFFFFF" w:themeColor="background1"/>
                <w:sz w:val="10"/>
                <w:szCs w:val="10"/>
              </w:rPr>
              <w:t>2025-26</w:t>
            </w:r>
          </w:p>
        </w:tc>
      </w:tr>
      <w:tr w:rsidR="008A28A7" w:rsidRPr="008A28A7" w:rsidTr="008A28A7">
        <w:trPr>
          <w:cantSplit/>
        </w:trPr>
        <w:tc>
          <w:tcPr>
            <w:cnfStyle w:val="001000000000" w:firstRow="0" w:lastRow="0" w:firstColumn="1" w:lastColumn="0" w:oddVBand="0" w:evenVBand="0" w:oddHBand="0" w:evenHBand="0" w:firstRowFirstColumn="0" w:firstRowLastColumn="0" w:lastRowFirstColumn="0" w:lastRowLastColumn="0"/>
            <w:tcW w:w="450" w:type="pct"/>
            <w:vAlign w:val="bottom"/>
          </w:tcPr>
          <w:p w:rsidR="00B84698" w:rsidRPr="008A28A7" w:rsidRDefault="00B84698" w:rsidP="00B84698">
            <w:pPr>
              <w:spacing w:before="0" w:after="0" w:line="240" w:lineRule="auto"/>
              <w:ind w:left="0" w:right="57"/>
              <w:rPr>
                <w:rFonts w:ascii="Calibri" w:hAnsi="Calibri"/>
                <w:color w:val="FFFFFF" w:themeColor="background1"/>
                <w:sz w:val="10"/>
                <w:szCs w:val="10"/>
              </w:rPr>
            </w:pPr>
            <w:r w:rsidRPr="008A28A7">
              <w:rPr>
                <w:rFonts w:ascii="Calibri" w:hAnsi="Calibri"/>
                <w:color w:val="FFFFFF" w:themeColor="background1"/>
                <w:sz w:val="10"/>
                <w:szCs w:val="10"/>
              </w:rPr>
              <w:t>Benefit paid per servi</w:t>
            </w:r>
            <w:r w:rsidR="007E6C9A" w:rsidRPr="008A28A7">
              <w:rPr>
                <w:rFonts w:ascii="Calibri" w:hAnsi="Calibri"/>
                <w:color w:val="FFFFFF" w:themeColor="background1"/>
                <w:sz w:val="10"/>
                <w:szCs w:val="10"/>
              </w:rPr>
              <w:t>ce (2014-15 dollars)</w:t>
            </w:r>
          </w:p>
        </w:tc>
        <w:tc>
          <w:tcPr>
            <w:tcW w:w="137"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51.9</w:t>
            </w:r>
          </w:p>
        </w:tc>
        <w:tc>
          <w:tcPr>
            <w:tcW w:w="137"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51.1</w:t>
            </w:r>
          </w:p>
        </w:tc>
        <w:tc>
          <w:tcPr>
            <w:tcW w:w="137"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49.8</w:t>
            </w:r>
          </w:p>
        </w:tc>
        <w:tc>
          <w:tcPr>
            <w:tcW w:w="137"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49.4</w:t>
            </w:r>
          </w:p>
        </w:tc>
        <w:tc>
          <w:tcPr>
            <w:tcW w:w="137"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50.0</w:t>
            </w:r>
          </w:p>
        </w:tc>
        <w:tc>
          <w:tcPr>
            <w:tcW w:w="137"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50.9</w:t>
            </w:r>
          </w:p>
        </w:tc>
        <w:tc>
          <w:tcPr>
            <w:tcW w:w="137"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51.0</w:t>
            </w:r>
          </w:p>
        </w:tc>
        <w:tc>
          <w:tcPr>
            <w:tcW w:w="137"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49.7</w:t>
            </w:r>
          </w:p>
        </w:tc>
        <w:tc>
          <w:tcPr>
            <w:tcW w:w="137"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50.0</w:t>
            </w:r>
          </w:p>
        </w:tc>
        <w:tc>
          <w:tcPr>
            <w:tcW w:w="137"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50.2</w:t>
            </w:r>
          </w:p>
        </w:tc>
        <w:tc>
          <w:tcPr>
            <w:tcW w:w="137"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50.8</w:t>
            </w:r>
          </w:p>
        </w:tc>
        <w:tc>
          <w:tcPr>
            <w:tcW w:w="137"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54.8</w:t>
            </w:r>
          </w:p>
        </w:tc>
        <w:tc>
          <w:tcPr>
            <w:tcW w:w="137"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56.1</w:t>
            </w:r>
          </w:p>
        </w:tc>
        <w:tc>
          <w:tcPr>
            <w:tcW w:w="138"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55.9</w:t>
            </w:r>
          </w:p>
        </w:tc>
        <w:tc>
          <w:tcPr>
            <w:tcW w:w="138"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55.2</w:t>
            </w:r>
          </w:p>
        </w:tc>
        <w:tc>
          <w:tcPr>
            <w:tcW w:w="138"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55.0</w:t>
            </w:r>
          </w:p>
        </w:tc>
        <w:tc>
          <w:tcPr>
            <w:tcW w:w="138"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55.0</w:t>
            </w:r>
          </w:p>
        </w:tc>
        <w:tc>
          <w:tcPr>
            <w:tcW w:w="138"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54.4</w:t>
            </w:r>
          </w:p>
        </w:tc>
        <w:tc>
          <w:tcPr>
            <w:tcW w:w="138"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55.0</w:t>
            </w:r>
          </w:p>
        </w:tc>
        <w:tc>
          <w:tcPr>
            <w:tcW w:w="138"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55.1</w:t>
            </w:r>
          </w:p>
        </w:tc>
        <w:tc>
          <w:tcPr>
            <w:tcW w:w="138"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54.5</w:t>
            </w:r>
          </w:p>
        </w:tc>
        <w:tc>
          <w:tcPr>
            <w:tcW w:w="138"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54.8</w:t>
            </w:r>
          </w:p>
        </w:tc>
        <w:tc>
          <w:tcPr>
            <w:tcW w:w="138"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54.0</w:t>
            </w:r>
          </w:p>
        </w:tc>
        <w:tc>
          <w:tcPr>
            <w:tcW w:w="138"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53.2</w:t>
            </w:r>
          </w:p>
        </w:tc>
        <w:tc>
          <w:tcPr>
            <w:tcW w:w="138"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52.3</w:t>
            </w:r>
          </w:p>
        </w:tc>
        <w:tc>
          <w:tcPr>
            <w:tcW w:w="138"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52.0</w:t>
            </w:r>
          </w:p>
        </w:tc>
        <w:tc>
          <w:tcPr>
            <w:tcW w:w="139"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51.8</w:t>
            </w:r>
          </w:p>
        </w:tc>
        <w:tc>
          <w:tcPr>
            <w:tcW w:w="139"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51.6</w:t>
            </w:r>
          </w:p>
        </w:tc>
        <w:tc>
          <w:tcPr>
            <w:tcW w:w="139"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51.3</w:t>
            </w:r>
          </w:p>
        </w:tc>
        <w:tc>
          <w:tcPr>
            <w:tcW w:w="139"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51.1</w:t>
            </w:r>
          </w:p>
        </w:tc>
        <w:tc>
          <w:tcPr>
            <w:tcW w:w="139"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50.8</w:t>
            </w:r>
          </w:p>
        </w:tc>
        <w:tc>
          <w:tcPr>
            <w:tcW w:w="139"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50.6</w:t>
            </w:r>
          </w:p>
        </w:tc>
        <w:tc>
          <w:tcPr>
            <w:tcW w:w="135"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50.3</w:t>
            </w:r>
          </w:p>
        </w:tc>
      </w:tr>
      <w:tr w:rsidR="008A28A7" w:rsidRPr="008A28A7" w:rsidTr="008A28A7">
        <w:trPr>
          <w:cantSplit/>
        </w:trPr>
        <w:tc>
          <w:tcPr>
            <w:cnfStyle w:val="001000000000" w:firstRow="0" w:lastRow="0" w:firstColumn="1" w:lastColumn="0" w:oddVBand="0" w:evenVBand="0" w:oddHBand="0" w:evenHBand="0" w:firstRowFirstColumn="0" w:firstRowLastColumn="0" w:lastRowFirstColumn="0" w:lastRowLastColumn="0"/>
            <w:tcW w:w="450" w:type="pct"/>
            <w:vAlign w:val="bottom"/>
          </w:tcPr>
          <w:p w:rsidR="00B84698" w:rsidRPr="008A28A7" w:rsidRDefault="00B84698" w:rsidP="007E6C9A">
            <w:pPr>
              <w:spacing w:before="0" w:after="0" w:line="240" w:lineRule="auto"/>
              <w:ind w:left="0" w:right="57"/>
              <w:rPr>
                <w:rFonts w:ascii="Calibri" w:hAnsi="Calibri"/>
                <w:color w:val="FFFFFF" w:themeColor="background1"/>
                <w:sz w:val="10"/>
                <w:szCs w:val="10"/>
              </w:rPr>
            </w:pPr>
            <w:r w:rsidRPr="008A28A7">
              <w:rPr>
                <w:rFonts w:ascii="Calibri" w:hAnsi="Calibri"/>
                <w:color w:val="FFFFFF" w:themeColor="background1"/>
                <w:sz w:val="10"/>
                <w:szCs w:val="10"/>
              </w:rPr>
              <w:t>Number o</w:t>
            </w:r>
            <w:r w:rsidR="007E6C9A" w:rsidRPr="008A28A7">
              <w:rPr>
                <w:rFonts w:ascii="Calibri" w:hAnsi="Calibri"/>
                <w:color w:val="FFFFFF" w:themeColor="background1"/>
                <w:sz w:val="10"/>
                <w:szCs w:val="10"/>
              </w:rPr>
              <w:t>f services per person</w:t>
            </w:r>
          </w:p>
        </w:tc>
        <w:tc>
          <w:tcPr>
            <w:tcW w:w="137"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10.2</w:t>
            </w:r>
          </w:p>
        </w:tc>
        <w:tc>
          <w:tcPr>
            <w:tcW w:w="137"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10.5</w:t>
            </w:r>
          </w:p>
        </w:tc>
        <w:tc>
          <w:tcPr>
            <w:tcW w:w="137"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10.8</w:t>
            </w:r>
          </w:p>
        </w:tc>
        <w:tc>
          <w:tcPr>
            <w:tcW w:w="137"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10.8</w:t>
            </w:r>
          </w:p>
        </w:tc>
        <w:tc>
          <w:tcPr>
            <w:tcW w:w="137"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10.9</w:t>
            </w:r>
          </w:p>
        </w:tc>
        <w:tc>
          <w:tcPr>
            <w:tcW w:w="137"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11.0</w:t>
            </w:r>
          </w:p>
        </w:tc>
        <w:tc>
          <w:tcPr>
            <w:tcW w:w="137"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11.1</w:t>
            </w:r>
          </w:p>
        </w:tc>
        <w:tc>
          <w:tcPr>
            <w:tcW w:w="137"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11.2</w:t>
            </w:r>
          </w:p>
        </w:tc>
        <w:tc>
          <w:tcPr>
            <w:tcW w:w="137"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11.4</w:t>
            </w:r>
          </w:p>
        </w:tc>
        <w:tc>
          <w:tcPr>
            <w:tcW w:w="137"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11.3</w:t>
            </w:r>
          </w:p>
        </w:tc>
        <w:tc>
          <w:tcPr>
            <w:tcW w:w="137"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11.4</w:t>
            </w:r>
          </w:p>
        </w:tc>
        <w:tc>
          <w:tcPr>
            <w:tcW w:w="137"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11.8</w:t>
            </w:r>
          </w:p>
        </w:tc>
        <w:tc>
          <w:tcPr>
            <w:tcW w:w="137"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12.2</w:t>
            </w:r>
          </w:p>
        </w:tc>
        <w:tc>
          <w:tcPr>
            <w:tcW w:w="138"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12.5</w:t>
            </w:r>
          </w:p>
        </w:tc>
        <w:tc>
          <w:tcPr>
            <w:tcW w:w="138"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13.2</w:t>
            </w:r>
          </w:p>
        </w:tc>
        <w:tc>
          <w:tcPr>
            <w:tcW w:w="138"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13.6</w:t>
            </w:r>
          </w:p>
        </w:tc>
        <w:tc>
          <w:tcPr>
            <w:tcW w:w="138"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13.9</w:t>
            </w:r>
          </w:p>
        </w:tc>
        <w:tc>
          <w:tcPr>
            <w:tcW w:w="138"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14.1</w:t>
            </w:r>
          </w:p>
        </w:tc>
        <w:tc>
          <w:tcPr>
            <w:tcW w:w="138"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14.4</w:t>
            </w:r>
          </w:p>
        </w:tc>
        <w:tc>
          <w:tcPr>
            <w:tcW w:w="138"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14.8</w:t>
            </w:r>
          </w:p>
        </w:tc>
        <w:tc>
          <w:tcPr>
            <w:tcW w:w="138"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15.3</w:t>
            </w:r>
          </w:p>
        </w:tc>
        <w:tc>
          <w:tcPr>
            <w:tcW w:w="138"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15.5</w:t>
            </w:r>
          </w:p>
        </w:tc>
        <w:tc>
          <w:tcPr>
            <w:tcW w:w="138"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15.9</w:t>
            </w:r>
          </w:p>
        </w:tc>
        <w:tc>
          <w:tcPr>
            <w:tcW w:w="138"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16.3</w:t>
            </w:r>
          </w:p>
        </w:tc>
        <w:tc>
          <w:tcPr>
            <w:tcW w:w="138"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16.6</w:t>
            </w:r>
          </w:p>
        </w:tc>
        <w:tc>
          <w:tcPr>
            <w:tcW w:w="138"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17.0</w:t>
            </w:r>
          </w:p>
        </w:tc>
        <w:tc>
          <w:tcPr>
            <w:tcW w:w="137"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17.3</w:t>
            </w:r>
          </w:p>
        </w:tc>
        <w:tc>
          <w:tcPr>
            <w:tcW w:w="139"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17.7</w:t>
            </w:r>
          </w:p>
        </w:tc>
        <w:tc>
          <w:tcPr>
            <w:tcW w:w="139"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18.1</w:t>
            </w:r>
          </w:p>
        </w:tc>
        <w:tc>
          <w:tcPr>
            <w:tcW w:w="139"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18.5</w:t>
            </w:r>
          </w:p>
        </w:tc>
        <w:tc>
          <w:tcPr>
            <w:tcW w:w="139"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18.9</w:t>
            </w:r>
          </w:p>
        </w:tc>
        <w:tc>
          <w:tcPr>
            <w:tcW w:w="139"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19.3</w:t>
            </w:r>
          </w:p>
        </w:tc>
        <w:tc>
          <w:tcPr>
            <w:tcW w:w="137" w:type="pct"/>
          </w:tcPr>
          <w:p w:rsidR="00B84698" w:rsidRPr="008A28A7" w:rsidRDefault="00B84698" w:rsidP="00B8469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8A28A7">
              <w:rPr>
                <w:rFonts w:ascii="Calibri" w:hAnsi="Calibri"/>
                <w:color w:val="FFFFFF" w:themeColor="background1"/>
                <w:sz w:val="10"/>
                <w:szCs w:val="10"/>
              </w:rPr>
              <w:t>19.7</w:t>
            </w:r>
          </w:p>
        </w:tc>
      </w:tr>
    </w:tbl>
    <w:p w:rsidR="00AD6247" w:rsidRPr="00227D7D" w:rsidRDefault="00AD6247" w:rsidP="00B84698">
      <w:pPr>
        <w:pStyle w:val="Source"/>
        <w:spacing w:before="2760"/>
      </w:pPr>
      <w:r w:rsidRPr="00227D7D">
        <w:t xml:space="preserve">Source: PBO analysis of </w:t>
      </w:r>
      <w:r>
        <w:t>MBS</w:t>
      </w:r>
      <w:r w:rsidRPr="00227D7D">
        <w:t xml:space="preserve"> data from the Department of Human Services</w:t>
      </w:r>
      <w:r>
        <w:t>, ABS and Treasury</w:t>
      </w:r>
      <w:r w:rsidRPr="00227D7D">
        <w:t>.</w:t>
      </w:r>
    </w:p>
    <w:p w:rsidR="0010525D" w:rsidRPr="0069789D" w:rsidRDefault="00DD6AE0" w:rsidP="00417931">
      <w:pPr>
        <w:pStyle w:val="BodyText"/>
      </w:pPr>
      <w:r w:rsidRPr="0069789D">
        <w:t>From 2014</w:t>
      </w:r>
      <w:r w:rsidR="00887307">
        <w:t>–</w:t>
      </w:r>
      <w:r w:rsidRPr="0069789D">
        <w:t>15, t</w:t>
      </w:r>
      <w:r w:rsidR="00A70534" w:rsidRPr="0069789D">
        <w:t>he number of s</w:t>
      </w:r>
      <w:r w:rsidR="00AD6247" w:rsidRPr="0069789D">
        <w:t xml:space="preserve">ervices </w:t>
      </w:r>
      <w:r w:rsidR="00C244CA">
        <w:t>per person</w:t>
      </w:r>
      <w:r w:rsidR="00AD6247" w:rsidRPr="0069789D">
        <w:t xml:space="preserve"> </w:t>
      </w:r>
      <w:r w:rsidR="00F550E3" w:rsidRPr="0069789D">
        <w:t xml:space="preserve">is </w:t>
      </w:r>
      <w:r w:rsidR="00AD6247" w:rsidRPr="0069789D">
        <w:t xml:space="preserve">projected to increase by 2.2 per cent annually based on the number of services accessed within each category (see </w:t>
      </w:r>
      <w:r w:rsidR="009F768D">
        <w:t>Chapter</w:t>
      </w:r>
      <w:r w:rsidR="0010525D" w:rsidRPr="0069789D">
        <w:t xml:space="preserve"> 3 for</w:t>
      </w:r>
      <w:r w:rsidR="00AD6247" w:rsidRPr="0069789D">
        <w:t xml:space="preserve"> detailed analysis).  </w:t>
      </w:r>
      <w:r w:rsidR="0010525D" w:rsidRPr="0069789D">
        <w:t>T</w:t>
      </w:r>
      <w:r w:rsidR="001360ED" w:rsidRPr="0069789D">
        <w:t>his</w:t>
      </w:r>
      <w:r w:rsidR="0010525D" w:rsidRPr="0069789D">
        <w:t xml:space="preserve"> re</w:t>
      </w:r>
      <w:r w:rsidR="0089021A" w:rsidRPr="0069789D">
        <w:t xml:space="preserve">presents </w:t>
      </w:r>
      <w:r w:rsidR="0010525D" w:rsidRPr="0069789D">
        <w:t>a</w:t>
      </w:r>
      <w:r w:rsidR="0089021A" w:rsidRPr="0069789D">
        <w:t xml:space="preserve"> slowing from the past decade</w:t>
      </w:r>
      <w:r w:rsidR="0010525D" w:rsidRPr="0069789D">
        <w:t xml:space="preserve"> </w:t>
      </w:r>
      <w:r w:rsidR="0089021A" w:rsidRPr="0069789D">
        <w:t xml:space="preserve">growth of 2.8 per cent annually.  </w:t>
      </w:r>
      <w:r w:rsidR="00C35A2A" w:rsidRPr="0069789D">
        <w:t xml:space="preserve">Just over half of the increase in services accessed </w:t>
      </w:r>
      <w:r w:rsidR="00C244CA">
        <w:t>per person</w:t>
      </w:r>
      <w:r w:rsidR="00C35A2A" w:rsidRPr="0069789D">
        <w:t xml:space="preserve"> is projected to come from pathology and diagnostic services</w:t>
      </w:r>
      <w:r w:rsidR="00A70534" w:rsidRPr="0069789D">
        <w:t>.</w:t>
      </w:r>
    </w:p>
    <w:p w:rsidR="00BA5A32" w:rsidRDefault="00151DF3" w:rsidP="00417931">
      <w:pPr>
        <w:pStyle w:val="BodyText"/>
      </w:pPr>
      <w:r w:rsidRPr="00E55F44">
        <w:lastRenderedPageBreak/>
        <w:t xml:space="preserve">Growth in the number of services per person is partially offset by the decline in the average benefit paid per service.  </w:t>
      </w:r>
      <w:r w:rsidR="00F54832" w:rsidRPr="00E55F44">
        <w:t xml:space="preserve">Following real growth of 0.7 per cent annually over the past decade, </w:t>
      </w:r>
      <w:r w:rsidR="00F54832" w:rsidRPr="00E55F44">
        <w:rPr>
          <w:rFonts w:ascii="Calibri" w:eastAsia="Calibri" w:hAnsi="Calibri"/>
        </w:rPr>
        <w:t>the benefit paid for each MBS service is projected to decline in real terms by 0.8 per cent annually over the next decade</w:t>
      </w:r>
      <w:r w:rsidRPr="00E55F44">
        <w:t>, largely due to a slowing in the</w:t>
      </w:r>
      <w:r w:rsidR="002C0594" w:rsidRPr="00E55F44">
        <w:t xml:space="preserve"> growth in the</w:t>
      </w:r>
      <w:r w:rsidRPr="00E55F44">
        <w:t xml:space="preserve"> bene</w:t>
      </w:r>
      <w:r w:rsidR="001313AD" w:rsidRPr="00E55F44">
        <w:t>fit paid for each GP service.  Strong g</w:t>
      </w:r>
      <w:r w:rsidRPr="00E55F44">
        <w:t>rowth in the benefit paid for each service over the past decade re</w:t>
      </w:r>
      <w:r w:rsidR="001313AD" w:rsidRPr="00E55F44">
        <w:t xml:space="preserve">sulted from </w:t>
      </w:r>
      <w:r w:rsidRPr="00E55F44">
        <w:t>the one</w:t>
      </w:r>
      <w:r w:rsidRPr="00E55F44">
        <w:noBreakHyphen/>
        <w:t>off impact of the increase in the GP rebate from 85 to 100 per cent in 2004</w:t>
      </w:r>
      <w:r w:rsidR="001313AD" w:rsidRPr="00E55F44">
        <w:noBreakHyphen/>
      </w:r>
      <w:r w:rsidRPr="00E55F44">
        <w:t>05.  The projected slower growth reflects the combination of the flat growth in the benefit paid since the one-off increase in the GP rebate and government decisions to pause the indexation of benefits more broadly until 2017–18</w:t>
      </w:r>
      <w:r w:rsidR="002C0594" w:rsidRPr="00E55F44">
        <w:t xml:space="preserve"> (see Chapter 3 for further details)</w:t>
      </w:r>
      <w:r w:rsidRPr="00E55F44">
        <w:t>.</w:t>
      </w:r>
    </w:p>
    <w:p w:rsidR="00CA3F22" w:rsidRPr="0033729B" w:rsidRDefault="000E2D07" w:rsidP="00BA5A32">
      <w:pPr>
        <w:pStyle w:val="Heading3"/>
      </w:pPr>
      <w:bookmarkStart w:id="65" w:name="_Toc436050783"/>
      <w:r>
        <w:t>The impact of a</w:t>
      </w:r>
      <w:r w:rsidR="004E402F">
        <w:t>geing on projected growth in Medicare Benefits Schedule</w:t>
      </w:r>
      <w:r>
        <w:t xml:space="preserve"> spending</w:t>
      </w:r>
      <w:bookmarkEnd w:id="65"/>
    </w:p>
    <w:p w:rsidR="00330815" w:rsidRDefault="00330815" w:rsidP="005116E5">
      <w:pPr>
        <w:pStyle w:val="BodyText"/>
      </w:pPr>
      <w:r>
        <w:t>The growth in MBS spending is driven by demographic and non-demographic factors.  Demographic factors such as population growth and the ageing of the population (the increase in the proportion of the population in older age groups) have partly driven the growth in spending.</w:t>
      </w:r>
      <w:r w:rsidR="00072E16">
        <w:t xml:space="preserve"> </w:t>
      </w:r>
      <w:r>
        <w:t xml:space="preserve"> Howe</w:t>
      </w:r>
      <w:r w:rsidR="00A46235">
        <w:t>ver, as discussed in the 2015</w:t>
      </w:r>
      <w:r>
        <w:t xml:space="preserve"> Intergenerational Report, the key drivers of health spending are non-demographic factors such as rising income, wage costs in the health sector, changes in disease r</w:t>
      </w:r>
      <w:r w:rsidR="00072E16">
        <w:t>ates, and techn</w:t>
      </w:r>
      <w:r w:rsidR="00A46235">
        <w:t>ological change, which impact on</w:t>
      </w:r>
      <w:r w:rsidR="00072E16">
        <w:t xml:space="preserve"> the number of MBS services patients use and the benefits paid by the government for these services</w:t>
      </w:r>
      <w:r w:rsidR="00887307">
        <w:t>.</w:t>
      </w:r>
      <w:r w:rsidR="004E402F" w:rsidRPr="00701D20">
        <w:rPr>
          <w:rStyle w:val="FootnoteReference"/>
        </w:rPr>
        <w:footnoteReference w:id="18"/>
      </w:r>
    </w:p>
    <w:p w:rsidR="00072E16" w:rsidRPr="00072E16" w:rsidRDefault="00A46235" w:rsidP="005116E5">
      <w:pPr>
        <w:pStyle w:val="BodyText"/>
      </w:pPr>
      <w:r>
        <w:t xml:space="preserve">The ageing of the </w:t>
      </w:r>
      <w:r w:rsidR="00072E16" w:rsidRPr="00072E16">
        <w:t xml:space="preserve">population is </w:t>
      </w:r>
      <w:r>
        <w:t xml:space="preserve">illustrated by the increase in the proportion of the older age cohorts within the population.  In particular, this is </w:t>
      </w:r>
      <w:r w:rsidR="00072E16" w:rsidRPr="00072E16">
        <w:t>highlighted by the change in the proportion of the population aged 75 and over, which is projected to increase from 4.7 to 8.3</w:t>
      </w:r>
      <w:r w:rsidR="00193420">
        <w:t> </w:t>
      </w:r>
      <w:r w:rsidR="00072E16" w:rsidRPr="00072E16">
        <w:t>per</w:t>
      </w:r>
      <w:r w:rsidR="00887307">
        <w:t xml:space="preserve"> cent over the period from 1993–</w:t>
      </w:r>
      <w:r w:rsidR="00072E16" w:rsidRPr="00072E16">
        <w:t>94 to 2025</w:t>
      </w:r>
      <w:r w:rsidR="00887307">
        <w:t>–</w:t>
      </w:r>
      <w:r w:rsidR="00072E16" w:rsidRPr="00072E16">
        <w:t>26 (</w:t>
      </w:r>
      <w:r w:rsidR="00887307">
        <w:fldChar w:fldCharType="begin"/>
      </w:r>
      <w:r w:rsidR="00887307">
        <w:instrText xml:space="preserve"> REF _Ref436043744 \h </w:instrText>
      </w:r>
      <w:r w:rsidR="00887307">
        <w:fldChar w:fldCharType="separate"/>
      </w:r>
      <w:r w:rsidR="00235C48" w:rsidRPr="00887307">
        <w:t xml:space="preserve">Figure </w:t>
      </w:r>
      <w:r w:rsidR="00235C48">
        <w:rPr>
          <w:noProof/>
        </w:rPr>
        <w:t>2</w:t>
      </w:r>
      <w:r w:rsidR="00235C48" w:rsidRPr="00887307">
        <w:t>–</w:t>
      </w:r>
      <w:r w:rsidR="00235C48">
        <w:rPr>
          <w:noProof/>
        </w:rPr>
        <w:t>5</w:t>
      </w:r>
      <w:r w:rsidR="00887307">
        <w:fldChar w:fldCharType="end"/>
      </w:r>
      <w:r w:rsidR="00072E16" w:rsidRPr="00072E16">
        <w:t>).</w:t>
      </w:r>
    </w:p>
    <w:p w:rsidR="00887307" w:rsidRPr="00887307" w:rsidRDefault="00576D09" w:rsidP="00887307">
      <w:pPr>
        <w:pStyle w:val="Caption"/>
      </w:pPr>
      <w:bookmarkStart w:id="66" w:name="_Ref436043744"/>
      <w:bookmarkStart w:id="67" w:name="_Toc436050998"/>
      <w:bookmarkStart w:id="68" w:name="_Toc436205220"/>
      <w:r>
        <w:rPr>
          <w:noProof/>
          <w:lang w:eastAsia="en-AU"/>
        </w:rPr>
        <w:drawing>
          <wp:anchor distT="0" distB="0" distL="114300" distR="114300" simplePos="0" relativeHeight="251681792" behindDoc="0" locked="0" layoutInCell="1" allowOverlap="1" wp14:anchorId="448C4867" wp14:editId="54C26DA9">
            <wp:simplePos x="0" y="0"/>
            <wp:positionH relativeFrom="column">
              <wp:posOffset>-34290</wp:posOffset>
            </wp:positionH>
            <wp:positionV relativeFrom="paragraph">
              <wp:posOffset>350654</wp:posOffset>
            </wp:positionV>
            <wp:extent cx="5231130" cy="2273935"/>
            <wp:effectExtent l="0" t="0" r="762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231130" cy="2273935"/>
                    </a:xfrm>
                    <a:prstGeom prst="rect">
                      <a:avLst/>
                    </a:prstGeom>
                    <a:noFill/>
                  </pic:spPr>
                </pic:pic>
              </a:graphicData>
            </a:graphic>
            <wp14:sizeRelH relativeFrom="page">
              <wp14:pctWidth>0</wp14:pctWidth>
            </wp14:sizeRelH>
            <wp14:sizeRelV relativeFrom="page">
              <wp14:pctHeight>0</wp14:pctHeight>
            </wp14:sizeRelV>
          </wp:anchor>
        </w:drawing>
      </w:r>
      <w:r w:rsidR="00887307" w:rsidRPr="00887307">
        <w:t xml:space="preserve">Figure </w:t>
      </w:r>
      <w:fldSimple w:instr=" STYLEREF 1 \s ">
        <w:r w:rsidR="00235C48">
          <w:rPr>
            <w:noProof/>
          </w:rPr>
          <w:t>2</w:t>
        </w:r>
      </w:fldSimple>
      <w:r w:rsidR="00887307" w:rsidRPr="00887307">
        <w:t>–</w:t>
      </w:r>
      <w:fldSimple w:instr=" SEQ Figure \* ARABIC \s 1 ">
        <w:r w:rsidR="00235C48">
          <w:rPr>
            <w:noProof/>
          </w:rPr>
          <w:t>5</w:t>
        </w:r>
      </w:fldSimple>
      <w:bookmarkEnd w:id="66"/>
      <w:r w:rsidR="00887307" w:rsidRPr="00887307">
        <w:t>: Proportion of the Australian population by age group</w:t>
      </w:r>
      <w:bookmarkEnd w:id="67"/>
      <w:bookmarkEnd w:id="68"/>
    </w:p>
    <w:tbl>
      <w:tblPr>
        <w:tblStyle w:val="TableGrid"/>
        <w:tblW w:w="1417" w:type="pct"/>
        <w:tblLook w:val="0680" w:firstRow="0" w:lastRow="0" w:firstColumn="1" w:lastColumn="0" w:noHBand="1" w:noVBand="1"/>
      </w:tblPr>
      <w:tblGrid>
        <w:gridCol w:w="588"/>
        <w:gridCol w:w="442"/>
        <w:gridCol w:w="442"/>
        <w:gridCol w:w="442"/>
        <w:gridCol w:w="442"/>
      </w:tblGrid>
      <w:tr w:rsidR="000D5707" w:rsidRPr="000D5707" w:rsidTr="000D5707">
        <w:trPr>
          <w:cantSplit/>
        </w:trPr>
        <w:tc>
          <w:tcPr>
            <w:cnfStyle w:val="001000000000" w:firstRow="0" w:lastRow="0" w:firstColumn="1" w:lastColumn="0" w:oddVBand="0" w:evenVBand="0" w:oddHBand="0" w:evenHBand="0" w:firstRowFirstColumn="0" w:firstRowLastColumn="0" w:lastRowFirstColumn="0" w:lastRowLastColumn="0"/>
            <w:tcW w:w="1248" w:type="pct"/>
            <w:vAlign w:val="bottom"/>
          </w:tcPr>
          <w:p w:rsidR="00875428" w:rsidRPr="000D5707" w:rsidRDefault="00875428" w:rsidP="00875428">
            <w:pPr>
              <w:spacing w:before="0" w:after="0" w:line="240" w:lineRule="auto"/>
              <w:ind w:left="0" w:right="57"/>
              <w:rPr>
                <w:rFonts w:ascii="Calibri" w:hAnsi="Calibri"/>
                <w:b/>
                <w:bCs/>
                <w:color w:val="FFFFFF" w:themeColor="background1"/>
                <w:sz w:val="10"/>
                <w:szCs w:val="10"/>
              </w:rPr>
            </w:pPr>
            <w:r w:rsidRPr="000D5707">
              <w:rPr>
                <w:rFonts w:ascii="Calibri" w:hAnsi="Calibri"/>
                <w:b/>
                <w:bCs/>
                <w:color w:val="FFFFFF" w:themeColor="background1"/>
                <w:sz w:val="10"/>
                <w:szCs w:val="10"/>
              </w:rPr>
              <w:t>Age group</w:t>
            </w:r>
          </w:p>
        </w:tc>
        <w:tc>
          <w:tcPr>
            <w:tcW w:w="938" w:type="pct"/>
            <w:vAlign w:val="bottom"/>
          </w:tcPr>
          <w:p w:rsidR="00875428" w:rsidRPr="000D5707" w:rsidRDefault="00875428" w:rsidP="0087542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0D5707">
              <w:rPr>
                <w:rFonts w:ascii="Calibri" w:hAnsi="Calibri"/>
                <w:b/>
                <w:bCs/>
                <w:color w:val="FFFFFF" w:themeColor="background1"/>
                <w:sz w:val="10"/>
                <w:szCs w:val="10"/>
              </w:rPr>
              <w:t>1993-94</w:t>
            </w:r>
          </w:p>
        </w:tc>
        <w:tc>
          <w:tcPr>
            <w:tcW w:w="938" w:type="pct"/>
            <w:vAlign w:val="bottom"/>
          </w:tcPr>
          <w:p w:rsidR="00875428" w:rsidRPr="000D5707" w:rsidRDefault="00875428" w:rsidP="0087542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0D5707">
              <w:rPr>
                <w:rFonts w:ascii="Calibri" w:hAnsi="Calibri"/>
                <w:b/>
                <w:bCs/>
                <w:color w:val="FFFFFF" w:themeColor="background1"/>
                <w:sz w:val="10"/>
                <w:szCs w:val="10"/>
              </w:rPr>
              <w:t>2003-04</w:t>
            </w:r>
          </w:p>
        </w:tc>
        <w:tc>
          <w:tcPr>
            <w:tcW w:w="938" w:type="pct"/>
            <w:vAlign w:val="bottom"/>
          </w:tcPr>
          <w:p w:rsidR="00875428" w:rsidRPr="000D5707" w:rsidRDefault="00875428" w:rsidP="0087542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0D5707">
              <w:rPr>
                <w:rFonts w:ascii="Calibri" w:hAnsi="Calibri"/>
                <w:b/>
                <w:bCs/>
                <w:color w:val="FFFFFF" w:themeColor="background1"/>
                <w:sz w:val="10"/>
                <w:szCs w:val="10"/>
              </w:rPr>
              <w:t>2014-15</w:t>
            </w:r>
          </w:p>
        </w:tc>
        <w:tc>
          <w:tcPr>
            <w:tcW w:w="938" w:type="pct"/>
            <w:vAlign w:val="bottom"/>
          </w:tcPr>
          <w:p w:rsidR="00875428" w:rsidRPr="000D5707" w:rsidRDefault="00875428" w:rsidP="0087542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0D5707">
              <w:rPr>
                <w:rFonts w:ascii="Calibri" w:hAnsi="Calibri"/>
                <w:b/>
                <w:bCs/>
                <w:color w:val="FFFFFF" w:themeColor="background1"/>
                <w:sz w:val="10"/>
                <w:szCs w:val="10"/>
              </w:rPr>
              <w:t>2025-26</w:t>
            </w:r>
          </w:p>
        </w:tc>
      </w:tr>
      <w:tr w:rsidR="000D5707" w:rsidRPr="000D5707" w:rsidTr="000D5707">
        <w:trPr>
          <w:cantSplit/>
        </w:trPr>
        <w:tc>
          <w:tcPr>
            <w:cnfStyle w:val="001000000000" w:firstRow="0" w:lastRow="0" w:firstColumn="1" w:lastColumn="0" w:oddVBand="0" w:evenVBand="0" w:oddHBand="0" w:evenHBand="0" w:firstRowFirstColumn="0" w:firstRowLastColumn="0" w:lastRowFirstColumn="0" w:lastRowLastColumn="0"/>
            <w:tcW w:w="1248" w:type="pct"/>
          </w:tcPr>
          <w:p w:rsidR="00875428" w:rsidRPr="000D5707" w:rsidRDefault="00875428" w:rsidP="00875428">
            <w:pPr>
              <w:pStyle w:val="TableText"/>
              <w:spacing w:before="0" w:after="0" w:line="240" w:lineRule="auto"/>
              <w:ind w:left="0" w:right="57"/>
              <w:rPr>
                <w:noProof/>
                <w:color w:val="FFFFFF" w:themeColor="background1"/>
                <w:sz w:val="10"/>
                <w:szCs w:val="10"/>
              </w:rPr>
            </w:pPr>
          </w:p>
        </w:tc>
        <w:tc>
          <w:tcPr>
            <w:tcW w:w="3752" w:type="pct"/>
            <w:gridSpan w:val="4"/>
          </w:tcPr>
          <w:p w:rsidR="00875428" w:rsidRPr="000D5707" w:rsidRDefault="00875428" w:rsidP="00875428">
            <w:pPr>
              <w:pStyle w:val="TableTextCentred"/>
              <w:spacing w:before="0" w:after="0" w:line="240" w:lineRule="auto"/>
              <w:ind w:left="0" w:right="57"/>
              <w:cnfStyle w:val="000000000000" w:firstRow="0" w:lastRow="0" w:firstColumn="0" w:lastColumn="0" w:oddVBand="0" w:evenVBand="0" w:oddHBand="0" w:evenHBand="0" w:firstRowFirstColumn="0" w:firstRowLastColumn="0" w:lastRowFirstColumn="0" w:lastRowLastColumn="0"/>
              <w:rPr>
                <w:noProof/>
                <w:color w:val="FFFFFF" w:themeColor="background1"/>
                <w:sz w:val="10"/>
                <w:szCs w:val="10"/>
              </w:rPr>
            </w:pPr>
            <w:r w:rsidRPr="000D5707">
              <w:rPr>
                <w:noProof/>
                <w:color w:val="FFFFFF" w:themeColor="background1"/>
                <w:sz w:val="10"/>
                <w:szCs w:val="10"/>
              </w:rPr>
              <w:t>(per cent)</w:t>
            </w:r>
          </w:p>
        </w:tc>
      </w:tr>
      <w:tr w:rsidR="000D5707" w:rsidRPr="000D5707" w:rsidTr="000D5707">
        <w:trPr>
          <w:cantSplit/>
        </w:trPr>
        <w:tc>
          <w:tcPr>
            <w:cnfStyle w:val="001000000000" w:firstRow="0" w:lastRow="0" w:firstColumn="1" w:lastColumn="0" w:oddVBand="0" w:evenVBand="0" w:oddHBand="0" w:evenHBand="0" w:firstRowFirstColumn="0" w:firstRowLastColumn="0" w:lastRowFirstColumn="0" w:lastRowLastColumn="0"/>
            <w:tcW w:w="1248" w:type="pct"/>
            <w:vAlign w:val="bottom"/>
          </w:tcPr>
          <w:p w:rsidR="00875428" w:rsidRPr="000D5707" w:rsidRDefault="00875428" w:rsidP="00875428">
            <w:pPr>
              <w:spacing w:before="0" w:after="0" w:line="240" w:lineRule="auto"/>
              <w:ind w:left="0" w:right="57"/>
              <w:rPr>
                <w:rFonts w:ascii="Calibri" w:hAnsi="Calibri"/>
                <w:color w:val="FFFFFF" w:themeColor="background1"/>
                <w:sz w:val="10"/>
                <w:szCs w:val="10"/>
              </w:rPr>
            </w:pPr>
            <w:r w:rsidRPr="000D5707">
              <w:rPr>
                <w:rFonts w:ascii="Calibri" w:hAnsi="Calibri"/>
                <w:color w:val="FFFFFF" w:themeColor="background1"/>
                <w:sz w:val="10"/>
                <w:szCs w:val="10"/>
              </w:rPr>
              <w:t>0-34</w:t>
            </w:r>
          </w:p>
        </w:tc>
        <w:tc>
          <w:tcPr>
            <w:tcW w:w="938" w:type="pct"/>
            <w:vAlign w:val="bottom"/>
          </w:tcPr>
          <w:p w:rsidR="00875428" w:rsidRPr="000D5707" w:rsidRDefault="00875428" w:rsidP="0087542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0D5707">
              <w:rPr>
                <w:rFonts w:ascii="Calibri" w:hAnsi="Calibri"/>
                <w:color w:val="FFFFFF" w:themeColor="background1"/>
                <w:sz w:val="10"/>
                <w:szCs w:val="10"/>
              </w:rPr>
              <w:t>53</w:t>
            </w:r>
          </w:p>
        </w:tc>
        <w:tc>
          <w:tcPr>
            <w:tcW w:w="938" w:type="pct"/>
            <w:vAlign w:val="bottom"/>
          </w:tcPr>
          <w:p w:rsidR="00875428" w:rsidRPr="000D5707" w:rsidRDefault="00875428" w:rsidP="0087542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0D5707">
              <w:rPr>
                <w:rFonts w:ascii="Calibri" w:hAnsi="Calibri"/>
                <w:color w:val="FFFFFF" w:themeColor="background1"/>
                <w:sz w:val="10"/>
                <w:szCs w:val="10"/>
              </w:rPr>
              <w:t>48</w:t>
            </w:r>
          </w:p>
        </w:tc>
        <w:tc>
          <w:tcPr>
            <w:tcW w:w="938" w:type="pct"/>
            <w:vAlign w:val="bottom"/>
          </w:tcPr>
          <w:p w:rsidR="00875428" w:rsidRPr="000D5707" w:rsidRDefault="00875428" w:rsidP="0087542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0D5707">
              <w:rPr>
                <w:rFonts w:ascii="Calibri" w:hAnsi="Calibri"/>
                <w:color w:val="FFFFFF" w:themeColor="background1"/>
                <w:sz w:val="10"/>
                <w:szCs w:val="10"/>
              </w:rPr>
              <w:t>47</w:t>
            </w:r>
          </w:p>
        </w:tc>
        <w:tc>
          <w:tcPr>
            <w:tcW w:w="938" w:type="pct"/>
            <w:vAlign w:val="bottom"/>
          </w:tcPr>
          <w:p w:rsidR="00875428" w:rsidRPr="000D5707" w:rsidRDefault="00875428" w:rsidP="0087542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0D5707">
              <w:rPr>
                <w:rFonts w:ascii="Calibri" w:hAnsi="Calibri"/>
                <w:color w:val="FFFFFF" w:themeColor="background1"/>
                <w:sz w:val="10"/>
                <w:szCs w:val="10"/>
              </w:rPr>
              <w:t>45</w:t>
            </w:r>
          </w:p>
        </w:tc>
      </w:tr>
      <w:tr w:rsidR="000D5707" w:rsidRPr="000D5707" w:rsidTr="000D5707">
        <w:trPr>
          <w:cantSplit/>
        </w:trPr>
        <w:tc>
          <w:tcPr>
            <w:cnfStyle w:val="001000000000" w:firstRow="0" w:lastRow="0" w:firstColumn="1" w:lastColumn="0" w:oddVBand="0" w:evenVBand="0" w:oddHBand="0" w:evenHBand="0" w:firstRowFirstColumn="0" w:firstRowLastColumn="0" w:lastRowFirstColumn="0" w:lastRowLastColumn="0"/>
            <w:tcW w:w="1248" w:type="pct"/>
            <w:vAlign w:val="bottom"/>
          </w:tcPr>
          <w:p w:rsidR="00875428" w:rsidRPr="000D5707" w:rsidRDefault="00875428" w:rsidP="00875428">
            <w:pPr>
              <w:spacing w:before="0" w:after="0" w:line="240" w:lineRule="auto"/>
              <w:ind w:left="0" w:right="57"/>
              <w:rPr>
                <w:rFonts w:ascii="Calibri" w:hAnsi="Calibri"/>
                <w:color w:val="FFFFFF" w:themeColor="background1"/>
                <w:sz w:val="10"/>
                <w:szCs w:val="10"/>
              </w:rPr>
            </w:pPr>
            <w:r w:rsidRPr="000D5707">
              <w:rPr>
                <w:rFonts w:ascii="Calibri" w:hAnsi="Calibri"/>
                <w:color w:val="FFFFFF" w:themeColor="background1"/>
                <w:sz w:val="10"/>
                <w:szCs w:val="10"/>
              </w:rPr>
              <w:t>35-54</w:t>
            </w:r>
          </w:p>
        </w:tc>
        <w:tc>
          <w:tcPr>
            <w:tcW w:w="938" w:type="pct"/>
            <w:vAlign w:val="bottom"/>
          </w:tcPr>
          <w:p w:rsidR="00875428" w:rsidRPr="000D5707" w:rsidRDefault="00875428" w:rsidP="0087542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0D5707">
              <w:rPr>
                <w:rFonts w:ascii="Calibri" w:hAnsi="Calibri"/>
                <w:color w:val="FFFFFF" w:themeColor="background1"/>
                <w:sz w:val="10"/>
                <w:szCs w:val="10"/>
              </w:rPr>
              <w:t>27</w:t>
            </w:r>
          </w:p>
        </w:tc>
        <w:tc>
          <w:tcPr>
            <w:tcW w:w="938" w:type="pct"/>
            <w:vAlign w:val="bottom"/>
          </w:tcPr>
          <w:p w:rsidR="00875428" w:rsidRPr="000D5707" w:rsidRDefault="00875428" w:rsidP="0087542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0D5707">
              <w:rPr>
                <w:rFonts w:ascii="Calibri" w:hAnsi="Calibri"/>
                <w:color w:val="FFFFFF" w:themeColor="background1"/>
                <w:sz w:val="10"/>
                <w:szCs w:val="10"/>
              </w:rPr>
              <w:t>29</w:t>
            </w:r>
          </w:p>
        </w:tc>
        <w:tc>
          <w:tcPr>
            <w:tcW w:w="938" w:type="pct"/>
            <w:vAlign w:val="bottom"/>
          </w:tcPr>
          <w:p w:rsidR="00875428" w:rsidRPr="000D5707" w:rsidRDefault="00875428" w:rsidP="0087542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0D5707">
              <w:rPr>
                <w:rFonts w:ascii="Calibri" w:hAnsi="Calibri"/>
                <w:color w:val="FFFFFF" w:themeColor="background1"/>
                <w:sz w:val="10"/>
                <w:szCs w:val="10"/>
              </w:rPr>
              <w:t>27</w:t>
            </w:r>
          </w:p>
        </w:tc>
        <w:tc>
          <w:tcPr>
            <w:tcW w:w="938" w:type="pct"/>
            <w:vAlign w:val="bottom"/>
          </w:tcPr>
          <w:p w:rsidR="00875428" w:rsidRPr="000D5707" w:rsidRDefault="00875428" w:rsidP="0087542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0D5707">
              <w:rPr>
                <w:rFonts w:ascii="Calibri" w:hAnsi="Calibri"/>
                <w:color w:val="FFFFFF" w:themeColor="background1"/>
                <w:sz w:val="10"/>
                <w:szCs w:val="10"/>
              </w:rPr>
              <w:t>26</w:t>
            </w:r>
          </w:p>
        </w:tc>
      </w:tr>
      <w:tr w:rsidR="000D5707" w:rsidRPr="000D5707" w:rsidTr="000D5707">
        <w:trPr>
          <w:cantSplit/>
        </w:trPr>
        <w:tc>
          <w:tcPr>
            <w:cnfStyle w:val="001000000000" w:firstRow="0" w:lastRow="0" w:firstColumn="1" w:lastColumn="0" w:oddVBand="0" w:evenVBand="0" w:oddHBand="0" w:evenHBand="0" w:firstRowFirstColumn="0" w:firstRowLastColumn="0" w:lastRowFirstColumn="0" w:lastRowLastColumn="0"/>
            <w:tcW w:w="1248" w:type="pct"/>
            <w:vAlign w:val="bottom"/>
          </w:tcPr>
          <w:p w:rsidR="00875428" w:rsidRPr="000D5707" w:rsidRDefault="00875428" w:rsidP="00875428">
            <w:pPr>
              <w:spacing w:before="0" w:after="0" w:line="240" w:lineRule="auto"/>
              <w:ind w:left="0" w:right="57"/>
              <w:rPr>
                <w:rFonts w:ascii="Calibri" w:hAnsi="Calibri"/>
                <w:color w:val="FFFFFF" w:themeColor="background1"/>
                <w:sz w:val="10"/>
                <w:szCs w:val="10"/>
              </w:rPr>
            </w:pPr>
            <w:r w:rsidRPr="000D5707">
              <w:rPr>
                <w:rFonts w:ascii="Calibri" w:hAnsi="Calibri"/>
                <w:color w:val="FFFFFF" w:themeColor="background1"/>
                <w:sz w:val="10"/>
                <w:szCs w:val="10"/>
              </w:rPr>
              <w:t>55-74</w:t>
            </w:r>
          </w:p>
        </w:tc>
        <w:tc>
          <w:tcPr>
            <w:tcW w:w="938" w:type="pct"/>
            <w:vAlign w:val="bottom"/>
          </w:tcPr>
          <w:p w:rsidR="00875428" w:rsidRPr="000D5707" w:rsidRDefault="00875428" w:rsidP="0087542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0D5707">
              <w:rPr>
                <w:rFonts w:ascii="Calibri" w:hAnsi="Calibri"/>
                <w:color w:val="FFFFFF" w:themeColor="background1"/>
                <w:sz w:val="10"/>
                <w:szCs w:val="10"/>
              </w:rPr>
              <w:t>15</w:t>
            </w:r>
          </w:p>
        </w:tc>
        <w:tc>
          <w:tcPr>
            <w:tcW w:w="938" w:type="pct"/>
            <w:vAlign w:val="bottom"/>
          </w:tcPr>
          <w:p w:rsidR="00875428" w:rsidRPr="000D5707" w:rsidRDefault="00875428" w:rsidP="0087542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0D5707">
              <w:rPr>
                <w:rFonts w:ascii="Calibri" w:hAnsi="Calibri"/>
                <w:color w:val="FFFFFF" w:themeColor="background1"/>
                <w:sz w:val="10"/>
                <w:szCs w:val="10"/>
              </w:rPr>
              <w:t>17</w:t>
            </w:r>
          </w:p>
        </w:tc>
        <w:tc>
          <w:tcPr>
            <w:tcW w:w="938" w:type="pct"/>
            <w:vAlign w:val="bottom"/>
          </w:tcPr>
          <w:p w:rsidR="00875428" w:rsidRPr="000D5707" w:rsidRDefault="00875428" w:rsidP="0087542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0D5707">
              <w:rPr>
                <w:rFonts w:ascii="Calibri" w:hAnsi="Calibri"/>
                <w:color w:val="FFFFFF" w:themeColor="background1"/>
                <w:sz w:val="10"/>
                <w:szCs w:val="10"/>
              </w:rPr>
              <w:t>20</w:t>
            </w:r>
          </w:p>
        </w:tc>
        <w:tc>
          <w:tcPr>
            <w:tcW w:w="938" w:type="pct"/>
            <w:vAlign w:val="bottom"/>
          </w:tcPr>
          <w:p w:rsidR="00875428" w:rsidRPr="000D5707" w:rsidRDefault="00875428" w:rsidP="0087542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0D5707">
              <w:rPr>
                <w:rFonts w:ascii="Calibri" w:hAnsi="Calibri"/>
                <w:color w:val="FFFFFF" w:themeColor="background1"/>
                <w:sz w:val="10"/>
                <w:szCs w:val="10"/>
              </w:rPr>
              <w:t>20</w:t>
            </w:r>
          </w:p>
        </w:tc>
      </w:tr>
      <w:tr w:rsidR="000D5707" w:rsidRPr="000D5707" w:rsidTr="000D5707">
        <w:trPr>
          <w:cantSplit/>
        </w:trPr>
        <w:tc>
          <w:tcPr>
            <w:cnfStyle w:val="001000000000" w:firstRow="0" w:lastRow="0" w:firstColumn="1" w:lastColumn="0" w:oddVBand="0" w:evenVBand="0" w:oddHBand="0" w:evenHBand="0" w:firstRowFirstColumn="0" w:firstRowLastColumn="0" w:lastRowFirstColumn="0" w:lastRowLastColumn="0"/>
            <w:tcW w:w="1248" w:type="pct"/>
            <w:vAlign w:val="bottom"/>
          </w:tcPr>
          <w:p w:rsidR="00875428" w:rsidRPr="000D5707" w:rsidRDefault="00875428" w:rsidP="00875428">
            <w:pPr>
              <w:spacing w:before="0" w:after="0" w:line="240" w:lineRule="auto"/>
              <w:ind w:left="0" w:right="57"/>
              <w:rPr>
                <w:rFonts w:ascii="Calibri" w:hAnsi="Calibri"/>
                <w:color w:val="FFFFFF" w:themeColor="background1"/>
                <w:sz w:val="10"/>
                <w:szCs w:val="10"/>
              </w:rPr>
            </w:pPr>
            <w:r w:rsidRPr="000D5707">
              <w:rPr>
                <w:rFonts w:ascii="Calibri" w:hAnsi="Calibri"/>
                <w:color w:val="FFFFFF" w:themeColor="background1"/>
                <w:sz w:val="10"/>
                <w:szCs w:val="10"/>
              </w:rPr>
              <w:t>75 and over</w:t>
            </w:r>
          </w:p>
        </w:tc>
        <w:tc>
          <w:tcPr>
            <w:tcW w:w="938" w:type="pct"/>
            <w:vAlign w:val="bottom"/>
          </w:tcPr>
          <w:p w:rsidR="00875428" w:rsidRPr="000D5707" w:rsidRDefault="00875428" w:rsidP="0087542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0D5707">
              <w:rPr>
                <w:rFonts w:ascii="Calibri" w:hAnsi="Calibri"/>
                <w:color w:val="FFFFFF" w:themeColor="background1"/>
                <w:sz w:val="10"/>
                <w:szCs w:val="10"/>
              </w:rPr>
              <w:t>5</w:t>
            </w:r>
          </w:p>
        </w:tc>
        <w:tc>
          <w:tcPr>
            <w:tcW w:w="938" w:type="pct"/>
            <w:vAlign w:val="bottom"/>
          </w:tcPr>
          <w:p w:rsidR="00875428" w:rsidRPr="000D5707" w:rsidRDefault="00875428" w:rsidP="0087542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0D5707">
              <w:rPr>
                <w:rFonts w:ascii="Calibri" w:hAnsi="Calibri"/>
                <w:color w:val="FFFFFF" w:themeColor="background1"/>
                <w:sz w:val="10"/>
                <w:szCs w:val="10"/>
              </w:rPr>
              <w:t>6</w:t>
            </w:r>
          </w:p>
        </w:tc>
        <w:tc>
          <w:tcPr>
            <w:tcW w:w="938" w:type="pct"/>
            <w:vAlign w:val="bottom"/>
          </w:tcPr>
          <w:p w:rsidR="00875428" w:rsidRPr="000D5707" w:rsidRDefault="00875428" w:rsidP="0087542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0D5707">
              <w:rPr>
                <w:rFonts w:ascii="Calibri" w:hAnsi="Calibri"/>
                <w:color w:val="FFFFFF" w:themeColor="background1"/>
                <w:sz w:val="10"/>
                <w:szCs w:val="10"/>
              </w:rPr>
              <w:t>6</w:t>
            </w:r>
          </w:p>
        </w:tc>
        <w:tc>
          <w:tcPr>
            <w:tcW w:w="938" w:type="pct"/>
            <w:vAlign w:val="bottom"/>
          </w:tcPr>
          <w:p w:rsidR="00875428" w:rsidRPr="000D5707" w:rsidRDefault="00875428" w:rsidP="0087542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0D5707">
              <w:rPr>
                <w:rFonts w:ascii="Calibri" w:hAnsi="Calibri"/>
                <w:color w:val="FFFFFF" w:themeColor="background1"/>
                <w:sz w:val="10"/>
                <w:szCs w:val="10"/>
              </w:rPr>
              <w:t>8</w:t>
            </w:r>
          </w:p>
        </w:tc>
      </w:tr>
      <w:tr w:rsidR="000D5707" w:rsidRPr="000D5707" w:rsidTr="000D5707">
        <w:trPr>
          <w:cantSplit/>
        </w:trPr>
        <w:tc>
          <w:tcPr>
            <w:cnfStyle w:val="001000000000" w:firstRow="0" w:lastRow="0" w:firstColumn="1" w:lastColumn="0" w:oddVBand="0" w:evenVBand="0" w:oddHBand="0" w:evenHBand="0" w:firstRowFirstColumn="0" w:firstRowLastColumn="0" w:lastRowFirstColumn="0" w:lastRowLastColumn="0"/>
            <w:tcW w:w="1248" w:type="pct"/>
            <w:vAlign w:val="bottom"/>
          </w:tcPr>
          <w:p w:rsidR="00875428" w:rsidRPr="000D5707" w:rsidRDefault="00875428" w:rsidP="00875428">
            <w:pPr>
              <w:spacing w:before="0" w:after="0" w:line="240" w:lineRule="auto"/>
              <w:ind w:left="0" w:right="57"/>
              <w:rPr>
                <w:rFonts w:ascii="Calibri" w:hAnsi="Calibri"/>
                <w:b/>
                <w:bCs/>
                <w:color w:val="FFFFFF" w:themeColor="background1"/>
                <w:sz w:val="10"/>
                <w:szCs w:val="10"/>
              </w:rPr>
            </w:pPr>
            <w:r w:rsidRPr="000D5707">
              <w:rPr>
                <w:rFonts w:ascii="Calibri" w:hAnsi="Calibri"/>
                <w:b/>
                <w:bCs/>
                <w:color w:val="FFFFFF" w:themeColor="background1"/>
                <w:sz w:val="10"/>
                <w:szCs w:val="10"/>
              </w:rPr>
              <w:t>Total</w:t>
            </w:r>
          </w:p>
        </w:tc>
        <w:tc>
          <w:tcPr>
            <w:tcW w:w="938" w:type="pct"/>
            <w:vAlign w:val="bottom"/>
          </w:tcPr>
          <w:p w:rsidR="00875428" w:rsidRPr="000D5707" w:rsidRDefault="00875428" w:rsidP="0087542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0D5707">
              <w:rPr>
                <w:rFonts w:ascii="Calibri" w:hAnsi="Calibri"/>
                <w:b/>
                <w:bCs/>
                <w:color w:val="FFFFFF" w:themeColor="background1"/>
                <w:sz w:val="10"/>
                <w:szCs w:val="10"/>
              </w:rPr>
              <w:t>100</w:t>
            </w:r>
          </w:p>
        </w:tc>
        <w:tc>
          <w:tcPr>
            <w:tcW w:w="938" w:type="pct"/>
            <w:vAlign w:val="bottom"/>
          </w:tcPr>
          <w:p w:rsidR="00875428" w:rsidRPr="000D5707" w:rsidRDefault="00875428" w:rsidP="0087542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0D5707">
              <w:rPr>
                <w:rFonts w:ascii="Calibri" w:hAnsi="Calibri"/>
                <w:b/>
                <w:bCs/>
                <w:color w:val="FFFFFF" w:themeColor="background1"/>
                <w:sz w:val="10"/>
                <w:szCs w:val="10"/>
              </w:rPr>
              <w:t>100</w:t>
            </w:r>
          </w:p>
        </w:tc>
        <w:tc>
          <w:tcPr>
            <w:tcW w:w="938" w:type="pct"/>
            <w:vAlign w:val="bottom"/>
          </w:tcPr>
          <w:p w:rsidR="00875428" w:rsidRPr="000D5707" w:rsidRDefault="00875428" w:rsidP="0087542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0D5707">
              <w:rPr>
                <w:rFonts w:ascii="Calibri" w:hAnsi="Calibri"/>
                <w:b/>
                <w:bCs/>
                <w:color w:val="FFFFFF" w:themeColor="background1"/>
                <w:sz w:val="10"/>
                <w:szCs w:val="10"/>
              </w:rPr>
              <w:t>100</w:t>
            </w:r>
          </w:p>
        </w:tc>
        <w:tc>
          <w:tcPr>
            <w:tcW w:w="938" w:type="pct"/>
            <w:vAlign w:val="bottom"/>
          </w:tcPr>
          <w:p w:rsidR="00875428" w:rsidRPr="000D5707" w:rsidRDefault="00875428" w:rsidP="0087542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0D5707">
              <w:rPr>
                <w:rFonts w:ascii="Calibri" w:hAnsi="Calibri"/>
                <w:b/>
                <w:bCs/>
                <w:color w:val="FFFFFF" w:themeColor="background1"/>
                <w:sz w:val="10"/>
                <w:szCs w:val="10"/>
              </w:rPr>
              <w:t>100</w:t>
            </w:r>
          </w:p>
        </w:tc>
      </w:tr>
    </w:tbl>
    <w:p w:rsidR="00D216AD" w:rsidRDefault="000E2D07" w:rsidP="000E564B">
      <w:pPr>
        <w:pStyle w:val="Source"/>
        <w:spacing w:before="2640"/>
      </w:pPr>
      <w:r w:rsidRPr="00227D7D">
        <w:t xml:space="preserve">Source: PBO analysis of </w:t>
      </w:r>
      <w:r>
        <w:t>MBS</w:t>
      </w:r>
      <w:r w:rsidRPr="00227D7D">
        <w:t xml:space="preserve"> data from the Department of Human Services</w:t>
      </w:r>
      <w:r>
        <w:t>, ABS and Treasury</w:t>
      </w:r>
      <w:r w:rsidRPr="00227D7D">
        <w:t>.</w:t>
      </w:r>
    </w:p>
    <w:p w:rsidR="00232965" w:rsidRDefault="00232965" w:rsidP="00417931">
      <w:pPr>
        <w:pStyle w:val="BodyText"/>
        <w:sectPr w:rsidR="00232965" w:rsidSect="00232965">
          <w:pgSz w:w="11907" w:h="16839" w:code="9"/>
          <w:pgMar w:top="1361" w:right="1797" w:bottom="1474" w:left="1797" w:header="283" w:footer="454" w:gutter="0"/>
          <w:cols w:space="708"/>
          <w:docGrid w:linePitch="360"/>
        </w:sectPr>
      </w:pPr>
    </w:p>
    <w:p w:rsidR="00072E16" w:rsidRPr="006D48A1" w:rsidRDefault="00A46235" w:rsidP="00417931">
      <w:pPr>
        <w:pStyle w:val="BodyText"/>
      </w:pPr>
      <w:r w:rsidRPr="006D48A1">
        <w:lastRenderedPageBreak/>
        <w:t xml:space="preserve">The reason why the ageing of the population leads to growth in MBS spending is because spending on each older person </w:t>
      </w:r>
      <w:r w:rsidR="00934E2F" w:rsidRPr="006D48A1">
        <w:t xml:space="preserve">is </w:t>
      </w:r>
      <w:r w:rsidR="00072E16" w:rsidRPr="006D48A1">
        <w:t xml:space="preserve">significantly greater than </w:t>
      </w:r>
      <w:r w:rsidR="00934E2F" w:rsidRPr="006D48A1">
        <w:t xml:space="preserve">that of </w:t>
      </w:r>
      <w:r w:rsidR="00072E16" w:rsidRPr="006D48A1">
        <w:t xml:space="preserve">the average person.  As shown in </w:t>
      </w:r>
      <w:r w:rsidR="00094D14" w:rsidRPr="006D48A1">
        <w:fldChar w:fldCharType="begin"/>
      </w:r>
      <w:r w:rsidR="00094D14" w:rsidRPr="006D48A1">
        <w:instrText xml:space="preserve"> REF _Ref436043823 \h </w:instrText>
      </w:r>
      <w:r w:rsidR="006D48A1" w:rsidRPr="006D48A1">
        <w:instrText xml:space="preserve"> \* MERGEFORMAT </w:instrText>
      </w:r>
      <w:r w:rsidR="00094D14" w:rsidRPr="006D48A1">
        <w:fldChar w:fldCharType="separate"/>
      </w:r>
      <w:r w:rsidR="00235C48" w:rsidRPr="00094D14">
        <w:t xml:space="preserve">Figure </w:t>
      </w:r>
      <w:r w:rsidR="00235C48">
        <w:t>2</w:t>
      </w:r>
      <w:r w:rsidR="00235C48" w:rsidRPr="00094D14">
        <w:t>–</w:t>
      </w:r>
      <w:r w:rsidR="00235C48">
        <w:t>6</w:t>
      </w:r>
      <w:r w:rsidR="00094D14" w:rsidRPr="006D48A1">
        <w:fldChar w:fldCharType="end"/>
      </w:r>
      <w:r w:rsidR="00072E16" w:rsidRPr="006D48A1">
        <w:t>, MBS spending per person on those aged 75 and over was three times</w:t>
      </w:r>
      <w:r w:rsidR="00072E16" w:rsidRPr="00072E16">
        <w:t xml:space="preserve"> </w:t>
      </w:r>
      <w:r w:rsidR="00072E16" w:rsidRPr="006D48A1">
        <w:t xml:space="preserve">that of </w:t>
      </w:r>
      <w:r w:rsidR="00934E2F" w:rsidRPr="006D48A1">
        <w:t xml:space="preserve">those aged 0 to </w:t>
      </w:r>
      <w:r w:rsidR="00094D14" w:rsidRPr="006D48A1">
        <w:t>34 years in 1993–94.  By 2025–</w:t>
      </w:r>
      <w:r w:rsidR="00072E16" w:rsidRPr="006D48A1">
        <w:t>26, spending per person in real terms for those aged 75 and over is projected to be s</w:t>
      </w:r>
      <w:r w:rsidR="00934E2F" w:rsidRPr="006D48A1">
        <w:t xml:space="preserve">ix times that of persons aged 0 to </w:t>
      </w:r>
      <w:r w:rsidR="00072E16" w:rsidRPr="006D48A1">
        <w:t>34 years.</w:t>
      </w:r>
    </w:p>
    <w:p w:rsidR="00094D14" w:rsidRPr="00094D14" w:rsidRDefault="00294CCD" w:rsidP="00094D14">
      <w:pPr>
        <w:pStyle w:val="Caption"/>
      </w:pPr>
      <w:bookmarkStart w:id="69" w:name="_Ref436043823"/>
      <w:bookmarkStart w:id="70" w:name="_Toc436050999"/>
      <w:bookmarkStart w:id="71" w:name="_Toc436205221"/>
      <w:r>
        <w:rPr>
          <w:noProof/>
          <w:lang w:eastAsia="en-AU"/>
        </w:rPr>
        <w:drawing>
          <wp:anchor distT="0" distB="0" distL="114300" distR="114300" simplePos="0" relativeHeight="251682816" behindDoc="0" locked="0" layoutInCell="1" allowOverlap="1" wp14:anchorId="41F5C8DB" wp14:editId="0D2758F2">
            <wp:simplePos x="0" y="0"/>
            <wp:positionH relativeFrom="column">
              <wp:posOffset>-152400</wp:posOffset>
            </wp:positionH>
            <wp:positionV relativeFrom="paragraph">
              <wp:posOffset>383674</wp:posOffset>
            </wp:positionV>
            <wp:extent cx="5340350" cy="177990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340350" cy="1779905"/>
                    </a:xfrm>
                    <a:prstGeom prst="rect">
                      <a:avLst/>
                    </a:prstGeom>
                    <a:noFill/>
                  </pic:spPr>
                </pic:pic>
              </a:graphicData>
            </a:graphic>
            <wp14:sizeRelH relativeFrom="page">
              <wp14:pctWidth>0</wp14:pctWidth>
            </wp14:sizeRelH>
            <wp14:sizeRelV relativeFrom="page">
              <wp14:pctHeight>0</wp14:pctHeight>
            </wp14:sizeRelV>
          </wp:anchor>
        </w:drawing>
      </w:r>
      <w:r w:rsidR="00094D14" w:rsidRPr="00094D14">
        <w:t xml:space="preserve">Figure </w:t>
      </w:r>
      <w:fldSimple w:instr=" STYLEREF 1 \s ">
        <w:r w:rsidR="00235C48">
          <w:rPr>
            <w:noProof/>
          </w:rPr>
          <w:t>2</w:t>
        </w:r>
      </w:fldSimple>
      <w:r w:rsidR="00094D14" w:rsidRPr="00094D14">
        <w:t>–</w:t>
      </w:r>
      <w:fldSimple w:instr=" SEQ Figure \* ARABIC \s 1 ">
        <w:r w:rsidR="00235C48">
          <w:rPr>
            <w:noProof/>
          </w:rPr>
          <w:t>6</w:t>
        </w:r>
      </w:fldSimple>
      <w:bookmarkEnd w:id="69"/>
      <w:r w:rsidR="00094D14" w:rsidRPr="00094D14">
        <w:t>: Medicare Benefit Schedule spending per person by age group (2014</w:t>
      </w:r>
      <w:r w:rsidR="00094D14">
        <w:t>–</w:t>
      </w:r>
      <w:r w:rsidR="00094D14" w:rsidRPr="00094D14">
        <w:t>15 dollars)</w:t>
      </w:r>
      <w:bookmarkEnd w:id="70"/>
      <w:bookmarkEnd w:id="71"/>
    </w:p>
    <w:tbl>
      <w:tblPr>
        <w:tblStyle w:val="TableGrid"/>
        <w:tblW w:w="1546" w:type="pct"/>
        <w:tblLook w:val="0680" w:firstRow="0" w:lastRow="0" w:firstColumn="1" w:lastColumn="0" w:noHBand="1" w:noVBand="1"/>
      </w:tblPr>
      <w:tblGrid>
        <w:gridCol w:w="693"/>
        <w:gridCol w:w="469"/>
        <w:gridCol w:w="469"/>
        <w:gridCol w:w="469"/>
        <w:gridCol w:w="470"/>
      </w:tblGrid>
      <w:tr w:rsidR="0077649A" w:rsidRPr="00875428" w:rsidTr="006C658C">
        <w:trPr>
          <w:cantSplit/>
        </w:trPr>
        <w:tc>
          <w:tcPr>
            <w:cnfStyle w:val="001000000000" w:firstRow="0" w:lastRow="0" w:firstColumn="1" w:lastColumn="0" w:oddVBand="0" w:evenVBand="0" w:oddHBand="0" w:evenHBand="0" w:firstRowFirstColumn="0" w:firstRowLastColumn="0" w:lastRowFirstColumn="0" w:lastRowLastColumn="0"/>
            <w:tcW w:w="1347" w:type="pct"/>
            <w:vAlign w:val="bottom"/>
          </w:tcPr>
          <w:p w:rsidR="0077649A" w:rsidRPr="006C658C" w:rsidRDefault="0077649A" w:rsidP="0077649A">
            <w:pPr>
              <w:spacing w:before="0" w:after="0" w:line="240" w:lineRule="auto"/>
              <w:ind w:left="0" w:right="57"/>
              <w:rPr>
                <w:rFonts w:ascii="Calibri" w:hAnsi="Calibri"/>
                <w:b/>
                <w:bCs/>
                <w:color w:val="FFFFFF" w:themeColor="background1"/>
                <w:sz w:val="10"/>
                <w:szCs w:val="10"/>
              </w:rPr>
            </w:pPr>
            <w:r w:rsidRPr="006C658C">
              <w:rPr>
                <w:rFonts w:ascii="Calibri" w:hAnsi="Calibri"/>
                <w:b/>
                <w:bCs/>
                <w:color w:val="FFFFFF" w:themeColor="background1"/>
                <w:sz w:val="10"/>
                <w:szCs w:val="10"/>
              </w:rPr>
              <w:t>Age group</w:t>
            </w:r>
          </w:p>
        </w:tc>
        <w:tc>
          <w:tcPr>
            <w:tcW w:w="913" w:type="pct"/>
            <w:vAlign w:val="bottom"/>
          </w:tcPr>
          <w:p w:rsidR="0077649A" w:rsidRPr="006C658C" w:rsidRDefault="0077649A" w:rsidP="0077649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C658C">
              <w:rPr>
                <w:rFonts w:ascii="Calibri" w:hAnsi="Calibri"/>
                <w:b/>
                <w:bCs/>
                <w:color w:val="FFFFFF" w:themeColor="background1"/>
                <w:sz w:val="10"/>
                <w:szCs w:val="10"/>
              </w:rPr>
              <w:t>1993-94</w:t>
            </w:r>
          </w:p>
        </w:tc>
        <w:tc>
          <w:tcPr>
            <w:tcW w:w="913" w:type="pct"/>
            <w:vAlign w:val="bottom"/>
          </w:tcPr>
          <w:p w:rsidR="0077649A" w:rsidRPr="006C658C" w:rsidRDefault="0077649A" w:rsidP="0077649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C658C">
              <w:rPr>
                <w:rFonts w:ascii="Calibri" w:hAnsi="Calibri"/>
                <w:b/>
                <w:bCs/>
                <w:color w:val="FFFFFF" w:themeColor="background1"/>
                <w:sz w:val="10"/>
                <w:szCs w:val="10"/>
              </w:rPr>
              <w:t>2003-04</w:t>
            </w:r>
          </w:p>
        </w:tc>
        <w:tc>
          <w:tcPr>
            <w:tcW w:w="913" w:type="pct"/>
            <w:vAlign w:val="bottom"/>
          </w:tcPr>
          <w:p w:rsidR="0077649A" w:rsidRPr="006C658C" w:rsidRDefault="0077649A" w:rsidP="0077649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C658C">
              <w:rPr>
                <w:rFonts w:ascii="Calibri" w:hAnsi="Calibri"/>
                <w:b/>
                <w:bCs/>
                <w:color w:val="FFFFFF" w:themeColor="background1"/>
                <w:sz w:val="10"/>
                <w:szCs w:val="10"/>
              </w:rPr>
              <w:t>2014-15</w:t>
            </w:r>
          </w:p>
        </w:tc>
        <w:tc>
          <w:tcPr>
            <w:tcW w:w="913" w:type="pct"/>
            <w:vAlign w:val="bottom"/>
          </w:tcPr>
          <w:p w:rsidR="0077649A" w:rsidRPr="006C658C" w:rsidRDefault="0077649A" w:rsidP="0077649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C658C">
              <w:rPr>
                <w:rFonts w:ascii="Calibri" w:hAnsi="Calibri"/>
                <w:b/>
                <w:bCs/>
                <w:color w:val="FFFFFF" w:themeColor="background1"/>
                <w:sz w:val="10"/>
                <w:szCs w:val="10"/>
              </w:rPr>
              <w:t>2025-26</w:t>
            </w:r>
          </w:p>
        </w:tc>
      </w:tr>
      <w:tr w:rsidR="0077649A" w:rsidRPr="00875428" w:rsidTr="006C658C">
        <w:trPr>
          <w:cantSplit/>
        </w:trPr>
        <w:tc>
          <w:tcPr>
            <w:cnfStyle w:val="001000000000" w:firstRow="0" w:lastRow="0" w:firstColumn="1" w:lastColumn="0" w:oddVBand="0" w:evenVBand="0" w:oddHBand="0" w:evenHBand="0" w:firstRowFirstColumn="0" w:firstRowLastColumn="0" w:lastRowFirstColumn="0" w:lastRowLastColumn="0"/>
            <w:tcW w:w="1347" w:type="pct"/>
          </w:tcPr>
          <w:p w:rsidR="0077649A" w:rsidRPr="006C658C" w:rsidRDefault="0077649A" w:rsidP="0077649A">
            <w:pPr>
              <w:pStyle w:val="TableText"/>
              <w:spacing w:before="0" w:after="0" w:line="240" w:lineRule="auto"/>
              <w:ind w:left="0" w:right="57"/>
              <w:rPr>
                <w:noProof/>
                <w:color w:val="FFFFFF" w:themeColor="background1"/>
                <w:sz w:val="10"/>
                <w:szCs w:val="10"/>
              </w:rPr>
            </w:pPr>
          </w:p>
        </w:tc>
        <w:tc>
          <w:tcPr>
            <w:tcW w:w="3653" w:type="pct"/>
            <w:gridSpan w:val="4"/>
          </w:tcPr>
          <w:p w:rsidR="0077649A" w:rsidRPr="006C658C" w:rsidRDefault="0077649A" w:rsidP="0077649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C658C">
              <w:rPr>
                <w:rFonts w:ascii="Calibri" w:hAnsi="Calibri"/>
                <w:color w:val="FFFFFF" w:themeColor="background1"/>
                <w:sz w:val="10"/>
                <w:szCs w:val="10"/>
              </w:rPr>
              <w:t>(dollars)</w:t>
            </w:r>
          </w:p>
        </w:tc>
      </w:tr>
      <w:tr w:rsidR="0077649A" w:rsidRPr="00875428" w:rsidTr="006C658C">
        <w:trPr>
          <w:cantSplit/>
        </w:trPr>
        <w:tc>
          <w:tcPr>
            <w:cnfStyle w:val="001000000000" w:firstRow="0" w:lastRow="0" w:firstColumn="1" w:lastColumn="0" w:oddVBand="0" w:evenVBand="0" w:oddHBand="0" w:evenHBand="0" w:firstRowFirstColumn="0" w:firstRowLastColumn="0" w:lastRowFirstColumn="0" w:lastRowLastColumn="0"/>
            <w:tcW w:w="1347" w:type="pct"/>
            <w:vAlign w:val="bottom"/>
          </w:tcPr>
          <w:p w:rsidR="0077649A" w:rsidRPr="006C658C" w:rsidRDefault="0077649A" w:rsidP="0077649A">
            <w:pPr>
              <w:spacing w:before="0" w:after="0" w:line="240" w:lineRule="auto"/>
              <w:ind w:left="0" w:right="57"/>
              <w:rPr>
                <w:rFonts w:ascii="Calibri" w:hAnsi="Calibri"/>
                <w:color w:val="FFFFFF" w:themeColor="background1"/>
                <w:sz w:val="10"/>
                <w:szCs w:val="10"/>
              </w:rPr>
            </w:pPr>
            <w:r w:rsidRPr="006C658C">
              <w:rPr>
                <w:rFonts w:ascii="Calibri" w:hAnsi="Calibri"/>
                <w:color w:val="FFFFFF" w:themeColor="background1"/>
                <w:sz w:val="10"/>
                <w:szCs w:val="10"/>
              </w:rPr>
              <w:t>0-34</w:t>
            </w:r>
          </w:p>
        </w:tc>
        <w:tc>
          <w:tcPr>
            <w:tcW w:w="913" w:type="pct"/>
            <w:vAlign w:val="bottom"/>
          </w:tcPr>
          <w:p w:rsidR="0077649A" w:rsidRPr="006C658C" w:rsidRDefault="0077649A" w:rsidP="0077649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C658C">
              <w:rPr>
                <w:rFonts w:ascii="Calibri" w:hAnsi="Calibri"/>
                <w:color w:val="FFFFFF" w:themeColor="background1"/>
                <w:sz w:val="10"/>
                <w:szCs w:val="10"/>
              </w:rPr>
              <w:t>361</w:t>
            </w:r>
          </w:p>
        </w:tc>
        <w:tc>
          <w:tcPr>
            <w:tcW w:w="913" w:type="pct"/>
            <w:vAlign w:val="bottom"/>
          </w:tcPr>
          <w:p w:rsidR="0077649A" w:rsidRPr="006C658C" w:rsidRDefault="0077649A" w:rsidP="0077649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C658C">
              <w:rPr>
                <w:rFonts w:ascii="Calibri" w:hAnsi="Calibri"/>
                <w:color w:val="FFFFFF" w:themeColor="background1"/>
                <w:sz w:val="10"/>
                <w:szCs w:val="10"/>
              </w:rPr>
              <w:t>320</w:t>
            </w:r>
          </w:p>
        </w:tc>
        <w:tc>
          <w:tcPr>
            <w:tcW w:w="913" w:type="pct"/>
            <w:vAlign w:val="bottom"/>
          </w:tcPr>
          <w:p w:rsidR="0077649A" w:rsidRPr="006C658C" w:rsidRDefault="0077649A" w:rsidP="0077649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C658C">
              <w:rPr>
                <w:rFonts w:ascii="Calibri" w:hAnsi="Calibri"/>
                <w:color w:val="FFFFFF" w:themeColor="background1"/>
                <w:sz w:val="10"/>
                <w:szCs w:val="10"/>
              </w:rPr>
              <w:t>447</w:t>
            </w:r>
          </w:p>
        </w:tc>
        <w:tc>
          <w:tcPr>
            <w:tcW w:w="913" w:type="pct"/>
            <w:vAlign w:val="bottom"/>
          </w:tcPr>
          <w:p w:rsidR="0077649A" w:rsidRPr="006C658C" w:rsidRDefault="0077649A" w:rsidP="0077649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C658C">
              <w:rPr>
                <w:rFonts w:ascii="Calibri" w:hAnsi="Calibri"/>
                <w:color w:val="FFFFFF" w:themeColor="background1"/>
                <w:sz w:val="10"/>
                <w:szCs w:val="10"/>
              </w:rPr>
              <w:t>474</w:t>
            </w:r>
          </w:p>
        </w:tc>
      </w:tr>
      <w:tr w:rsidR="0077649A" w:rsidRPr="00875428" w:rsidTr="006C658C">
        <w:trPr>
          <w:cantSplit/>
        </w:trPr>
        <w:tc>
          <w:tcPr>
            <w:cnfStyle w:val="001000000000" w:firstRow="0" w:lastRow="0" w:firstColumn="1" w:lastColumn="0" w:oddVBand="0" w:evenVBand="0" w:oddHBand="0" w:evenHBand="0" w:firstRowFirstColumn="0" w:firstRowLastColumn="0" w:lastRowFirstColumn="0" w:lastRowLastColumn="0"/>
            <w:tcW w:w="1347" w:type="pct"/>
            <w:vAlign w:val="bottom"/>
          </w:tcPr>
          <w:p w:rsidR="0077649A" w:rsidRPr="006C658C" w:rsidRDefault="0077649A" w:rsidP="0077649A">
            <w:pPr>
              <w:spacing w:before="0" w:after="0" w:line="240" w:lineRule="auto"/>
              <w:ind w:left="0" w:right="57"/>
              <w:rPr>
                <w:rFonts w:ascii="Calibri" w:hAnsi="Calibri"/>
                <w:color w:val="FFFFFF" w:themeColor="background1"/>
                <w:sz w:val="10"/>
                <w:szCs w:val="10"/>
              </w:rPr>
            </w:pPr>
            <w:r w:rsidRPr="006C658C">
              <w:rPr>
                <w:rFonts w:ascii="Calibri" w:hAnsi="Calibri"/>
                <w:color w:val="FFFFFF" w:themeColor="background1"/>
                <w:sz w:val="10"/>
                <w:szCs w:val="10"/>
              </w:rPr>
              <w:t>35-54</w:t>
            </w:r>
          </w:p>
        </w:tc>
        <w:tc>
          <w:tcPr>
            <w:tcW w:w="913" w:type="pct"/>
            <w:vAlign w:val="bottom"/>
          </w:tcPr>
          <w:p w:rsidR="0077649A" w:rsidRPr="006C658C" w:rsidRDefault="0077649A" w:rsidP="0077649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C658C">
              <w:rPr>
                <w:rFonts w:ascii="Calibri" w:hAnsi="Calibri"/>
                <w:color w:val="FFFFFF" w:themeColor="background1"/>
                <w:sz w:val="10"/>
                <w:szCs w:val="10"/>
              </w:rPr>
              <w:t>545</w:t>
            </w:r>
          </w:p>
        </w:tc>
        <w:tc>
          <w:tcPr>
            <w:tcW w:w="913" w:type="pct"/>
            <w:vAlign w:val="bottom"/>
          </w:tcPr>
          <w:p w:rsidR="0077649A" w:rsidRPr="006C658C" w:rsidRDefault="0077649A" w:rsidP="0077649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C658C">
              <w:rPr>
                <w:rFonts w:ascii="Calibri" w:hAnsi="Calibri"/>
                <w:color w:val="FFFFFF" w:themeColor="background1"/>
                <w:sz w:val="10"/>
                <w:szCs w:val="10"/>
              </w:rPr>
              <w:t>568</w:t>
            </w:r>
          </w:p>
        </w:tc>
        <w:tc>
          <w:tcPr>
            <w:tcW w:w="913" w:type="pct"/>
            <w:vAlign w:val="bottom"/>
          </w:tcPr>
          <w:p w:rsidR="0077649A" w:rsidRPr="006C658C" w:rsidRDefault="0077649A" w:rsidP="0077649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C658C">
              <w:rPr>
                <w:rFonts w:ascii="Calibri" w:hAnsi="Calibri"/>
                <w:color w:val="FFFFFF" w:themeColor="background1"/>
                <w:sz w:val="10"/>
                <w:szCs w:val="10"/>
              </w:rPr>
              <w:t>783</w:t>
            </w:r>
          </w:p>
        </w:tc>
        <w:tc>
          <w:tcPr>
            <w:tcW w:w="913" w:type="pct"/>
            <w:vAlign w:val="bottom"/>
          </w:tcPr>
          <w:p w:rsidR="0077649A" w:rsidRPr="006C658C" w:rsidRDefault="0077649A" w:rsidP="0077649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C658C">
              <w:rPr>
                <w:rFonts w:ascii="Calibri" w:hAnsi="Calibri"/>
                <w:color w:val="FFFFFF" w:themeColor="background1"/>
                <w:sz w:val="10"/>
                <w:szCs w:val="10"/>
              </w:rPr>
              <w:t>862</w:t>
            </w:r>
          </w:p>
        </w:tc>
      </w:tr>
      <w:tr w:rsidR="0077649A" w:rsidRPr="00875428" w:rsidTr="006C658C">
        <w:trPr>
          <w:cantSplit/>
        </w:trPr>
        <w:tc>
          <w:tcPr>
            <w:cnfStyle w:val="001000000000" w:firstRow="0" w:lastRow="0" w:firstColumn="1" w:lastColumn="0" w:oddVBand="0" w:evenVBand="0" w:oddHBand="0" w:evenHBand="0" w:firstRowFirstColumn="0" w:firstRowLastColumn="0" w:lastRowFirstColumn="0" w:lastRowLastColumn="0"/>
            <w:tcW w:w="1347" w:type="pct"/>
            <w:vAlign w:val="bottom"/>
          </w:tcPr>
          <w:p w:rsidR="0077649A" w:rsidRPr="006C658C" w:rsidRDefault="0077649A" w:rsidP="0077649A">
            <w:pPr>
              <w:spacing w:before="0" w:after="0" w:line="240" w:lineRule="auto"/>
              <w:ind w:left="0" w:right="57"/>
              <w:rPr>
                <w:rFonts w:ascii="Calibri" w:hAnsi="Calibri"/>
                <w:color w:val="FFFFFF" w:themeColor="background1"/>
                <w:sz w:val="10"/>
                <w:szCs w:val="10"/>
              </w:rPr>
            </w:pPr>
            <w:r w:rsidRPr="006C658C">
              <w:rPr>
                <w:rFonts w:ascii="Calibri" w:hAnsi="Calibri"/>
                <w:color w:val="FFFFFF" w:themeColor="background1"/>
                <w:sz w:val="10"/>
                <w:szCs w:val="10"/>
              </w:rPr>
              <w:t>55-74</w:t>
            </w:r>
          </w:p>
        </w:tc>
        <w:tc>
          <w:tcPr>
            <w:tcW w:w="913" w:type="pct"/>
            <w:vAlign w:val="bottom"/>
          </w:tcPr>
          <w:p w:rsidR="0077649A" w:rsidRPr="006C658C" w:rsidRDefault="0077649A" w:rsidP="0077649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C658C">
              <w:rPr>
                <w:rFonts w:ascii="Calibri" w:hAnsi="Calibri"/>
                <w:color w:val="FFFFFF" w:themeColor="background1"/>
                <w:sz w:val="10"/>
                <w:szCs w:val="10"/>
              </w:rPr>
              <w:t>875</w:t>
            </w:r>
          </w:p>
        </w:tc>
        <w:tc>
          <w:tcPr>
            <w:tcW w:w="913" w:type="pct"/>
            <w:vAlign w:val="bottom"/>
          </w:tcPr>
          <w:p w:rsidR="0077649A" w:rsidRPr="006C658C" w:rsidRDefault="0077649A" w:rsidP="0077649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C658C">
              <w:rPr>
                <w:rFonts w:ascii="Calibri" w:hAnsi="Calibri"/>
                <w:color w:val="FFFFFF" w:themeColor="background1"/>
                <w:sz w:val="10"/>
                <w:szCs w:val="10"/>
              </w:rPr>
              <w:t>1064</w:t>
            </w:r>
          </w:p>
        </w:tc>
        <w:tc>
          <w:tcPr>
            <w:tcW w:w="913" w:type="pct"/>
            <w:vAlign w:val="bottom"/>
          </w:tcPr>
          <w:p w:rsidR="0077649A" w:rsidRPr="006C658C" w:rsidRDefault="0077649A" w:rsidP="0077649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C658C">
              <w:rPr>
                <w:rFonts w:ascii="Calibri" w:hAnsi="Calibri"/>
                <w:color w:val="FFFFFF" w:themeColor="background1"/>
                <w:sz w:val="10"/>
                <w:szCs w:val="10"/>
              </w:rPr>
              <w:t>1404</w:t>
            </w:r>
          </w:p>
        </w:tc>
        <w:tc>
          <w:tcPr>
            <w:tcW w:w="913" w:type="pct"/>
            <w:vAlign w:val="bottom"/>
          </w:tcPr>
          <w:p w:rsidR="0077649A" w:rsidRPr="006C658C" w:rsidRDefault="0077649A" w:rsidP="0077649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C658C">
              <w:rPr>
                <w:rFonts w:ascii="Calibri" w:hAnsi="Calibri"/>
                <w:color w:val="FFFFFF" w:themeColor="background1"/>
                <w:sz w:val="10"/>
                <w:szCs w:val="10"/>
              </w:rPr>
              <w:t>1547</w:t>
            </w:r>
          </w:p>
        </w:tc>
      </w:tr>
      <w:tr w:rsidR="0077649A" w:rsidRPr="00875428" w:rsidTr="006C658C">
        <w:trPr>
          <w:cantSplit/>
        </w:trPr>
        <w:tc>
          <w:tcPr>
            <w:cnfStyle w:val="001000000000" w:firstRow="0" w:lastRow="0" w:firstColumn="1" w:lastColumn="0" w:oddVBand="0" w:evenVBand="0" w:oddHBand="0" w:evenHBand="0" w:firstRowFirstColumn="0" w:firstRowLastColumn="0" w:lastRowFirstColumn="0" w:lastRowLastColumn="0"/>
            <w:tcW w:w="1347" w:type="pct"/>
            <w:vAlign w:val="bottom"/>
          </w:tcPr>
          <w:p w:rsidR="0077649A" w:rsidRPr="006C658C" w:rsidRDefault="0077649A" w:rsidP="0077649A">
            <w:pPr>
              <w:spacing w:before="0" w:after="0" w:line="240" w:lineRule="auto"/>
              <w:ind w:left="0" w:right="57"/>
              <w:rPr>
                <w:rFonts w:ascii="Calibri" w:hAnsi="Calibri"/>
                <w:color w:val="FFFFFF" w:themeColor="background1"/>
                <w:sz w:val="10"/>
                <w:szCs w:val="10"/>
              </w:rPr>
            </w:pPr>
            <w:r w:rsidRPr="006C658C">
              <w:rPr>
                <w:rFonts w:ascii="Calibri" w:hAnsi="Calibri"/>
                <w:color w:val="FFFFFF" w:themeColor="background1"/>
                <w:sz w:val="10"/>
                <w:szCs w:val="10"/>
              </w:rPr>
              <w:t>75 and over</w:t>
            </w:r>
          </w:p>
        </w:tc>
        <w:tc>
          <w:tcPr>
            <w:tcW w:w="913" w:type="pct"/>
            <w:vAlign w:val="bottom"/>
          </w:tcPr>
          <w:p w:rsidR="0077649A" w:rsidRPr="006C658C" w:rsidRDefault="0077649A" w:rsidP="0077649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C658C">
              <w:rPr>
                <w:rFonts w:ascii="Calibri" w:hAnsi="Calibri"/>
                <w:color w:val="FFFFFF" w:themeColor="background1"/>
                <w:sz w:val="10"/>
                <w:szCs w:val="10"/>
              </w:rPr>
              <w:t>1173</w:t>
            </w:r>
          </w:p>
        </w:tc>
        <w:tc>
          <w:tcPr>
            <w:tcW w:w="913" w:type="pct"/>
            <w:vAlign w:val="bottom"/>
          </w:tcPr>
          <w:p w:rsidR="0077649A" w:rsidRPr="006C658C" w:rsidRDefault="0077649A" w:rsidP="0077649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C658C">
              <w:rPr>
                <w:rFonts w:ascii="Calibri" w:hAnsi="Calibri"/>
                <w:color w:val="FFFFFF" w:themeColor="background1"/>
                <w:sz w:val="10"/>
                <w:szCs w:val="10"/>
              </w:rPr>
              <w:t>1358</w:t>
            </w:r>
          </w:p>
        </w:tc>
        <w:tc>
          <w:tcPr>
            <w:tcW w:w="913" w:type="pct"/>
            <w:vAlign w:val="bottom"/>
          </w:tcPr>
          <w:p w:rsidR="0077649A" w:rsidRPr="006C658C" w:rsidRDefault="0077649A" w:rsidP="0077649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C658C">
              <w:rPr>
                <w:rFonts w:ascii="Calibri" w:hAnsi="Calibri"/>
                <w:color w:val="FFFFFF" w:themeColor="background1"/>
                <w:sz w:val="10"/>
                <w:szCs w:val="10"/>
              </w:rPr>
              <w:t>2380</w:t>
            </w:r>
          </w:p>
        </w:tc>
        <w:tc>
          <w:tcPr>
            <w:tcW w:w="913" w:type="pct"/>
            <w:vAlign w:val="bottom"/>
          </w:tcPr>
          <w:p w:rsidR="0077649A" w:rsidRPr="006C658C" w:rsidRDefault="0077649A" w:rsidP="0077649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6C658C">
              <w:rPr>
                <w:rFonts w:ascii="Calibri" w:hAnsi="Calibri"/>
                <w:color w:val="FFFFFF" w:themeColor="background1"/>
                <w:sz w:val="10"/>
                <w:szCs w:val="10"/>
              </w:rPr>
              <w:t>2847</w:t>
            </w:r>
          </w:p>
        </w:tc>
      </w:tr>
      <w:tr w:rsidR="0077649A" w:rsidRPr="00875428" w:rsidTr="006C658C">
        <w:trPr>
          <w:cantSplit/>
        </w:trPr>
        <w:tc>
          <w:tcPr>
            <w:cnfStyle w:val="001000000000" w:firstRow="0" w:lastRow="0" w:firstColumn="1" w:lastColumn="0" w:oddVBand="0" w:evenVBand="0" w:oddHBand="0" w:evenHBand="0" w:firstRowFirstColumn="0" w:firstRowLastColumn="0" w:lastRowFirstColumn="0" w:lastRowLastColumn="0"/>
            <w:tcW w:w="1347" w:type="pct"/>
            <w:vAlign w:val="bottom"/>
          </w:tcPr>
          <w:p w:rsidR="0077649A" w:rsidRPr="006C658C" w:rsidRDefault="0077649A" w:rsidP="0077649A">
            <w:pPr>
              <w:spacing w:before="0" w:after="0" w:line="240" w:lineRule="auto"/>
              <w:ind w:left="0" w:right="57"/>
              <w:rPr>
                <w:rFonts w:ascii="Calibri" w:hAnsi="Calibri"/>
                <w:b/>
                <w:bCs/>
                <w:color w:val="FFFFFF" w:themeColor="background1"/>
                <w:sz w:val="10"/>
                <w:szCs w:val="10"/>
              </w:rPr>
            </w:pPr>
            <w:r w:rsidRPr="006C658C">
              <w:rPr>
                <w:rFonts w:ascii="Calibri" w:hAnsi="Calibri"/>
                <w:b/>
                <w:bCs/>
                <w:color w:val="FFFFFF" w:themeColor="background1"/>
                <w:sz w:val="10"/>
                <w:szCs w:val="10"/>
              </w:rPr>
              <w:t>All age groups</w:t>
            </w:r>
          </w:p>
        </w:tc>
        <w:tc>
          <w:tcPr>
            <w:tcW w:w="913" w:type="pct"/>
            <w:vAlign w:val="bottom"/>
          </w:tcPr>
          <w:p w:rsidR="0077649A" w:rsidRPr="006C658C" w:rsidRDefault="0077649A" w:rsidP="0077649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C658C">
              <w:rPr>
                <w:rFonts w:ascii="Calibri" w:hAnsi="Calibri"/>
                <w:b/>
                <w:bCs/>
                <w:color w:val="FFFFFF" w:themeColor="background1"/>
                <w:sz w:val="10"/>
                <w:szCs w:val="10"/>
              </w:rPr>
              <w:t>527</w:t>
            </w:r>
          </w:p>
        </w:tc>
        <w:tc>
          <w:tcPr>
            <w:tcW w:w="913" w:type="pct"/>
            <w:vAlign w:val="bottom"/>
          </w:tcPr>
          <w:p w:rsidR="0077649A" w:rsidRPr="006C658C" w:rsidRDefault="0077649A" w:rsidP="0077649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C658C">
              <w:rPr>
                <w:rFonts w:ascii="Calibri" w:hAnsi="Calibri"/>
                <w:b/>
                <w:bCs/>
                <w:color w:val="FFFFFF" w:themeColor="background1"/>
                <w:sz w:val="10"/>
                <w:szCs w:val="10"/>
              </w:rPr>
              <w:t>581</w:t>
            </w:r>
          </w:p>
        </w:tc>
        <w:tc>
          <w:tcPr>
            <w:tcW w:w="913" w:type="pct"/>
            <w:vAlign w:val="bottom"/>
          </w:tcPr>
          <w:p w:rsidR="0077649A" w:rsidRPr="006C658C" w:rsidRDefault="0077649A" w:rsidP="0077649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C658C">
              <w:rPr>
                <w:rFonts w:ascii="Calibri" w:hAnsi="Calibri"/>
                <w:b/>
                <w:bCs/>
                <w:color w:val="FFFFFF" w:themeColor="background1"/>
                <w:sz w:val="10"/>
                <w:szCs w:val="10"/>
              </w:rPr>
              <w:t>852</w:t>
            </w:r>
          </w:p>
        </w:tc>
        <w:tc>
          <w:tcPr>
            <w:tcW w:w="913" w:type="pct"/>
            <w:vAlign w:val="bottom"/>
          </w:tcPr>
          <w:p w:rsidR="0077649A" w:rsidRPr="006C658C" w:rsidRDefault="0077649A" w:rsidP="0077649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6C658C">
              <w:rPr>
                <w:rFonts w:ascii="Calibri" w:hAnsi="Calibri"/>
                <w:b/>
                <w:bCs/>
                <w:color w:val="FFFFFF" w:themeColor="background1"/>
                <w:sz w:val="10"/>
                <w:szCs w:val="10"/>
              </w:rPr>
              <w:t>991</w:t>
            </w:r>
          </w:p>
        </w:tc>
      </w:tr>
    </w:tbl>
    <w:p w:rsidR="00330815" w:rsidRDefault="00330815" w:rsidP="0077649A">
      <w:pPr>
        <w:pStyle w:val="Source"/>
        <w:spacing w:before="2040"/>
      </w:pPr>
      <w:r w:rsidRPr="00227D7D">
        <w:t xml:space="preserve">Source: PBO analysis of </w:t>
      </w:r>
      <w:r>
        <w:t>MBS</w:t>
      </w:r>
      <w:r w:rsidRPr="00227D7D">
        <w:t xml:space="preserve"> data from the Department of Human Services</w:t>
      </w:r>
      <w:r>
        <w:t>, ABS and Treasury</w:t>
      </w:r>
      <w:r w:rsidRPr="00227D7D">
        <w:t>.</w:t>
      </w:r>
    </w:p>
    <w:p w:rsidR="00072E16" w:rsidRPr="00072E16" w:rsidRDefault="00072E16" w:rsidP="00360E80">
      <w:pPr>
        <w:pStyle w:val="BodyText17ptAbove"/>
      </w:pPr>
      <w:r w:rsidRPr="00072E16">
        <w:t xml:space="preserve">The contribution of ageing to projected real growth in MBS spending per person can be estimated by comparing this projected growth with the growth </w:t>
      </w:r>
      <w:r w:rsidR="00016D72">
        <w:t>that</w:t>
      </w:r>
      <w:r w:rsidR="00016D72" w:rsidRPr="00072E16">
        <w:t xml:space="preserve"> </w:t>
      </w:r>
      <w:r w:rsidRPr="00072E16">
        <w:t xml:space="preserve">would </w:t>
      </w:r>
      <w:r w:rsidR="00016D72">
        <w:t>occur</w:t>
      </w:r>
      <w:r w:rsidR="00016D72" w:rsidRPr="00072E16">
        <w:t xml:space="preserve"> </w:t>
      </w:r>
      <w:r w:rsidRPr="00072E16">
        <w:t>if the age profile of the population was held constant.</w:t>
      </w:r>
    </w:p>
    <w:p w:rsidR="00072E16" w:rsidRPr="00072E16" w:rsidRDefault="00072E16" w:rsidP="00417931">
      <w:pPr>
        <w:pStyle w:val="BodyText"/>
      </w:pPr>
      <w:r w:rsidRPr="00072E16">
        <w:t>From 2014</w:t>
      </w:r>
      <w:r w:rsidR="00685028">
        <w:t>–</w:t>
      </w:r>
      <w:r w:rsidRPr="00072E16">
        <w:t>15 to 2025</w:t>
      </w:r>
      <w:r w:rsidR="00685028">
        <w:t>–</w:t>
      </w:r>
      <w:r w:rsidRPr="00072E16">
        <w:t>26, population ageing is projected to contribute around one third (or</w:t>
      </w:r>
      <w:r w:rsidR="00685028">
        <w:t> </w:t>
      </w:r>
      <w:r w:rsidRPr="00072E16">
        <w:t>0.5 percentage points) to the projected annual real growth in MBS spending per person of 1.4 per cent.</w:t>
      </w:r>
    </w:p>
    <w:p w:rsidR="00072E16" w:rsidRPr="00072E16" w:rsidRDefault="00072E16" w:rsidP="00417931">
      <w:pPr>
        <w:pStyle w:val="BodyText"/>
      </w:pPr>
      <w:r w:rsidRPr="00072E16">
        <w:t>The effect of the ageing of the population and the higher and increasing spending per person on the older age groups has resulted in the proportion of MBS spending on older age groups increasing significantly over time.  Spending in real terms on those aged 75 and over is projected to be almost seven times higher in 2025</w:t>
      </w:r>
      <w:r w:rsidR="00685028">
        <w:t>–</w:t>
      </w:r>
      <w:r w:rsidRPr="00072E16">
        <w:t>26 than it was in 1993</w:t>
      </w:r>
      <w:r w:rsidR="00685028">
        <w:t>–</w:t>
      </w:r>
      <w:r w:rsidRPr="00072E16">
        <w:t>94.  This is double the increase in spending on those aged 55 to 74 years, which is projected to be around three and a half times higher in 2025</w:t>
      </w:r>
      <w:r w:rsidR="00685028">
        <w:t>–</w:t>
      </w:r>
      <w:r w:rsidRPr="00072E16">
        <w:t>26 than it was in 1993</w:t>
      </w:r>
      <w:r w:rsidR="00685028">
        <w:t>–</w:t>
      </w:r>
      <w:r w:rsidRPr="00072E16">
        <w:t>94 (</w:t>
      </w:r>
      <w:r w:rsidR="00685028">
        <w:fldChar w:fldCharType="begin"/>
      </w:r>
      <w:r w:rsidR="00685028">
        <w:instrText xml:space="preserve"> REF _Ref436044032 \h </w:instrText>
      </w:r>
      <w:r w:rsidR="00417931">
        <w:instrText xml:space="preserve"> \* MERGEFORMAT </w:instrText>
      </w:r>
      <w:r w:rsidR="00685028">
        <w:fldChar w:fldCharType="separate"/>
      </w:r>
      <w:r w:rsidR="00235C48" w:rsidRPr="00685028">
        <w:t xml:space="preserve">Figure </w:t>
      </w:r>
      <w:r w:rsidR="00235C48">
        <w:rPr>
          <w:noProof/>
        </w:rPr>
        <w:t>2</w:t>
      </w:r>
      <w:r w:rsidR="00235C48" w:rsidRPr="00685028">
        <w:t>–</w:t>
      </w:r>
      <w:r w:rsidR="00235C48">
        <w:rPr>
          <w:noProof/>
        </w:rPr>
        <w:t>7</w:t>
      </w:r>
      <w:r w:rsidR="00685028">
        <w:fldChar w:fldCharType="end"/>
      </w:r>
      <w:r w:rsidRPr="00072E16">
        <w:t>).</w:t>
      </w:r>
    </w:p>
    <w:p w:rsidR="009638D3" w:rsidRDefault="00072E16" w:rsidP="00417931">
      <w:pPr>
        <w:pStyle w:val="BodyText"/>
        <w:sectPr w:rsidR="009638D3" w:rsidSect="00232965">
          <w:pgSz w:w="11907" w:h="16839" w:code="9"/>
          <w:pgMar w:top="1361" w:right="1797" w:bottom="1474" w:left="1797" w:header="283" w:footer="454" w:gutter="0"/>
          <w:cols w:space="708"/>
          <w:docGrid w:linePitch="360"/>
        </w:sectPr>
      </w:pPr>
      <w:r w:rsidRPr="00072E16">
        <w:t>While only accounting for 8 per cent of the population in</w:t>
      </w:r>
      <w:r w:rsidR="00685028">
        <w:t xml:space="preserve"> 2025–</w:t>
      </w:r>
      <w:r w:rsidRPr="00072E16">
        <w:t>26, those aged 75 and over are projected to account for 25 per cent of total spending on the MBS in 2025</w:t>
      </w:r>
      <w:r w:rsidR="00685028">
        <w:t>–</w:t>
      </w:r>
      <w:r w:rsidRPr="00072E16">
        <w:t>26.</w:t>
      </w:r>
    </w:p>
    <w:p w:rsidR="00685028" w:rsidRPr="00685028" w:rsidRDefault="00566933" w:rsidP="00685028">
      <w:pPr>
        <w:pStyle w:val="Caption"/>
      </w:pPr>
      <w:bookmarkStart w:id="72" w:name="_Ref436044032"/>
      <w:bookmarkStart w:id="73" w:name="_Toc436051000"/>
      <w:bookmarkStart w:id="74" w:name="_Toc436205222"/>
      <w:r>
        <w:rPr>
          <w:rFonts w:cs="Times New Roman"/>
          <w:bCs w:val="0"/>
          <w:noProof/>
          <w:color w:val="auto"/>
          <w:spacing w:val="-1"/>
          <w:lang w:eastAsia="en-AU"/>
        </w:rPr>
        <w:lastRenderedPageBreak/>
        <w:drawing>
          <wp:anchor distT="0" distB="0" distL="114300" distR="114300" simplePos="0" relativeHeight="251683840" behindDoc="0" locked="0" layoutInCell="1" allowOverlap="1" wp14:anchorId="398BF828" wp14:editId="49BBF1DE">
            <wp:simplePos x="0" y="0"/>
            <wp:positionH relativeFrom="column">
              <wp:posOffset>-118611</wp:posOffset>
            </wp:positionH>
            <wp:positionV relativeFrom="paragraph">
              <wp:posOffset>401955</wp:posOffset>
            </wp:positionV>
            <wp:extent cx="5224780" cy="2322830"/>
            <wp:effectExtent l="0" t="0" r="0" b="127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224780" cy="2322830"/>
                    </a:xfrm>
                    <a:prstGeom prst="rect">
                      <a:avLst/>
                    </a:prstGeom>
                    <a:noFill/>
                  </pic:spPr>
                </pic:pic>
              </a:graphicData>
            </a:graphic>
            <wp14:sizeRelH relativeFrom="page">
              <wp14:pctWidth>0</wp14:pctWidth>
            </wp14:sizeRelH>
            <wp14:sizeRelV relativeFrom="page">
              <wp14:pctHeight>0</wp14:pctHeight>
            </wp14:sizeRelV>
          </wp:anchor>
        </w:drawing>
      </w:r>
      <w:r w:rsidR="00685028" w:rsidRPr="00685028">
        <w:t xml:space="preserve">Figure </w:t>
      </w:r>
      <w:fldSimple w:instr=" STYLEREF 1 \s ">
        <w:r w:rsidR="00235C48">
          <w:rPr>
            <w:noProof/>
          </w:rPr>
          <w:t>2</w:t>
        </w:r>
      </w:fldSimple>
      <w:r w:rsidR="00685028" w:rsidRPr="00685028">
        <w:t>–</w:t>
      </w:r>
      <w:fldSimple w:instr=" SEQ Figure \* ARABIC \s 1 ">
        <w:r w:rsidR="00235C48">
          <w:rPr>
            <w:noProof/>
          </w:rPr>
          <w:t>7</w:t>
        </w:r>
      </w:fldSimple>
      <w:bookmarkEnd w:id="72"/>
      <w:r w:rsidR="00685028" w:rsidRPr="00685028">
        <w:t>: Medicare Benefits Schedule spending by age group (2014</w:t>
      </w:r>
      <w:r w:rsidR="00685028">
        <w:t>–</w:t>
      </w:r>
      <w:r w:rsidR="00685028" w:rsidRPr="00685028">
        <w:t>15 dollars)</w:t>
      </w:r>
      <w:bookmarkEnd w:id="73"/>
      <w:bookmarkEnd w:id="74"/>
    </w:p>
    <w:tbl>
      <w:tblPr>
        <w:tblStyle w:val="TableGrid"/>
        <w:tblW w:w="1985" w:type="pct"/>
        <w:tblLook w:val="0680" w:firstRow="0" w:lastRow="0" w:firstColumn="1" w:lastColumn="0" w:noHBand="1" w:noVBand="1"/>
      </w:tblPr>
      <w:tblGrid>
        <w:gridCol w:w="675"/>
        <w:gridCol w:w="656"/>
        <w:gridCol w:w="656"/>
        <w:gridCol w:w="656"/>
        <w:gridCol w:w="657"/>
      </w:tblGrid>
      <w:tr w:rsidR="00D66BEA" w:rsidRPr="00D66BEA" w:rsidTr="003C7820">
        <w:trPr>
          <w:cantSplit/>
        </w:trPr>
        <w:tc>
          <w:tcPr>
            <w:cnfStyle w:val="001000000000" w:firstRow="0" w:lastRow="0" w:firstColumn="1" w:lastColumn="0" w:oddVBand="0" w:evenVBand="0" w:oddHBand="0" w:evenHBand="0" w:firstRowFirstColumn="0" w:firstRowLastColumn="0" w:lastRowFirstColumn="0" w:lastRowLastColumn="0"/>
            <w:tcW w:w="1023" w:type="pct"/>
            <w:vAlign w:val="bottom"/>
          </w:tcPr>
          <w:p w:rsidR="00D66BEA" w:rsidRPr="003C7820" w:rsidRDefault="00D66BEA" w:rsidP="00D66BEA">
            <w:pPr>
              <w:spacing w:before="0" w:after="0" w:line="240" w:lineRule="auto"/>
              <w:ind w:left="0" w:right="57"/>
              <w:rPr>
                <w:rFonts w:ascii="Calibri" w:hAnsi="Calibri"/>
                <w:b/>
                <w:bCs/>
                <w:color w:val="FFFFFF" w:themeColor="background1"/>
                <w:sz w:val="10"/>
                <w:szCs w:val="10"/>
              </w:rPr>
            </w:pPr>
            <w:r w:rsidRPr="003C7820">
              <w:rPr>
                <w:rFonts w:ascii="Calibri" w:hAnsi="Calibri"/>
                <w:b/>
                <w:bCs/>
                <w:color w:val="FFFFFF" w:themeColor="background1"/>
                <w:sz w:val="10"/>
                <w:szCs w:val="10"/>
              </w:rPr>
              <w:t>Age group</w:t>
            </w:r>
          </w:p>
        </w:tc>
        <w:tc>
          <w:tcPr>
            <w:tcW w:w="994" w:type="pct"/>
            <w:vAlign w:val="bottom"/>
          </w:tcPr>
          <w:p w:rsidR="00D66BEA" w:rsidRPr="003C7820" w:rsidRDefault="00D66BEA" w:rsidP="00D66BE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C7820">
              <w:rPr>
                <w:rFonts w:ascii="Calibri" w:hAnsi="Calibri"/>
                <w:b/>
                <w:bCs/>
                <w:color w:val="FFFFFF" w:themeColor="background1"/>
                <w:sz w:val="10"/>
                <w:szCs w:val="10"/>
              </w:rPr>
              <w:t>1993-94</w:t>
            </w:r>
          </w:p>
        </w:tc>
        <w:tc>
          <w:tcPr>
            <w:tcW w:w="994" w:type="pct"/>
            <w:vAlign w:val="bottom"/>
          </w:tcPr>
          <w:p w:rsidR="00D66BEA" w:rsidRPr="003C7820" w:rsidRDefault="00D66BEA" w:rsidP="00D66BE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C7820">
              <w:rPr>
                <w:rFonts w:ascii="Calibri" w:hAnsi="Calibri"/>
                <w:b/>
                <w:bCs/>
                <w:color w:val="FFFFFF" w:themeColor="background1"/>
                <w:sz w:val="10"/>
                <w:szCs w:val="10"/>
              </w:rPr>
              <w:t>2003-04</w:t>
            </w:r>
          </w:p>
        </w:tc>
        <w:tc>
          <w:tcPr>
            <w:tcW w:w="994" w:type="pct"/>
            <w:vAlign w:val="bottom"/>
          </w:tcPr>
          <w:p w:rsidR="00D66BEA" w:rsidRPr="003C7820" w:rsidRDefault="00D66BEA" w:rsidP="00D66BE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C7820">
              <w:rPr>
                <w:rFonts w:ascii="Calibri" w:hAnsi="Calibri"/>
                <w:b/>
                <w:bCs/>
                <w:color w:val="FFFFFF" w:themeColor="background1"/>
                <w:sz w:val="10"/>
                <w:szCs w:val="10"/>
              </w:rPr>
              <w:t>2014-15</w:t>
            </w:r>
          </w:p>
        </w:tc>
        <w:tc>
          <w:tcPr>
            <w:tcW w:w="994" w:type="pct"/>
            <w:vAlign w:val="bottom"/>
          </w:tcPr>
          <w:p w:rsidR="00D66BEA" w:rsidRPr="003C7820" w:rsidRDefault="00D66BEA" w:rsidP="00D66BE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C7820">
              <w:rPr>
                <w:rFonts w:ascii="Calibri" w:hAnsi="Calibri"/>
                <w:b/>
                <w:bCs/>
                <w:color w:val="FFFFFF" w:themeColor="background1"/>
                <w:sz w:val="10"/>
                <w:szCs w:val="10"/>
              </w:rPr>
              <w:t>2025-26</w:t>
            </w:r>
          </w:p>
        </w:tc>
      </w:tr>
      <w:tr w:rsidR="00D66BEA" w:rsidRPr="00D66BEA" w:rsidTr="003C7820">
        <w:trPr>
          <w:cantSplit/>
        </w:trPr>
        <w:tc>
          <w:tcPr>
            <w:cnfStyle w:val="001000000000" w:firstRow="0" w:lastRow="0" w:firstColumn="1" w:lastColumn="0" w:oddVBand="0" w:evenVBand="0" w:oddHBand="0" w:evenHBand="0" w:firstRowFirstColumn="0" w:firstRowLastColumn="0" w:lastRowFirstColumn="0" w:lastRowLastColumn="0"/>
            <w:tcW w:w="1023" w:type="pct"/>
          </w:tcPr>
          <w:p w:rsidR="00D66BEA" w:rsidRPr="003C7820" w:rsidRDefault="00D66BEA" w:rsidP="00D66BEA">
            <w:pPr>
              <w:pStyle w:val="TableText"/>
              <w:spacing w:before="0" w:after="0" w:line="240" w:lineRule="auto"/>
              <w:ind w:left="0" w:right="57"/>
              <w:rPr>
                <w:noProof/>
                <w:color w:val="FFFFFF" w:themeColor="background1"/>
                <w:sz w:val="10"/>
                <w:szCs w:val="10"/>
              </w:rPr>
            </w:pPr>
          </w:p>
        </w:tc>
        <w:tc>
          <w:tcPr>
            <w:tcW w:w="3977" w:type="pct"/>
            <w:gridSpan w:val="4"/>
          </w:tcPr>
          <w:p w:rsidR="00D66BEA" w:rsidRPr="003C7820" w:rsidRDefault="00D66BEA" w:rsidP="00D66BEA">
            <w:pPr>
              <w:spacing w:before="0" w:after="0" w:line="240" w:lineRule="auto"/>
              <w:ind w:left="0" w:right="57"/>
              <w:jc w:val="center"/>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C7820">
              <w:rPr>
                <w:rFonts w:ascii="Calibri" w:hAnsi="Calibri"/>
                <w:color w:val="FFFFFF" w:themeColor="background1"/>
                <w:sz w:val="10"/>
                <w:szCs w:val="10"/>
              </w:rPr>
              <w:t>(dollars billion)</w:t>
            </w:r>
          </w:p>
        </w:tc>
      </w:tr>
      <w:tr w:rsidR="00D66BEA" w:rsidRPr="00D66BEA" w:rsidTr="003C7820">
        <w:trPr>
          <w:cantSplit/>
        </w:trPr>
        <w:tc>
          <w:tcPr>
            <w:cnfStyle w:val="001000000000" w:firstRow="0" w:lastRow="0" w:firstColumn="1" w:lastColumn="0" w:oddVBand="0" w:evenVBand="0" w:oddHBand="0" w:evenHBand="0" w:firstRowFirstColumn="0" w:firstRowLastColumn="0" w:lastRowFirstColumn="0" w:lastRowLastColumn="0"/>
            <w:tcW w:w="1023" w:type="pct"/>
            <w:vAlign w:val="bottom"/>
          </w:tcPr>
          <w:p w:rsidR="00D66BEA" w:rsidRPr="003C7820" w:rsidRDefault="00D66BEA" w:rsidP="00D66BEA">
            <w:pPr>
              <w:spacing w:before="0" w:after="0" w:line="240" w:lineRule="auto"/>
              <w:ind w:left="0" w:right="57"/>
              <w:rPr>
                <w:rFonts w:ascii="Calibri" w:hAnsi="Calibri"/>
                <w:color w:val="FFFFFF" w:themeColor="background1"/>
                <w:sz w:val="10"/>
                <w:szCs w:val="10"/>
              </w:rPr>
            </w:pPr>
            <w:r w:rsidRPr="003C7820">
              <w:rPr>
                <w:rFonts w:ascii="Calibri" w:hAnsi="Calibri"/>
                <w:color w:val="FFFFFF" w:themeColor="background1"/>
                <w:sz w:val="10"/>
                <w:szCs w:val="10"/>
              </w:rPr>
              <w:t>0-34</w:t>
            </w:r>
          </w:p>
        </w:tc>
        <w:tc>
          <w:tcPr>
            <w:tcW w:w="994" w:type="pct"/>
            <w:vAlign w:val="bottom"/>
          </w:tcPr>
          <w:p w:rsidR="00D66BEA" w:rsidRPr="003C7820" w:rsidRDefault="00D66BEA" w:rsidP="00D66BE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C7820">
              <w:rPr>
                <w:rFonts w:ascii="Calibri" w:hAnsi="Calibri"/>
                <w:color w:val="FFFFFF" w:themeColor="background1"/>
                <w:sz w:val="10"/>
                <w:szCs w:val="10"/>
              </w:rPr>
              <w:t>3.4</w:t>
            </w:r>
          </w:p>
        </w:tc>
        <w:tc>
          <w:tcPr>
            <w:tcW w:w="994" w:type="pct"/>
            <w:vAlign w:val="bottom"/>
          </w:tcPr>
          <w:p w:rsidR="00D66BEA" w:rsidRPr="003C7820" w:rsidRDefault="00D66BEA" w:rsidP="00D66BE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C7820">
              <w:rPr>
                <w:rFonts w:ascii="Calibri" w:hAnsi="Calibri"/>
                <w:color w:val="FFFFFF" w:themeColor="background1"/>
                <w:sz w:val="10"/>
                <w:szCs w:val="10"/>
              </w:rPr>
              <w:t>3.1</w:t>
            </w:r>
          </w:p>
        </w:tc>
        <w:tc>
          <w:tcPr>
            <w:tcW w:w="994" w:type="pct"/>
            <w:vAlign w:val="bottom"/>
          </w:tcPr>
          <w:p w:rsidR="00D66BEA" w:rsidRPr="003C7820" w:rsidRDefault="00D66BEA" w:rsidP="00D66BE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C7820">
              <w:rPr>
                <w:rFonts w:ascii="Calibri" w:hAnsi="Calibri"/>
                <w:color w:val="FFFFFF" w:themeColor="background1"/>
                <w:sz w:val="10"/>
                <w:szCs w:val="10"/>
              </w:rPr>
              <w:t>5.0</w:t>
            </w:r>
          </w:p>
        </w:tc>
        <w:tc>
          <w:tcPr>
            <w:tcW w:w="994" w:type="pct"/>
            <w:vAlign w:val="bottom"/>
          </w:tcPr>
          <w:p w:rsidR="00D66BEA" w:rsidRPr="003C7820" w:rsidRDefault="00D66BEA" w:rsidP="00D66BE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C7820">
              <w:rPr>
                <w:rFonts w:ascii="Calibri" w:hAnsi="Calibri"/>
                <w:color w:val="FFFFFF" w:themeColor="background1"/>
                <w:sz w:val="10"/>
                <w:szCs w:val="10"/>
              </w:rPr>
              <w:t>6.1</w:t>
            </w:r>
          </w:p>
        </w:tc>
      </w:tr>
      <w:tr w:rsidR="00D66BEA" w:rsidRPr="00D66BEA" w:rsidTr="003C7820">
        <w:trPr>
          <w:cantSplit/>
        </w:trPr>
        <w:tc>
          <w:tcPr>
            <w:cnfStyle w:val="001000000000" w:firstRow="0" w:lastRow="0" w:firstColumn="1" w:lastColumn="0" w:oddVBand="0" w:evenVBand="0" w:oddHBand="0" w:evenHBand="0" w:firstRowFirstColumn="0" w:firstRowLastColumn="0" w:lastRowFirstColumn="0" w:lastRowLastColumn="0"/>
            <w:tcW w:w="1023" w:type="pct"/>
            <w:vAlign w:val="bottom"/>
          </w:tcPr>
          <w:p w:rsidR="00D66BEA" w:rsidRPr="003C7820" w:rsidRDefault="00D66BEA" w:rsidP="00D66BEA">
            <w:pPr>
              <w:spacing w:before="0" w:after="0" w:line="240" w:lineRule="auto"/>
              <w:ind w:left="0" w:right="57"/>
              <w:rPr>
                <w:rFonts w:ascii="Calibri" w:hAnsi="Calibri"/>
                <w:color w:val="FFFFFF" w:themeColor="background1"/>
                <w:sz w:val="10"/>
                <w:szCs w:val="10"/>
              </w:rPr>
            </w:pPr>
            <w:r w:rsidRPr="003C7820">
              <w:rPr>
                <w:rFonts w:ascii="Calibri" w:hAnsi="Calibri"/>
                <w:color w:val="FFFFFF" w:themeColor="background1"/>
                <w:sz w:val="10"/>
                <w:szCs w:val="10"/>
              </w:rPr>
              <w:t>35-54</w:t>
            </w:r>
          </w:p>
        </w:tc>
        <w:tc>
          <w:tcPr>
            <w:tcW w:w="994" w:type="pct"/>
            <w:vAlign w:val="bottom"/>
          </w:tcPr>
          <w:p w:rsidR="00D66BEA" w:rsidRPr="003C7820" w:rsidRDefault="00D66BEA" w:rsidP="00D66BE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C7820">
              <w:rPr>
                <w:rFonts w:ascii="Calibri" w:hAnsi="Calibri"/>
                <w:color w:val="FFFFFF" w:themeColor="background1"/>
                <w:sz w:val="10"/>
                <w:szCs w:val="10"/>
              </w:rPr>
              <w:t>2.6</w:t>
            </w:r>
          </w:p>
        </w:tc>
        <w:tc>
          <w:tcPr>
            <w:tcW w:w="994" w:type="pct"/>
            <w:vAlign w:val="bottom"/>
          </w:tcPr>
          <w:p w:rsidR="00D66BEA" w:rsidRPr="003C7820" w:rsidRDefault="00D66BEA" w:rsidP="00D66BE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C7820">
              <w:rPr>
                <w:rFonts w:ascii="Calibri" w:hAnsi="Calibri"/>
                <w:color w:val="FFFFFF" w:themeColor="background1"/>
                <w:sz w:val="10"/>
                <w:szCs w:val="10"/>
              </w:rPr>
              <w:t>3.2</w:t>
            </w:r>
          </w:p>
        </w:tc>
        <w:tc>
          <w:tcPr>
            <w:tcW w:w="994" w:type="pct"/>
            <w:vAlign w:val="bottom"/>
          </w:tcPr>
          <w:p w:rsidR="00D66BEA" w:rsidRPr="003C7820" w:rsidRDefault="00D66BEA" w:rsidP="00D66BE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C7820">
              <w:rPr>
                <w:rFonts w:ascii="Calibri" w:hAnsi="Calibri"/>
                <w:color w:val="FFFFFF" w:themeColor="background1"/>
                <w:sz w:val="10"/>
                <w:szCs w:val="10"/>
              </w:rPr>
              <w:t>5.0</w:t>
            </w:r>
          </w:p>
        </w:tc>
        <w:tc>
          <w:tcPr>
            <w:tcW w:w="994" w:type="pct"/>
            <w:vAlign w:val="bottom"/>
          </w:tcPr>
          <w:p w:rsidR="00D66BEA" w:rsidRPr="003C7820" w:rsidRDefault="00D66BEA" w:rsidP="00D66BE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C7820">
              <w:rPr>
                <w:rFonts w:ascii="Calibri" w:hAnsi="Calibri"/>
                <w:color w:val="FFFFFF" w:themeColor="background1"/>
                <w:sz w:val="10"/>
                <w:szCs w:val="10"/>
              </w:rPr>
              <w:t>6.3</w:t>
            </w:r>
          </w:p>
        </w:tc>
      </w:tr>
      <w:tr w:rsidR="00D66BEA" w:rsidRPr="00D66BEA" w:rsidTr="003C7820">
        <w:trPr>
          <w:cantSplit/>
        </w:trPr>
        <w:tc>
          <w:tcPr>
            <w:cnfStyle w:val="001000000000" w:firstRow="0" w:lastRow="0" w:firstColumn="1" w:lastColumn="0" w:oddVBand="0" w:evenVBand="0" w:oddHBand="0" w:evenHBand="0" w:firstRowFirstColumn="0" w:firstRowLastColumn="0" w:lastRowFirstColumn="0" w:lastRowLastColumn="0"/>
            <w:tcW w:w="1023" w:type="pct"/>
            <w:vAlign w:val="bottom"/>
          </w:tcPr>
          <w:p w:rsidR="00D66BEA" w:rsidRPr="003C7820" w:rsidRDefault="00D66BEA" w:rsidP="00D66BEA">
            <w:pPr>
              <w:spacing w:before="0" w:after="0" w:line="240" w:lineRule="auto"/>
              <w:ind w:left="0" w:right="57"/>
              <w:rPr>
                <w:rFonts w:ascii="Calibri" w:hAnsi="Calibri"/>
                <w:color w:val="FFFFFF" w:themeColor="background1"/>
                <w:sz w:val="10"/>
                <w:szCs w:val="10"/>
              </w:rPr>
            </w:pPr>
            <w:r w:rsidRPr="003C7820">
              <w:rPr>
                <w:rFonts w:ascii="Calibri" w:hAnsi="Calibri"/>
                <w:color w:val="FFFFFF" w:themeColor="background1"/>
                <w:sz w:val="10"/>
                <w:szCs w:val="10"/>
              </w:rPr>
              <w:t>55-74</w:t>
            </w:r>
          </w:p>
        </w:tc>
        <w:tc>
          <w:tcPr>
            <w:tcW w:w="994" w:type="pct"/>
            <w:vAlign w:val="bottom"/>
          </w:tcPr>
          <w:p w:rsidR="00D66BEA" w:rsidRPr="003C7820" w:rsidRDefault="00D66BEA" w:rsidP="00D66BE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C7820">
              <w:rPr>
                <w:rFonts w:ascii="Calibri" w:hAnsi="Calibri"/>
                <w:color w:val="FFFFFF" w:themeColor="background1"/>
                <w:sz w:val="10"/>
                <w:szCs w:val="10"/>
              </w:rPr>
              <w:t>2.4</w:t>
            </w:r>
          </w:p>
        </w:tc>
        <w:tc>
          <w:tcPr>
            <w:tcW w:w="994" w:type="pct"/>
            <w:vAlign w:val="bottom"/>
          </w:tcPr>
          <w:p w:rsidR="00D66BEA" w:rsidRPr="003C7820" w:rsidRDefault="00D66BEA" w:rsidP="00D66BE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C7820">
              <w:rPr>
                <w:rFonts w:ascii="Calibri" w:hAnsi="Calibri"/>
                <w:color w:val="FFFFFF" w:themeColor="background1"/>
                <w:sz w:val="10"/>
                <w:szCs w:val="10"/>
              </w:rPr>
              <w:t>3.6</w:t>
            </w:r>
          </w:p>
        </w:tc>
        <w:tc>
          <w:tcPr>
            <w:tcW w:w="994" w:type="pct"/>
            <w:vAlign w:val="bottom"/>
          </w:tcPr>
          <w:p w:rsidR="00D66BEA" w:rsidRPr="003C7820" w:rsidRDefault="00D66BEA" w:rsidP="00D66BE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C7820">
              <w:rPr>
                <w:rFonts w:ascii="Calibri" w:hAnsi="Calibri"/>
                <w:color w:val="FFFFFF" w:themeColor="background1"/>
                <w:sz w:val="10"/>
                <w:szCs w:val="10"/>
              </w:rPr>
              <w:t>6.6</w:t>
            </w:r>
          </w:p>
        </w:tc>
        <w:tc>
          <w:tcPr>
            <w:tcW w:w="994" w:type="pct"/>
            <w:vAlign w:val="bottom"/>
          </w:tcPr>
          <w:p w:rsidR="00D66BEA" w:rsidRPr="003C7820" w:rsidRDefault="00D66BEA" w:rsidP="00D66BE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C7820">
              <w:rPr>
                <w:rFonts w:ascii="Calibri" w:hAnsi="Calibri"/>
                <w:color w:val="FFFFFF" w:themeColor="background1"/>
                <w:sz w:val="10"/>
                <w:szCs w:val="10"/>
              </w:rPr>
              <w:t>8.9</w:t>
            </w:r>
          </w:p>
        </w:tc>
      </w:tr>
      <w:tr w:rsidR="00D66BEA" w:rsidRPr="00D66BEA" w:rsidTr="003C7820">
        <w:trPr>
          <w:cantSplit/>
        </w:trPr>
        <w:tc>
          <w:tcPr>
            <w:cnfStyle w:val="001000000000" w:firstRow="0" w:lastRow="0" w:firstColumn="1" w:lastColumn="0" w:oddVBand="0" w:evenVBand="0" w:oddHBand="0" w:evenHBand="0" w:firstRowFirstColumn="0" w:firstRowLastColumn="0" w:lastRowFirstColumn="0" w:lastRowLastColumn="0"/>
            <w:tcW w:w="1023" w:type="pct"/>
            <w:vAlign w:val="bottom"/>
          </w:tcPr>
          <w:p w:rsidR="00D66BEA" w:rsidRPr="003C7820" w:rsidRDefault="00D66BEA" w:rsidP="00D66BEA">
            <w:pPr>
              <w:spacing w:before="0" w:after="0" w:line="240" w:lineRule="auto"/>
              <w:ind w:left="0" w:right="57"/>
              <w:rPr>
                <w:rFonts w:ascii="Calibri" w:hAnsi="Calibri"/>
                <w:color w:val="FFFFFF" w:themeColor="background1"/>
                <w:sz w:val="10"/>
                <w:szCs w:val="10"/>
              </w:rPr>
            </w:pPr>
            <w:r w:rsidRPr="003C7820">
              <w:rPr>
                <w:rFonts w:ascii="Calibri" w:hAnsi="Calibri"/>
                <w:color w:val="FFFFFF" w:themeColor="background1"/>
                <w:sz w:val="10"/>
                <w:szCs w:val="10"/>
              </w:rPr>
              <w:t>75 and over</w:t>
            </w:r>
          </w:p>
        </w:tc>
        <w:tc>
          <w:tcPr>
            <w:tcW w:w="994" w:type="pct"/>
            <w:vAlign w:val="bottom"/>
          </w:tcPr>
          <w:p w:rsidR="00D66BEA" w:rsidRPr="003C7820" w:rsidRDefault="00D66BEA" w:rsidP="00D66BE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C7820">
              <w:rPr>
                <w:rFonts w:ascii="Calibri" w:hAnsi="Calibri"/>
                <w:color w:val="FFFFFF" w:themeColor="background1"/>
                <w:sz w:val="10"/>
                <w:szCs w:val="10"/>
              </w:rPr>
              <w:t>1.0</w:t>
            </w:r>
          </w:p>
        </w:tc>
        <w:tc>
          <w:tcPr>
            <w:tcW w:w="994" w:type="pct"/>
            <w:vAlign w:val="bottom"/>
          </w:tcPr>
          <w:p w:rsidR="00D66BEA" w:rsidRPr="003C7820" w:rsidRDefault="00D66BEA" w:rsidP="00D66BE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C7820">
              <w:rPr>
                <w:rFonts w:ascii="Calibri" w:hAnsi="Calibri"/>
                <w:color w:val="FFFFFF" w:themeColor="background1"/>
                <w:sz w:val="10"/>
                <w:szCs w:val="10"/>
              </w:rPr>
              <w:t>1.9</w:t>
            </w:r>
          </w:p>
        </w:tc>
        <w:tc>
          <w:tcPr>
            <w:tcW w:w="994" w:type="pct"/>
            <w:vAlign w:val="bottom"/>
          </w:tcPr>
          <w:p w:rsidR="00D66BEA" w:rsidRPr="003C7820" w:rsidRDefault="00D66BEA" w:rsidP="00D66BE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C7820">
              <w:rPr>
                <w:rFonts w:ascii="Calibri" w:hAnsi="Calibri"/>
                <w:color w:val="FFFFFF" w:themeColor="background1"/>
                <w:sz w:val="10"/>
                <w:szCs w:val="10"/>
              </w:rPr>
              <w:t>3.7</w:t>
            </w:r>
          </w:p>
        </w:tc>
        <w:tc>
          <w:tcPr>
            <w:tcW w:w="994" w:type="pct"/>
            <w:vAlign w:val="bottom"/>
          </w:tcPr>
          <w:p w:rsidR="00D66BEA" w:rsidRPr="003C7820" w:rsidRDefault="00D66BEA" w:rsidP="00D66BE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3C7820">
              <w:rPr>
                <w:rFonts w:ascii="Calibri" w:hAnsi="Calibri"/>
                <w:color w:val="FFFFFF" w:themeColor="background1"/>
                <w:sz w:val="10"/>
                <w:szCs w:val="10"/>
              </w:rPr>
              <w:t>6.7</w:t>
            </w:r>
          </w:p>
        </w:tc>
      </w:tr>
      <w:tr w:rsidR="00D66BEA" w:rsidRPr="00D66BEA" w:rsidTr="003C7820">
        <w:trPr>
          <w:cantSplit/>
        </w:trPr>
        <w:tc>
          <w:tcPr>
            <w:cnfStyle w:val="001000000000" w:firstRow="0" w:lastRow="0" w:firstColumn="1" w:lastColumn="0" w:oddVBand="0" w:evenVBand="0" w:oddHBand="0" w:evenHBand="0" w:firstRowFirstColumn="0" w:firstRowLastColumn="0" w:lastRowFirstColumn="0" w:lastRowLastColumn="0"/>
            <w:tcW w:w="1023" w:type="pct"/>
            <w:vAlign w:val="bottom"/>
          </w:tcPr>
          <w:p w:rsidR="00D66BEA" w:rsidRPr="003C7820" w:rsidRDefault="00D66BEA" w:rsidP="00D66BEA">
            <w:pPr>
              <w:spacing w:before="0" w:after="0" w:line="240" w:lineRule="auto"/>
              <w:ind w:left="0" w:right="57"/>
              <w:rPr>
                <w:rFonts w:ascii="Calibri" w:hAnsi="Calibri"/>
                <w:b/>
                <w:bCs/>
                <w:color w:val="FFFFFF" w:themeColor="background1"/>
                <w:sz w:val="10"/>
                <w:szCs w:val="10"/>
              </w:rPr>
            </w:pPr>
            <w:r w:rsidRPr="003C7820">
              <w:rPr>
                <w:rFonts w:ascii="Calibri" w:hAnsi="Calibri"/>
                <w:b/>
                <w:bCs/>
                <w:color w:val="FFFFFF" w:themeColor="background1"/>
                <w:sz w:val="10"/>
                <w:szCs w:val="10"/>
              </w:rPr>
              <w:t>All age groups</w:t>
            </w:r>
          </w:p>
        </w:tc>
        <w:tc>
          <w:tcPr>
            <w:tcW w:w="994" w:type="pct"/>
            <w:vAlign w:val="bottom"/>
          </w:tcPr>
          <w:p w:rsidR="00D66BEA" w:rsidRPr="003C7820" w:rsidRDefault="00D66BEA" w:rsidP="00D66BE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C7820">
              <w:rPr>
                <w:rFonts w:ascii="Calibri" w:hAnsi="Calibri"/>
                <w:b/>
                <w:bCs/>
                <w:color w:val="FFFFFF" w:themeColor="background1"/>
                <w:sz w:val="10"/>
                <w:szCs w:val="10"/>
              </w:rPr>
              <w:t>9.3</w:t>
            </w:r>
          </w:p>
        </w:tc>
        <w:tc>
          <w:tcPr>
            <w:tcW w:w="994" w:type="pct"/>
            <w:vAlign w:val="bottom"/>
          </w:tcPr>
          <w:p w:rsidR="00D66BEA" w:rsidRPr="003C7820" w:rsidRDefault="00D66BEA" w:rsidP="00D66BE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C7820">
              <w:rPr>
                <w:rFonts w:ascii="Calibri" w:hAnsi="Calibri"/>
                <w:b/>
                <w:bCs/>
                <w:color w:val="FFFFFF" w:themeColor="background1"/>
                <w:sz w:val="10"/>
                <w:szCs w:val="10"/>
              </w:rPr>
              <w:t>11.8</w:t>
            </w:r>
          </w:p>
        </w:tc>
        <w:tc>
          <w:tcPr>
            <w:tcW w:w="994" w:type="pct"/>
            <w:vAlign w:val="bottom"/>
          </w:tcPr>
          <w:p w:rsidR="00D66BEA" w:rsidRPr="003C7820" w:rsidRDefault="00D66BEA" w:rsidP="00D66BE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C7820">
              <w:rPr>
                <w:rFonts w:ascii="Calibri" w:hAnsi="Calibri"/>
                <w:b/>
                <w:bCs/>
                <w:color w:val="FFFFFF" w:themeColor="background1"/>
                <w:sz w:val="10"/>
                <w:szCs w:val="10"/>
              </w:rPr>
              <w:t>20.2</w:t>
            </w:r>
          </w:p>
        </w:tc>
        <w:tc>
          <w:tcPr>
            <w:tcW w:w="994" w:type="pct"/>
            <w:vAlign w:val="bottom"/>
          </w:tcPr>
          <w:p w:rsidR="00D66BEA" w:rsidRPr="003C7820" w:rsidRDefault="00D66BEA" w:rsidP="00D66BEA">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3C7820">
              <w:rPr>
                <w:rFonts w:ascii="Calibri" w:hAnsi="Calibri"/>
                <w:b/>
                <w:bCs/>
                <w:color w:val="FFFFFF" w:themeColor="background1"/>
                <w:sz w:val="10"/>
                <w:szCs w:val="10"/>
              </w:rPr>
              <w:t>28.0</w:t>
            </w:r>
          </w:p>
        </w:tc>
      </w:tr>
    </w:tbl>
    <w:p w:rsidR="005116E5" w:rsidRDefault="00CA3F22" w:rsidP="009638D3">
      <w:pPr>
        <w:pStyle w:val="Source"/>
        <w:spacing w:before="2880"/>
      </w:pPr>
      <w:r w:rsidRPr="005116E5">
        <w:t>Source: PBO analysis of MBS data from the Department of Human Services, ABS and Treasury.</w:t>
      </w:r>
    </w:p>
    <w:p w:rsidR="00232965" w:rsidRDefault="00232965" w:rsidP="00081899">
      <w:pPr>
        <w:pStyle w:val="Heading1"/>
        <w:rPr>
          <w:rFonts w:asciiTheme="minorHAnsi" w:hAnsiTheme="minorHAnsi" w:cs="Times New Roman"/>
          <w:bCs w:val="0"/>
          <w:color w:val="auto"/>
          <w:spacing w:val="-1"/>
          <w:kern w:val="0"/>
          <w:sz w:val="22"/>
          <w:szCs w:val="22"/>
        </w:rPr>
        <w:sectPr w:rsidR="00232965" w:rsidSect="00232965">
          <w:pgSz w:w="11907" w:h="16839" w:code="9"/>
          <w:pgMar w:top="1361" w:right="1797" w:bottom="1474" w:left="1797" w:header="283" w:footer="454" w:gutter="0"/>
          <w:cols w:space="708"/>
          <w:docGrid w:linePitch="360"/>
        </w:sectPr>
      </w:pPr>
      <w:bookmarkStart w:id="75" w:name="_Toc433621265"/>
      <w:bookmarkStart w:id="76" w:name="_Toc436050784"/>
      <w:bookmarkEnd w:id="45"/>
      <w:bookmarkEnd w:id="75"/>
    </w:p>
    <w:p w:rsidR="00081899" w:rsidRDefault="00DF7D43" w:rsidP="00081899">
      <w:pPr>
        <w:pStyle w:val="Heading1"/>
      </w:pPr>
      <w:bookmarkStart w:id="77" w:name="_Toc436205150"/>
      <w:bookmarkStart w:id="78" w:name="_Toc436208547"/>
      <w:r>
        <w:lastRenderedPageBreak/>
        <w:t>M</w:t>
      </w:r>
      <w:r w:rsidR="007365DE">
        <w:t>edicare Benefits Schedule</w:t>
      </w:r>
      <w:r w:rsidR="00081899" w:rsidRPr="00227D7D">
        <w:t xml:space="preserve"> spending by category</w:t>
      </w:r>
      <w:bookmarkEnd w:id="76"/>
      <w:bookmarkEnd w:id="77"/>
      <w:bookmarkEnd w:id="78"/>
    </w:p>
    <w:p w:rsidR="00056916" w:rsidRPr="00660F37" w:rsidRDefault="00056916" w:rsidP="00056916">
      <w:pPr>
        <w:pStyle w:val="BodyText"/>
      </w:pPr>
      <w:r w:rsidRPr="00660F37">
        <w:t xml:space="preserve">The analysis in this </w:t>
      </w:r>
      <w:r w:rsidR="004D0D7A">
        <w:t>chapter</w:t>
      </w:r>
      <w:r w:rsidRPr="00660F37">
        <w:t xml:space="preserve"> focusses on the utilisation of services (services </w:t>
      </w:r>
      <w:r w:rsidR="00C244CA">
        <w:t>per person</w:t>
      </w:r>
      <w:r w:rsidRPr="00660F37">
        <w:t xml:space="preserve">) and the costs to government of these services (benefits paid per service) within each </w:t>
      </w:r>
      <w:r w:rsidR="00326162">
        <w:t xml:space="preserve">MBS </w:t>
      </w:r>
      <w:r w:rsidRPr="00660F37">
        <w:t xml:space="preserve">category. </w:t>
      </w:r>
      <w:r>
        <w:t xml:space="preserve"> </w:t>
      </w:r>
      <w:r w:rsidRPr="00660F37">
        <w:t xml:space="preserve">This gives an indication of both the ‘volume’ and ‘price’ influences on spending.  The analysis highlights the key policy changes that have influenced services </w:t>
      </w:r>
      <w:r w:rsidR="00C244CA">
        <w:t>per person</w:t>
      </w:r>
      <w:r w:rsidRPr="00660F37">
        <w:t xml:space="preserve"> and </w:t>
      </w:r>
      <w:proofErr w:type="gramStart"/>
      <w:r w:rsidRPr="00660F37">
        <w:t>benefits paid per service bet</w:t>
      </w:r>
      <w:r w:rsidR="00A11BBB">
        <w:t>ween 1993</w:t>
      </w:r>
      <w:r w:rsidR="005A69D0">
        <w:t>–</w:t>
      </w:r>
      <w:r w:rsidRPr="00660F37">
        <w:t>94 and 2014</w:t>
      </w:r>
      <w:r w:rsidR="005A69D0">
        <w:t>–</w:t>
      </w:r>
      <w:r w:rsidRPr="00660F37">
        <w:t>15 for each category, and includes</w:t>
      </w:r>
      <w:proofErr w:type="gramEnd"/>
      <w:r w:rsidRPr="00660F37">
        <w:t xml:space="preserve"> projections for each category.</w:t>
      </w:r>
    </w:p>
    <w:p w:rsidR="00B24A4C" w:rsidRPr="00227D7D" w:rsidRDefault="00B24A4C" w:rsidP="00EF5DAC">
      <w:pPr>
        <w:pStyle w:val="Heading2"/>
      </w:pPr>
      <w:bookmarkStart w:id="79" w:name="_Toc436050785"/>
      <w:r w:rsidRPr="00227D7D">
        <w:t>Pathology and diagnostics</w:t>
      </w:r>
      <w:bookmarkEnd w:id="79"/>
    </w:p>
    <w:p w:rsidR="006D5E7F" w:rsidRDefault="001B7499" w:rsidP="00B24A4C">
      <w:pPr>
        <w:pStyle w:val="BodyText"/>
      </w:pPr>
      <w:r>
        <w:t>S</w:t>
      </w:r>
      <w:r w:rsidR="00B539D6" w:rsidRPr="00227D7D">
        <w:t xml:space="preserve">pending </w:t>
      </w:r>
      <w:r w:rsidR="00C244CA">
        <w:t>per person</w:t>
      </w:r>
      <w:r w:rsidR="00B30AB3" w:rsidRPr="00227D7D">
        <w:t xml:space="preserve"> </w:t>
      </w:r>
      <w:r w:rsidR="00B539D6" w:rsidRPr="00227D7D">
        <w:t>on patho</w:t>
      </w:r>
      <w:r w:rsidR="00744E50" w:rsidRPr="00227D7D">
        <w:t>logy and diagnostics grew by 2.</w:t>
      </w:r>
      <w:r w:rsidR="001B69F1" w:rsidRPr="00227D7D">
        <w:t>6</w:t>
      </w:r>
      <w:r w:rsidR="00BC062B" w:rsidRPr="00227D7D">
        <w:t> per cent annually</w:t>
      </w:r>
      <w:r>
        <w:t xml:space="preserve"> in real terms</w:t>
      </w:r>
      <w:r w:rsidR="00BC062B" w:rsidRPr="00227D7D">
        <w:t xml:space="preserve"> between 1993</w:t>
      </w:r>
      <w:r w:rsidR="005A69D0">
        <w:t>–</w:t>
      </w:r>
      <w:r w:rsidR="00B539D6" w:rsidRPr="00227D7D">
        <w:t>94 and 201</w:t>
      </w:r>
      <w:r w:rsidR="00744E50" w:rsidRPr="00227D7D">
        <w:t>4</w:t>
      </w:r>
      <w:r w:rsidR="005A69D0">
        <w:t>–</w:t>
      </w:r>
      <w:r w:rsidR="00B539D6" w:rsidRPr="00227D7D">
        <w:t>1</w:t>
      </w:r>
      <w:r w:rsidR="00744E50" w:rsidRPr="00227D7D">
        <w:t>5</w:t>
      </w:r>
      <w:r w:rsidR="00B539D6" w:rsidRPr="00227D7D">
        <w:t>,</w:t>
      </w:r>
      <w:r w:rsidR="00B24A4C" w:rsidRPr="00227D7D">
        <w:t xml:space="preserve"> account</w:t>
      </w:r>
      <w:r w:rsidR="00B539D6" w:rsidRPr="00227D7D">
        <w:t>ing</w:t>
      </w:r>
      <w:r w:rsidR="00B24A4C" w:rsidRPr="00227D7D">
        <w:t xml:space="preserve"> for </w:t>
      </w:r>
      <w:r w:rsidR="0085473F" w:rsidRPr="00227D7D">
        <w:t>a</w:t>
      </w:r>
      <w:r w:rsidR="00744E50" w:rsidRPr="00227D7D">
        <w:t>round a</w:t>
      </w:r>
      <w:r w:rsidR="0085473F" w:rsidRPr="00227D7D">
        <w:t xml:space="preserve"> </w:t>
      </w:r>
      <w:r w:rsidR="00B539D6" w:rsidRPr="00227D7D">
        <w:t xml:space="preserve">third </w:t>
      </w:r>
      <w:r w:rsidR="00B24A4C" w:rsidRPr="00227D7D">
        <w:t xml:space="preserve">of the total </w:t>
      </w:r>
      <w:r>
        <w:t xml:space="preserve">real </w:t>
      </w:r>
      <w:r w:rsidR="00B24A4C" w:rsidRPr="005F390D">
        <w:t xml:space="preserve">growth in </w:t>
      </w:r>
      <w:r w:rsidR="00B24A4C" w:rsidRPr="00227D7D">
        <w:t xml:space="preserve">spending </w:t>
      </w:r>
      <w:r w:rsidR="00C244CA">
        <w:t>per person</w:t>
      </w:r>
      <w:r w:rsidR="006B581A" w:rsidRPr="00227D7D">
        <w:t xml:space="preserve"> </w:t>
      </w:r>
      <w:r w:rsidR="00296A8B" w:rsidRPr="00227D7D">
        <w:t xml:space="preserve">on </w:t>
      </w:r>
      <w:r w:rsidR="00DF7D43">
        <w:t>the MBS</w:t>
      </w:r>
      <w:r w:rsidR="00296A8B" w:rsidRPr="00227D7D">
        <w:t xml:space="preserve"> </w:t>
      </w:r>
      <w:r w:rsidR="006B581A" w:rsidRPr="00227D7D">
        <w:t>over the</w:t>
      </w:r>
      <w:r w:rsidR="001B69F1" w:rsidRPr="00227D7D">
        <w:t xml:space="preserve"> period</w:t>
      </w:r>
      <w:r w:rsidR="00266F0A" w:rsidRPr="00227D7D">
        <w:t xml:space="preserve">.  </w:t>
      </w:r>
      <w:r w:rsidR="00D03359">
        <w:t>In</w:t>
      </w:r>
      <w:r w:rsidR="006D5E7F">
        <w:t xml:space="preserve"> 2014</w:t>
      </w:r>
      <w:r w:rsidR="005A69D0">
        <w:t>–</w:t>
      </w:r>
      <w:r w:rsidR="006D5E7F">
        <w:t xml:space="preserve">15, pathology and diagnostic services accounted for </w:t>
      </w:r>
      <w:r w:rsidR="00693AA7">
        <w:t>30 per cent</w:t>
      </w:r>
      <w:r w:rsidR="00D03359">
        <w:t xml:space="preserve"> </w:t>
      </w:r>
      <w:r w:rsidR="006D5E7F">
        <w:t xml:space="preserve">of </w:t>
      </w:r>
      <w:r w:rsidR="00DF7D43">
        <w:t>MBS</w:t>
      </w:r>
      <w:r w:rsidR="006D5E7F">
        <w:t xml:space="preserve"> spending.</w:t>
      </w:r>
    </w:p>
    <w:p w:rsidR="00B539D6" w:rsidRPr="00227D7D" w:rsidRDefault="009E2AE0" w:rsidP="00B24A4C">
      <w:pPr>
        <w:pStyle w:val="BodyText"/>
      </w:pPr>
      <w:r w:rsidRPr="00227D7D">
        <w:t>Diagnostic services include imaging services such as ultrasounds</w:t>
      </w:r>
      <w:r w:rsidR="006A7630" w:rsidRPr="00227D7D">
        <w:t xml:space="preserve"> and</w:t>
      </w:r>
      <w:r w:rsidRPr="00227D7D">
        <w:t xml:space="preserve"> </w:t>
      </w:r>
      <w:r w:rsidR="006A7630" w:rsidRPr="00227D7D">
        <w:t xml:space="preserve">CT scans as well as diagnostic procedures such as electrocardiograms and colonoscopies. </w:t>
      </w:r>
      <w:r w:rsidR="00F77B6A" w:rsidRPr="00227D7D">
        <w:t xml:space="preserve"> </w:t>
      </w:r>
      <w:r w:rsidR="006A7630" w:rsidRPr="00227D7D">
        <w:t>Pathology services include chemical and biological testing of samples such</w:t>
      </w:r>
      <w:r w:rsidR="00EE1FF9" w:rsidRPr="00227D7D">
        <w:t xml:space="preserve"> as</w:t>
      </w:r>
      <w:r w:rsidR="006A7630" w:rsidRPr="00227D7D">
        <w:t xml:space="preserve"> blood and genetic tests.</w:t>
      </w:r>
    </w:p>
    <w:p w:rsidR="00BC77B3" w:rsidRPr="00227D7D" w:rsidRDefault="00BB3458" w:rsidP="00BC77B3">
      <w:pPr>
        <w:pStyle w:val="BodyText"/>
      </w:pPr>
      <w:r w:rsidRPr="0069789D">
        <w:t>From 1993</w:t>
      </w:r>
      <w:r w:rsidR="005A69D0">
        <w:t>–</w:t>
      </w:r>
      <w:r w:rsidRPr="0069789D">
        <w:t>94 to 2014</w:t>
      </w:r>
      <w:r w:rsidR="005A69D0">
        <w:t>–</w:t>
      </w:r>
      <w:r w:rsidRPr="0069789D">
        <w:t>15</w:t>
      </w:r>
      <w:r w:rsidR="00541112" w:rsidRPr="0069789D">
        <w:t>, t</w:t>
      </w:r>
      <w:r w:rsidR="00BC77B3" w:rsidRPr="0069789D">
        <w:t xml:space="preserve">he </w:t>
      </w:r>
      <w:r w:rsidR="00ED10A9" w:rsidRPr="0069789D">
        <w:t xml:space="preserve">benefit paid </w:t>
      </w:r>
      <w:r w:rsidR="003C5DE3" w:rsidRPr="0069789D">
        <w:t xml:space="preserve">per service </w:t>
      </w:r>
      <w:r w:rsidR="00ED10A9" w:rsidRPr="0069789D">
        <w:t>for</w:t>
      </w:r>
      <w:r w:rsidR="00B30AB3" w:rsidRPr="0069789D">
        <w:t xml:space="preserve"> </w:t>
      </w:r>
      <w:r w:rsidR="00BC77B3" w:rsidRPr="0069789D">
        <w:t>pathology and diagnostic services declined by 1.</w:t>
      </w:r>
      <w:r w:rsidR="00861CC1" w:rsidRPr="0069789D">
        <w:t>1</w:t>
      </w:r>
      <w:r w:rsidR="00BC77B3" w:rsidRPr="0069789D">
        <w:t> per cent annually</w:t>
      </w:r>
      <w:r w:rsidR="00AF6CB8" w:rsidRPr="0069789D">
        <w:t xml:space="preserve"> </w:t>
      </w:r>
      <w:r w:rsidR="001B7499" w:rsidRPr="0069789D">
        <w:t xml:space="preserve">in real terms </w:t>
      </w:r>
      <w:r w:rsidR="00AF6CB8" w:rsidRPr="0069789D">
        <w:t xml:space="preserve">aided by funding agreements between the </w:t>
      </w:r>
      <w:r w:rsidR="007108E1">
        <w:t>Australian</w:t>
      </w:r>
      <w:r w:rsidR="00AF6CB8" w:rsidRPr="0069789D">
        <w:t xml:space="preserve"> Government and the pathology and diagnostic industries </w:t>
      </w:r>
      <w:r w:rsidR="0059331E" w:rsidRPr="0069789D">
        <w:t xml:space="preserve">designed </w:t>
      </w:r>
      <w:r w:rsidR="00AF6CB8" w:rsidRPr="0069789D">
        <w:t>to cap growth in outlays on these services.</w:t>
      </w:r>
      <w:r w:rsidR="00BC77B3" w:rsidRPr="0069789D">
        <w:t xml:space="preserve"> </w:t>
      </w:r>
      <w:r w:rsidR="00406235" w:rsidRPr="0069789D">
        <w:t xml:space="preserve"> Unlike other MBS services, pathology and diagnostic benefit levels have not been indexed since 1998</w:t>
      </w:r>
      <w:r w:rsidR="00406235" w:rsidRPr="00934E2F">
        <w:t xml:space="preserve">.  </w:t>
      </w:r>
      <w:r w:rsidR="00BC7D40" w:rsidRPr="00934E2F">
        <w:rPr>
          <w:rFonts w:ascii="Calibri" w:eastAsia="Calibri" w:hAnsi="Calibri"/>
        </w:rPr>
        <w:t xml:space="preserve">In addition, </w:t>
      </w:r>
      <w:r w:rsidR="00BC7D40" w:rsidRPr="00934E2F">
        <w:t xml:space="preserve">technology improvements in the pathology industry allowed significantly more services to be delivered for a given benefit level.  </w:t>
      </w:r>
      <w:r w:rsidR="00AF6CB8" w:rsidRPr="00934E2F">
        <w:t>T</w:t>
      </w:r>
      <w:r w:rsidR="00D25CFD" w:rsidRPr="00934E2F">
        <w:t xml:space="preserve">he impact of </w:t>
      </w:r>
      <w:r w:rsidR="00BC77B3" w:rsidRPr="00934E2F">
        <w:t>this was more than offset by increases</w:t>
      </w:r>
      <w:r w:rsidR="00BC77B3" w:rsidRPr="0069789D">
        <w:t xml:space="preserve"> in the number of services accessed </w:t>
      </w:r>
      <w:r w:rsidR="00C244CA">
        <w:t>per person</w:t>
      </w:r>
      <w:r w:rsidR="00BC77B3" w:rsidRPr="0069789D">
        <w:t xml:space="preserve"> </w:t>
      </w:r>
      <w:proofErr w:type="gramStart"/>
      <w:r w:rsidR="00BC77B3" w:rsidRPr="0069789D">
        <w:t>which</w:t>
      </w:r>
      <w:proofErr w:type="gramEnd"/>
      <w:r w:rsidR="00BC77B3" w:rsidRPr="0069789D">
        <w:t xml:space="preserve"> grew </w:t>
      </w:r>
      <w:r w:rsidR="00541112" w:rsidRPr="0069789D">
        <w:t>by</w:t>
      </w:r>
      <w:r w:rsidR="00BC77B3" w:rsidRPr="0069789D">
        <w:t xml:space="preserve"> 3.</w:t>
      </w:r>
      <w:r w:rsidR="00555101" w:rsidRPr="0069789D">
        <w:t>7</w:t>
      </w:r>
      <w:r w:rsidR="00BC77B3" w:rsidRPr="0069789D">
        <w:t> per cent annually (</w:t>
      </w:r>
      <w:r w:rsidR="00A37A17">
        <w:fldChar w:fldCharType="begin"/>
      </w:r>
      <w:r w:rsidR="00A37A17">
        <w:instrText xml:space="preserve"> REF _Ref436044302 \h </w:instrText>
      </w:r>
      <w:r w:rsidR="00A37A17">
        <w:fldChar w:fldCharType="separate"/>
      </w:r>
      <w:r w:rsidR="00235C48" w:rsidRPr="00A37A17">
        <w:t xml:space="preserve">Figure </w:t>
      </w:r>
      <w:r w:rsidR="00235C48">
        <w:rPr>
          <w:noProof/>
        </w:rPr>
        <w:t>3</w:t>
      </w:r>
      <w:r w:rsidR="00235C48" w:rsidRPr="00A37A17">
        <w:t>–</w:t>
      </w:r>
      <w:r w:rsidR="00235C48">
        <w:rPr>
          <w:noProof/>
        </w:rPr>
        <w:t>1</w:t>
      </w:r>
      <w:r w:rsidR="00A37A17">
        <w:fldChar w:fldCharType="end"/>
      </w:r>
      <w:r w:rsidR="00A37A17">
        <w:t>)</w:t>
      </w:r>
      <w:r w:rsidR="00774762" w:rsidRPr="0069789D">
        <w:t>.</w:t>
      </w:r>
    </w:p>
    <w:p w:rsidR="00A37A17" w:rsidRPr="00A37A17" w:rsidRDefault="000918D3" w:rsidP="00A37A17">
      <w:pPr>
        <w:pStyle w:val="Caption"/>
      </w:pPr>
      <w:bookmarkStart w:id="80" w:name="_Ref436044302"/>
      <w:bookmarkStart w:id="81" w:name="_Toc436051001"/>
      <w:bookmarkStart w:id="82" w:name="_Toc436205223"/>
      <w:r>
        <w:rPr>
          <w:noProof/>
          <w:lang w:eastAsia="en-AU"/>
        </w:rPr>
        <w:drawing>
          <wp:anchor distT="0" distB="0" distL="114300" distR="114300" simplePos="0" relativeHeight="251684864" behindDoc="0" locked="0" layoutInCell="1" allowOverlap="1">
            <wp:simplePos x="0" y="0"/>
            <wp:positionH relativeFrom="column">
              <wp:posOffset>-100831</wp:posOffset>
            </wp:positionH>
            <wp:positionV relativeFrom="paragraph">
              <wp:posOffset>552450</wp:posOffset>
            </wp:positionV>
            <wp:extent cx="5401310" cy="2097405"/>
            <wp:effectExtent l="0" t="0" r="889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401310" cy="2097405"/>
                    </a:xfrm>
                    <a:prstGeom prst="rect">
                      <a:avLst/>
                    </a:prstGeom>
                    <a:noFill/>
                  </pic:spPr>
                </pic:pic>
              </a:graphicData>
            </a:graphic>
            <wp14:sizeRelH relativeFrom="page">
              <wp14:pctWidth>0</wp14:pctWidth>
            </wp14:sizeRelH>
            <wp14:sizeRelV relativeFrom="page">
              <wp14:pctHeight>0</wp14:pctHeight>
            </wp14:sizeRelV>
          </wp:anchor>
        </w:drawing>
      </w:r>
      <w:r w:rsidR="00A37A17" w:rsidRPr="00A37A17">
        <w:t xml:space="preserve">Figure </w:t>
      </w:r>
      <w:fldSimple w:instr=" STYLEREF 1 \s ">
        <w:r w:rsidR="00235C48">
          <w:rPr>
            <w:noProof/>
          </w:rPr>
          <w:t>3</w:t>
        </w:r>
      </w:fldSimple>
      <w:r w:rsidR="00A37A17" w:rsidRPr="00A37A17">
        <w:t>–</w:t>
      </w:r>
      <w:fldSimple w:instr=" SEQ Figure \* ARABIC \s 1 ">
        <w:r w:rsidR="00235C48">
          <w:rPr>
            <w:noProof/>
          </w:rPr>
          <w:t>1</w:t>
        </w:r>
      </w:fldSimple>
      <w:bookmarkEnd w:id="80"/>
      <w:r w:rsidR="00A37A17" w:rsidRPr="00A37A17">
        <w:t>: Pathology and diagnostics, benefit paid per service (2014</w:t>
      </w:r>
      <w:r w:rsidR="00A37A17">
        <w:t>–</w:t>
      </w:r>
      <w:r w:rsidR="00A37A17" w:rsidRPr="00A37A17">
        <w:t>15 dollars) and services per person</w:t>
      </w:r>
      <w:bookmarkEnd w:id="81"/>
      <w:bookmarkEnd w:id="82"/>
    </w:p>
    <w:tbl>
      <w:tblPr>
        <w:tblStyle w:val="TableGrid"/>
        <w:tblW w:w="6888" w:type="pct"/>
        <w:tblInd w:w="-1555" w:type="dxa"/>
        <w:tblLook w:val="0680" w:firstRow="0" w:lastRow="0" w:firstColumn="1" w:lastColumn="0" w:noHBand="1" w:noVBand="1"/>
      </w:tblPr>
      <w:tblGrid>
        <w:gridCol w:w="1533"/>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0"/>
        <w:gridCol w:w="300"/>
        <w:gridCol w:w="300"/>
        <w:gridCol w:w="300"/>
        <w:gridCol w:w="300"/>
        <w:gridCol w:w="300"/>
        <w:gridCol w:w="300"/>
        <w:gridCol w:w="300"/>
        <w:gridCol w:w="300"/>
        <w:gridCol w:w="300"/>
        <w:gridCol w:w="300"/>
        <w:gridCol w:w="300"/>
        <w:gridCol w:w="300"/>
        <w:gridCol w:w="300"/>
      </w:tblGrid>
      <w:tr w:rsidR="00235C48" w:rsidTr="007D562F">
        <w:trPr>
          <w:cantSplit/>
        </w:trPr>
        <w:tc>
          <w:tcPr>
            <w:cnfStyle w:val="001000000000" w:firstRow="0" w:lastRow="0" w:firstColumn="1" w:lastColumn="0" w:oddVBand="0" w:evenVBand="0" w:oddHBand="0" w:evenHBand="0" w:firstRowFirstColumn="0" w:firstRowLastColumn="0" w:lastRowFirstColumn="0" w:lastRowLastColumn="0"/>
            <w:tcW w:w="668" w:type="pct"/>
            <w:vAlign w:val="bottom"/>
          </w:tcPr>
          <w:p w:rsidR="00235C48" w:rsidRPr="007D562F" w:rsidRDefault="00235C48" w:rsidP="00235C48">
            <w:pPr>
              <w:spacing w:before="0" w:after="0" w:line="240" w:lineRule="auto"/>
              <w:ind w:left="0" w:right="57"/>
              <w:rPr>
                <w:rFonts w:ascii="Calibri" w:hAnsi="Calibri"/>
                <w:b/>
                <w:bCs/>
                <w:color w:val="FFFFFF" w:themeColor="background1"/>
                <w:sz w:val="10"/>
                <w:szCs w:val="10"/>
              </w:rPr>
            </w:pPr>
            <w:r w:rsidRPr="007D562F">
              <w:rPr>
                <w:rFonts w:ascii="Calibri" w:hAnsi="Calibri"/>
                <w:b/>
                <w:bCs/>
                <w:color w:val="FFFFFF" w:themeColor="background1"/>
                <w:sz w:val="10"/>
                <w:szCs w:val="10"/>
              </w:rPr>
              <w:t>Pathology and diagnostics</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7D562F">
              <w:rPr>
                <w:rFonts w:ascii="Calibri" w:hAnsi="Calibri"/>
                <w:b/>
                <w:bCs/>
                <w:color w:val="FFFFFF" w:themeColor="background1"/>
                <w:sz w:val="10"/>
                <w:szCs w:val="10"/>
              </w:rPr>
              <w:t>1993-94</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7D562F">
              <w:rPr>
                <w:rFonts w:ascii="Calibri" w:hAnsi="Calibri"/>
                <w:b/>
                <w:bCs/>
                <w:color w:val="FFFFFF" w:themeColor="background1"/>
                <w:sz w:val="10"/>
                <w:szCs w:val="10"/>
              </w:rPr>
              <w:t>1994-95</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7D562F">
              <w:rPr>
                <w:rFonts w:ascii="Calibri" w:hAnsi="Calibri"/>
                <w:b/>
                <w:bCs/>
                <w:color w:val="FFFFFF" w:themeColor="background1"/>
                <w:sz w:val="10"/>
                <w:szCs w:val="10"/>
              </w:rPr>
              <w:t>1995-96</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7D562F">
              <w:rPr>
                <w:rFonts w:ascii="Calibri" w:hAnsi="Calibri"/>
                <w:b/>
                <w:bCs/>
                <w:color w:val="FFFFFF" w:themeColor="background1"/>
                <w:sz w:val="10"/>
                <w:szCs w:val="10"/>
              </w:rPr>
              <w:t>1996-97</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7D562F">
              <w:rPr>
                <w:rFonts w:ascii="Calibri" w:hAnsi="Calibri"/>
                <w:b/>
                <w:bCs/>
                <w:color w:val="FFFFFF" w:themeColor="background1"/>
                <w:sz w:val="10"/>
                <w:szCs w:val="10"/>
              </w:rPr>
              <w:t>1997-98</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7D562F">
              <w:rPr>
                <w:rFonts w:ascii="Calibri" w:hAnsi="Calibri"/>
                <w:b/>
                <w:bCs/>
                <w:color w:val="FFFFFF" w:themeColor="background1"/>
                <w:sz w:val="10"/>
                <w:szCs w:val="10"/>
              </w:rPr>
              <w:t>1998-99</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7D562F">
              <w:rPr>
                <w:rFonts w:ascii="Calibri" w:hAnsi="Calibri"/>
                <w:b/>
                <w:bCs/>
                <w:color w:val="FFFFFF" w:themeColor="background1"/>
                <w:sz w:val="10"/>
                <w:szCs w:val="10"/>
              </w:rPr>
              <w:t>1999-00</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7D562F">
              <w:rPr>
                <w:rFonts w:ascii="Calibri" w:hAnsi="Calibri"/>
                <w:b/>
                <w:bCs/>
                <w:color w:val="FFFFFF" w:themeColor="background1"/>
                <w:sz w:val="10"/>
                <w:szCs w:val="10"/>
              </w:rPr>
              <w:t>2000-01</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7D562F">
              <w:rPr>
                <w:rFonts w:ascii="Calibri" w:hAnsi="Calibri"/>
                <w:b/>
                <w:bCs/>
                <w:color w:val="FFFFFF" w:themeColor="background1"/>
                <w:sz w:val="10"/>
                <w:szCs w:val="10"/>
              </w:rPr>
              <w:t>2001-02</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7D562F">
              <w:rPr>
                <w:rFonts w:ascii="Calibri" w:hAnsi="Calibri"/>
                <w:b/>
                <w:bCs/>
                <w:color w:val="FFFFFF" w:themeColor="background1"/>
                <w:sz w:val="10"/>
                <w:szCs w:val="10"/>
              </w:rPr>
              <w:t>2002-03</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7D562F">
              <w:rPr>
                <w:rFonts w:ascii="Calibri" w:hAnsi="Calibri"/>
                <w:b/>
                <w:bCs/>
                <w:color w:val="FFFFFF" w:themeColor="background1"/>
                <w:sz w:val="10"/>
                <w:szCs w:val="10"/>
              </w:rPr>
              <w:t>2003-04</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7D562F">
              <w:rPr>
                <w:rFonts w:ascii="Calibri" w:hAnsi="Calibri"/>
                <w:b/>
                <w:bCs/>
                <w:color w:val="FFFFFF" w:themeColor="background1"/>
                <w:sz w:val="10"/>
                <w:szCs w:val="10"/>
              </w:rPr>
              <w:t>2004-05</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7D562F">
              <w:rPr>
                <w:rFonts w:ascii="Calibri" w:hAnsi="Calibri"/>
                <w:b/>
                <w:bCs/>
                <w:color w:val="FFFFFF" w:themeColor="background1"/>
                <w:sz w:val="10"/>
                <w:szCs w:val="10"/>
              </w:rPr>
              <w:t>2005-06</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7D562F">
              <w:rPr>
                <w:rFonts w:ascii="Calibri" w:hAnsi="Calibri"/>
                <w:b/>
                <w:bCs/>
                <w:color w:val="FFFFFF" w:themeColor="background1"/>
                <w:sz w:val="10"/>
                <w:szCs w:val="10"/>
              </w:rPr>
              <w:t>2006-07</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7D562F">
              <w:rPr>
                <w:rFonts w:ascii="Calibri" w:hAnsi="Calibri"/>
                <w:b/>
                <w:bCs/>
                <w:color w:val="FFFFFF" w:themeColor="background1"/>
                <w:sz w:val="10"/>
                <w:szCs w:val="10"/>
              </w:rPr>
              <w:t>2007-08</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7D562F">
              <w:rPr>
                <w:rFonts w:ascii="Calibri" w:hAnsi="Calibri"/>
                <w:b/>
                <w:bCs/>
                <w:color w:val="FFFFFF" w:themeColor="background1"/>
                <w:sz w:val="10"/>
                <w:szCs w:val="10"/>
              </w:rPr>
              <w:t>2008-09</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7D562F">
              <w:rPr>
                <w:rFonts w:ascii="Calibri" w:hAnsi="Calibri"/>
                <w:b/>
                <w:bCs/>
                <w:color w:val="FFFFFF" w:themeColor="background1"/>
                <w:sz w:val="10"/>
                <w:szCs w:val="10"/>
              </w:rPr>
              <w:t>2009-10</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7D562F">
              <w:rPr>
                <w:rFonts w:ascii="Calibri" w:hAnsi="Calibri"/>
                <w:b/>
                <w:bCs/>
                <w:color w:val="FFFFFF" w:themeColor="background1"/>
                <w:sz w:val="10"/>
                <w:szCs w:val="10"/>
              </w:rPr>
              <w:t>2010-11</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7D562F">
              <w:rPr>
                <w:rFonts w:ascii="Calibri" w:hAnsi="Calibri"/>
                <w:b/>
                <w:bCs/>
                <w:color w:val="FFFFFF" w:themeColor="background1"/>
                <w:sz w:val="10"/>
                <w:szCs w:val="10"/>
              </w:rPr>
              <w:t>2011-12</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7D562F">
              <w:rPr>
                <w:rFonts w:ascii="Calibri" w:hAnsi="Calibri"/>
                <w:b/>
                <w:bCs/>
                <w:color w:val="FFFFFF" w:themeColor="background1"/>
                <w:sz w:val="10"/>
                <w:szCs w:val="10"/>
              </w:rPr>
              <w:t>2012-13</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7D562F">
              <w:rPr>
                <w:rFonts w:ascii="Calibri" w:hAnsi="Calibri"/>
                <w:b/>
                <w:bCs/>
                <w:color w:val="FFFFFF" w:themeColor="background1"/>
                <w:sz w:val="10"/>
                <w:szCs w:val="10"/>
              </w:rPr>
              <w:t>2013-14</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7D562F">
              <w:rPr>
                <w:rFonts w:ascii="Calibri" w:hAnsi="Calibri"/>
                <w:b/>
                <w:bCs/>
                <w:color w:val="FFFFFF" w:themeColor="background1"/>
                <w:sz w:val="10"/>
                <w:szCs w:val="10"/>
              </w:rPr>
              <w:t>2014-15</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7D562F">
              <w:rPr>
                <w:rFonts w:ascii="Calibri" w:hAnsi="Calibri"/>
                <w:b/>
                <w:bCs/>
                <w:color w:val="FFFFFF" w:themeColor="background1"/>
                <w:sz w:val="10"/>
                <w:szCs w:val="10"/>
              </w:rPr>
              <w:t>2015-16</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7D562F">
              <w:rPr>
                <w:rFonts w:ascii="Calibri" w:hAnsi="Calibri"/>
                <w:b/>
                <w:bCs/>
                <w:color w:val="FFFFFF" w:themeColor="background1"/>
                <w:sz w:val="10"/>
                <w:szCs w:val="10"/>
              </w:rPr>
              <w:t>2016-17</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7D562F">
              <w:rPr>
                <w:rFonts w:ascii="Calibri" w:hAnsi="Calibri"/>
                <w:b/>
                <w:bCs/>
                <w:color w:val="FFFFFF" w:themeColor="background1"/>
                <w:sz w:val="10"/>
                <w:szCs w:val="10"/>
              </w:rPr>
              <w:t>2017-18</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7D562F">
              <w:rPr>
                <w:rFonts w:ascii="Calibri" w:hAnsi="Calibri"/>
                <w:b/>
                <w:bCs/>
                <w:color w:val="FFFFFF" w:themeColor="background1"/>
                <w:sz w:val="10"/>
                <w:szCs w:val="10"/>
              </w:rPr>
              <w:t>2018-19</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7D562F">
              <w:rPr>
                <w:rFonts w:ascii="Calibri" w:hAnsi="Calibri"/>
                <w:b/>
                <w:bCs/>
                <w:color w:val="FFFFFF" w:themeColor="background1"/>
                <w:sz w:val="10"/>
                <w:szCs w:val="10"/>
              </w:rPr>
              <w:t>2019-20</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7D562F">
              <w:rPr>
                <w:rFonts w:ascii="Calibri" w:hAnsi="Calibri"/>
                <w:b/>
                <w:bCs/>
                <w:color w:val="FFFFFF" w:themeColor="background1"/>
                <w:sz w:val="10"/>
                <w:szCs w:val="10"/>
              </w:rPr>
              <w:t>2020-21</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7D562F">
              <w:rPr>
                <w:rFonts w:ascii="Calibri" w:hAnsi="Calibri"/>
                <w:b/>
                <w:bCs/>
                <w:color w:val="FFFFFF" w:themeColor="background1"/>
                <w:sz w:val="10"/>
                <w:szCs w:val="10"/>
              </w:rPr>
              <w:t>2021-22</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7D562F">
              <w:rPr>
                <w:rFonts w:ascii="Calibri" w:hAnsi="Calibri"/>
                <w:b/>
                <w:bCs/>
                <w:color w:val="FFFFFF" w:themeColor="background1"/>
                <w:sz w:val="10"/>
                <w:szCs w:val="10"/>
              </w:rPr>
              <w:t>2022-23</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7D562F">
              <w:rPr>
                <w:rFonts w:ascii="Calibri" w:hAnsi="Calibri"/>
                <w:b/>
                <w:bCs/>
                <w:color w:val="FFFFFF" w:themeColor="background1"/>
                <w:sz w:val="10"/>
                <w:szCs w:val="10"/>
              </w:rPr>
              <w:t>2023-24</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7D562F">
              <w:rPr>
                <w:rFonts w:ascii="Calibri" w:hAnsi="Calibri"/>
                <w:b/>
                <w:bCs/>
                <w:color w:val="FFFFFF" w:themeColor="background1"/>
                <w:sz w:val="10"/>
                <w:szCs w:val="10"/>
              </w:rPr>
              <w:t>2024-25</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7D562F">
              <w:rPr>
                <w:rFonts w:ascii="Calibri" w:hAnsi="Calibri"/>
                <w:b/>
                <w:bCs/>
                <w:color w:val="FFFFFF" w:themeColor="background1"/>
                <w:sz w:val="10"/>
                <w:szCs w:val="10"/>
              </w:rPr>
              <w:t>2025-26</w:t>
            </w:r>
          </w:p>
        </w:tc>
      </w:tr>
      <w:tr w:rsidR="00235C48" w:rsidTr="007D562F">
        <w:trPr>
          <w:cantSplit/>
        </w:trPr>
        <w:tc>
          <w:tcPr>
            <w:cnfStyle w:val="001000000000" w:firstRow="0" w:lastRow="0" w:firstColumn="1" w:lastColumn="0" w:oddVBand="0" w:evenVBand="0" w:oddHBand="0" w:evenHBand="0" w:firstRowFirstColumn="0" w:firstRowLastColumn="0" w:lastRowFirstColumn="0" w:lastRowLastColumn="0"/>
            <w:tcW w:w="668" w:type="pct"/>
            <w:vAlign w:val="bottom"/>
          </w:tcPr>
          <w:p w:rsidR="00235C48" w:rsidRPr="007D562F" w:rsidRDefault="00235C48" w:rsidP="00235C48">
            <w:pPr>
              <w:spacing w:before="0" w:after="0" w:line="240" w:lineRule="auto"/>
              <w:ind w:left="0" w:right="57"/>
              <w:rPr>
                <w:rFonts w:ascii="Calibri" w:hAnsi="Calibri"/>
                <w:color w:val="FFFFFF" w:themeColor="background1"/>
                <w:sz w:val="10"/>
                <w:szCs w:val="10"/>
              </w:rPr>
            </w:pPr>
            <w:r w:rsidRPr="007D562F">
              <w:rPr>
                <w:rFonts w:ascii="Calibri" w:hAnsi="Calibri"/>
                <w:color w:val="FFFFFF" w:themeColor="background1"/>
                <w:sz w:val="10"/>
                <w:szCs w:val="10"/>
              </w:rPr>
              <w:t>Benefit paid per service ($2014-15)</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48.3</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47.6</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47.2</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46.7</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47.9</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49.7</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48.8</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46.2</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44.2</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43.5</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43.1</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43.9</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43.2</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42.4</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40.5</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39.7</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39.3</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38.1</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38.2</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37.9</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37.6</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38.1</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37.6</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37.0</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36.5</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35.9</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35.4</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34.8</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34.2</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33.7</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33.1</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32.6</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32.0</w:t>
            </w:r>
          </w:p>
        </w:tc>
      </w:tr>
      <w:tr w:rsidR="00235C48" w:rsidTr="007D562F">
        <w:trPr>
          <w:cantSplit/>
        </w:trPr>
        <w:tc>
          <w:tcPr>
            <w:cnfStyle w:val="001000000000" w:firstRow="0" w:lastRow="0" w:firstColumn="1" w:lastColumn="0" w:oddVBand="0" w:evenVBand="0" w:oddHBand="0" w:evenHBand="0" w:firstRowFirstColumn="0" w:firstRowLastColumn="0" w:lastRowFirstColumn="0" w:lastRowLastColumn="0"/>
            <w:tcW w:w="668" w:type="pct"/>
            <w:vAlign w:val="bottom"/>
          </w:tcPr>
          <w:p w:rsidR="00235C48" w:rsidRPr="007D562F" w:rsidRDefault="00235C48" w:rsidP="00235C48">
            <w:pPr>
              <w:spacing w:before="0" w:after="0" w:line="240" w:lineRule="auto"/>
              <w:ind w:left="0" w:right="57"/>
              <w:rPr>
                <w:rFonts w:ascii="Calibri" w:hAnsi="Calibri"/>
                <w:color w:val="FFFFFF" w:themeColor="background1"/>
                <w:sz w:val="10"/>
                <w:szCs w:val="10"/>
              </w:rPr>
            </w:pPr>
            <w:r w:rsidRPr="007D562F">
              <w:rPr>
                <w:rFonts w:ascii="Calibri" w:hAnsi="Calibri"/>
                <w:color w:val="FFFFFF" w:themeColor="background1"/>
                <w:sz w:val="10"/>
                <w:szCs w:val="10"/>
              </w:rPr>
              <w:t>Number of services per person</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3.1</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3.3</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3.4</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3.5</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3.6</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3.8</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3.9</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4.1</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4.4</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4.5</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4.6</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4.8</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5.0</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5.2</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5.6</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5.7</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5.8</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6.0</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6.2</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6.5</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6.7</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6.7</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6.9</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7.1</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7.3</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7.5</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7.7</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7.9</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8.1</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8.3</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8.5</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8.7</w:t>
            </w:r>
          </w:p>
        </w:tc>
        <w:tc>
          <w:tcPr>
            <w:tcW w:w="131" w:type="pct"/>
            <w:vAlign w:val="bottom"/>
          </w:tcPr>
          <w:p w:rsidR="00235C48" w:rsidRPr="007D562F" w:rsidRDefault="00235C48" w:rsidP="00235C4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7D562F">
              <w:rPr>
                <w:rFonts w:ascii="Calibri" w:hAnsi="Calibri"/>
                <w:color w:val="FFFFFF" w:themeColor="background1"/>
                <w:sz w:val="10"/>
                <w:szCs w:val="10"/>
              </w:rPr>
              <w:t>8.9</w:t>
            </w:r>
          </w:p>
        </w:tc>
      </w:tr>
    </w:tbl>
    <w:p w:rsidR="00126CB9" w:rsidRPr="00227D7D" w:rsidRDefault="00126CB9" w:rsidP="00E3480E">
      <w:pPr>
        <w:pStyle w:val="Source"/>
        <w:spacing w:before="2880"/>
      </w:pPr>
      <w:r w:rsidRPr="00227D7D">
        <w:t xml:space="preserve">Source: PBO analysis of </w:t>
      </w:r>
      <w:r w:rsidR="00DF7D43">
        <w:t>MBS</w:t>
      </w:r>
      <w:r w:rsidRPr="00227D7D">
        <w:t xml:space="preserve"> data from the Department of Human Services</w:t>
      </w:r>
      <w:r w:rsidR="002B6C3D">
        <w:t>, ABS and Treasury</w:t>
      </w:r>
      <w:r w:rsidRPr="00227D7D">
        <w:t>.</w:t>
      </w:r>
    </w:p>
    <w:p w:rsidR="00175BE9" w:rsidRDefault="004372A4" w:rsidP="00175BE9">
      <w:pPr>
        <w:pStyle w:val="BodyText"/>
      </w:pPr>
      <w:r w:rsidRPr="00227D7D">
        <w:lastRenderedPageBreak/>
        <w:t>The</w:t>
      </w:r>
      <w:r w:rsidR="0099362D" w:rsidRPr="00227D7D">
        <w:t xml:space="preserve"> increase in the number of services </w:t>
      </w:r>
      <w:r w:rsidR="00C244CA">
        <w:t>per person</w:t>
      </w:r>
      <w:r w:rsidR="0099362D" w:rsidRPr="00227D7D">
        <w:t xml:space="preserve"> was la</w:t>
      </w:r>
      <w:r w:rsidR="0099362D" w:rsidRPr="00AE7431">
        <w:t>rgely driven by growing utilisation of pathology services such as microbiology, haematology and chemical pathology</w:t>
      </w:r>
      <w:r w:rsidR="00D60F0D" w:rsidRPr="00AE7431">
        <w:t>.</w:t>
      </w:r>
      <w:r w:rsidR="00086E84" w:rsidRPr="00AE7431">
        <w:t xml:space="preserve">  </w:t>
      </w:r>
      <w:r w:rsidR="00175BE9" w:rsidRPr="00AE7431">
        <w:t>In particular, males aged 75 and over</w:t>
      </w:r>
      <w:r w:rsidR="00175BE9" w:rsidRPr="00AE7431">
        <w:rPr>
          <w:rFonts w:ascii="Calibri" w:eastAsia="Calibri" w:hAnsi="Calibri"/>
        </w:rPr>
        <w:t xml:space="preserve"> </w:t>
      </w:r>
      <w:r w:rsidR="00175BE9" w:rsidRPr="00AE7431">
        <w:t>increase</w:t>
      </w:r>
      <w:r w:rsidR="00D53CE3" w:rsidRPr="00AE7431">
        <w:t>d</w:t>
      </w:r>
      <w:r w:rsidR="00175BE9" w:rsidRPr="00AE7431">
        <w:t xml:space="preserve"> the number of pathology services </w:t>
      </w:r>
      <w:r w:rsidR="00016D72">
        <w:t xml:space="preserve">they </w:t>
      </w:r>
      <w:r w:rsidR="00175BE9" w:rsidRPr="00AE7431">
        <w:t xml:space="preserve">accessed during the latter part of the past decade, reflecting a greater focus on chronic disease management and preventative health strategies.  This group of older men rapidly increased the number of pathology and diagnostic services </w:t>
      </w:r>
      <w:r w:rsidR="00BC7D40">
        <w:t xml:space="preserve">they </w:t>
      </w:r>
      <w:r w:rsidR="00175BE9" w:rsidRPr="00AE7431">
        <w:t xml:space="preserve">accessed to a </w:t>
      </w:r>
      <w:r w:rsidR="00BC7D40">
        <w:t>level</w:t>
      </w:r>
      <w:r w:rsidR="00175BE9" w:rsidRPr="00AE7431">
        <w:t xml:space="preserve"> above that of females aged 75 and over by 2014</w:t>
      </w:r>
      <w:r w:rsidR="00000A93">
        <w:t>–</w:t>
      </w:r>
      <w:r w:rsidR="00175BE9" w:rsidRPr="00AE7431">
        <w:t>15.</w:t>
      </w:r>
    </w:p>
    <w:p w:rsidR="0099362D" w:rsidRPr="00227D7D" w:rsidRDefault="00CE0378" w:rsidP="0099362D">
      <w:pPr>
        <w:pStyle w:val="BodyText"/>
      </w:pPr>
      <w:r>
        <w:t xml:space="preserve">The growth in utilisation of diagnostic services also contributed to growth in the number of services </w:t>
      </w:r>
      <w:r w:rsidR="00C244CA">
        <w:t>per person</w:t>
      </w:r>
      <w:r>
        <w:t xml:space="preserve">. </w:t>
      </w:r>
      <w:r w:rsidR="00A052CF">
        <w:t xml:space="preserve"> </w:t>
      </w:r>
      <w:r w:rsidR="00C753BD">
        <w:t>Sign</w:t>
      </w:r>
      <w:r w:rsidR="00A052CF">
        <w:t xml:space="preserve">ificant new services </w:t>
      </w:r>
      <w:r w:rsidR="00C753BD">
        <w:t xml:space="preserve">were added over the period but despite this </w:t>
      </w:r>
      <w:r w:rsidR="00AF1AE9" w:rsidRPr="00227D7D">
        <w:t>t</w:t>
      </w:r>
      <w:r w:rsidR="00CB1785" w:rsidRPr="00227D7D">
        <w:t xml:space="preserve">he </w:t>
      </w:r>
      <w:r w:rsidR="0099362D" w:rsidRPr="00227D7D">
        <w:t xml:space="preserve">benefit paid per </w:t>
      </w:r>
      <w:r w:rsidR="00D60F0D" w:rsidRPr="00227D7D">
        <w:t xml:space="preserve">diagnostic </w:t>
      </w:r>
      <w:r w:rsidR="0099362D" w:rsidRPr="00227D7D">
        <w:t>service remained flat</w:t>
      </w:r>
      <w:r w:rsidR="001B7499">
        <w:t xml:space="preserve"> in real terms</w:t>
      </w:r>
      <w:r w:rsidR="0099362D" w:rsidRPr="00227D7D">
        <w:t>.  The addition of new high-</w:t>
      </w:r>
      <w:r w:rsidR="00FD06DA" w:rsidRPr="00227D7D">
        <w:t>cost</w:t>
      </w:r>
      <w:r w:rsidR="0099362D" w:rsidRPr="00227D7D">
        <w:t xml:space="preserve"> services such as CT </w:t>
      </w:r>
      <w:r w:rsidR="007D16EB" w:rsidRPr="00227D7D">
        <w:t xml:space="preserve">scans </w:t>
      </w:r>
      <w:r w:rsidR="0099362D" w:rsidRPr="00227D7D">
        <w:t>(expanded in 1996</w:t>
      </w:r>
      <w:r w:rsidR="00000A93">
        <w:t>–</w:t>
      </w:r>
      <w:r w:rsidR="0099362D" w:rsidRPr="00227D7D">
        <w:t xml:space="preserve">97) </w:t>
      </w:r>
      <w:r w:rsidR="00D60F0D" w:rsidRPr="00227D7D">
        <w:t>and MRI scans (introduced in 1998</w:t>
      </w:r>
      <w:r w:rsidR="00000A93">
        <w:t>–</w:t>
      </w:r>
      <w:r w:rsidR="00D60F0D" w:rsidRPr="00227D7D">
        <w:t xml:space="preserve">99) </w:t>
      </w:r>
      <w:r w:rsidR="00CB1785" w:rsidRPr="00227D7D">
        <w:t>w</w:t>
      </w:r>
      <w:r w:rsidR="006C0B7A">
        <w:t>as</w:t>
      </w:r>
      <w:r w:rsidR="00CB1785" w:rsidRPr="00227D7D">
        <w:t xml:space="preserve"> </w:t>
      </w:r>
      <w:r w:rsidR="0099362D" w:rsidRPr="00227D7D">
        <w:t xml:space="preserve">offset </w:t>
      </w:r>
      <w:r w:rsidR="00CB1785" w:rsidRPr="00227D7D">
        <w:t xml:space="preserve">by </w:t>
      </w:r>
      <w:r w:rsidR="001B7499">
        <w:t xml:space="preserve">real </w:t>
      </w:r>
      <w:r w:rsidR="0099362D" w:rsidRPr="00227D7D">
        <w:t xml:space="preserve">declines in benefits paid </w:t>
      </w:r>
      <w:r w:rsidR="00D60F0D" w:rsidRPr="00227D7D">
        <w:t>for</w:t>
      </w:r>
      <w:r w:rsidR="0099362D" w:rsidRPr="00227D7D">
        <w:t xml:space="preserve"> other diagnostic services</w:t>
      </w:r>
      <w:r w:rsidR="000D596C" w:rsidRPr="0034303C">
        <w:t xml:space="preserve">, as a consequence of funding agreements with </w:t>
      </w:r>
      <w:r w:rsidR="00412E86" w:rsidRPr="008A0495">
        <w:t>radiologists</w:t>
      </w:r>
      <w:r w:rsidR="0099362D" w:rsidRPr="0034303C">
        <w:t>.</w:t>
      </w:r>
    </w:p>
    <w:p w:rsidR="00D53CE3" w:rsidRDefault="00D53CE3" w:rsidP="0069789D">
      <w:pPr>
        <w:pStyle w:val="BodyText"/>
      </w:pPr>
      <w:r w:rsidRPr="002961A0">
        <w:t>Growth in s</w:t>
      </w:r>
      <w:r w:rsidR="006024F5" w:rsidRPr="002961A0">
        <w:t xml:space="preserve">pending </w:t>
      </w:r>
      <w:r w:rsidR="00C244CA">
        <w:t>per person</w:t>
      </w:r>
      <w:r w:rsidR="00787256" w:rsidRPr="002961A0">
        <w:t xml:space="preserve"> on pathology and diagnostics</w:t>
      </w:r>
      <w:r w:rsidR="00873200" w:rsidRPr="002961A0">
        <w:t xml:space="preserve"> is projected to slow to</w:t>
      </w:r>
      <w:r w:rsidRPr="002961A0">
        <w:t xml:space="preserve"> </w:t>
      </w:r>
      <w:r w:rsidR="00D03359" w:rsidRPr="002961A0">
        <w:t>1.</w:t>
      </w:r>
      <w:r w:rsidR="00D71C58" w:rsidRPr="002961A0">
        <w:t>0</w:t>
      </w:r>
      <w:r w:rsidR="006024F5" w:rsidRPr="002961A0">
        <w:t xml:space="preserve"> per cent annually </w:t>
      </w:r>
      <w:r w:rsidR="001B7499" w:rsidRPr="002961A0">
        <w:t xml:space="preserve">in real terms </w:t>
      </w:r>
      <w:r w:rsidR="006024F5" w:rsidRPr="002961A0">
        <w:t>between 2014</w:t>
      </w:r>
      <w:r w:rsidR="00000A93">
        <w:t>–</w:t>
      </w:r>
      <w:r w:rsidR="006024F5" w:rsidRPr="002961A0">
        <w:t>15 and 2025</w:t>
      </w:r>
      <w:r w:rsidR="00000A93">
        <w:t>–</w:t>
      </w:r>
      <w:r w:rsidR="006024F5" w:rsidRPr="002961A0">
        <w:t>26.</w:t>
      </w:r>
      <w:r w:rsidR="00506FFD" w:rsidRPr="002961A0">
        <w:t xml:space="preserve"> </w:t>
      </w:r>
      <w:r w:rsidR="006E4317" w:rsidRPr="002961A0">
        <w:t xml:space="preserve"> </w:t>
      </w:r>
      <w:r w:rsidR="00A85A90" w:rsidRPr="002961A0">
        <w:t xml:space="preserve">Growth in the </w:t>
      </w:r>
      <w:r w:rsidR="00787256" w:rsidRPr="002961A0">
        <w:t xml:space="preserve">number of services </w:t>
      </w:r>
      <w:r w:rsidR="00C244CA">
        <w:t>per person</w:t>
      </w:r>
      <w:r w:rsidRPr="002961A0">
        <w:t xml:space="preserve"> is projected to slow to</w:t>
      </w:r>
      <w:r w:rsidR="00787256" w:rsidRPr="002961A0">
        <w:t xml:space="preserve"> 2.</w:t>
      </w:r>
      <w:r w:rsidR="00D71C58" w:rsidRPr="002961A0">
        <w:t>6</w:t>
      </w:r>
      <w:r w:rsidR="00787256" w:rsidRPr="002961A0">
        <w:t> per cent annually over the period</w:t>
      </w:r>
      <w:r w:rsidR="0069789D" w:rsidRPr="002961A0">
        <w:t xml:space="preserve"> reflecting usage rates for pathology and diagnostic services for males aged 75 and over having caught up to equivalent female usage rates over the past decade</w:t>
      </w:r>
      <w:r w:rsidRPr="002961A0">
        <w:t xml:space="preserve">.  </w:t>
      </w:r>
      <w:r w:rsidR="006A0908" w:rsidRPr="002961A0">
        <w:t>The benefit paid per service is projected to decline by 1.6 per cent annually in real terms over the period consistent with the trend of the past decade.</w:t>
      </w:r>
    </w:p>
    <w:p w:rsidR="00F91F36" w:rsidRPr="00227D7D" w:rsidRDefault="00EC09B4" w:rsidP="00826CC3">
      <w:pPr>
        <w:pStyle w:val="Heading2"/>
      </w:pPr>
      <w:bookmarkStart w:id="83" w:name="_Toc436050786"/>
      <w:r w:rsidRPr="00227D7D">
        <w:t xml:space="preserve">GP </w:t>
      </w:r>
      <w:r w:rsidR="006A3C88" w:rsidRPr="00227D7D">
        <w:t xml:space="preserve">and GP-type </w:t>
      </w:r>
      <w:r w:rsidRPr="00227D7D">
        <w:t>services</w:t>
      </w:r>
      <w:bookmarkEnd w:id="83"/>
    </w:p>
    <w:p w:rsidR="005B04D4" w:rsidRDefault="001B7499" w:rsidP="00950362">
      <w:pPr>
        <w:pStyle w:val="BodyText"/>
      </w:pPr>
      <w:r>
        <w:t>S</w:t>
      </w:r>
      <w:r w:rsidR="00085712" w:rsidRPr="00227D7D">
        <w:t xml:space="preserve">pending </w:t>
      </w:r>
      <w:r w:rsidR="00C244CA">
        <w:t>per person</w:t>
      </w:r>
      <w:r w:rsidR="002767FC" w:rsidRPr="00227D7D">
        <w:t xml:space="preserve"> on </w:t>
      </w:r>
      <w:r w:rsidR="00950362" w:rsidRPr="00227D7D">
        <w:t xml:space="preserve">GP </w:t>
      </w:r>
      <w:r w:rsidR="006A3C88" w:rsidRPr="00227D7D">
        <w:t xml:space="preserve">and GP-type </w:t>
      </w:r>
      <w:r w:rsidR="00950362" w:rsidRPr="00227D7D">
        <w:t xml:space="preserve">services </w:t>
      </w:r>
      <w:r w:rsidR="006A3C88" w:rsidRPr="00227D7D">
        <w:t xml:space="preserve">(GP services) </w:t>
      </w:r>
      <w:r w:rsidR="008C552C" w:rsidRPr="00227D7D">
        <w:t>grew by 1.</w:t>
      </w:r>
      <w:r w:rsidR="000E6D8B" w:rsidRPr="00227D7D">
        <w:t>6</w:t>
      </w:r>
      <w:r w:rsidR="008C552C" w:rsidRPr="00227D7D">
        <w:t xml:space="preserve"> per cent annually</w:t>
      </w:r>
      <w:r w:rsidR="00767F04" w:rsidRPr="00227D7D">
        <w:t xml:space="preserve"> </w:t>
      </w:r>
      <w:r>
        <w:t xml:space="preserve">in real terms </w:t>
      </w:r>
      <w:r w:rsidR="00767F04" w:rsidRPr="00227D7D">
        <w:t>between 1993</w:t>
      </w:r>
      <w:r w:rsidR="000D1B15">
        <w:t>–</w:t>
      </w:r>
      <w:r w:rsidR="00767F04" w:rsidRPr="00227D7D">
        <w:t>94 and 2014</w:t>
      </w:r>
      <w:r w:rsidR="000D1B15">
        <w:t>–</w:t>
      </w:r>
      <w:r w:rsidR="00767F04" w:rsidRPr="00227D7D">
        <w:t>15</w:t>
      </w:r>
      <w:r w:rsidR="008C552C" w:rsidRPr="00227D7D">
        <w:t xml:space="preserve">, accounting </w:t>
      </w:r>
      <w:r w:rsidR="00B95F33" w:rsidRPr="00227D7D">
        <w:t xml:space="preserve">for </w:t>
      </w:r>
      <w:r w:rsidR="00DA02A4" w:rsidRPr="00227D7D">
        <w:t>around a quarter</w:t>
      </w:r>
      <w:r w:rsidR="00950362" w:rsidRPr="00227D7D">
        <w:t xml:space="preserve"> of the total </w:t>
      </w:r>
      <w:r w:rsidR="00B30AB3" w:rsidRPr="00227D7D">
        <w:t xml:space="preserve">real </w:t>
      </w:r>
      <w:r w:rsidR="00B84E2A" w:rsidRPr="00227D7D">
        <w:t>growth</w:t>
      </w:r>
      <w:r w:rsidR="00296A8B" w:rsidRPr="00227D7D">
        <w:t xml:space="preserve"> in </w:t>
      </w:r>
      <w:r w:rsidR="00950362" w:rsidRPr="00227D7D">
        <w:t>s</w:t>
      </w:r>
      <w:r w:rsidR="005E5150" w:rsidRPr="00227D7D">
        <w:t xml:space="preserve">pending </w:t>
      </w:r>
      <w:r w:rsidR="00C244CA">
        <w:t>per person</w:t>
      </w:r>
      <w:r w:rsidR="005E5150" w:rsidRPr="00227D7D">
        <w:t xml:space="preserve"> </w:t>
      </w:r>
      <w:r w:rsidR="00296A8B" w:rsidRPr="00227D7D">
        <w:t xml:space="preserve">on </w:t>
      </w:r>
      <w:r w:rsidR="00DF7D43">
        <w:t>the MBS</w:t>
      </w:r>
      <w:r w:rsidR="00296A8B" w:rsidRPr="00227D7D">
        <w:t xml:space="preserve"> </w:t>
      </w:r>
      <w:r w:rsidR="006B581A" w:rsidRPr="00227D7D">
        <w:t>over the period</w:t>
      </w:r>
      <w:r w:rsidR="00266F0A" w:rsidRPr="00227D7D">
        <w:t xml:space="preserve">.  </w:t>
      </w:r>
      <w:r w:rsidR="005B04D4">
        <w:t>By 2014</w:t>
      </w:r>
      <w:r w:rsidR="000D1B15">
        <w:t>–</w:t>
      </w:r>
      <w:r w:rsidR="005B04D4">
        <w:t xml:space="preserve">15, spending on GP services </w:t>
      </w:r>
      <w:r w:rsidR="00A63D57">
        <w:t xml:space="preserve">accounted for </w:t>
      </w:r>
      <w:r w:rsidR="005B04D4">
        <w:t xml:space="preserve">around one-third of all </w:t>
      </w:r>
      <w:r w:rsidR="00DF7D43">
        <w:t>MBS</w:t>
      </w:r>
      <w:r w:rsidR="005B04D4">
        <w:t xml:space="preserve"> spending.</w:t>
      </w:r>
    </w:p>
    <w:p w:rsidR="00345AA9" w:rsidRDefault="005B04D4" w:rsidP="00BA7FB9">
      <w:pPr>
        <w:pStyle w:val="BodyText"/>
      </w:pPr>
      <w:r>
        <w:t>T</w:t>
      </w:r>
      <w:r w:rsidR="00B84E2A" w:rsidRPr="00227D7D">
        <w:t xml:space="preserve">here were marked differences in the spending trends </w:t>
      </w:r>
      <w:r w:rsidR="00DA02A4" w:rsidRPr="00227D7D">
        <w:t xml:space="preserve">over </w:t>
      </w:r>
      <w:r w:rsidR="006B581A" w:rsidRPr="00227D7D">
        <w:t>the past two decades</w:t>
      </w:r>
      <w:r w:rsidR="00D5272A" w:rsidRPr="00227D7D">
        <w:t>.</w:t>
      </w:r>
      <w:r>
        <w:t xml:space="preserve">  </w:t>
      </w:r>
      <w:r w:rsidR="00750359" w:rsidRPr="00227D7D">
        <w:t>From 1993</w:t>
      </w:r>
      <w:r w:rsidR="000D1B15">
        <w:t>–</w:t>
      </w:r>
      <w:r w:rsidR="00750359" w:rsidRPr="00227D7D">
        <w:t>94 to 2003</w:t>
      </w:r>
      <w:r w:rsidR="000D1B15">
        <w:t>–</w:t>
      </w:r>
      <w:r w:rsidR="00750359" w:rsidRPr="00227D7D">
        <w:t>04</w:t>
      </w:r>
      <w:r w:rsidR="00BA7FB9" w:rsidRPr="00227D7D">
        <w:t xml:space="preserve">, </w:t>
      </w:r>
      <w:r w:rsidR="00BA4169" w:rsidRPr="00227D7D">
        <w:t xml:space="preserve">spending </w:t>
      </w:r>
      <w:r w:rsidR="00C244CA">
        <w:t>per person</w:t>
      </w:r>
      <w:r w:rsidR="00BA4169" w:rsidRPr="00227D7D">
        <w:t xml:space="preserve"> on GP services </w:t>
      </w:r>
      <w:r w:rsidR="00F066F4" w:rsidRPr="00227D7D">
        <w:t xml:space="preserve">(excluding the impact of bulk billing incentives) contracted by </w:t>
      </w:r>
      <w:r w:rsidR="00BA4169" w:rsidRPr="00227D7D">
        <w:t>0.</w:t>
      </w:r>
      <w:r w:rsidR="00F066F4" w:rsidRPr="00227D7D">
        <w:t>8</w:t>
      </w:r>
      <w:r w:rsidR="00BA4169" w:rsidRPr="00227D7D">
        <w:t> per cent</w:t>
      </w:r>
      <w:r w:rsidR="00F066F4" w:rsidRPr="00227D7D">
        <w:t xml:space="preserve"> </w:t>
      </w:r>
      <w:r w:rsidR="00DE162C" w:rsidRPr="00227D7D">
        <w:t>annually</w:t>
      </w:r>
      <w:r w:rsidR="001B7499">
        <w:t xml:space="preserve"> in real terms</w:t>
      </w:r>
      <w:r w:rsidR="003649D9">
        <w:t>.</w:t>
      </w:r>
    </w:p>
    <w:p w:rsidR="000D1B15" w:rsidRDefault="003C2DCD" w:rsidP="00BA7FB9">
      <w:pPr>
        <w:pStyle w:val="BodyText"/>
      </w:pPr>
      <w:r w:rsidRPr="000467F6">
        <w:t xml:space="preserve">This </w:t>
      </w:r>
      <w:r w:rsidR="00345AA9" w:rsidRPr="000467F6">
        <w:t xml:space="preserve">contraction </w:t>
      </w:r>
      <w:r w:rsidR="006432B8" w:rsidRPr="000467F6">
        <w:t xml:space="preserve">partly </w:t>
      </w:r>
      <w:r w:rsidRPr="000467F6">
        <w:t xml:space="preserve">reflected the decline in the number of general practitioners </w:t>
      </w:r>
      <w:r w:rsidR="00C244CA">
        <w:t>per person</w:t>
      </w:r>
      <w:r w:rsidRPr="000467F6">
        <w:t xml:space="preserve"> over the period</w:t>
      </w:r>
      <w:r w:rsidR="00B35272" w:rsidRPr="000467F6">
        <w:t xml:space="preserve">.  In 1996, the </w:t>
      </w:r>
      <w:r w:rsidR="00A75FA0">
        <w:t xml:space="preserve">Australian </w:t>
      </w:r>
      <w:r w:rsidR="00B35272" w:rsidRPr="000467F6">
        <w:t>Government</w:t>
      </w:r>
      <w:r w:rsidRPr="000467F6">
        <w:t xml:space="preserve"> </w:t>
      </w:r>
      <w:r w:rsidR="00B35272" w:rsidRPr="000467F6">
        <w:t>placed a</w:t>
      </w:r>
      <w:r w:rsidRPr="000467F6">
        <w:t xml:space="preserve"> cap o</w:t>
      </w:r>
      <w:r w:rsidR="00A63D57" w:rsidRPr="000467F6">
        <w:t>n</w:t>
      </w:r>
      <w:r w:rsidRPr="000467F6">
        <w:t xml:space="preserve"> Commonwealth-funded medical places </w:t>
      </w:r>
      <w:r w:rsidR="00B35272" w:rsidRPr="000467F6">
        <w:t xml:space="preserve">and restrictions on </w:t>
      </w:r>
      <w:r w:rsidR="00950D6A">
        <w:t>migrant</w:t>
      </w:r>
      <w:r w:rsidR="00B35272" w:rsidRPr="000467F6">
        <w:t xml:space="preserve"> GPs entering Australia</w:t>
      </w:r>
      <w:r w:rsidR="000D1B15">
        <w:t>,</w:t>
      </w:r>
      <w:r w:rsidR="00F862F2" w:rsidRPr="00701D20">
        <w:rPr>
          <w:rStyle w:val="FootnoteReference"/>
        </w:rPr>
        <w:footnoteReference w:id="19"/>
      </w:r>
      <w:r w:rsidR="00F862F2" w:rsidRPr="000467F6">
        <w:t xml:space="preserve"> </w:t>
      </w:r>
      <w:r w:rsidR="00A42848" w:rsidRPr="000467F6">
        <w:t xml:space="preserve">the implementation of </w:t>
      </w:r>
      <w:r w:rsidR="00F862F2" w:rsidRPr="000467F6">
        <w:t>which coincided with a fall in bulk billing rates</w:t>
      </w:r>
      <w:r w:rsidRPr="000467F6">
        <w:t xml:space="preserve">.  </w:t>
      </w:r>
      <w:r w:rsidR="00BD153E">
        <w:t>Subsequent</w:t>
      </w:r>
      <w:r w:rsidR="00BD153E" w:rsidRPr="000467F6">
        <w:t xml:space="preserve"> </w:t>
      </w:r>
      <w:r w:rsidR="00AA1E69">
        <w:t>policy changes to</w:t>
      </w:r>
      <w:r w:rsidR="00530C52" w:rsidRPr="000467F6">
        <w:t xml:space="preserve"> bulk billing incentives and increa</w:t>
      </w:r>
      <w:r w:rsidR="006365CC" w:rsidRPr="000467F6">
        <w:t>sing</w:t>
      </w:r>
      <w:r w:rsidR="001D7180" w:rsidRPr="000467F6">
        <w:t xml:space="preserve"> </w:t>
      </w:r>
      <w:r w:rsidR="006365CC" w:rsidRPr="000467F6">
        <w:t>rebates</w:t>
      </w:r>
      <w:r w:rsidR="001D7180" w:rsidRPr="000467F6">
        <w:t xml:space="preserve"> for GP visits</w:t>
      </w:r>
      <w:r w:rsidR="00530C52" w:rsidRPr="000467F6">
        <w:t xml:space="preserve"> </w:t>
      </w:r>
      <w:r w:rsidR="00F862F2" w:rsidRPr="000467F6">
        <w:t xml:space="preserve">sought to address </w:t>
      </w:r>
      <w:r w:rsidR="00AA1E69">
        <w:t>out-of-</w:t>
      </w:r>
      <w:r w:rsidR="00134EF7" w:rsidRPr="000467F6">
        <w:t>pocket costs</w:t>
      </w:r>
      <w:r w:rsidR="006365CC" w:rsidRPr="000467F6">
        <w:t xml:space="preserve"> for GP patients</w:t>
      </w:r>
      <w:r w:rsidR="00852228" w:rsidRPr="000467F6">
        <w:t>.</w:t>
      </w:r>
    </w:p>
    <w:p w:rsidR="00C16CE6" w:rsidRDefault="00520E09" w:rsidP="00BA7FB9">
      <w:pPr>
        <w:pStyle w:val="BodyText"/>
      </w:pPr>
      <w:r w:rsidRPr="00227D7D">
        <w:t>D</w:t>
      </w:r>
      <w:r w:rsidR="00F45F2F" w:rsidRPr="00227D7D">
        <w:t xml:space="preserve">espite the introduction of a number of new </w:t>
      </w:r>
      <w:r w:rsidR="00DF7D43">
        <w:t>MBS</w:t>
      </w:r>
      <w:r w:rsidR="00F45F2F" w:rsidRPr="00227D7D">
        <w:t xml:space="preserve"> items such as he</w:t>
      </w:r>
      <w:r w:rsidR="00645B79">
        <w:t xml:space="preserve">alth assessments for those over </w:t>
      </w:r>
      <w:r w:rsidR="00F45F2F" w:rsidRPr="00227D7D">
        <w:t>75</w:t>
      </w:r>
      <w:r w:rsidR="00BD13B8" w:rsidRPr="00227D7D">
        <w:t xml:space="preserve"> years of age</w:t>
      </w:r>
      <w:r w:rsidR="00F45F2F" w:rsidRPr="00227D7D">
        <w:t xml:space="preserve">, </w:t>
      </w:r>
      <w:r w:rsidR="00A769AA" w:rsidRPr="00227D7D">
        <w:t xml:space="preserve">the </w:t>
      </w:r>
      <w:r w:rsidR="00BA7FB9" w:rsidRPr="00227D7D">
        <w:t xml:space="preserve">number of GP services </w:t>
      </w:r>
      <w:r w:rsidR="00A769AA" w:rsidRPr="00227D7D">
        <w:t xml:space="preserve">accessed </w:t>
      </w:r>
      <w:r w:rsidR="00C244CA">
        <w:t>per person</w:t>
      </w:r>
      <w:r w:rsidR="00A769AA" w:rsidRPr="00227D7D">
        <w:t xml:space="preserve"> </w:t>
      </w:r>
      <w:r w:rsidR="00F45F2F" w:rsidRPr="00227D7D">
        <w:t xml:space="preserve">declined </w:t>
      </w:r>
      <w:r w:rsidR="007F7253" w:rsidRPr="00227D7D">
        <w:t>by</w:t>
      </w:r>
      <w:r w:rsidR="00A769AA" w:rsidRPr="00227D7D">
        <w:t xml:space="preserve"> 1</w:t>
      </w:r>
      <w:r w:rsidR="001512BC" w:rsidRPr="00227D7D">
        <w:t>.</w:t>
      </w:r>
      <w:r w:rsidR="00A769AA" w:rsidRPr="00227D7D">
        <w:t>0 per cent</w:t>
      </w:r>
      <w:r w:rsidRPr="00227D7D">
        <w:t xml:space="preserve"> annually</w:t>
      </w:r>
      <w:r w:rsidR="00980FD4">
        <w:t xml:space="preserve"> from </w:t>
      </w:r>
      <w:r w:rsidR="000D1B15">
        <w:t>1993–</w:t>
      </w:r>
      <w:r w:rsidR="00980FD4" w:rsidRPr="00871058">
        <w:t>94 to 2003</w:t>
      </w:r>
      <w:r w:rsidR="000D1B15">
        <w:t>–</w:t>
      </w:r>
      <w:r w:rsidR="00980FD4" w:rsidRPr="00871058">
        <w:t>04</w:t>
      </w:r>
      <w:r w:rsidR="00F45F2F" w:rsidRPr="00227D7D">
        <w:t xml:space="preserve">, </w:t>
      </w:r>
      <w:r w:rsidRPr="00227D7D">
        <w:t>more than offset</w:t>
      </w:r>
      <w:r w:rsidR="00F45F2F" w:rsidRPr="00227D7D">
        <w:t>ting</w:t>
      </w:r>
      <w:r w:rsidR="00A769AA" w:rsidRPr="00227D7D">
        <w:t xml:space="preserve"> the </w:t>
      </w:r>
      <w:r w:rsidR="00DA02A4" w:rsidRPr="00227D7D">
        <w:t xml:space="preserve">slight </w:t>
      </w:r>
      <w:r w:rsidR="00A769AA" w:rsidRPr="00227D7D">
        <w:t xml:space="preserve">rise in the </w:t>
      </w:r>
      <w:r w:rsidR="00ED10A9" w:rsidRPr="00227D7D">
        <w:t>benefit paid for</w:t>
      </w:r>
      <w:r w:rsidR="00BA7FB9" w:rsidRPr="00227D7D">
        <w:t xml:space="preserve"> services provided by GPs </w:t>
      </w:r>
      <w:r w:rsidR="00022EE3" w:rsidRPr="00227D7D">
        <w:t>and</w:t>
      </w:r>
      <w:r w:rsidR="00BA7FB9" w:rsidRPr="00227D7D">
        <w:t xml:space="preserve"> </w:t>
      </w:r>
      <w:r w:rsidR="000E6D8B" w:rsidRPr="00227D7D">
        <w:t>those providing GP-type services</w:t>
      </w:r>
      <w:r w:rsidR="00A769AA" w:rsidRPr="00227D7D">
        <w:t xml:space="preserve"> </w:t>
      </w:r>
      <w:r w:rsidRPr="00227D7D">
        <w:t xml:space="preserve">(up </w:t>
      </w:r>
      <w:r w:rsidR="00503304" w:rsidRPr="00227D7D">
        <w:t>0.</w:t>
      </w:r>
      <w:r w:rsidR="00E61AE4">
        <w:t>3</w:t>
      </w:r>
      <w:r w:rsidR="00BA7FB9" w:rsidRPr="00227D7D">
        <w:t> per cent</w:t>
      </w:r>
      <w:r w:rsidR="00503304" w:rsidRPr="00227D7D">
        <w:t xml:space="preserve"> </w:t>
      </w:r>
      <w:r w:rsidRPr="00227D7D">
        <w:t>annually</w:t>
      </w:r>
      <w:r w:rsidR="001B7499">
        <w:t xml:space="preserve"> in real terms</w:t>
      </w:r>
      <w:r w:rsidRPr="00227D7D">
        <w:t>)</w:t>
      </w:r>
      <w:r w:rsidR="00D5272A" w:rsidRPr="00227D7D">
        <w:t xml:space="preserve"> (</w:t>
      </w:r>
      <w:r w:rsidR="000D1B15">
        <w:fldChar w:fldCharType="begin"/>
      </w:r>
      <w:r w:rsidR="000D1B15">
        <w:instrText xml:space="preserve"> REF _Ref436044462 \h </w:instrText>
      </w:r>
      <w:r w:rsidR="000D1B15">
        <w:fldChar w:fldCharType="separate"/>
      </w:r>
      <w:r w:rsidR="00235C48" w:rsidRPr="000D1B15">
        <w:t xml:space="preserve">Figure </w:t>
      </w:r>
      <w:r w:rsidR="00235C48">
        <w:rPr>
          <w:noProof/>
        </w:rPr>
        <w:t>3</w:t>
      </w:r>
      <w:r w:rsidR="00235C48" w:rsidRPr="000D1B15">
        <w:t>–</w:t>
      </w:r>
      <w:r w:rsidR="00235C48">
        <w:rPr>
          <w:noProof/>
        </w:rPr>
        <w:t>2</w:t>
      </w:r>
      <w:r w:rsidR="000D1B15">
        <w:fldChar w:fldCharType="end"/>
      </w:r>
      <w:r w:rsidR="00D5272A" w:rsidRPr="00227D7D">
        <w:t>)</w:t>
      </w:r>
      <w:r w:rsidR="00266F0A" w:rsidRPr="00227D7D">
        <w:t>.</w:t>
      </w:r>
    </w:p>
    <w:p w:rsidR="00BA7FB9" w:rsidRDefault="006F6101" w:rsidP="00BA7FB9">
      <w:pPr>
        <w:pStyle w:val="BodyText"/>
      </w:pPr>
      <w:r w:rsidRPr="00227D7D">
        <w:lastRenderedPageBreak/>
        <w:t xml:space="preserve">GP services was the only </w:t>
      </w:r>
      <w:r w:rsidR="00DF7D43">
        <w:t>MBS</w:t>
      </w:r>
      <w:r w:rsidR="000E6D8B" w:rsidRPr="00227D7D">
        <w:t xml:space="preserve"> </w:t>
      </w:r>
      <w:r w:rsidRPr="00227D7D">
        <w:t>category for which</w:t>
      </w:r>
      <w:r w:rsidR="00EE1E4F" w:rsidRPr="00227D7D">
        <w:t xml:space="preserve"> the</w:t>
      </w:r>
      <w:r w:rsidRPr="00227D7D">
        <w:t xml:space="preserve"> </w:t>
      </w:r>
      <w:r w:rsidR="00ED10A9" w:rsidRPr="00227D7D">
        <w:t>benefit paid</w:t>
      </w:r>
      <w:r w:rsidRPr="00227D7D">
        <w:t xml:space="preserve"> per service </w:t>
      </w:r>
      <w:r w:rsidRPr="0099049E">
        <w:t xml:space="preserve">rose </w:t>
      </w:r>
      <w:r w:rsidR="001B7499" w:rsidRPr="0099049E">
        <w:t xml:space="preserve">in real terms </w:t>
      </w:r>
      <w:r w:rsidR="00520E09" w:rsidRPr="0099049E">
        <w:t>over</w:t>
      </w:r>
      <w:r w:rsidR="00520E09" w:rsidRPr="00227D7D">
        <w:t xml:space="preserve"> </w:t>
      </w:r>
      <w:r w:rsidRPr="00227D7D">
        <w:t xml:space="preserve">the </w:t>
      </w:r>
      <w:r w:rsidR="000D1B15">
        <w:t>period 1993–</w:t>
      </w:r>
      <w:r w:rsidR="00036E53" w:rsidRPr="00227D7D">
        <w:t>94 to 2003</w:t>
      </w:r>
      <w:r w:rsidR="000D1B15">
        <w:t>–</w:t>
      </w:r>
      <w:r w:rsidR="00036E53" w:rsidRPr="00227D7D">
        <w:t>04,</w:t>
      </w:r>
      <w:r w:rsidR="00D84692" w:rsidRPr="00227D7D">
        <w:t xml:space="preserve"> </w:t>
      </w:r>
      <w:r w:rsidR="006F1F54" w:rsidRPr="00227D7D">
        <w:t>as a result of an increase in the benefits paid for GP and emergency after-hours attendances in 2001</w:t>
      </w:r>
      <w:r w:rsidR="000D1B15">
        <w:t>–</w:t>
      </w:r>
      <w:r w:rsidR="006F1F54" w:rsidRPr="00227D7D">
        <w:t>02</w:t>
      </w:r>
      <w:r w:rsidRPr="00227D7D">
        <w:t>.</w:t>
      </w:r>
    </w:p>
    <w:p w:rsidR="000D1B15" w:rsidRPr="000D1B15" w:rsidRDefault="006F1585" w:rsidP="000D1B15">
      <w:pPr>
        <w:pStyle w:val="Caption"/>
      </w:pPr>
      <w:bookmarkStart w:id="84" w:name="_Ref436044462"/>
      <w:bookmarkStart w:id="85" w:name="_Toc436051002"/>
      <w:bookmarkStart w:id="86" w:name="_Toc436205224"/>
      <w:r>
        <w:rPr>
          <w:noProof/>
          <w:lang w:eastAsia="en-AU"/>
        </w:rPr>
        <w:drawing>
          <wp:anchor distT="0" distB="0" distL="114300" distR="114300" simplePos="0" relativeHeight="251685888" behindDoc="0" locked="0" layoutInCell="1" allowOverlap="1">
            <wp:simplePos x="0" y="0"/>
            <wp:positionH relativeFrom="column">
              <wp:posOffset>-104641</wp:posOffset>
            </wp:positionH>
            <wp:positionV relativeFrom="paragraph">
              <wp:posOffset>554355</wp:posOffset>
            </wp:positionV>
            <wp:extent cx="5206365" cy="223139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206365" cy="2231390"/>
                    </a:xfrm>
                    <a:prstGeom prst="rect">
                      <a:avLst/>
                    </a:prstGeom>
                    <a:noFill/>
                  </pic:spPr>
                </pic:pic>
              </a:graphicData>
            </a:graphic>
            <wp14:sizeRelH relativeFrom="page">
              <wp14:pctWidth>0</wp14:pctWidth>
            </wp14:sizeRelH>
            <wp14:sizeRelV relativeFrom="page">
              <wp14:pctHeight>0</wp14:pctHeight>
            </wp14:sizeRelV>
          </wp:anchor>
        </w:drawing>
      </w:r>
      <w:r w:rsidR="000D1B15" w:rsidRPr="000D1B15">
        <w:t xml:space="preserve">Figure </w:t>
      </w:r>
      <w:fldSimple w:instr=" STYLEREF 1 \s ">
        <w:r w:rsidR="00235C48">
          <w:rPr>
            <w:noProof/>
          </w:rPr>
          <w:t>3</w:t>
        </w:r>
      </w:fldSimple>
      <w:r w:rsidR="000D1B15" w:rsidRPr="000D1B15">
        <w:t>–</w:t>
      </w:r>
      <w:fldSimple w:instr=" SEQ Figure \* ARABIC \s 1 ">
        <w:r w:rsidR="00235C48">
          <w:rPr>
            <w:noProof/>
          </w:rPr>
          <w:t>2</w:t>
        </w:r>
      </w:fldSimple>
      <w:bookmarkEnd w:id="84"/>
      <w:r w:rsidR="000D1B15" w:rsidRPr="000D1B15">
        <w:t>: GP and GP-type services,</w:t>
      </w:r>
      <w:r w:rsidR="000D1B15">
        <w:t xml:space="preserve"> benefit paid per service (2014–</w:t>
      </w:r>
      <w:r w:rsidR="000D1B15" w:rsidRPr="000D1B15">
        <w:t>15 dollars) and services per person</w:t>
      </w:r>
      <w:bookmarkEnd w:id="85"/>
      <w:bookmarkEnd w:id="86"/>
    </w:p>
    <w:tbl>
      <w:tblPr>
        <w:tblStyle w:val="TableGrid"/>
        <w:tblW w:w="6888" w:type="pct"/>
        <w:tblInd w:w="-1555" w:type="dxa"/>
        <w:tblLook w:val="0680" w:firstRow="0" w:lastRow="0" w:firstColumn="1" w:lastColumn="0" w:noHBand="1" w:noVBand="1"/>
      </w:tblPr>
      <w:tblGrid>
        <w:gridCol w:w="1536"/>
        <w:gridCol w:w="301"/>
        <w:gridCol w:w="301"/>
        <w:gridCol w:w="301"/>
        <w:gridCol w:w="301"/>
        <w:gridCol w:w="301"/>
        <w:gridCol w:w="301"/>
        <w:gridCol w:w="301"/>
        <w:gridCol w:w="301"/>
        <w:gridCol w:w="301"/>
        <w:gridCol w:w="301"/>
        <w:gridCol w:w="301"/>
        <w:gridCol w:w="301"/>
        <w:gridCol w:w="301"/>
        <w:gridCol w:w="301"/>
        <w:gridCol w:w="301"/>
        <w:gridCol w:w="301"/>
        <w:gridCol w:w="300"/>
        <w:gridCol w:w="300"/>
        <w:gridCol w:w="300"/>
        <w:gridCol w:w="300"/>
        <w:gridCol w:w="300"/>
        <w:gridCol w:w="300"/>
        <w:gridCol w:w="300"/>
        <w:gridCol w:w="300"/>
        <w:gridCol w:w="300"/>
        <w:gridCol w:w="300"/>
        <w:gridCol w:w="300"/>
        <w:gridCol w:w="300"/>
        <w:gridCol w:w="300"/>
        <w:gridCol w:w="300"/>
        <w:gridCol w:w="300"/>
        <w:gridCol w:w="300"/>
        <w:gridCol w:w="300"/>
      </w:tblGrid>
      <w:tr w:rsidR="00EA3B45" w:rsidRPr="00235C48" w:rsidTr="00100482">
        <w:trPr>
          <w:cantSplit/>
        </w:trPr>
        <w:tc>
          <w:tcPr>
            <w:cnfStyle w:val="001000000000" w:firstRow="0" w:lastRow="0" w:firstColumn="1" w:lastColumn="0" w:oddVBand="0" w:evenVBand="0" w:oddHBand="0" w:evenHBand="0" w:firstRowFirstColumn="0" w:firstRowLastColumn="0" w:lastRowFirstColumn="0" w:lastRowLastColumn="0"/>
            <w:tcW w:w="669" w:type="pct"/>
            <w:vAlign w:val="bottom"/>
          </w:tcPr>
          <w:p w:rsidR="00EA3B45" w:rsidRPr="00100482" w:rsidRDefault="00EA3B45" w:rsidP="00EA3B45">
            <w:pPr>
              <w:spacing w:before="0" w:after="0" w:line="240" w:lineRule="auto"/>
              <w:ind w:left="0" w:right="57"/>
              <w:rPr>
                <w:rFonts w:ascii="Calibri" w:hAnsi="Calibri"/>
                <w:b/>
                <w:bCs/>
                <w:color w:val="FFFFFF" w:themeColor="background1"/>
                <w:sz w:val="10"/>
                <w:szCs w:val="10"/>
              </w:rPr>
            </w:pPr>
            <w:r w:rsidRPr="00100482">
              <w:rPr>
                <w:rFonts w:ascii="Calibri" w:hAnsi="Calibri"/>
                <w:b/>
                <w:bCs/>
                <w:color w:val="FFFFFF" w:themeColor="background1"/>
                <w:sz w:val="10"/>
                <w:szCs w:val="10"/>
              </w:rPr>
              <w:t>GP and GP-type services</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100482">
              <w:rPr>
                <w:rFonts w:ascii="Calibri" w:hAnsi="Calibri"/>
                <w:b/>
                <w:bCs/>
                <w:color w:val="FFFFFF" w:themeColor="background1"/>
                <w:sz w:val="10"/>
                <w:szCs w:val="10"/>
              </w:rPr>
              <w:t>1993-94</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100482">
              <w:rPr>
                <w:rFonts w:ascii="Calibri" w:hAnsi="Calibri"/>
                <w:b/>
                <w:bCs/>
                <w:color w:val="FFFFFF" w:themeColor="background1"/>
                <w:sz w:val="10"/>
                <w:szCs w:val="10"/>
              </w:rPr>
              <w:t>1994-95</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100482">
              <w:rPr>
                <w:rFonts w:ascii="Calibri" w:hAnsi="Calibri"/>
                <w:b/>
                <w:bCs/>
                <w:color w:val="FFFFFF" w:themeColor="background1"/>
                <w:sz w:val="10"/>
                <w:szCs w:val="10"/>
              </w:rPr>
              <w:t>1995-96</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100482">
              <w:rPr>
                <w:rFonts w:ascii="Calibri" w:hAnsi="Calibri"/>
                <w:b/>
                <w:bCs/>
                <w:color w:val="FFFFFF" w:themeColor="background1"/>
                <w:sz w:val="10"/>
                <w:szCs w:val="10"/>
              </w:rPr>
              <w:t>1996-97</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100482">
              <w:rPr>
                <w:rFonts w:ascii="Calibri" w:hAnsi="Calibri"/>
                <w:b/>
                <w:bCs/>
                <w:color w:val="FFFFFF" w:themeColor="background1"/>
                <w:sz w:val="10"/>
                <w:szCs w:val="10"/>
              </w:rPr>
              <w:t>1997-98</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100482">
              <w:rPr>
                <w:rFonts w:ascii="Calibri" w:hAnsi="Calibri"/>
                <w:b/>
                <w:bCs/>
                <w:color w:val="FFFFFF" w:themeColor="background1"/>
                <w:sz w:val="10"/>
                <w:szCs w:val="10"/>
              </w:rPr>
              <w:t>1998-99</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100482">
              <w:rPr>
                <w:rFonts w:ascii="Calibri" w:hAnsi="Calibri"/>
                <w:b/>
                <w:bCs/>
                <w:color w:val="FFFFFF" w:themeColor="background1"/>
                <w:sz w:val="10"/>
                <w:szCs w:val="10"/>
              </w:rPr>
              <w:t>1999-00</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100482">
              <w:rPr>
                <w:rFonts w:ascii="Calibri" w:hAnsi="Calibri"/>
                <w:b/>
                <w:bCs/>
                <w:color w:val="FFFFFF" w:themeColor="background1"/>
                <w:sz w:val="10"/>
                <w:szCs w:val="10"/>
              </w:rPr>
              <w:t>2000-01</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100482">
              <w:rPr>
                <w:rFonts w:ascii="Calibri" w:hAnsi="Calibri"/>
                <w:b/>
                <w:bCs/>
                <w:color w:val="FFFFFF" w:themeColor="background1"/>
                <w:sz w:val="10"/>
                <w:szCs w:val="10"/>
              </w:rPr>
              <w:t>2001-02</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100482">
              <w:rPr>
                <w:rFonts w:ascii="Calibri" w:hAnsi="Calibri"/>
                <w:b/>
                <w:bCs/>
                <w:color w:val="FFFFFF" w:themeColor="background1"/>
                <w:sz w:val="10"/>
                <w:szCs w:val="10"/>
              </w:rPr>
              <w:t>2002-03</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100482">
              <w:rPr>
                <w:rFonts w:ascii="Calibri" w:hAnsi="Calibri"/>
                <w:b/>
                <w:bCs/>
                <w:color w:val="FFFFFF" w:themeColor="background1"/>
                <w:sz w:val="10"/>
                <w:szCs w:val="10"/>
              </w:rPr>
              <w:t>2003-04</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100482">
              <w:rPr>
                <w:rFonts w:ascii="Calibri" w:hAnsi="Calibri"/>
                <w:b/>
                <w:bCs/>
                <w:color w:val="FFFFFF" w:themeColor="background1"/>
                <w:sz w:val="10"/>
                <w:szCs w:val="10"/>
              </w:rPr>
              <w:t>2004-05</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100482">
              <w:rPr>
                <w:rFonts w:ascii="Calibri" w:hAnsi="Calibri"/>
                <w:b/>
                <w:bCs/>
                <w:color w:val="FFFFFF" w:themeColor="background1"/>
                <w:sz w:val="10"/>
                <w:szCs w:val="10"/>
              </w:rPr>
              <w:t>2005-06</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100482">
              <w:rPr>
                <w:rFonts w:ascii="Calibri" w:hAnsi="Calibri"/>
                <w:b/>
                <w:bCs/>
                <w:color w:val="FFFFFF" w:themeColor="background1"/>
                <w:sz w:val="10"/>
                <w:szCs w:val="10"/>
              </w:rPr>
              <w:t>2006-07</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100482">
              <w:rPr>
                <w:rFonts w:ascii="Calibri" w:hAnsi="Calibri"/>
                <w:b/>
                <w:bCs/>
                <w:color w:val="FFFFFF" w:themeColor="background1"/>
                <w:sz w:val="10"/>
                <w:szCs w:val="10"/>
              </w:rPr>
              <w:t>2007-08</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100482">
              <w:rPr>
                <w:rFonts w:ascii="Calibri" w:hAnsi="Calibri"/>
                <w:b/>
                <w:bCs/>
                <w:color w:val="FFFFFF" w:themeColor="background1"/>
                <w:sz w:val="10"/>
                <w:szCs w:val="10"/>
              </w:rPr>
              <w:t>2008-09</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100482">
              <w:rPr>
                <w:rFonts w:ascii="Calibri" w:hAnsi="Calibri"/>
                <w:b/>
                <w:bCs/>
                <w:color w:val="FFFFFF" w:themeColor="background1"/>
                <w:sz w:val="10"/>
                <w:szCs w:val="10"/>
              </w:rPr>
              <w:t>2009-10</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100482">
              <w:rPr>
                <w:rFonts w:ascii="Calibri" w:hAnsi="Calibri"/>
                <w:b/>
                <w:bCs/>
                <w:color w:val="FFFFFF" w:themeColor="background1"/>
                <w:sz w:val="10"/>
                <w:szCs w:val="10"/>
              </w:rPr>
              <w:t>2010-11</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100482">
              <w:rPr>
                <w:rFonts w:ascii="Calibri" w:hAnsi="Calibri"/>
                <w:b/>
                <w:bCs/>
                <w:color w:val="FFFFFF" w:themeColor="background1"/>
                <w:sz w:val="10"/>
                <w:szCs w:val="10"/>
              </w:rPr>
              <w:t>2011-12</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100482">
              <w:rPr>
                <w:rFonts w:ascii="Calibri" w:hAnsi="Calibri"/>
                <w:b/>
                <w:bCs/>
                <w:color w:val="FFFFFF" w:themeColor="background1"/>
                <w:sz w:val="10"/>
                <w:szCs w:val="10"/>
              </w:rPr>
              <w:t>2012-13</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100482">
              <w:rPr>
                <w:rFonts w:ascii="Calibri" w:hAnsi="Calibri"/>
                <w:b/>
                <w:bCs/>
                <w:color w:val="FFFFFF" w:themeColor="background1"/>
                <w:sz w:val="10"/>
                <w:szCs w:val="10"/>
              </w:rPr>
              <w:t>2013-14</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100482">
              <w:rPr>
                <w:rFonts w:ascii="Calibri" w:hAnsi="Calibri"/>
                <w:b/>
                <w:bCs/>
                <w:color w:val="FFFFFF" w:themeColor="background1"/>
                <w:sz w:val="10"/>
                <w:szCs w:val="10"/>
              </w:rPr>
              <w:t>2014-15</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100482">
              <w:rPr>
                <w:rFonts w:ascii="Calibri" w:hAnsi="Calibri"/>
                <w:b/>
                <w:bCs/>
                <w:color w:val="FFFFFF" w:themeColor="background1"/>
                <w:sz w:val="10"/>
                <w:szCs w:val="10"/>
              </w:rPr>
              <w:t>2015-16</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100482">
              <w:rPr>
                <w:rFonts w:ascii="Calibri" w:hAnsi="Calibri"/>
                <w:b/>
                <w:bCs/>
                <w:color w:val="FFFFFF" w:themeColor="background1"/>
                <w:sz w:val="10"/>
                <w:szCs w:val="10"/>
              </w:rPr>
              <w:t>2016-17</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100482">
              <w:rPr>
                <w:rFonts w:ascii="Calibri" w:hAnsi="Calibri"/>
                <w:b/>
                <w:bCs/>
                <w:color w:val="FFFFFF" w:themeColor="background1"/>
                <w:sz w:val="10"/>
                <w:szCs w:val="10"/>
              </w:rPr>
              <w:t>2017-18</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100482">
              <w:rPr>
                <w:rFonts w:ascii="Calibri" w:hAnsi="Calibri"/>
                <w:b/>
                <w:bCs/>
                <w:color w:val="FFFFFF" w:themeColor="background1"/>
                <w:sz w:val="10"/>
                <w:szCs w:val="10"/>
              </w:rPr>
              <w:t>2018-19</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100482">
              <w:rPr>
                <w:rFonts w:ascii="Calibri" w:hAnsi="Calibri"/>
                <w:b/>
                <w:bCs/>
                <w:color w:val="FFFFFF" w:themeColor="background1"/>
                <w:sz w:val="10"/>
                <w:szCs w:val="10"/>
              </w:rPr>
              <w:t>2019-20</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100482">
              <w:rPr>
                <w:rFonts w:ascii="Calibri" w:hAnsi="Calibri"/>
                <w:b/>
                <w:bCs/>
                <w:color w:val="FFFFFF" w:themeColor="background1"/>
                <w:sz w:val="10"/>
                <w:szCs w:val="10"/>
              </w:rPr>
              <w:t>2020-21</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100482">
              <w:rPr>
                <w:rFonts w:ascii="Calibri" w:hAnsi="Calibri"/>
                <w:b/>
                <w:bCs/>
                <w:color w:val="FFFFFF" w:themeColor="background1"/>
                <w:sz w:val="10"/>
                <w:szCs w:val="10"/>
              </w:rPr>
              <w:t>2021-22</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100482">
              <w:rPr>
                <w:rFonts w:ascii="Calibri" w:hAnsi="Calibri"/>
                <w:b/>
                <w:bCs/>
                <w:color w:val="FFFFFF" w:themeColor="background1"/>
                <w:sz w:val="10"/>
                <w:szCs w:val="10"/>
              </w:rPr>
              <w:t>2022-23</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100482">
              <w:rPr>
                <w:rFonts w:ascii="Calibri" w:hAnsi="Calibri"/>
                <w:b/>
                <w:bCs/>
                <w:color w:val="FFFFFF" w:themeColor="background1"/>
                <w:sz w:val="10"/>
                <w:szCs w:val="10"/>
              </w:rPr>
              <w:t>2023-24</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100482">
              <w:rPr>
                <w:rFonts w:ascii="Calibri" w:hAnsi="Calibri"/>
                <w:b/>
                <w:bCs/>
                <w:color w:val="FFFFFF" w:themeColor="background1"/>
                <w:sz w:val="10"/>
                <w:szCs w:val="10"/>
              </w:rPr>
              <w:t>2024-25</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100482">
              <w:rPr>
                <w:rFonts w:ascii="Calibri" w:hAnsi="Calibri"/>
                <w:b/>
                <w:bCs/>
                <w:color w:val="FFFFFF" w:themeColor="background1"/>
                <w:sz w:val="10"/>
                <w:szCs w:val="10"/>
              </w:rPr>
              <w:t>2025-26</w:t>
            </w:r>
          </w:p>
        </w:tc>
      </w:tr>
      <w:tr w:rsidR="00EA3B45" w:rsidRPr="00235C48" w:rsidTr="00100482">
        <w:trPr>
          <w:cantSplit/>
        </w:trPr>
        <w:tc>
          <w:tcPr>
            <w:cnfStyle w:val="001000000000" w:firstRow="0" w:lastRow="0" w:firstColumn="1" w:lastColumn="0" w:oddVBand="0" w:evenVBand="0" w:oddHBand="0" w:evenHBand="0" w:firstRowFirstColumn="0" w:firstRowLastColumn="0" w:lastRowFirstColumn="0" w:lastRowLastColumn="0"/>
            <w:tcW w:w="669" w:type="pct"/>
            <w:vAlign w:val="bottom"/>
          </w:tcPr>
          <w:p w:rsidR="00EA3B45" w:rsidRPr="00100482" w:rsidRDefault="00EA3B45" w:rsidP="00EA3B45">
            <w:pPr>
              <w:spacing w:before="0" w:after="0" w:line="240" w:lineRule="auto"/>
              <w:ind w:left="0" w:right="57"/>
              <w:rPr>
                <w:rFonts w:ascii="Calibri" w:hAnsi="Calibri"/>
                <w:color w:val="FFFFFF" w:themeColor="background1"/>
                <w:sz w:val="10"/>
                <w:szCs w:val="10"/>
              </w:rPr>
            </w:pPr>
            <w:r w:rsidRPr="00100482">
              <w:rPr>
                <w:rFonts w:ascii="Calibri" w:hAnsi="Calibri"/>
                <w:color w:val="FFFFFF" w:themeColor="background1"/>
                <w:sz w:val="10"/>
                <w:szCs w:val="10"/>
              </w:rPr>
              <w:t>Benefits paid per service ($2014-15)</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38.3</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37.6</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36.6</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36.4</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36.6</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36.8</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37.2</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36.9</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38.7</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39.1</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39.2</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43.0</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46.7</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46.7</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46.3</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45.6</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45.1</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45.9</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47.1</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48.0</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47.8</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48.5</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47.9</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47.3</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46.6</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46.8</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47.0</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47.1</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47.3</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47.5</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47.7</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47.9</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48.0</w:t>
            </w:r>
          </w:p>
        </w:tc>
      </w:tr>
      <w:tr w:rsidR="00EA3B45" w:rsidRPr="00235C48" w:rsidTr="00100482">
        <w:trPr>
          <w:cantSplit/>
        </w:trPr>
        <w:tc>
          <w:tcPr>
            <w:cnfStyle w:val="001000000000" w:firstRow="0" w:lastRow="0" w:firstColumn="1" w:lastColumn="0" w:oddVBand="0" w:evenVBand="0" w:oddHBand="0" w:evenHBand="0" w:firstRowFirstColumn="0" w:firstRowLastColumn="0" w:lastRowFirstColumn="0" w:lastRowLastColumn="0"/>
            <w:tcW w:w="669" w:type="pct"/>
            <w:vAlign w:val="bottom"/>
          </w:tcPr>
          <w:p w:rsidR="00EA3B45" w:rsidRPr="00100482" w:rsidRDefault="00EA3B45" w:rsidP="00EA3B45">
            <w:pPr>
              <w:spacing w:before="0" w:after="0" w:line="240" w:lineRule="auto"/>
              <w:ind w:left="0" w:right="57"/>
              <w:rPr>
                <w:rFonts w:ascii="Calibri" w:hAnsi="Calibri"/>
                <w:color w:val="FFFFFF" w:themeColor="background1"/>
                <w:sz w:val="10"/>
                <w:szCs w:val="10"/>
              </w:rPr>
            </w:pPr>
            <w:r w:rsidRPr="00100482">
              <w:rPr>
                <w:rFonts w:ascii="Calibri" w:hAnsi="Calibri"/>
                <w:color w:val="FFFFFF" w:themeColor="background1"/>
                <w:sz w:val="10"/>
                <w:szCs w:val="10"/>
              </w:rPr>
              <w:t>Number of services per person</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5.4</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5.5</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5.6</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5.6</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5.6</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5.5</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5.4</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5.3</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5.2</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4.9</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4.9</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5.0</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5.1</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5.2</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5.5</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5.5</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5.7</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5.7</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5.6</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5.7</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5.8</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6.0</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6.0</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6.1</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6.2</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6.3</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6.3</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6.4</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6.5</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6.6</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6.6</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6.7</w:t>
            </w:r>
          </w:p>
        </w:tc>
        <w:tc>
          <w:tcPr>
            <w:tcW w:w="131" w:type="pct"/>
            <w:vAlign w:val="bottom"/>
          </w:tcPr>
          <w:p w:rsidR="00EA3B45" w:rsidRPr="00100482" w:rsidRDefault="00EA3B45" w:rsidP="00EA3B45">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100482">
              <w:rPr>
                <w:rFonts w:ascii="Calibri" w:hAnsi="Calibri"/>
                <w:color w:val="FFFFFF" w:themeColor="background1"/>
                <w:sz w:val="10"/>
                <w:szCs w:val="10"/>
              </w:rPr>
              <w:t>6.8</w:t>
            </w:r>
          </w:p>
        </w:tc>
      </w:tr>
    </w:tbl>
    <w:p w:rsidR="00126CB9" w:rsidRPr="00227D7D" w:rsidRDefault="00126CB9" w:rsidP="00EA3B45">
      <w:pPr>
        <w:pStyle w:val="Source"/>
        <w:spacing w:before="3120"/>
      </w:pPr>
      <w:r w:rsidRPr="00227D7D">
        <w:t xml:space="preserve">Source: PBO analysis of </w:t>
      </w:r>
      <w:r w:rsidR="00DF7D43">
        <w:t>MBS</w:t>
      </w:r>
      <w:r w:rsidRPr="00227D7D">
        <w:t xml:space="preserve"> data from the Department of Human Services</w:t>
      </w:r>
      <w:r w:rsidR="002B6C3D">
        <w:t>, ABS and Treasury</w:t>
      </w:r>
      <w:r w:rsidRPr="00227D7D">
        <w:t>.</w:t>
      </w:r>
    </w:p>
    <w:p w:rsidR="00345AA9" w:rsidRDefault="006C48F6" w:rsidP="00874E3D">
      <w:pPr>
        <w:pStyle w:val="BodyText17ptAbove"/>
      </w:pPr>
      <w:r w:rsidRPr="00227D7D">
        <w:t>From 2003</w:t>
      </w:r>
      <w:r w:rsidR="004F1328">
        <w:t>–</w:t>
      </w:r>
      <w:r w:rsidR="00216865" w:rsidRPr="00227D7D">
        <w:t>04 to 201</w:t>
      </w:r>
      <w:r w:rsidR="00085712" w:rsidRPr="00227D7D">
        <w:t>4</w:t>
      </w:r>
      <w:r w:rsidR="004F1328">
        <w:t>–</w:t>
      </w:r>
      <w:r w:rsidR="00216865" w:rsidRPr="00227D7D">
        <w:t>1</w:t>
      </w:r>
      <w:r w:rsidR="00085712" w:rsidRPr="00227D7D">
        <w:t>5</w:t>
      </w:r>
      <w:r w:rsidR="00216865" w:rsidRPr="00227D7D">
        <w:t xml:space="preserve">, the trend decline in spending </w:t>
      </w:r>
      <w:r w:rsidR="00C244CA">
        <w:t>per person</w:t>
      </w:r>
      <w:r w:rsidR="00216865" w:rsidRPr="00227D7D">
        <w:t xml:space="preserve"> on GP services over the previous decade reversed.  </w:t>
      </w:r>
      <w:r w:rsidR="00E574C5">
        <w:t>Real g</w:t>
      </w:r>
      <w:r w:rsidR="007C132F" w:rsidRPr="00227D7D">
        <w:t xml:space="preserve">rowth in spending </w:t>
      </w:r>
      <w:r w:rsidR="00C244CA">
        <w:t>per person</w:t>
      </w:r>
      <w:r w:rsidR="00216865" w:rsidRPr="00227D7D">
        <w:t xml:space="preserve"> averaged 3.7 per cent annually driven by both higher real benefits paid per service (up </w:t>
      </w:r>
      <w:r w:rsidR="00085712" w:rsidRPr="00227D7D">
        <w:t>1</w:t>
      </w:r>
      <w:r w:rsidR="00216865" w:rsidRPr="00227D7D">
        <w:t>.</w:t>
      </w:r>
      <w:r w:rsidR="00085712" w:rsidRPr="00227D7D">
        <w:t>9</w:t>
      </w:r>
      <w:r w:rsidR="00216865" w:rsidRPr="00227D7D">
        <w:t xml:space="preserve"> per cent annually) </w:t>
      </w:r>
      <w:r w:rsidR="00E574C5">
        <w:t>with</w:t>
      </w:r>
      <w:r w:rsidR="00E574C5" w:rsidRPr="00227D7D">
        <w:t xml:space="preserve"> </w:t>
      </w:r>
      <w:r w:rsidR="00216865" w:rsidRPr="00227D7D">
        <w:t xml:space="preserve">rising numbers of services accessed </w:t>
      </w:r>
      <w:r w:rsidR="00C244CA">
        <w:t>per person</w:t>
      </w:r>
      <w:r w:rsidR="00216865" w:rsidRPr="00227D7D">
        <w:t xml:space="preserve"> (up 1.</w:t>
      </w:r>
      <w:r w:rsidR="00E61AE4">
        <w:t>8</w:t>
      </w:r>
      <w:r w:rsidR="004F1328">
        <w:t> per cent annually).</w:t>
      </w:r>
    </w:p>
    <w:p w:rsidR="008B0973" w:rsidRDefault="00216865" w:rsidP="00360E80">
      <w:pPr>
        <w:pStyle w:val="BodyText"/>
      </w:pPr>
      <w:r w:rsidRPr="00296721">
        <w:t>Higher utilisation of bot</w:t>
      </w:r>
      <w:r w:rsidR="006A5037" w:rsidRPr="00F248B4">
        <w:t>h new and existing services was</w:t>
      </w:r>
      <w:r w:rsidRPr="00F248B4">
        <w:t xml:space="preserve"> influenced by </w:t>
      </w:r>
      <w:r w:rsidR="00F7701D" w:rsidRPr="00F248B4">
        <w:t>the introduction of multidiscipli</w:t>
      </w:r>
      <w:r w:rsidR="00F7701D" w:rsidRPr="00245605">
        <w:t xml:space="preserve">nary care plans and </w:t>
      </w:r>
      <w:r w:rsidR="006A5037" w:rsidRPr="0078208F">
        <w:t xml:space="preserve">most likely by </w:t>
      </w:r>
      <w:r w:rsidRPr="0078208F">
        <w:t xml:space="preserve">an increase in the </w:t>
      </w:r>
      <w:r w:rsidR="00DF7D43" w:rsidRPr="0078208F">
        <w:t>MBS</w:t>
      </w:r>
      <w:r w:rsidRPr="0078208F">
        <w:t xml:space="preserve"> bulk billing rate with the introduction of bulk billing incentives.  </w:t>
      </w:r>
      <w:r w:rsidR="002307A9" w:rsidRPr="0078208F">
        <w:t xml:space="preserve">Changes </w:t>
      </w:r>
      <w:r w:rsidR="00A63D57" w:rsidRPr="008A0495">
        <w:t xml:space="preserve">to </w:t>
      </w:r>
      <w:r w:rsidR="002307A9" w:rsidRPr="00296721">
        <w:t xml:space="preserve">the rules </w:t>
      </w:r>
      <w:r w:rsidR="00A63D57" w:rsidRPr="008A0495">
        <w:t xml:space="preserve">relating to </w:t>
      </w:r>
      <w:r w:rsidR="002307A9" w:rsidRPr="00296721">
        <w:t xml:space="preserve">migrant GPs </w:t>
      </w:r>
      <w:r w:rsidR="00D51667" w:rsidRPr="008A0495">
        <w:t xml:space="preserve">and the opening of new medical schools </w:t>
      </w:r>
      <w:r w:rsidR="002307A9" w:rsidRPr="00296721">
        <w:t xml:space="preserve">increased </w:t>
      </w:r>
      <w:r w:rsidR="002307A9" w:rsidRPr="00F248B4">
        <w:t xml:space="preserve">the number of GPs and </w:t>
      </w:r>
      <w:r w:rsidR="006365CC" w:rsidRPr="008A0495">
        <w:t>is likely to have</w:t>
      </w:r>
      <w:r w:rsidR="00AC19F1" w:rsidRPr="008A0495">
        <w:t xml:space="preserve"> contributed to</w:t>
      </w:r>
      <w:r w:rsidR="006365CC" w:rsidRPr="008A0495">
        <w:t xml:space="preserve"> increased </w:t>
      </w:r>
      <w:r w:rsidR="002307A9" w:rsidRPr="00296721">
        <w:t>services provided over the period.</w:t>
      </w:r>
    </w:p>
    <w:p w:rsidR="00333387" w:rsidRDefault="008B0973" w:rsidP="00360E80">
      <w:pPr>
        <w:pStyle w:val="BodyText"/>
        <w:sectPr w:rsidR="00333387" w:rsidSect="00232965">
          <w:pgSz w:w="11907" w:h="16839" w:code="9"/>
          <w:pgMar w:top="1361" w:right="1797" w:bottom="1474" w:left="1797" w:header="283" w:footer="454" w:gutter="0"/>
          <w:cols w:space="708"/>
          <w:docGrid w:linePitch="360"/>
        </w:sectPr>
      </w:pPr>
      <w:r w:rsidRPr="00296721">
        <w:t>In addition to these effects</w:t>
      </w:r>
      <w:r w:rsidRPr="00F248B4">
        <w:t>,</w:t>
      </w:r>
      <w:r w:rsidR="00AC65A6" w:rsidRPr="00F248B4">
        <w:t xml:space="preserve"> </w:t>
      </w:r>
      <w:r w:rsidRPr="00F248B4">
        <w:t>t</w:t>
      </w:r>
      <w:r w:rsidR="00AC65A6" w:rsidRPr="00F248B4">
        <w:t xml:space="preserve">here was also a large increase in the utilisation of GP services by </w:t>
      </w:r>
      <w:r w:rsidR="006365CC" w:rsidRPr="00245605">
        <w:t xml:space="preserve">older </w:t>
      </w:r>
      <w:r w:rsidR="00AC65A6" w:rsidRPr="0078208F">
        <w:t>males</w:t>
      </w:r>
      <w:r w:rsidR="004F1328">
        <w:t>.  In particular, from 2001–</w:t>
      </w:r>
      <w:r w:rsidR="006365CC" w:rsidRPr="0078208F">
        <w:t>02 to 2014</w:t>
      </w:r>
      <w:r w:rsidR="004F1328">
        <w:t>–</w:t>
      </w:r>
      <w:r w:rsidR="006365CC" w:rsidRPr="0078208F">
        <w:t>15</w:t>
      </w:r>
      <w:r w:rsidR="00607D44" w:rsidRPr="0078208F">
        <w:t>,</w:t>
      </w:r>
      <w:r w:rsidR="006365CC" w:rsidRPr="0078208F">
        <w:t xml:space="preserve"> males</w:t>
      </w:r>
      <w:r w:rsidR="00AC65A6" w:rsidRPr="0078208F">
        <w:t xml:space="preserve"> </w:t>
      </w:r>
      <w:r w:rsidR="0058485C" w:rsidRPr="0078208F">
        <w:t>aged 75 and over</w:t>
      </w:r>
      <w:r w:rsidR="00AC65A6" w:rsidRPr="0078208F">
        <w:t xml:space="preserve"> </w:t>
      </w:r>
      <w:r w:rsidR="00573CCD" w:rsidRPr="0078208F">
        <w:t xml:space="preserve">increased their </w:t>
      </w:r>
      <w:r w:rsidR="00AC19F1" w:rsidRPr="0078208F">
        <w:t xml:space="preserve">GP </w:t>
      </w:r>
      <w:r w:rsidR="00573CCD" w:rsidRPr="0078208F">
        <w:t xml:space="preserve">services </w:t>
      </w:r>
      <w:r w:rsidR="000B178F" w:rsidRPr="0078208F">
        <w:t xml:space="preserve">accessed </w:t>
      </w:r>
      <w:r w:rsidR="00573CCD" w:rsidRPr="0078208F">
        <w:t xml:space="preserve">per </w:t>
      </w:r>
      <w:r w:rsidRPr="0078208F">
        <w:t>person</w:t>
      </w:r>
      <w:r w:rsidR="00573CCD" w:rsidRPr="0078208F">
        <w:t xml:space="preserve"> to be more in line with that of females</w:t>
      </w:r>
      <w:r w:rsidR="0058485C" w:rsidRPr="0078208F">
        <w:t xml:space="preserve"> </w:t>
      </w:r>
      <w:r w:rsidR="0098444A" w:rsidRPr="0078208F">
        <w:t xml:space="preserve">aged 75 and over </w:t>
      </w:r>
      <w:r w:rsidR="0058485C" w:rsidRPr="0078208F">
        <w:t>by the end of the period</w:t>
      </w:r>
      <w:r w:rsidR="00D51667" w:rsidRPr="0078208F">
        <w:t xml:space="preserve"> (</w:t>
      </w:r>
      <w:r w:rsidR="004F1328">
        <w:fldChar w:fldCharType="begin"/>
      </w:r>
      <w:r w:rsidR="004F1328">
        <w:instrText xml:space="preserve"> REF _Ref436044555 \h </w:instrText>
      </w:r>
      <w:r w:rsidR="00360E80">
        <w:instrText xml:space="preserve"> \* MERGEFORMAT </w:instrText>
      </w:r>
      <w:r w:rsidR="004F1328">
        <w:fldChar w:fldCharType="separate"/>
      </w:r>
      <w:r w:rsidR="00235C48" w:rsidRPr="004F1328">
        <w:t xml:space="preserve">Figure </w:t>
      </w:r>
      <w:r w:rsidR="00235C48">
        <w:rPr>
          <w:noProof/>
        </w:rPr>
        <w:t>3</w:t>
      </w:r>
      <w:r w:rsidR="00235C48" w:rsidRPr="004F1328">
        <w:t>–</w:t>
      </w:r>
      <w:r w:rsidR="00235C48">
        <w:rPr>
          <w:noProof/>
        </w:rPr>
        <w:t>3</w:t>
      </w:r>
      <w:r w:rsidR="004F1328">
        <w:fldChar w:fldCharType="end"/>
      </w:r>
      <w:r w:rsidR="00D51667" w:rsidRPr="0078208F">
        <w:t>)</w:t>
      </w:r>
      <w:r w:rsidR="00573CCD" w:rsidRPr="0078208F">
        <w:t>.</w:t>
      </w:r>
    </w:p>
    <w:p w:rsidR="004F1328" w:rsidRDefault="004F1328" w:rsidP="004F1328">
      <w:pPr>
        <w:pStyle w:val="Caption"/>
      </w:pPr>
      <w:bookmarkStart w:id="87" w:name="_Ref436044555"/>
      <w:bookmarkStart w:id="88" w:name="_Toc436051003"/>
      <w:bookmarkStart w:id="89" w:name="_Toc436205225"/>
      <w:r w:rsidRPr="004F1328">
        <w:lastRenderedPageBreak/>
        <w:t xml:space="preserve">Figure </w:t>
      </w:r>
      <w:fldSimple w:instr=" STYLEREF 1 \s ">
        <w:r w:rsidR="00235C48">
          <w:rPr>
            <w:noProof/>
          </w:rPr>
          <w:t>3</w:t>
        </w:r>
      </w:fldSimple>
      <w:r w:rsidRPr="004F1328">
        <w:t>–</w:t>
      </w:r>
      <w:fldSimple w:instr=" SEQ Figure \* ARABIC \s 1 ">
        <w:r w:rsidR="00235C48">
          <w:rPr>
            <w:noProof/>
          </w:rPr>
          <w:t>3</w:t>
        </w:r>
      </w:fldSimple>
      <w:bookmarkEnd w:id="87"/>
      <w:r w:rsidRPr="004F1328">
        <w:t>: GP and GP-type services, services per person, males and females aged 75 and over</w:t>
      </w:r>
      <w:bookmarkEnd w:id="88"/>
      <w:bookmarkEnd w:id="89"/>
    </w:p>
    <w:tbl>
      <w:tblPr>
        <w:tblStyle w:val="TableGrid"/>
        <w:tblW w:w="6888" w:type="pct"/>
        <w:tblInd w:w="-1555" w:type="dxa"/>
        <w:tblLook w:val="0680" w:firstRow="0" w:lastRow="0" w:firstColumn="1" w:lastColumn="0" w:noHBand="1" w:noVBand="1"/>
      </w:tblPr>
      <w:tblGrid>
        <w:gridCol w:w="1558"/>
        <w:gridCol w:w="450"/>
        <w:gridCol w:w="449"/>
        <w:gridCol w:w="449"/>
        <w:gridCol w:w="453"/>
        <w:gridCol w:w="449"/>
        <w:gridCol w:w="449"/>
        <w:gridCol w:w="451"/>
        <w:gridCol w:w="451"/>
        <w:gridCol w:w="449"/>
        <w:gridCol w:w="451"/>
        <w:gridCol w:w="451"/>
        <w:gridCol w:w="449"/>
        <w:gridCol w:w="451"/>
        <w:gridCol w:w="449"/>
        <w:gridCol w:w="451"/>
        <w:gridCol w:w="451"/>
        <w:gridCol w:w="449"/>
        <w:gridCol w:w="449"/>
        <w:gridCol w:w="451"/>
        <w:gridCol w:w="449"/>
        <w:gridCol w:w="449"/>
        <w:gridCol w:w="444"/>
      </w:tblGrid>
      <w:tr w:rsidR="00333387" w:rsidRPr="00EA3B45" w:rsidTr="00A37164">
        <w:trPr>
          <w:cantSplit/>
          <w:trHeight w:val="51"/>
        </w:trPr>
        <w:tc>
          <w:tcPr>
            <w:cnfStyle w:val="001000000000" w:firstRow="0" w:lastRow="0" w:firstColumn="1" w:lastColumn="0" w:oddVBand="0" w:evenVBand="0" w:oddHBand="0" w:evenHBand="0" w:firstRowFirstColumn="0" w:firstRowLastColumn="0" w:lastRowFirstColumn="0" w:lastRowLastColumn="0"/>
            <w:tcW w:w="680" w:type="pct"/>
          </w:tcPr>
          <w:p w:rsidR="00333387" w:rsidRPr="00A37164" w:rsidRDefault="002D2E1D" w:rsidP="00333387">
            <w:pPr>
              <w:spacing w:before="0" w:after="0" w:line="240" w:lineRule="auto"/>
              <w:ind w:left="0" w:right="57"/>
              <w:rPr>
                <w:rFonts w:ascii="Calibri" w:hAnsi="Calibri"/>
                <w:b/>
                <w:bCs/>
                <w:color w:val="FFFFFF" w:themeColor="background1"/>
                <w:sz w:val="10"/>
                <w:szCs w:val="10"/>
              </w:rPr>
            </w:pPr>
            <w:r>
              <w:rPr>
                <w:noProof/>
              </w:rPr>
              <w:drawing>
                <wp:anchor distT="0" distB="0" distL="114300" distR="114300" simplePos="0" relativeHeight="251686912" behindDoc="0" locked="0" layoutInCell="1" allowOverlap="1" wp14:anchorId="6BFF8515" wp14:editId="44A16D64">
                  <wp:simplePos x="0" y="0"/>
                  <wp:positionH relativeFrom="column">
                    <wp:posOffset>931545</wp:posOffset>
                  </wp:positionH>
                  <wp:positionV relativeFrom="paragraph">
                    <wp:posOffset>33020</wp:posOffset>
                  </wp:positionV>
                  <wp:extent cx="5297805" cy="22555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97805" cy="2255520"/>
                          </a:xfrm>
                          <a:prstGeom prst="rect">
                            <a:avLst/>
                          </a:prstGeom>
                          <a:noFill/>
                        </pic:spPr>
                      </pic:pic>
                    </a:graphicData>
                  </a:graphic>
                  <wp14:sizeRelH relativeFrom="page">
                    <wp14:pctWidth>0</wp14:pctWidth>
                  </wp14:sizeRelH>
                  <wp14:sizeRelV relativeFrom="page">
                    <wp14:pctHeight>0</wp14:pctHeight>
                  </wp14:sizeRelV>
                </wp:anchor>
              </w:drawing>
            </w:r>
            <w:r w:rsidR="00333387" w:rsidRPr="00A37164">
              <w:rPr>
                <w:rFonts w:ascii="Calibri" w:hAnsi="Calibri"/>
                <w:b/>
                <w:bCs/>
                <w:color w:val="FFFFFF" w:themeColor="background1"/>
                <w:sz w:val="10"/>
                <w:szCs w:val="10"/>
              </w:rPr>
              <w:t>GP and GP-type services</w:t>
            </w:r>
            <w:r w:rsidR="009B7B91" w:rsidRPr="00A37164">
              <w:rPr>
                <w:rFonts w:ascii="Calibri" w:hAnsi="Calibri"/>
                <w:b/>
                <w:bCs/>
                <w:color w:val="FFFFFF" w:themeColor="background1"/>
                <w:sz w:val="10"/>
                <w:szCs w:val="10"/>
              </w:rPr>
              <w:t xml:space="preserve"> per person, persons aged 75 and over</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37164">
              <w:rPr>
                <w:rFonts w:ascii="Calibri" w:hAnsi="Calibri"/>
                <w:b/>
                <w:bCs/>
                <w:color w:val="FFFFFF" w:themeColor="background1"/>
                <w:sz w:val="10"/>
                <w:szCs w:val="10"/>
              </w:rPr>
              <w:t>1993-94</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37164">
              <w:rPr>
                <w:rFonts w:ascii="Calibri" w:hAnsi="Calibri"/>
                <w:b/>
                <w:bCs/>
                <w:color w:val="FFFFFF" w:themeColor="background1"/>
                <w:sz w:val="10"/>
                <w:szCs w:val="10"/>
              </w:rPr>
              <w:t>1994-95</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37164">
              <w:rPr>
                <w:rFonts w:ascii="Calibri" w:hAnsi="Calibri"/>
                <w:b/>
                <w:bCs/>
                <w:color w:val="FFFFFF" w:themeColor="background1"/>
                <w:sz w:val="10"/>
                <w:szCs w:val="10"/>
              </w:rPr>
              <w:t>1995-96</w:t>
            </w:r>
          </w:p>
        </w:tc>
        <w:tc>
          <w:tcPr>
            <w:tcW w:w="198"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37164">
              <w:rPr>
                <w:rFonts w:ascii="Calibri" w:hAnsi="Calibri"/>
                <w:b/>
                <w:bCs/>
                <w:color w:val="FFFFFF" w:themeColor="background1"/>
                <w:sz w:val="10"/>
                <w:szCs w:val="10"/>
              </w:rPr>
              <w:t>1996-97</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37164">
              <w:rPr>
                <w:rFonts w:ascii="Calibri" w:hAnsi="Calibri"/>
                <w:b/>
                <w:bCs/>
                <w:color w:val="FFFFFF" w:themeColor="background1"/>
                <w:sz w:val="10"/>
                <w:szCs w:val="10"/>
              </w:rPr>
              <w:t>1997-98</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37164">
              <w:rPr>
                <w:rFonts w:ascii="Calibri" w:hAnsi="Calibri"/>
                <w:b/>
                <w:bCs/>
                <w:color w:val="FFFFFF" w:themeColor="background1"/>
                <w:sz w:val="10"/>
                <w:szCs w:val="10"/>
              </w:rPr>
              <w:t>1998-99</w:t>
            </w:r>
          </w:p>
        </w:tc>
        <w:tc>
          <w:tcPr>
            <w:tcW w:w="197"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37164">
              <w:rPr>
                <w:rFonts w:ascii="Calibri" w:hAnsi="Calibri"/>
                <w:b/>
                <w:bCs/>
                <w:color w:val="FFFFFF" w:themeColor="background1"/>
                <w:sz w:val="10"/>
                <w:szCs w:val="10"/>
              </w:rPr>
              <w:t>1999-00</w:t>
            </w:r>
          </w:p>
        </w:tc>
        <w:tc>
          <w:tcPr>
            <w:tcW w:w="197"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37164">
              <w:rPr>
                <w:rFonts w:ascii="Calibri" w:hAnsi="Calibri"/>
                <w:b/>
                <w:bCs/>
                <w:color w:val="FFFFFF" w:themeColor="background1"/>
                <w:sz w:val="10"/>
                <w:szCs w:val="10"/>
              </w:rPr>
              <w:t>2000-01</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37164">
              <w:rPr>
                <w:rFonts w:ascii="Calibri" w:hAnsi="Calibri"/>
                <w:b/>
                <w:bCs/>
                <w:color w:val="FFFFFF" w:themeColor="background1"/>
                <w:sz w:val="10"/>
                <w:szCs w:val="10"/>
              </w:rPr>
              <w:t>2001-02</w:t>
            </w:r>
          </w:p>
        </w:tc>
        <w:tc>
          <w:tcPr>
            <w:tcW w:w="197"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37164">
              <w:rPr>
                <w:rFonts w:ascii="Calibri" w:hAnsi="Calibri"/>
                <w:b/>
                <w:bCs/>
                <w:color w:val="FFFFFF" w:themeColor="background1"/>
                <w:sz w:val="10"/>
                <w:szCs w:val="10"/>
              </w:rPr>
              <w:t>2002-03</w:t>
            </w:r>
          </w:p>
        </w:tc>
        <w:tc>
          <w:tcPr>
            <w:tcW w:w="197"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37164">
              <w:rPr>
                <w:rFonts w:ascii="Calibri" w:hAnsi="Calibri"/>
                <w:b/>
                <w:bCs/>
                <w:color w:val="FFFFFF" w:themeColor="background1"/>
                <w:sz w:val="10"/>
                <w:szCs w:val="10"/>
              </w:rPr>
              <w:t>2003-04</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37164">
              <w:rPr>
                <w:rFonts w:ascii="Calibri" w:hAnsi="Calibri"/>
                <w:b/>
                <w:bCs/>
                <w:color w:val="FFFFFF" w:themeColor="background1"/>
                <w:sz w:val="10"/>
                <w:szCs w:val="10"/>
              </w:rPr>
              <w:t>2004-05</w:t>
            </w:r>
          </w:p>
        </w:tc>
        <w:tc>
          <w:tcPr>
            <w:tcW w:w="197"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37164">
              <w:rPr>
                <w:rFonts w:ascii="Calibri" w:hAnsi="Calibri"/>
                <w:b/>
                <w:bCs/>
                <w:color w:val="FFFFFF" w:themeColor="background1"/>
                <w:sz w:val="10"/>
                <w:szCs w:val="10"/>
              </w:rPr>
              <w:t>2005-06</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37164">
              <w:rPr>
                <w:rFonts w:ascii="Calibri" w:hAnsi="Calibri"/>
                <w:b/>
                <w:bCs/>
                <w:color w:val="FFFFFF" w:themeColor="background1"/>
                <w:sz w:val="10"/>
                <w:szCs w:val="10"/>
              </w:rPr>
              <w:t>2006-07</w:t>
            </w:r>
          </w:p>
        </w:tc>
        <w:tc>
          <w:tcPr>
            <w:tcW w:w="197"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37164">
              <w:rPr>
                <w:rFonts w:ascii="Calibri" w:hAnsi="Calibri"/>
                <w:b/>
                <w:bCs/>
                <w:color w:val="FFFFFF" w:themeColor="background1"/>
                <w:sz w:val="10"/>
                <w:szCs w:val="10"/>
              </w:rPr>
              <w:t>2007-08</w:t>
            </w:r>
          </w:p>
        </w:tc>
        <w:tc>
          <w:tcPr>
            <w:tcW w:w="197"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37164">
              <w:rPr>
                <w:rFonts w:ascii="Calibri" w:hAnsi="Calibri"/>
                <w:b/>
                <w:bCs/>
                <w:color w:val="FFFFFF" w:themeColor="background1"/>
                <w:sz w:val="10"/>
                <w:szCs w:val="10"/>
              </w:rPr>
              <w:t>2008-09</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37164">
              <w:rPr>
                <w:rFonts w:ascii="Calibri" w:hAnsi="Calibri"/>
                <w:b/>
                <w:bCs/>
                <w:color w:val="FFFFFF" w:themeColor="background1"/>
                <w:sz w:val="10"/>
                <w:szCs w:val="10"/>
              </w:rPr>
              <w:t>2009-10</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37164">
              <w:rPr>
                <w:rFonts w:ascii="Calibri" w:hAnsi="Calibri"/>
                <w:b/>
                <w:bCs/>
                <w:color w:val="FFFFFF" w:themeColor="background1"/>
                <w:sz w:val="10"/>
                <w:szCs w:val="10"/>
              </w:rPr>
              <w:t>2010-11</w:t>
            </w:r>
          </w:p>
        </w:tc>
        <w:tc>
          <w:tcPr>
            <w:tcW w:w="197"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37164">
              <w:rPr>
                <w:rFonts w:ascii="Calibri" w:hAnsi="Calibri"/>
                <w:b/>
                <w:bCs/>
                <w:color w:val="FFFFFF" w:themeColor="background1"/>
                <w:sz w:val="10"/>
                <w:szCs w:val="10"/>
              </w:rPr>
              <w:t>2011-12</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37164">
              <w:rPr>
                <w:rFonts w:ascii="Calibri" w:hAnsi="Calibri"/>
                <w:b/>
                <w:bCs/>
                <w:color w:val="FFFFFF" w:themeColor="background1"/>
                <w:sz w:val="10"/>
                <w:szCs w:val="10"/>
              </w:rPr>
              <w:t>2012-13</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37164">
              <w:rPr>
                <w:rFonts w:ascii="Calibri" w:hAnsi="Calibri"/>
                <w:b/>
                <w:bCs/>
                <w:color w:val="FFFFFF" w:themeColor="background1"/>
                <w:sz w:val="10"/>
                <w:szCs w:val="10"/>
              </w:rPr>
              <w:t>2013-14</w:t>
            </w:r>
          </w:p>
        </w:tc>
        <w:tc>
          <w:tcPr>
            <w:tcW w:w="194"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A37164">
              <w:rPr>
                <w:rFonts w:ascii="Calibri" w:hAnsi="Calibri"/>
                <w:b/>
                <w:bCs/>
                <w:color w:val="FFFFFF" w:themeColor="background1"/>
                <w:sz w:val="10"/>
                <w:szCs w:val="10"/>
              </w:rPr>
              <w:t>2014-15</w:t>
            </w:r>
          </w:p>
        </w:tc>
      </w:tr>
      <w:tr w:rsidR="00333387" w:rsidRPr="00EA3B45" w:rsidTr="00A37164">
        <w:trPr>
          <w:cantSplit/>
        </w:trPr>
        <w:tc>
          <w:tcPr>
            <w:cnfStyle w:val="001000000000" w:firstRow="0" w:lastRow="0" w:firstColumn="1" w:lastColumn="0" w:oddVBand="0" w:evenVBand="0" w:oddHBand="0" w:evenHBand="0" w:firstRowFirstColumn="0" w:firstRowLastColumn="0" w:lastRowFirstColumn="0" w:lastRowLastColumn="0"/>
            <w:tcW w:w="680" w:type="pct"/>
            <w:vAlign w:val="bottom"/>
          </w:tcPr>
          <w:p w:rsidR="00333387" w:rsidRPr="00A37164" w:rsidRDefault="002E05D5" w:rsidP="00333387">
            <w:pPr>
              <w:spacing w:before="0" w:after="0" w:line="240" w:lineRule="auto"/>
              <w:ind w:left="0" w:right="57"/>
              <w:rPr>
                <w:rFonts w:ascii="Calibri" w:hAnsi="Calibri"/>
                <w:color w:val="FFFFFF" w:themeColor="background1"/>
                <w:sz w:val="10"/>
                <w:szCs w:val="10"/>
              </w:rPr>
            </w:pPr>
            <w:r w:rsidRPr="00A37164">
              <w:rPr>
                <w:rFonts w:ascii="Calibri" w:hAnsi="Calibri"/>
                <w:color w:val="FFFFFF" w:themeColor="background1"/>
                <w:sz w:val="10"/>
                <w:szCs w:val="10"/>
              </w:rPr>
              <w:t>Females</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12.5</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12.4</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12.5</w:t>
            </w:r>
          </w:p>
        </w:tc>
        <w:tc>
          <w:tcPr>
            <w:tcW w:w="198"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12.3</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12.0</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11.7</w:t>
            </w:r>
          </w:p>
        </w:tc>
        <w:tc>
          <w:tcPr>
            <w:tcW w:w="197"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11.5</w:t>
            </w:r>
          </w:p>
        </w:tc>
        <w:tc>
          <w:tcPr>
            <w:tcW w:w="197"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11.3</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11.1</w:t>
            </w:r>
          </w:p>
        </w:tc>
        <w:tc>
          <w:tcPr>
            <w:tcW w:w="197"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10.9</w:t>
            </w:r>
          </w:p>
        </w:tc>
        <w:tc>
          <w:tcPr>
            <w:tcW w:w="197"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11.1</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11.5</w:t>
            </w:r>
          </w:p>
        </w:tc>
        <w:tc>
          <w:tcPr>
            <w:tcW w:w="197"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11.7</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11.9</w:t>
            </w:r>
          </w:p>
        </w:tc>
        <w:tc>
          <w:tcPr>
            <w:tcW w:w="197"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12.2</w:t>
            </w:r>
          </w:p>
        </w:tc>
        <w:tc>
          <w:tcPr>
            <w:tcW w:w="197"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12.5</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12.9</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13.0</w:t>
            </w:r>
          </w:p>
        </w:tc>
        <w:tc>
          <w:tcPr>
            <w:tcW w:w="197"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12.9</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13.1</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14.0</w:t>
            </w:r>
          </w:p>
        </w:tc>
        <w:tc>
          <w:tcPr>
            <w:tcW w:w="194"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14.4</w:t>
            </w:r>
          </w:p>
        </w:tc>
      </w:tr>
      <w:tr w:rsidR="00333387" w:rsidRPr="00EA3B45" w:rsidTr="00A37164">
        <w:trPr>
          <w:cantSplit/>
        </w:trPr>
        <w:tc>
          <w:tcPr>
            <w:cnfStyle w:val="001000000000" w:firstRow="0" w:lastRow="0" w:firstColumn="1" w:lastColumn="0" w:oddVBand="0" w:evenVBand="0" w:oddHBand="0" w:evenHBand="0" w:firstRowFirstColumn="0" w:firstRowLastColumn="0" w:lastRowFirstColumn="0" w:lastRowLastColumn="0"/>
            <w:tcW w:w="680" w:type="pct"/>
            <w:vAlign w:val="bottom"/>
          </w:tcPr>
          <w:p w:rsidR="00333387" w:rsidRPr="00A37164" w:rsidRDefault="002E05D5" w:rsidP="00333387">
            <w:pPr>
              <w:spacing w:before="0" w:after="0" w:line="240" w:lineRule="auto"/>
              <w:ind w:left="0" w:right="57"/>
              <w:rPr>
                <w:rFonts w:ascii="Calibri" w:hAnsi="Calibri"/>
                <w:color w:val="FFFFFF" w:themeColor="background1"/>
                <w:sz w:val="10"/>
                <w:szCs w:val="10"/>
              </w:rPr>
            </w:pPr>
            <w:r w:rsidRPr="00A37164">
              <w:rPr>
                <w:rFonts w:ascii="Calibri" w:hAnsi="Calibri"/>
                <w:color w:val="FFFFFF" w:themeColor="background1"/>
                <w:sz w:val="10"/>
                <w:szCs w:val="10"/>
              </w:rPr>
              <w:t>Males</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9.5</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9.5</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9.5</w:t>
            </w:r>
          </w:p>
        </w:tc>
        <w:tc>
          <w:tcPr>
            <w:tcW w:w="198"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9.2</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9.0</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8.5</w:t>
            </w:r>
          </w:p>
        </w:tc>
        <w:tc>
          <w:tcPr>
            <w:tcW w:w="197"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8.1</w:t>
            </w:r>
          </w:p>
        </w:tc>
        <w:tc>
          <w:tcPr>
            <w:tcW w:w="197"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8.0</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8.1</w:t>
            </w:r>
          </w:p>
        </w:tc>
        <w:tc>
          <w:tcPr>
            <w:tcW w:w="197"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8.3</w:t>
            </w:r>
          </w:p>
        </w:tc>
        <w:tc>
          <w:tcPr>
            <w:tcW w:w="197"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8.9</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9.6</w:t>
            </w:r>
          </w:p>
        </w:tc>
        <w:tc>
          <w:tcPr>
            <w:tcW w:w="197"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10.1</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10.6</w:t>
            </w:r>
          </w:p>
        </w:tc>
        <w:tc>
          <w:tcPr>
            <w:tcW w:w="197"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11.2</w:t>
            </w:r>
          </w:p>
        </w:tc>
        <w:tc>
          <w:tcPr>
            <w:tcW w:w="197"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11.7</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12.4</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12.6</w:t>
            </w:r>
          </w:p>
        </w:tc>
        <w:tc>
          <w:tcPr>
            <w:tcW w:w="197"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12.6</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12.8</w:t>
            </w:r>
          </w:p>
        </w:tc>
        <w:tc>
          <w:tcPr>
            <w:tcW w:w="196"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13.7</w:t>
            </w:r>
          </w:p>
        </w:tc>
        <w:tc>
          <w:tcPr>
            <w:tcW w:w="194" w:type="pct"/>
            <w:vAlign w:val="bottom"/>
          </w:tcPr>
          <w:p w:rsidR="00333387" w:rsidRPr="00A37164" w:rsidRDefault="00333387" w:rsidP="00333387">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A37164">
              <w:rPr>
                <w:rFonts w:ascii="Calibri" w:hAnsi="Calibri"/>
                <w:color w:val="FFFFFF" w:themeColor="background1"/>
                <w:sz w:val="10"/>
                <w:szCs w:val="10"/>
              </w:rPr>
              <w:t>14.1</w:t>
            </w:r>
          </w:p>
        </w:tc>
      </w:tr>
    </w:tbl>
    <w:p w:rsidR="00E51FC5" w:rsidRPr="00227D7D" w:rsidRDefault="00E51FC5" w:rsidP="00333387">
      <w:pPr>
        <w:pStyle w:val="Source"/>
        <w:spacing w:before="3240"/>
      </w:pPr>
      <w:r w:rsidRPr="00227D7D">
        <w:t xml:space="preserve">Source: PBO analysis of </w:t>
      </w:r>
      <w:r>
        <w:t>MBS</w:t>
      </w:r>
      <w:r w:rsidRPr="00227D7D">
        <w:t xml:space="preserve"> data from the Department of Human Services</w:t>
      </w:r>
      <w:r>
        <w:t>, ABS and Treasury</w:t>
      </w:r>
      <w:r w:rsidRPr="00227D7D">
        <w:t>.</w:t>
      </w:r>
    </w:p>
    <w:p w:rsidR="00216865" w:rsidRPr="00227D7D" w:rsidRDefault="00216865" w:rsidP="00874E3D">
      <w:pPr>
        <w:pStyle w:val="BodyText17ptAbove"/>
      </w:pPr>
      <w:r w:rsidRPr="00372632">
        <w:t>The major driver of the</w:t>
      </w:r>
      <w:r w:rsidR="00E574C5">
        <w:t xml:space="preserve"> real</w:t>
      </w:r>
      <w:r w:rsidRPr="00372632">
        <w:t xml:space="preserve"> increase in the benefit paid for GP services was the increase in the </w:t>
      </w:r>
      <w:r w:rsidR="00DF7D43" w:rsidRPr="00372632">
        <w:t>MBS</w:t>
      </w:r>
      <w:r w:rsidRPr="00372632">
        <w:t xml:space="preserve"> benefit level from 85 per cent to 100 per cent of the Schedule Fee from 1 January 2005. </w:t>
      </w:r>
      <w:r w:rsidR="006C48F6" w:rsidRPr="00372632">
        <w:t xml:space="preserve"> </w:t>
      </w:r>
      <w:r w:rsidRPr="00372632">
        <w:t xml:space="preserve">This </w:t>
      </w:r>
      <w:r w:rsidR="00702EC6" w:rsidRPr="00372632">
        <w:t>contributed to</w:t>
      </w:r>
      <w:r w:rsidRPr="00372632">
        <w:t xml:space="preserve"> a rapid increase in the benefit paid per service </w:t>
      </w:r>
      <w:r w:rsidR="00702EC6" w:rsidRPr="00372632">
        <w:t>up to</w:t>
      </w:r>
      <w:r w:rsidRPr="00372632">
        <w:t xml:space="preserve"> 2005</w:t>
      </w:r>
      <w:r w:rsidR="004F1328">
        <w:t>–</w:t>
      </w:r>
      <w:r w:rsidRPr="00372632">
        <w:t>06, which has since been relatively stable</w:t>
      </w:r>
      <w:r w:rsidR="00E574C5">
        <w:t xml:space="preserve"> in real terms</w:t>
      </w:r>
      <w:r w:rsidRPr="00372632">
        <w:t>.</w:t>
      </w:r>
    </w:p>
    <w:p w:rsidR="00AB5371" w:rsidRDefault="001313AD" w:rsidP="00360E80">
      <w:pPr>
        <w:pStyle w:val="BodyText"/>
      </w:pPr>
      <w:r>
        <w:t>Compared to the past decade g</w:t>
      </w:r>
      <w:r w:rsidR="00A85A90">
        <w:t>rowth in s</w:t>
      </w:r>
      <w:r w:rsidR="00787256" w:rsidRPr="00227D7D">
        <w:t xml:space="preserve">pending </w:t>
      </w:r>
      <w:r w:rsidR="00C244CA">
        <w:t>per person</w:t>
      </w:r>
      <w:r w:rsidR="00787256" w:rsidRPr="00227D7D">
        <w:t xml:space="preserve"> on GP serv</w:t>
      </w:r>
      <w:r w:rsidR="002173AC">
        <w:t xml:space="preserve">ices is projected to </w:t>
      </w:r>
      <w:r w:rsidR="00A85A90">
        <w:t xml:space="preserve">slow to </w:t>
      </w:r>
      <w:r w:rsidR="002173AC">
        <w:t>1.</w:t>
      </w:r>
      <w:r w:rsidR="001235DF">
        <w:t>2</w:t>
      </w:r>
      <w:r w:rsidR="00787256" w:rsidRPr="00227D7D">
        <w:t xml:space="preserve"> per cent annually </w:t>
      </w:r>
      <w:r w:rsidR="00E574C5">
        <w:t xml:space="preserve">in real terms </w:t>
      </w:r>
      <w:r w:rsidR="00787256" w:rsidRPr="00227D7D">
        <w:t>between 2014</w:t>
      </w:r>
      <w:r w:rsidR="004F1328">
        <w:t>–</w:t>
      </w:r>
      <w:r w:rsidR="00787256" w:rsidRPr="00227D7D">
        <w:t>15 and 2025</w:t>
      </w:r>
      <w:r w:rsidR="004F1328">
        <w:t>–</w:t>
      </w:r>
      <w:r w:rsidR="00787256" w:rsidRPr="00227D7D">
        <w:t xml:space="preserve">26. </w:t>
      </w:r>
      <w:r w:rsidR="006E4317" w:rsidRPr="00227D7D">
        <w:t xml:space="preserve"> </w:t>
      </w:r>
      <w:r>
        <w:t>G</w:t>
      </w:r>
      <w:r w:rsidR="002F2E21">
        <w:t>rowth in t</w:t>
      </w:r>
      <w:r w:rsidR="00A85A90">
        <w:t xml:space="preserve">he </w:t>
      </w:r>
      <w:r w:rsidR="00A85A90" w:rsidRPr="00227D7D">
        <w:t xml:space="preserve">number of services </w:t>
      </w:r>
      <w:r w:rsidR="00C244CA">
        <w:t>per person</w:t>
      </w:r>
      <w:r w:rsidR="00A85A90" w:rsidRPr="00227D7D">
        <w:t xml:space="preserve"> is projected to </w:t>
      </w:r>
      <w:r w:rsidR="002F2E21">
        <w:t>slow to</w:t>
      </w:r>
      <w:r w:rsidR="00A85A90" w:rsidRPr="00227D7D">
        <w:t xml:space="preserve"> </w:t>
      </w:r>
      <w:r w:rsidR="00A85A90" w:rsidRPr="006A19EC">
        <w:t>1.</w:t>
      </w:r>
      <w:r w:rsidR="00A85A90">
        <w:t>2</w:t>
      </w:r>
      <w:r w:rsidR="00A85A90" w:rsidRPr="006A19EC">
        <w:t> per cent annually over the period</w:t>
      </w:r>
      <w:r w:rsidR="00A85A90">
        <w:t xml:space="preserve"> </w:t>
      </w:r>
      <w:r w:rsidR="00BF526A" w:rsidRPr="000311FF">
        <w:t>now that GP attendance rates for males aged 75 and over have caught up to equivalent female attendance rates.</w:t>
      </w:r>
      <w:r w:rsidR="00BF526A">
        <w:t xml:space="preserve">  </w:t>
      </w:r>
      <w:r w:rsidR="00A85A90" w:rsidRPr="00E55F44">
        <w:t xml:space="preserve">Benefits per service are projected to decline by 0.1 per cent annually in real terms over the period </w:t>
      </w:r>
      <w:r w:rsidR="00AB5371" w:rsidRPr="00E55F44">
        <w:t xml:space="preserve">reflecting the </w:t>
      </w:r>
      <w:r w:rsidR="002C0594" w:rsidRPr="00E55F44">
        <w:t>combination of the flat</w:t>
      </w:r>
      <w:r w:rsidR="00AB5371" w:rsidRPr="00E55F44">
        <w:t xml:space="preserve"> growth in the benefit paid </w:t>
      </w:r>
      <w:r w:rsidR="005B3841" w:rsidRPr="00E55F44">
        <w:t xml:space="preserve">since the </w:t>
      </w:r>
      <w:r w:rsidR="002C0594" w:rsidRPr="00E55F44">
        <w:t xml:space="preserve">one-off increase </w:t>
      </w:r>
      <w:r w:rsidR="00AB5371" w:rsidRPr="00E55F44">
        <w:t xml:space="preserve">in the GP rebate and </w:t>
      </w:r>
      <w:r w:rsidR="00A85A90" w:rsidRPr="00E55F44">
        <w:t>government decisions to pause indexation of b</w:t>
      </w:r>
      <w:r w:rsidR="004F1328" w:rsidRPr="00E55F44">
        <w:t>enefits for GP services in 2013–</w:t>
      </w:r>
      <w:r w:rsidR="00A85A90" w:rsidRPr="00E55F44">
        <w:t>14 and from 2016</w:t>
      </w:r>
      <w:r w:rsidR="004F1328" w:rsidRPr="00E55F44">
        <w:t>–</w:t>
      </w:r>
      <w:r w:rsidR="00A85A90" w:rsidRPr="00E55F44">
        <w:t>17 to 2017</w:t>
      </w:r>
      <w:r w:rsidR="004F1328" w:rsidRPr="00E55F44">
        <w:t>–</w:t>
      </w:r>
      <w:r w:rsidR="00A85A90" w:rsidRPr="00E55F44">
        <w:t>18.</w:t>
      </w:r>
    </w:p>
    <w:p w:rsidR="00B24A4C" w:rsidRPr="00227D7D" w:rsidRDefault="00B24A4C" w:rsidP="007108E1">
      <w:pPr>
        <w:pStyle w:val="Heading2"/>
      </w:pPr>
      <w:bookmarkStart w:id="90" w:name="_Toc436050787"/>
      <w:r w:rsidRPr="00227D7D">
        <w:t>Surgeries and treatments</w:t>
      </w:r>
      <w:bookmarkEnd w:id="90"/>
    </w:p>
    <w:p w:rsidR="00B24A4C" w:rsidRPr="00360E80" w:rsidRDefault="00E574C5" w:rsidP="00360E80">
      <w:pPr>
        <w:pStyle w:val="BodyText"/>
      </w:pPr>
      <w:r w:rsidRPr="00360E80">
        <w:t>S</w:t>
      </w:r>
      <w:r w:rsidR="00085712" w:rsidRPr="00360E80">
        <w:t xml:space="preserve">pending </w:t>
      </w:r>
      <w:r w:rsidR="00C244CA" w:rsidRPr="00360E80">
        <w:t>per person</w:t>
      </w:r>
      <w:r w:rsidR="00085712" w:rsidRPr="00360E80">
        <w:t xml:space="preserve"> on surg</w:t>
      </w:r>
      <w:r w:rsidR="00BB3458" w:rsidRPr="00360E80">
        <w:t>eries and treatments grew by 2.8</w:t>
      </w:r>
      <w:r w:rsidR="00085712" w:rsidRPr="00360E80">
        <w:t xml:space="preserve"> per cent annually </w:t>
      </w:r>
      <w:r w:rsidRPr="00360E80">
        <w:t xml:space="preserve">in real terms </w:t>
      </w:r>
      <w:r w:rsidR="00085712" w:rsidRPr="00360E80">
        <w:t>between 1993</w:t>
      </w:r>
      <w:r w:rsidR="004F1328" w:rsidRPr="00360E80">
        <w:t>–</w:t>
      </w:r>
      <w:r w:rsidR="00085712" w:rsidRPr="00360E80">
        <w:t>94 and 2014</w:t>
      </w:r>
      <w:r w:rsidR="004F1328" w:rsidRPr="00360E80">
        <w:t>–</w:t>
      </w:r>
      <w:r w:rsidR="00085712" w:rsidRPr="00360E80">
        <w:t xml:space="preserve">15, accounting </w:t>
      </w:r>
      <w:r w:rsidR="00B24A4C" w:rsidRPr="00360E80">
        <w:t xml:space="preserve">for </w:t>
      </w:r>
      <w:r w:rsidR="00C50C09" w:rsidRPr="00360E80">
        <w:t>around a fifth</w:t>
      </w:r>
      <w:r w:rsidR="00B24A4C" w:rsidRPr="00360E80">
        <w:t xml:space="preserve"> of the total </w:t>
      </w:r>
      <w:r w:rsidRPr="00360E80">
        <w:t xml:space="preserve">real </w:t>
      </w:r>
      <w:r w:rsidR="00B24A4C" w:rsidRPr="00360E80">
        <w:t>growth in s</w:t>
      </w:r>
      <w:r w:rsidR="007B496D" w:rsidRPr="00360E80">
        <w:t xml:space="preserve">pending </w:t>
      </w:r>
      <w:r w:rsidR="00C244CA" w:rsidRPr="00360E80">
        <w:t>per person</w:t>
      </w:r>
      <w:r w:rsidR="00085712" w:rsidRPr="00360E80">
        <w:t xml:space="preserve"> </w:t>
      </w:r>
      <w:r w:rsidR="00296A8B" w:rsidRPr="00360E80">
        <w:t xml:space="preserve">on </w:t>
      </w:r>
      <w:r w:rsidR="00DF7D43" w:rsidRPr="00360E80">
        <w:t>the MBS</w:t>
      </w:r>
      <w:r w:rsidR="00296A8B" w:rsidRPr="00360E80">
        <w:t xml:space="preserve"> </w:t>
      </w:r>
      <w:r w:rsidR="00085712" w:rsidRPr="00360E80">
        <w:t>over the period</w:t>
      </w:r>
      <w:r w:rsidR="00B24A4C" w:rsidRPr="00360E80">
        <w:t>.</w:t>
      </w:r>
      <w:r w:rsidR="005B04D4" w:rsidRPr="00360E80">
        <w:t xml:space="preserve">  By 2014</w:t>
      </w:r>
      <w:r w:rsidR="004F1328" w:rsidRPr="00360E80">
        <w:t>–</w:t>
      </w:r>
      <w:r w:rsidR="005B04D4" w:rsidRPr="00360E80">
        <w:t xml:space="preserve">15, spending on surgeries and treatments </w:t>
      </w:r>
      <w:r w:rsidR="00A63D57" w:rsidRPr="00360E80">
        <w:t xml:space="preserve">accounted for </w:t>
      </w:r>
      <w:r w:rsidR="005B04D4" w:rsidRPr="00360E80">
        <w:t>1</w:t>
      </w:r>
      <w:r w:rsidR="002C32F2" w:rsidRPr="00360E80">
        <w:t>7</w:t>
      </w:r>
      <w:r w:rsidR="005B04D4" w:rsidRPr="00360E80">
        <w:t xml:space="preserve"> per cent of </w:t>
      </w:r>
      <w:r w:rsidR="00DF7D43" w:rsidRPr="00360E80">
        <w:t>MBS</w:t>
      </w:r>
      <w:r w:rsidR="005B04D4" w:rsidRPr="00360E80">
        <w:t xml:space="preserve"> spending.</w:t>
      </w:r>
    </w:p>
    <w:p w:rsidR="008C53C8" w:rsidRPr="00360E80" w:rsidRDefault="00B24A4C" w:rsidP="00360E80">
      <w:pPr>
        <w:pStyle w:val="BodyText"/>
      </w:pPr>
      <w:r w:rsidRPr="00360E80">
        <w:t xml:space="preserve">The number of surgeries and treatments </w:t>
      </w:r>
      <w:r w:rsidR="00C244CA" w:rsidRPr="00360E80">
        <w:t>per person</w:t>
      </w:r>
      <w:r w:rsidRPr="00360E80">
        <w:t xml:space="preserve"> grew by </w:t>
      </w:r>
      <w:r w:rsidR="009A7348" w:rsidRPr="00360E80">
        <w:t>2.9</w:t>
      </w:r>
      <w:r w:rsidRPr="00360E80">
        <w:t> per cent annually, driven by the addition of new items covering surgical operations and the introduction of the Relative Value Guide</w:t>
      </w:r>
      <w:r w:rsidR="00FE79E9" w:rsidRPr="00360E80">
        <w:t xml:space="preserve"> </w:t>
      </w:r>
      <w:r w:rsidR="00787257" w:rsidRPr="00360E80">
        <w:t>(RVG) for a</w:t>
      </w:r>
      <w:r w:rsidR="00FE79E9" w:rsidRPr="00360E80">
        <w:t>naesthesia in 2001</w:t>
      </w:r>
      <w:r w:rsidR="004F1328" w:rsidRPr="00360E80">
        <w:t>–</w:t>
      </w:r>
      <w:r w:rsidR="00FE79E9" w:rsidRPr="00360E80">
        <w:t>02</w:t>
      </w:r>
      <w:r w:rsidR="002173AC" w:rsidRPr="00360E80">
        <w:t xml:space="preserve"> (</w:t>
      </w:r>
      <w:r w:rsidR="004F1328" w:rsidRPr="00360E80">
        <w:fldChar w:fldCharType="begin"/>
      </w:r>
      <w:r w:rsidR="004F1328" w:rsidRPr="00360E80">
        <w:instrText xml:space="preserve"> REF _Ref436044661 \h </w:instrText>
      </w:r>
      <w:r w:rsidR="00360E80">
        <w:instrText xml:space="preserve"> \* MERGEFORMAT </w:instrText>
      </w:r>
      <w:r w:rsidR="004F1328" w:rsidRPr="00360E80">
        <w:fldChar w:fldCharType="separate"/>
      </w:r>
      <w:r w:rsidR="00235C48" w:rsidRPr="004F1328">
        <w:t xml:space="preserve">Figure </w:t>
      </w:r>
      <w:r w:rsidR="00235C48">
        <w:t>3</w:t>
      </w:r>
      <w:r w:rsidR="00235C48" w:rsidRPr="004F1328">
        <w:t>–</w:t>
      </w:r>
      <w:r w:rsidR="00235C48">
        <w:t>4</w:t>
      </w:r>
      <w:r w:rsidR="004F1328" w:rsidRPr="00360E80">
        <w:fldChar w:fldCharType="end"/>
      </w:r>
      <w:r w:rsidR="006B581A" w:rsidRPr="00360E80">
        <w:t>)</w:t>
      </w:r>
      <w:r w:rsidR="0083243A" w:rsidRPr="00360E80">
        <w:t>.</w:t>
      </w:r>
      <w:r w:rsidR="00FE79E9" w:rsidRPr="00360E80">
        <w:t xml:space="preserve"> </w:t>
      </w:r>
      <w:r w:rsidR="00787257" w:rsidRPr="00360E80">
        <w:t xml:space="preserve"> The RVG </w:t>
      </w:r>
      <w:r w:rsidR="00B37F83" w:rsidRPr="00360E80">
        <w:t>introduced new items and defined</w:t>
      </w:r>
      <w:r w:rsidR="00787257" w:rsidRPr="00360E80">
        <w:t xml:space="preserve"> the benefits available for anaesthesia based on the degree of difficulty, length </w:t>
      </w:r>
      <w:r w:rsidR="00C30658" w:rsidRPr="00360E80">
        <w:t xml:space="preserve">of operation </w:t>
      </w:r>
      <w:r w:rsidR="00787257" w:rsidRPr="00360E80">
        <w:t xml:space="preserve">and </w:t>
      </w:r>
      <w:r w:rsidR="009A7348" w:rsidRPr="00360E80">
        <w:t xml:space="preserve">any </w:t>
      </w:r>
      <w:r w:rsidR="00787257" w:rsidRPr="00360E80">
        <w:t>additional complexities of the procedure</w:t>
      </w:r>
      <w:r w:rsidR="00454A00" w:rsidRPr="00360E80">
        <w:t xml:space="preserve"> (for example if anaesthesia is performed on a very young or very old patient)</w:t>
      </w:r>
      <w:r w:rsidR="00353330" w:rsidRPr="00360E80">
        <w:t>.</w:t>
      </w:r>
    </w:p>
    <w:p w:rsidR="00734A78" w:rsidRPr="00360E80" w:rsidRDefault="00E0322B" w:rsidP="00360E80">
      <w:pPr>
        <w:pStyle w:val="BodyText"/>
      </w:pPr>
      <w:r w:rsidRPr="00360E80">
        <w:t xml:space="preserve">In the </w:t>
      </w:r>
      <w:r w:rsidR="009D397C" w:rsidRPr="00360E80">
        <w:t>p</w:t>
      </w:r>
      <w:r w:rsidRPr="00360E80">
        <w:t>ast decade, n</w:t>
      </w:r>
      <w:r w:rsidR="00FE79E9" w:rsidRPr="00360E80">
        <w:t xml:space="preserve">ew items for </w:t>
      </w:r>
      <w:r w:rsidR="006D1AE6" w:rsidRPr="00360E80">
        <w:t>obstetrics and radiation oncology</w:t>
      </w:r>
      <w:r w:rsidR="0083243A" w:rsidRPr="00360E80">
        <w:t xml:space="preserve"> have also ad</w:t>
      </w:r>
      <w:r w:rsidR="006B71AD" w:rsidRPr="00360E80">
        <w:t xml:space="preserve">ded to growth in services </w:t>
      </w:r>
      <w:r w:rsidR="00C244CA" w:rsidRPr="00360E80">
        <w:t>per person</w:t>
      </w:r>
      <w:r w:rsidR="00D5272A" w:rsidRPr="00360E80">
        <w:t>.</w:t>
      </w:r>
    </w:p>
    <w:p w:rsidR="004F1328" w:rsidRPr="004F1328" w:rsidRDefault="004F1328" w:rsidP="004F1328">
      <w:pPr>
        <w:pStyle w:val="Caption"/>
      </w:pPr>
      <w:bookmarkStart w:id="91" w:name="_Ref436044661"/>
      <w:bookmarkStart w:id="92" w:name="_Toc436051004"/>
      <w:bookmarkStart w:id="93" w:name="_Toc436205226"/>
      <w:r w:rsidRPr="004F1328">
        <w:lastRenderedPageBreak/>
        <w:t xml:space="preserve">Figure </w:t>
      </w:r>
      <w:fldSimple w:instr=" STYLEREF 1 \s ">
        <w:r w:rsidR="00235C48">
          <w:rPr>
            <w:noProof/>
          </w:rPr>
          <w:t>3</w:t>
        </w:r>
      </w:fldSimple>
      <w:r w:rsidRPr="004F1328">
        <w:t>–</w:t>
      </w:r>
      <w:fldSimple w:instr=" SEQ Figure \* ARABIC \s 1 ">
        <w:r w:rsidR="00235C48">
          <w:rPr>
            <w:noProof/>
          </w:rPr>
          <w:t>4</w:t>
        </w:r>
      </w:fldSimple>
      <w:bookmarkEnd w:id="91"/>
      <w:r w:rsidRPr="004F1328">
        <w:t>: Surgeries and treatments, benefit paid per service (2014</w:t>
      </w:r>
      <w:r>
        <w:t>–</w:t>
      </w:r>
      <w:r w:rsidRPr="004F1328">
        <w:t>15 dollars) and services per person</w:t>
      </w:r>
      <w:bookmarkEnd w:id="92"/>
      <w:bookmarkEnd w:id="93"/>
    </w:p>
    <w:tbl>
      <w:tblPr>
        <w:tblStyle w:val="TableGrid"/>
        <w:tblW w:w="6888" w:type="pct"/>
        <w:tblInd w:w="-1555" w:type="dxa"/>
        <w:tblLook w:val="0680" w:firstRow="0" w:lastRow="0" w:firstColumn="1" w:lastColumn="0" w:noHBand="1" w:noVBand="1"/>
      </w:tblPr>
      <w:tblGrid>
        <w:gridCol w:w="1533"/>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0"/>
        <w:gridCol w:w="300"/>
        <w:gridCol w:w="300"/>
        <w:gridCol w:w="300"/>
        <w:gridCol w:w="300"/>
        <w:gridCol w:w="300"/>
        <w:gridCol w:w="300"/>
        <w:gridCol w:w="300"/>
        <w:gridCol w:w="300"/>
        <w:gridCol w:w="300"/>
        <w:gridCol w:w="300"/>
        <w:gridCol w:w="300"/>
        <w:gridCol w:w="300"/>
        <w:gridCol w:w="300"/>
      </w:tblGrid>
      <w:tr w:rsidR="002268A0" w:rsidRPr="002268A0" w:rsidTr="002268A0">
        <w:trPr>
          <w:cantSplit/>
        </w:trPr>
        <w:tc>
          <w:tcPr>
            <w:cnfStyle w:val="001000000000" w:firstRow="0" w:lastRow="0" w:firstColumn="1" w:lastColumn="0" w:oddVBand="0" w:evenVBand="0" w:oddHBand="0" w:evenHBand="0" w:firstRowFirstColumn="0" w:firstRowLastColumn="0" w:lastRowFirstColumn="0" w:lastRowLastColumn="0"/>
            <w:tcW w:w="668" w:type="pct"/>
            <w:vAlign w:val="bottom"/>
          </w:tcPr>
          <w:p w:rsidR="003B5BCC" w:rsidRPr="002268A0" w:rsidRDefault="003B5BCC" w:rsidP="003B5BCC">
            <w:pPr>
              <w:spacing w:before="0" w:after="0"/>
              <w:ind w:left="0" w:right="57"/>
              <w:rPr>
                <w:rFonts w:ascii="Calibri" w:hAnsi="Calibri"/>
                <w:b/>
                <w:bCs/>
                <w:color w:val="FFFFFF" w:themeColor="background1"/>
                <w:sz w:val="10"/>
                <w:szCs w:val="10"/>
              </w:rPr>
            </w:pPr>
            <w:r w:rsidRPr="002268A0">
              <w:rPr>
                <w:rFonts w:ascii="Calibri" w:hAnsi="Calibri"/>
                <w:b/>
                <w:bCs/>
                <w:color w:val="FFFFFF" w:themeColor="background1"/>
                <w:sz w:val="10"/>
                <w:szCs w:val="10"/>
              </w:rPr>
              <w:t>Surgeries and treatments</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2268A0">
              <w:rPr>
                <w:noProof/>
                <w:color w:val="FFFFFF" w:themeColor="background1"/>
              </w:rPr>
              <w:drawing>
                <wp:anchor distT="0" distB="0" distL="114300" distR="114300" simplePos="0" relativeHeight="251675648" behindDoc="0" locked="0" layoutInCell="1" allowOverlap="1" wp14:anchorId="4C8594BA" wp14:editId="3BA7831B">
                  <wp:simplePos x="0" y="0"/>
                  <wp:positionH relativeFrom="column">
                    <wp:posOffset>15240</wp:posOffset>
                  </wp:positionH>
                  <wp:positionV relativeFrom="paragraph">
                    <wp:posOffset>-25400</wp:posOffset>
                  </wp:positionV>
                  <wp:extent cx="5469890" cy="2381250"/>
                  <wp:effectExtent l="0" t="0" r="0" b="0"/>
                  <wp:wrapNone/>
                  <wp:docPr id="31" name="Picture 31"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469890" cy="2381250"/>
                          </a:xfrm>
                          <a:prstGeom prst="rect">
                            <a:avLst/>
                          </a:prstGeom>
                          <a:noFill/>
                        </pic:spPr>
                      </pic:pic>
                    </a:graphicData>
                  </a:graphic>
                  <wp14:sizeRelH relativeFrom="page">
                    <wp14:pctWidth>0</wp14:pctWidth>
                  </wp14:sizeRelH>
                  <wp14:sizeRelV relativeFrom="page">
                    <wp14:pctHeight>0</wp14:pctHeight>
                  </wp14:sizeRelV>
                </wp:anchor>
              </w:drawing>
            </w:r>
            <w:r w:rsidRPr="002268A0">
              <w:rPr>
                <w:rFonts w:ascii="Calibri" w:hAnsi="Calibri"/>
                <w:b/>
                <w:bCs/>
                <w:color w:val="FFFFFF" w:themeColor="background1"/>
                <w:sz w:val="10"/>
                <w:szCs w:val="10"/>
              </w:rPr>
              <w:t>1993-94</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2268A0">
              <w:rPr>
                <w:rFonts w:ascii="Calibri" w:hAnsi="Calibri"/>
                <w:b/>
                <w:bCs/>
                <w:color w:val="FFFFFF" w:themeColor="background1"/>
                <w:sz w:val="10"/>
                <w:szCs w:val="10"/>
              </w:rPr>
              <w:t>1994-95</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2268A0">
              <w:rPr>
                <w:rFonts w:ascii="Calibri" w:hAnsi="Calibri"/>
                <w:b/>
                <w:bCs/>
                <w:color w:val="FFFFFF" w:themeColor="background1"/>
                <w:sz w:val="10"/>
                <w:szCs w:val="10"/>
              </w:rPr>
              <w:t>1995-96</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2268A0">
              <w:rPr>
                <w:rFonts w:ascii="Calibri" w:hAnsi="Calibri"/>
                <w:b/>
                <w:bCs/>
                <w:color w:val="FFFFFF" w:themeColor="background1"/>
                <w:sz w:val="10"/>
                <w:szCs w:val="10"/>
              </w:rPr>
              <w:t>1996-97</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2268A0">
              <w:rPr>
                <w:rFonts w:ascii="Calibri" w:hAnsi="Calibri"/>
                <w:b/>
                <w:bCs/>
                <w:color w:val="FFFFFF" w:themeColor="background1"/>
                <w:sz w:val="10"/>
                <w:szCs w:val="10"/>
              </w:rPr>
              <w:t>1997-98</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2268A0">
              <w:rPr>
                <w:rFonts w:ascii="Calibri" w:hAnsi="Calibri"/>
                <w:b/>
                <w:bCs/>
                <w:color w:val="FFFFFF" w:themeColor="background1"/>
                <w:sz w:val="10"/>
                <w:szCs w:val="10"/>
              </w:rPr>
              <w:t>1998-99</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2268A0">
              <w:rPr>
                <w:rFonts w:ascii="Calibri" w:hAnsi="Calibri"/>
                <w:b/>
                <w:bCs/>
                <w:color w:val="FFFFFF" w:themeColor="background1"/>
                <w:sz w:val="10"/>
                <w:szCs w:val="10"/>
              </w:rPr>
              <w:t>1999-00</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2268A0">
              <w:rPr>
                <w:rFonts w:ascii="Calibri" w:hAnsi="Calibri"/>
                <w:b/>
                <w:bCs/>
                <w:color w:val="FFFFFF" w:themeColor="background1"/>
                <w:sz w:val="10"/>
                <w:szCs w:val="10"/>
              </w:rPr>
              <w:t>2000-01</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2268A0">
              <w:rPr>
                <w:rFonts w:ascii="Calibri" w:hAnsi="Calibri"/>
                <w:b/>
                <w:bCs/>
                <w:color w:val="FFFFFF" w:themeColor="background1"/>
                <w:sz w:val="10"/>
                <w:szCs w:val="10"/>
              </w:rPr>
              <w:t>2001-02</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2268A0">
              <w:rPr>
                <w:rFonts w:ascii="Calibri" w:hAnsi="Calibri"/>
                <w:b/>
                <w:bCs/>
                <w:color w:val="FFFFFF" w:themeColor="background1"/>
                <w:sz w:val="10"/>
                <w:szCs w:val="10"/>
              </w:rPr>
              <w:t>2002-03</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2268A0">
              <w:rPr>
                <w:rFonts w:ascii="Calibri" w:hAnsi="Calibri"/>
                <w:b/>
                <w:bCs/>
                <w:color w:val="FFFFFF" w:themeColor="background1"/>
                <w:sz w:val="10"/>
                <w:szCs w:val="10"/>
              </w:rPr>
              <w:t>2003-04</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2268A0">
              <w:rPr>
                <w:rFonts w:ascii="Calibri" w:hAnsi="Calibri"/>
                <w:b/>
                <w:bCs/>
                <w:color w:val="FFFFFF" w:themeColor="background1"/>
                <w:sz w:val="10"/>
                <w:szCs w:val="10"/>
              </w:rPr>
              <w:t>2004-05</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2268A0">
              <w:rPr>
                <w:rFonts w:ascii="Calibri" w:hAnsi="Calibri"/>
                <w:b/>
                <w:bCs/>
                <w:color w:val="FFFFFF" w:themeColor="background1"/>
                <w:sz w:val="10"/>
                <w:szCs w:val="10"/>
              </w:rPr>
              <w:t>2005-06</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2268A0">
              <w:rPr>
                <w:rFonts w:ascii="Calibri" w:hAnsi="Calibri"/>
                <w:b/>
                <w:bCs/>
                <w:color w:val="FFFFFF" w:themeColor="background1"/>
                <w:sz w:val="10"/>
                <w:szCs w:val="10"/>
              </w:rPr>
              <w:t>2006-07</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2268A0">
              <w:rPr>
                <w:rFonts w:ascii="Calibri" w:hAnsi="Calibri"/>
                <w:b/>
                <w:bCs/>
                <w:color w:val="FFFFFF" w:themeColor="background1"/>
                <w:sz w:val="10"/>
                <w:szCs w:val="10"/>
              </w:rPr>
              <w:t>2007-08</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2268A0">
              <w:rPr>
                <w:rFonts w:ascii="Calibri" w:hAnsi="Calibri"/>
                <w:b/>
                <w:bCs/>
                <w:color w:val="FFFFFF" w:themeColor="background1"/>
                <w:sz w:val="10"/>
                <w:szCs w:val="10"/>
              </w:rPr>
              <w:t>2008-09</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2268A0">
              <w:rPr>
                <w:rFonts w:ascii="Calibri" w:hAnsi="Calibri"/>
                <w:b/>
                <w:bCs/>
                <w:color w:val="FFFFFF" w:themeColor="background1"/>
                <w:sz w:val="10"/>
                <w:szCs w:val="10"/>
              </w:rPr>
              <w:t>2009-10</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2268A0">
              <w:rPr>
                <w:rFonts w:ascii="Calibri" w:hAnsi="Calibri"/>
                <w:b/>
                <w:bCs/>
                <w:color w:val="FFFFFF" w:themeColor="background1"/>
                <w:sz w:val="10"/>
                <w:szCs w:val="10"/>
              </w:rPr>
              <w:t>2010-11</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2268A0">
              <w:rPr>
                <w:rFonts w:ascii="Calibri" w:hAnsi="Calibri"/>
                <w:b/>
                <w:bCs/>
                <w:color w:val="FFFFFF" w:themeColor="background1"/>
                <w:sz w:val="10"/>
                <w:szCs w:val="10"/>
              </w:rPr>
              <w:t>2011-12</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2268A0">
              <w:rPr>
                <w:rFonts w:ascii="Calibri" w:hAnsi="Calibri"/>
                <w:b/>
                <w:bCs/>
                <w:color w:val="FFFFFF" w:themeColor="background1"/>
                <w:sz w:val="10"/>
                <w:szCs w:val="10"/>
              </w:rPr>
              <w:t>2012-13</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2268A0">
              <w:rPr>
                <w:rFonts w:ascii="Calibri" w:hAnsi="Calibri"/>
                <w:b/>
                <w:bCs/>
                <w:color w:val="FFFFFF" w:themeColor="background1"/>
                <w:sz w:val="10"/>
                <w:szCs w:val="10"/>
              </w:rPr>
              <w:t>2013-14</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2268A0">
              <w:rPr>
                <w:rFonts w:ascii="Calibri" w:hAnsi="Calibri"/>
                <w:b/>
                <w:bCs/>
                <w:color w:val="FFFFFF" w:themeColor="background1"/>
                <w:sz w:val="10"/>
                <w:szCs w:val="10"/>
              </w:rPr>
              <w:t>2014-15</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2268A0">
              <w:rPr>
                <w:rFonts w:ascii="Calibri" w:hAnsi="Calibri"/>
                <w:b/>
                <w:bCs/>
                <w:color w:val="FFFFFF" w:themeColor="background1"/>
                <w:sz w:val="10"/>
                <w:szCs w:val="10"/>
              </w:rPr>
              <w:t>2015-16</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2268A0">
              <w:rPr>
                <w:rFonts w:ascii="Calibri" w:hAnsi="Calibri"/>
                <w:b/>
                <w:bCs/>
                <w:color w:val="FFFFFF" w:themeColor="background1"/>
                <w:sz w:val="10"/>
                <w:szCs w:val="10"/>
              </w:rPr>
              <w:t>2016-17</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2268A0">
              <w:rPr>
                <w:rFonts w:ascii="Calibri" w:hAnsi="Calibri"/>
                <w:b/>
                <w:bCs/>
                <w:color w:val="FFFFFF" w:themeColor="background1"/>
                <w:sz w:val="10"/>
                <w:szCs w:val="10"/>
              </w:rPr>
              <w:t>2017-18</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2268A0">
              <w:rPr>
                <w:rFonts w:ascii="Calibri" w:hAnsi="Calibri"/>
                <w:b/>
                <w:bCs/>
                <w:color w:val="FFFFFF" w:themeColor="background1"/>
                <w:sz w:val="10"/>
                <w:szCs w:val="10"/>
              </w:rPr>
              <w:t>2018-19</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2268A0">
              <w:rPr>
                <w:rFonts w:ascii="Calibri" w:hAnsi="Calibri"/>
                <w:b/>
                <w:bCs/>
                <w:color w:val="FFFFFF" w:themeColor="background1"/>
                <w:sz w:val="10"/>
                <w:szCs w:val="10"/>
              </w:rPr>
              <w:t>2019-20</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2268A0">
              <w:rPr>
                <w:rFonts w:ascii="Calibri" w:hAnsi="Calibri"/>
                <w:b/>
                <w:bCs/>
                <w:color w:val="FFFFFF" w:themeColor="background1"/>
                <w:sz w:val="10"/>
                <w:szCs w:val="10"/>
              </w:rPr>
              <w:t>2020-21</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2268A0">
              <w:rPr>
                <w:rFonts w:ascii="Calibri" w:hAnsi="Calibri"/>
                <w:b/>
                <w:bCs/>
                <w:color w:val="FFFFFF" w:themeColor="background1"/>
                <w:sz w:val="10"/>
                <w:szCs w:val="10"/>
              </w:rPr>
              <w:t>2021-22</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2268A0">
              <w:rPr>
                <w:rFonts w:ascii="Calibri" w:hAnsi="Calibri"/>
                <w:b/>
                <w:bCs/>
                <w:color w:val="FFFFFF" w:themeColor="background1"/>
                <w:sz w:val="10"/>
                <w:szCs w:val="10"/>
              </w:rPr>
              <w:t>2022-23</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2268A0">
              <w:rPr>
                <w:rFonts w:ascii="Calibri" w:hAnsi="Calibri"/>
                <w:b/>
                <w:bCs/>
                <w:color w:val="FFFFFF" w:themeColor="background1"/>
                <w:sz w:val="10"/>
                <w:szCs w:val="10"/>
              </w:rPr>
              <w:t>2023-24</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2268A0">
              <w:rPr>
                <w:rFonts w:ascii="Calibri" w:hAnsi="Calibri"/>
                <w:b/>
                <w:bCs/>
                <w:color w:val="FFFFFF" w:themeColor="background1"/>
                <w:sz w:val="10"/>
                <w:szCs w:val="10"/>
              </w:rPr>
              <w:t>2024-25</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2268A0">
              <w:rPr>
                <w:rFonts w:ascii="Calibri" w:hAnsi="Calibri"/>
                <w:b/>
                <w:bCs/>
                <w:color w:val="FFFFFF" w:themeColor="background1"/>
                <w:sz w:val="10"/>
                <w:szCs w:val="10"/>
              </w:rPr>
              <w:t>2025-26</w:t>
            </w:r>
          </w:p>
        </w:tc>
      </w:tr>
      <w:tr w:rsidR="002268A0" w:rsidRPr="002268A0" w:rsidTr="002268A0">
        <w:trPr>
          <w:cantSplit/>
        </w:trPr>
        <w:tc>
          <w:tcPr>
            <w:cnfStyle w:val="001000000000" w:firstRow="0" w:lastRow="0" w:firstColumn="1" w:lastColumn="0" w:oddVBand="0" w:evenVBand="0" w:oddHBand="0" w:evenHBand="0" w:firstRowFirstColumn="0" w:firstRowLastColumn="0" w:lastRowFirstColumn="0" w:lastRowLastColumn="0"/>
            <w:tcW w:w="668" w:type="pct"/>
            <w:vAlign w:val="bottom"/>
          </w:tcPr>
          <w:p w:rsidR="003B5BCC" w:rsidRPr="002268A0" w:rsidRDefault="003B5BCC" w:rsidP="003B5BCC">
            <w:pPr>
              <w:spacing w:before="0" w:after="0" w:line="240" w:lineRule="auto"/>
              <w:ind w:left="0" w:right="57"/>
              <w:rPr>
                <w:rFonts w:ascii="Calibri" w:hAnsi="Calibri"/>
                <w:color w:val="FFFFFF" w:themeColor="background1"/>
                <w:sz w:val="10"/>
                <w:szCs w:val="10"/>
              </w:rPr>
            </w:pPr>
            <w:r w:rsidRPr="002268A0">
              <w:rPr>
                <w:rFonts w:ascii="Calibri" w:hAnsi="Calibri"/>
                <w:color w:val="FFFFFF" w:themeColor="background1"/>
                <w:sz w:val="10"/>
                <w:szCs w:val="10"/>
              </w:rPr>
              <w:t>Benefit paid per service ($2014-15)</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148.4</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144.2</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132.6</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128.6</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130.0</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131.2</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132.1</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128.7</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131.8</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134.2</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135.2</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145.7</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147.8</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150.7</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153.9</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155.4</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157.2</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150.6</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151.7</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150.7</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146.7</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144.5</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142.2</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139.6</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137.0</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136.8</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136.7</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136.6</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136.5</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136.3</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136.2</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136.0</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135.9</w:t>
            </w:r>
          </w:p>
        </w:tc>
      </w:tr>
      <w:tr w:rsidR="002268A0" w:rsidRPr="002268A0" w:rsidTr="002268A0">
        <w:trPr>
          <w:cantSplit/>
        </w:trPr>
        <w:tc>
          <w:tcPr>
            <w:cnfStyle w:val="001000000000" w:firstRow="0" w:lastRow="0" w:firstColumn="1" w:lastColumn="0" w:oddVBand="0" w:evenVBand="0" w:oddHBand="0" w:evenHBand="0" w:firstRowFirstColumn="0" w:firstRowLastColumn="0" w:lastRowFirstColumn="0" w:lastRowLastColumn="0"/>
            <w:tcW w:w="668" w:type="pct"/>
            <w:vAlign w:val="bottom"/>
          </w:tcPr>
          <w:p w:rsidR="003B5BCC" w:rsidRPr="002268A0" w:rsidRDefault="003B5BCC" w:rsidP="003B5BCC">
            <w:pPr>
              <w:spacing w:before="0" w:after="0" w:line="240" w:lineRule="auto"/>
              <w:ind w:left="0" w:right="57"/>
              <w:rPr>
                <w:rFonts w:ascii="Calibri" w:hAnsi="Calibri"/>
                <w:color w:val="FFFFFF" w:themeColor="background1"/>
                <w:sz w:val="10"/>
                <w:szCs w:val="10"/>
              </w:rPr>
            </w:pPr>
            <w:r w:rsidRPr="002268A0">
              <w:rPr>
                <w:rFonts w:ascii="Calibri" w:hAnsi="Calibri"/>
                <w:color w:val="FFFFFF" w:themeColor="background1"/>
                <w:sz w:val="10"/>
                <w:szCs w:val="10"/>
              </w:rPr>
              <w:t>Number of services per person</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0.5</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0.6</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0.6</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0.6</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0.6</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0.6</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0.6</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0.7</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0.7</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0.7</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0.7</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0.7</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0.8</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0.8</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0.8</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0.8</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0.9</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0.9</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0.9</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0.9</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1.0</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1.0</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1.0</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1.0</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1.1</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1.1</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1.1</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1.1</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1.2</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1.2</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1.2</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1.3</w:t>
            </w:r>
          </w:p>
        </w:tc>
        <w:tc>
          <w:tcPr>
            <w:tcW w:w="131" w:type="pct"/>
            <w:vAlign w:val="bottom"/>
          </w:tcPr>
          <w:p w:rsidR="003B5BCC" w:rsidRPr="002268A0" w:rsidRDefault="003B5BCC" w:rsidP="003B5BCC">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2268A0">
              <w:rPr>
                <w:rFonts w:ascii="Calibri" w:hAnsi="Calibri"/>
                <w:color w:val="FFFFFF" w:themeColor="background1"/>
                <w:sz w:val="10"/>
                <w:szCs w:val="10"/>
              </w:rPr>
              <w:t>1.3</w:t>
            </w:r>
          </w:p>
        </w:tc>
      </w:tr>
    </w:tbl>
    <w:p w:rsidR="00126CB9" w:rsidRPr="00227D7D" w:rsidRDefault="00126CB9" w:rsidP="008F2ABC">
      <w:pPr>
        <w:pStyle w:val="Source"/>
        <w:spacing w:before="3240"/>
      </w:pPr>
      <w:r w:rsidRPr="00227D7D">
        <w:t xml:space="preserve">Source: PBO analysis of </w:t>
      </w:r>
      <w:r w:rsidR="00DF7D43">
        <w:t>MBS</w:t>
      </w:r>
      <w:r w:rsidRPr="00227D7D">
        <w:t xml:space="preserve"> data from the Department of Human Services</w:t>
      </w:r>
      <w:r w:rsidR="002B6C3D">
        <w:t>, ABS and Treasury</w:t>
      </w:r>
      <w:r w:rsidRPr="00227D7D">
        <w:t>.</w:t>
      </w:r>
    </w:p>
    <w:p w:rsidR="00D77458" w:rsidRDefault="003C1817" w:rsidP="00360E80">
      <w:pPr>
        <w:pStyle w:val="BodyText17ptAbove"/>
      </w:pPr>
      <w:r w:rsidRPr="000467F6">
        <w:t xml:space="preserve">Part of the increase in spending is likely to have occurred from the impact of higher private health insurance cover and the resulting increased demand for private hospital-based </w:t>
      </w:r>
      <w:r w:rsidRPr="00874E3D">
        <w:t>services, which attract a benefit of 75 per cent of the Schedule Fee</w:t>
      </w:r>
      <w:r w:rsidR="002E24F7" w:rsidRPr="00874E3D">
        <w:t xml:space="preserve">.  </w:t>
      </w:r>
      <w:r w:rsidR="006D1AE6" w:rsidRPr="00874E3D">
        <w:t>Until 2000</w:t>
      </w:r>
      <w:r w:rsidR="004F1328" w:rsidRPr="00874E3D">
        <w:t>–</w:t>
      </w:r>
      <w:r w:rsidR="006D1AE6" w:rsidRPr="00874E3D">
        <w:t xml:space="preserve">01, </w:t>
      </w:r>
      <w:r w:rsidR="00B90100" w:rsidRPr="00874E3D">
        <w:t xml:space="preserve">the </w:t>
      </w:r>
      <w:r w:rsidR="000F41BA" w:rsidRPr="00874E3D">
        <w:t>real</w:t>
      </w:r>
      <w:r w:rsidR="000F41BA" w:rsidRPr="000467F6">
        <w:t xml:space="preserve"> </w:t>
      </w:r>
      <w:r w:rsidR="00B90100" w:rsidRPr="000467F6">
        <w:t xml:space="preserve">decline in </w:t>
      </w:r>
      <w:r w:rsidR="00001C7D" w:rsidRPr="000467F6">
        <w:t>benefit paid</w:t>
      </w:r>
      <w:r w:rsidR="006D1AE6" w:rsidRPr="000467F6">
        <w:t xml:space="preserve"> per service </w:t>
      </w:r>
      <w:r w:rsidR="00001C7D" w:rsidRPr="000467F6">
        <w:t>as patients accessed more low</w:t>
      </w:r>
      <w:r w:rsidR="00DF088B" w:rsidRPr="000467F6">
        <w:noBreakHyphen/>
      </w:r>
      <w:r w:rsidR="00DA0F8B" w:rsidRPr="000467F6">
        <w:t>cost</w:t>
      </w:r>
      <w:r w:rsidR="00001C7D" w:rsidRPr="000467F6">
        <w:t xml:space="preserve"> services </w:t>
      </w:r>
      <w:r w:rsidR="00B90100" w:rsidRPr="000467F6">
        <w:t xml:space="preserve">was broadly </w:t>
      </w:r>
      <w:r w:rsidR="006D1AE6" w:rsidRPr="000467F6">
        <w:t xml:space="preserve">offset </w:t>
      </w:r>
      <w:r w:rsidR="00B90100" w:rsidRPr="000467F6">
        <w:t xml:space="preserve">by </w:t>
      </w:r>
      <w:r w:rsidR="006D1AE6" w:rsidRPr="000467F6">
        <w:t xml:space="preserve">the increase in the number of services accessed </w:t>
      </w:r>
      <w:r w:rsidR="00C244CA">
        <w:t>per person</w:t>
      </w:r>
      <w:r w:rsidR="00266F0A" w:rsidRPr="000467F6">
        <w:t xml:space="preserve">.  </w:t>
      </w:r>
      <w:r w:rsidR="006D1AE6" w:rsidRPr="000467F6">
        <w:t xml:space="preserve">However, from </w:t>
      </w:r>
      <w:r w:rsidR="004F1328">
        <w:br/>
      </w:r>
      <w:r w:rsidR="006D1AE6" w:rsidRPr="000467F6">
        <w:t>2001</w:t>
      </w:r>
      <w:r w:rsidR="004F1328">
        <w:t>–</w:t>
      </w:r>
      <w:r w:rsidR="006D1AE6" w:rsidRPr="000467F6">
        <w:t>02, t</w:t>
      </w:r>
      <w:r w:rsidR="00B24A4C" w:rsidRPr="000467F6">
        <w:t>he trend reversed, with</w:t>
      </w:r>
      <w:r w:rsidR="00DF088B" w:rsidRPr="000467F6">
        <w:t xml:space="preserve"> the</w:t>
      </w:r>
      <w:r w:rsidR="00B24A4C" w:rsidRPr="000467F6">
        <w:t xml:space="preserve"> </w:t>
      </w:r>
      <w:r w:rsidR="00001C7D" w:rsidRPr="000467F6">
        <w:t>benefit paid per service</w:t>
      </w:r>
      <w:r w:rsidR="00B24A4C" w:rsidRPr="000467F6">
        <w:t xml:space="preserve"> </w:t>
      </w:r>
      <w:r w:rsidR="00001C7D" w:rsidRPr="000467F6">
        <w:t>growing by</w:t>
      </w:r>
      <w:r w:rsidR="006D1AE6" w:rsidRPr="000467F6">
        <w:t xml:space="preserve"> 0.</w:t>
      </w:r>
      <w:r w:rsidR="002C32F2" w:rsidRPr="000467F6">
        <w:t>7</w:t>
      </w:r>
      <w:r w:rsidR="006D1AE6" w:rsidRPr="000467F6">
        <w:t> per cent annually</w:t>
      </w:r>
      <w:r w:rsidR="000F41BA" w:rsidRPr="000467F6">
        <w:t xml:space="preserve"> in real terms</w:t>
      </w:r>
      <w:r w:rsidR="00630427" w:rsidRPr="000467F6">
        <w:t>.</w:t>
      </w:r>
    </w:p>
    <w:p w:rsidR="00B24A4C" w:rsidRPr="00227D7D" w:rsidRDefault="00B90100" w:rsidP="00360E80">
      <w:pPr>
        <w:pStyle w:val="BodyText"/>
      </w:pPr>
      <w:r w:rsidRPr="00227D7D">
        <w:t>S</w:t>
      </w:r>
      <w:r w:rsidR="00B24A4C" w:rsidRPr="00227D7D">
        <w:t xml:space="preserve">ome of the increase in </w:t>
      </w:r>
      <w:r w:rsidR="00DF088B" w:rsidRPr="00227D7D">
        <w:t xml:space="preserve">the </w:t>
      </w:r>
      <w:r w:rsidR="00001C7D" w:rsidRPr="00227D7D">
        <w:t>benefit paid</w:t>
      </w:r>
      <w:r w:rsidR="00DF088B" w:rsidRPr="00227D7D">
        <w:t xml:space="preserve"> per service</w:t>
      </w:r>
      <w:r w:rsidR="00B24A4C" w:rsidRPr="00227D7D">
        <w:t xml:space="preserve"> is </w:t>
      </w:r>
      <w:r w:rsidR="00B24A4C" w:rsidRPr="007A08B2">
        <w:t>likely</w:t>
      </w:r>
      <w:r w:rsidR="007A08B2">
        <w:t xml:space="preserve"> </w:t>
      </w:r>
      <w:r w:rsidR="00B24A4C" w:rsidRPr="00227D7D">
        <w:t>to have been driven by changes to the Medicare Safety Net</w:t>
      </w:r>
      <w:r w:rsidR="008C53C8" w:rsidRPr="00227D7D">
        <w:t xml:space="preserve"> from 2003</w:t>
      </w:r>
      <w:r w:rsidR="004F1328">
        <w:t>–</w:t>
      </w:r>
      <w:r w:rsidR="008C53C8" w:rsidRPr="00227D7D">
        <w:t>04</w:t>
      </w:r>
      <w:r w:rsidR="00B24A4C" w:rsidRPr="00227D7D">
        <w:t xml:space="preserve"> </w:t>
      </w:r>
      <w:r w:rsidR="00DA0F8B" w:rsidRPr="00227D7D">
        <w:t>(discussed in more detail in section 3.</w:t>
      </w:r>
      <w:r w:rsidR="003F1A3F">
        <w:t>7</w:t>
      </w:r>
      <w:r w:rsidR="008C53C8" w:rsidRPr="00227D7D">
        <w:t>)</w:t>
      </w:r>
      <w:r w:rsidR="00001C7D" w:rsidRPr="00227D7D">
        <w:t xml:space="preserve"> which increased the benefits paid for services once patients reached an out-of-pocket threshold</w:t>
      </w:r>
      <w:r w:rsidR="00BB3458" w:rsidRPr="00227D7D">
        <w:t>.</w:t>
      </w:r>
      <w:r w:rsidR="008C53C8" w:rsidRPr="00227D7D">
        <w:t xml:space="preserve"> </w:t>
      </w:r>
      <w:r w:rsidR="00BB3458" w:rsidRPr="00227D7D">
        <w:t xml:space="preserve"> The</w:t>
      </w:r>
      <w:r w:rsidR="008C53C8" w:rsidRPr="00227D7D">
        <w:t xml:space="preserve"> introduction of the first Medicare Safety Net caps in </w:t>
      </w:r>
      <w:r w:rsidR="00F20B39" w:rsidRPr="00227D7D">
        <w:t>1</w:t>
      </w:r>
      <w:r w:rsidR="00734A78">
        <w:t> </w:t>
      </w:r>
      <w:r w:rsidR="00F20B39" w:rsidRPr="00227D7D">
        <w:t>January</w:t>
      </w:r>
      <w:r w:rsidR="00734A78">
        <w:t> </w:t>
      </w:r>
      <w:r w:rsidR="008C53C8" w:rsidRPr="00227D7D">
        <w:t>2010</w:t>
      </w:r>
      <w:r w:rsidR="00DA0F8B" w:rsidRPr="00227D7D">
        <w:t>, which limited the government’s contribution to out of pocket expenses,</w:t>
      </w:r>
      <w:r w:rsidR="008C53C8" w:rsidRPr="00227D7D">
        <w:t xml:space="preserve"> is </w:t>
      </w:r>
      <w:r w:rsidR="008C53C8" w:rsidRPr="007A08B2">
        <w:t>likely</w:t>
      </w:r>
      <w:r w:rsidR="008C53C8" w:rsidRPr="00227D7D">
        <w:t xml:space="preserve"> to </w:t>
      </w:r>
      <w:r w:rsidR="00274C86" w:rsidRPr="00227D7D">
        <w:t xml:space="preserve">have </w:t>
      </w:r>
      <w:r w:rsidR="008C53C8" w:rsidRPr="00227D7D">
        <w:t>account</w:t>
      </w:r>
      <w:r w:rsidR="00274C86" w:rsidRPr="00227D7D">
        <w:t>ed</w:t>
      </w:r>
      <w:r w:rsidR="008C53C8" w:rsidRPr="00227D7D">
        <w:t xml:space="preserve"> for some of the recent falls</w:t>
      </w:r>
      <w:r w:rsidR="00D251DD">
        <w:t xml:space="preserve"> in</w:t>
      </w:r>
      <w:r w:rsidR="008C53C8" w:rsidRPr="00227D7D">
        <w:t xml:space="preserve"> </w:t>
      </w:r>
      <w:r w:rsidR="000F41BA">
        <w:t xml:space="preserve">real terms </w:t>
      </w:r>
      <w:r w:rsidR="008C53C8" w:rsidRPr="00227D7D">
        <w:t xml:space="preserve">in </w:t>
      </w:r>
      <w:r w:rsidR="00DF088B" w:rsidRPr="00227D7D">
        <w:t xml:space="preserve">the </w:t>
      </w:r>
      <w:r w:rsidR="00001C7D" w:rsidRPr="00227D7D">
        <w:t>benefit paid</w:t>
      </w:r>
      <w:r w:rsidR="00DF088B" w:rsidRPr="00227D7D">
        <w:t xml:space="preserve"> per service</w:t>
      </w:r>
      <w:r w:rsidR="008C53C8" w:rsidRPr="00227D7D">
        <w:t>.</w:t>
      </w:r>
    </w:p>
    <w:p w:rsidR="00D216AD" w:rsidRDefault="002F2E21" w:rsidP="00360E80">
      <w:pPr>
        <w:pStyle w:val="BodyText"/>
        <w:sectPr w:rsidR="00D216AD" w:rsidSect="00232965">
          <w:pgSz w:w="11907" w:h="16839" w:code="9"/>
          <w:pgMar w:top="1361" w:right="1797" w:bottom="1474" w:left="1797" w:header="283" w:footer="454" w:gutter="0"/>
          <w:cols w:space="708"/>
          <w:docGrid w:linePitch="360"/>
        </w:sectPr>
      </w:pPr>
      <w:r w:rsidRPr="004943CE">
        <w:t>Growth in s</w:t>
      </w:r>
      <w:r w:rsidR="00EC5737" w:rsidRPr="004943CE">
        <w:t xml:space="preserve">pending </w:t>
      </w:r>
      <w:r w:rsidR="00C244CA">
        <w:t>per person</w:t>
      </w:r>
      <w:r w:rsidR="00EC5737" w:rsidRPr="004943CE">
        <w:t xml:space="preserve"> on surgeries and treatments is projected to</w:t>
      </w:r>
      <w:r w:rsidRPr="004943CE">
        <w:t xml:space="preserve"> slow to</w:t>
      </w:r>
      <w:r w:rsidR="00EC5737" w:rsidRPr="004943CE">
        <w:t xml:space="preserve"> </w:t>
      </w:r>
      <w:r w:rsidR="003F1A3F" w:rsidRPr="004943CE">
        <w:t>2.0</w:t>
      </w:r>
      <w:r w:rsidR="00EC5737" w:rsidRPr="004943CE">
        <w:t xml:space="preserve"> per cent annually </w:t>
      </w:r>
      <w:r w:rsidR="000F41BA" w:rsidRPr="004943CE">
        <w:t xml:space="preserve">in real terms </w:t>
      </w:r>
      <w:r w:rsidR="00EC5737" w:rsidRPr="004943CE">
        <w:t>between 2014</w:t>
      </w:r>
      <w:r w:rsidR="00D16A92">
        <w:t>–</w:t>
      </w:r>
      <w:r w:rsidR="00EC5737" w:rsidRPr="004943CE">
        <w:t>15 and 2025</w:t>
      </w:r>
      <w:r w:rsidR="00D16A92">
        <w:t>–</w:t>
      </w:r>
      <w:r w:rsidR="00EC5737" w:rsidRPr="004943CE">
        <w:t xml:space="preserve">26. </w:t>
      </w:r>
      <w:r w:rsidRPr="004943CE">
        <w:t xml:space="preserve"> This is driven by a projected </w:t>
      </w:r>
      <w:r w:rsidR="00FB77AA" w:rsidRPr="004943CE">
        <w:t>decline</w:t>
      </w:r>
      <w:r w:rsidRPr="004943CE">
        <w:t xml:space="preserve"> in benefits paid per service of 0.6 per cent annually in real terms over the period, reflecting the pause in the indexation of benefits from 2013</w:t>
      </w:r>
      <w:r w:rsidR="00D16A92">
        <w:t>–</w:t>
      </w:r>
      <w:r w:rsidRPr="004943CE">
        <w:t>14 to 2017</w:t>
      </w:r>
      <w:r w:rsidR="00D16A92">
        <w:t>–</w:t>
      </w:r>
      <w:r w:rsidRPr="004943CE">
        <w:t>18</w:t>
      </w:r>
      <w:r w:rsidR="00FB77AA" w:rsidRPr="004943CE">
        <w:t xml:space="preserve"> and the ongoing impact of the Medicare Safety Net caps</w:t>
      </w:r>
      <w:r w:rsidR="00D16A92">
        <w:t>.</w:t>
      </w:r>
      <w:r w:rsidR="00FB77AA" w:rsidRPr="00701D20">
        <w:rPr>
          <w:rStyle w:val="FootnoteReference"/>
        </w:rPr>
        <w:footnoteReference w:id="20"/>
      </w:r>
      <w:r w:rsidRPr="004943CE">
        <w:t xml:space="preserve">  </w:t>
      </w:r>
      <w:r w:rsidR="00EC5737" w:rsidRPr="004943CE">
        <w:t xml:space="preserve">The number of services </w:t>
      </w:r>
      <w:r w:rsidR="00C244CA">
        <w:t>per person</w:t>
      </w:r>
      <w:r w:rsidR="00EC5737" w:rsidRPr="004943CE">
        <w:t xml:space="preserve"> is projected to grow by 2.6 per cent annually </w:t>
      </w:r>
      <w:r w:rsidRPr="004943CE">
        <w:t>consistent with the trend over the past decade.</w:t>
      </w:r>
    </w:p>
    <w:p w:rsidR="00B24A4C" w:rsidRPr="00227D7D" w:rsidRDefault="00B24A4C" w:rsidP="00826CC3">
      <w:pPr>
        <w:pStyle w:val="Heading2"/>
      </w:pPr>
      <w:bookmarkStart w:id="94" w:name="_Toc436050788"/>
      <w:r w:rsidRPr="00227D7D">
        <w:lastRenderedPageBreak/>
        <w:t>Allied health</w:t>
      </w:r>
      <w:bookmarkEnd w:id="94"/>
    </w:p>
    <w:p w:rsidR="006D1AE6" w:rsidRPr="00227D7D" w:rsidRDefault="008A58F3" w:rsidP="00B24A4C">
      <w:pPr>
        <w:pStyle w:val="BodyText"/>
      </w:pPr>
      <w:r>
        <w:t>S</w:t>
      </w:r>
      <w:r w:rsidR="00B703A8" w:rsidRPr="00227D7D">
        <w:t xml:space="preserve">pending </w:t>
      </w:r>
      <w:r w:rsidR="00C244CA">
        <w:t>per person</w:t>
      </w:r>
      <w:r w:rsidR="00B703A8" w:rsidRPr="00227D7D">
        <w:t xml:space="preserve"> on allied health services grew by </w:t>
      </w:r>
      <w:r w:rsidR="009A7348" w:rsidRPr="00227D7D">
        <w:t>6.9</w:t>
      </w:r>
      <w:r w:rsidR="00B703A8" w:rsidRPr="00227D7D">
        <w:t> per cent annually</w:t>
      </w:r>
      <w:r>
        <w:t xml:space="preserve"> in real terms </w:t>
      </w:r>
      <w:r w:rsidR="00767565" w:rsidRPr="00227D7D">
        <w:t>between 1993</w:t>
      </w:r>
      <w:r w:rsidR="00D16A92">
        <w:t>–</w:t>
      </w:r>
      <w:r w:rsidR="00B703A8" w:rsidRPr="00227D7D">
        <w:t>94 and 201</w:t>
      </w:r>
      <w:r w:rsidR="00737E68" w:rsidRPr="00227D7D">
        <w:t>4</w:t>
      </w:r>
      <w:r w:rsidR="00D16A92">
        <w:t>–</w:t>
      </w:r>
      <w:r w:rsidR="00B703A8" w:rsidRPr="00227D7D">
        <w:t>1</w:t>
      </w:r>
      <w:r w:rsidR="00737E68" w:rsidRPr="00227D7D">
        <w:t>5</w:t>
      </w:r>
      <w:r w:rsidR="00B703A8" w:rsidRPr="00227D7D">
        <w:t xml:space="preserve">, </w:t>
      </w:r>
      <w:r w:rsidR="00767F04" w:rsidRPr="00227D7D">
        <w:t xml:space="preserve">accounting </w:t>
      </w:r>
      <w:r w:rsidR="00B703A8" w:rsidRPr="00227D7D">
        <w:t xml:space="preserve">for </w:t>
      </w:r>
      <w:r w:rsidR="001E5FEB">
        <w:t>1</w:t>
      </w:r>
      <w:r w:rsidR="008D7FDA">
        <w:t>2</w:t>
      </w:r>
      <w:r w:rsidR="001E5FEB">
        <w:t> per cent</w:t>
      </w:r>
      <w:r w:rsidR="00B703A8" w:rsidRPr="00227D7D">
        <w:t xml:space="preserve"> </w:t>
      </w:r>
      <w:r w:rsidR="00B24A4C" w:rsidRPr="00227D7D">
        <w:t xml:space="preserve">of </w:t>
      </w:r>
      <w:r w:rsidR="00826292" w:rsidRPr="00227D7D">
        <w:t xml:space="preserve">the </w:t>
      </w:r>
      <w:r w:rsidR="00B24A4C" w:rsidRPr="00227D7D">
        <w:t xml:space="preserve">total </w:t>
      </w:r>
      <w:r>
        <w:t xml:space="preserve">real </w:t>
      </w:r>
      <w:r w:rsidR="00B24A4C" w:rsidRPr="00227D7D">
        <w:t xml:space="preserve">growth in spending </w:t>
      </w:r>
      <w:r w:rsidR="00C244CA">
        <w:t>per person</w:t>
      </w:r>
      <w:r w:rsidR="00B703A8" w:rsidRPr="00227D7D">
        <w:t xml:space="preserve"> </w:t>
      </w:r>
      <w:r w:rsidR="00296A8B" w:rsidRPr="00227D7D">
        <w:t xml:space="preserve">on </w:t>
      </w:r>
      <w:r w:rsidR="00DF7D43">
        <w:t>the MBS</w:t>
      </w:r>
      <w:r w:rsidR="00296A8B" w:rsidRPr="00227D7D">
        <w:t xml:space="preserve"> </w:t>
      </w:r>
      <w:r w:rsidR="00B703A8" w:rsidRPr="00227D7D">
        <w:t>over the period</w:t>
      </w:r>
      <w:r w:rsidR="00AD1A91" w:rsidRPr="00227D7D">
        <w:t>.</w:t>
      </w:r>
      <w:r w:rsidR="005B04D4">
        <w:t xml:space="preserve">  In 2014</w:t>
      </w:r>
      <w:r w:rsidR="00D16A92">
        <w:t>–</w:t>
      </w:r>
      <w:r w:rsidR="005B04D4">
        <w:t xml:space="preserve">15, spending on allied health services </w:t>
      </w:r>
      <w:r w:rsidR="00D01656">
        <w:t>accounted for</w:t>
      </w:r>
      <w:r w:rsidR="005B04D4">
        <w:t xml:space="preserve"> 6 per cent of </w:t>
      </w:r>
      <w:r w:rsidR="00DF7D43">
        <w:t>MBS</w:t>
      </w:r>
      <w:r w:rsidR="005B04D4">
        <w:t xml:space="preserve"> spending.</w:t>
      </w:r>
    </w:p>
    <w:p w:rsidR="00B24A4C" w:rsidRPr="00227D7D" w:rsidRDefault="00BA476E" w:rsidP="00B24A4C">
      <w:pPr>
        <w:pStyle w:val="BodyText"/>
      </w:pPr>
      <w:r w:rsidRPr="00227D7D">
        <w:t>From 1993</w:t>
      </w:r>
      <w:r w:rsidR="00D16A92">
        <w:t>–</w:t>
      </w:r>
      <w:r w:rsidRPr="00227D7D">
        <w:t>94</w:t>
      </w:r>
      <w:r w:rsidR="00266E17" w:rsidRPr="00227D7D">
        <w:t xml:space="preserve"> to 200</w:t>
      </w:r>
      <w:r w:rsidR="005B58A8">
        <w:t>3</w:t>
      </w:r>
      <w:r w:rsidR="00D16A92">
        <w:t>–</w:t>
      </w:r>
      <w:r w:rsidR="005B58A8">
        <w:t>04</w:t>
      </w:r>
      <w:r w:rsidRPr="00227D7D">
        <w:t>,</w:t>
      </w:r>
      <w:r w:rsidR="00747A4E" w:rsidRPr="00227D7D">
        <w:t xml:space="preserve"> </w:t>
      </w:r>
      <w:r w:rsidR="00001C7D" w:rsidRPr="00227D7D">
        <w:t xml:space="preserve">the benefit paid </w:t>
      </w:r>
      <w:r w:rsidR="00DF088B" w:rsidRPr="00227D7D">
        <w:t xml:space="preserve">per service </w:t>
      </w:r>
      <w:r w:rsidR="00001C7D" w:rsidRPr="00227D7D">
        <w:t xml:space="preserve">for </w:t>
      </w:r>
      <w:r w:rsidR="00B703A8" w:rsidRPr="00227D7D">
        <w:t xml:space="preserve">allied health </w:t>
      </w:r>
      <w:r w:rsidR="00747A4E" w:rsidRPr="00227D7D">
        <w:t>s</w:t>
      </w:r>
      <w:r w:rsidR="00001C7D" w:rsidRPr="00227D7D">
        <w:t>ervices</w:t>
      </w:r>
      <w:r w:rsidR="00B24A4C" w:rsidRPr="00227D7D">
        <w:t xml:space="preserve"> fell by </w:t>
      </w:r>
      <w:r w:rsidR="005B58A8">
        <w:t>2.1</w:t>
      </w:r>
      <w:r w:rsidR="0083243A" w:rsidRPr="00227D7D">
        <w:t xml:space="preserve"> per cent </w:t>
      </w:r>
      <w:r w:rsidR="00B24A4C" w:rsidRPr="00227D7D">
        <w:t>annually</w:t>
      </w:r>
      <w:r w:rsidR="008F794F" w:rsidRPr="00227D7D">
        <w:t xml:space="preserve"> in real </w:t>
      </w:r>
      <w:r w:rsidR="008F794F" w:rsidRPr="006A19EC">
        <w:t>terms</w:t>
      </w:r>
      <w:r w:rsidR="00B24A4C" w:rsidRPr="006A19EC">
        <w:t xml:space="preserve">, but </w:t>
      </w:r>
      <w:r w:rsidR="00D25CFD" w:rsidRPr="006A19EC">
        <w:t xml:space="preserve">the impact </w:t>
      </w:r>
      <w:r w:rsidR="00C95D34" w:rsidRPr="006A19EC">
        <w:t>of this fall was</w:t>
      </w:r>
      <w:r w:rsidR="00B24A4C" w:rsidRPr="006A19EC">
        <w:t xml:space="preserve"> more than</w:t>
      </w:r>
      <w:r w:rsidR="00C50C09" w:rsidRPr="006A19EC">
        <w:t xml:space="preserve"> offset by </w:t>
      </w:r>
      <w:r w:rsidR="00C95D34" w:rsidRPr="006A19EC">
        <w:t>an increase</w:t>
      </w:r>
      <w:r w:rsidR="00C50C09" w:rsidRPr="006A19EC">
        <w:t xml:space="preserve"> in services </w:t>
      </w:r>
      <w:r w:rsidR="00C244CA">
        <w:t>per person</w:t>
      </w:r>
      <w:r w:rsidR="00C50C09" w:rsidRPr="00227D7D">
        <w:t xml:space="preserve"> </w:t>
      </w:r>
      <w:r w:rsidR="00826292" w:rsidRPr="00227D7D">
        <w:t>(</w:t>
      </w:r>
      <w:r w:rsidR="00D16A92">
        <w:fldChar w:fldCharType="begin"/>
      </w:r>
      <w:r w:rsidR="00D16A92">
        <w:instrText xml:space="preserve"> REF _Ref436044820 \h </w:instrText>
      </w:r>
      <w:r w:rsidR="00D16A92">
        <w:fldChar w:fldCharType="separate"/>
      </w:r>
      <w:r w:rsidR="00235C48" w:rsidRPr="00D16A92">
        <w:t xml:space="preserve">Figure </w:t>
      </w:r>
      <w:r w:rsidR="00235C48">
        <w:rPr>
          <w:noProof/>
        </w:rPr>
        <w:t>3</w:t>
      </w:r>
      <w:r w:rsidR="00235C48" w:rsidRPr="00D16A92">
        <w:t>–</w:t>
      </w:r>
      <w:r w:rsidR="00235C48">
        <w:rPr>
          <w:noProof/>
        </w:rPr>
        <w:t>5</w:t>
      </w:r>
      <w:r w:rsidR="00D16A92">
        <w:fldChar w:fldCharType="end"/>
      </w:r>
      <w:r w:rsidR="00826292" w:rsidRPr="00227D7D">
        <w:t>)</w:t>
      </w:r>
      <w:r w:rsidR="00266F0A" w:rsidRPr="00227D7D">
        <w:t xml:space="preserve">.  </w:t>
      </w:r>
      <w:r w:rsidR="00B24A4C" w:rsidRPr="00227D7D">
        <w:t>The number of services</w:t>
      </w:r>
      <w:r w:rsidR="0083243A" w:rsidRPr="00227D7D">
        <w:t xml:space="preserve"> accessed </w:t>
      </w:r>
      <w:r w:rsidR="00C244CA">
        <w:t>per person</w:t>
      </w:r>
      <w:r w:rsidR="0083243A" w:rsidRPr="00227D7D">
        <w:t xml:space="preserve"> grew by </w:t>
      </w:r>
      <w:r w:rsidR="005B58A8">
        <w:t>3.1</w:t>
      </w:r>
      <w:r w:rsidR="00B24A4C" w:rsidRPr="00227D7D">
        <w:t> per </w:t>
      </w:r>
      <w:r w:rsidR="00EE05B3">
        <w:t xml:space="preserve">cent </w:t>
      </w:r>
      <w:r w:rsidR="000A12C8" w:rsidRPr="00227D7D">
        <w:t>annually</w:t>
      </w:r>
      <w:r w:rsidR="00B24A4C" w:rsidRPr="00227D7D">
        <w:t xml:space="preserve">, </w:t>
      </w:r>
      <w:r w:rsidR="005B58A8">
        <w:t xml:space="preserve">primarily due to </w:t>
      </w:r>
      <w:r w:rsidR="00B24A4C" w:rsidRPr="00227D7D">
        <w:t xml:space="preserve">more frequent </w:t>
      </w:r>
      <w:r w:rsidR="00C50C09" w:rsidRPr="00227D7D">
        <w:t>use of</w:t>
      </w:r>
      <w:r w:rsidR="008F794F" w:rsidRPr="00227D7D">
        <w:t xml:space="preserve"> </w:t>
      </w:r>
      <w:r w:rsidR="00B24A4C" w:rsidRPr="00227D7D">
        <w:t>existing services</w:t>
      </w:r>
      <w:r w:rsidR="00167634">
        <w:t xml:space="preserve"> and</w:t>
      </w:r>
      <w:r w:rsidR="00B24A4C" w:rsidRPr="00227D7D">
        <w:t xml:space="preserve"> access </w:t>
      </w:r>
      <w:r w:rsidR="008F794F" w:rsidRPr="00227D7D">
        <w:t xml:space="preserve">to </w:t>
      </w:r>
      <w:r w:rsidR="00B24A4C" w:rsidRPr="00227D7D">
        <w:t>new optometry services</w:t>
      </w:r>
      <w:r w:rsidR="00D5272A" w:rsidRPr="00227D7D">
        <w:t xml:space="preserve"> introduced in </w:t>
      </w:r>
      <w:r w:rsidR="00B703A8" w:rsidRPr="00227D7D">
        <w:t>1994</w:t>
      </w:r>
      <w:r w:rsidR="00D16A92">
        <w:t>–</w:t>
      </w:r>
      <w:r w:rsidR="00B703A8" w:rsidRPr="00227D7D">
        <w:t>95</w:t>
      </w:r>
      <w:r w:rsidR="00D16A92">
        <w:t>.</w:t>
      </w:r>
      <w:r w:rsidR="00EE05B3" w:rsidRPr="00701D20">
        <w:rPr>
          <w:rStyle w:val="FootnoteReference"/>
        </w:rPr>
        <w:footnoteReference w:id="21"/>
      </w:r>
    </w:p>
    <w:p w:rsidR="00D16A92" w:rsidRPr="00D16A92" w:rsidRDefault="00BC7CBF" w:rsidP="00D16A92">
      <w:pPr>
        <w:pStyle w:val="Caption"/>
      </w:pPr>
      <w:bookmarkStart w:id="95" w:name="_Ref436044820"/>
      <w:bookmarkStart w:id="96" w:name="_Toc436051005"/>
      <w:bookmarkStart w:id="97" w:name="_Toc436205227"/>
      <w:r>
        <w:rPr>
          <w:noProof/>
          <w:lang w:eastAsia="en-AU"/>
        </w:rPr>
        <w:drawing>
          <wp:anchor distT="0" distB="0" distL="114300" distR="114300" simplePos="0" relativeHeight="251687936" behindDoc="0" locked="0" layoutInCell="1" allowOverlap="1" wp14:anchorId="016F8F79" wp14:editId="2FDFB926">
            <wp:simplePos x="0" y="0"/>
            <wp:positionH relativeFrom="column">
              <wp:posOffset>-91941</wp:posOffset>
            </wp:positionH>
            <wp:positionV relativeFrom="paragraph">
              <wp:posOffset>588645</wp:posOffset>
            </wp:positionV>
            <wp:extent cx="5322570" cy="22860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322570" cy="2286000"/>
                    </a:xfrm>
                    <a:prstGeom prst="rect">
                      <a:avLst/>
                    </a:prstGeom>
                    <a:noFill/>
                  </pic:spPr>
                </pic:pic>
              </a:graphicData>
            </a:graphic>
            <wp14:sizeRelH relativeFrom="page">
              <wp14:pctWidth>0</wp14:pctWidth>
            </wp14:sizeRelH>
            <wp14:sizeRelV relativeFrom="page">
              <wp14:pctHeight>0</wp14:pctHeight>
            </wp14:sizeRelV>
          </wp:anchor>
        </w:drawing>
      </w:r>
      <w:r w:rsidR="00D16A92" w:rsidRPr="00D16A92">
        <w:t xml:space="preserve">Figure </w:t>
      </w:r>
      <w:fldSimple w:instr=" STYLEREF 1 \s ">
        <w:r w:rsidR="00235C48">
          <w:rPr>
            <w:noProof/>
          </w:rPr>
          <w:t>3</w:t>
        </w:r>
      </w:fldSimple>
      <w:r w:rsidR="00D16A92" w:rsidRPr="00D16A92">
        <w:t>–</w:t>
      </w:r>
      <w:fldSimple w:instr=" SEQ Figure \* ARABIC \s 1 ">
        <w:r w:rsidR="00235C48">
          <w:rPr>
            <w:noProof/>
          </w:rPr>
          <w:t>5</w:t>
        </w:r>
      </w:fldSimple>
      <w:bookmarkEnd w:id="95"/>
      <w:r w:rsidR="00D16A92" w:rsidRPr="00D16A92">
        <w:t>: Allied health services, benefit paid per service (2014</w:t>
      </w:r>
      <w:r w:rsidR="00D16A92">
        <w:t>–</w:t>
      </w:r>
      <w:r w:rsidR="00D16A92" w:rsidRPr="00D16A92">
        <w:t>15 dollars) and services per person</w:t>
      </w:r>
      <w:bookmarkEnd w:id="96"/>
      <w:bookmarkEnd w:id="97"/>
    </w:p>
    <w:tbl>
      <w:tblPr>
        <w:tblStyle w:val="TableGrid"/>
        <w:tblW w:w="6888" w:type="pct"/>
        <w:tblInd w:w="-1555" w:type="dxa"/>
        <w:tblLook w:val="0680" w:firstRow="0" w:lastRow="0" w:firstColumn="1" w:lastColumn="0" w:noHBand="1" w:noVBand="1"/>
      </w:tblPr>
      <w:tblGrid>
        <w:gridCol w:w="1533"/>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0"/>
        <w:gridCol w:w="300"/>
        <w:gridCol w:w="300"/>
        <w:gridCol w:w="300"/>
        <w:gridCol w:w="300"/>
        <w:gridCol w:w="300"/>
        <w:gridCol w:w="300"/>
        <w:gridCol w:w="300"/>
        <w:gridCol w:w="300"/>
        <w:gridCol w:w="300"/>
        <w:gridCol w:w="300"/>
        <w:gridCol w:w="300"/>
        <w:gridCol w:w="300"/>
        <w:gridCol w:w="300"/>
      </w:tblGrid>
      <w:tr w:rsidR="0089586B" w:rsidRPr="00EA3B45" w:rsidTr="009B5EFD">
        <w:trPr>
          <w:cantSplit/>
        </w:trPr>
        <w:tc>
          <w:tcPr>
            <w:cnfStyle w:val="001000000000" w:firstRow="0" w:lastRow="0" w:firstColumn="1" w:lastColumn="0" w:oddVBand="0" w:evenVBand="0" w:oddHBand="0" w:evenHBand="0" w:firstRowFirstColumn="0" w:firstRowLastColumn="0" w:lastRowFirstColumn="0" w:lastRowLastColumn="0"/>
            <w:tcW w:w="668" w:type="pct"/>
            <w:vAlign w:val="bottom"/>
          </w:tcPr>
          <w:p w:rsidR="0089586B" w:rsidRPr="009B5EFD" w:rsidRDefault="0089586B" w:rsidP="0089586B">
            <w:pPr>
              <w:spacing w:before="0" w:after="0" w:line="240" w:lineRule="auto"/>
              <w:ind w:left="0" w:right="57"/>
              <w:rPr>
                <w:rFonts w:ascii="Calibri" w:hAnsi="Calibri"/>
                <w:b/>
                <w:bCs/>
                <w:color w:val="FFFFFF" w:themeColor="background1"/>
                <w:sz w:val="10"/>
                <w:szCs w:val="10"/>
              </w:rPr>
            </w:pPr>
            <w:r w:rsidRPr="009B5EFD">
              <w:rPr>
                <w:rFonts w:ascii="Calibri" w:hAnsi="Calibri"/>
                <w:b/>
                <w:bCs/>
                <w:color w:val="FFFFFF" w:themeColor="background1"/>
                <w:sz w:val="10"/>
                <w:szCs w:val="10"/>
              </w:rPr>
              <w:t>Allied health services</w:t>
            </w:r>
          </w:p>
        </w:tc>
        <w:tc>
          <w:tcPr>
            <w:tcW w:w="131" w:type="pct"/>
            <w:vAlign w:val="bottom"/>
          </w:tcPr>
          <w:p w:rsidR="0089586B" w:rsidRPr="009B5EFD" w:rsidRDefault="0089586B"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B5EFD">
              <w:rPr>
                <w:rFonts w:ascii="Calibri" w:hAnsi="Calibri"/>
                <w:b/>
                <w:bCs/>
                <w:color w:val="FFFFFF" w:themeColor="background1"/>
                <w:sz w:val="10"/>
                <w:szCs w:val="10"/>
              </w:rPr>
              <w:t>1993-94</w:t>
            </w:r>
          </w:p>
        </w:tc>
        <w:tc>
          <w:tcPr>
            <w:tcW w:w="131" w:type="pct"/>
            <w:vAlign w:val="bottom"/>
          </w:tcPr>
          <w:p w:rsidR="0089586B" w:rsidRPr="009B5EFD" w:rsidRDefault="0089586B"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B5EFD">
              <w:rPr>
                <w:rFonts w:ascii="Calibri" w:hAnsi="Calibri"/>
                <w:b/>
                <w:bCs/>
                <w:color w:val="FFFFFF" w:themeColor="background1"/>
                <w:sz w:val="10"/>
                <w:szCs w:val="10"/>
              </w:rPr>
              <w:t>1994-95</w:t>
            </w:r>
          </w:p>
        </w:tc>
        <w:tc>
          <w:tcPr>
            <w:tcW w:w="131" w:type="pct"/>
            <w:vAlign w:val="bottom"/>
          </w:tcPr>
          <w:p w:rsidR="0089586B" w:rsidRPr="009B5EFD" w:rsidRDefault="0089586B"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B5EFD">
              <w:rPr>
                <w:rFonts w:ascii="Calibri" w:hAnsi="Calibri"/>
                <w:b/>
                <w:bCs/>
                <w:color w:val="FFFFFF" w:themeColor="background1"/>
                <w:sz w:val="10"/>
                <w:szCs w:val="10"/>
              </w:rPr>
              <w:t>1995-96</w:t>
            </w:r>
          </w:p>
        </w:tc>
        <w:tc>
          <w:tcPr>
            <w:tcW w:w="131" w:type="pct"/>
            <w:vAlign w:val="bottom"/>
          </w:tcPr>
          <w:p w:rsidR="0089586B" w:rsidRPr="009B5EFD" w:rsidRDefault="0089586B"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B5EFD">
              <w:rPr>
                <w:rFonts w:ascii="Calibri" w:hAnsi="Calibri"/>
                <w:b/>
                <w:bCs/>
                <w:color w:val="FFFFFF" w:themeColor="background1"/>
                <w:sz w:val="10"/>
                <w:szCs w:val="10"/>
              </w:rPr>
              <w:t>1996-97</w:t>
            </w:r>
          </w:p>
        </w:tc>
        <w:tc>
          <w:tcPr>
            <w:tcW w:w="131" w:type="pct"/>
            <w:vAlign w:val="bottom"/>
          </w:tcPr>
          <w:p w:rsidR="0089586B" w:rsidRPr="009B5EFD" w:rsidRDefault="0089586B"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B5EFD">
              <w:rPr>
                <w:rFonts w:ascii="Calibri" w:hAnsi="Calibri"/>
                <w:b/>
                <w:bCs/>
                <w:color w:val="FFFFFF" w:themeColor="background1"/>
                <w:sz w:val="10"/>
                <w:szCs w:val="10"/>
              </w:rPr>
              <w:t>1997-98</w:t>
            </w:r>
          </w:p>
        </w:tc>
        <w:tc>
          <w:tcPr>
            <w:tcW w:w="131" w:type="pct"/>
            <w:vAlign w:val="bottom"/>
          </w:tcPr>
          <w:p w:rsidR="0089586B" w:rsidRPr="009B5EFD" w:rsidRDefault="0089586B"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B5EFD">
              <w:rPr>
                <w:rFonts w:ascii="Calibri" w:hAnsi="Calibri"/>
                <w:b/>
                <w:bCs/>
                <w:color w:val="FFFFFF" w:themeColor="background1"/>
                <w:sz w:val="10"/>
                <w:szCs w:val="10"/>
              </w:rPr>
              <w:t>1998-99</w:t>
            </w:r>
          </w:p>
        </w:tc>
        <w:tc>
          <w:tcPr>
            <w:tcW w:w="131" w:type="pct"/>
            <w:vAlign w:val="bottom"/>
          </w:tcPr>
          <w:p w:rsidR="0089586B" w:rsidRPr="009B5EFD" w:rsidRDefault="0089586B"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B5EFD">
              <w:rPr>
                <w:rFonts w:ascii="Calibri" w:hAnsi="Calibri"/>
                <w:b/>
                <w:bCs/>
                <w:color w:val="FFFFFF" w:themeColor="background1"/>
                <w:sz w:val="10"/>
                <w:szCs w:val="10"/>
              </w:rPr>
              <w:t>1999-00</w:t>
            </w:r>
          </w:p>
        </w:tc>
        <w:tc>
          <w:tcPr>
            <w:tcW w:w="131" w:type="pct"/>
            <w:vAlign w:val="bottom"/>
          </w:tcPr>
          <w:p w:rsidR="0089586B" w:rsidRPr="009B5EFD" w:rsidRDefault="0089586B"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B5EFD">
              <w:rPr>
                <w:rFonts w:ascii="Calibri" w:hAnsi="Calibri"/>
                <w:b/>
                <w:bCs/>
                <w:color w:val="FFFFFF" w:themeColor="background1"/>
                <w:sz w:val="10"/>
                <w:szCs w:val="10"/>
              </w:rPr>
              <w:t>2000-01</w:t>
            </w:r>
          </w:p>
        </w:tc>
        <w:tc>
          <w:tcPr>
            <w:tcW w:w="131" w:type="pct"/>
            <w:vAlign w:val="bottom"/>
          </w:tcPr>
          <w:p w:rsidR="0089586B" w:rsidRPr="009B5EFD" w:rsidRDefault="0089586B"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B5EFD">
              <w:rPr>
                <w:rFonts w:ascii="Calibri" w:hAnsi="Calibri"/>
                <w:b/>
                <w:bCs/>
                <w:color w:val="FFFFFF" w:themeColor="background1"/>
                <w:sz w:val="10"/>
                <w:szCs w:val="10"/>
              </w:rPr>
              <w:t>2001-02</w:t>
            </w:r>
          </w:p>
        </w:tc>
        <w:tc>
          <w:tcPr>
            <w:tcW w:w="131" w:type="pct"/>
            <w:vAlign w:val="bottom"/>
          </w:tcPr>
          <w:p w:rsidR="0089586B" w:rsidRPr="009B5EFD" w:rsidRDefault="0089586B"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B5EFD">
              <w:rPr>
                <w:rFonts w:ascii="Calibri" w:hAnsi="Calibri"/>
                <w:b/>
                <w:bCs/>
                <w:color w:val="FFFFFF" w:themeColor="background1"/>
                <w:sz w:val="10"/>
                <w:szCs w:val="10"/>
              </w:rPr>
              <w:t>2002-03</w:t>
            </w:r>
          </w:p>
        </w:tc>
        <w:tc>
          <w:tcPr>
            <w:tcW w:w="131" w:type="pct"/>
            <w:vAlign w:val="bottom"/>
          </w:tcPr>
          <w:p w:rsidR="0089586B" w:rsidRPr="009B5EFD" w:rsidRDefault="0089586B"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B5EFD">
              <w:rPr>
                <w:rFonts w:ascii="Calibri" w:hAnsi="Calibri"/>
                <w:b/>
                <w:bCs/>
                <w:color w:val="FFFFFF" w:themeColor="background1"/>
                <w:sz w:val="10"/>
                <w:szCs w:val="10"/>
              </w:rPr>
              <w:t>2003-04</w:t>
            </w:r>
          </w:p>
        </w:tc>
        <w:tc>
          <w:tcPr>
            <w:tcW w:w="131" w:type="pct"/>
            <w:vAlign w:val="bottom"/>
          </w:tcPr>
          <w:p w:rsidR="0089586B" w:rsidRPr="009B5EFD" w:rsidRDefault="0089586B"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B5EFD">
              <w:rPr>
                <w:rFonts w:ascii="Calibri" w:hAnsi="Calibri"/>
                <w:b/>
                <w:bCs/>
                <w:color w:val="FFFFFF" w:themeColor="background1"/>
                <w:sz w:val="10"/>
                <w:szCs w:val="10"/>
              </w:rPr>
              <w:t>2004-05</w:t>
            </w:r>
          </w:p>
        </w:tc>
        <w:tc>
          <w:tcPr>
            <w:tcW w:w="131" w:type="pct"/>
            <w:vAlign w:val="bottom"/>
          </w:tcPr>
          <w:p w:rsidR="0089586B" w:rsidRPr="009B5EFD" w:rsidRDefault="0089586B"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B5EFD">
              <w:rPr>
                <w:rFonts w:ascii="Calibri" w:hAnsi="Calibri"/>
                <w:b/>
                <w:bCs/>
                <w:color w:val="FFFFFF" w:themeColor="background1"/>
                <w:sz w:val="10"/>
                <w:szCs w:val="10"/>
              </w:rPr>
              <w:t>2005-06</w:t>
            </w:r>
          </w:p>
        </w:tc>
        <w:tc>
          <w:tcPr>
            <w:tcW w:w="131" w:type="pct"/>
            <w:vAlign w:val="bottom"/>
          </w:tcPr>
          <w:p w:rsidR="0089586B" w:rsidRPr="009B5EFD" w:rsidRDefault="0089586B"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B5EFD">
              <w:rPr>
                <w:rFonts w:ascii="Calibri" w:hAnsi="Calibri"/>
                <w:b/>
                <w:bCs/>
                <w:color w:val="FFFFFF" w:themeColor="background1"/>
                <w:sz w:val="10"/>
                <w:szCs w:val="10"/>
              </w:rPr>
              <w:t>2006-07</w:t>
            </w:r>
          </w:p>
        </w:tc>
        <w:tc>
          <w:tcPr>
            <w:tcW w:w="131" w:type="pct"/>
            <w:vAlign w:val="bottom"/>
          </w:tcPr>
          <w:p w:rsidR="0089586B" w:rsidRPr="009B5EFD" w:rsidRDefault="0089586B"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B5EFD">
              <w:rPr>
                <w:rFonts w:ascii="Calibri" w:hAnsi="Calibri"/>
                <w:b/>
                <w:bCs/>
                <w:color w:val="FFFFFF" w:themeColor="background1"/>
                <w:sz w:val="10"/>
                <w:szCs w:val="10"/>
              </w:rPr>
              <w:t>2007-08</w:t>
            </w:r>
          </w:p>
        </w:tc>
        <w:tc>
          <w:tcPr>
            <w:tcW w:w="131" w:type="pct"/>
            <w:vAlign w:val="bottom"/>
          </w:tcPr>
          <w:p w:rsidR="0089586B" w:rsidRPr="009B5EFD" w:rsidRDefault="0089586B"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B5EFD">
              <w:rPr>
                <w:rFonts w:ascii="Calibri" w:hAnsi="Calibri"/>
                <w:b/>
                <w:bCs/>
                <w:color w:val="FFFFFF" w:themeColor="background1"/>
                <w:sz w:val="10"/>
                <w:szCs w:val="10"/>
              </w:rPr>
              <w:t>2008-09</w:t>
            </w:r>
          </w:p>
        </w:tc>
        <w:tc>
          <w:tcPr>
            <w:tcW w:w="131" w:type="pct"/>
            <w:vAlign w:val="bottom"/>
          </w:tcPr>
          <w:p w:rsidR="0089586B" w:rsidRPr="009B5EFD" w:rsidRDefault="0089586B"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B5EFD">
              <w:rPr>
                <w:rFonts w:ascii="Calibri" w:hAnsi="Calibri"/>
                <w:b/>
                <w:bCs/>
                <w:color w:val="FFFFFF" w:themeColor="background1"/>
                <w:sz w:val="10"/>
                <w:szCs w:val="10"/>
              </w:rPr>
              <w:t>2009-10</w:t>
            </w:r>
          </w:p>
        </w:tc>
        <w:tc>
          <w:tcPr>
            <w:tcW w:w="131" w:type="pct"/>
            <w:vAlign w:val="bottom"/>
          </w:tcPr>
          <w:p w:rsidR="0089586B" w:rsidRPr="009B5EFD" w:rsidRDefault="0089586B"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B5EFD">
              <w:rPr>
                <w:rFonts w:ascii="Calibri" w:hAnsi="Calibri"/>
                <w:b/>
                <w:bCs/>
                <w:color w:val="FFFFFF" w:themeColor="background1"/>
                <w:sz w:val="10"/>
                <w:szCs w:val="10"/>
              </w:rPr>
              <w:t>2010-11</w:t>
            </w:r>
          </w:p>
        </w:tc>
        <w:tc>
          <w:tcPr>
            <w:tcW w:w="131" w:type="pct"/>
            <w:vAlign w:val="bottom"/>
          </w:tcPr>
          <w:p w:rsidR="0089586B" w:rsidRPr="009B5EFD" w:rsidRDefault="0089586B"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B5EFD">
              <w:rPr>
                <w:rFonts w:ascii="Calibri" w:hAnsi="Calibri"/>
                <w:b/>
                <w:bCs/>
                <w:color w:val="FFFFFF" w:themeColor="background1"/>
                <w:sz w:val="10"/>
                <w:szCs w:val="10"/>
              </w:rPr>
              <w:t>2011-12</w:t>
            </w:r>
          </w:p>
        </w:tc>
        <w:tc>
          <w:tcPr>
            <w:tcW w:w="131" w:type="pct"/>
            <w:vAlign w:val="bottom"/>
          </w:tcPr>
          <w:p w:rsidR="0089586B" w:rsidRPr="009B5EFD" w:rsidRDefault="0089586B"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B5EFD">
              <w:rPr>
                <w:rFonts w:ascii="Calibri" w:hAnsi="Calibri"/>
                <w:b/>
                <w:bCs/>
                <w:color w:val="FFFFFF" w:themeColor="background1"/>
                <w:sz w:val="10"/>
                <w:szCs w:val="10"/>
              </w:rPr>
              <w:t>2012-13</w:t>
            </w:r>
          </w:p>
        </w:tc>
        <w:tc>
          <w:tcPr>
            <w:tcW w:w="131" w:type="pct"/>
            <w:vAlign w:val="bottom"/>
          </w:tcPr>
          <w:p w:rsidR="0089586B" w:rsidRPr="009B5EFD" w:rsidRDefault="0089586B"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B5EFD">
              <w:rPr>
                <w:rFonts w:ascii="Calibri" w:hAnsi="Calibri"/>
                <w:b/>
                <w:bCs/>
                <w:color w:val="FFFFFF" w:themeColor="background1"/>
                <w:sz w:val="10"/>
                <w:szCs w:val="10"/>
              </w:rPr>
              <w:t>2013-14</w:t>
            </w:r>
          </w:p>
        </w:tc>
        <w:tc>
          <w:tcPr>
            <w:tcW w:w="131" w:type="pct"/>
            <w:vAlign w:val="bottom"/>
          </w:tcPr>
          <w:p w:rsidR="0089586B" w:rsidRPr="009B5EFD" w:rsidRDefault="0089586B"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B5EFD">
              <w:rPr>
                <w:rFonts w:ascii="Calibri" w:hAnsi="Calibri"/>
                <w:b/>
                <w:bCs/>
                <w:color w:val="FFFFFF" w:themeColor="background1"/>
                <w:sz w:val="10"/>
                <w:szCs w:val="10"/>
              </w:rPr>
              <w:t>2014-15</w:t>
            </w:r>
          </w:p>
        </w:tc>
        <w:tc>
          <w:tcPr>
            <w:tcW w:w="131" w:type="pct"/>
            <w:vAlign w:val="bottom"/>
          </w:tcPr>
          <w:p w:rsidR="0089586B" w:rsidRPr="009B5EFD" w:rsidRDefault="0089586B"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B5EFD">
              <w:rPr>
                <w:rFonts w:ascii="Calibri" w:hAnsi="Calibri"/>
                <w:b/>
                <w:bCs/>
                <w:color w:val="FFFFFF" w:themeColor="background1"/>
                <w:sz w:val="10"/>
                <w:szCs w:val="10"/>
              </w:rPr>
              <w:t>2015-16</w:t>
            </w:r>
          </w:p>
        </w:tc>
        <w:tc>
          <w:tcPr>
            <w:tcW w:w="131" w:type="pct"/>
            <w:vAlign w:val="bottom"/>
          </w:tcPr>
          <w:p w:rsidR="0089586B" w:rsidRPr="009B5EFD" w:rsidRDefault="0089586B"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B5EFD">
              <w:rPr>
                <w:rFonts w:ascii="Calibri" w:hAnsi="Calibri"/>
                <w:b/>
                <w:bCs/>
                <w:color w:val="FFFFFF" w:themeColor="background1"/>
                <w:sz w:val="10"/>
                <w:szCs w:val="10"/>
              </w:rPr>
              <w:t>2016-17</w:t>
            </w:r>
          </w:p>
        </w:tc>
        <w:tc>
          <w:tcPr>
            <w:tcW w:w="131" w:type="pct"/>
            <w:vAlign w:val="bottom"/>
          </w:tcPr>
          <w:p w:rsidR="0089586B" w:rsidRPr="009B5EFD" w:rsidRDefault="0089586B"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B5EFD">
              <w:rPr>
                <w:rFonts w:ascii="Calibri" w:hAnsi="Calibri"/>
                <w:b/>
                <w:bCs/>
                <w:color w:val="FFFFFF" w:themeColor="background1"/>
                <w:sz w:val="10"/>
                <w:szCs w:val="10"/>
              </w:rPr>
              <w:t>2017-18</w:t>
            </w:r>
          </w:p>
        </w:tc>
        <w:tc>
          <w:tcPr>
            <w:tcW w:w="131" w:type="pct"/>
            <w:vAlign w:val="bottom"/>
          </w:tcPr>
          <w:p w:rsidR="0089586B" w:rsidRPr="009B5EFD" w:rsidRDefault="0089586B"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B5EFD">
              <w:rPr>
                <w:rFonts w:ascii="Calibri" w:hAnsi="Calibri"/>
                <w:b/>
                <w:bCs/>
                <w:color w:val="FFFFFF" w:themeColor="background1"/>
                <w:sz w:val="10"/>
                <w:szCs w:val="10"/>
              </w:rPr>
              <w:t>2018-19</w:t>
            </w:r>
          </w:p>
        </w:tc>
        <w:tc>
          <w:tcPr>
            <w:tcW w:w="131" w:type="pct"/>
            <w:vAlign w:val="bottom"/>
          </w:tcPr>
          <w:p w:rsidR="0089586B" w:rsidRPr="009B5EFD" w:rsidRDefault="0089586B"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B5EFD">
              <w:rPr>
                <w:rFonts w:ascii="Calibri" w:hAnsi="Calibri"/>
                <w:b/>
                <w:bCs/>
                <w:color w:val="FFFFFF" w:themeColor="background1"/>
                <w:sz w:val="10"/>
                <w:szCs w:val="10"/>
              </w:rPr>
              <w:t>2019-20</w:t>
            </w:r>
          </w:p>
        </w:tc>
        <w:tc>
          <w:tcPr>
            <w:tcW w:w="131" w:type="pct"/>
            <w:vAlign w:val="bottom"/>
          </w:tcPr>
          <w:p w:rsidR="0089586B" w:rsidRPr="009B5EFD" w:rsidRDefault="0089586B"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B5EFD">
              <w:rPr>
                <w:rFonts w:ascii="Calibri" w:hAnsi="Calibri"/>
                <w:b/>
                <w:bCs/>
                <w:color w:val="FFFFFF" w:themeColor="background1"/>
                <w:sz w:val="10"/>
                <w:szCs w:val="10"/>
              </w:rPr>
              <w:t>2020-21</w:t>
            </w:r>
          </w:p>
        </w:tc>
        <w:tc>
          <w:tcPr>
            <w:tcW w:w="131" w:type="pct"/>
            <w:vAlign w:val="bottom"/>
          </w:tcPr>
          <w:p w:rsidR="0089586B" w:rsidRPr="009B5EFD" w:rsidRDefault="0089586B"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B5EFD">
              <w:rPr>
                <w:rFonts w:ascii="Calibri" w:hAnsi="Calibri"/>
                <w:b/>
                <w:bCs/>
                <w:color w:val="FFFFFF" w:themeColor="background1"/>
                <w:sz w:val="10"/>
                <w:szCs w:val="10"/>
              </w:rPr>
              <w:t>2021-22</w:t>
            </w:r>
          </w:p>
        </w:tc>
        <w:tc>
          <w:tcPr>
            <w:tcW w:w="131" w:type="pct"/>
            <w:vAlign w:val="bottom"/>
          </w:tcPr>
          <w:p w:rsidR="0089586B" w:rsidRPr="009B5EFD" w:rsidRDefault="0089586B"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B5EFD">
              <w:rPr>
                <w:rFonts w:ascii="Calibri" w:hAnsi="Calibri"/>
                <w:b/>
                <w:bCs/>
                <w:color w:val="FFFFFF" w:themeColor="background1"/>
                <w:sz w:val="10"/>
                <w:szCs w:val="10"/>
              </w:rPr>
              <w:t>2022-23</w:t>
            </w:r>
          </w:p>
        </w:tc>
        <w:tc>
          <w:tcPr>
            <w:tcW w:w="131" w:type="pct"/>
            <w:vAlign w:val="bottom"/>
          </w:tcPr>
          <w:p w:rsidR="0089586B" w:rsidRPr="009B5EFD" w:rsidRDefault="0089586B"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B5EFD">
              <w:rPr>
                <w:rFonts w:ascii="Calibri" w:hAnsi="Calibri"/>
                <w:b/>
                <w:bCs/>
                <w:color w:val="FFFFFF" w:themeColor="background1"/>
                <w:sz w:val="10"/>
                <w:szCs w:val="10"/>
              </w:rPr>
              <w:t>2023-24</w:t>
            </w:r>
          </w:p>
        </w:tc>
        <w:tc>
          <w:tcPr>
            <w:tcW w:w="131" w:type="pct"/>
            <w:vAlign w:val="bottom"/>
          </w:tcPr>
          <w:p w:rsidR="0089586B" w:rsidRPr="009B5EFD" w:rsidRDefault="0089586B"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B5EFD">
              <w:rPr>
                <w:rFonts w:ascii="Calibri" w:hAnsi="Calibri"/>
                <w:b/>
                <w:bCs/>
                <w:color w:val="FFFFFF" w:themeColor="background1"/>
                <w:sz w:val="10"/>
                <w:szCs w:val="10"/>
              </w:rPr>
              <w:t>2024-25</w:t>
            </w:r>
          </w:p>
        </w:tc>
        <w:tc>
          <w:tcPr>
            <w:tcW w:w="131" w:type="pct"/>
            <w:vAlign w:val="bottom"/>
          </w:tcPr>
          <w:p w:rsidR="0089586B" w:rsidRPr="009B5EFD" w:rsidRDefault="0089586B"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9B5EFD">
              <w:rPr>
                <w:rFonts w:ascii="Calibri" w:hAnsi="Calibri"/>
                <w:b/>
                <w:bCs/>
                <w:color w:val="FFFFFF" w:themeColor="background1"/>
                <w:sz w:val="10"/>
                <w:szCs w:val="10"/>
              </w:rPr>
              <w:t>2025-26</w:t>
            </w:r>
          </w:p>
        </w:tc>
      </w:tr>
      <w:tr w:rsidR="0089586B" w:rsidRPr="003B5BCC" w:rsidTr="009B5EFD">
        <w:trPr>
          <w:cantSplit/>
        </w:trPr>
        <w:tc>
          <w:tcPr>
            <w:cnfStyle w:val="001000000000" w:firstRow="0" w:lastRow="0" w:firstColumn="1" w:lastColumn="0" w:oddVBand="0" w:evenVBand="0" w:oddHBand="0" w:evenHBand="0" w:firstRowFirstColumn="0" w:firstRowLastColumn="0" w:lastRowFirstColumn="0" w:lastRowLastColumn="0"/>
            <w:tcW w:w="668" w:type="pct"/>
            <w:vAlign w:val="bottom"/>
          </w:tcPr>
          <w:p w:rsidR="0089586B" w:rsidRPr="009B5EFD" w:rsidRDefault="0089586B" w:rsidP="0089586B">
            <w:pPr>
              <w:spacing w:before="0" w:after="0" w:line="240" w:lineRule="auto"/>
              <w:ind w:left="0" w:right="57"/>
              <w:rPr>
                <w:rFonts w:ascii="Calibri" w:hAnsi="Calibri"/>
                <w:color w:val="FFFFFF" w:themeColor="background1"/>
                <w:sz w:val="10"/>
                <w:szCs w:val="10"/>
              </w:rPr>
            </w:pPr>
            <w:r w:rsidRPr="009B5EFD">
              <w:rPr>
                <w:rFonts w:ascii="Calibri" w:hAnsi="Calibri"/>
                <w:color w:val="FFFFFF" w:themeColor="background1"/>
                <w:sz w:val="10"/>
                <w:szCs w:val="10"/>
              </w:rPr>
              <w:t>Benefit paid per service ($2014-15)</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68.3</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66.6</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64.5</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63.7</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60.5</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58.9</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58.5</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55.7</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55.1</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54.6</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55.0</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55.4</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54.9</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59.1</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65.6</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66.9</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67.8</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67.6</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66.6</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66.3</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64.5</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62.8</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60.9</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59.0</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57.1</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56.2</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55.4</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54.5</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53.7</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52.8</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52.0</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51.2</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50.4</w:t>
            </w:r>
          </w:p>
        </w:tc>
      </w:tr>
      <w:tr w:rsidR="0089586B" w:rsidRPr="003B5BCC" w:rsidTr="009B5EFD">
        <w:trPr>
          <w:cantSplit/>
        </w:trPr>
        <w:tc>
          <w:tcPr>
            <w:cnfStyle w:val="001000000000" w:firstRow="0" w:lastRow="0" w:firstColumn="1" w:lastColumn="0" w:oddVBand="0" w:evenVBand="0" w:oddHBand="0" w:evenHBand="0" w:firstRowFirstColumn="0" w:firstRowLastColumn="0" w:lastRowFirstColumn="0" w:lastRowLastColumn="0"/>
            <w:tcW w:w="668" w:type="pct"/>
            <w:vAlign w:val="bottom"/>
          </w:tcPr>
          <w:p w:rsidR="0089586B" w:rsidRPr="009B5EFD" w:rsidRDefault="0089586B" w:rsidP="0089586B">
            <w:pPr>
              <w:spacing w:before="0" w:after="0" w:line="240" w:lineRule="auto"/>
              <w:ind w:left="0" w:right="57"/>
              <w:rPr>
                <w:rFonts w:ascii="Calibri" w:hAnsi="Calibri"/>
                <w:color w:val="FFFFFF" w:themeColor="background1"/>
                <w:sz w:val="10"/>
                <w:szCs w:val="10"/>
              </w:rPr>
            </w:pPr>
            <w:r w:rsidRPr="009B5EFD">
              <w:rPr>
                <w:rFonts w:ascii="Calibri" w:hAnsi="Calibri"/>
                <w:color w:val="FFFFFF" w:themeColor="background1"/>
                <w:sz w:val="10"/>
                <w:szCs w:val="10"/>
              </w:rPr>
              <w:t>Number of services per person</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0.2</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0.2</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0.2</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0.2</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0.2</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0.2</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0.2</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0.2</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0.2</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0.2</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0.2</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0.3</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0.3</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0.3</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0.4</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0.5</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0.6</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0.6</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0.6</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0.7</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0.7</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0.8</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0.8</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0.9</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0.9</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1.0</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1.0</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1.1</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1.1</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1.2</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1.2</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1.3</w:t>
            </w:r>
          </w:p>
        </w:tc>
        <w:tc>
          <w:tcPr>
            <w:tcW w:w="131" w:type="pct"/>
            <w:vAlign w:val="bottom"/>
          </w:tcPr>
          <w:p w:rsidR="0089586B" w:rsidRPr="009B5EFD" w:rsidRDefault="0089586B" w:rsidP="0089586B">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9B5EFD">
              <w:rPr>
                <w:rFonts w:ascii="Calibri" w:hAnsi="Calibri"/>
                <w:color w:val="FFFFFF" w:themeColor="background1"/>
                <w:sz w:val="10"/>
                <w:szCs w:val="10"/>
              </w:rPr>
              <w:t>1.4</w:t>
            </w:r>
          </w:p>
        </w:tc>
      </w:tr>
    </w:tbl>
    <w:p w:rsidR="00126CB9" w:rsidRPr="00227D7D" w:rsidRDefault="00126CB9" w:rsidP="0089586B">
      <w:pPr>
        <w:pStyle w:val="Source"/>
        <w:spacing w:before="3240"/>
      </w:pPr>
      <w:r w:rsidRPr="00227D7D">
        <w:t xml:space="preserve">Source: PBO analysis of </w:t>
      </w:r>
      <w:r w:rsidR="00DF7D43">
        <w:t>MBS</w:t>
      </w:r>
      <w:r w:rsidRPr="00227D7D">
        <w:t xml:space="preserve"> data from the Department of Human Services</w:t>
      </w:r>
      <w:r w:rsidR="002B6C3D">
        <w:t>, ABS and Treasury</w:t>
      </w:r>
      <w:r w:rsidRPr="00227D7D">
        <w:t>.</w:t>
      </w:r>
    </w:p>
    <w:p w:rsidR="00D216AD" w:rsidRDefault="00167634" w:rsidP="00874E3D">
      <w:pPr>
        <w:pStyle w:val="BodyText17ptAbove"/>
        <w:sectPr w:rsidR="00D216AD" w:rsidSect="00D216AD">
          <w:pgSz w:w="11907" w:h="16839" w:code="9"/>
          <w:pgMar w:top="1361" w:right="1797" w:bottom="1474" w:left="1797" w:header="283" w:footer="454" w:gutter="0"/>
          <w:cols w:space="708"/>
          <w:docGrid w:linePitch="360"/>
        </w:sectPr>
      </w:pPr>
      <w:r>
        <w:t>Between 2003</w:t>
      </w:r>
      <w:r w:rsidR="00D16A92">
        <w:t>–</w:t>
      </w:r>
      <w:r>
        <w:t>04</w:t>
      </w:r>
      <w:r w:rsidR="00C016AF" w:rsidRPr="00227D7D">
        <w:t xml:space="preserve"> and 201</w:t>
      </w:r>
      <w:r w:rsidR="00AD484C" w:rsidRPr="00227D7D">
        <w:t>4</w:t>
      </w:r>
      <w:r w:rsidR="00D16A92">
        <w:t>–</w:t>
      </w:r>
      <w:r w:rsidR="00C016AF" w:rsidRPr="00227D7D">
        <w:t>1</w:t>
      </w:r>
      <w:r w:rsidR="00AD484C" w:rsidRPr="00227D7D">
        <w:t>5</w:t>
      </w:r>
      <w:r w:rsidR="00C016AF" w:rsidRPr="00227D7D">
        <w:t xml:space="preserve">, the number of services accessed </w:t>
      </w:r>
      <w:r w:rsidR="00C244CA">
        <w:t>per person</w:t>
      </w:r>
      <w:r w:rsidR="00C016AF" w:rsidRPr="00227D7D">
        <w:t xml:space="preserve"> </w:t>
      </w:r>
      <w:r w:rsidR="00AA1E69">
        <w:t>more than</w:t>
      </w:r>
      <w:r>
        <w:t xml:space="preserve"> trebled</w:t>
      </w:r>
      <w:r w:rsidR="00C016AF" w:rsidRPr="00227D7D">
        <w:t xml:space="preserve">, driven by </w:t>
      </w:r>
      <w:r>
        <w:t>the</w:t>
      </w:r>
      <w:r w:rsidR="00EE05B3">
        <w:t xml:space="preserve"> rapid uptake of </w:t>
      </w:r>
      <w:r>
        <w:t xml:space="preserve">newly added </w:t>
      </w:r>
      <w:r w:rsidR="00C5533B">
        <w:t xml:space="preserve">allied health </w:t>
      </w:r>
      <w:r w:rsidR="00534F21">
        <w:t xml:space="preserve">services </w:t>
      </w:r>
      <w:r>
        <w:t xml:space="preserve">such as psychology and physiotherapy, for which </w:t>
      </w:r>
      <w:r w:rsidR="00DF7D43">
        <w:t>MBS</w:t>
      </w:r>
      <w:r w:rsidR="00C016AF" w:rsidRPr="00227D7D">
        <w:t xml:space="preserve"> benefits </w:t>
      </w:r>
      <w:r>
        <w:t xml:space="preserve">were </w:t>
      </w:r>
      <w:r w:rsidR="00C5533B">
        <w:t xml:space="preserve">made available if patients were </w:t>
      </w:r>
      <w:r w:rsidR="00C016AF" w:rsidRPr="00227D7D">
        <w:t>referr</w:t>
      </w:r>
      <w:r w:rsidR="00C5533B">
        <w:t xml:space="preserve">ed </w:t>
      </w:r>
      <w:r w:rsidR="00C016AF" w:rsidRPr="00227D7D">
        <w:t xml:space="preserve">through a GP Management Plan or Team Care arrangements.  </w:t>
      </w:r>
      <w:r w:rsidR="00534F21">
        <w:t xml:space="preserve">In addition to new </w:t>
      </w:r>
      <w:r w:rsidR="00DF7D43">
        <w:t>MBS</w:t>
      </w:r>
      <w:r w:rsidR="00C016AF" w:rsidRPr="00227D7D">
        <w:t xml:space="preserve"> benefits </w:t>
      </w:r>
      <w:r w:rsidR="00534F21">
        <w:t xml:space="preserve">added from </w:t>
      </w:r>
      <w:r w:rsidR="00C5533B">
        <w:t>2003</w:t>
      </w:r>
      <w:r w:rsidR="00D16A92">
        <w:t>–</w:t>
      </w:r>
      <w:r w:rsidR="00C5533B">
        <w:t>04</w:t>
      </w:r>
      <w:r w:rsidR="002E24F7">
        <w:t>,</w:t>
      </w:r>
      <w:r w:rsidR="00C016AF" w:rsidRPr="00227D7D">
        <w:t xml:space="preserve"> a range of other </w:t>
      </w:r>
      <w:r w:rsidR="00534F21">
        <w:t xml:space="preserve">allied health </w:t>
      </w:r>
      <w:r w:rsidR="00C016AF" w:rsidRPr="00227D7D">
        <w:t>services</w:t>
      </w:r>
      <w:r w:rsidR="00534F21">
        <w:t xml:space="preserve"> were added to the MBS</w:t>
      </w:r>
      <w:r w:rsidR="00C016AF" w:rsidRPr="00227D7D">
        <w:t xml:space="preserve"> in later years</w:t>
      </w:r>
      <w:r w:rsidR="00BC7D40">
        <w:t xml:space="preserve"> </w:t>
      </w:r>
      <w:r w:rsidR="00BC7D40" w:rsidRPr="00934E2F">
        <w:t>including allied</w:t>
      </w:r>
      <w:r w:rsidR="00D16A92">
        <w:t xml:space="preserve"> mental health services in 2006–</w:t>
      </w:r>
      <w:r w:rsidR="00BC7D40" w:rsidRPr="00934E2F">
        <w:t>07</w:t>
      </w:r>
      <w:r w:rsidR="00C016AF" w:rsidRPr="00934E2F">
        <w:t>.</w:t>
      </w:r>
    </w:p>
    <w:p w:rsidR="00B24A4C" w:rsidRPr="00934E2F" w:rsidRDefault="00C016AF" w:rsidP="00360E80">
      <w:pPr>
        <w:pStyle w:val="BodyText"/>
      </w:pPr>
      <w:r w:rsidRPr="00934E2F">
        <w:lastRenderedPageBreak/>
        <w:t xml:space="preserve">The addition of new </w:t>
      </w:r>
      <w:r w:rsidR="00493B80" w:rsidRPr="00934E2F">
        <w:t xml:space="preserve">higher cost </w:t>
      </w:r>
      <w:r w:rsidRPr="00934E2F">
        <w:t xml:space="preserve">services and rapid uptake of these services coincided with the </w:t>
      </w:r>
      <w:r w:rsidR="00144021" w:rsidRPr="00934E2F">
        <w:t xml:space="preserve">benefit paid </w:t>
      </w:r>
      <w:r w:rsidR="00DF088B" w:rsidRPr="00934E2F">
        <w:t xml:space="preserve">per service </w:t>
      </w:r>
      <w:r w:rsidR="00144021" w:rsidRPr="00934E2F">
        <w:t>for</w:t>
      </w:r>
      <w:r w:rsidRPr="00934E2F">
        <w:t xml:space="preserve"> allied health care service</w:t>
      </w:r>
      <w:r w:rsidR="00144021" w:rsidRPr="00934E2F">
        <w:t>s</w:t>
      </w:r>
      <w:r w:rsidRPr="00934E2F">
        <w:t xml:space="preserve"> increasing by </w:t>
      </w:r>
      <w:r w:rsidR="00C5533B" w:rsidRPr="00934E2F">
        <w:t>1.2</w:t>
      </w:r>
      <w:r w:rsidRPr="00934E2F">
        <w:t> per cent annually</w:t>
      </w:r>
      <w:r w:rsidR="00E36364" w:rsidRPr="00934E2F">
        <w:t xml:space="preserve"> </w:t>
      </w:r>
      <w:r w:rsidR="008A58F3" w:rsidRPr="00934E2F">
        <w:t xml:space="preserve">in real terms </w:t>
      </w:r>
      <w:r w:rsidR="00E36364" w:rsidRPr="00934E2F">
        <w:t>between 200</w:t>
      </w:r>
      <w:r w:rsidR="00D16A92">
        <w:t>3–</w:t>
      </w:r>
      <w:r w:rsidR="00C5533B" w:rsidRPr="00934E2F">
        <w:t>04</w:t>
      </w:r>
      <w:r w:rsidR="00E36364" w:rsidRPr="00934E2F">
        <w:t xml:space="preserve"> and 2014</w:t>
      </w:r>
      <w:r w:rsidR="00D16A92">
        <w:t>–</w:t>
      </w:r>
      <w:r w:rsidR="00E36364" w:rsidRPr="00934E2F">
        <w:t>15</w:t>
      </w:r>
      <w:r w:rsidR="00144021" w:rsidRPr="00934E2F">
        <w:t>.  Most of this</w:t>
      </w:r>
      <w:r w:rsidR="001678CA" w:rsidRPr="00934E2F">
        <w:t xml:space="preserve"> growth occurred between 2005</w:t>
      </w:r>
      <w:r w:rsidR="00D16A92">
        <w:t>–</w:t>
      </w:r>
      <w:r w:rsidRPr="00934E2F">
        <w:t>06 and 2008</w:t>
      </w:r>
      <w:r w:rsidR="00D16A92">
        <w:t>–</w:t>
      </w:r>
      <w:r w:rsidRPr="00934E2F">
        <w:t xml:space="preserve">09, with </w:t>
      </w:r>
      <w:r w:rsidR="00144021" w:rsidRPr="00934E2F">
        <w:t xml:space="preserve">benefits paid per service </w:t>
      </w:r>
      <w:r w:rsidRPr="00934E2F">
        <w:t xml:space="preserve">remaining </w:t>
      </w:r>
      <w:r w:rsidR="008F794F" w:rsidRPr="00934E2F">
        <w:t xml:space="preserve">relatively </w:t>
      </w:r>
      <w:r w:rsidRPr="00934E2F">
        <w:t xml:space="preserve">stable </w:t>
      </w:r>
      <w:r w:rsidR="00591E94" w:rsidRPr="00934E2F">
        <w:t xml:space="preserve">or falling slightly </w:t>
      </w:r>
      <w:r w:rsidR="00534F21" w:rsidRPr="00934E2F">
        <w:t>from 2009</w:t>
      </w:r>
      <w:r w:rsidR="00D16A92">
        <w:t>–</w:t>
      </w:r>
      <w:r w:rsidR="00534F21" w:rsidRPr="00934E2F">
        <w:t>10 to 2014</w:t>
      </w:r>
      <w:r w:rsidR="00D16A92">
        <w:t>–</w:t>
      </w:r>
      <w:r w:rsidR="00534F21" w:rsidRPr="00934E2F">
        <w:t>15</w:t>
      </w:r>
      <w:r w:rsidR="008A58F3" w:rsidRPr="00934E2F">
        <w:t xml:space="preserve"> in real terms</w:t>
      </w:r>
      <w:r w:rsidR="00591E94" w:rsidRPr="00934E2F">
        <w:t xml:space="preserve">. </w:t>
      </w:r>
      <w:r w:rsidR="00D16A92">
        <w:t xml:space="preserve"> </w:t>
      </w:r>
      <w:r w:rsidR="00534F21" w:rsidRPr="00934E2F">
        <w:t>When combined</w:t>
      </w:r>
      <w:r w:rsidR="00B24A4C" w:rsidRPr="00934E2F">
        <w:t xml:space="preserve">, GP </w:t>
      </w:r>
      <w:r w:rsidR="00534F21" w:rsidRPr="00934E2F">
        <w:t xml:space="preserve">services </w:t>
      </w:r>
      <w:r w:rsidR="00B24A4C" w:rsidRPr="00934E2F">
        <w:t xml:space="preserve">and allied health services associated with the new plans accounted for a quarter of the increase in </w:t>
      </w:r>
      <w:r w:rsidR="00AD484C" w:rsidRPr="00934E2F">
        <w:t xml:space="preserve">total </w:t>
      </w:r>
      <w:r w:rsidR="00DF7D43" w:rsidRPr="00934E2F">
        <w:t>MBS</w:t>
      </w:r>
      <w:r w:rsidR="00B24A4C" w:rsidRPr="00934E2F">
        <w:t xml:space="preserve"> spending </w:t>
      </w:r>
      <w:r w:rsidR="00266E17" w:rsidRPr="00934E2F">
        <w:t>over the past decade</w:t>
      </w:r>
      <w:r w:rsidR="00B24A4C" w:rsidRPr="00934E2F">
        <w:t>.</w:t>
      </w:r>
    </w:p>
    <w:p w:rsidR="00C5533B" w:rsidRDefault="00C5533B" w:rsidP="00360E80">
      <w:pPr>
        <w:pStyle w:val="BodyText"/>
      </w:pPr>
      <w:r w:rsidRPr="00934E2F">
        <w:t>Growth in s</w:t>
      </w:r>
      <w:r w:rsidR="000A7A21" w:rsidRPr="00934E2F">
        <w:t xml:space="preserve">pending </w:t>
      </w:r>
      <w:r w:rsidR="00C244CA" w:rsidRPr="00934E2F">
        <w:t>per person</w:t>
      </w:r>
      <w:r w:rsidR="000A7A21" w:rsidRPr="00934E2F">
        <w:t xml:space="preserve"> on allied he</w:t>
      </w:r>
      <w:r w:rsidR="002173AC" w:rsidRPr="00934E2F">
        <w:t xml:space="preserve">alth is projected to </w:t>
      </w:r>
      <w:r w:rsidRPr="00934E2F">
        <w:t xml:space="preserve">slow to </w:t>
      </w:r>
      <w:r w:rsidR="003F1A3F" w:rsidRPr="00934E2F">
        <w:t>2.9</w:t>
      </w:r>
      <w:r w:rsidR="000A7A21" w:rsidRPr="00934E2F">
        <w:t xml:space="preserve"> per cent annually </w:t>
      </w:r>
      <w:r w:rsidR="008A58F3" w:rsidRPr="00934E2F">
        <w:t xml:space="preserve">in real terms </w:t>
      </w:r>
      <w:r w:rsidR="000A7A21" w:rsidRPr="00934E2F">
        <w:t>between 2014</w:t>
      </w:r>
      <w:r w:rsidR="00D16A92">
        <w:t>–</w:t>
      </w:r>
      <w:r w:rsidR="000A7A21" w:rsidRPr="00934E2F">
        <w:t>15 and 2025</w:t>
      </w:r>
      <w:r w:rsidR="00D16A92">
        <w:t>–</w:t>
      </w:r>
      <w:r w:rsidR="000A7A21" w:rsidRPr="00934E2F">
        <w:t xml:space="preserve">26. </w:t>
      </w:r>
      <w:r w:rsidR="005140F6" w:rsidRPr="00934E2F">
        <w:t xml:space="preserve"> </w:t>
      </w:r>
      <w:r w:rsidRPr="00934E2F">
        <w:t xml:space="preserve">Growth in the </w:t>
      </w:r>
      <w:r w:rsidR="000A7A21" w:rsidRPr="00934E2F">
        <w:t xml:space="preserve">number of services </w:t>
      </w:r>
      <w:r w:rsidR="00C244CA" w:rsidRPr="00934E2F">
        <w:t>per person</w:t>
      </w:r>
      <w:r w:rsidRPr="00934E2F">
        <w:t xml:space="preserve"> is projected to slow to</w:t>
      </w:r>
      <w:r w:rsidR="002173AC" w:rsidRPr="00934E2F">
        <w:t xml:space="preserve"> </w:t>
      </w:r>
      <w:r w:rsidR="00E36364" w:rsidRPr="00934E2F">
        <w:t>5.</w:t>
      </w:r>
      <w:r w:rsidR="003F1A3F" w:rsidRPr="00934E2F">
        <w:t>0</w:t>
      </w:r>
      <w:r w:rsidR="000A7A21" w:rsidRPr="00934E2F">
        <w:t> per cent an</w:t>
      </w:r>
      <w:r w:rsidRPr="00934E2F">
        <w:t xml:space="preserve">nually, </w:t>
      </w:r>
      <w:r w:rsidR="00C911A9" w:rsidRPr="00934E2F">
        <w:t xml:space="preserve">reflecting </w:t>
      </w:r>
      <w:r w:rsidR="002F2079" w:rsidRPr="00934E2F">
        <w:t xml:space="preserve">recent </w:t>
      </w:r>
      <w:r w:rsidR="00C911A9" w:rsidRPr="00934E2F">
        <w:t>slower growth in the use of allied health services which were added to the MBS in the past decade</w:t>
      </w:r>
      <w:r w:rsidR="002F2079" w:rsidRPr="00934E2F">
        <w:t>.</w:t>
      </w:r>
      <w:r w:rsidRPr="004943CE">
        <w:t xml:space="preserve">  Benefits paid per service are projected to decline by 2.0 per cent annually in real terms over the period, </w:t>
      </w:r>
      <w:r w:rsidR="009017C6">
        <w:t xml:space="preserve">reflecting </w:t>
      </w:r>
      <w:r w:rsidR="0001613E">
        <w:t xml:space="preserve">the trend over the latter part of the past decade and </w:t>
      </w:r>
      <w:r w:rsidRPr="004943CE">
        <w:t xml:space="preserve">the </w:t>
      </w:r>
      <w:r w:rsidR="006A40BC" w:rsidRPr="004943CE">
        <w:t>pause i</w:t>
      </w:r>
      <w:r w:rsidRPr="004943CE">
        <w:t>n the indexation of allied health benefits f</w:t>
      </w:r>
      <w:r w:rsidR="006A40BC" w:rsidRPr="004943CE">
        <w:t>rom 2013</w:t>
      </w:r>
      <w:r w:rsidR="00D16A92">
        <w:t>–</w:t>
      </w:r>
      <w:r w:rsidR="006A40BC" w:rsidRPr="004943CE">
        <w:t>14 to 2017</w:t>
      </w:r>
      <w:r w:rsidR="00D16A92">
        <w:t>–</w:t>
      </w:r>
      <w:r w:rsidR="006A40BC" w:rsidRPr="004943CE">
        <w:t>18.</w:t>
      </w:r>
    </w:p>
    <w:p w:rsidR="00F77B6A" w:rsidRPr="00227D7D" w:rsidRDefault="00F77B6A" w:rsidP="00F77B6A">
      <w:pPr>
        <w:pStyle w:val="Heading2"/>
      </w:pPr>
      <w:bookmarkStart w:id="98" w:name="_Toc436050789"/>
      <w:r w:rsidRPr="00227D7D">
        <w:t>Bulk billing incentives</w:t>
      </w:r>
      <w:bookmarkEnd w:id="98"/>
    </w:p>
    <w:p w:rsidR="003D2351" w:rsidRPr="00227D7D" w:rsidRDefault="007C3435" w:rsidP="00F77B6A">
      <w:pPr>
        <w:pStyle w:val="BodyText"/>
      </w:pPr>
      <w:r>
        <w:t>S</w:t>
      </w:r>
      <w:r w:rsidR="00767F04" w:rsidRPr="00227D7D">
        <w:t xml:space="preserve">pending </w:t>
      </w:r>
      <w:r w:rsidR="00C244CA">
        <w:t>per person</w:t>
      </w:r>
      <w:r w:rsidR="00767F04" w:rsidRPr="00227D7D">
        <w:t xml:space="preserve"> on bulk</w:t>
      </w:r>
      <w:r w:rsidR="007920E6" w:rsidRPr="00227D7D">
        <w:t xml:space="preserve"> billing incentives </w:t>
      </w:r>
      <w:r w:rsidR="006B581A" w:rsidRPr="00227D7D">
        <w:t>account</w:t>
      </w:r>
      <w:r w:rsidR="005E481A" w:rsidRPr="00227D7D">
        <w:t>ed</w:t>
      </w:r>
      <w:r w:rsidR="006B581A" w:rsidRPr="00227D7D">
        <w:t xml:space="preserve"> for</w:t>
      </w:r>
      <w:r w:rsidR="00F77B6A" w:rsidRPr="00227D7D">
        <w:t xml:space="preserve"> </w:t>
      </w:r>
      <w:r w:rsidR="00E36364">
        <w:t>9</w:t>
      </w:r>
      <w:r w:rsidR="009D1411" w:rsidRPr="00227D7D">
        <w:t> </w:t>
      </w:r>
      <w:r w:rsidR="00F77B6A" w:rsidRPr="00227D7D">
        <w:t xml:space="preserve">per cent of </w:t>
      </w:r>
      <w:r w:rsidR="006B581A" w:rsidRPr="00227D7D">
        <w:t xml:space="preserve">the </w:t>
      </w:r>
      <w:r w:rsidR="006B581A" w:rsidRPr="005F390D">
        <w:t xml:space="preserve">total </w:t>
      </w:r>
      <w:r>
        <w:t xml:space="preserve">real </w:t>
      </w:r>
      <w:r w:rsidR="006B581A" w:rsidRPr="005F390D">
        <w:t>growth in spending</w:t>
      </w:r>
      <w:r w:rsidR="006B581A" w:rsidRPr="00227D7D">
        <w:t xml:space="preserve"> </w:t>
      </w:r>
      <w:r w:rsidR="00C244CA">
        <w:t>per person</w:t>
      </w:r>
      <w:r w:rsidR="006B581A" w:rsidRPr="00227D7D">
        <w:t xml:space="preserve"> </w:t>
      </w:r>
      <w:r w:rsidR="00994008" w:rsidRPr="00227D7D">
        <w:t xml:space="preserve">on </w:t>
      </w:r>
      <w:r w:rsidR="00DF7D43">
        <w:t>the MBS</w:t>
      </w:r>
      <w:r w:rsidR="00994008" w:rsidRPr="00227D7D">
        <w:t xml:space="preserve"> </w:t>
      </w:r>
      <w:r w:rsidR="00862D2D" w:rsidRPr="00227D7D">
        <w:t>between 1993</w:t>
      </w:r>
      <w:r w:rsidR="007A3B06">
        <w:t>–</w:t>
      </w:r>
      <w:r w:rsidR="00862D2D" w:rsidRPr="00227D7D">
        <w:t>94 and</w:t>
      </w:r>
      <w:r w:rsidR="005E481A" w:rsidRPr="00227D7D">
        <w:t xml:space="preserve"> 2014</w:t>
      </w:r>
      <w:r w:rsidR="007A3B06">
        <w:t>–</w:t>
      </w:r>
      <w:r w:rsidR="005E481A" w:rsidRPr="00227D7D">
        <w:t>15</w:t>
      </w:r>
      <w:r w:rsidR="00F77B6A" w:rsidRPr="00227D7D">
        <w:t>.  Bulk billing incentives for GP services were introduced in 2003</w:t>
      </w:r>
      <w:r w:rsidR="007A3B06">
        <w:t>–</w:t>
      </w:r>
      <w:r w:rsidR="00F77B6A" w:rsidRPr="00227D7D">
        <w:t xml:space="preserve">04 and provide additional </w:t>
      </w:r>
      <w:r w:rsidR="00DF7D43">
        <w:t>MBS</w:t>
      </w:r>
      <w:r w:rsidR="00F77B6A" w:rsidRPr="00227D7D">
        <w:t xml:space="preserve"> funding to the service provider if they bulk bill a </w:t>
      </w:r>
      <w:r w:rsidR="004B5DED">
        <w:t xml:space="preserve">concession card holder or child </w:t>
      </w:r>
      <w:r w:rsidR="00F77B6A" w:rsidRPr="00227D7D">
        <w:t xml:space="preserve">patient for a particular </w:t>
      </w:r>
      <w:r w:rsidR="00F77B6A" w:rsidRPr="00296721">
        <w:t>service</w:t>
      </w:r>
      <w:r w:rsidR="00AC19F1" w:rsidRPr="00F248B4">
        <w:t xml:space="preserve">, that is </w:t>
      </w:r>
      <w:r w:rsidR="00F77B6A" w:rsidRPr="00F248B4">
        <w:t xml:space="preserve">accept the </w:t>
      </w:r>
      <w:r w:rsidR="00DF7D43" w:rsidRPr="00F248B4">
        <w:t>MBS</w:t>
      </w:r>
      <w:r w:rsidR="00F77B6A" w:rsidRPr="00F248B4">
        <w:t xml:space="preserve"> benefit as </w:t>
      </w:r>
      <w:r w:rsidR="00C95D34" w:rsidRPr="00F248B4">
        <w:t>full payment for the service</w:t>
      </w:r>
      <w:r w:rsidR="00C95D34" w:rsidRPr="0078208F">
        <w:t>.</w:t>
      </w:r>
    </w:p>
    <w:p w:rsidR="00F77B6A" w:rsidRPr="00227D7D" w:rsidRDefault="00F77B6A" w:rsidP="00F77B6A">
      <w:pPr>
        <w:pStyle w:val="BodyText"/>
      </w:pPr>
      <w:r w:rsidRPr="00227D7D">
        <w:t>Until 2009</w:t>
      </w:r>
      <w:r w:rsidR="007A3B06">
        <w:t>–</w:t>
      </w:r>
      <w:r w:rsidRPr="00227D7D">
        <w:t>10, incentives were directed almost entirely at encouraging bulk billing of GP services, after which incentives were expanded to diagnostic imaging and pathology services</w:t>
      </w:r>
      <w:r w:rsidR="002173AC">
        <w:t xml:space="preserve"> (</w:t>
      </w:r>
      <w:r w:rsidR="007A3B06">
        <w:fldChar w:fldCharType="begin"/>
      </w:r>
      <w:r w:rsidR="007A3B06">
        <w:instrText xml:space="preserve"> REF _Ref436044969 \h </w:instrText>
      </w:r>
      <w:r w:rsidR="007A3B06">
        <w:fldChar w:fldCharType="separate"/>
      </w:r>
      <w:r w:rsidR="00235C48" w:rsidRPr="007A3B06">
        <w:t xml:space="preserve">Figure </w:t>
      </w:r>
      <w:r w:rsidR="00235C48">
        <w:rPr>
          <w:noProof/>
        </w:rPr>
        <w:t>3</w:t>
      </w:r>
      <w:r w:rsidR="00235C48" w:rsidRPr="007A3B06">
        <w:t>–</w:t>
      </w:r>
      <w:r w:rsidR="00235C48">
        <w:rPr>
          <w:noProof/>
        </w:rPr>
        <w:t>6</w:t>
      </w:r>
      <w:r w:rsidR="007A3B06">
        <w:fldChar w:fldCharType="end"/>
      </w:r>
      <w:r w:rsidR="002F658B" w:rsidRPr="00227D7D">
        <w:t>)</w:t>
      </w:r>
      <w:r w:rsidRPr="00227D7D">
        <w:t>.</w:t>
      </w:r>
    </w:p>
    <w:p w:rsidR="007A3B06" w:rsidRPr="007A3B06" w:rsidRDefault="00235AA8" w:rsidP="007A3B06">
      <w:pPr>
        <w:pStyle w:val="Caption"/>
      </w:pPr>
      <w:bookmarkStart w:id="99" w:name="_Ref436044969"/>
      <w:bookmarkStart w:id="100" w:name="_Toc436051006"/>
      <w:bookmarkStart w:id="101" w:name="_Toc436205228"/>
      <w:r>
        <w:rPr>
          <w:noProof/>
          <w:lang w:eastAsia="en-AU"/>
        </w:rPr>
        <w:drawing>
          <wp:anchor distT="0" distB="0" distL="114300" distR="114300" simplePos="0" relativeHeight="251688960" behindDoc="0" locked="0" layoutInCell="1" allowOverlap="1">
            <wp:simplePos x="0" y="0"/>
            <wp:positionH relativeFrom="column">
              <wp:posOffset>-92244</wp:posOffset>
            </wp:positionH>
            <wp:positionV relativeFrom="paragraph">
              <wp:posOffset>372413</wp:posOffset>
            </wp:positionV>
            <wp:extent cx="5487035" cy="202374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487035" cy="2023745"/>
                    </a:xfrm>
                    <a:prstGeom prst="rect">
                      <a:avLst/>
                    </a:prstGeom>
                    <a:noFill/>
                  </pic:spPr>
                </pic:pic>
              </a:graphicData>
            </a:graphic>
            <wp14:sizeRelH relativeFrom="page">
              <wp14:pctWidth>0</wp14:pctWidth>
            </wp14:sizeRelH>
            <wp14:sizeRelV relativeFrom="page">
              <wp14:pctHeight>0</wp14:pctHeight>
            </wp14:sizeRelV>
          </wp:anchor>
        </w:drawing>
      </w:r>
      <w:r w:rsidR="007A3B06" w:rsidRPr="007A3B06">
        <w:t xml:space="preserve">Figure </w:t>
      </w:r>
      <w:fldSimple w:instr=" STYLEREF 1 \s ">
        <w:r w:rsidR="00235C48">
          <w:rPr>
            <w:noProof/>
          </w:rPr>
          <w:t>3</w:t>
        </w:r>
      </w:fldSimple>
      <w:r w:rsidR="007A3B06" w:rsidRPr="007A3B06">
        <w:t>–</w:t>
      </w:r>
      <w:fldSimple w:instr=" SEQ Figure \* ARABIC \s 1 ">
        <w:r w:rsidR="00235C48">
          <w:rPr>
            <w:noProof/>
          </w:rPr>
          <w:t>6</w:t>
        </w:r>
      </w:fldSimple>
      <w:bookmarkEnd w:id="99"/>
      <w:r w:rsidR="007A3B06" w:rsidRPr="007A3B06">
        <w:t>: Bulk billing</w:t>
      </w:r>
      <w:r w:rsidR="007A3B06">
        <w:t xml:space="preserve"> benefits paid per person (2014–</w:t>
      </w:r>
      <w:r w:rsidR="007A3B06" w:rsidRPr="007A3B06">
        <w:t>15 dollars)</w:t>
      </w:r>
      <w:r w:rsidR="007A3B06" w:rsidRPr="007A3B06">
        <w:rPr>
          <w:rStyle w:val="FootnoteReference"/>
        </w:rPr>
        <w:t xml:space="preserve"> </w:t>
      </w:r>
      <w:r w:rsidR="007A3B06" w:rsidRPr="00701D20">
        <w:rPr>
          <w:rStyle w:val="FootnoteReference"/>
        </w:rPr>
        <w:footnoteReference w:id="22"/>
      </w:r>
      <w:bookmarkEnd w:id="100"/>
      <w:bookmarkEnd w:id="101"/>
    </w:p>
    <w:tbl>
      <w:tblPr>
        <w:tblStyle w:val="TableGrid"/>
        <w:tblW w:w="6888" w:type="pct"/>
        <w:tblInd w:w="-1555" w:type="dxa"/>
        <w:tblLook w:val="0680" w:firstRow="0" w:lastRow="0" w:firstColumn="1" w:lastColumn="0" w:noHBand="1" w:noVBand="1"/>
      </w:tblPr>
      <w:tblGrid>
        <w:gridCol w:w="1533"/>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0"/>
        <w:gridCol w:w="300"/>
        <w:gridCol w:w="300"/>
        <w:gridCol w:w="300"/>
        <w:gridCol w:w="300"/>
        <w:gridCol w:w="300"/>
        <w:gridCol w:w="300"/>
        <w:gridCol w:w="300"/>
        <w:gridCol w:w="300"/>
        <w:gridCol w:w="300"/>
        <w:gridCol w:w="300"/>
        <w:gridCol w:w="300"/>
        <w:gridCol w:w="300"/>
        <w:gridCol w:w="300"/>
      </w:tblGrid>
      <w:tr w:rsidR="000B4119" w:rsidRPr="00EA3B45" w:rsidTr="00EE7A86">
        <w:trPr>
          <w:cantSplit/>
        </w:trPr>
        <w:tc>
          <w:tcPr>
            <w:cnfStyle w:val="001000000000" w:firstRow="0" w:lastRow="0" w:firstColumn="1" w:lastColumn="0" w:oddVBand="0" w:evenVBand="0" w:oddHBand="0" w:evenHBand="0" w:firstRowFirstColumn="0" w:firstRowLastColumn="0" w:lastRowFirstColumn="0" w:lastRowLastColumn="0"/>
            <w:tcW w:w="668" w:type="pct"/>
            <w:vAlign w:val="bottom"/>
          </w:tcPr>
          <w:p w:rsidR="000B4119" w:rsidRPr="00EE7A86" w:rsidRDefault="000B4119" w:rsidP="000B4119">
            <w:pPr>
              <w:spacing w:before="0" w:after="0" w:line="240" w:lineRule="auto"/>
              <w:ind w:left="0" w:right="57"/>
              <w:rPr>
                <w:rFonts w:ascii="Calibri" w:hAnsi="Calibri"/>
                <w:b/>
                <w:bCs/>
                <w:color w:val="FFFFFF" w:themeColor="background1"/>
                <w:sz w:val="10"/>
                <w:szCs w:val="10"/>
              </w:rPr>
            </w:pPr>
            <w:r w:rsidRPr="00EE7A86">
              <w:rPr>
                <w:rFonts w:ascii="Calibri" w:hAnsi="Calibri"/>
                <w:b/>
                <w:bCs/>
                <w:color w:val="FFFFFF" w:themeColor="background1"/>
                <w:sz w:val="10"/>
                <w:szCs w:val="10"/>
              </w:rPr>
              <w:t>Bulk-billing incentives</w:t>
            </w:r>
          </w:p>
        </w:tc>
        <w:tc>
          <w:tcPr>
            <w:tcW w:w="131" w:type="pct"/>
            <w:vAlign w:val="bottom"/>
          </w:tcPr>
          <w:p w:rsidR="000B4119" w:rsidRPr="00EE7A86" w:rsidRDefault="000B4119"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1993-94</w:t>
            </w:r>
          </w:p>
        </w:tc>
        <w:tc>
          <w:tcPr>
            <w:tcW w:w="131" w:type="pct"/>
            <w:vAlign w:val="bottom"/>
          </w:tcPr>
          <w:p w:rsidR="000B4119" w:rsidRPr="00EE7A86" w:rsidRDefault="000B4119"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1994-95</w:t>
            </w:r>
          </w:p>
        </w:tc>
        <w:tc>
          <w:tcPr>
            <w:tcW w:w="131" w:type="pct"/>
            <w:vAlign w:val="bottom"/>
          </w:tcPr>
          <w:p w:rsidR="000B4119" w:rsidRPr="00EE7A86" w:rsidRDefault="000B4119"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1995-96</w:t>
            </w:r>
          </w:p>
        </w:tc>
        <w:tc>
          <w:tcPr>
            <w:tcW w:w="131" w:type="pct"/>
            <w:vAlign w:val="bottom"/>
          </w:tcPr>
          <w:p w:rsidR="000B4119" w:rsidRPr="00EE7A86" w:rsidRDefault="000B4119"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1996-97</w:t>
            </w:r>
          </w:p>
        </w:tc>
        <w:tc>
          <w:tcPr>
            <w:tcW w:w="131" w:type="pct"/>
            <w:vAlign w:val="bottom"/>
          </w:tcPr>
          <w:p w:rsidR="000B4119" w:rsidRPr="00EE7A86" w:rsidRDefault="000B4119"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1997-98</w:t>
            </w:r>
          </w:p>
        </w:tc>
        <w:tc>
          <w:tcPr>
            <w:tcW w:w="131" w:type="pct"/>
            <w:vAlign w:val="bottom"/>
          </w:tcPr>
          <w:p w:rsidR="000B4119" w:rsidRPr="00EE7A86" w:rsidRDefault="000B4119"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1998-99</w:t>
            </w:r>
          </w:p>
        </w:tc>
        <w:tc>
          <w:tcPr>
            <w:tcW w:w="131" w:type="pct"/>
            <w:vAlign w:val="bottom"/>
          </w:tcPr>
          <w:p w:rsidR="000B4119" w:rsidRPr="00EE7A86" w:rsidRDefault="000B4119"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1999-00</w:t>
            </w:r>
          </w:p>
        </w:tc>
        <w:tc>
          <w:tcPr>
            <w:tcW w:w="131" w:type="pct"/>
            <w:vAlign w:val="bottom"/>
          </w:tcPr>
          <w:p w:rsidR="000B4119" w:rsidRPr="00EE7A86" w:rsidRDefault="000B4119"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2000-01</w:t>
            </w:r>
          </w:p>
        </w:tc>
        <w:tc>
          <w:tcPr>
            <w:tcW w:w="131" w:type="pct"/>
            <w:vAlign w:val="bottom"/>
          </w:tcPr>
          <w:p w:rsidR="000B4119" w:rsidRPr="00EE7A86" w:rsidRDefault="000B4119"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2001-02</w:t>
            </w:r>
          </w:p>
        </w:tc>
        <w:tc>
          <w:tcPr>
            <w:tcW w:w="131" w:type="pct"/>
            <w:vAlign w:val="bottom"/>
          </w:tcPr>
          <w:p w:rsidR="000B4119" w:rsidRPr="00EE7A86" w:rsidRDefault="000B4119"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2002-03</w:t>
            </w:r>
          </w:p>
        </w:tc>
        <w:tc>
          <w:tcPr>
            <w:tcW w:w="131" w:type="pct"/>
            <w:vAlign w:val="bottom"/>
          </w:tcPr>
          <w:p w:rsidR="000B4119" w:rsidRPr="00EE7A86" w:rsidRDefault="000B4119"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2003-04</w:t>
            </w:r>
          </w:p>
        </w:tc>
        <w:tc>
          <w:tcPr>
            <w:tcW w:w="131" w:type="pct"/>
            <w:vAlign w:val="bottom"/>
          </w:tcPr>
          <w:p w:rsidR="000B4119" w:rsidRPr="00EE7A86" w:rsidRDefault="000B4119"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2004-05</w:t>
            </w:r>
          </w:p>
        </w:tc>
        <w:tc>
          <w:tcPr>
            <w:tcW w:w="131" w:type="pct"/>
            <w:vAlign w:val="bottom"/>
          </w:tcPr>
          <w:p w:rsidR="000B4119" w:rsidRPr="00EE7A86" w:rsidRDefault="000B4119"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2005-06</w:t>
            </w:r>
          </w:p>
        </w:tc>
        <w:tc>
          <w:tcPr>
            <w:tcW w:w="131" w:type="pct"/>
            <w:vAlign w:val="bottom"/>
          </w:tcPr>
          <w:p w:rsidR="000B4119" w:rsidRPr="00EE7A86" w:rsidRDefault="000B4119"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2006-07</w:t>
            </w:r>
          </w:p>
        </w:tc>
        <w:tc>
          <w:tcPr>
            <w:tcW w:w="131" w:type="pct"/>
            <w:vAlign w:val="bottom"/>
          </w:tcPr>
          <w:p w:rsidR="000B4119" w:rsidRPr="00EE7A86" w:rsidRDefault="000B4119"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2007-08</w:t>
            </w:r>
          </w:p>
        </w:tc>
        <w:tc>
          <w:tcPr>
            <w:tcW w:w="131" w:type="pct"/>
            <w:vAlign w:val="bottom"/>
          </w:tcPr>
          <w:p w:rsidR="000B4119" w:rsidRPr="00EE7A86" w:rsidRDefault="000B4119"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2008-09</w:t>
            </w:r>
          </w:p>
        </w:tc>
        <w:tc>
          <w:tcPr>
            <w:tcW w:w="131" w:type="pct"/>
            <w:vAlign w:val="bottom"/>
          </w:tcPr>
          <w:p w:rsidR="000B4119" w:rsidRPr="00EE7A86" w:rsidRDefault="000B4119"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2009-10</w:t>
            </w:r>
          </w:p>
        </w:tc>
        <w:tc>
          <w:tcPr>
            <w:tcW w:w="131" w:type="pct"/>
            <w:vAlign w:val="bottom"/>
          </w:tcPr>
          <w:p w:rsidR="000B4119" w:rsidRPr="00EE7A86" w:rsidRDefault="000B4119"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2010-11</w:t>
            </w:r>
          </w:p>
        </w:tc>
        <w:tc>
          <w:tcPr>
            <w:tcW w:w="131" w:type="pct"/>
            <w:vAlign w:val="bottom"/>
          </w:tcPr>
          <w:p w:rsidR="000B4119" w:rsidRPr="00EE7A86" w:rsidRDefault="000B4119"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2011-12</w:t>
            </w:r>
          </w:p>
        </w:tc>
        <w:tc>
          <w:tcPr>
            <w:tcW w:w="131" w:type="pct"/>
            <w:vAlign w:val="bottom"/>
          </w:tcPr>
          <w:p w:rsidR="000B4119" w:rsidRPr="00EE7A86" w:rsidRDefault="000B4119"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2012-13</w:t>
            </w:r>
          </w:p>
        </w:tc>
        <w:tc>
          <w:tcPr>
            <w:tcW w:w="131" w:type="pct"/>
            <w:vAlign w:val="bottom"/>
          </w:tcPr>
          <w:p w:rsidR="000B4119" w:rsidRPr="00EE7A86" w:rsidRDefault="000B4119"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2013-14</w:t>
            </w:r>
          </w:p>
        </w:tc>
        <w:tc>
          <w:tcPr>
            <w:tcW w:w="131" w:type="pct"/>
            <w:vAlign w:val="bottom"/>
          </w:tcPr>
          <w:p w:rsidR="000B4119" w:rsidRPr="00EE7A86" w:rsidRDefault="000B4119"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2014-15</w:t>
            </w:r>
          </w:p>
        </w:tc>
        <w:tc>
          <w:tcPr>
            <w:tcW w:w="131" w:type="pct"/>
            <w:vAlign w:val="bottom"/>
          </w:tcPr>
          <w:p w:rsidR="000B4119" w:rsidRPr="00EE7A86" w:rsidRDefault="000B4119"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2015-16</w:t>
            </w:r>
          </w:p>
        </w:tc>
        <w:tc>
          <w:tcPr>
            <w:tcW w:w="131" w:type="pct"/>
            <w:vAlign w:val="bottom"/>
          </w:tcPr>
          <w:p w:rsidR="000B4119" w:rsidRPr="00EE7A86" w:rsidRDefault="000B4119"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2016-17</w:t>
            </w:r>
          </w:p>
        </w:tc>
        <w:tc>
          <w:tcPr>
            <w:tcW w:w="131" w:type="pct"/>
            <w:vAlign w:val="bottom"/>
          </w:tcPr>
          <w:p w:rsidR="000B4119" w:rsidRPr="00EE7A86" w:rsidRDefault="000B4119"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2017-18</w:t>
            </w:r>
          </w:p>
        </w:tc>
        <w:tc>
          <w:tcPr>
            <w:tcW w:w="131" w:type="pct"/>
            <w:vAlign w:val="bottom"/>
          </w:tcPr>
          <w:p w:rsidR="000B4119" w:rsidRPr="00EE7A86" w:rsidRDefault="000B4119"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2018-19</w:t>
            </w:r>
          </w:p>
        </w:tc>
        <w:tc>
          <w:tcPr>
            <w:tcW w:w="131" w:type="pct"/>
            <w:vAlign w:val="bottom"/>
          </w:tcPr>
          <w:p w:rsidR="000B4119" w:rsidRPr="00EE7A86" w:rsidRDefault="000B4119"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2019-20</w:t>
            </w:r>
          </w:p>
        </w:tc>
        <w:tc>
          <w:tcPr>
            <w:tcW w:w="131" w:type="pct"/>
            <w:vAlign w:val="bottom"/>
          </w:tcPr>
          <w:p w:rsidR="000B4119" w:rsidRPr="00EE7A86" w:rsidRDefault="000B4119"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2020-21</w:t>
            </w:r>
          </w:p>
        </w:tc>
        <w:tc>
          <w:tcPr>
            <w:tcW w:w="131" w:type="pct"/>
            <w:vAlign w:val="bottom"/>
          </w:tcPr>
          <w:p w:rsidR="000B4119" w:rsidRPr="00EE7A86" w:rsidRDefault="000B4119"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2021-22</w:t>
            </w:r>
          </w:p>
        </w:tc>
        <w:tc>
          <w:tcPr>
            <w:tcW w:w="131" w:type="pct"/>
            <w:vAlign w:val="bottom"/>
          </w:tcPr>
          <w:p w:rsidR="000B4119" w:rsidRPr="00EE7A86" w:rsidRDefault="000B4119"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2022-23</w:t>
            </w:r>
          </w:p>
        </w:tc>
        <w:tc>
          <w:tcPr>
            <w:tcW w:w="131" w:type="pct"/>
            <w:vAlign w:val="bottom"/>
          </w:tcPr>
          <w:p w:rsidR="000B4119" w:rsidRPr="00EE7A86" w:rsidRDefault="000B4119"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2023-24</w:t>
            </w:r>
          </w:p>
        </w:tc>
        <w:tc>
          <w:tcPr>
            <w:tcW w:w="131" w:type="pct"/>
            <w:vAlign w:val="bottom"/>
          </w:tcPr>
          <w:p w:rsidR="000B4119" w:rsidRPr="00EE7A86" w:rsidRDefault="000B4119"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2024-25</w:t>
            </w:r>
          </w:p>
        </w:tc>
        <w:tc>
          <w:tcPr>
            <w:tcW w:w="131" w:type="pct"/>
            <w:vAlign w:val="bottom"/>
          </w:tcPr>
          <w:p w:rsidR="000B4119" w:rsidRPr="00EE7A86" w:rsidRDefault="000B4119"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2025-26</w:t>
            </w:r>
          </w:p>
        </w:tc>
      </w:tr>
      <w:tr w:rsidR="000B4119" w:rsidRPr="0089586B" w:rsidTr="00EE7A86">
        <w:trPr>
          <w:cantSplit/>
        </w:trPr>
        <w:tc>
          <w:tcPr>
            <w:cnfStyle w:val="001000000000" w:firstRow="0" w:lastRow="0" w:firstColumn="1" w:lastColumn="0" w:oddVBand="0" w:evenVBand="0" w:oddHBand="0" w:evenHBand="0" w:firstRowFirstColumn="0" w:firstRowLastColumn="0" w:lastRowFirstColumn="0" w:lastRowLastColumn="0"/>
            <w:tcW w:w="668" w:type="pct"/>
            <w:vAlign w:val="bottom"/>
          </w:tcPr>
          <w:p w:rsidR="000B4119" w:rsidRPr="00EE7A86" w:rsidRDefault="000B4119" w:rsidP="000B4119">
            <w:pPr>
              <w:spacing w:before="0" w:after="0" w:line="240" w:lineRule="auto"/>
              <w:ind w:left="0" w:right="57"/>
              <w:rPr>
                <w:rFonts w:ascii="Calibri" w:hAnsi="Calibri"/>
                <w:color w:val="FFFFFF" w:themeColor="background1"/>
                <w:sz w:val="10"/>
                <w:szCs w:val="10"/>
              </w:rPr>
            </w:pPr>
            <w:r w:rsidRPr="00EE7A86">
              <w:rPr>
                <w:rFonts w:ascii="Calibri" w:hAnsi="Calibri"/>
                <w:color w:val="FFFFFF" w:themeColor="background1"/>
                <w:sz w:val="10"/>
                <w:szCs w:val="10"/>
              </w:rPr>
              <w:t>Benefits per person ($2014-15)</w:t>
            </w:r>
          </w:p>
        </w:tc>
        <w:tc>
          <w:tcPr>
            <w:tcW w:w="131" w:type="pct"/>
            <w:vAlign w:val="bottom"/>
          </w:tcPr>
          <w:p w:rsidR="000B4119" w:rsidRPr="00EE7A86" w:rsidRDefault="000B4119" w:rsidP="000B4119">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w:t>
            </w:r>
          </w:p>
        </w:tc>
        <w:tc>
          <w:tcPr>
            <w:tcW w:w="131" w:type="pct"/>
            <w:vAlign w:val="bottom"/>
          </w:tcPr>
          <w:p w:rsidR="000B4119" w:rsidRPr="00EE7A86" w:rsidRDefault="000B4119" w:rsidP="000B4119">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w:t>
            </w:r>
          </w:p>
        </w:tc>
        <w:tc>
          <w:tcPr>
            <w:tcW w:w="131" w:type="pct"/>
            <w:vAlign w:val="bottom"/>
          </w:tcPr>
          <w:p w:rsidR="000B4119" w:rsidRPr="00EE7A86" w:rsidRDefault="000B4119" w:rsidP="000B4119">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w:t>
            </w:r>
          </w:p>
        </w:tc>
        <w:tc>
          <w:tcPr>
            <w:tcW w:w="131" w:type="pct"/>
            <w:vAlign w:val="bottom"/>
          </w:tcPr>
          <w:p w:rsidR="000B4119" w:rsidRPr="00EE7A86" w:rsidRDefault="000B4119" w:rsidP="000B4119">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w:t>
            </w:r>
          </w:p>
        </w:tc>
        <w:tc>
          <w:tcPr>
            <w:tcW w:w="131" w:type="pct"/>
            <w:vAlign w:val="bottom"/>
          </w:tcPr>
          <w:p w:rsidR="000B4119" w:rsidRPr="00EE7A86" w:rsidRDefault="000B4119" w:rsidP="000B4119">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w:t>
            </w:r>
          </w:p>
        </w:tc>
        <w:tc>
          <w:tcPr>
            <w:tcW w:w="131" w:type="pct"/>
            <w:vAlign w:val="bottom"/>
          </w:tcPr>
          <w:p w:rsidR="000B4119" w:rsidRPr="00EE7A86" w:rsidRDefault="000B4119" w:rsidP="000B4119">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w:t>
            </w:r>
          </w:p>
        </w:tc>
        <w:tc>
          <w:tcPr>
            <w:tcW w:w="131" w:type="pct"/>
            <w:vAlign w:val="bottom"/>
          </w:tcPr>
          <w:p w:rsidR="000B4119" w:rsidRPr="00EE7A86" w:rsidRDefault="000B4119" w:rsidP="000B4119">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w:t>
            </w:r>
          </w:p>
        </w:tc>
        <w:tc>
          <w:tcPr>
            <w:tcW w:w="131" w:type="pct"/>
            <w:vAlign w:val="bottom"/>
          </w:tcPr>
          <w:p w:rsidR="000B4119" w:rsidRPr="00EE7A86" w:rsidRDefault="000B4119" w:rsidP="000B4119">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w:t>
            </w:r>
          </w:p>
        </w:tc>
        <w:tc>
          <w:tcPr>
            <w:tcW w:w="131" w:type="pct"/>
            <w:vAlign w:val="bottom"/>
          </w:tcPr>
          <w:p w:rsidR="000B4119" w:rsidRPr="00EE7A86" w:rsidRDefault="000B4119" w:rsidP="000B4119">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w:t>
            </w:r>
          </w:p>
        </w:tc>
        <w:tc>
          <w:tcPr>
            <w:tcW w:w="131" w:type="pct"/>
            <w:vAlign w:val="bottom"/>
          </w:tcPr>
          <w:p w:rsidR="000B4119" w:rsidRPr="00EE7A86" w:rsidRDefault="000B4119" w:rsidP="000B4119">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w:t>
            </w:r>
          </w:p>
        </w:tc>
        <w:tc>
          <w:tcPr>
            <w:tcW w:w="131" w:type="pct"/>
            <w:vAlign w:val="bottom"/>
          </w:tcPr>
          <w:p w:rsidR="000B4119" w:rsidRPr="00EE7A86" w:rsidRDefault="000B4119" w:rsidP="000B4119">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6.6</w:t>
            </w:r>
          </w:p>
        </w:tc>
        <w:tc>
          <w:tcPr>
            <w:tcW w:w="131" w:type="pct"/>
            <w:vAlign w:val="bottom"/>
          </w:tcPr>
          <w:p w:rsidR="000B4119" w:rsidRPr="00EE7A86" w:rsidRDefault="000B4119" w:rsidP="000B4119">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20.8</w:t>
            </w:r>
          </w:p>
        </w:tc>
        <w:tc>
          <w:tcPr>
            <w:tcW w:w="131" w:type="pct"/>
            <w:vAlign w:val="bottom"/>
          </w:tcPr>
          <w:p w:rsidR="000B4119" w:rsidRPr="00EE7A86" w:rsidRDefault="000B4119" w:rsidP="000B4119">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21.9</w:t>
            </w:r>
          </w:p>
        </w:tc>
        <w:tc>
          <w:tcPr>
            <w:tcW w:w="131" w:type="pct"/>
            <w:vAlign w:val="bottom"/>
          </w:tcPr>
          <w:p w:rsidR="000B4119" w:rsidRPr="00EE7A86" w:rsidRDefault="000B4119" w:rsidP="000B4119">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22.2</w:t>
            </w:r>
          </w:p>
        </w:tc>
        <w:tc>
          <w:tcPr>
            <w:tcW w:w="131" w:type="pct"/>
            <w:vAlign w:val="bottom"/>
          </w:tcPr>
          <w:p w:rsidR="000B4119" w:rsidRPr="00EE7A86" w:rsidRDefault="000B4119" w:rsidP="000B4119">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23.0</w:t>
            </w:r>
          </w:p>
        </w:tc>
        <w:tc>
          <w:tcPr>
            <w:tcW w:w="131" w:type="pct"/>
            <w:vAlign w:val="bottom"/>
          </w:tcPr>
          <w:p w:rsidR="000B4119" w:rsidRPr="00EE7A86" w:rsidRDefault="000B4119" w:rsidP="000B4119">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23.2</w:t>
            </w:r>
          </w:p>
        </w:tc>
        <w:tc>
          <w:tcPr>
            <w:tcW w:w="131" w:type="pct"/>
            <w:vAlign w:val="bottom"/>
          </w:tcPr>
          <w:p w:rsidR="000B4119" w:rsidRPr="00EE7A86" w:rsidRDefault="000B4119" w:rsidP="000B4119">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26.7</w:t>
            </w:r>
          </w:p>
        </w:tc>
        <w:tc>
          <w:tcPr>
            <w:tcW w:w="131" w:type="pct"/>
            <w:vAlign w:val="bottom"/>
          </w:tcPr>
          <w:p w:rsidR="000B4119" w:rsidRPr="00EE7A86" w:rsidRDefault="000B4119" w:rsidP="000B4119">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27.9</w:t>
            </w:r>
          </w:p>
        </w:tc>
        <w:tc>
          <w:tcPr>
            <w:tcW w:w="131" w:type="pct"/>
            <w:vAlign w:val="bottom"/>
          </w:tcPr>
          <w:p w:rsidR="000B4119" w:rsidRPr="00EE7A86" w:rsidRDefault="000B4119" w:rsidP="000B4119">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27.7</w:t>
            </w:r>
          </w:p>
        </w:tc>
        <w:tc>
          <w:tcPr>
            <w:tcW w:w="131" w:type="pct"/>
            <w:vAlign w:val="bottom"/>
          </w:tcPr>
          <w:p w:rsidR="000B4119" w:rsidRPr="00EE7A86" w:rsidRDefault="000B4119" w:rsidP="000B4119">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27.7</w:t>
            </w:r>
          </w:p>
        </w:tc>
        <w:tc>
          <w:tcPr>
            <w:tcW w:w="131" w:type="pct"/>
            <w:vAlign w:val="bottom"/>
          </w:tcPr>
          <w:p w:rsidR="000B4119" w:rsidRPr="00EE7A86" w:rsidRDefault="000B4119" w:rsidP="000B4119">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28.0</w:t>
            </w:r>
          </w:p>
        </w:tc>
        <w:tc>
          <w:tcPr>
            <w:tcW w:w="131" w:type="pct"/>
            <w:vAlign w:val="bottom"/>
          </w:tcPr>
          <w:p w:rsidR="000B4119" w:rsidRPr="00EE7A86" w:rsidRDefault="000B4119" w:rsidP="000B4119">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28.4</w:t>
            </w:r>
          </w:p>
        </w:tc>
        <w:tc>
          <w:tcPr>
            <w:tcW w:w="131" w:type="pct"/>
            <w:vAlign w:val="bottom"/>
          </w:tcPr>
          <w:p w:rsidR="000B4119" w:rsidRPr="00EE7A86" w:rsidRDefault="000B4119" w:rsidP="000B4119">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28.4</w:t>
            </w:r>
          </w:p>
        </w:tc>
        <w:tc>
          <w:tcPr>
            <w:tcW w:w="131" w:type="pct"/>
            <w:vAlign w:val="bottom"/>
          </w:tcPr>
          <w:p w:rsidR="000B4119" w:rsidRPr="00EE7A86" w:rsidRDefault="000B4119" w:rsidP="000B4119">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28.3</w:t>
            </w:r>
          </w:p>
        </w:tc>
        <w:tc>
          <w:tcPr>
            <w:tcW w:w="131" w:type="pct"/>
            <w:vAlign w:val="bottom"/>
          </w:tcPr>
          <w:p w:rsidR="000B4119" w:rsidRPr="00EE7A86" w:rsidRDefault="000B4119" w:rsidP="000B4119">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28.2</w:t>
            </w:r>
          </w:p>
        </w:tc>
        <w:tc>
          <w:tcPr>
            <w:tcW w:w="131" w:type="pct"/>
            <w:vAlign w:val="bottom"/>
          </w:tcPr>
          <w:p w:rsidR="000B4119" w:rsidRPr="00EE7A86" w:rsidRDefault="000B4119" w:rsidP="000B4119">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28.6</w:t>
            </w:r>
          </w:p>
        </w:tc>
        <w:tc>
          <w:tcPr>
            <w:tcW w:w="131" w:type="pct"/>
            <w:vAlign w:val="bottom"/>
          </w:tcPr>
          <w:p w:rsidR="000B4119" w:rsidRPr="00EE7A86" w:rsidRDefault="000B4119" w:rsidP="000B4119">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29.0</w:t>
            </w:r>
          </w:p>
        </w:tc>
        <w:tc>
          <w:tcPr>
            <w:tcW w:w="131" w:type="pct"/>
            <w:vAlign w:val="bottom"/>
          </w:tcPr>
          <w:p w:rsidR="000B4119" w:rsidRPr="00EE7A86" w:rsidRDefault="000B4119" w:rsidP="000B4119">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29.5</w:t>
            </w:r>
          </w:p>
        </w:tc>
        <w:tc>
          <w:tcPr>
            <w:tcW w:w="131" w:type="pct"/>
            <w:vAlign w:val="bottom"/>
          </w:tcPr>
          <w:p w:rsidR="000B4119" w:rsidRPr="00EE7A86" w:rsidRDefault="000B4119" w:rsidP="000B4119">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29.9</w:t>
            </w:r>
          </w:p>
        </w:tc>
        <w:tc>
          <w:tcPr>
            <w:tcW w:w="131" w:type="pct"/>
            <w:vAlign w:val="bottom"/>
          </w:tcPr>
          <w:p w:rsidR="000B4119" w:rsidRPr="00EE7A86" w:rsidRDefault="000B4119" w:rsidP="000B4119">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30.4</w:t>
            </w:r>
          </w:p>
        </w:tc>
        <w:tc>
          <w:tcPr>
            <w:tcW w:w="131" w:type="pct"/>
            <w:vAlign w:val="bottom"/>
          </w:tcPr>
          <w:p w:rsidR="000B4119" w:rsidRPr="00EE7A86" w:rsidRDefault="000B4119" w:rsidP="000B4119">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30.9</w:t>
            </w:r>
          </w:p>
        </w:tc>
        <w:tc>
          <w:tcPr>
            <w:tcW w:w="131" w:type="pct"/>
            <w:vAlign w:val="bottom"/>
          </w:tcPr>
          <w:p w:rsidR="000B4119" w:rsidRPr="00EE7A86" w:rsidRDefault="000B4119" w:rsidP="000B4119">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31.4</w:t>
            </w:r>
          </w:p>
        </w:tc>
        <w:tc>
          <w:tcPr>
            <w:tcW w:w="131" w:type="pct"/>
            <w:vAlign w:val="bottom"/>
          </w:tcPr>
          <w:p w:rsidR="000B4119" w:rsidRPr="00EE7A86" w:rsidRDefault="000B4119" w:rsidP="000B4119">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31.8</w:t>
            </w:r>
          </w:p>
        </w:tc>
      </w:tr>
    </w:tbl>
    <w:p w:rsidR="000B4119" w:rsidRPr="00EE7A86" w:rsidRDefault="000B4119" w:rsidP="000B4119">
      <w:pPr>
        <w:pStyle w:val="Source"/>
        <w:spacing w:before="2520"/>
        <w:rPr>
          <w:color w:val="FFFFFF" w:themeColor="background1"/>
        </w:rPr>
      </w:pPr>
      <w:r w:rsidRPr="00EE7A86">
        <w:rPr>
          <w:color w:val="FFFFFF" w:themeColor="background1"/>
        </w:rPr>
        <w:t>Note: Bulk-billing incentives were introduced in 2003–04.</w:t>
      </w:r>
    </w:p>
    <w:p w:rsidR="00126CB9" w:rsidRPr="00227D7D" w:rsidRDefault="00126CB9" w:rsidP="00126CB9">
      <w:pPr>
        <w:pStyle w:val="Source"/>
      </w:pPr>
      <w:r w:rsidRPr="00227D7D">
        <w:t xml:space="preserve">Source: PBO analysis of </w:t>
      </w:r>
      <w:r w:rsidR="00DF7D43">
        <w:t>MBS</w:t>
      </w:r>
      <w:r w:rsidRPr="00227D7D">
        <w:t xml:space="preserve"> data from the Department of Human Services</w:t>
      </w:r>
      <w:r w:rsidR="002B6C3D">
        <w:t>, ABS and Treasury</w:t>
      </w:r>
      <w:r w:rsidRPr="00227D7D">
        <w:t>.</w:t>
      </w:r>
    </w:p>
    <w:p w:rsidR="00216865" w:rsidRPr="00227D7D" w:rsidRDefault="00216865" w:rsidP="00933C78">
      <w:pPr>
        <w:pStyle w:val="BodyText17ptAbove"/>
      </w:pPr>
      <w:r w:rsidRPr="00227D7D">
        <w:lastRenderedPageBreak/>
        <w:t xml:space="preserve">Because bulk billing incentives are additional payments for services already provided (and recorded against other </w:t>
      </w:r>
      <w:r w:rsidR="00DF7D43">
        <w:t>MBS</w:t>
      </w:r>
      <w:r w:rsidR="005D3CD0" w:rsidRPr="00227D7D">
        <w:t xml:space="preserve"> </w:t>
      </w:r>
      <w:r w:rsidRPr="00227D7D">
        <w:t xml:space="preserve">categories), it </w:t>
      </w:r>
      <w:r w:rsidR="003D2351" w:rsidRPr="00227D7D">
        <w:t xml:space="preserve">has not been </w:t>
      </w:r>
      <w:r w:rsidRPr="00227D7D">
        <w:t xml:space="preserve">possible to identify the benefit paid per service or number of services </w:t>
      </w:r>
      <w:r w:rsidR="00C244CA">
        <w:t>per person</w:t>
      </w:r>
      <w:r w:rsidR="00B734C5">
        <w:t xml:space="preserve"> for bulk billing.</w:t>
      </w:r>
    </w:p>
    <w:p w:rsidR="000A7A21" w:rsidRPr="00227D7D" w:rsidRDefault="007C3435" w:rsidP="000A7A21">
      <w:pPr>
        <w:pStyle w:val="BodyText"/>
      </w:pPr>
      <w:r>
        <w:t>S</w:t>
      </w:r>
      <w:r w:rsidR="000A7A21" w:rsidRPr="00227D7D">
        <w:t xml:space="preserve">pending </w:t>
      </w:r>
      <w:r w:rsidR="00C244CA">
        <w:t>per person</w:t>
      </w:r>
      <w:r w:rsidR="000A7A21" w:rsidRPr="00227D7D">
        <w:t xml:space="preserve"> on bulk billing incentives is projected to </w:t>
      </w:r>
      <w:r w:rsidR="00E36364">
        <w:t xml:space="preserve">grow </w:t>
      </w:r>
      <w:r w:rsidR="000A7A21" w:rsidRPr="00227D7D">
        <w:t xml:space="preserve">broadly in line with </w:t>
      </w:r>
      <w:r w:rsidR="00E36364">
        <w:t>GP expenditure, as most bulk billing is associated with GP attendances</w:t>
      </w:r>
      <w:r w:rsidR="000A7A21" w:rsidRPr="00227D7D">
        <w:t>.</w:t>
      </w:r>
    </w:p>
    <w:p w:rsidR="006F6101" w:rsidRPr="00227D7D" w:rsidRDefault="006F6101" w:rsidP="00826CC3">
      <w:pPr>
        <w:pStyle w:val="Heading2"/>
      </w:pPr>
      <w:bookmarkStart w:id="102" w:name="_Toc436050790"/>
      <w:r w:rsidRPr="00227D7D">
        <w:t>Specialist services</w:t>
      </w:r>
      <w:bookmarkEnd w:id="102"/>
    </w:p>
    <w:p w:rsidR="003D2351" w:rsidRPr="00227D7D" w:rsidRDefault="007C3435" w:rsidP="003D2351">
      <w:pPr>
        <w:pStyle w:val="BodyText"/>
      </w:pPr>
      <w:r>
        <w:t>S</w:t>
      </w:r>
      <w:r w:rsidR="007920E6" w:rsidRPr="00227D7D">
        <w:t xml:space="preserve">pending </w:t>
      </w:r>
      <w:r w:rsidR="00C244CA">
        <w:t>per person</w:t>
      </w:r>
      <w:r w:rsidR="007920E6" w:rsidRPr="00227D7D">
        <w:t xml:space="preserve"> on</w:t>
      </w:r>
      <w:r w:rsidR="000A12C8" w:rsidRPr="00227D7D">
        <w:t xml:space="preserve"> specialist services</w:t>
      </w:r>
      <w:r w:rsidR="00307702" w:rsidRPr="00701D20">
        <w:rPr>
          <w:rStyle w:val="FootnoteReference"/>
        </w:rPr>
        <w:footnoteReference w:id="23"/>
      </w:r>
      <w:r w:rsidR="000A12C8" w:rsidRPr="00227D7D">
        <w:t xml:space="preserve"> grew by 0.7</w:t>
      </w:r>
      <w:r w:rsidR="007920E6" w:rsidRPr="00227D7D">
        <w:t> per cent annually</w:t>
      </w:r>
      <w:r>
        <w:t xml:space="preserve"> in real terms</w:t>
      </w:r>
      <w:r w:rsidR="006A7DC3" w:rsidRPr="00227D7D">
        <w:t xml:space="preserve"> between</w:t>
      </w:r>
      <w:r w:rsidR="009D1411">
        <w:t xml:space="preserve"> </w:t>
      </w:r>
      <w:r w:rsidR="00244E23" w:rsidRPr="00227D7D">
        <w:t>1993</w:t>
      </w:r>
      <w:r w:rsidR="00B734C5">
        <w:t>–</w:t>
      </w:r>
      <w:r w:rsidR="00244E23" w:rsidRPr="00227D7D">
        <w:t>9</w:t>
      </w:r>
      <w:r w:rsidR="006A7DC3" w:rsidRPr="00227D7D">
        <w:t>4 and</w:t>
      </w:r>
      <w:r w:rsidR="00094450" w:rsidRPr="00227D7D">
        <w:t xml:space="preserve"> 2014</w:t>
      </w:r>
      <w:r w:rsidR="00B734C5">
        <w:t>–</w:t>
      </w:r>
      <w:r w:rsidR="00094450" w:rsidRPr="00227D7D">
        <w:t xml:space="preserve">15, </w:t>
      </w:r>
      <w:r w:rsidR="006B581A" w:rsidRPr="00227D7D">
        <w:t>accounting</w:t>
      </w:r>
      <w:r w:rsidR="00B95F33" w:rsidRPr="00227D7D">
        <w:t xml:space="preserve"> for </w:t>
      </w:r>
      <w:r w:rsidR="00C61834">
        <w:t>4</w:t>
      </w:r>
      <w:r w:rsidR="00C95D34">
        <w:t xml:space="preserve"> per cent of the </w:t>
      </w:r>
      <w:r w:rsidR="00C95D34" w:rsidRPr="00C675E9">
        <w:t xml:space="preserve">total </w:t>
      </w:r>
      <w:r>
        <w:t xml:space="preserve">real </w:t>
      </w:r>
      <w:r w:rsidR="006B581A" w:rsidRPr="00C675E9">
        <w:t>growth in spending</w:t>
      </w:r>
      <w:r w:rsidR="006B581A" w:rsidRPr="00227D7D">
        <w:t xml:space="preserve"> </w:t>
      </w:r>
      <w:r w:rsidR="00C244CA">
        <w:t>per person</w:t>
      </w:r>
      <w:r w:rsidR="006B581A" w:rsidRPr="00227D7D">
        <w:t xml:space="preserve"> </w:t>
      </w:r>
      <w:r w:rsidR="00862D2D" w:rsidRPr="00227D7D">
        <w:t xml:space="preserve">on </w:t>
      </w:r>
      <w:r w:rsidR="00DF7D43">
        <w:t>MBS</w:t>
      </w:r>
      <w:r w:rsidR="00862D2D" w:rsidRPr="00227D7D">
        <w:t xml:space="preserve"> </w:t>
      </w:r>
      <w:r w:rsidR="006B581A" w:rsidRPr="00227D7D">
        <w:t>over the period</w:t>
      </w:r>
      <w:r w:rsidR="00266F0A" w:rsidRPr="00227D7D">
        <w:t>.</w:t>
      </w:r>
      <w:r w:rsidR="009D1411">
        <w:t xml:space="preserve">  In 2014</w:t>
      </w:r>
      <w:r w:rsidR="00B734C5">
        <w:t>–</w:t>
      </w:r>
      <w:r w:rsidR="009D1411">
        <w:t xml:space="preserve">15, spending on specialist services </w:t>
      </w:r>
      <w:r w:rsidR="00D01656">
        <w:t>accounted for</w:t>
      </w:r>
      <w:r w:rsidR="009D1411">
        <w:t xml:space="preserve"> 10 per cent of </w:t>
      </w:r>
      <w:r w:rsidR="00DF7D43">
        <w:t>MBS</w:t>
      </w:r>
      <w:r w:rsidR="009D1411">
        <w:t xml:space="preserve"> spending.</w:t>
      </w:r>
      <w:r w:rsidR="00722A7D">
        <w:t xml:space="preserve">  </w:t>
      </w:r>
      <w:r w:rsidR="003D2351" w:rsidRPr="00227D7D">
        <w:t>From 1993</w:t>
      </w:r>
      <w:r w:rsidR="00B734C5">
        <w:t>–</w:t>
      </w:r>
      <w:r w:rsidR="003D2351" w:rsidRPr="00227D7D">
        <w:t>94 to 2003</w:t>
      </w:r>
      <w:r w:rsidR="00B734C5">
        <w:t>–</w:t>
      </w:r>
      <w:r w:rsidR="003D2351" w:rsidRPr="00227D7D">
        <w:t xml:space="preserve">04, spending on specialist services </w:t>
      </w:r>
      <w:r w:rsidR="00C244CA">
        <w:t>per person</w:t>
      </w:r>
      <w:r w:rsidR="003D2351" w:rsidRPr="00227D7D">
        <w:t xml:space="preserve"> contracted by 0.5 per cent annually </w:t>
      </w:r>
      <w:r>
        <w:t>in real terms</w:t>
      </w:r>
      <w:r w:rsidR="00591E69">
        <w:t xml:space="preserve"> </w:t>
      </w:r>
      <w:r w:rsidR="003D2351" w:rsidRPr="00227D7D">
        <w:t>(</w:t>
      </w:r>
      <w:r w:rsidR="00B734C5">
        <w:fldChar w:fldCharType="begin"/>
      </w:r>
      <w:r w:rsidR="00B734C5">
        <w:instrText xml:space="preserve"> REF _Ref436045068 \h </w:instrText>
      </w:r>
      <w:r w:rsidR="00B734C5">
        <w:fldChar w:fldCharType="separate"/>
      </w:r>
      <w:r w:rsidR="00235C48" w:rsidRPr="00B734C5">
        <w:t xml:space="preserve">Figure </w:t>
      </w:r>
      <w:r w:rsidR="00235C48">
        <w:rPr>
          <w:noProof/>
        </w:rPr>
        <w:t>3</w:t>
      </w:r>
      <w:r w:rsidR="00235C48" w:rsidRPr="00B734C5">
        <w:t>–</w:t>
      </w:r>
      <w:r w:rsidR="00235C48">
        <w:rPr>
          <w:noProof/>
        </w:rPr>
        <w:t>7</w:t>
      </w:r>
      <w:r w:rsidR="00B734C5">
        <w:fldChar w:fldCharType="end"/>
      </w:r>
      <w:r w:rsidR="003D2351" w:rsidRPr="00227D7D">
        <w:t xml:space="preserve">).  </w:t>
      </w:r>
      <w:r>
        <w:t>B</w:t>
      </w:r>
      <w:r w:rsidR="003D2351" w:rsidRPr="00227D7D">
        <w:t>enefits paid per service declined by 1.1 per cent annually</w:t>
      </w:r>
      <w:r>
        <w:t xml:space="preserve"> in real terms</w:t>
      </w:r>
      <w:r w:rsidR="000E7A36" w:rsidRPr="00227D7D">
        <w:t>,</w:t>
      </w:r>
      <w:r w:rsidR="003D2351" w:rsidRPr="00227D7D">
        <w:t xml:space="preserve"> as more </w:t>
      </w:r>
      <w:r w:rsidR="00094450" w:rsidRPr="00227D7D">
        <w:t>low</w:t>
      </w:r>
      <w:r w:rsidR="00DD26EB">
        <w:t>er</w:t>
      </w:r>
      <w:r w:rsidR="000E7A36" w:rsidRPr="00227D7D">
        <w:t>-</w:t>
      </w:r>
      <w:r w:rsidR="00094450" w:rsidRPr="00227D7D">
        <w:t>cost</w:t>
      </w:r>
      <w:r w:rsidR="003D2351" w:rsidRPr="00227D7D">
        <w:t xml:space="preserve"> services were accessed</w:t>
      </w:r>
      <w:r w:rsidR="000E7A36" w:rsidRPr="00227D7D">
        <w:t>.</w:t>
      </w:r>
      <w:r w:rsidR="00B734C5">
        <w:t xml:space="preserve"> </w:t>
      </w:r>
      <w:r w:rsidR="000E7A36" w:rsidRPr="00227D7D">
        <w:t xml:space="preserve"> This</w:t>
      </w:r>
      <w:r w:rsidR="003D2351" w:rsidRPr="00227D7D">
        <w:t xml:space="preserve"> more than offset the increase in services accessed </w:t>
      </w:r>
      <w:r w:rsidR="00C244CA">
        <w:t>per person</w:t>
      </w:r>
      <w:r w:rsidR="003D2351" w:rsidRPr="00227D7D">
        <w:t>, which grew by 0.</w:t>
      </w:r>
      <w:r w:rsidR="00BC71DE" w:rsidRPr="00227D7D">
        <w:t>6</w:t>
      </w:r>
      <w:r w:rsidR="003D2351" w:rsidRPr="00227D7D">
        <w:t> per cent annually.</w:t>
      </w:r>
    </w:p>
    <w:p w:rsidR="00B734C5" w:rsidRPr="00B734C5" w:rsidRDefault="00B734C5" w:rsidP="00B734C5">
      <w:pPr>
        <w:pStyle w:val="Caption"/>
      </w:pPr>
      <w:bookmarkStart w:id="103" w:name="_Ref436045068"/>
      <w:bookmarkStart w:id="104" w:name="_Toc436051007"/>
      <w:bookmarkStart w:id="105" w:name="_Toc436205229"/>
      <w:r w:rsidRPr="00B734C5">
        <w:t xml:space="preserve">Figure </w:t>
      </w:r>
      <w:fldSimple w:instr=" STYLEREF 1 \s ">
        <w:r w:rsidR="00235C48">
          <w:rPr>
            <w:noProof/>
          </w:rPr>
          <w:t>3</w:t>
        </w:r>
      </w:fldSimple>
      <w:r w:rsidRPr="00B734C5">
        <w:t>–</w:t>
      </w:r>
      <w:fldSimple w:instr=" SEQ Figure \* ARABIC \s 1 ">
        <w:r w:rsidR="00235C48">
          <w:rPr>
            <w:noProof/>
          </w:rPr>
          <w:t>7</w:t>
        </w:r>
      </w:fldSimple>
      <w:bookmarkEnd w:id="103"/>
      <w:r w:rsidRPr="00B734C5">
        <w:t>: Specialist services,</w:t>
      </w:r>
      <w:r>
        <w:t xml:space="preserve"> benefit paid per service (2014–</w:t>
      </w:r>
      <w:r w:rsidRPr="00B734C5">
        <w:t>15 dollars) and services per person</w:t>
      </w:r>
      <w:bookmarkEnd w:id="104"/>
      <w:bookmarkEnd w:id="105"/>
    </w:p>
    <w:tbl>
      <w:tblPr>
        <w:tblStyle w:val="TableGrid"/>
        <w:tblW w:w="6888" w:type="pct"/>
        <w:tblInd w:w="-1555" w:type="dxa"/>
        <w:tblLook w:val="0680" w:firstRow="0" w:lastRow="0" w:firstColumn="1" w:lastColumn="0" w:noHBand="1" w:noVBand="1"/>
      </w:tblPr>
      <w:tblGrid>
        <w:gridCol w:w="1533"/>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0"/>
        <w:gridCol w:w="300"/>
        <w:gridCol w:w="300"/>
        <w:gridCol w:w="300"/>
        <w:gridCol w:w="300"/>
        <w:gridCol w:w="300"/>
        <w:gridCol w:w="300"/>
        <w:gridCol w:w="300"/>
        <w:gridCol w:w="300"/>
        <w:gridCol w:w="300"/>
        <w:gridCol w:w="300"/>
        <w:gridCol w:w="300"/>
        <w:gridCol w:w="300"/>
        <w:gridCol w:w="300"/>
      </w:tblGrid>
      <w:tr w:rsidR="00A17EF8" w:rsidRPr="00EA3B45" w:rsidTr="00EE7A86">
        <w:trPr>
          <w:cantSplit/>
        </w:trPr>
        <w:tc>
          <w:tcPr>
            <w:cnfStyle w:val="001000000000" w:firstRow="0" w:lastRow="0" w:firstColumn="1" w:lastColumn="0" w:oddVBand="0" w:evenVBand="0" w:oddHBand="0" w:evenHBand="0" w:firstRowFirstColumn="0" w:firstRowLastColumn="0" w:lastRowFirstColumn="0" w:lastRowLastColumn="0"/>
            <w:tcW w:w="668" w:type="pct"/>
            <w:vAlign w:val="bottom"/>
          </w:tcPr>
          <w:p w:rsidR="00A17EF8" w:rsidRPr="00EE7A86" w:rsidRDefault="00A17EF8" w:rsidP="00A17EF8">
            <w:pPr>
              <w:spacing w:before="0" w:after="0" w:line="240" w:lineRule="auto"/>
              <w:ind w:left="0" w:right="57"/>
              <w:rPr>
                <w:rFonts w:ascii="Calibri" w:hAnsi="Calibri"/>
                <w:b/>
                <w:bCs/>
                <w:color w:val="FFFFFF" w:themeColor="background1"/>
                <w:sz w:val="10"/>
                <w:szCs w:val="10"/>
              </w:rPr>
            </w:pPr>
            <w:r w:rsidRPr="00EE7A86">
              <w:rPr>
                <w:rFonts w:ascii="Calibri" w:hAnsi="Calibri"/>
                <w:b/>
                <w:bCs/>
                <w:color w:val="FFFFFF" w:themeColor="background1"/>
                <w:sz w:val="10"/>
                <w:szCs w:val="10"/>
              </w:rPr>
              <w:t>Specialist services</w:t>
            </w:r>
          </w:p>
        </w:tc>
        <w:tc>
          <w:tcPr>
            <w:tcW w:w="131" w:type="pct"/>
            <w:vAlign w:val="bottom"/>
          </w:tcPr>
          <w:p w:rsidR="00A17EF8" w:rsidRPr="00EE7A86" w:rsidRDefault="002D6F50"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noProof/>
                <w:color w:val="FFFFFF" w:themeColor="background1"/>
              </w:rPr>
              <w:drawing>
                <wp:anchor distT="0" distB="0" distL="114300" distR="114300" simplePos="0" relativeHeight="251678720" behindDoc="0" locked="0" layoutInCell="1" allowOverlap="1" wp14:anchorId="0A592556" wp14:editId="18FA0E04">
                  <wp:simplePos x="0" y="0"/>
                  <wp:positionH relativeFrom="column">
                    <wp:posOffset>16510</wp:posOffset>
                  </wp:positionH>
                  <wp:positionV relativeFrom="paragraph">
                    <wp:posOffset>-1905</wp:posOffset>
                  </wp:positionV>
                  <wp:extent cx="5217795" cy="2244725"/>
                  <wp:effectExtent l="0" t="0" r="1905" b="3175"/>
                  <wp:wrapNone/>
                  <wp:docPr id="41" name="Picture 41"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217795" cy="2244725"/>
                          </a:xfrm>
                          <a:prstGeom prst="rect">
                            <a:avLst/>
                          </a:prstGeom>
                          <a:noFill/>
                        </pic:spPr>
                      </pic:pic>
                    </a:graphicData>
                  </a:graphic>
                  <wp14:sizeRelH relativeFrom="page">
                    <wp14:pctWidth>0</wp14:pctWidth>
                  </wp14:sizeRelH>
                  <wp14:sizeRelV relativeFrom="page">
                    <wp14:pctHeight>0</wp14:pctHeight>
                  </wp14:sizeRelV>
                </wp:anchor>
              </w:drawing>
            </w:r>
            <w:r w:rsidR="00A17EF8" w:rsidRPr="00EE7A86">
              <w:rPr>
                <w:rFonts w:ascii="Calibri" w:hAnsi="Calibri"/>
                <w:b/>
                <w:bCs/>
                <w:color w:val="FFFFFF" w:themeColor="background1"/>
                <w:sz w:val="10"/>
                <w:szCs w:val="10"/>
              </w:rPr>
              <w:t>1993-94</w:t>
            </w:r>
          </w:p>
        </w:tc>
        <w:tc>
          <w:tcPr>
            <w:tcW w:w="131" w:type="pct"/>
            <w:vAlign w:val="bottom"/>
          </w:tcPr>
          <w:p w:rsidR="00A17EF8" w:rsidRPr="00EE7A86" w:rsidRDefault="00A17EF8"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1994-95</w:t>
            </w:r>
          </w:p>
        </w:tc>
        <w:tc>
          <w:tcPr>
            <w:tcW w:w="131" w:type="pct"/>
            <w:vAlign w:val="bottom"/>
          </w:tcPr>
          <w:p w:rsidR="00A17EF8" w:rsidRPr="00EE7A86" w:rsidRDefault="00A17EF8"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1995-96</w:t>
            </w:r>
          </w:p>
        </w:tc>
        <w:tc>
          <w:tcPr>
            <w:tcW w:w="131" w:type="pct"/>
            <w:vAlign w:val="bottom"/>
          </w:tcPr>
          <w:p w:rsidR="00A17EF8" w:rsidRPr="00EE7A86" w:rsidRDefault="00A17EF8"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1996-97</w:t>
            </w:r>
          </w:p>
        </w:tc>
        <w:tc>
          <w:tcPr>
            <w:tcW w:w="131" w:type="pct"/>
            <w:vAlign w:val="bottom"/>
          </w:tcPr>
          <w:p w:rsidR="00A17EF8" w:rsidRPr="00EE7A86" w:rsidRDefault="00A17EF8"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1997-98</w:t>
            </w:r>
          </w:p>
        </w:tc>
        <w:tc>
          <w:tcPr>
            <w:tcW w:w="131" w:type="pct"/>
            <w:vAlign w:val="bottom"/>
          </w:tcPr>
          <w:p w:rsidR="00A17EF8" w:rsidRPr="00EE7A86" w:rsidRDefault="00A17EF8"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1998-99</w:t>
            </w:r>
          </w:p>
        </w:tc>
        <w:tc>
          <w:tcPr>
            <w:tcW w:w="131" w:type="pct"/>
            <w:vAlign w:val="bottom"/>
          </w:tcPr>
          <w:p w:rsidR="00A17EF8" w:rsidRPr="00EE7A86" w:rsidRDefault="00A17EF8"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1999-00</w:t>
            </w:r>
          </w:p>
        </w:tc>
        <w:tc>
          <w:tcPr>
            <w:tcW w:w="131" w:type="pct"/>
            <w:vAlign w:val="bottom"/>
          </w:tcPr>
          <w:p w:rsidR="00A17EF8" w:rsidRPr="00EE7A86" w:rsidRDefault="00A17EF8"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2000-01</w:t>
            </w:r>
          </w:p>
        </w:tc>
        <w:tc>
          <w:tcPr>
            <w:tcW w:w="131" w:type="pct"/>
            <w:vAlign w:val="bottom"/>
          </w:tcPr>
          <w:p w:rsidR="00A17EF8" w:rsidRPr="00EE7A86" w:rsidRDefault="00A17EF8"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2001-02</w:t>
            </w:r>
          </w:p>
        </w:tc>
        <w:tc>
          <w:tcPr>
            <w:tcW w:w="131" w:type="pct"/>
            <w:vAlign w:val="bottom"/>
          </w:tcPr>
          <w:p w:rsidR="00A17EF8" w:rsidRPr="00EE7A86" w:rsidRDefault="00A17EF8"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2002-03</w:t>
            </w:r>
          </w:p>
        </w:tc>
        <w:tc>
          <w:tcPr>
            <w:tcW w:w="131" w:type="pct"/>
            <w:vAlign w:val="bottom"/>
          </w:tcPr>
          <w:p w:rsidR="00A17EF8" w:rsidRPr="00EE7A86" w:rsidRDefault="00A17EF8"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2003-04</w:t>
            </w:r>
          </w:p>
        </w:tc>
        <w:tc>
          <w:tcPr>
            <w:tcW w:w="131" w:type="pct"/>
            <w:vAlign w:val="bottom"/>
          </w:tcPr>
          <w:p w:rsidR="00A17EF8" w:rsidRPr="00EE7A86" w:rsidRDefault="00A17EF8"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2004-05</w:t>
            </w:r>
          </w:p>
        </w:tc>
        <w:tc>
          <w:tcPr>
            <w:tcW w:w="131" w:type="pct"/>
            <w:vAlign w:val="bottom"/>
          </w:tcPr>
          <w:p w:rsidR="00A17EF8" w:rsidRPr="00EE7A86" w:rsidRDefault="00A17EF8"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2005-06</w:t>
            </w:r>
          </w:p>
        </w:tc>
        <w:tc>
          <w:tcPr>
            <w:tcW w:w="131" w:type="pct"/>
            <w:vAlign w:val="bottom"/>
          </w:tcPr>
          <w:p w:rsidR="00A17EF8" w:rsidRPr="00EE7A86" w:rsidRDefault="00A17EF8"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2006-07</w:t>
            </w:r>
          </w:p>
        </w:tc>
        <w:tc>
          <w:tcPr>
            <w:tcW w:w="131" w:type="pct"/>
            <w:vAlign w:val="bottom"/>
          </w:tcPr>
          <w:p w:rsidR="00A17EF8" w:rsidRPr="00EE7A86" w:rsidRDefault="00A17EF8"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2007-08</w:t>
            </w:r>
          </w:p>
        </w:tc>
        <w:tc>
          <w:tcPr>
            <w:tcW w:w="131" w:type="pct"/>
            <w:vAlign w:val="bottom"/>
          </w:tcPr>
          <w:p w:rsidR="00A17EF8" w:rsidRPr="00EE7A86" w:rsidRDefault="00A17EF8"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2008-09</w:t>
            </w:r>
          </w:p>
        </w:tc>
        <w:tc>
          <w:tcPr>
            <w:tcW w:w="131" w:type="pct"/>
            <w:vAlign w:val="bottom"/>
          </w:tcPr>
          <w:p w:rsidR="00A17EF8" w:rsidRPr="00EE7A86" w:rsidRDefault="00A17EF8"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2009-10</w:t>
            </w:r>
          </w:p>
        </w:tc>
        <w:tc>
          <w:tcPr>
            <w:tcW w:w="131" w:type="pct"/>
            <w:vAlign w:val="bottom"/>
          </w:tcPr>
          <w:p w:rsidR="00A17EF8" w:rsidRPr="00EE7A86" w:rsidRDefault="00A17EF8"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2010-11</w:t>
            </w:r>
          </w:p>
        </w:tc>
        <w:tc>
          <w:tcPr>
            <w:tcW w:w="131" w:type="pct"/>
            <w:vAlign w:val="bottom"/>
          </w:tcPr>
          <w:p w:rsidR="00A17EF8" w:rsidRPr="00EE7A86" w:rsidRDefault="00A17EF8"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2011-12</w:t>
            </w:r>
          </w:p>
        </w:tc>
        <w:tc>
          <w:tcPr>
            <w:tcW w:w="131" w:type="pct"/>
            <w:vAlign w:val="bottom"/>
          </w:tcPr>
          <w:p w:rsidR="00A17EF8" w:rsidRPr="00EE7A86" w:rsidRDefault="00A17EF8"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2012-13</w:t>
            </w:r>
          </w:p>
        </w:tc>
        <w:tc>
          <w:tcPr>
            <w:tcW w:w="131" w:type="pct"/>
            <w:vAlign w:val="bottom"/>
          </w:tcPr>
          <w:p w:rsidR="00A17EF8" w:rsidRPr="00EE7A86" w:rsidRDefault="00A17EF8"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2013-14</w:t>
            </w:r>
          </w:p>
        </w:tc>
        <w:tc>
          <w:tcPr>
            <w:tcW w:w="131" w:type="pct"/>
            <w:vAlign w:val="bottom"/>
          </w:tcPr>
          <w:p w:rsidR="00A17EF8" w:rsidRPr="00EE7A86" w:rsidRDefault="00A17EF8"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2014-15</w:t>
            </w:r>
          </w:p>
        </w:tc>
        <w:tc>
          <w:tcPr>
            <w:tcW w:w="131" w:type="pct"/>
            <w:vAlign w:val="bottom"/>
          </w:tcPr>
          <w:p w:rsidR="00A17EF8" w:rsidRPr="00EE7A86" w:rsidRDefault="00A17EF8"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2015-16</w:t>
            </w:r>
          </w:p>
        </w:tc>
        <w:tc>
          <w:tcPr>
            <w:tcW w:w="131" w:type="pct"/>
            <w:vAlign w:val="bottom"/>
          </w:tcPr>
          <w:p w:rsidR="00A17EF8" w:rsidRPr="00EE7A86" w:rsidRDefault="00A17EF8"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2016-17</w:t>
            </w:r>
          </w:p>
        </w:tc>
        <w:tc>
          <w:tcPr>
            <w:tcW w:w="131" w:type="pct"/>
            <w:vAlign w:val="bottom"/>
          </w:tcPr>
          <w:p w:rsidR="00A17EF8" w:rsidRPr="00EE7A86" w:rsidRDefault="00A17EF8"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2017-18</w:t>
            </w:r>
          </w:p>
        </w:tc>
        <w:tc>
          <w:tcPr>
            <w:tcW w:w="131" w:type="pct"/>
            <w:vAlign w:val="bottom"/>
          </w:tcPr>
          <w:p w:rsidR="00A17EF8" w:rsidRPr="00EE7A86" w:rsidRDefault="00A17EF8"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2018-19</w:t>
            </w:r>
          </w:p>
        </w:tc>
        <w:tc>
          <w:tcPr>
            <w:tcW w:w="131" w:type="pct"/>
            <w:vAlign w:val="bottom"/>
          </w:tcPr>
          <w:p w:rsidR="00A17EF8" w:rsidRPr="00EE7A86" w:rsidRDefault="00A17EF8"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2019-20</w:t>
            </w:r>
          </w:p>
        </w:tc>
        <w:tc>
          <w:tcPr>
            <w:tcW w:w="131" w:type="pct"/>
            <w:vAlign w:val="bottom"/>
          </w:tcPr>
          <w:p w:rsidR="00A17EF8" w:rsidRPr="00EE7A86" w:rsidRDefault="00A17EF8"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2020-21</w:t>
            </w:r>
          </w:p>
        </w:tc>
        <w:tc>
          <w:tcPr>
            <w:tcW w:w="131" w:type="pct"/>
            <w:vAlign w:val="bottom"/>
          </w:tcPr>
          <w:p w:rsidR="00A17EF8" w:rsidRPr="00EE7A86" w:rsidRDefault="00A17EF8"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2021-22</w:t>
            </w:r>
          </w:p>
        </w:tc>
        <w:tc>
          <w:tcPr>
            <w:tcW w:w="131" w:type="pct"/>
            <w:vAlign w:val="bottom"/>
          </w:tcPr>
          <w:p w:rsidR="00A17EF8" w:rsidRPr="00EE7A86" w:rsidRDefault="00A17EF8"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2022-23</w:t>
            </w:r>
          </w:p>
        </w:tc>
        <w:tc>
          <w:tcPr>
            <w:tcW w:w="131" w:type="pct"/>
            <w:vAlign w:val="bottom"/>
          </w:tcPr>
          <w:p w:rsidR="00A17EF8" w:rsidRPr="00EE7A86" w:rsidRDefault="00A17EF8"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2023-24</w:t>
            </w:r>
          </w:p>
        </w:tc>
        <w:tc>
          <w:tcPr>
            <w:tcW w:w="131" w:type="pct"/>
            <w:vAlign w:val="bottom"/>
          </w:tcPr>
          <w:p w:rsidR="00A17EF8" w:rsidRPr="00EE7A86" w:rsidRDefault="00A17EF8"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2024-25</w:t>
            </w:r>
          </w:p>
        </w:tc>
        <w:tc>
          <w:tcPr>
            <w:tcW w:w="131" w:type="pct"/>
            <w:vAlign w:val="bottom"/>
          </w:tcPr>
          <w:p w:rsidR="00A17EF8" w:rsidRPr="00EE7A86" w:rsidRDefault="00A17EF8" w:rsidP="00530CFF">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10"/>
                <w:szCs w:val="10"/>
              </w:rPr>
            </w:pPr>
            <w:r w:rsidRPr="00EE7A86">
              <w:rPr>
                <w:rFonts w:ascii="Calibri" w:hAnsi="Calibri"/>
                <w:b/>
                <w:bCs/>
                <w:color w:val="FFFFFF" w:themeColor="background1"/>
                <w:sz w:val="10"/>
                <w:szCs w:val="10"/>
              </w:rPr>
              <w:t>2025-26</w:t>
            </w:r>
          </w:p>
        </w:tc>
      </w:tr>
      <w:tr w:rsidR="00A17EF8" w:rsidRPr="0089586B" w:rsidTr="00EE7A86">
        <w:trPr>
          <w:cantSplit/>
        </w:trPr>
        <w:tc>
          <w:tcPr>
            <w:cnfStyle w:val="001000000000" w:firstRow="0" w:lastRow="0" w:firstColumn="1" w:lastColumn="0" w:oddVBand="0" w:evenVBand="0" w:oddHBand="0" w:evenHBand="0" w:firstRowFirstColumn="0" w:firstRowLastColumn="0" w:lastRowFirstColumn="0" w:lastRowLastColumn="0"/>
            <w:tcW w:w="668" w:type="pct"/>
            <w:vAlign w:val="bottom"/>
          </w:tcPr>
          <w:p w:rsidR="00A17EF8" w:rsidRPr="00EE7A86" w:rsidRDefault="00A17EF8" w:rsidP="00A17EF8">
            <w:pPr>
              <w:spacing w:before="0" w:after="0" w:line="240" w:lineRule="auto"/>
              <w:ind w:left="0" w:right="57"/>
              <w:rPr>
                <w:rFonts w:ascii="Calibri" w:hAnsi="Calibri"/>
                <w:color w:val="FFFFFF" w:themeColor="background1"/>
                <w:sz w:val="10"/>
                <w:szCs w:val="10"/>
              </w:rPr>
            </w:pPr>
            <w:r w:rsidRPr="00EE7A86">
              <w:rPr>
                <w:rFonts w:ascii="Calibri" w:hAnsi="Calibri"/>
                <w:color w:val="FFFFFF" w:themeColor="background1"/>
                <w:sz w:val="10"/>
                <w:szCs w:val="10"/>
              </w:rPr>
              <w:t>Benefit paid per service ($2014-15)</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85.7</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84.2</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82.1</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81.3</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82.1</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82.3</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81.7</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78.2</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77.0</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76.3</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76.7</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79.2</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78.6</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78.1</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79.3</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80.3</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81.0</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80.9</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81.2</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81.8</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80.9</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80.1</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79.0</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77.8</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76.5</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76.6</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76.7</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76.9</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77.0</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77.1</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77.2</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77.3</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77.4</w:t>
            </w:r>
          </w:p>
        </w:tc>
      </w:tr>
      <w:tr w:rsidR="00A17EF8" w:rsidRPr="0089586B" w:rsidTr="00EE7A86">
        <w:trPr>
          <w:cantSplit/>
        </w:trPr>
        <w:tc>
          <w:tcPr>
            <w:cnfStyle w:val="001000000000" w:firstRow="0" w:lastRow="0" w:firstColumn="1" w:lastColumn="0" w:oddVBand="0" w:evenVBand="0" w:oddHBand="0" w:evenHBand="0" w:firstRowFirstColumn="0" w:firstRowLastColumn="0" w:lastRowFirstColumn="0" w:lastRowLastColumn="0"/>
            <w:tcW w:w="668" w:type="pct"/>
            <w:vAlign w:val="bottom"/>
          </w:tcPr>
          <w:p w:rsidR="00A17EF8" w:rsidRPr="00EE7A86" w:rsidRDefault="00A17EF8" w:rsidP="00A17EF8">
            <w:pPr>
              <w:spacing w:before="0" w:after="0" w:line="240" w:lineRule="auto"/>
              <w:ind w:left="0" w:right="57"/>
              <w:rPr>
                <w:rFonts w:ascii="Calibri" w:hAnsi="Calibri"/>
                <w:color w:val="FFFFFF" w:themeColor="background1"/>
                <w:sz w:val="10"/>
                <w:szCs w:val="10"/>
              </w:rPr>
            </w:pPr>
            <w:r w:rsidRPr="00EE7A86">
              <w:rPr>
                <w:rFonts w:ascii="Calibri" w:hAnsi="Calibri"/>
                <w:color w:val="FFFFFF" w:themeColor="background1"/>
                <w:sz w:val="10"/>
                <w:szCs w:val="10"/>
              </w:rPr>
              <w:t>Number of services</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0.9</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0.9</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0.9</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0.9</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0.9</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0.9</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0.9</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0.9</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0.9</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1.0</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1.0</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1.0</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1.0</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1.0</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1.0</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1.0</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1.0</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1.0</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1.0</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1.1</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1.1</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1.1</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1.1</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1.1</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1.2</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1.2</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1.2</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1.2</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1.2</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1.3</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1.3</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1.3</w:t>
            </w:r>
          </w:p>
        </w:tc>
        <w:tc>
          <w:tcPr>
            <w:tcW w:w="131" w:type="pct"/>
            <w:vAlign w:val="bottom"/>
          </w:tcPr>
          <w:p w:rsidR="00A17EF8" w:rsidRPr="00EE7A86" w:rsidRDefault="00A17EF8" w:rsidP="00A17EF8">
            <w:pPr>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rFonts w:ascii="Calibri" w:hAnsi="Calibri"/>
                <w:color w:val="FFFFFF" w:themeColor="background1"/>
                <w:sz w:val="10"/>
                <w:szCs w:val="10"/>
              </w:rPr>
            </w:pPr>
            <w:r w:rsidRPr="00EE7A86">
              <w:rPr>
                <w:rFonts w:ascii="Calibri" w:hAnsi="Calibri"/>
                <w:color w:val="FFFFFF" w:themeColor="background1"/>
                <w:sz w:val="10"/>
                <w:szCs w:val="10"/>
              </w:rPr>
              <w:t>1.3</w:t>
            </w:r>
          </w:p>
        </w:tc>
      </w:tr>
    </w:tbl>
    <w:p w:rsidR="00126CB9" w:rsidRPr="00227D7D" w:rsidRDefault="00126CB9" w:rsidP="002D6F50">
      <w:pPr>
        <w:pStyle w:val="Source"/>
        <w:spacing w:before="3120"/>
      </w:pPr>
      <w:r w:rsidRPr="00227D7D">
        <w:t xml:space="preserve">Source: PBO analysis of </w:t>
      </w:r>
      <w:r w:rsidR="00DF7D43">
        <w:t>MBS</w:t>
      </w:r>
      <w:r w:rsidRPr="00227D7D">
        <w:t xml:space="preserve"> data from the Department of Human Services</w:t>
      </w:r>
      <w:r w:rsidR="002B6C3D">
        <w:t>, ABS and Treasury</w:t>
      </w:r>
      <w:r w:rsidRPr="00227D7D">
        <w:t>.</w:t>
      </w:r>
    </w:p>
    <w:p w:rsidR="00133E62" w:rsidRDefault="001229BC" w:rsidP="00933C78">
      <w:pPr>
        <w:pStyle w:val="BodyText17ptAbove"/>
        <w:sectPr w:rsidR="00133E62" w:rsidSect="00D216AD">
          <w:pgSz w:w="11907" w:h="16839" w:code="9"/>
          <w:pgMar w:top="1361" w:right="1797" w:bottom="1474" w:left="1797" w:header="283" w:footer="454" w:gutter="0"/>
          <w:cols w:space="708"/>
          <w:docGrid w:linePitch="360"/>
        </w:sectPr>
      </w:pPr>
      <w:r w:rsidRPr="00227D7D">
        <w:t>In 2003</w:t>
      </w:r>
      <w:r w:rsidR="00BB6229">
        <w:t>–</w:t>
      </w:r>
      <w:r w:rsidRPr="00227D7D">
        <w:t xml:space="preserve">04, the trend decline in </w:t>
      </w:r>
      <w:r w:rsidR="001D646F" w:rsidRPr="00227D7D">
        <w:t xml:space="preserve">benefits paid per </w:t>
      </w:r>
      <w:r w:rsidRPr="00227D7D">
        <w:t xml:space="preserve">service reversed, and spending </w:t>
      </w:r>
      <w:r w:rsidR="00C244CA">
        <w:t>per person</w:t>
      </w:r>
      <w:r w:rsidR="003C5DE3" w:rsidRPr="00227D7D">
        <w:t xml:space="preserve"> increased by </w:t>
      </w:r>
      <w:r w:rsidR="003F1A3F">
        <w:t>1.8</w:t>
      </w:r>
      <w:r w:rsidRPr="00227D7D">
        <w:t xml:space="preserve"> per cent </w:t>
      </w:r>
      <w:r w:rsidR="00826292" w:rsidRPr="00227D7D">
        <w:t xml:space="preserve">annually </w:t>
      </w:r>
      <w:r w:rsidR="007C3435">
        <w:t xml:space="preserve">in real terms </w:t>
      </w:r>
      <w:r w:rsidRPr="00227D7D">
        <w:t xml:space="preserve">over the following decade, partly due to changes to the Medicare Safety Net discussed </w:t>
      </w:r>
      <w:r w:rsidR="00BC71DE" w:rsidRPr="00227D7D">
        <w:t>in Section 3.</w:t>
      </w:r>
      <w:r w:rsidR="003F1A3F">
        <w:t>7</w:t>
      </w:r>
      <w:r w:rsidRPr="00227D7D">
        <w:t xml:space="preserve">.  Nevertheless, </w:t>
      </w:r>
      <w:r w:rsidR="00BC71DE" w:rsidRPr="00227D7D">
        <w:t xml:space="preserve">the </w:t>
      </w:r>
      <w:r w:rsidR="001D646F" w:rsidRPr="00227D7D">
        <w:t xml:space="preserve">benefit paid for </w:t>
      </w:r>
      <w:r w:rsidRPr="00227D7D">
        <w:t>specialist service</w:t>
      </w:r>
      <w:r w:rsidR="001D646F" w:rsidRPr="00227D7D">
        <w:t>s</w:t>
      </w:r>
      <w:r w:rsidRPr="00227D7D">
        <w:t xml:space="preserve"> remained </w:t>
      </w:r>
      <w:r w:rsidR="00BC71DE" w:rsidRPr="00227D7D">
        <w:t>6.5</w:t>
      </w:r>
      <w:r w:rsidR="001D646F" w:rsidRPr="00227D7D">
        <w:t xml:space="preserve"> per cent </w:t>
      </w:r>
      <w:r w:rsidRPr="00227D7D">
        <w:t xml:space="preserve">lower </w:t>
      </w:r>
      <w:r w:rsidR="008F794F" w:rsidRPr="00227D7D">
        <w:t xml:space="preserve">in real terms </w:t>
      </w:r>
      <w:r w:rsidRPr="00227D7D">
        <w:t>in 201</w:t>
      </w:r>
      <w:r w:rsidR="00BC71DE" w:rsidRPr="00227D7D">
        <w:t>4</w:t>
      </w:r>
      <w:r w:rsidR="00BB6229">
        <w:t>–</w:t>
      </w:r>
      <w:r w:rsidRPr="00227D7D">
        <w:t>1</w:t>
      </w:r>
      <w:r w:rsidR="00BC71DE" w:rsidRPr="00227D7D">
        <w:t>5</w:t>
      </w:r>
      <w:r w:rsidRPr="00227D7D">
        <w:t xml:space="preserve"> than </w:t>
      </w:r>
      <w:r w:rsidR="001D646F" w:rsidRPr="00227D7D">
        <w:t>it was in 1993</w:t>
      </w:r>
      <w:r w:rsidR="00BB6229">
        <w:t>–</w:t>
      </w:r>
      <w:r w:rsidR="001D646F" w:rsidRPr="00227D7D">
        <w:t>94</w:t>
      </w:r>
      <w:r w:rsidR="00BC71DE" w:rsidRPr="00227D7D">
        <w:t>, at least in p</w:t>
      </w:r>
      <w:r w:rsidR="005D3CD0" w:rsidRPr="00227D7D">
        <w:t>art due to the introduction of Medicare S</w:t>
      </w:r>
      <w:r w:rsidR="00BC71DE" w:rsidRPr="00227D7D">
        <w:t>afety</w:t>
      </w:r>
      <w:r w:rsidR="005D3CD0" w:rsidRPr="00227D7D">
        <w:t xml:space="preserve"> N</w:t>
      </w:r>
      <w:r w:rsidR="00BC71DE" w:rsidRPr="00227D7D">
        <w:t xml:space="preserve">et caps from </w:t>
      </w:r>
      <w:r w:rsidR="00C95D34">
        <w:t>1 January </w:t>
      </w:r>
      <w:r w:rsidR="00F20B39" w:rsidRPr="00227D7D">
        <w:t>2010</w:t>
      </w:r>
      <w:r w:rsidR="003B1855" w:rsidRPr="00227D7D">
        <w:t>.</w:t>
      </w:r>
    </w:p>
    <w:p w:rsidR="00C16CE6" w:rsidRDefault="007C3435" w:rsidP="000A7A21">
      <w:pPr>
        <w:pStyle w:val="BodyText"/>
      </w:pPr>
      <w:r>
        <w:lastRenderedPageBreak/>
        <w:t>S</w:t>
      </w:r>
      <w:r w:rsidR="000A7A21" w:rsidRPr="00227D7D">
        <w:t xml:space="preserve">pending </w:t>
      </w:r>
      <w:r w:rsidR="00C244CA">
        <w:t>per person</w:t>
      </w:r>
      <w:r w:rsidR="000A7A21" w:rsidRPr="00227D7D">
        <w:t xml:space="preserve"> on specialist services is projected to </w:t>
      </w:r>
      <w:r w:rsidR="00DD26EB">
        <w:t>increase</w:t>
      </w:r>
      <w:r w:rsidR="008807CE">
        <w:t xml:space="preserve"> to</w:t>
      </w:r>
      <w:r w:rsidR="000A7A21" w:rsidRPr="00227D7D">
        <w:t xml:space="preserve"> 1.</w:t>
      </w:r>
      <w:r w:rsidR="003F1A3F">
        <w:t>3</w:t>
      </w:r>
      <w:r w:rsidR="000A7A21" w:rsidRPr="00227D7D">
        <w:t xml:space="preserve"> per cent annually </w:t>
      </w:r>
      <w:r w:rsidR="00780075">
        <w:t xml:space="preserve">in real terms </w:t>
      </w:r>
      <w:r w:rsidR="000A7A21" w:rsidRPr="00227D7D">
        <w:t>between 2014</w:t>
      </w:r>
      <w:r w:rsidR="003975C6">
        <w:t>–</w:t>
      </w:r>
      <w:r w:rsidR="000A7A21" w:rsidRPr="00227D7D">
        <w:t>15 and 2025</w:t>
      </w:r>
      <w:r w:rsidR="003975C6">
        <w:t>–</w:t>
      </w:r>
      <w:r w:rsidR="000A7A21" w:rsidRPr="00227D7D">
        <w:t xml:space="preserve">26. </w:t>
      </w:r>
      <w:r w:rsidR="00431E36">
        <w:t xml:space="preserve"> </w:t>
      </w:r>
      <w:r w:rsidR="008807CE">
        <w:t>Growth in t</w:t>
      </w:r>
      <w:r w:rsidR="000A7A21" w:rsidRPr="00227D7D">
        <w:t xml:space="preserve">he number of services </w:t>
      </w:r>
      <w:r w:rsidR="00C244CA">
        <w:t>per person</w:t>
      </w:r>
      <w:r w:rsidR="000A7A21" w:rsidRPr="00227D7D">
        <w:t xml:space="preserve"> is projected to </w:t>
      </w:r>
      <w:r w:rsidR="008807CE">
        <w:t>accelerate to</w:t>
      </w:r>
      <w:r w:rsidR="000A7A21" w:rsidRPr="00227D7D">
        <w:t xml:space="preserve"> </w:t>
      </w:r>
      <w:r w:rsidR="003F1A3F">
        <w:t>1.6</w:t>
      </w:r>
      <w:r w:rsidR="000A7A21" w:rsidRPr="00227D7D">
        <w:t xml:space="preserve"> per cent annually, </w:t>
      </w:r>
      <w:r w:rsidR="00D06A24" w:rsidRPr="00227D7D">
        <w:t>driven by</w:t>
      </w:r>
      <w:r w:rsidR="001C3A76" w:rsidRPr="00227D7D">
        <w:t xml:space="preserve"> </w:t>
      </w:r>
      <w:r w:rsidR="008807CE">
        <w:t xml:space="preserve">the increasing </w:t>
      </w:r>
      <w:r w:rsidR="00D06A24" w:rsidRPr="00227D7D">
        <w:t xml:space="preserve">demand for </w:t>
      </w:r>
      <w:r w:rsidR="000A12C8" w:rsidRPr="00227D7D">
        <w:t xml:space="preserve">general </w:t>
      </w:r>
      <w:r w:rsidR="00D06A24" w:rsidRPr="00227D7D">
        <w:t>specialist and consultant physician attendances</w:t>
      </w:r>
      <w:r w:rsidR="00F25F19" w:rsidRPr="00227D7D">
        <w:t>, particularly by those aged 75 and over</w:t>
      </w:r>
      <w:r w:rsidR="000A7A21" w:rsidRPr="00227D7D">
        <w:t xml:space="preserve">. </w:t>
      </w:r>
      <w:r w:rsidR="00C95D34">
        <w:t xml:space="preserve"> </w:t>
      </w:r>
      <w:r w:rsidR="000A7A21" w:rsidRPr="00227D7D">
        <w:t>Th</w:t>
      </w:r>
      <w:r w:rsidR="00EB61ED">
        <w:t xml:space="preserve">e </w:t>
      </w:r>
      <w:proofErr w:type="gramStart"/>
      <w:r w:rsidR="000A7A21" w:rsidRPr="00227D7D">
        <w:t xml:space="preserve">benefits </w:t>
      </w:r>
      <w:r w:rsidR="00DF088B" w:rsidRPr="00227D7D">
        <w:t xml:space="preserve">paid </w:t>
      </w:r>
      <w:r w:rsidR="00C95D34">
        <w:t xml:space="preserve">per service </w:t>
      </w:r>
      <w:r w:rsidR="008807CE">
        <w:t>is</w:t>
      </w:r>
      <w:proofErr w:type="gramEnd"/>
      <w:r w:rsidR="008807CE">
        <w:t xml:space="preserve"> projected to decline by </w:t>
      </w:r>
      <w:r w:rsidR="003F1A3F">
        <w:t>0.3</w:t>
      </w:r>
      <w:r w:rsidR="00EE69F8">
        <w:t xml:space="preserve"> per cent annually </w:t>
      </w:r>
      <w:r w:rsidR="00780075">
        <w:t xml:space="preserve">in real terms </w:t>
      </w:r>
      <w:r w:rsidR="00DB564D" w:rsidRPr="00C675E9">
        <w:t>over the period</w:t>
      </w:r>
      <w:r w:rsidR="00EE69F8">
        <w:t xml:space="preserve">, reflecting </w:t>
      </w:r>
      <w:r w:rsidR="00DB564D" w:rsidRPr="00C675E9">
        <w:t xml:space="preserve">the </w:t>
      </w:r>
      <w:r w:rsidR="00C95D34" w:rsidRPr="00C675E9">
        <w:t xml:space="preserve">indexation </w:t>
      </w:r>
      <w:r w:rsidR="00DB564D" w:rsidRPr="00C675E9">
        <w:t xml:space="preserve">pause </w:t>
      </w:r>
      <w:r w:rsidR="00C95D34" w:rsidRPr="00C675E9">
        <w:t>from 2013</w:t>
      </w:r>
      <w:r w:rsidR="003975C6">
        <w:t>–</w:t>
      </w:r>
      <w:r w:rsidR="00C95D34" w:rsidRPr="00C675E9">
        <w:t>14 to 2017</w:t>
      </w:r>
      <w:r w:rsidR="003975C6">
        <w:t>–</w:t>
      </w:r>
      <w:r w:rsidR="00C95D34" w:rsidRPr="00C675E9">
        <w:t>18.  The decline in benefits paid per service also reflects</w:t>
      </w:r>
      <w:r w:rsidR="00DB564D" w:rsidRPr="00C675E9">
        <w:t xml:space="preserve"> </w:t>
      </w:r>
      <w:r w:rsidR="00125F89" w:rsidRPr="00C675E9">
        <w:t>the o</w:t>
      </w:r>
      <w:r w:rsidR="00125F89" w:rsidRPr="00227D7D">
        <w:t>ngoing impact of the Medicare Safety Net caps on the benefit paid over the medium term.</w:t>
      </w:r>
    </w:p>
    <w:p w:rsidR="00892DD2" w:rsidRPr="00227D7D" w:rsidRDefault="00892DD2" w:rsidP="00826CC3">
      <w:pPr>
        <w:pStyle w:val="Heading2"/>
      </w:pPr>
      <w:bookmarkStart w:id="106" w:name="_Toc433016374"/>
      <w:bookmarkStart w:id="107" w:name="_Toc433032865"/>
      <w:bookmarkStart w:id="108" w:name="_Toc433621274"/>
      <w:bookmarkStart w:id="109" w:name="_Toc433016375"/>
      <w:bookmarkStart w:id="110" w:name="_Toc433032866"/>
      <w:bookmarkStart w:id="111" w:name="_Toc433621275"/>
      <w:bookmarkStart w:id="112" w:name="_Toc433016376"/>
      <w:bookmarkStart w:id="113" w:name="_Toc433032867"/>
      <w:bookmarkStart w:id="114" w:name="_Toc433621276"/>
      <w:bookmarkStart w:id="115" w:name="_Toc433016377"/>
      <w:bookmarkStart w:id="116" w:name="_Toc433032868"/>
      <w:bookmarkStart w:id="117" w:name="_Toc433621277"/>
      <w:bookmarkStart w:id="118" w:name="_Toc433016379"/>
      <w:bookmarkStart w:id="119" w:name="_Toc433032870"/>
      <w:bookmarkStart w:id="120" w:name="_Toc433621279"/>
      <w:bookmarkStart w:id="121" w:name="_Toc433016380"/>
      <w:bookmarkStart w:id="122" w:name="_Toc433032871"/>
      <w:bookmarkStart w:id="123" w:name="_Toc433621280"/>
      <w:bookmarkStart w:id="124" w:name="_Ref418586421"/>
      <w:bookmarkStart w:id="125" w:name="_Ref418586428"/>
      <w:bookmarkStart w:id="126" w:name="_Toc436050791"/>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227D7D">
        <w:t>Medicare Safety Net</w:t>
      </w:r>
      <w:bookmarkEnd w:id="124"/>
      <w:bookmarkEnd w:id="125"/>
      <w:bookmarkEnd w:id="126"/>
    </w:p>
    <w:p w:rsidR="00272AC0" w:rsidRDefault="00272AC0" w:rsidP="00FE680C">
      <w:pPr>
        <w:pStyle w:val="BodyText"/>
      </w:pPr>
      <w:r>
        <w:t>Medicare safety net arrangements operate to assist individuals and families with high out</w:t>
      </w:r>
      <w:r w:rsidR="00273BB7">
        <w:noBreakHyphen/>
      </w:r>
      <w:r>
        <w:t>of</w:t>
      </w:r>
      <w:r w:rsidR="00273BB7">
        <w:noBreakHyphen/>
      </w:r>
      <w:r>
        <w:t>pocket costs for out-of-hospital services</w:t>
      </w:r>
      <w:r w:rsidR="00F04494">
        <w:t>.</w:t>
      </w:r>
      <w:r w:rsidRPr="00701D20">
        <w:rPr>
          <w:rStyle w:val="FootnoteReference"/>
        </w:rPr>
        <w:footnoteReference w:id="24"/>
      </w:r>
    </w:p>
    <w:p w:rsidR="00C70661" w:rsidRPr="00227D7D" w:rsidRDefault="007C2CB7" w:rsidP="00FE680C">
      <w:pPr>
        <w:pStyle w:val="BodyText"/>
      </w:pPr>
      <w:r>
        <w:t xml:space="preserve">The Original Medicare Safety Net </w:t>
      </w:r>
      <w:r w:rsidR="00272AC0">
        <w:t xml:space="preserve">(OMSN) </w:t>
      </w:r>
      <w:r>
        <w:t>was introduced in 1984 and increased the benefit paid for out-of-hospital services from 85 to 100 per cent of the Schedule</w:t>
      </w:r>
      <w:r w:rsidR="0095229C">
        <w:t xml:space="preserve"> F</w:t>
      </w:r>
      <w:r>
        <w:t>ee once the relevant threshold ha</w:t>
      </w:r>
      <w:r w:rsidR="00DB689B">
        <w:t>d</w:t>
      </w:r>
      <w:r>
        <w:t xml:space="preserve"> </w:t>
      </w:r>
      <w:r w:rsidR="00272AC0">
        <w:t xml:space="preserve">been </w:t>
      </w:r>
      <w:r>
        <w:t>met</w:t>
      </w:r>
      <w:r w:rsidR="00272AC0">
        <w:t xml:space="preserve"> in a calendar year</w:t>
      </w:r>
      <w:r>
        <w:t>.</w:t>
      </w:r>
    </w:p>
    <w:p w:rsidR="00A84FB4" w:rsidRPr="00227D7D" w:rsidRDefault="00A84FB4" w:rsidP="00FE680C">
      <w:pPr>
        <w:pStyle w:val="BodyText"/>
      </w:pPr>
      <w:r w:rsidRPr="00227D7D">
        <w:t>Changes</w:t>
      </w:r>
      <w:r w:rsidR="004D5658" w:rsidRPr="00227D7D">
        <w:t xml:space="preserve"> made in 2003</w:t>
      </w:r>
      <w:r w:rsidR="00013B07">
        <w:t>–</w:t>
      </w:r>
      <w:r w:rsidRPr="00227D7D">
        <w:t>04 and 2004</w:t>
      </w:r>
      <w:r w:rsidR="00013B07">
        <w:t>–</w:t>
      </w:r>
      <w:r w:rsidRPr="00227D7D">
        <w:t xml:space="preserve">05 </w:t>
      </w:r>
      <w:r w:rsidR="00DC63BF" w:rsidRPr="00227D7D">
        <w:t xml:space="preserve">introduced the Extended Medicare Safety Net </w:t>
      </w:r>
      <w:r w:rsidR="004F19A1">
        <w:t>(EMSN)</w:t>
      </w:r>
      <w:r w:rsidR="00272AC0">
        <w:t>.  EMSN benefits, paid in addition to the standard MBS</w:t>
      </w:r>
      <w:r w:rsidR="0095229C">
        <w:t xml:space="preserve"> benefit and any benefit paid through the OMSN, were</w:t>
      </w:r>
      <w:r w:rsidR="00602816">
        <w:t xml:space="preserve"> </w:t>
      </w:r>
      <w:r w:rsidR="00DC63BF" w:rsidRPr="00227D7D">
        <w:t>available to anyone once a threshold level of out-of-pocket costs was reached</w:t>
      </w:r>
      <w:r w:rsidR="00266F0A" w:rsidRPr="00227D7D">
        <w:t xml:space="preserve">.  </w:t>
      </w:r>
      <w:r w:rsidR="0051124E" w:rsidRPr="00227D7D">
        <w:t xml:space="preserve">In practice, this meant that once the </w:t>
      </w:r>
      <w:r w:rsidR="00272AC0">
        <w:t xml:space="preserve">relevant </w:t>
      </w:r>
      <w:r w:rsidR="0095229C">
        <w:t xml:space="preserve">EMSN </w:t>
      </w:r>
      <w:r w:rsidR="0051124E" w:rsidRPr="00227D7D">
        <w:t xml:space="preserve">threshold was </w:t>
      </w:r>
      <w:r w:rsidR="0051124E" w:rsidRPr="00326162">
        <w:t>reached</w:t>
      </w:r>
      <w:r w:rsidR="004F19A1" w:rsidRPr="00326162">
        <w:t xml:space="preserve"> in a calendar year</w:t>
      </w:r>
      <w:r w:rsidR="0051124E" w:rsidRPr="00326162">
        <w:t xml:space="preserve">, </w:t>
      </w:r>
      <w:r w:rsidR="0018523A" w:rsidRPr="00326162">
        <w:t>80 per cent</w:t>
      </w:r>
      <w:r w:rsidR="004F19A1" w:rsidRPr="00326162">
        <w:t xml:space="preserve"> of</w:t>
      </w:r>
      <w:r w:rsidR="0018523A">
        <w:t xml:space="preserve"> </w:t>
      </w:r>
      <w:r w:rsidR="0095229C">
        <w:t xml:space="preserve">out-of-hospital </w:t>
      </w:r>
      <w:r w:rsidR="0051124E" w:rsidRPr="00227D7D">
        <w:t xml:space="preserve">patient </w:t>
      </w:r>
      <w:r w:rsidR="001D646F" w:rsidRPr="00227D7D">
        <w:t>expenses</w:t>
      </w:r>
      <w:r w:rsidR="0051124E" w:rsidRPr="00227D7D">
        <w:t xml:space="preserve"> were reimbursed,</w:t>
      </w:r>
      <w:r w:rsidRPr="00227D7D">
        <w:t xml:space="preserve"> so that benefits were paid </w:t>
      </w:r>
      <w:r w:rsidR="0051124E" w:rsidRPr="00227D7D">
        <w:t xml:space="preserve">even </w:t>
      </w:r>
      <w:r w:rsidRPr="00227D7D">
        <w:t xml:space="preserve">when providers charged </w:t>
      </w:r>
      <w:r w:rsidR="0051124E" w:rsidRPr="00227D7D">
        <w:t xml:space="preserve">substantially </w:t>
      </w:r>
      <w:r w:rsidR="00BC5310" w:rsidRPr="00227D7D">
        <w:t>more than the Schedule F</w:t>
      </w:r>
      <w:r w:rsidRPr="00227D7D">
        <w:t>ee</w:t>
      </w:r>
      <w:r w:rsidR="004D5658" w:rsidRPr="00227D7D">
        <w:t>.</w:t>
      </w:r>
    </w:p>
    <w:p w:rsidR="00FE680C" w:rsidRPr="00227D7D" w:rsidRDefault="00FE680C" w:rsidP="00FE680C">
      <w:pPr>
        <w:pStyle w:val="BodyText"/>
      </w:pPr>
      <w:r w:rsidRPr="004943CE">
        <w:t xml:space="preserve">In response, the </w:t>
      </w:r>
      <w:r w:rsidR="009F0AF7">
        <w:t xml:space="preserve">Australian </w:t>
      </w:r>
      <w:r w:rsidRPr="004943CE">
        <w:t>Government</w:t>
      </w:r>
      <w:r w:rsidR="00775353" w:rsidRPr="004943CE">
        <w:t xml:space="preserve"> progressively </w:t>
      </w:r>
      <w:r w:rsidRPr="004943CE">
        <w:t xml:space="preserve">introduced </w:t>
      </w:r>
      <w:r w:rsidR="00775353" w:rsidRPr="004943CE">
        <w:t xml:space="preserve">a range of </w:t>
      </w:r>
      <w:r w:rsidRPr="00271864">
        <w:t>Extended Medicare Safety Net</w:t>
      </w:r>
      <w:r w:rsidRPr="004943CE">
        <w:t xml:space="preserve"> </w:t>
      </w:r>
      <w:r w:rsidR="00D27D00">
        <w:t>benefit c</w:t>
      </w:r>
      <w:r w:rsidRPr="004943CE">
        <w:t>ap</w:t>
      </w:r>
      <w:r w:rsidR="00775353" w:rsidRPr="004943CE">
        <w:t>s</w:t>
      </w:r>
      <w:r w:rsidRPr="004943CE">
        <w:t xml:space="preserve"> </w:t>
      </w:r>
      <w:r w:rsidR="00775353" w:rsidRPr="004943CE">
        <w:t xml:space="preserve">from </w:t>
      </w:r>
      <w:r w:rsidRPr="004943CE">
        <w:t>1 January 2010</w:t>
      </w:r>
      <w:r w:rsidR="00695AFB" w:rsidRPr="004943CE">
        <w:t>, which limit</w:t>
      </w:r>
      <w:r w:rsidRPr="004943CE">
        <w:t xml:space="preserve"> the out</w:t>
      </w:r>
      <w:r w:rsidR="008E5F95" w:rsidRPr="004943CE">
        <w:noBreakHyphen/>
      </w:r>
      <w:r w:rsidRPr="004943CE">
        <w:t>of</w:t>
      </w:r>
      <w:r w:rsidR="008E5F95" w:rsidRPr="004943CE">
        <w:noBreakHyphen/>
      </w:r>
      <w:r w:rsidRPr="004943CE">
        <w:t xml:space="preserve">pocket expenses </w:t>
      </w:r>
      <w:r w:rsidR="00DF7D43" w:rsidRPr="004943CE">
        <w:t>the MBS</w:t>
      </w:r>
      <w:r w:rsidRPr="004943CE">
        <w:t xml:space="preserve"> will cover for certain services</w:t>
      </w:r>
      <w:r w:rsidR="008E5F95" w:rsidRPr="004943CE">
        <w:t>.</w:t>
      </w:r>
      <w:r w:rsidR="0018523A" w:rsidRPr="004943CE">
        <w:t xml:space="preserve">  </w:t>
      </w:r>
      <w:r w:rsidR="0001657B" w:rsidRPr="004943CE">
        <w:t>The general threshold for out-of-pocket costs for the EMSN was increased to $2,000 in 2013</w:t>
      </w:r>
      <w:r w:rsidR="00344A88">
        <w:t>–</w:t>
      </w:r>
      <w:r w:rsidR="0001657B" w:rsidRPr="004943CE">
        <w:t xml:space="preserve">14.  </w:t>
      </w:r>
      <w:r w:rsidR="0018523A" w:rsidRPr="004943CE">
        <w:t xml:space="preserve">The </w:t>
      </w:r>
      <w:r w:rsidR="009F0AF7">
        <w:t xml:space="preserve">Australian </w:t>
      </w:r>
      <w:r w:rsidR="0018523A" w:rsidRPr="004943CE">
        <w:t xml:space="preserve">Government has announced </w:t>
      </w:r>
      <w:r w:rsidR="006A3A71" w:rsidRPr="004943CE">
        <w:t xml:space="preserve">further tightening of the </w:t>
      </w:r>
      <w:r w:rsidR="009479F8" w:rsidRPr="004943CE">
        <w:t>caps while at the same time combining</w:t>
      </w:r>
      <w:r w:rsidR="006A3A71" w:rsidRPr="004943CE">
        <w:t xml:space="preserve"> the </w:t>
      </w:r>
      <w:r w:rsidR="0095229C" w:rsidRPr="004943CE">
        <w:t>O</w:t>
      </w:r>
      <w:r w:rsidR="006A3A71" w:rsidRPr="004943CE">
        <w:t xml:space="preserve">MSN and EMSN into one new Medicare Safety Net </w:t>
      </w:r>
      <w:r w:rsidR="0018523A" w:rsidRPr="004943CE">
        <w:t>from 1 July 2016</w:t>
      </w:r>
      <w:r w:rsidR="00344A88">
        <w:t>.</w:t>
      </w:r>
      <w:r w:rsidR="0018523A" w:rsidRPr="00701D20">
        <w:rPr>
          <w:rStyle w:val="FootnoteReference"/>
        </w:rPr>
        <w:footnoteReference w:id="25"/>
      </w:r>
    </w:p>
    <w:p w:rsidR="00D216AD" w:rsidRDefault="008C0C45" w:rsidP="00933C78">
      <w:pPr>
        <w:pStyle w:val="BodyText"/>
      </w:pPr>
      <w:r>
        <w:t>Due to data limitations</w:t>
      </w:r>
      <w:r w:rsidR="004B1C2C">
        <w:t>,</w:t>
      </w:r>
      <w:r>
        <w:t xml:space="preserve"> s</w:t>
      </w:r>
      <w:r w:rsidR="00346287" w:rsidRPr="00227D7D">
        <w:t xml:space="preserve">pending associated with the </w:t>
      </w:r>
      <w:r w:rsidR="0095229C">
        <w:t>OMSN</w:t>
      </w:r>
      <w:r w:rsidR="00346287" w:rsidRPr="00227D7D">
        <w:t xml:space="preserve"> and </w:t>
      </w:r>
      <w:r w:rsidR="0095229C">
        <w:t>EMSN</w:t>
      </w:r>
      <w:r w:rsidR="00346287" w:rsidRPr="00227D7D">
        <w:t xml:space="preserve"> has not been projected separately</w:t>
      </w:r>
      <w:r w:rsidR="004B1C2C">
        <w:t>, but</w:t>
      </w:r>
      <w:r>
        <w:t xml:space="preserve"> is instead included in the projections for each individual category</w:t>
      </w:r>
      <w:r w:rsidR="00346287" w:rsidRPr="00227D7D">
        <w:t>.</w:t>
      </w:r>
    </w:p>
    <w:p w:rsidR="00D216AD" w:rsidRDefault="00D216AD" w:rsidP="00933C78">
      <w:pPr>
        <w:pStyle w:val="BodyText"/>
        <w:sectPr w:rsidR="00D216AD" w:rsidSect="00D216AD">
          <w:pgSz w:w="11907" w:h="16839" w:code="9"/>
          <w:pgMar w:top="1361" w:right="1797" w:bottom="1474" w:left="1797" w:header="283" w:footer="454" w:gutter="0"/>
          <w:cols w:space="708"/>
          <w:docGrid w:linePitch="360"/>
        </w:sectPr>
      </w:pPr>
    </w:p>
    <w:p w:rsidR="009F4B39" w:rsidRDefault="009F4B39" w:rsidP="009F4B39">
      <w:pPr>
        <w:pStyle w:val="Heading8"/>
      </w:pPr>
      <w:bookmarkStart w:id="127" w:name="_Toc411521683"/>
      <w:r>
        <w:lastRenderedPageBreak/>
        <w:t xml:space="preserve"> </w:t>
      </w:r>
      <w:bookmarkStart w:id="128" w:name="_Ref436047766"/>
      <w:bookmarkStart w:id="129" w:name="_Toc436050987"/>
      <w:bookmarkStart w:id="130" w:name="_Toc436205171"/>
      <w:bookmarkStart w:id="131" w:name="_Toc436205209"/>
      <w:r>
        <w:t xml:space="preserve">– </w:t>
      </w:r>
      <w:r w:rsidRPr="009F4B39">
        <w:t>PBO categories for analysis of the Medicare Benefits Schedule</w:t>
      </w:r>
      <w:bookmarkEnd w:id="128"/>
      <w:bookmarkEnd w:id="129"/>
      <w:bookmarkEnd w:id="130"/>
      <w:bookmarkEnd w:id="131"/>
    </w:p>
    <w:bookmarkEnd w:id="127"/>
    <w:p w:rsidR="00C833E0" w:rsidRPr="00227D7D" w:rsidRDefault="00C833E0" w:rsidP="00C833E0">
      <w:pPr>
        <w:pStyle w:val="BodyText"/>
      </w:pPr>
      <w:r w:rsidRPr="00227D7D">
        <w:t>Analysis of historic spending on the Medicare Benefits Schedule (</w:t>
      </w:r>
      <w:r w:rsidR="00DF7D43">
        <w:t>MBS</w:t>
      </w:r>
      <w:r w:rsidRPr="00227D7D">
        <w:t xml:space="preserve">) has been based on the </w:t>
      </w:r>
      <w:r w:rsidRPr="00296721">
        <w:t>s</w:t>
      </w:r>
      <w:r w:rsidR="00AC19F1" w:rsidRPr="00296721">
        <w:t>ix</w:t>
      </w:r>
      <w:r w:rsidRPr="00F248B4">
        <w:t xml:space="preserve"> categories</w:t>
      </w:r>
      <w:r w:rsidR="00D35C32" w:rsidRPr="00F248B4">
        <w:t xml:space="preserve"> detailed in </w:t>
      </w:r>
      <w:r w:rsidR="00781D6D">
        <w:fldChar w:fldCharType="begin"/>
      </w:r>
      <w:r w:rsidR="00781D6D">
        <w:instrText xml:space="preserve"> REF _Ref436046479 \h </w:instrText>
      </w:r>
      <w:r w:rsidR="00781D6D">
        <w:fldChar w:fldCharType="separate"/>
      </w:r>
      <w:r w:rsidR="00235C48" w:rsidRPr="00781D6D">
        <w:t xml:space="preserve">Table </w:t>
      </w:r>
      <w:r w:rsidR="00235C48">
        <w:rPr>
          <w:noProof/>
        </w:rPr>
        <w:t>A</w:t>
      </w:r>
      <w:r w:rsidR="00235C48" w:rsidRPr="00781D6D">
        <w:t>‒</w:t>
      </w:r>
      <w:r w:rsidR="00235C48">
        <w:rPr>
          <w:noProof/>
        </w:rPr>
        <w:t>1</w:t>
      </w:r>
      <w:r w:rsidR="00781D6D">
        <w:fldChar w:fldCharType="end"/>
      </w:r>
      <w:r w:rsidR="00266F0A" w:rsidRPr="00F248B4">
        <w:t xml:space="preserve">.  </w:t>
      </w:r>
      <w:r w:rsidRPr="00F248B4">
        <w:t xml:space="preserve">The PBO has </w:t>
      </w:r>
      <w:r w:rsidR="00AC19F1" w:rsidRPr="00F248B4">
        <w:t xml:space="preserve">aggregated </w:t>
      </w:r>
      <w:r w:rsidR="00DF7D43" w:rsidRPr="0078208F">
        <w:t>MBS</w:t>
      </w:r>
      <w:r w:rsidRPr="0078208F">
        <w:t xml:space="preserve"> </w:t>
      </w:r>
      <w:r w:rsidR="00AC19F1" w:rsidRPr="0078208F">
        <w:t xml:space="preserve">services </w:t>
      </w:r>
      <w:r w:rsidRPr="0078208F">
        <w:t xml:space="preserve">to </w:t>
      </w:r>
      <w:r w:rsidR="0007462F" w:rsidRPr="0078208F">
        <w:t>allow a general</w:t>
      </w:r>
      <w:r w:rsidR="0007462F" w:rsidRPr="00227D7D">
        <w:t xml:space="preserve"> analysis of the drivers of spending trends and initiatives based on the purpose of the service provided, </w:t>
      </w:r>
      <w:r w:rsidR="00834215">
        <w:t>and/</w:t>
      </w:r>
      <w:r w:rsidR="0007462F" w:rsidRPr="00227D7D">
        <w:t>or the type of practitioner delivering the service.</w:t>
      </w:r>
    </w:p>
    <w:p w:rsidR="00C833E0" w:rsidRPr="00227D7D" w:rsidRDefault="00C833E0" w:rsidP="00781D6D">
      <w:pPr>
        <w:pStyle w:val="BodyText"/>
        <w:keepNext/>
      </w:pPr>
      <w:r w:rsidRPr="00227D7D">
        <w:t xml:space="preserve">The PBO categories are largely based on the </w:t>
      </w:r>
      <w:r w:rsidR="00DF7D43">
        <w:t>MBS</w:t>
      </w:r>
      <w:r w:rsidRPr="00227D7D">
        <w:t xml:space="preserve"> Broad Type of Services (BTOS)</w:t>
      </w:r>
      <w:r w:rsidR="009113AA" w:rsidRPr="00227D7D">
        <w:t xml:space="preserve"> which has 17 classifications. </w:t>
      </w:r>
      <w:r w:rsidR="00E5265C" w:rsidRPr="00227D7D">
        <w:t xml:space="preserve"> </w:t>
      </w:r>
      <w:r w:rsidR="009113AA" w:rsidRPr="00227D7D">
        <w:t>A</w:t>
      </w:r>
      <w:r w:rsidR="00D35C32" w:rsidRPr="00227D7D">
        <w:t xml:space="preserve"> new </w:t>
      </w:r>
      <w:r w:rsidRPr="00227D7D">
        <w:t>grouping</w:t>
      </w:r>
      <w:r w:rsidR="009113AA" w:rsidRPr="00227D7D">
        <w:t xml:space="preserve"> has been added for bulk billing incentives, and some </w:t>
      </w:r>
      <w:r w:rsidR="00DF7D43">
        <w:t>MBS</w:t>
      </w:r>
      <w:r w:rsidR="009113AA" w:rsidRPr="00227D7D">
        <w:t xml:space="preserve"> categories have been grouped differently</w:t>
      </w:r>
      <w:r w:rsidR="00266F0A" w:rsidRPr="00227D7D">
        <w:t xml:space="preserve">.  </w:t>
      </w:r>
      <w:r w:rsidRPr="00227D7D">
        <w:t xml:space="preserve">Definitions </w:t>
      </w:r>
      <w:r w:rsidR="00834215">
        <w:t>of</w:t>
      </w:r>
      <w:r w:rsidR="00834215" w:rsidRPr="00227D7D">
        <w:t xml:space="preserve"> </w:t>
      </w:r>
      <w:r w:rsidRPr="00227D7D">
        <w:t>the PBO categories are shown below</w:t>
      </w:r>
      <w:r w:rsidR="00D26867" w:rsidRPr="00227D7D">
        <w:t>.</w:t>
      </w:r>
    </w:p>
    <w:p w:rsidR="00781D6D" w:rsidRPr="00781D6D" w:rsidRDefault="00781D6D" w:rsidP="00781D6D">
      <w:pPr>
        <w:pStyle w:val="Caption"/>
      </w:pPr>
      <w:bookmarkStart w:id="132" w:name="_Ref436046479"/>
      <w:r w:rsidRPr="00781D6D">
        <w:t xml:space="preserve">Table </w:t>
      </w:r>
      <w:fldSimple w:instr=" STYLEREF 8 \s ">
        <w:r w:rsidR="00235C48">
          <w:rPr>
            <w:noProof/>
          </w:rPr>
          <w:t>A</w:t>
        </w:r>
      </w:fldSimple>
      <w:r w:rsidRPr="00781D6D">
        <w:t>‒</w:t>
      </w:r>
      <w:fldSimple w:instr=" SEQ AppendixTable\s 8 ">
        <w:r w:rsidR="00235C48">
          <w:rPr>
            <w:noProof/>
          </w:rPr>
          <w:t>1</w:t>
        </w:r>
      </w:fldSimple>
      <w:bookmarkEnd w:id="132"/>
      <w:r w:rsidRPr="00781D6D">
        <w:t>: PBO categories</w:t>
      </w:r>
    </w:p>
    <w:tbl>
      <w:tblPr>
        <w:tblStyle w:val="TableGrid"/>
        <w:tblW w:w="5000" w:type="pct"/>
        <w:tblLook w:val="04A0" w:firstRow="1" w:lastRow="0" w:firstColumn="1" w:lastColumn="0" w:noHBand="0" w:noVBand="1"/>
      </w:tblPr>
      <w:tblGrid>
        <w:gridCol w:w="2476"/>
        <w:gridCol w:w="5837"/>
      </w:tblGrid>
      <w:tr w:rsidR="00C833E0" w:rsidRPr="00227D7D" w:rsidTr="00C833E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89" w:type="pct"/>
          </w:tcPr>
          <w:p w:rsidR="00C833E0" w:rsidRPr="00227D7D" w:rsidRDefault="00C833E0" w:rsidP="00C833E0">
            <w:pPr>
              <w:pStyle w:val="TableHeading"/>
              <w:rPr>
                <w:rFonts w:ascii="Arial" w:hAnsi="Arial" w:cs="Arial"/>
                <w:sz w:val="16"/>
                <w:szCs w:val="16"/>
              </w:rPr>
            </w:pPr>
            <w:r w:rsidRPr="00227D7D">
              <w:rPr>
                <w:rFonts w:ascii="Arial" w:hAnsi="Arial" w:cs="Arial"/>
                <w:sz w:val="16"/>
                <w:szCs w:val="16"/>
              </w:rPr>
              <w:t xml:space="preserve">PBO </w:t>
            </w:r>
            <w:r w:rsidR="00DF7D43">
              <w:rPr>
                <w:rFonts w:ascii="Arial" w:hAnsi="Arial" w:cs="Arial"/>
                <w:sz w:val="16"/>
                <w:szCs w:val="16"/>
              </w:rPr>
              <w:t>MBS</w:t>
            </w:r>
            <w:r w:rsidRPr="00227D7D">
              <w:rPr>
                <w:rFonts w:ascii="Arial" w:hAnsi="Arial" w:cs="Arial"/>
                <w:sz w:val="16"/>
                <w:szCs w:val="16"/>
              </w:rPr>
              <w:t xml:space="preserve"> Category</w:t>
            </w:r>
          </w:p>
        </w:tc>
        <w:tc>
          <w:tcPr>
            <w:tcW w:w="3511" w:type="pct"/>
          </w:tcPr>
          <w:p w:rsidR="00C833E0" w:rsidRPr="00227D7D" w:rsidRDefault="00DF7D43" w:rsidP="003D6109">
            <w:pPr>
              <w:pStyle w:val="TableHeadingCentred"/>
              <w:jc w:val="left"/>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MBS</w:t>
            </w:r>
            <w:r w:rsidR="00C833E0" w:rsidRPr="00227D7D">
              <w:rPr>
                <w:rFonts w:ascii="Arial" w:hAnsi="Arial" w:cs="Arial"/>
                <w:sz w:val="16"/>
                <w:szCs w:val="16"/>
              </w:rPr>
              <w:t xml:space="preserve"> Groups/Subgroups/Items</w:t>
            </w:r>
          </w:p>
        </w:tc>
      </w:tr>
      <w:tr w:rsidR="00C833E0" w:rsidRPr="00227D7D" w:rsidTr="00C83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9" w:type="pct"/>
          </w:tcPr>
          <w:p w:rsidR="00C833E0" w:rsidRPr="00227D7D" w:rsidRDefault="00C833E0" w:rsidP="00C414ED">
            <w:pPr>
              <w:pStyle w:val="TableText"/>
            </w:pPr>
            <w:r w:rsidRPr="00227D7D">
              <w:t>GP and GP-type services</w:t>
            </w:r>
          </w:p>
        </w:tc>
        <w:tc>
          <w:tcPr>
            <w:tcW w:w="3511" w:type="pct"/>
          </w:tcPr>
          <w:p w:rsidR="00C833E0" w:rsidRPr="00227D7D" w:rsidRDefault="00C833E0" w:rsidP="00C414ED">
            <w:pPr>
              <w:pStyle w:val="TableText"/>
              <w:cnfStyle w:val="000000100000" w:firstRow="0" w:lastRow="0" w:firstColumn="0" w:lastColumn="0" w:oddVBand="0" w:evenVBand="0" w:oddHBand="1" w:evenHBand="0" w:firstRowFirstColumn="0" w:firstRowLastColumn="0" w:lastRowFirstColumn="0" w:lastRowLastColumn="0"/>
            </w:pPr>
            <w:r w:rsidRPr="00227D7D">
              <w:t xml:space="preserve">A1, A2, A5, A6, A7, A11, A14, </w:t>
            </w:r>
            <w:r w:rsidR="00346287" w:rsidRPr="00227D7D">
              <w:t xml:space="preserve">A15, </w:t>
            </w:r>
            <w:r w:rsidRPr="00227D7D">
              <w:t>A17, A18, A19, A20, A22</w:t>
            </w:r>
            <w:r w:rsidR="00346287" w:rsidRPr="00227D7D">
              <w:t>, A23, A25*, A27, A30</w:t>
            </w:r>
            <w:r w:rsidR="008422A3" w:rsidRPr="00227D7D">
              <w:rPr>
                <w:vertAlign w:val="superscript"/>
              </w:rPr>
              <w:t>#</w:t>
            </w:r>
            <w:r w:rsidR="00346287" w:rsidRPr="00227D7D">
              <w:t>, M2*, M12</w:t>
            </w:r>
            <w:r w:rsidR="00266F0A" w:rsidRPr="00227D7D">
              <w:t xml:space="preserve">.  </w:t>
            </w:r>
          </w:p>
        </w:tc>
      </w:tr>
      <w:tr w:rsidR="00C833E0" w:rsidRPr="00227D7D" w:rsidTr="00C833E0">
        <w:tc>
          <w:tcPr>
            <w:cnfStyle w:val="001000000000" w:firstRow="0" w:lastRow="0" w:firstColumn="1" w:lastColumn="0" w:oddVBand="0" w:evenVBand="0" w:oddHBand="0" w:evenHBand="0" w:firstRowFirstColumn="0" w:firstRowLastColumn="0" w:lastRowFirstColumn="0" w:lastRowLastColumn="0"/>
            <w:tcW w:w="1489" w:type="pct"/>
          </w:tcPr>
          <w:p w:rsidR="00C833E0" w:rsidRPr="00227D7D" w:rsidRDefault="00C833E0" w:rsidP="00C414ED">
            <w:pPr>
              <w:pStyle w:val="TableText"/>
            </w:pPr>
            <w:r w:rsidRPr="00227D7D">
              <w:t>Specialist</w:t>
            </w:r>
            <w:r w:rsidR="00EF5279">
              <w:t xml:space="preserve"> services</w:t>
            </w:r>
          </w:p>
        </w:tc>
        <w:tc>
          <w:tcPr>
            <w:tcW w:w="3511" w:type="pct"/>
          </w:tcPr>
          <w:p w:rsidR="00C833E0" w:rsidRPr="00227D7D" w:rsidRDefault="00C833E0" w:rsidP="00C414ED">
            <w:pPr>
              <w:pStyle w:val="TableText"/>
              <w:cnfStyle w:val="000000000000" w:firstRow="0" w:lastRow="0" w:firstColumn="0" w:lastColumn="0" w:oddVBand="0" w:evenVBand="0" w:oddHBand="0" w:evenHBand="0" w:firstRowFirstColumn="0" w:firstRowLastColumn="0" w:lastRowFirstColumn="0" w:lastRowLastColumn="0"/>
            </w:pPr>
            <w:r w:rsidRPr="00227D7D">
              <w:t xml:space="preserve">A3, A4, A8, A12, A13, </w:t>
            </w:r>
            <w:r w:rsidR="00346287" w:rsidRPr="00227D7D">
              <w:t xml:space="preserve">A16, </w:t>
            </w:r>
            <w:r w:rsidRPr="00227D7D">
              <w:t>A21, A24, A26, A28, A29</w:t>
            </w:r>
            <w:r w:rsidR="00346287" w:rsidRPr="00227D7D">
              <w:t>.</w:t>
            </w:r>
          </w:p>
        </w:tc>
      </w:tr>
      <w:tr w:rsidR="00C833E0" w:rsidRPr="00227D7D" w:rsidTr="00C83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9" w:type="pct"/>
          </w:tcPr>
          <w:p w:rsidR="00C833E0" w:rsidRPr="00227D7D" w:rsidRDefault="00C833E0" w:rsidP="00C414ED">
            <w:pPr>
              <w:pStyle w:val="TableText"/>
            </w:pPr>
            <w:r w:rsidRPr="00227D7D">
              <w:t xml:space="preserve">Allied health </w:t>
            </w:r>
            <w:r w:rsidRPr="00227D7D">
              <w:br/>
              <w:t>(incl</w:t>
            </w:r>
            <w:r w:rsidR="00266F0A" w:rsidRPr="00227D7D">
              <w:t xml:space="preserve">.  </w:t>
            </w:r>
            <w:r w:rsidRPr="00227D7D">
              <w:t>optometry and psychology)</w:t>
            </w:r>
          </w:p>
        </w:tc>
        <w:tc>
          <w:tcPr>
            <w:tcW w:w="3511" w:type="pct"/>
          </w:tcPr>
          <w:p w:rsidR="00C833E0" w:rsidRPr="00227D7D" w:rsidRDefault="00346287" w:rsidP="00C414ED">
            <w:pPr>
              <w:pStyle w:val="TableText"/>
              <w:cnfStyle w:val="000000100000" w:firstRow="0" w:lastRow="0" w:firstColumn="0" w:lastColumn="0" w:oddVBand="0" w:evenVBand="0" w:oddHBand="1" w:evenHBand="0" w:firstRowFirstColumn="0" w:firstRowLastColumn="0" w:lastRowFirstColumn="0" w:lastRowLastColumn="0"/>
            </w:pPr>
            <w:r w:rsidRPr="00227D7D">
              <w:t xml:space="preserve">A9, </w:t>
            </w:r>
            <w:r w:rsidR="00C833E0" w:rsidRPr="00227D7D">
              <w:t>A10, M3,</w:t>
            </w:r>
            <w:r w:rsidR="00E4356B">
              <w:t xml:space="preserve"> M4*,</w:t>
            </w:r>
            <w:r w:rsidR="00C833E0" w:rsidRPr="00227D7D">
              <w:t xml:space="preserve"> M6, M7, M8, M9, M10, M11, M13, M14</w:t>
            </w:r>
            <w:r w:rsidR="00C833E0" w:rsidRPr="00227D7D">
              <w:rPr>
                <w:vertAlign w:val="superscript"/>
              </w:rPr>
              <w:t>#</w:t>
            </w:r>
            <w:r w:rsidR="00C833E0" w:rsidRPr="00227D7D">
              <w:t>, M15</w:t>
            </w:r>
          </w:p>
        </w:tc>
      </w:tr>
      <w:tr w:rsidR="00C833E0" w:rsidRPr="00227D7D" w:rsidTr="008A0495">
        <w:tc>
          <w:tcPr>
            <w:cnfStyle w:val="001000000000" w:firstRow="0" w:lastRow="0" w:firstColumn="1" w:lastColumn="0" w:oddVBand="0" w:evenVBand="0" w:oddHBand="0" w:evenHBand="0" w:firstRowFirstColumn="0" w:firstRowLastColumn="0" w:lastRowFirstColumn="0" w:lastRowLastColumn="0"/>
            <w:tcW w:w="1489" w:type="pct"/>
            <w:shd w:val="clear" w:color="auto" w:fill="FFFFFF" w:themeFill="background1"/>
          </w:tcPr>
          <w:p w:rsidR="00C833E0" w:rsidRPr="00AA7FBA" w:rsidRDefault="00C833E0" w:rsidP="00C414ED">
            <w:pPr>
              <w:pStyle w:val="TableText"/>
            </w:pPr>
            <w:r w:rsidRPr="00BC4C05">
              <w:t>Bulk</w:t>
            </w:r>
            <w:r w:rsidR="00263328" w:rsidRPr="00BC4C05">
              <w:t xml:space="preserve"> </w:t>
            </w:r>
            <w:r w:rsidRPr="00AA7FBA">
              <w:t>billing incentives</w:t>
            </w:r>
          </w:p>
        </w:tc>
        <w:tc>
          <w:tcPr>
            <w:tcW w:w="3511" w:type="pct"/>
            <w:shd w:val="clear" w:color="auto" w:fill="FFFFFF" w:themeFill="background1"/>
          </w:tcPr>
          <w:p w:rsidR="00C833E0" w:rsidRPr="008E365B" w:rsidRDefault="00C833E0" w:rsidP="00C414ED">
            <w:pPr>
              <w:pStyle w:val="TableText"/>
              <w:cnfStyle w:val="000000000000" w:firstRow="0" w:lastRow="0" w:firstColumn="0" w:lastColumn="0" w:oddVBand="0" w:evenVBand="0" w:oddHBand="0" w:evenHBand="0" w:firstRowFirstColumn="0" w:firstRowLastColumn="0" w:lastRowFirstColumn="0" w:lastRowLastColumn="0"/>
            </w:pPr>
            <w:r w:rsidRPr="000B5367">
              <w:t>I6</w:t>
            </w:r>
            <w:r w:rsidRPr="00F537EF">
              <w:rPr>
                <w:vertAlign w:val="superscript"/>
              </w:rPr>
              <w:t>#</w:t>
            </w:r>
            <w:r w:rsidRPr="00D03359">
              <w:t>, P12</w:t>
            </w:r>
            <w:r w:rsidRPr="00E36364">
              <w:rPr>
                <w:vertAlign w:val="superscript"/>
              </w:rPr>
              <w:t>#</w:t>
            </w:r>
            <w:r w:rsidRPr="00C61834">
              <w:t>, P13</w:t>
            </w:r>
            <w:r w:rsidRPr="00C61834">
              <w:rPr>
                <w:vertAlign w:val="superscript"/>
              </w:rPr>
              <w:t>#</w:t>
            </w:r>
            <w:r w:rsidRPr="008E365B">
              <w:t>, M1</w:t>
            </w:r>
          </w:p>
        </w:tc>
      </w:tr>
      <w:tr w:rsidR="00C833E0" w:rsidRPr="00227D7D" w:rsidTr="008A04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9" w:type="pct"/>
          </w:tcPr>
          <w:p w:rsidR="00C833E0" w:rsidRPr="00227D7D" w:rsidRDefault="00C833E0" w:rsidP="00C414ED">
            <w:pPr>
              <w:pStyle w:val="TableText"/>
            </w:pPr>
            <w:r w:rsidRPr="00227D7D">
              <w:t>Pathology</w:t>
            </w:r>
            <w:r w:rsidR="00263328" w:rsidRPr="00227D7D">
              <w:t xml:space="preserve"> and d</w:t>
            </w:r>
            <w:r w:rsidRPr="00227D7D">
              <w:t xml:space="preserve">iagnostics </w:t>
            </w:r>
            <w:r w:rsidRPr="00227D7D">
              <w:br/>
              <w:t>(incl</w:t>
            </w:r>
            <w:r w:rsidR="00266F0A" w:rsidRPr="00227D7D">
              <w:t xml:space="preserve">.  </w:t>
            </w:r>
            <w:r w:rsidRPr="00227D7D">
              <w:t>nuclear medicine)</w:t>
            </w:r>
          </w:p>
        </w:tc>
        <w:tc>
          <w:tcPr>
            <w:tcW w:w="3511" w:type="pct"/>
          </w:tcPr>
          <w:p w:rsidR="00C833E0" w:rsidRPr="00227D7D" w:rsidRDefault="00C833E0" w:rsidP="00C414ED">
            <w:pPr>
              <w:pStyle w:val="TableText"/>
              <w:cnfStyle w:val="000000100000" w:firstRow="0" w:lastRow="0" w:firstColumn="0" w:lastColumn="0" w:oddVBand="0" w:evenVBand="0" w:oddHBand="1" w:evenHBand="0" w:firstRowFirstColumn="0" w:firstRowLastColumn="0" w:lastRowFirstColumn="0" w:lastRowLastColumn="0"/>
            </w:pPr>
            <w:r w:rsidRPr="00227D7D">
              <w:t>D1</w:t>
            </w:r>
            <w:r w:rsidRPr="00227D7D">
              <w:rPr>
                <w:vertAlign w:val="superscript"/>
              </w:rPr>
              <w:t>#</w:t>
            </w:r>
            <w:r w:rsidRPr="00227D7D">
              <w:t>, D2</w:t>
            </w:r>
            <w:r w:rsidRPr="00227D7D">
              <w:rPr>
                <w:vertAlign w:val="superscript"/>
              </w:rPr>
              <w:t>#</w:t>
            </w:r>
            <w:r w:rsidRPr="008A0495">
              <w:t>,</w:t>
            </w:r>
            <w:r w:rsidRPr="00227D7D">
              <w:t xml:space="preserve"> I1, I2, I3, I4, I5, P1, P2, P3, P4, P5, P6, P7, P8, P9, P10, P11</w:t>
            </w:r>
          </w:p>
        </w:tc>
      </w:tr>
      <w:tr w:rsidR="00C833E0" w:rsidRPr="00B32E26" w:rsidTr="008A0495">
        <w:tc>
          <w:tcPr>
            <w:cnfStyle w:val="001000000000" w:firstRow="0" w:lastRow="0" w:firstColumn="1" w:lastColumn="0" w:oddVBand="0" w:evenVBand="0" w:oddHBand="0" w:evenHBand="0" w:firstRowFirstColumn="0" w:firstRowLastColumn="0" w:lastRowFirstColumn="0" w:lastRowLastColumn="0"/>
            <w:tcW w:w="1489" w:type="pct"/>
            <w:shd w:val="clear" w:color="auto" w:fill="FFFFFF" w:themeFill="background1"/>
          </w:tcPr>
          <w:p w:rsidR="00C833E0" w:rsidRPr="00227D7D" w:rsidRDefault="00C833E0" w:rsidP="00C414ED">
            <w:pPr>
              <w:pStyle w:val="TableText"/>
            </w:pPr>
            <w:r w:rsidRPr="00227D7D">
              <w:t xml:space="preserve">Surgery and </w:t>
            </w:r>
            <w:r w:rsidR="00263328" w:rsidRPr="00227D7D">
              <w:t>t</w:t>
            </w:r>
            <w:r w:rsidRPr="00227D7D">
              <w:t>reatments (incl</w:t>
            </w:r>
            <w:r w:rsidR="00266F0A" w:rsidRPr="00227D7D">
              <w:t xml:space="preserve">.  </w:t>
            </w:r>
            <w:r w:rsidRPr="00227D7D">
              <w:t>anaesthetics and obstetrics</w:t>
            </w:r>
            <w:r w:rsidR="00263328" w:rsidRPr="00227D7D">
              <w:t>)</w:t>
            </w:r>
          </w:p>
        </w:tc>
        <w:tc>
          <w:tcPr>
            <w:tcW w:w="3511" w:type="pct"/>
            <w:shd w:val="clear" w:color="auto" w:fill="FFFFFF" w:themeFill="background1"/>
          </w:tcPr>
          <w:p w:rsidR="00C833E0" w:rsidRPr="005B17B2" w:rsidRDefault="00346287" w:rsidP="00C414ED">
            <w:pPr>
              <w:pStyle w:val="TableText"/>
              <w:cnfStyle w:val="000000000000" w:firstRow="0" w:lastRow="0" w:firstColumn="0" w:lastColumn="0" w:oddVBand="0" w:evenVBand="0" w:oddHBand="0" w:evenHBand="0" w:firstRowFirstColumn="0" w:firstRowLastColumn="0" w:lastRowFirstColumn="0" w:lastRowLastColumn="0"/>
              <w:rPr>
                <w:lang w:val="fr-FR"/>
              </w:rPr>
            </w:pPr>
            <w:r w:rsidRPr="005B17B2">
              <w:rPr>
                <w:lang w:val="fr-FR"/>
              </w:rPr>
              <w:t>T1, T2, T3, T4, T5, T6</w:t>
            </w:r>
            <w:r w:rsidRPr="005B17B2">
              <w:rPr>
                <w:vertAlign w:val="superscript"/>
                <w:lang w:val="fr-FR"/>
              </w:rPr>
              <w:t>#</w:t>
            </w:r>
            <w:r w:rsidR="00C833E0" w:rsidRPr="005B17B2">
              <w:rPr>
                <w:lang w:val="fr-FR"/>
              </w:rPr>
              <w:t>, T7, T8, T9, T10, T11, O1-O11</w:t>
            </w:r>
            <w:r w:rsidR="00C833E0" w:rsidRPr="005B17B2">
              <w:rPr>
                <w:vertAlign w:val="superscript"/>
                <w:lang w:val="fr-FR"/>
              </w:rPr>
              <w:t>#</w:t>
            </w:r>
            <w:r w:rsidR="00E4356B" w:rsidRPr="005B17B2">
              <w:rPr>
                <w:lang w:val="fr-FR"/>
              </w:rPr>
              <w:t>, C1</w:t>
            </w:r>
            <w:r w:rsidR="00E4356B" w:rsidRPr="005B17B2">
              <w:rPr>
                <w:vertAlign w:val="superscript"/>
                <w:lang w:val="fr-FR"/>
              </w:rPr>
              <w:t>#</w:t>
            </w:r>
            <w:r w:rsidR="00E4356B" w:rsidRPr="005B17B2">
              <w:rPr>
                <w:lang w:val="fr-FR"/>
              </w:rPr>
              <w:t>, C2</w:t>
            </w:r>
            <w:r w:rsidR="00E4356B" w:rsidRPr="005B17B2">
              <w:rPr>
                <w:vertAlign w:val="superscript"/>
                <w:lang w:val="fr-FR"/>
              </w:rPr>
              <w:t>#</w:t>
            </w:r>
            <w:r w:rsidR="00E4356B" w:rsidRPr="005B17B2">
              <w:rPr>
                <w:lang w:val="fr-FR"/>
              </w:rPr>
              <w:t>, C3</w:t>
            </w:r>
            <w:r w:rsidR="00E4356B" w:rsidRPr="005B17B2">
              <w:rPr>
                <w:vertAlign w:val="superscript"/>
                <w:lang w:val="fr-FR"/>
              </w:rPr>
              <w:t>#</w:t>
            </w:r>
          </w:p>
        </w:tc>
      </w:tr>
    </w:tbl>
    <w:p w:rsidR="00C24A58" w:rsidRPr="00227D7D" w:rsidRDefault="00C24A58" w:rsidP="00C414ED">
      <w:pPr>
        <w:pStyle w:val="TableFootnotes"/>
        <w:ind w:left="284" w:hanging="284"/>
      </w:pPr>
      <w:r w:rsidRPr="00227D7D">
        <w:rPr>
          <w:vertAlign w:val="superscript"/>
        </w:rPr>
        <w:t>*</w:t>
      </w:r>
      <w:r w:rsidR="00C414ED">
        <w:rPr>
          <w:vertAlign w:val="superscript"/>
        </w:rPr>
        <w:tab/>
      </w:r>
      <w:r w:rsidR="00C833E0" w:rsidRPr="00227D7D">
        <w:t xml:space="preserve">Some Groups, Subgroups and Items no longer exist in current versions of </w:t>
      </w:r>
      <w:r w:rsidR="00DF7D43">
        <w:t>the MBS</w:t>
      </w:r>
      <w:r w:rsidR="00C833E0" w:rsidRPr="00227D7D">
        <w:t>, but are still included for the purposes of historical analysis</w:t>
      </w:r>
      <w:r w:rsidR="00266F0A" w:rsidRPr="00227D7D">
        <w:t xml:space="preserve">.  </w:t>
      </w:r>
      <w:r w:rsidR="00C833E0" w:rsidRPr="00227D7D">
        <w:t xml:space="preserve">Where possible </w:t>
      </w:r>
      <w:r w:rsidR="00E24ADE" w:rsidRPr="00227D7D">
        <w:t>the PBO has attempted to capture all</w:t>
      </w:r>
      <w:r w:rsidR="00C833E0" w:rsidRPr="00227D7D">
        <w:t xml:space="preserve"> amendments </w:t>
      </w:r>
      <w:r w:rsidR="00263328" w:rsidRPr="00227D7D">
        <w:t>to</w:t>
      </w:r>
      <w:r w:rsidR="00C833E0" w:rsidRPr="00227D7D">
        <w:t xml:space="preserve"> the schedule in the above categories</w:t>
      </w:r>
      <w:r w:rsidR="00DC1802" w:rsidRPr="00227D7D">
        <w:t>.</w:t>
      </w:r>
    </w:p>
    <w:p w:rsidR="00C833E0" w:rsidRDefault="00C24A58" w:rsidP="00C414ED">
      <w:pPr>
        <w:pStyle w:val="TableFootnotes"/>
        <w:ind w:left="284" w:hanging="284"/>
      </w:pPr>
      <w:proofErr w:type="gramStart"/>
      <w:r w:rsidRPr="00227D7D">
        <w:rPr>
          <w:vertAlign w:val="superscript"/>
        </w:rPr>
        <w:t>#</w:t>
      </w:r>
      <w:r w:rsidR="00C414ED">
        <w:rPr>
          <w:vertAlign w:val="superscript"/>
        </w:rPr>
        <w:tab/>
      </w:r>
      <w:r w:rsidRPr="00227D7D">
        <w:t>De</w:t>
      </w:r>
      <w:r w:rsidR="00C833E0" w:rsidRPr="00227D7D">
        <w:t>viations of the PBO categorisations</w:t>
      </w:r>
      <w:r w:rsidRPr="00227D7D">
        <w:t xml:space="preserve"> from </w:t>
      </w:r>
      <w:r w:rsidR="00DF7D43">
        <w:t>MBS</w:t>
      </w:r>
      <w:r w:rsidR="00C833E0" w:rsidRPr="00227D7D">
        <w:t xml:space="preserve"> BTOS </w:t>
      </w:r>
      <w:r w:rsidR="009113AA" w:rsidRPr="00227D7D">
        <w:t>classifications</w:t>
      </w:r>
      <w:r w:rsidR="00794CD4">
        <w:t>.</w:t>
      </w:r>
      <w:proofErr w:type="gramEnd"/>
    </w:p>
    <w:p w:rsidR="00C833E0" w:rsidRPr="00227D7D" w:rsidRDefault="00C833E0" w:rsidP="00476729">
      <w:pPr>
        <w:pStyle w:val="PBOlist1"/>
        <w:spacing w:before="340" w:after="114"/>
      </w:pPr>
      <w:r w:rsidRPr="00227D7D">
        <w:rPr>
          <w:b/>
        </w:rPr>
        <w:t>GP and GP-type services</w:t>
      </w:r>
      <w:r w:rsidR="00D76BBE" w:rsidRPr="00D33657">
        <w:t>—</w:t>
      </w:r>
      <w:r w:rsidRPr="00227D7D">
        <w:t>this category represents all professional attendances provided by a medical practitioner (including a general practitioner), and not a specialist</w:t>
      </w:r>
      <w:r w:rsidR="00266F0A" w:rsidRPr="00227D7D">
        <w:t xml:space="preserve">.  </w:t>
      </w:r>
      <w:r w:rsidR="00E24ADE" w:rsidRPr="00227D7D">
        <w:t xml:space="preserve">This </w:t>
      </w:r>
      <w:r w:rsidRPr="00227D7D">
        <w:t>category is consistent with all the BTOS non-referred attendances services</w:t>
      </w:r>
      <w:r w:rsidR="00CD686B" w:rsidRPr="00227D7D">
        <w:t>.</w:t>
      </w:r>
    </w:p>
    <w:p w:rsidR="00D216AD" w:rsidRDefault="00C833E0" w:rsidP="00476729">
      <w:pPr>
        <w:pStyle w:val="PBOlist1"/>
        <w:spacing w:before="114" w:after="114"/>
        <w:sectPr w:rsidR="00D216AD" w:rsidSect="009F4B39">
          <w:headerReference w:type="even" r:id="rId61"/>
          <w:headerReference w:type="default" r:id="rId62"/>
          <w:footerReference w:type="even" r:id="rId63"/>
          <w:footerReference w:type="default" r:id="rId64"/>
          <w:headerReference w:type="first" r:id="rId65"/>
          <w:footerReference w:type="first" r:id="rId66"/>
          <w:pgSz w:w="11907" w:h="16839" w:code="9"/>
          <w:pgMar w:top="1361" w:right="1797" w:bottom="1474" w:left="1797" w:header="283" w:footer="454" w:gutter="0"/>
          <w:cols w:space="708"/>
          <w:docGrid w:linePitch="360"/>
        </w:sectPr>
      </w:pPr>
      <w:r w:rsidRPr="00D216AD">
        <w:rPr>
          <w:b/>
        </w:rPr>
        <w:t xml:space="preserve">Specialist </w:t>
      </w:r>
      <w:r w:rsidR="00493D8D" w:rsidRPr="00D216AD">
        <w:rPr>
          <w:b/>
        </w:rPr>
        <w:t>services</w:t>
      </w:r>
      <w:r w:rsidR="00D76BBE" w:rsidRPr="00D33657">
        <w:t>—</w:t>
      </w:r>
      <w:r w:rsidRPr="00227D7D">
        <w:t>this category represents professional attendances provided by a specialist</w:t>
      </w:r>
      <w:r w:rsidR="0021122D" w:rsidRPr="00227D7D">
        <w:t>.</w:t>
      </w:r>
    </w:p>
    <w:p w:rsidR="00C833E0" w:rsidRPr="00227D7D" w:rsidRDefault="00D76BBE" w:rsidP="00476729">
      <w:pPr>
        <w:pStyle w:val="PBOlist1"/>
        <w:spacing w:before="114" w:after="114"/>
      </w:pPr>
      <w:r w:rsidRPr="00D216AD">
        <w:rPr>
          <w:b/>
        </w:rPr>
        <w:lastRenderedPageBreak/>
        <w:t>Allied health</w:t>
      </w:r>
      <w:r w:rsidRPr="00D33657">
        <w:t>—</w:t>
      </w:r>
      <w:r w:rsidR="00C833E0" w:rsidRPr="00227D7D">
        <w:t>this category represents services provided by allied health professionals</w:t>
      </w:r>
      <w:r w:rsidR="00266F0A" w:rsidRPr="00227D7D">
        <w:t>.</w:t>
      </w:r>
      <w:r w:rsidR="00132AA0" w:rsidRPr="00227D7D">
        <w:t xml:space="preserve">  </w:t>
      </w:r>
      <w:r w:rsidR="00C833E0" w:rsidRPr="00227D7D">
        <w:t xml:space="preserve">Individual allied health services are available to patients with a chronic condition and/or complex care needs, on referral from </w:t>
      </w:r>
      <w:r w:rsidR="00E24ADE" w:rsidRPr="00227D7D">
        <w:t xml:space="preserve">a </w:t>
      </w:r>
      <w:r w:rsidR="00C833E0" w:rsidRPr="00227D7D">
        <w:t>GP</w:t>
      </w:r>
      <w:r w:rsidR="00266F0A" w:rsidRPr="00227D7D">
        <w:t xml:space="preserve">.  </w:t>
      </w:r>
      <w:r w:rsidR="00C833E0" w:rsidRPr="00227D7D">
        <w:t>The PBO category for allied health also includes optometry and psychology services, which are available more broadl</w:t>
      </w:r>
      <w:r w:rsidR="006C529B">
        <w:t>y</w:t>
      </w:r>
      <w:r w:rsidR="00C833E0" w:rsidRPr="00227D7D">
        <w:t xml:space="preserve"> under </w:t>
      </w:r>
      <w:r w:rsidR="00DF7D43">
        <w:t>the MBS</w:t>
      </w:r>
      <w:r w:rsidR="00132AA0" w:rsidRPr="00227D7D">
        <w:t>.</w:t>
      </w:r>
    </w:p>
    <w:p w:rsidR="00C833E0" w:rsidRPr="00227D7D" w:rsidRDefault="00C833E0" w:rsidP="00476729">
      <w:pPr>
        <w:pStyle w:val="PBOlist1"/>
        <w:spacing w:before="114" w:after="114"/>
      </w:pPr>
      <w:r w:rsidRPr="00227D7D">
        <w:rPr>
          <w:b/>
        </w:rPr>
        <w:t>Bulk</w:t>
      </w:r>
      <w:r w:rsidR="00E24ADE" w:rsidRPr="00227D7D">
        <w:rPr>
          <w:b/>
        </w:rPr>
        <w:t xml:space="preserve"> </w:t>
      </w:r>
      <w:r w:rsidRPr="00227D7D">
        <w:rPr>
          <w:b/>
        </w:rPr>
        <w:t>billing incentives</w:t>
      </w:r>
      <w:r w:rsidR="00D76BBE" w:rsidRPr="00D33657">
        <w:t>—</w:t>
      </w:r>
      <w:r w:rsidRPr="00227D7D">
        <w:t xml:space="preserve">this category </w:t>
      </w:r>
      <w:r w:rsidR="009B0B0B" w:rsidRPr="00227D7D">
        <w:t>includes</w:t>
      </w:r>
      <w:r w:rsidRPr="00227D7D">
        <w:t xml:space="preserve"> the top-up funding provided to medical practitioners as </w:t>
      </w:r>
      <w:r w:rsidR="00E24ADE" w:rsidRPr="00227D7D">
        <w:t xml:space="preserve">an </w:t>
      </w:r>
      <w:r w:rsidRPr="00227D7D">
        <w:t xml:space="preserve">incentive </w:t>
      </w:r>
      <w:r w:rsidR="00E24ADE" w:rsidRPr="00227D7D">
        <w:t>to</w:t>
      </w:r>
      <w:r w:rsidRPr="00227D7D">
        <w:t xml:space="preserve"> bulk bill</w:t>
      </w:r>
      <w:r w:rsidR="006325D1" w:rsidRPr="00227D7D">
        <w:t>.</w:t>
      </w:r>
    </w:p>
    <w:p w:rsidR="00C833E0" w:rsidRPr="00227D7D" w:rsidRDefault="00C833E0" w:rsidP="00476729">
      <w:pPr>
        <w:pStyle w:val="PBOlist1"/>
        <w:spacing w:before="114" w:after="114"/>
      </w:pPr>
      <w:r w:rsidRPr="00227D7D">
        <w:rPr>
          <w:b/>
        </w:rPr>
        <w:t>Pathology and diagnostics</w:t>
      </w:r>
      <w:r w:rsidR="00D76BBE" w:rsidRPr="00D33657">
        <w:t>—</w:t>
      </w:r>
      <w:r w:rsidRPr="00227D7D">
        <w:t>this category includ</w:t>
      </w:r>
      <w:r w:rsidR="00481D92">
        <w:t>es all services provided under diagnostic procedures and investigations, including nuclear m</w:t>
      </w:r>
      <w:r w:rsidRPr="00227D7D">
        <w:t xml:space="preserve">edicine; </w:t>
      </w:r>
      <w:r w:rsidR="00481D92">
        <w:t>d</w:t>
      </w:r>
      <w:r w:rsidRPr="00227D7D">
        <w:t>iagnostic imaging services; and all pathology services</w:t>
      </w:r>
      <w:r w:rsidR="00481D92">
        <w:t>.</w:t>
      </w:r>
    </w:p>
    <w:p w:rsidR="00890269" w:rsidRPr="00227D7D" w:rsidRDefault="0081565A" w:rsidP="00476729">
      <w:pPr>
        <w:pStyle w:val="PBOlist1"/>
        <w:spacing w:before="114" w:after="114"/>
      </w:pPr>
      <w:r w:rsidRPr="00227D7D">
        <w:rPr>
          <w:b/>
        </w:rPr>
        <w:t>Surger</w:t>
      </w:r>
      <w:r>
        <w:rPr>
          <w:b/>
        </w:rPr>
        <w:t>ies</w:t>
      </w:r>
      <w:r w:rsidRPr="00227D7D">
        <w:rPr>
          <w:b/>
        </w:rPr>
        <w:t xml:space="preserve"> </w:t>
      </w:r>
      <w:r w:rsidR="00C833E0" w:rsidRPr="00227D7D">
        <w:rPr>
          <w:b/>
        </w:rPr>
        <w:t xml:space="preserve">and </w:t>
      </w:r>
      <w:r w:rsidR="00E24ADE" w:rsidRPr="00227D7D">
        <w:rPr>
          <w:b/>
        </w:rPr>
        <w:t>t</w:t>
      </w:r>
      <w:r w:rsidR="00D76BBE">
        <w:rPr>
          <w:b/>
        </w:rPr>
        <w:t>reatments</w:t>
      </w:r>
      <w:r w:rsidR="00D76BBE" w:rsidRPr="00D33657">
        <w:t>—</w:t>
      </w:r>
      <w:r w:rsidR="00C833E0" w:rsidRPr="00227D7D">
        <w:t xml:space="preserve">this category includes </w:t>
      </w:r>
      <w:r w:rsidR="009B0B0B" w:rsidRPr="00227D7D">
        <w:t xml:space="preserve">oral and maxillofacial surgery services, and all </w:t>
      </w:r>
      <w:r w:rsidR="00C833E0" w:rsidRPr="00227D7D">
        <w:t>therapeutic procedures, including: radiation oncology; therapeutic nuclear medicine, obstetrics; anaesthetics; regional or field nerve blocks, surgical operations; and botulinum toxin injections</w:t>
      </w:r>
      <w:r w:rsidR="00266F0A" w:rsidRPr="00227D7D">
        <w:t>.</w:t>
      </w:r>
    </w:p>
    <w:p w:rsidR="003D5FB3" w:rsidRDefault="003D5FB3" w:rsidP="00FA2280">
      <w:pPr>
        <w:pStyle w:val="BodyText"/>
      </w:pPr>
    </w:p>
    <w:p w:rsidR="003D5FB3" w:rsidRDefault="003D5FB3" w:rsidP="00FA2280">
      <w:pPr>
        <w:pStyle w:val="BodyText"/>
        <w:sectPr w:rsidR="003D5FB3" w:rsidSect="009F4B39">
          <w:footerReference w:type="default" r:id="rId67"/>
          <w:pgSz w:w="11907" w:h="16839" w:code="9"/>
          <w:pgMar w:top="1361" w:right="1797" w:bottom="1474" w:left="1797" w:header="283" w:footer="454" w:gutter="0"/>
          <w:cols w:space="708"/>
          <w:docGrid w:linePitch="360"/>
        </w:sectPr>
      </w:pPr>
    </w:p>
    <w:p w:rsidR="003D5FB3" w:rsidRDefault="003D5FB3" w:rsidP="003D5FB3">
      <w:pPr>
        <w:pStyle w:val="Heading8"/>
      </w:pPr>
      <w:r>
        <w:lastRenderedPageBreak/>
        <w:t xml:space="preserve"> </w:t>
      </w:r>
      <w:bookmarkStart w:id="133" w:name="_Toc436050988"/>
      <w:bookmarkStart w:id="134" w:name="_Toc436205172"/>
      <w:bookmarkStart w:id="135" w:name="_Toc436205210"/>
      <w:r>
        <w:t xml:space="preserve">– </w:t>
      </w:r>
      <w:r w:rsidRPr="003D5FB3">
        <w:t>Significant changes affecting the Medicare Benefits Schedule since 1993</w:t>
      </w:r>
      <w:r>
        <w:t>–</w:t>
      </w:r>
      <w:r w:rsidRPr="003D5FB3">
        <w:t>94</w:t>
      </w:r>
      <w:bookmarkEnd w:id="133"/>
      <w:bookmarkEnd w:id="134"/>
      <w:bookmarkEnd w:id="135"/>
    </w:p>
    <w:tbl>
      <w:tblPr>
        <w:tblStyle w:val="TableGrid"/>
        <w:tblW w:w="0" w:type="auto"/>
        <w:tblLook w:val="04A0" w:firstRow="1" w:lastRow="0" w:firstColumn="1" w:lastColumn="0" w:noHBand="0" w:noVBand="1"/>
      </w:tblPr>
      <w:tblGrid>
        <w:gridCol w:w="1843"/>
        <w:gridCol w:w="6469"/>
      </w:tblGrid>
      <w:tr w:rsidR="00C24A58" w:rsidRPr="00227D7D" w:rsidTr="00930E56">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843" w:type="dxa"/>
          </w:tcPr>
          <w:p w:rsidR="00C24A58" w:rsidRPr="008A0495" w:rsidRDefault="00C24A58" w:rsidP="00576E11">
            <w:pPr>
              <w:pStyle w:val="BodyText"/>
              <w:rPr>
                <w:rFonts w:ascii="Arial" w:hAnsi="Arial" w:cs="Arial"/>
                <w:b/>
                <w:sz w:val="16"/>
                <w:szCs w:val="16"/>
              </w:rPr>
            </w:pPr>
            <w:r w:rsidRPr="008A0495">
              <w:rPr>
                <w:rFonts w:ascii="Arial" w:hAnsi="Arial" w:cs="Arial"/>
                <w:b/>
                <w:sz w:val="16"/>
                <w:szCs w:val="16"/>
              </w:rPr>
              <w:t>Date</w:t>
            </w:r>
          </w:p>
        </w:tc>
        <w:tc>
          <w:tcPr>
            <w:tcW w:w="6469" w:type="dxa"/>
          </w:tcPr>
          <w:p w:rsidR="00C24A58" w:rsidRPr="008A0495" w:rsidRDefault="00C24A58" w:rsidP="00576E11">
            <w:pPr>
              <w:pStyle w:val="BodyText"/>
              <w:cnfStyle w:val="100000000000" w:firstRow="1" w:lastRow="0" w:firstColumn="0" w:lastColumn="0" w:oddVBand="0" w:evenVBand="0" w:oddHBand="0" w:evenHBand="0" w:firstRowFirstColumn="0" w:firstRowLastColumn="0" w:lastRowFirstColumn="0" w:lastRowLastColumn="0"/>
              <w:rPr>
                <w:rFonts w:ascii="Arial" w:hAnsi="Arial" w:cs="Arial"/>
                <w:b/>
                <w:sz w:val="16"/>
                <w:szCs w:val="16"/>
              </w:rPr>
            </w:pPr>
            <w:r w:rsidRPr="008A0495">
              <w:rPr>
                <w:rFonts w:ascii="Arial" w:hAnsi="Arial" w:cs="Arial"/>
                <w:b/>
                <w:sz w:val="16"/>
                <w:szCs w:val="16"/>
              </w:rPr>
              <w:t>Change</w:t>
            </w:r>
          </w:p>
        </w:tc>
      </w:tr>
      <w:tr w:rsidR="009113AA" w:rsidRPr="00227D7D" w:rsidTr="00B900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3" w:type="dxa"/>
          </w:tcPr>
          <w:p w:rsidR="009113AA" w:rsidRPr="00227D7D" w:rsidRDefault="00085B6E" w:rsidP="00976CE8">
            <w:pPr>
              <w:pStyle w:val="TableText"/>
            </w:pPr>
            <w:r w:rsidRPr="00227D7D">
              <w:t>1996</w:t>
            </w:r>
            <w:r w:rsidR="00976CE8">
              <w:t>–</w:t>
            </w:r>
            <w:r w:rsidR="009113AA" w:rsidRPr="00227D7D">
              <w:t>97</w:t>
            </w:r>
          </w:p>
        </w:tc>
        <w:tc>
          <w:tcPr>
            <w:tcW w:w="6469" w:type="dxa"/>
          </w:tcPr>
          <w:p w:rsidR="009113AA" w:rsidRPr="00227D7D" w:rsidRDefault="009113AA" w:rsidP="00976CE8">
            <w:pPr>
              <w:pStyle w:val="TableText"/>
              <w:cnfStyle w:val="000000100000" w:firstRow="0" w:lastRow="0" w:firstColumn="0" w:lastColumn="0" w:oddVBand="0" w:evenVBand="0" w:oddHBand="1" w:evenHBand="0" w:firstRowFirstColumn="0" w:firstRowLastColumn="0" w:lastRowFirstColumn="0" w:lastRowLastColumn="0"/>
            </w:pPr>
            <w:r w:rsidRPr="00227D7D">
              <w:t>Reforms to diagnostic imaging</w:t>
            </w:r>
            <w:r w:rsidR="00A7798E" w:rsidRPr="00227D7D">
              <w:t xml:space="preserve"> including expansion of Computed Tomography (CT) scan items.</w:t>
            </w:r>
          </w:p>
          <w:p w:rsidR="009113AA" w:rsidRPr="00227D7D" w:rsidRDefault="009113AA" w:rsidP="00976CE8">
            <w:pPr>
              <w:pStyle w:val="TableText"/>
              <w:cnfStyle w:val="000000100000" w:firstRow="0" w:lastRow="0" w:firstColumn="0" w:lastColumn="0" w:oddVBand="0" w:evenVBand="0" w:oddHBand="1" w:evenHBand="0" w:firstRowFirstColumn="0" w:firstRowLastColumn="0" w:lastRowFirstColumn="0" w:lastRowLastColumn="0"/>
            </w:pPr>
            <w:r w:rsidRPr="00227D7D">
              <w:t>Introduction of means tested rebates for private health insurance</w:t>
            </w:r>
            <w:r w:rsidR="005A3925" w:rsidRPr="00227D7D">
              <w:t>.</w:t>
            </w:r>
          </w:p>
        </w:tc>
      </w:tr>
      <w:tr w:rsidR="00C24A58" w:rsidRPr="00227D7D" w:rsidTr="00B9007B">
        <w:trPr>
          <w:cantSplit/>
        </w:trPr>
        <w:tc>
          <w:tcPr>
            <w:cnfStyle w:val="001000000000" w:firstRow="0" w:lastRow="0" w:firstColumn="1" w:lastColumn="0" w:oddVBand="0" w:evenVBand="0" w:oddHBand="0" w:evenHBand="0" w:firstRowFirstColumn="0" w:firstRowLastColumn="0" w:lastRowFirstColumn="0" w:lastRowLastColumn="0"/>
            <w:tcW w:w="1843" w:type="dxa"/>
          </w:tcPr>
          <w:p w:rsidR="00C24A58" w:rsidRPr="00227D7D" w:rsidRDefault="00085B6E" w:rsidP="00976CE8">
            <w:pPr>
              <w:pStyle w:val="TableText"/>
            </w:pPr>
            <w:r w:rsidRPr="00227D7D">
              <w:t>1997</w:t>
            </w:r>
            <w:r w:rsidR="00976CE8">
              <w:t>–</w:t>
            </w:r>
            <w:r w:rsidR="00C24A58" w:rsidRPr="00227D7D">
              <w:t>98</w:t>
            </w:r>
          </w:p>
        </w:tc>
        <w:tc>
          <w:tcPr>
            <w:tcW w:w="6469" w:type="dxa"/>
          </w:tcPr>
          <w:p w:rsidR="00C24A58" w:rsidRPr="00227D7D" w:rsidRDefault="00C24A58" w:rsidP="00976CE8">
            <w:pPr>
              <w:pStyle w:val="TableText"/>
              <w:cnfStyle w:val="000000000000" w:firstRow="0" w:lastRow="0" w:firstColumn="0" w:lastColumn="0" w:oddVBand="0" w:evenVBand="0" w:oddHBand="0" w:evenHBand="0" w:firstRowFirstColumn="0" w:firstRowLastColumn="0" w:lastRowFirstColumn="0" w:lastRowLastColumn="0"/>
            </w:pPr>
            <w:r w:rsidRPr="00227D7D">
              <w:t xml:space="preserve">Medicare Services Advisory Committee established to oversee the assessment of new procedures and review existing </w:t>
            </w:r>
            <w:r w:rsidR="00DF7D43">
              <w:t>MBS</w:t>
            </w:r>
            <w:r w:rsidRPr="00227D7D">
              <w:t xml:space="preserve"> items.</w:t>
            </w:r>
          </w:p>
          <w:p w:rsidR="00C24A58" w:rsidRPr="00227D7D" w:rsidRDefault="00C24A58" w:rsidP="008C2BF6">
            <w:pPr>
              <w:pStyle w:val="TableText"/>
              <w:cnfStyle w:val="000000000000" w:firstRow="0" w:lastRow="0" w:firstColumn="0" w:lastColumn="0" w:oddVBand="0" w:evenVBand="0" w:oddHBand="0" w:evenHBand="0" w:firstRowFirstColumn="0" w:firstRowLastColumn="0" w:lastRowFirstColumn="0" w:lastRowLastColumn="0"/>
            </w:pPr>
            <w:r w:rsidRPr="00227D7D">
              <w:t>Reduced benefits for second and subsequent patients seen during home</w:t>
            </w:r>
            <w:r w:rsidR="008C2BF6">
              <w:noBreakHyphen/>
            </w:r>
            <w:r w:rsidRPr="00227D7D">
              <w:t>visits when more than one person is treated during the visit.</w:t>
            </w:r>
          </w:p>
        </w:tc>
      </w:tr>
      <w:tr w:rsidR="00C24A58" w:rsidRPr="00227D7D" w:rsidTr="00B900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3" w:type="dxa"/>
          </w:tcPr>
          <w:p w:rsidR="00C24A58" w:rsidRPr="00227D7D" w:rsidRDefault="00085B6E" w:rsidP="00976CE8">
            <w:pPr>
              <w:pStyle w:val="TableText"/>
            </w:pPr>
            <w:r w:rsidRPr="00227D7D">
              <w:t>1998</w:t>
            </w:r>
            <w:r w:rsidR="00976CE8">
              <w:t>–</w:t>
            </w:r>
            <w:r w:rsidR="00C24A58" w:rsidRPr="00227D7D">
              <w:t>99</w:t>
            </w:r>
          </w:p>
        </w:tc>
        <w:tc>
          <w:tcPr>
            <w:tcW w:w="6469" w:type="dxa"/>
          </w:tcPr>
          <w:p w:rsidR="00C24A58" w:rsidRPr="00227D7D" w:rsidRDefault="00C24A58" w:rsidP="00976CE8">
            <w:pPr>
              <w:pStyle w:val="TableText"/>
              <w:cnfStyle w:val="000000100000" w:firstRow="0" w:lastRow="0" w:firstColumn="0" w:lastColumn="0" w:oddVBand="0" w:evenVBand="0" w:oddHBand="1" w:evenHBand="0" w:firstRowFirstColumn="0" w:firstRowLastColumn="0" w:lastRowFirstColumn="0" w:lastRowLastColumn="0"/>
            </w:pPr>
            <w:r w:rsidRPr="00227D7D">
              <w:t xml:space="preserve">Addition of Magnetic Resonance Imaging to </w:t>
            </w:r>
            <w:r w:rsidR="00DF7D43">
              <w:t>the MBS</w:t>
            </w:r>
            <w:r w:rsidRPr="00227D7D">
              <w:t>.</w:t>
            </w:r>
          </w:p>
        </w:tc>
      </w:tr>
      <w:tr w:rsidR="00C24A58" w:rsidRPr="00227D7D" w:rsidTr="00B9007B">
        <w:trPr>
          <w:cantSplit/>
        </w:trPr>
        <w:tc>
          <w:tcPr>
            <w:cnfStyle w:val="001000000000" w:firstRow="0" w:lastRow="0" w:firstColumn="1" w:lastColumn="0" w:oddVBand="0" w:evenVBand="0" w:oddHBand="0" w:evenHBand="0" w:firstRowFirstColumn="0" w:firstRowLastColumn="0" w:lastRowFirstColumn="0" w:lastRowLastColumn="0"/>
            <w:tcW w:w="1843" w:type="dxa"/>
          </w:tcPr>
          <w:p w:rsidR="00C24A58" w:rsidRPr="00FD7186" w:rsidRDefault="00085B6E" w:rsidP="00976CE8">
            <w:pPr>
              <w:pStyle w:val="TableText"/>
            </w:pPr>
            <w:r w:rsidRPr="003322E4">
              <w:t>1999</w:t>
            </w:r>
            <w:r w:rsidR="00976CE8">
              <w:t>–</w:t>
            </w:r>
            <w:r w:rsidR="00C24A58" w:rsidRPr="00FD7186">
              <w:t>2000</w:t>
            </w:r>
          </w:p>
        </w:tc>
        <w:tc>
          <w:tcPr>
            <w:tcW w:w="6469" w:type="dxa"/>
          </w:tcPr>
          <w:p w:rsidR="00C24A58" w:rsidRPr="00D63179" w:rsidRDefault="00C24A58" w:rsidP="00976CE8">
            <w:pPr>
              <w:pStyle w:val="TableText"/>
              <w:cnfStyle w:val="000000000000" w:firstRow="0" w:lastRow="0" w:firstColumn="0" w:lastColumn="0" w:oddVBand="0" w:evenVBand="0" w:oddHBand="0" w:evenHBand="0" w:firstRowFirstColumn="0" w:firstRowLastColumn="0" w:lastRowFirstColumn="0" w:lastRowLastColumn="0"/>
            </w:pPr>
            <w:r w:rsidRPr="006D77AB">
              <w:t xml:space="preserve">Introduction of new </w:t>
            </w:r>
            <w:r w:rsidR="00DF7D43" w:rsidRPr="00D63179">
              <w:t>MBS</w:t>
            </w:r>
            <w:r w:rsidRPr="00D63179">
              <w:t xml:space="preserve"> items for:</w:t>
            </w:r>
          </w:p>
          <w:p w:rsidR="00C24A58" w:rsidRPr="00976CE8" w:rsidRDefault="00C24A58" w:rsidP="00976CE8">
            <w:pPr>
              <w:pStyle w:val="TableTextBullet"/>
              <w:cnfStyle w:val="000000000000" w:firstRow="0" w:lastRow="0" w:firstColumn="0" w:lastColumn="0" w:oddVBand="0" w:evenVBand="0" w:oddHBand="0" w:evenHBand="0" w:firstRowFirstColumn="0" w:firstRowLastColumn="0" w:lastRowFirstColumn="0" w:lastRowLastColumn="0"/>
            </w:pPr>
            <w:r w:rsidRPr="00976CE8">
              <w:t>Multidisciplinary care plans, coordinated care planning and case conferencing for patients with chronic and/or complex care needs</w:t>
            </w:r>
          </w:p>
          <w:p w:rsidR="00C24A58" w:rsidRPr="00227D7D" w:rsidRDefault="00C24A58" w:rsidP="00976CE8">
            <w:pPr>
              <w:pStyle w:val="TableTextBulle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76CE8">
              <w:t>Voluntary annual health assessments of patients 75 years and over.</w:t>
            </w:r>
          </w:p>
        </w:tc>
      </w:tr>
      <w:tr w:rsidR="00C24A58" w:rsidRPr="00227D7D" w:rsidTr="00B900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3" w:type="dxa"/>
          </w:tcPr>
          <w:p w:rsidR="00C24A58" w:rsidRPr="00227D7D" w:rsidRDefault="00085B6E" w:rsidP="00976CE8">
            <w:pPr>
              <w:pStyle w:val="TableText"/>
            </w:pPr>
            <w:r w:rsidRPr="00227D7D">
              <w:t>2001</w:t>
            </w:r>
            <w:r w:rsidR="00976CE8">
              <w:t>–</w:t>
            </w:r>
            <w:r w:rsidR="00C24A58" w:rsidRPr="00227D7D">
              <w:t>02</w:t>
            </w:r>
          </w:p>
        </w:tc>
        <w:tc>
          <w:tcPr>
            <w:tcW w:w="6469" w:type="dxa"/>
          </w:tcPr>
          <w:p w:rsidR="00C24A58" w:rsidRPr="00227D7D" w:rsidRDefault="00C24A58" w:rsidP="00976CE8">
            <w:pPr>
              <w:pStyle w:val="TableText"/>
              <w:cnfStyle w:val="000000100000" w:firstRow="0" w:lastRow="0" w:firstColumn="0" w:lastColumn="0" w:oddVBand="0" w:evenVBand="0" w:oddHBand="1" w:evenHBand="0" w:firstRowFirstColumn="0" w:firstRowLastColumn="0" w:lastRowFirstColumn="0" w:lastRowLastColumn="0"/>
            </w:pPr>
            <w:r w:rsidRPr="00227D7D">
              <w:t xml:space="preserve">Increased benefits paid for GP </w:t>
            </w:r>
            <w:r w:rsidR="00493D8D" w:rsidRPr="00227D7D">
              <w:t>services</w:t>
            </w:r>
            <w:r w:rsidRPr="00227D7D">
              <w:t xml:space="preserve"> and emergency after-hours </w:t>
            </w:r>
            <w:r w:rsidR="00493D8D" w:rsidRPr="00227D7D">
              <w:t>services</w:t>
            </w:r>
            <w:r w:rsidRPr="00227D7D">
              <w:t>.</w:t>
            </w:r>
          </w:p>
          <w:p w:rsidR="00C24A58" w:rsidRPr="00227D7D" w:rsidRDefault="00C24A58" w:rsidP="00976CE8">
            <w:pPr>
              <w:pStyle w:val="TableText"/>
              <w:cnfStyle w:val="000000100000" w:firstRow="0" w:lastRow="0" w:firstColumn="0" w:lastColumn="0" w:oddVBand="0" w:evenVBand="0" w:oddHBand="1" w:evenHBand="0" w:firstRowFirstColumn="0" w:firstRowLastColumn="0" w:lastRowFirstColumn="0" w:lastRowLastColumn="0"/>
            </w:pPr>
            <w:r w:rsidRPr="00227D7D">
              <w:t xml:space="preserve">Introduction of new </w:t>
            </w:r>
            <w:r w:rsidR="00DF7D43">
              <w:t>MBS</w:t>
            </w:r>
            <w:r w:rsidRPr="00227D7D">
              <w:t xml:space="preserve"> items for:</w:t>
            </w:r>
          </w:p>
          <w:p w:rsidR="00C24A58" w:rsidRPr="00976CE8" w:rsidRDefault="00C24A58" w:rsidP="00976CE8">
            <w:pPr>
              <w:pStyle w:val="TableTextBullet"/>
              <w:cnfStyle w:val="000000100000" w:firstRow="0" w:lastRow="0" w:firstColumn="0" w:lastColumn="0" w:oddVBand="0" w:evenVBand="0" w:oddHBand="1" w:evenHBand="0" w:firstRowFirstColumn="0" w:firstRowLastColumn="0" w:lastRowFirstColumn="0" w:lastRowLastColumn="0"/>
            </w:pPr>
            <w:r w:rsidRPr="00976CE8">
              <w:t>Mental health care provided by G</w:t>
            </w:r>
            <w:r w:rsidR="005A3925" w:rsidRPr="00976CE8">
              <w:t xml:space="preserve">Ps and consultant </w:t>
            </w:r>
            <w:r w:rsidR="0098533B" w:rsidRPr="00976CE8">
              <w:t>psychologists.</w:t>
            </w:r>
          </w:p>
          <w:p w:rsidR="00C24A58" w:rsidRPr="00976CE8" w:rsidRDefault="00C24A58" w:rsidP="00976CE8">
            <w:pPr>
              <w:pStyle w:val="TableTextBullet"/>
              <w:cnfStyle w:val="000000100000" w:firstRow="0" w:lastRow="0" w:firstColumn="0" w:lastColumn="0" w:oddVBand="0" w:evenVBand="0" w:oddHBand="1" w:evenHBand="0" w:firstRowFirstColumn="0" w:firstRowLastColumn="0" w:lastRowFirstColumn="0" w:lastRowLastColumn="0"/>
            </w:pPr>
            <w:r w:rsidRPr="00976CE8">
              <w:t>Domiciliary medication management reviews</w:t>
            </w:r>
          </w:p>
          <w:p w:rsidR="00C24A58" w:rsidRPr="00976CE8" w:rsidRDefault="00C24A58" w:rsidP="00976CE8">
            <w:pPr>
              <w:pStyle w:val="TableTextBullet"/>
              <w:cnfStyle w:val="000000100000" w:firstRow="0" w:lastRow="0" w:firstColumn="0" w:lastColumn="0" w:oddVBand="0" w:evenVBand="0" w:oddHBand="1" w:evenHBand="0" w:firstRowFirstColumn="0" w:firstRowLastColumn="0" w:lastRowFirstColumn="0" w:lastRowLastColumn="0"/>
            </w:pPr>
            <w:r w:rsidRPr="00976CE8">
              <w:t>Asthma management plans.</w:t>
            </w:r>
          </w:p>
          <w:p w:rsidR="009113AA" w:rsidRPr="00227D7D" w:rsidRDefault="009113AA" w:rsidP="00976CE8">
            <w:pPr>
              <w:pStyle w:val="TableText"/>
              <w:cnfStyle w:val="000000100000" w:firstRow="0" w:lastRow="0" w:firstColumn="0" w:lastColumn="0" w:oddVBand="0" w:evenVBand="0" w:oddHBand="1" w:evenHBand="0" w:firstRowFirstColumn="0" w:firstRowLastColumn="0" w:lastRowFirstColumn="0" w:lastRowLastColumn="0"/>
            </w:pPr>
            <w:r w:rsidRPr="00227D7D">
              <w:t>Introduction of screening incentives for diabetes and cervical cancer.</w:t>
            </w:r>
          </w:p>
        </w:tc>
      </w:tr>
      <w:tr w:rsidR="00C24A58" w:rsidRPr="00227D7D" w:rsidTr="00B9007B">
        <w:trPr>
          <w:cantSplit/>
        </w:trPr>
        <w:tc>
          <w:tcPr>
            <w:cnfStyle w:val="001000000000" w:firstRow="0" w:lastRow="0" w:firstColumn="1" w:lastColumn="0" w:oddVBand="0" w:evenVBand="0" w:oddHBand="0" w:evenHBand="0" w:firstRowFirstColumn="0" w:firstRowLastColumn="0" w:lastRowFirstColumn="0" w:lastRowLastColumn="0"/>
            <w:tcW w:w="1843" w:type="dxa"/>
          </w:tcPr>
          <w:p w:rsidR="00C24A58" w:rsidRPr="00227D7D" w:rsidRDefault="00085B6E" w:rsidP="00976CE8">
            <w:pPr>
              <w:pStyle w:val="TableText"/>
            </w:pPr>
            <w:r w:rsidRPr="00227D7D">
              <w:t>2003</w:t>
            </w:r>
            <w:r w:rsidR="00976CE8">
              <w:t>–</w:t>
            </w:r>
            <w:r w:rsidR="00C24A58" w:rsidRPr="00227D7D">
              <w:t>04</w:t>
            </w:r>
          </w:p>
        </w:tc>
        <w:tc>
          <w:tcPr>
            <w:tcW w:w="6469" w:type="dxa"/>
          </w:tcPr>
          <w:p w:rsidR="00C24A58" w:rsidRPr="00227D7D" w:rsidRDefault="00C24A58" w:rsidP="00976CE8">
            <w:pPr>
              <w:pStyle w:val="TableText"/>
              <w:cnfStyle w:val="000000000000" w:firstRow="0" w:lastRow="0" w:firstColumn="0" w:lastColumn="0" w:oddVBand="0" w:evenVBand="0" w:oddHBand="0" w:evenHBand="0" w:firstRowFirstColumn="0" w:firstRowLastColumn="0" w:lastRowFirstColumn="0" w:lastRowLastColumn="0"/>
            </w:pPr>
            <w:r w:rsidRPr="00227D7D">
              <w:t>Introduction of ‘A Fairer Medicare’ package</w:t>
            </w:r>
            <w:r w:rsidR="005B58A8">
              <w:t xml:space="preserve"> and</w:t>
            </w:r>
            <w:r w:rsidRPr="00227D7D">
              <w:t xml:space="preserve"> ‘</w:t>
            </w:r>
            <w:proofErr w:type="spellStart"/>
            <w:r w:rsidRPr="00227D7D">
              <w:t>MedicarePlus</w:t>
            </w:r>
            <w:proofErr w:type="spellEnd"/>
            <w:r w:rsidRPr="00227D7D">
              <w:t>’ including</w:t>
            </w:r>
          </w:p>
          <w:p w:rsidR="00C24A58" w:rsidRPr="00976CE8" w:rsidRDefault="00C24A58" w:rsidP="00976CE8">
            <w:pPr>
              <w:pStyle w:val="TableTextBullet"/>
              <w:cnfStyle w:val="000000000000" w:firstRow="0" w:lastRow="0" w:firstColumn="0" w:lastColumn="0" w:oddVBand="0" w:evenVBand="0" w:oddHBand="0" w:evenHBand="0" w:firstRowFirstColumn="0" w:firstRowLastColumn="0" w:lastRowFirstColumn="0" w:lastRowLastColumn="0"/>
            </w:pPr>
            <w:r w:rsidRPr="00976CE8">
              <w:t xml:space="preserve">Incentives for GPs to bulk bill patients with concession cards and children </w:t>
            </w:r>
            <w:r w:rsidR="005A3925" w:rsidRPr="00976CE8">
              <w:t>under 16</w:t>
            </w:r>
          </w:p>
          <w:p w:rsidR="00C24A58" w:rsidRPr="00976CE8" w:rsidRDefault="00C24A58" w:rsidP="00976CE8">
            <w:pPr>
              <w:pStyle w:val="TableTextBullet"/>
              <w:cnfStyle w:val="000000000000" w:firstRow="0" w:lastRow="0" w:firstColumn="0" w:lastColumn="0" w:oddVBand="0" w:evenVBand="0" w:oddHBand="0" w:evenHBand="0" w:firstRowFirstColumn="0" w:firstRowLastColumn="0" w:lastRowFirstColumn="0" w:lastRowLastColumn="0"/>
            </w:pPr>
            <w:r w:rsidRPr="00976CE8">
              <w:t>Private health insurance rebate</w:t>
            </w:r>
          </w:p>
          <w:p w:rsidR="00C24A58" w:rsidRPr="00227D7D" w:rsidRDefault="00C24A58" w:rsidP="00976CE8">
            <w:pPr>
              <w:pStyle w:val="TableTextBullet"/>
              <w:cnfStyle w:val="000000000000" w:firstRow="0" w:lastRow="0" w:firstColumn="0" w:lastColumn="0" w:oddVBand="0" w:evenVBand="0" w:oddHBand="0" w:evenHBand="0" w:firstRowFirstColumn="0" w:firstRowLastColumn="0" w:lastRowFirstColumn="0" w:lastRowLastColumn="0"/>
            </w:pPr>
            <w:r w:rsidRPr="00976CE8">
              <w:t xml:space="preserve">Expansion of existing Medicare </w:t>
            </w:r>
            <w:r w:rsidR="00DF7D43" w:rsidRPr="00976CE8">
              <w:t>S</w:t>
            </w:r>
            <w:r w:rsidRPr="00976CE8">
              <w:t xml:space="preserve">afety </w:t>
            </w:r>
            <w:r w:rsidR="00DF7D43" w:rsidRPr="00976CE8">
              <w:t>N</w:t>
            </w:r>
            <w:r w:rsidRPr="00976CE8">
              <w:t>et for concession card holders (to cover all out-of-hospital, out-of-pocket costs, not only the gap between the Schedule Fee and the 85% benefit level).</w:t>
            </w:r>
          </w:p>
        </w:tc>
      </w:tr>
      <w:tr w:rsidR="00C24A58" w:rsidRPr="00227D7D" w:rsidTr="00B900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3" w:type="dxa"/>
          </w:tcPr>
          <w:p w:rsidR="00C24A58" w:rsidRPr="00227D7D" w:rsidRDefault="00085B6E" w:rsidP="00976CE8">
            <w:pPr>
              <w:pStyle w:val="TableText"/>
            </w:pPr>
            <w:r w:rsidRPr="00227D7D">
              <w:t>2004</w:t>
            </w:r>
            <w:r w:rsidR="00976CE8">
              <w:t>–</w:t>
            </w:r>
            <w:r w:rsidR="00C24A58" w:rsidRPr="00227D7D">
              <w:t>05</w:t>
            </w:r>
          </w:p>
        </w:tc>
        <w:tc>
          <w:tcPr>
            <w:tcW w:w="6469" w:type="dxa"/>
          </w:tcPr>
          <w:p w:rsidR="00C24A58" w:rsidRPr="00227D7D" w:rsidRDefault="00C24A58" w:rsidP="00976CE8">
            <w:pPr>
              <w:pStyle w:val="TableText"/>
              <w:cnfStyle w:val="000000100000" w:firstRow="0" w:lastRow="0" w:firstColumn="0" w:lastColumn="0" w:oddVBand="0" w:evenVBand="0" w:oddHBand="1" w:evenHBand="0" w:firstRowFirstColumn="0" w:firstRowLastColumn="0" w:lastRowFirstColumn="0" w:lastRowLastColumn="0"/>
            </w:pPr>
            <w:r w:rsidRPr="00227D7D">
              <w:t>Additional ‘</w:t>
            </w:r>
            <w:proofErr w:type="spellStart"/>
            <w:r w:rsidRPr="00227D7D">
              <w:t>MedicarePlus</w:t>
            </w:r>
            <w:proofErr w:type="spellEnd"/>
            <w:r w:rsidRPr="00227D7D">
              <w:t>’ measures introduced including the Extended Medicare Safety Net available to all individuals and families once threshold out-of-pocket costs reached.</w:t>
            </w:r>
          </w:p>
          <w:p w:rsidR="00C24A58" w:rsidRPr="00227D7D" w:rsidRDefault="00C24A58" w:rsidP="00976CE8">
            <w:pPr>
              <w:pStyle w:val="TableText"/>
              <w:cnfStyle w:val="000000100000" w:firstRow="0" w:lastRow="0" w:firstColumn="0" w:lastColumn="0" w:oddVBand="0" w:evenVBand="0" w:oddHBand="1" w:evenHBand="0" w:firstRowFirstColumn="0" w:firstRowLastColumn="0" w:lastRowFirstColumn="0" w:lastRowLastColumn="0"/>
            </w:pPr>
            <w:r w:rsidRPr="00227D7D">
              <w:t>Benefits paid for non-referred attendances outside hospital increased from 85% to 100% of the Schedule Fee.</w:t>
            </w:r>
          </w:p>
          <w:p w:rsidR="0007462F" w:rsidRPr="00227D7D" w:rsidRDefault="00014DF2" w:rsidP="00976CE8">
            <w:pPr>
              <w:pStyle w:val="TableText"/>
              <w:cnfStyle w:val="000000100000" w:firstRow="0" w:lastRow="0" w:firstColumn="0" w:lastColumn="0" w:oddVBand="0" w:evenVBand="0" w:oddHBand="1" w:evenHBand="0" w:firstRowFirstColumn="0" w:firstRowLastColumn="0" w:lastRowFirstColumn="0" w:lastRowLastColumn="0"/>
            </w:pPr>
            <w:r w:rsidRPr="00227D7D">
              <w:t xml:space="preserve">Higher </w:t>
            </w:r>
            <w:r w:rsidR="00DF7D43">
              <w:t>MBS</w:t>
            </w:r>
            <w:r w:rsidRPr="00227D7D">
              <w:t xml:space="preserve"> rebates introduced for after-hours GP services.</w:t>
            </w:r>
          </w:p>
        </w:tc>
      </w:tr>
      <w:tr w:rsidR="00C24A58" w:rsidRPr="00227D7D" w:rsidTr="00B9007B">
        <w:trPr>
          <w:cantSplit/>
        </w:trPr>
        <w:tc>
          <w:tcPr>
            <w:cnfStyle w:val="001000000000" w:firstRow="0" w:lastRow="0" w:firstColumn="1" w:lastColumn="0" w:oddVBand="0" w:evenVBand="0" w:oddHBand="0" w:evenHBand="0" w:firstRowFirstColumn="0" w:firstRowLastColumn="0" w:lastRowFirstColumn="0" w:lastRowLastColumn="0"/>
            <w:tcW w:w="1843" w:type="dxa"/>
          </w:tcPr>
          <w:p w:rsidR="00C24A58" w:rsidRPr="00227D7D" w:rsidRDefault="00085B6E" w:rsidP="00976CE8">
            <w:pPr>
              <w:pStyle w:val="TableText"/>
            </w:pPr>
            <w:r w:rsidRPr="00227D7D">
              <w:t>2005</w:t>
            </w:r>
            <w:r w:rsidR="00976CE8">
              <w:t>–</w:t>
            </w:r>
            <w:r w:rsidR="00C24A58" w:rsidRPr="00227D7D">
              <w:t>06</w:t>
            </w:r>
          </w:p>
        </w:tc>
        <w:tc>
          <w:tcPr>
            <w:tcW w:w="6469" w:type="dxa"/>
          </w:tcPr>
          <w:p w:rsidR="00C24A58" w:rsidRPr="00227D7D" w:rsidRDefault="00C24A58" w:rsidP="00976CE8">
            <w:pPr>
              <w:pStyle w:val="TableText"/>
              <w:cnfStyle w:val="000000000000" w:firstRow="0" w:lastRow="0" w:firstColumn="0" w:lastColumn="0" w:oddVBand="0" w:evenVBand="0" w:oddHBand="0" w:evenHBand="0" w:firstRowFirstColumn="0" w:firstRowLastColumn="0" w:lastRowFirstColumn="0" w:lastRowLastColumn="0"/>
            </w:pPr>
            <w:r w:rsidRPr="00227D7D">
              <w:t xml:space="preserve">Medicare </w:t>
            </w:r>
            <w:r w:rsidR="00DF7D43">
              <w:t>S</w:t>
            </w:r>
            <w:r w:rsidRPr="00227D7D">
              <w:t xml:space="preserve">afety </w:t>
            </w:r>
            <w:r w:rsidR="00DF7D43">
              <w:t>N</w:t>
            </w:r>
            <w:r w:rsidRPr="00227D7D">
              <w:t>et thresholds increased.</w:t>
            </w:r>
          </w:p>
        </w:tc>
      </w:tr>
      <w:tr w:rsidR="00C24A58" w:rsidRPr="00227D7D" w:rsidTr="00B900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3" w:type="dxa"/>
          </w:tcPr>
          <w:p w:rsidR="00C24A58" w:rsidRPr="00227D7D" w:rsidRDefault="00085B6E" w:rsidP="00976CE8">
            <w:pPr>
              <w:pStyle w:val="TableText"/>
            </w:pPr>
            <w:r w:rsidRPr="00227D7D">
              <w:t>2006</w:t>
            </w:r>
            <w:r w:rsidR="00976CE8">
              <w:t>–</w:t>
            </w:r>
            <w:r w:rsidR="00C24A58" w:rsidRPr="00227D7D">
              <w:t>07</w:t>
            </w:r>
          </w:p>
        </w:tc>
        <w:tc>
          <w:tcPr>
            <w:tcW w:w="6469" w:type="dxa"/>
          </w:tcPr>
          <w:p w:rsidR="00C24A58" w:rsidRPr="00227D7D" w:rsidRDefault="00C24A58" w:rsidP="00976CE8">
            <w:pPr>
              <w:pStyle w:val="TableText"/>
              <w:cnfStyle w:val="000000100000" w:firstRow="0" w:lastRow="0" w:firstColumn="0" w:lastColumn="0" w:oddVBand="0" w:evenVBand="0" w:oddHBand="1" w:evenHBand="0" w:firstRowFirstColumn="0" w:firstRowLastColumn="0" w:lastRowFirstColumn="0" w:lastRowLastColumn="0"/>
            </w:pPr>
            <w:r w:rsidRPr="00227D7D">
              <w:t xml:space="preserve">Expansion of access to allied mental health care practitioners through </w:t>
            </w:r>
            <w:r w:rsidR="00DF7D43">
              <w:t>the MBS</w:t>
            </w:r>
            <w:r w:rsidRPr="00227D7D">
              <w:t>.</w:t>
            </w:r>
          </w:p>
        </w:tc>
      </w:tr>
      <w:tr w:rsidR="00C24A58" w:rsidRPr="00227D7D" w:rsidTr="00B9007B">
        <w:trPr>
          <w:cantSplit/>
        </w:trPr>
        <w:tc>
          <w:tcPr>
            <w:cnfStyle w:val="001000000000" w:firstRow="0" w:lastRow="0" w:firstColumn="1" w:lastColumn="0" w:oddVBand="0" w:evenVBand="0" w:oddHBand="0" w:evenHBand="0" w:firstRowFirstColumn="0" w:firstRowLastColumn="0" w:lastRowFirstColumn="0" w:lastRowLastColumn="0"/>
            <w:tcW w:w="1843" w:type="dxa"/>
          </w:tcPr>
          <w:p w:rsidR="00C24A58" w:rsidRPr="00227D7D" w:rsidRDefault="00085B6E" w:rsidP="00976CE8">
            <w:pPr>
              <w:pStyle w:val="TableText"/>
            </w:pPr>
            <w:r w:rsidRPr="00227D7D">
              <w:lastRenderedPageBreak/>
              <w:t>2007</w:t>
            </w:r>
            <w:r w:rsidR="00976CE8">
              <w:t>–</w:t>
            </w:r>
            <w:r w:rsidR="00C24A58" w:rsidRPr="00227D7D">
              <w:t>08</w:t>
            </w:r>
          </w:p>
        </w:tc>
        <w:tc>
          <w:tcPr>
            <w:tcW w:w="6469" w:type="dxa"/>
          </w:tcPr>
          <w:p w:rsidR="0007462F" w:rsidRPr="00227D7D" w:rsidRDefault="0007462F" w:rsidP="00976CE8">
            <w:pPr>
              <w:pStyle w:val="TableText"/>
              <w:cnfStyle w:val="000000000000" w:firstRow="0" w:lastRow="0" w:firstColumn="0" w:lastColumn="0" w:oddVBand="0" w:evenVBand="0" w:oddHBand="0" w:evenHBand="0" w:firstRowFirstColumn="0" w:firstRowLastColumn="0" w:lastRowFirstColumn="0" w:lastRowLastColumn="0"/>
            </w:pPr>
            <w:r w:rsidRPr="00227D7D">
              <w:t>Introduction of rebates for annual health assessments for patients with an intellectual disability.</w:t>
            </w:r>
          </w:p>
          <w:p w:rsidR="00C24A58" w:rsidRPr="00227D7D" w:rsidRDefault="00C24A58" w:rsidP="00976CE8">
            <w:pPr>
              <w:pStyle w:val="TableText"/>
              <w:cnfStyle w:val="000000000000" w:firstRow="0" w:lastRow="0" w:firstColumn="0" w:lastColumn="0" w:oddVBand="0" w:evenVBand="0" w:oddHBand="0" w:evenHBand="0" w:firstRowFirstColumn="0" w:firstRowLastColumn="0" w:lastRowFirstColumn="0" w:lastRowLastColumn="0"/>
            </w:pPr>
            <w:r w:rsidRPr="00227D7D">
              <w:t xml:space="preserve">Addition of after-hours items to </w:t>
            </w:r>
            <w:r w:rsidR="00DF7D43">
              <w:t>the MBS</w:t>
            </w:r>
            <w:r w:rsidRPr="00227D7D">
              <w:t xml:space="preserve"> for urgent out-of-surgery visits.</w:t>
            </w:r>
          </w:p>
        </w:tc>
      </w:tr>
      <w:tr w:rsidR="00C24A58" w:rsidRPr="00227D7D" w:rsidTr="00B900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3" w:type="dxa"/>
          </w:tcPr>
          <w:p w:rsidR="00C24A58" w:rsidRPr="00227D7D" w:rsidRDefault="00085B6E" w:rsidP="00976CE8">
            <w:pPr>
              <w:pStyle w:val="TableText"/>
            </w:pPr>
            <w:r w:rsidRPr="00227D7D">
              <w:t>2009</w:t>
            </w:r>
            <w:r w:rsidR="00976CE8">
              <w:t>–</w:t>
            </w:r>
            <w:r w:rsidR="00C24A58" w:rsidRPr="00227D7D">
              <w:t>10</w:t>
            </w:r>
          </w:p>
        </w:tc>
        <w:tc>
          <w:tcPr>
            <w:tcW w:w="6469" w:type="dxa"/>
          </w:tcPr>
          <w:p w:rsidR="00C24A58" w:rsidRPr="00227D7D" w:rsidRDefault="00C24A58" w:rsidP="00976CE8">
            <w:pPr>
              <w:pStyle w:val="TableText"/>
              <w:cnfStyle w:val="000000100000" w:firstRow="0" w:lastRow="0" w:firstColumn="0" w:lastColumn="0" w:oddVBand="0" w:evenVBand="0" w:oddHBand="1" w:evenHBand="0" w:firstRowFirstColumn="0" w:firstRowLastColumn="0" w:lastRowFirstColumn="0" w:lastRowLastColumn="0"/>
            </w:pPr>
            <w:r w:rsidRPr="00227D7D">
              <w:t xml:space="preserve">Reform of </w:t>
            </w:r>
            <w:r w:rsidR="00DF7D43">
              <w:t>the MBS</w:t>
            </w:r>
            <w:r w:rsidRPr="00227D7D">
              <w:t xml:space="preserve"> including:</w:t>
            </w:r>
          </w:p>
          <w:p w:rsidR="00C24A58" w:rsidRPr="00976CE8" w:rsidRDefault="00C24A58" w:rsidP="00976CE8">
            <w:pPr>
              <w:pStyle w:val="TableTextBullet"/>
              <w:cnfStyle w:val="000000100000" w:firstRow="0" w:lastRow="0" w:firstColumn="0" w:lastColumn="0" w:oddVBand="0" w:evenVBand="0" w:oddHBand="1" w:evenHBand="0" w:firstRowFirstColumn="0" w:firstRowLastColumn="0" w:lastRowFirstColumn="0" w:lastRowLastColumn="0"/>
            </w:pPr>
            <w:r w:rsidRPr="00976CE8">
              <w:t xml:space="preserve">New services review process for items added to </w:t>
            </w:r>
            <w:r w:rsidR="00DF7D43" w:rsidRPr="00976CE8">
              <w:t>the MBS</w:t>
            </w:r>
            <w:r w:rsidR="005A3925" w:rsidRPr="00976CE8">
              <w:t>.</w:t>
            </w:r>
          </w:p>
          <w:p w:rsidR="00C24A58" w:rsidRPr="00976CE8" w:rsidRDefault="00C24A58" w:rsidP="00976CE8">
            <w:pPr>
              <w:pStyle w:val="TableTextBullet"/>
              <w:cnfStyle w:val="000000100000" w:firstRow="0" w:lastRow="0" w:firstColumn="0" w:lastColumn="0" w:oddVBand="0" w:evenVBand="0" w:oddHBand="1" w:evenHBand="0" w:firstRowFirstColumn="0" w:firstRowLastColumn="0" w:lastRowFirstColumn="0" w:lastRowLastColumn="0"/>
            </w:pPr>
            <w:r w:rsidRPr="00976CE8">
              <w:t xml:space="preserve">Introduction of a cap on benefits payable under the </w:t>
            </w:r>
            <w:r w:rsidR="00C009AB">
              <w:t>EMSN</w:t>
            </w:r>
            <w:r w:rsidRPr="00976CE8">
              <w:t>.</w:t>
            </w:r>
          </w:p>
          <w:p w:rsidR="00C24A58" w:rsidRPr="00976CE8" w:rsidRDefault="00C24A58" w:rsidP="00976CE8">
            <w:pPr>
              <w:pStyle w:val="TableTextBullet"/>
              <w:cnfStyle w:val="000000100000" w:firstRow="0" w:lastRow="0" w:firstColumn="0" w:lastColumn="0" w:oddVBand="0" w:evenVBand="0" w:oddHBand="1" w:evenHBand="0" w:firstRowFirstColumn="0" w:firstRowLastColumn="0" w:lastRowFirstColumn="0" w:lastRowLastColumn="0"/>
            </w:pPr>
            <w:r w:rsidRPr="00976CE8">
              <w:t>Introduction of bulk</w:t>
            </w:r>
            <w:r w:rsidR="008F2E20" w:rsidRPr="00976CE8">
              <w:t xml:space="preserve"> </w:t>
            </w:r>
            <w:r w:rsidRPr="00976CE8">
              <w:t>billing incentives for diagnostic imaging and pathology services.</w:t>
            </w:r>
          </w:p>
          <w:p w:rsidR="00C24A58" w:rsidRPr="00976CE8" w:rsidRDefault="00C24A58" w:rsidP="00976CE8">
            <w:pPr>
              <w:pStyle w:val="TableTextBullet"/>
              <w:cnfStyle w:val="000000100000" w:firstRow="0" w:lastRow="0" w:firstColumn="0" w:lastColumn="0" w:oddVBand="0" w:evenVBand="0" w:oddHBand="1" w:evenHBand="0" w:firstRowFirstColumn="0" w:firstRowLastColumn="0" w:lastRowFirstColumn="0" w:lastRowLastColumn="0"/>
            </w:pPr>
            <w:r w:rsidRPr="00976CE8">
              <w:t xml:space="preserve">Amendments to Schedule Fees for items where there is evidence that </w:t>
            </w:r>
            <w:r w:rsidR="00B9007B" w:rsidRPr="00976CE8">
              <w:t>improvement</w:t>
            </w:r>
            <w:r w:rsidRPr="00976CE8">
              <w:t xml:space="preserve"> in technologies have allowed services to be delivered more cheaply.</w:t>
            </w:r>
          </w:p>
          <w:p w:rsidR="00C24A58" w:rsidRPr="00227D7D" w:rsidRDefault="00C24A58" w:rsidP="00976CE8">
            <w:pPr>
              <w:pStyle w:val="TableTextBullet"/>
              <w:cnfStyle w:val="000000100000" w:firstRow="0" w:lastRow="0" w:firstColumn="0" w:lastColumn="0" w:oddVBand="0" w:evenVBand="0" w:oddHBand="1" w:evenHBand="0" w:firstRowFirstColumn="0" w:firstRowLastColumn="0" w:lastRowFirstColumn="0" w:lastRowLastColumn="0"/>
            </w:pPr>
            <w:r w:rsidRPr="00976CE8">
              <w:t xml:space="preserve">Expansion of </w:t>
            </w:r>
            <w:r w:rsidR="00DF7D43" w:rsidRPr="00976CE8">
              <w:t>MBS</w:t>
            </w:r>
            <w:r w:rsidRPr="00976CE8">
              <w:t xml:space="preserve"> rebates for nurse practitioners providing services equivalent to those of a GP.</w:t>
            </w:r>
          </w:p>
        </w:tc>
      </w:tr>
      <w:tr w:rsidR="00C24A58" w:rsidRPr="00227D7D" w:rsidTr="00B9007B">
        <w:trPr>
          <w:cantSplit/>
        </w:trPr>
        <w:tc>
          <w:tcPr>
            <w:cnfStyle w:val="001000000000" w:firstRow="0" w:lastRow="0" w:firstColumn="1" w:lastColumn="0" w:oddVBand="0" w:evenVBand="0" w:oddHBand="0" w:evenHBand="0" w:firstRowFirstColumn="0" w:firstRowLastColumn="0" w:lastRowFirstColumn="0" w:lastRowLastColumn="0"/>
            <w:tcW w:w="1843" w:type="dxa"/>
          </w:tcPr>
          <w:p w:rsidR="00C24A58" w:rsidRPr="00227D7D" w:rsidRDefault="00085B6E" w:rsidP="00976CE8">
            <w:pPr>
              <w:pStyle w:val="TableText"/>
            </w:pPr>
            <w:r w:rsidRPr="00227D7D">
              <w:t>2010</w:t>
            </w:r>
            <w:r w:rsidR="00976CE8">
              <w:t>–</w:t>
            </w:r>
            <w:r w:rsidR="00C24A58" w:rsidRPr="00227D7D">
              <w:t>11</w:t>
            </w:r>
          </w:p>
        </w:tc>
        <w:tc>
          <w:tcPr>
            <w:tcW w:w="6469" w:type="dxa"/>
          </w:tcPr>
          <w:p w:rsidR="00C24A58" w:rsidRPr="00227D7D" w:rsidRDefault="00C24A58" w:rsidP="00976CE8">
            <w:pPr>
              <w:pStyle w:val="TableText"/>
              <w:cnfStyle w:val="000000000000" w:firstRow="0" w:lastRow="0" w:firstColumn="0" w:lastColumn="0" w:oddVBand="0" w:evenVBand="0" w:oddHBand="0" w:evenHBand="0" w:firstRowFirstColumn="0" w:firstRowLastColumn="0" w:lastRowFirstColumn="0" w:lastRowLastColumn="0"/>
            </w:pPr>
            <w:r w:rsidRPr="00227D7D">
              <w:t xml:space="preserve">Increased </w:t>
            </w:r>
            <w:r w:rsidR="00DF7D43">
              <w:t>MBS</w:t>
            </w:r>
            <w:r w:rsidRPr="00227D7D">
              <w:t xml:space="preserve"> rebates for long and complex GP consultations.</w:t>
            </w:r>
          </w:p>
          <w:p w:rsidR="00C24A58" w:rsidRPr="00227D7D" w:rsidRDefault="00C24A58" w:rsidP="00976CE8">
            <w:pPr>
              <w:pStyle w:val="TableText"/>
              <w:cnfStyle w:val="000000000000" w:firstRow="0" w:lastRow="0" w:firstColumn="0" w:lastColumn="0" w:oddVBand="0" w:evenVBand="0" w:oddHBand="0" w:evenHBand="0" w:firstRowFirstColumn="0" w:firstRowLastColumn="0" w:lastRowFirstColumn="0" w:lastRowLastColumn="0"/>
            </w:pPr>
            <w:r w:rsidRPr="00227D7D">
              <w:t xml:space="preserve">Greater access to medical specialists through </w:t>
            </w:r>
            <w:r w:rsidR="00DF7D43">
              <w:t>the MBS</w:t>
            </w:r>
            <w:r w:rsidRPr="00227D7D">
              <w:t>.</w:t>
            </w:r>
          </w:p>
        </w:tc>
      </w:tr>
      <w:tr w:rsidR="00C24A58" w:rsidRPr="00227D7D" w:rsidTr="00B900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3" w:type="dxa"/>
          </w:tcPr>
          <w:p w:rsidR="00C24A58" w:rsidRPr="00227D7D" w:rsidRDefault="00085B6E" w:rsidP="00976CE8">
            <w:pPr>
              <w:pStyle w:val="TableText"/>
            </w:pPr>
            <w:r w:rsidRPr="00227D7D">
              <w:t>2011</w:t>
            </w:r>
            <w:r w:rsidR="00976CE8">
              <w:t>–</w:t>
            </w:r>
            <w:r w:rsidR="00C24A58" w:rsidRPr="00227D7D">
              <w:t>12</w:t>
            </w:r>
          </w:p>
        </w:tc>
        <w:tc>
          <w:tcPr>
            <w:tcW w:w="6469" w:type="dxa"/>
          </w:tcPr>
          <w:p w:rsidR="00C24A58" w:rsidRPr="00227D7D" w:rsidRDefault="00C24A58" w:rsidP="00976CE8">
            <w:pPr>
              <w:pStyle w:val="TableText"/>
              <w:cnfStyle w:val="000000100000" w:firstRow="0" w:lastRow="0" w:firstColumn="0" w:lastColumn="0" w:oddVBand="0" w:evenVBand="0" w:oddHBand="1" w:evenHBand="0" w:firstRowFirstColumn="0" w:firstRowLastColumn="0" w:lastRowFirstColumn="0" w:lastRowLastColumn="0"/>
            </w:pPr>
            <w:r w:rsidRPr="00227D7D">
              <w:t xml:space="preserve">Expanded access to diagnostic imaging through </w:t>
            </w:r>
            <w:r w:rsidR="00DF7D43">
              <w:t>the MBS</w:t>
            </w:r>
            <w:r w:rsidRPr="00227D7D">
              <w:t xml:space="preserve"> (including increased bulk billing incentives).</w:t>
            </w:r>
          </w:p>
          <w:p w:rsidR="00C24A58" w:rsidRPr="00227D7D" w:rsidRDefault="00C24A58" w:rsidP="00976CE8">
            <w:pPr>
              <w:pStyle w:val="TableText"/>
              <w:cnfStyle w:val="000000100000" w:firstRow="0" w:lastRow="0" w:firstColumn="0" w:lastColumn="0" w:oddVBand="0" w:evenVBand="0" w:oddHBand="1" w:evenHBand="0" w:firstRowFirstColumn="0" w:firstRowLastColumn="0" w:lastRowFirstColumn="0" w:lastRowLastColumn="0"/>
            </w:pPr>
            <w:r w:rsidRPr="00227D7D">
              <w:t xml:space="preserve">Reform of pathology service funding and allied mental health care funding through </w:t>
            </w:r>
            <w:r w:rsidR="00DF7D43">
              <w:t>the MBS</w:t>
            </w:r>
            <w:r w:rsidRPr="00227D7D">
              <w:t>.</w:t>
            </w:r>
          </w:p>
        </w:tc>
      </w:tr>
      <w:tr w:rsidR="00C24A58" w:rsidRPr="00227D7D" w:rsidTr="008A0495">
        <w:trPr>
          <w:cantSplit/>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rsidR="00C24A58" w:rsidRPr="00227D7D" w:rsidRDefault="00085B6E" w:rsidP="00976CE8">
            <w:pPr>
              <w:pStyle w:val="TableText"/>
            </w:pPr>
            <w:r w:rsidRPr="00227D7D">
              <w:t>2013</w:t>
            </w:r>
            <w:r w:rsidR="00976CE8">
              <w:t>–</w:t>
            </w:r>
            <w:r w:rsidR="00C24A58" w:rsidRPr="00227D7D">
              <w:t>14</w:t>
            </w:r>
          </w:p>
        </w:tc>
        <w:tc>
          <w:tcPr>
            <w:tcW w:w="6469" w:type="dxa"/>
            <w:shd w:val="clear" w:color="auto" w:fill="FFFFFF" w:themeFill="background1"/>
          </w:tcPr>
          <w:p w:rsidR="00193B4B" w:rsidRDefault="00C24A58" w:rsidP="00976CE8">
            <w:pPr>
              <w:pStyle w:val="TableText"/>
              <w:cnfStyle w:val="000000000000" w:firstRow="0" w:lastRow="0" w:firstColumn="0" w:lastColumn="0" w:oddVBand="0" w:evenVBand="0" w:oddHBand="0" w:evenHBand="0" w:firstRowFirstColumn="0" w:firstRowLastColumn="0" w:lastRowFirstColumn="0" w:lastRowLastColumn="0"/>
            </w:pPr>
            <w:r w:rsidRPr="00227D7D">
              <w:t xml:space="preserve">Increase of general threshold for </w:t>
            </w:r>
            <w:r w:rsidR="00E57681">
              <w:t>EMSN</w:t>
            </w:r>
            <w:r w:rsidRPr="00227D7D">
              <w:t xml:space="preserve"> to $2000.</w:t>
            </w:r>
          </w:p>
          <w:p w:rsidR="00193B4B" w:rsidRPr="00227D7D" w:rsidRDefault="00193B4B" w:rsidP="00976CE8">
            <w:pPr>
              <w:pStyle w:val="TableText"/>
              <w:cnfStyle w:val="000000000000" w:firstRow="0" w:lastRow="0" w:firstColumn="0" w:lastColumn="0" w:oddVBand="0" w:evenVBand="0" w:oddHBand="0" w:evenHBand="0" w:firstRowFirstColumn="0" w:firstRowLastColumn="0" w:lastRowFirstColumn="0" w:lastRowLastColumn="0"/>
            </w:pPr>
            <w:r>
              <w:t xml:space="preserve">Indexation of </w:t>
            </w:r>
            <w:r w:rsidR="00A56C65">
              <w:t xml:space="preserve">MBS </w:t>
            </w:r>
            <w:r>
              <w:t xml:space="preserve">fees was </w:t>
            </w:r>
            <w:r w:rsidR="00826701">
              <w:t>re-aligned with the financial year</w:t>
            </w:r>
            <w:r>
              <w:t xml:space="preserve"> </w:t>
            </w:r>
            <w:r w:rsidR="00826701">
              <w:t xml:space="preserve">moving </w:t>
            </w:r>
            <w:r>
              <w:t>from 1 November 2013 to 1 July 2014.</w:t>
            </w:r>
          </w:p>
        </w:tc>
      </w:tr>
      <w:tr w:rsidR="00193B4B" w:rsidRPr="00227D7D" w:rsidTr="008A049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3" w:type="dxa"/>
          </w:tcPr>
          <w:p w:rsidR="00193B4B" w:rsidRPr="00227D7D" w:rsidRDefault="00976CE8" w:rsidP="00976CE8">
            <w:pPr>
              <w:pStyle w:val="TableText"/>
            </w:pPr>
            <w:r>
              <w:t>2014–</w:t>
            </w:r>
            <w:r w:rsidR="00193B4B">
              <w:t>15</w:t>
            </w:r>
          </w:p>
        </w:tc>
        <w:tc>
          <w:tcPr>
            <w:tcW w:w="6469" w:type="dxa"/>
          </w:tcPr>
          <w:p w:rsidR="001D1FCF" w:rsidRPr="00227D7D" w:rsidRDefault="00826701" w:rsidP="00976CE8">
            <w:pPr>
              <w:pStyle w:val="TableText"/>
              <w:cnfStyle w:val="000000100000" w:firstRow="0" w:lastRow="0" w:firstColumn="0" w:lastColumn="0" w:oddVBand="0" w:evenVBand="0" w:oddHBand="1" w:evenHBand="0" w:firstRowFirstColumn="0" w:firstRowLastColumn="0" w:lastRowFirstColumn="0" w:lastRowLastColumn="0"/>
            </w:pPr>
            <w:r>
              <w:t xml:space="preserve">Indexation of some </w:t>
            </w:r>
            <w:r w:rsidR="00A56C65">
              <w:t>MBS</w:t>
            </w:r>
            <w:r>
              <w:t xml:space="preserve"> fees (GP fees excluded) </w:t>
            </w:r>
            <w:r w:rsidR="00954863">
              <w:t>is being</w:t>
            </w:r>
            <w:r>
              <w:t xml:space="preserve"> paused for two </w:t>
            </w:r>
            <w:r w:rsidR="003303EF">
              <w:t>years from 1 July 2014 to 30 June</w:t>
            </w:r>
            <w:r>
              <w:t> 2016.</w:t>
            </w:r>
          </w:p>
        </w:tc>
      </w:tr>
      <w:tr w:rsidR="00A8083F" w:rsidRPr="00227D7D" w:rsidTr="008A0495">
        <w:trPr>
          <w:cantSplit/>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rsidR="00A8083F" w:rsidRPr="003322E4" w:rsidRDefault="00976CE8" w:rsidP="00976CE8">
            <w:pPr>
              <w:pStyle w:val="TableText"/>
            </w:pPr>
            <w:r>
              <w:t>2015–</w:t>
            </w:r>
            <w:r w:rsidR="00A8083F" w:rsidRPr="003322E4">
              <w:t>16</w:t>
            </w:r>
          </w:p>
        </w:tc>
        <w:tc>
          <w:tcPr>
            <w:tcW w:w="6469" w:type="dxa"/>
            <w:shd w:val="clear" w:color="auto" w:fill="FFFFFF" w:themeFill="background1"/>
          </w:tcPr>
          <w:p w:rsidR="00A8083F" w:rsidRPr="00D63179" w:rsidRDefault="00954863" w:rsidP="00976CE8">
            <w:pPr>
              <w:pStyle w:val="TableText"/>
              <w:cnfStyle w:val="000000000000" w:firstRow="0" w:lastRow="0" w:firstColumn="0" w:lastColumn="0" w:oddVBand="0" w:evenVBand="0" w:oddHBand="0" w:evenHBand="0" w:firstRowFirstColumn="0" w:firstRowLastColumn="0" w:lastRowFirstColumn="0" w:lastRowLastColumn="0"/>
            </w:pPr>
            <w:r w:rsidRPr="006D77AB">
              <w:t>I</w:t>
            </w:r>
            <w:r w:rsidR="00A8083F" w:rsidRPr="00D63179">
              <w:t xml:space="preserve">ndexation of MBS fees for all GP services </w:t>
            </w:r>
            <w:r w:rsidRPr="00D63179">
              <w:t>is being</w:t>
            </w:r>
            <w:r w:rsidR="00A8083F" w:rsidRPr="00D63179">
              <w:t xml:space="preserve"> paused for three years from 1 July 2015 to 1 July 2018.</w:t>
            </w:r>
          </w:p>
          <w:p w:rsidR="00534DDF" w:rsidRDefault="00534DDF" w:rsidP="0084170F">
            <w:pPr>
              <w:pStyle w:val="TableText"/>
              <w:cnfStyle w:val="000000000000" w:firstRow="0" w:lastRow="0" w:firstColumn="0" w:lastColumn="0" w:oddVBand="0" w:evenVBand="0" w:oddHBand="0" w:evenHBand="0" w:firstRowFirstColumn="0" w:firstRowLastColumn="0" w:lastRowFirstColumn="0" w:lastRowLastColumn="0"/>
            </w:pPr>
            <w:r w:rsidRPr="00D63179">
              <w:t xml:space="preserve">Proposed replacement of Original Medicare Safety Net, </w:t>
            </w:r>
            <w:r w:rsidR="0084170F">
              <w:t>EMSN</w:t>
            </w:r>
            <w:r w:rsidRPr="00D63179">
              <w:t xml:space="preserve"> and Greatest Permissible Gap with the new Medicare Safety Net from 1 January 2016.</w:t>
            </w:r>
          </w:p>
        </w:tc>
      </w:tr>
      <w:tr w:rsidR="00D23C42" w:rsidRPr="00227D7D" w:rsidTr="008A049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3" w:type="dxa"/>
          </w:tcPr>
          <w:p w:rsidR="00D23C42" w:rsidRDefault="00976CE8" w:rsidP="00976CE8">
            <w:pPr>
              <w:pStyle w:val="TableText"/>
            </w:pPr>
            <w:r>
              <w:t>2016–</w:t>
            </w:r>
            <w:r w:rsidR="00A8083F">
              <w:t>17</w:t>
            </w:r>
          </w:p>
        </w:tc>
        <w:tc>
          <w:tcPr>
            <w:tcW w:w="6469" w:type="dxa"/>
          </w:tcPr>
          <w:p w:rsidR="00D23C42" w:rsidRDefault="00D23C42" w:rsidP="00976CE8">
            <w:pPr>
              <w:pStyle w:val="TableText"/>
              <w:cnfStyle w:val="000000100000" w:firstRow="0" w:lastRow="0" w:firstColumn="0" w:lastColumn="0" w:oddVBand="0" w:evenVBand="0" w:oddHBand="1" w:evenHBand="0" w:firstRowFirstColumn="0" w:firstRowLastColumn="0" w:lastRowFirstColumn="0" w:lastRowLastColumn="0"/>
            </w:pPr>
            <w:r>
              <w:t xml:space="preserve">Proposed extension of indexation </w:t>
            </w:r>
            <w:r w:rsidR="00F76D6C">
              <w:t xml:space="preserve">pause </w:t>
            </w:r>
            <w:r>
              <w:t>of MBS fees for all services provided by medical specialists, allied health and other health practitioners for a further two years from 1 July 2016 to 1 July 2018</w:t>
            </w:r>
            <w:r w:rsidR="00A8083F">
              <w:t>.</w:t>
            </w:r>
          </w:p>
        </w:tc>
      </w:tr>
    </w:tbl>
    <w:p w:rsidR="003D5FB3" w:rsidRDefault="003D5FB3" w:rsidP="00FA2280">
      <w:pPr>
        <w:pStyle w:val="BodyText"/>
      </w:pPr>
    </w:p>
    <w:p w:rsidR="003D5FB3" w:rsidRDefault="003D5FB3" w:rsidP="00FA2280">
      <w:pPr>
        <w:pStyle w:val="BodyText"/>
        <w:sectPr w:rsidR="003D5FB3" w:rsidSect="003D5FB3">
          <w:headerReference w:type="even" r:id="rId68"/>
          <w:headerReference w:type="default" r:id="rId69"/>
          <w:footerReference w:type="even" r:id="rId70"/>
          <w:footerReference w:type="default" r:id="rId71"/>
          <w:headerReference w:type="first" r:id="rId72"/>
          <w:footerReference w:type="first" r:id="rId73"/>
          <w:pgSz w:w="11907" w:h="16839" w:code="9"/>
          <w:pgMar w:top="1361" w:right="1797" w:bottom="1474" w:left="1797" w:header="283" w:footer="454" w:gutter="0"/>
          <w:cols w:space="708"/>
          <w:docGrid w:linePitch="360"/>
        </w:sectPr>
      </w:pPr>
    </w:p>
    <w:p w:rsidR="00B05310" w:rsidRDefault="007C17B4" w:rsidP="007C17B4">
      <w:pPr>
        <w:pStyle w:val="Heading8"/>
      </w:pPr>
      <w:bookmarkStart w:id="136" w:name="_Ref436043210"/>
      <w:bookmarkStart w:id="137" w:name="_Toc436050989"/>
      <w:bookmarkStart w:id="138" w:name="_Toc436205173"/>
      <w:bookmarkStart w:id="139" w:name="_Toc436205211"/>
      <w:r>
        <w:lastRenderedPageBreak/>
        <w:t xml:space="preserve">– </w:t>
      </w:r>
      <w:r w:rsidR="003A1B01">
        <w:t>Technical notes and sources</w:t>
      </w:r>
      <w:bookmarkEnd w:id="136"/>
      <w:bookmarkEnd w:id="137"/>
      <w:bookmarkEnd w:id="138"/>
      <w:bookmarkEnd w:id="139"/>
    </w:p>
    <w:p w:rsidR="003A1B01" w:rsidRDefault="003A1B01" w:rsidP="00A65FCE">
      <w:pPr>
        <w:pStyle w:val="BodyText"/>
      </w:pPr>
      <w:r>
        <w:t xml:space="preserve">The report uses </w:t>
      </w:r>
      <w:r w:rsidR="000226E8">
        <w:t xml:space="preserve">MBS </w:t>
      </w:r>
      <w:r w:rsidR="00B05310">
        <w:t xml:space="preserve">services and benefits data </w:t>
      </w:r>
      <w:r>
        <w:t>published by</w:t>
      </w:r>
      <w:r w:rsidR="00B05310">
        <w:t xml:space="preserve"> the Department of Human </w:t>
      </w:r>
      <w:r w:rsidR="00B05310" w:rsidRPr="00296721">
        <w:t>Services</w:t>
      </w:r>
      <w:r w:rsidRPr="00F248B4">
        <w:t xml:space="preserve"> </w:t>
      </w:r>
      <w:r w:rsidR="00AC19F1" w:rsidRPr="00F248B4">
        <w:t xml:space="preserve">in the analysis of </w:t>
      </w:r>
      <w:r w:rsidRPr="00245605">
        <w:t>historical trends from 19</w:t>
      </w:r>
      <w:r w:rsidR="00B70171">
        <w:t>93–</w:t>
      </w:r>
      <w:r w:rsidRPr="00245605">
        <w:t>94 to 2014</w:t>
      </w:r>
      <w:r w:rsidR="00B70171">
        <w:t>–</w:t>
      </w:r>
      <w:r w:rsidRPr="00245605">
        <w:t>15.  Specifically, data has</w:t>
      </w:r>
      <w:r>
        <w:t xml:space="preserve"> been sourced from:</w:t>
      </w:r>
    </w:p>
    <w:p w:rsidR="003A1B01" w:rsidRDefault="00AF4AB9" w:rsidP="008A0495">
      <w:pPr>
        <w:pStyle w:val="ListBullet"/>
      </w:pPr>
      <w:hyperlink r:id="rId74" w:history="1">
        <w:r w:rsidR="000226E8" w:rsidRPr="00227D7D">
          <w:rPr>
            <w:rStyle w:val="Hyperlink"/>
          </w:rPr>
          <w:t>medicarestatistics.humanservices.gov.au/statistics/</w:t>
        </w:r>
        <w:proofErr w:type="spellStart"/>
        <w:r w:rsidR="000226E8" w:rsidRPr="00227D7D">
          <w:rPr>
            <w:rStyle w:val="Hyperlink"/>
          </w:rPr>
          <w:t>mbs_item.jsp</w:t>
        </w:r>
        <w:proofErr w:type="spellEnd"/>
      </w:hyperlink>
    </w:p>
    <w:p w:rsidR="003A1B01" w:rsidRPr="00A65FCE" w:rsidRDefault="000B5579" w:rsidP="00A65FCE">
      <w:pPr>
        <w:pStyle w:val="Heading9"/>
      </w:pPr>
      <w:r w:rsidRPr="00A65FCE">
        <w:t>Methodology</w:t>
      </w:r>
    </w:p>
    <w:p w:rsidR="00B05310" w:rsidRDefault="000B5579" w:rsidP="008A0495">
      <w:pPr>
        <w:pStyle w:val="BodyText"/>
      </w:pPr>
      <w:r>
        <w:t>MBS services and benefits data</w:t>
      </w:r>
      <w:r w:rsidR="00B05310">
        <w:t xml:space="preserve"> h</w:t>
      </w:r>
      <w:r w:rsidR="003F1A3F">
        <w:t>ave been grouped into six</w:t>
      </w:r>
      <w:r w:rsidR="00B05310">
        <w:t xml:space="preserve"> categories (as outlined in</w:t>
      </w:r>
      <w:r w:rsidR="005A590C">
        <w:t xml:space="preserve"> </w:t>
      </w:r>
      <w:r w:rsidR="00647703">
        <w:fldChar w:fldCharType="begin"/>
      </w:r>
      <w:r w:rsidR="00647703">
        <w:instrText xml:space="preserve"> REF _Ref436047766 \r \h </w:instrText>
      </w:r>
      <w:r w:rsidR="00647703">
        <w:fldChar w:fldCharType="separate"/>
      </w:r>
      <w:r w:rsidR="00235C48">
        <w:t>Appendix A</w:t>
      </w:r>
      <w:r w:rsidR="00647703">
        <w:fldChar w:fldCharType="end"/>
      </w:r>
      <w:r w:rsidR="005A590C">
        <w:t xml:space="preserve">). </w:t>
      </w:r>
      <w:r w:rsidR="000226E8">
        <w:t xml:space="preserve"> </w:t>
      </w:r>
      <w:r w:rsidR="005A590C">
        <w:t>Th</w:t>
      </w:r>
      <w:r>
        <w:t>e</w:t>
      </w:r>
      <w:r w:rsidR="005A590C">
        <w:t xml:space="preserve"> data </w:t>
      </w:r>
      <w:r>
        <w:t>are</w:t>
      </w:r>
      <w:r w:rsidR="005A590C">
        <w:t xml:space="preserve"> </w:t>
      </w:r>
      <w:r>
        <w:t>published</w:t>
      </w:r>
      <w:r w:rsidR="006017CD">
        <w:t xml:space="preserve"> by age and gender.</w:t>
      </w:r>
    </w:p>
    <w:p w:rsidR="00AC65A6" w:rsidRDefault="000B5579" w:rsidP="008A0495">
      <w:pPr>
        <w:pStyle w:val="BodyText"/>
      </w:pPr>
      <w:r>
        <w:t>MBS s</w:t>
      </w:r>
      <w:r w:rsidR="00B05310">
        <w:t xml:space="preserve">ervices have been converted into services </w:t>
      </w:r>
      <w:r w:rsidR="00C244CA">
        <w:t>per person</w:t>
      </w:r>
      <w:r w:rsidR="00B05310">
        <w:t xml:space="preserve"> </w:t>
      </w:r>
      <w:r w:rsidR="00B4051B">
        <w:t xml:space="preserve">(using Treasury population </w:t>
      </w:r>
      <w:r>
        <w:t>estimates</w:t>
      </w:r>
      <w:r w:rsidR="00B4051B">
        <w:t xml:space="preserve">) </w:t>
      </w:r>
      <w:r w:rsidR="00B05310">
        <w:t xml:space="preserve">and </w:t>
      </w:r>
      <w:r>
        <w:t>MBS</w:t>
      </w:r>
      <w:r w:rsidR="00B05310">
        <w:t xml:space="preserve"> benefits </w:t>
      </w:r>
      <w:r>
        <w:t>paid have been converted to</w:t>
      </w:r>
      <w:r w:rsidR="00B05310">
        <w:t xml:space="preserve"> benefits per service</w:t>
      </w:r>
      <w:r w:rsidR="00776F56">
        <w:t xml:space="preserve"> in 2014–</w:t>
      </w:r>
      <w:r w:rsidR="00481D92">
        <w:t xml:space="preserve">15 </w:t>
      </w:r>
      <w:r w:rsidR="004F38B8">
        <w:t>dollars</w:t>
      </w:r>
      <w:r w:rsidR="00B05310">
        <w:t xml:space="preserve"> (deflating by </w:t>
      </w:r>
      <w:r w:rsidR="00AC19F1">
        <w:t xml:space="preserve">the </w:t>
      </w:r>
      <w:r w:rsidR="00B05310">
        <w:t>C</w:t>
      </w:r>
      <w:r w:rsidR="00AC19F1">
        <w:t>onsumer Price Index</w:t>
      </w:r>
      <w:r w:rsidR="00B05310">
        <w:t>).</w:t>
      </w:r>
    </w:p>
    <w:p w:rsidR="00AC65A6" w:rsidRDefault="00AC65A6" w:rsidP="008A0495">
      <w:pPr>
        <w:pStyle w:val="BodyText"/>
      </w:pPr>
      <w:r>
        <w:t xml:space="preserve">Services </w:t>
      </w:r>
      <w:r w:rsidR="00C244CA">
        <w:t>per person</w:t>
      </w:r>
      <w:r>
        <w:t xml:space="preserve"> and real be</w:t>
      </w:r>
      <w:r w:rsidR="00847773">
        <w:t>nefits per service for the six</w:t>
      </w:r>
      <w:r>
        <w:t xml:space="preserve"> categories are projected by using historical average level changes in</w:t>
      </w:r>
      <w:r w:rsidR="001636F3">
        <w:t xml:space="preserve"> both</w:t>
      </w:r>
      <w:r>
        <w:t xml:space="preserve"> services </w:t>
      </w:r>
      <w:r w:rsidR="00C244CA">
        <w:t>per person</w:t>
      </w:r>
      <w:r>
        <w:t xml:space="preserve"> and real benefits per service in each category.  The </w:t>
      </w:r>
      <w:r w:rsidR="000226E8">
        <w:t xml:space="preserve">historical </w:t>
      </w:r>
      <w:r>
        <w:t xml:space="preserve">averages </w:t>
      </w:r>
      <w:r w:rsidR="00526023">
        <w:t xml:space="preserve">prior </w:t>
      </w:r>
      <w:r w:rsidR="00776F56">
        <w:t>to 2014–</w:t>
      </w:r>
      <w:r w:rsidR="000226E8">
        <w:t xml:space="preserve">15 </w:t>
      </w:r>
      <w:r>
        <w:t xml:space="preserve">used for </w:t>
      </w:r>
      <w:r w:rsidR="005A590C">
        <w:t xml:space="preserve">each category are outlined in </w:t>
      </w:r>
      <w:r w:rsidR="00502918">
        <w:fldChar w:fldCharType="begin"/>
      </w:r>
      <w:r w:rsidR="00502918">
        <w:instrText xml:space="preserve"> REF _Ref436050158 \h </w:instrText>
      </w:r>
      <w:r w:rsidR="00502918">
        <w:fldChar w:fldCharType="separate"/>
      </w:r>
      <w:r w:rsidR="00235C48" w:rsidRPr="00502918">
        <w:t xml:space="preserve">Table </w:t>
      </w:r>
      <w:r w:rsidR="00235C48">
        <w:rPr>
          <w:noProof/>
        </w:rPr>
        <w:t>C</w:t>
      </w:r>
      <w:r w:rsidR="00235C48" w:rsidRPr="00502918">
        <w:t>‒</w:t>
      </w:r>
      <w:r w:rsidR="00235C48">
        <w:rPr>
          <w:noProof/>
        </w:rPr>
        <w:t>1</w:t>
      </w:r>
      <w:r w:rsidR="00502918">
        <w:fldChar w:fldCharType="end"/>
      </w:r>
      <w:r w:rsidR="005A590C">
        <w:t>.</w:t>
      </w:r>
      <w:r w:rsidR="00526023">
        <w:t xml:space="preserve">  For example, the </w:t>
      </w:r>
      <w:r w:rsidR="00666D4F">
        <w:t>10</w:t>
      </w:r>
      <w:r w:rsidR="009174A1">
        <w:t>-</w:t>
      </w:r>
      <w:r w:rsidR="00526023">
        <w:t>year average would be the average annual level change between 20</w:t>
      </w:r>
      <w:r w:rsidR="00666D4F">
        <w:t>05</w:t>
      </w:r>
      <w:r w:rsidR="00776F56">
        <w:t>–</w:t>
      </w:r>
      <w:r w:rsidR="00666D4F">
        <w:t>06</w:t>
      </w:r>
      <w:r w:rsidR="00526023">
        <w:t xml:space="preserve"> and 2014</w:t>
      </w:r>
      <w:r w:rsidR="00776F56">
        <w:t>–</w:t>
      </w:r>
      <w:r w:rsidR="00526023">
        <w:t>15.</w:t>
      </w:r>
    </w:p>
    <w:p w:rsidR="003C78FA" w:rsidRPr="008A0495" w:rsidRDefault="00666D4F" w:rsidP="008A0495">
      <w:pPr>
        <w:pStyle w:val="BodyText"/>
      </w:pPr>
      <w:r w:rsidRPr="008A0495">
        <w:t xml:space="preserve">In determining the average changes outlined in </w:t>
      </w:r>
      <w:r w:rsidR="00DD63F1">
        <w:fldChar w:fldCharType="begin"/>
      </w:r>
      <w:r w:rsidR="00DD63F1">
        <w:instrText xml:space="preserve"> REF _Ref436050158 \h </w:instrText>
      </w:r>
      <w:r w:rsidR="00DD63F1">
        <w:fldChar w:fldCharType="separate"/>
      </w:r>
      <w:r w:rsidR="00235C48" w:rsidRPr="00502918">
        <w:t xml:space="preserve">Table </w:t>
      </w:r>
      <w:r w:rsidR="00235C48">
        <w:rPr>
          <w:noProof/>
        </w:rPr>
        <w:t>C</w:t>
      </w:r>
      <w:r w:rsidR="00235C48" w:rsidRPr="00502918">
        <w:t>‒</w:t>
      </w:r>
      <w:r w:rsidR="00235C48">
        <w:rPr>
          <w:noProof/>
        </w:rPr>
        <w:t>1</w:t>
      </w:r>
      <w:r w:rsidR="00DD63F1">
        <w:fldChar w:fldCharType="end"/>
      </w:r>
      <w:r w:rsidRPr="008A0495">
        <w:t xml:space="preserve"> the baseline position was to </w:t>
      </w:r>
      <w:r w:rsidR="00847773" w:rsidRPr="008A0495">
        <w:t xml:space="preserve">adopt </w:t>
      </w:r>
      <w:r w:rsidR="009174A1" w:rsidRPr="008A0495">
        <w:t xml:space="preserve">the </w:t>
      </w:r>
      <w:r w:rsidR="00847773" w:rsidRPr="008A0495">
        <w:t>long</w:t>
      </w:r>
      <w:r w:rsidR="007D3546">
        <w:noBreakHyphen/>
        <w:t>term 10-</w:t>
      </w:r>
      <w:r w:rsidRPr="008A0495">
        <w:t>year historical averages</w:t>
      </w:r>
      <w:r w:rsidR="00847773" w:rsidRPr="008A0495">
        <w:t xml:space="preserve"> for both services </w:t>
      </w:r>
      <w:r w:rsidR="00C244CA">
        <w:t>per person</w:t>
      </w:r>
      <w:r w:rsidR="00847773" w:rsidRPr="008A0495">
        <w:t xml:space="preserve"> and benefits per service</w:t>
      </w:r>
      <w:r w:rsidRPr="008A0495">
        <w:t xml:space="preserve">.  </w:t>
      </w:r>
      <w:r w:rsidR="00847773" w:rsidRPr="008A0495">
        <w:t xml:space="preserve">For most categories </w:t>
      </w:r>
      <w:r w:rsidRPr="008A0495">
        <w:t>a</w:t>
      </w:r>
      <w:r w:rsidR="00847773" w:rsidRPr="008A0495">
        <w:t xml:space="preserve"> </w:t>
      </w:r>
      <w:r w:rsidR="007D3546">
        <w:t>10-</w:t>
      </w:r>
      <w:r w:rsidR="00847773" w:rsidRPr="008A0495">
        <w:t>year average is</w:t>
      </w:r>
      <w:r w:rsidR="009174A1" w:rsidRPr="008A0495">
        <w:t xml:space="preserve"> a suitable </w:t>
      </w:r>
      <w:r w:rsidR="00847773" w:rsidRPr="008A0495">
        <w:t xml:space="preserve">base from which to project future growth. </w:t>
      </w:r>
      <w:r w:rsidR="00DD63F1">
        <w:t xml:space="preserve"> </w:t>
      </w:r>
      <w:r w:rsidR="00847773" w:rsidRPr="008A0495">
        <w:t>The exception</w:t>
      </w:r>
      <w:r w:rsidR="00BA2CED" w:rsidRPr="008A0495">
        <w:t>s</w:t>
      </w:r>
      <w:r w:rsidRPr="008A0495">
        <w:t xml:space="preserve"> to this </w:t>
      </w:r>
      <w:r w:rsidR="00BA2CED" w:rsidRPr="008A0495">
        <w:t>are</w:t>
      </w:r>
      <w:r w:rsidRPr="008A0495">
        <w:t xml:space="preserve"> </w:t>
      </w:r>
      <w:r w:rsidR="007D3546">
        <w:t xml:space="preserve">in </w:t>
      </w:r>
      <w:r w:rsidR="00ED6B26" w:rsidRPr="008A0495">
        <w:t xml:space="preserve">GP services and </w:t>
      </w:r>
      <w:r w:rsidRPr="008A0495">
        <w:t>allied health.</w:t>
      </w:r>
      <w:r w:rsidR="00DD63F1">
        <w:t xml:space="preserve"> </w:t>
      </w:r>
      <w:r w:rsidRPr="008A0495">
        <w:t xml:space="preserve"> </w:t>
      </w:r>
      <w:r w:rsidR="00847773" w:rsidRPr="008A0495">
        <w:t>Using a 10-year historical average</w:t>
      </w:r>
      <w:r w:rsidRPr="008A0495">
        <w:t xml:space="preserve"> for th</w:t>
      </w:r>
      <w:r w:rsidR="00ED6B26" w:rsidRPr="008A0495">
        <w:t>ese</w:t>
      </w:r>
      <w:r w:rsidRPr="008A0495">
        <w:t xml:space="preserve"> categor</w:t>
      </w:r>
      <w:r w:rsidR="00ED6B26" w:rsidRPr="008A0495">
        <w:t xml:space="preserve">ies </w:t>
      </w:r>
      <w:r w:rsidRPr="008A0495">
        <w:t>would not be representative of likely future growth, due to large policy changes in the past 10 years</w:t>
      </w:r>
      <w:r w:rsidR="00847773" w:rsidRPr="008A0495">
        <w:t xml:space="preserve"> which </w:t>
      </w:r>
      <w:r w:rsidR="007D3546">
        <w:t xml:space="preserve">impacted heavily on </w:t>
      </w:r>
      <w:r w:rsidR="007A007F" w:rsidRPr="008A0495">
        <w:t>growth rates</w:t>
      </w:r>
      <w:r w:rsidRPr="008A0495">
        <w:t>.</w:t>
      </w:r>
      <w:r w:rsidR="00DD63F1">
        <w:t xml:space="preserve"> </w:t>
      </w:r>
      <w:r w:rsidRPr="008A0495">
        <w:t xml:space="preserve"> </w:t>
      </w:r>
      <w:r w:rsidR="007A007F" w:rsidRPr="008A0495">
        <w:t>For th</w:t>
      </w:r>
      <w:r w:rsidR="00ED6B26" w:rsidRPr="008A0495">
        <w:t>ese</w:t>
      </w:r>
      <w:r w:rsidR="007A007F" w:rsidRPr="008A0495">
        <w:t xml:space="preserve"> </w:t>
      </w:r>
      <w:r w:rsidR="00847773" w:rsidRPr="008A0495">
        <w:t>categor</w:t>
      </w:r>
      <w:r w:rsidR="00ED6B26" w:rsidRPr="008A0495">
        <w:t>ies</w:t>
      </w:r>
      <w:r w:rsidR="007D3546">
        <w:t>,</w:t>
      </w:r>
      <w:r w:rsidR="00847773" w:rsidRPr="008A0495">
        <w:t xml:space="preserve"> </w:t>
      </w:r>
      <w:r w:rsidRPr="008A0495">
        <w:t xml:space="preserve">the PBO has </w:t>
      </w:r>
      <w:r w:rsidR="00847773" w:rsidRPr="008A0495">
        <w:t xml:space="preserve">departed from adopting a 10-year </w:t>
      </w:r>
      <w:r w:rsidR="007D3546">
        <w:t xml:space="preserve">historical </w:t>
      </w:r>
      <w:r w:rsidR="00847773" w:rsidRPr="008A0495">
        <w:t>average,</w:t>
      </w:r>
      <w:r w:rsidRPr="008A0495">
        <w:t xml:space="preserve"> with the rationale included in </w:t>
      </w:r>
      <w:r w:rsidR="00DD63F1">
        <w:fldChar w:fldCharType="begin"/>
      </w:r>
      <w:r w:rsidR="00DD63F1">
        <w:instrText xml:space="preserve"> REF _Ref436050158 \h </w:instrText>
      </w:r>
      <w:r w:rsidR="00DD63F1">
        <w:fldChar w:fldCharType="separate"/>
      </w:r>
      <w:r w:rsidR="00235C48" w:rsidRPr="00502918">
        <w:t xml:space="preserve">Table </w:t>
      </w:r>
      <w:r w:rsidR="00235C48">
        <w:rPr>
          <w:noProof/>
        </w:rPr>
        <w:t>C</w:t>
      </w:r>
      <w:r w:rsidR="00235C48" w:rsidRPr="00502918">
        <w:t>‒</w:t>
      </w:r>
      <w:r w:rsidR="00235C48">
        <w:rPr>
          <w:noProof/>
        </w:rPr>
        <w:t>1</w:t>
      </w:r>
      <w:r w:rsidR="00DD63F1">
        <w:fldChar w:fldCharType="end"/>
      </w:r>
      <w:r w:rsidRPr="008A0495">
        <w:t>.</w:t>
      </w:r>
    </w:p>
    <w:p w:rsidR="00977AD5" w:rsidRDefault="0066736D" w:rsidP="00DD63F1">
      <w:pPr>
        <w:pStyle w:val="BodyText"/>
        <w:sectPr w:rsidR="00977AD5" w:rsidSect="003D5FB3">
          <w:headerReference w:type="even" r:id="rId75"/>
          <w:headerReference w:type="default" r:id="rId76"/>
          <w:footerReference w:type="even" r:id="rId77"/>
          <w:footerReference w:type="default" r:id="rId78"/>
          <w:headerReference w:type="first" r:id="rId79"/>
          <w:pgSz w:w="11907" w:h="16839" w:code="9"/>
          <w:pgMar w:top="1361" w:right="1797" w:bottom="1474" w:left="1797" w:header="283" w:footer="454" w:gutter="0"/>
          <w:cols w:space="708"/>
          <w:docGrid w:linePitch="360"/>
        </w:sectPr>
      </w:pPr>
      <w:r w:rsidRPr="008A0495">
        <w:t>In addition, adjustments hav</w:t>
      </w:r>
      <w:r w:rsidR="003E1A83">
        <w:t xml:space="preserve">e been made to the projections for </w:t>
      </w:r>
      <w:r w:rsidRPr="008A0495">
        <w:t>certain age groups within some categories</w:t>
      </w:r>
      <w:r w:rsidR="00ED6B26" w:rsidRPr="008A0495">
        <w:t xml:space="preserve">. These are also outlined in </w:t>
      </w:r>
      <w:r w:rsidR="00DD63F1">
        <w:fldChar w:fldCharType="begin"/>
      </w:r>
      <w:r w:rsidR="00DD63F1">
        <w:instrText xml:space="preserve"> REF _Ref436050158 \h </w:instrText>
      </w:r>
      <w:r w:rsidR="00DD63F1">
        <w:fldChar w:fldCharType="separate"/>
      </w:r>
      <w:r w:rsidR="00235C48" w:rsidRPr="00502918">
        <w:t xml:space="preserve">Table </w:t>
      </w:r>
      <w:r w:rsidR="00235C48">
        <w:rPr>
          <w:noProof/>
        </w:rPr>
        <w:t>C</w:t>
      </w:r>
      <w:r w:rsidR="00235C48" w:rsidRPr="00502918">
        <w:t>‒</w:t>
      </w:r>
      <w:r w:rsidR="00235C48">
        <w:rPr>
          <w:noProof/>
        </w:rPr>
        <w:t>1</w:t>
      </w:r>
      <w:r w:rsidR="00DD63F1">
        <w:fldChar w:fldCharType="end"/>
      </w:r>
      <w:r w:rsidRPr="008A0495">
        <w:t>.</w:t>
      </w:r>
    </w:p>
    <w:p w:rsidR="00502918" w:rsidRDefault="00502918" w:rsidP="00977AD5">
      <w:pPr>
        <w:pStyle w:val="Caption"/>
        <w:spacing w:before="0"/>
        <w:ind w:left="-426"/>
      </w:pPr>
      <w:bookmarkStart w:id="140" w:name="_Ref436050158"/>
      <w:bookmarkStart w:id="141" w:name="TableC1"/>
      <w:r w:rsidRPr="00502918">
        <w:lastRenderedPageBreak/>
        <w:t xml:space="preserve">Table </w:t>
      </w:r>
      <w:fldSimple w:instr=" STYLEREF 8 \s ">
        <w:r w:rsidR="00235C48">
          <w:rPr>
            <w:noProof/>
          </w:rPr>
          <w:t>C</w:t>
        </w:r>
      </w:fldSimple>
      <w:r w:rsidRPr="00502918">
        <w:t>‒</w:t>
      </w:r>
      <w:fldSimple w:instr=" SEQ AppendixTable\s 8 ">
        <w:r w:rsidR="00235C48">
          <w:rPr>
            <w:noProof/>
          </w:rPr>
          <w:t>1</w:t>
        </w:r>
      </w:fldSimple>
      <w:bookmarkEnd w:id="140"/>
      <w:r w:rsidRPr="00502918">
        <w:t>: Historical average level changes used for Medicare Benefit Schedule projections</w:t>
      </w:r>
    </w:p>
    <w:tbl>
      <w:tblPr>
        <w:tblStyle w:val="TableGrid"/>
        <w:tblW w:w="15026" w:type="dxa"/>
        <w:tblInd w:w="-454" w:type="dxa"/>
        <w:tblLook w:val="04A0" w:firstRow="1" w:lastRow="0" w:firstColumn="1" w:lastColumn="0" w:noHBand="0" w:noVBand="1"/>
      </w:tblPr>
      <w:tblGrid>
        <w:gridCol w:w="2098"/>
        <w:gridCol w:w="7371"/>
        <w:gridCol w:w="5557"/>
      </w:tblGrid>
      <w:tr w:rsidR="00977AD5" w:rsidRPr="005A590C" w:rsidTr="00977AD5">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098" w:type="dxa"/>
          </w:tcPr>
          <w:p w:rsidR="005A590C" w:rsidRPr="008A0495" w:rsidRDefault="005A590C" w:rsidP="006E301D">
            <w:pPr>
              <w:pStyle w:val="BodyText"/>
              <w:rPr>
                <w:rFonts w:ascii="Arial" w:hAnsi="Arial" w:cs="Arial"/>
                <w:b/>
                <w:sz w:val="16"/>
                <w:szCs w:val="16"/>
              </w:rPr>
            </w:pPr>
            <w:bookmarkStart w:id="142" w:name="ReturnHere"/>
            <w:bookmarkEnd w:id="141"/>
            <w:bookmarkEnd w:id="142"/>
            <w:r w:rsidRPr="005A590C">
              <w:rPr>
                <w:rFonts w:ascii="Arial" w:hAnsi="Arial" w:cs="Arial"/>
                <w:b/>
                <w:sz w:val="16"/>
                <w:szCs w:val="16"/>
              </w:rPr>
              <w:t>Category</w:t>
            </w:r>
          </w:p>
        </w:tc>
        <w:tc>
          <w:tcPr>
            <w:tcW w:w="7371" w:type="dxa"/>
          </w:tcPr>
          <w:p w:rsidR="005A590C" w:rsidRPr="008A0495" w:rsidRDefault="005A590C" w:rsidP="008A0495">
            <w:pPr>
              <w:pStyle w:val="BodyText"/>
              <w:cnfStyle w:val="100000000000" w:firstRow="1" w:lastRow="0" w:firstColumn="0" w:lastColumn="0" w:oddVBand="0" w:evenVBand="0" w:oddHBand="0" w:evenHBand="0" w:firstRowFirstColumn="0" w:firstRowLastColumn="0" w:lastRowFirstColumn="0" w:lastRowLastColumn="0"/>
              <w:rPr>
                <w:rFonts w:ascii="Arial" w:hAnsi="Arial" w:cs="Arial"/>
                <w:b/>
                <w:sz w:val="16"/>
                <w:szCs w:val="16"/>
              </w:rPr>
            </w:pPr>
            <w:r w:rsidRPr="008A0495">
              <w:rPr>
                <w:rFonts w:ascii="Arial" w:hAnsi="Arial" w:cs="Arial"/>
                <w:b/>
                <w:sz w:val="16"/>
                <w:szCs w:val="16"/>
              </w:rPr>
              <w:t xml:space="preserve">Services </w:t>
            </w:r>
            <w:r w:rsidR="00C244CA">
              <w:rPr>
                <w:rFonts w:ascii="Arial" w:hAnsi="Arial" w:cs="Arial"/>
                <w:b/>
                <w:sz w:val="16"/>
                <w:szCs w:val="16"/>
              </w:rPr>
              <w:t>per person</w:t>
            </w:r>
          </w:p>
        </w:tc>
        <w:tc>
          <w:tcPr>
            <w:tcW w:w="5557" w:type="dxa"/>
          </w:tcPr>
          <w:p w:rsidR="005A590C" w:rsidRPr="008A0495" w:rsidRDefault="005A590C" w:rsidP="008A0495">
            <w:pPr>
              <w:pStyle w:val="BodyText"/>
              <w:cnfStyle w:val="100000000000" w:firstRow="1" w:lastRow="0" w:firstColumn="0" w:lastColumn="0" w:oddVBand="0" w:evenVBand="0" w:oddHBand="0" w:evenHBand="0" w:firstRowFirstColumn="0" w:firstRowLastColumn="0" w:lastRowFirstColumn="0" w:lastRowLastColumn="0"/>
              <w:rPr>
                <w:rFonts w:ascii="Arial" w:hAnsi="Arial" w:cs="Arial"/>
                <w:b/>
                <w:sz w:val="16"/>
                <w:szCs w:val="16"/>
              </w:rPr>
            </w:pPr>
            <w:r w:rsidRPr="008A0495">
              <w:rPr>
                <w:rFonts w:ascii="Arial" w:hAnsi="Arial" w:cs="Arial"/>
                <w:b/>
                <w:sz w:val="16"/>
                <w:szCs w:val="16"/>
              </w:rPr>
              <w:t>Benefits per service</w:t>
            </w:r>
          </w:p>
        </w:tc>
      </w:tr>
      <w:tr w:rsidR="00977AD5" w:rsidRPr="000744C9" w:rsidTr="00977AD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8" w:type="dxa"/>
            <w:vAlign w:val="top"/>
          </w:tcPr>
          <w:p w:rsidR="009174A1" w:rsidRPr="000744C9" w:rsidRDefault="009174A1" w:rsidP="00977AD5">
            <w:pPr>
              <w:pStyle w:val="BodyText"/>
              <w:spacing w:before="60" w:after="60"/>
              <w:rPr>
                <w:b/>
                <w:bCs/>
                <w:iCs/>
                <w:color w:val="000000"/>
                <w:szCs w:val="20"/>
              </w:rPr>
            </w:pPr>
            <w:r w:rsidRPr="000744C9">
              <w:rPr>
                <w:b/>
                <w:bCs/>
                <w:iCs/>
                <w:color w:val="000000"/>
                <w:szCs w:val="20"/>
              </w:rPr>
              <w:t>Pathology and diagnostics</w:t>
            </w:r>
          </w:p>
        </w:tc>
        <w:tc>
          <w:tcPr>
            <w:tcW w:w="7371" w:type="dxa"/>
            <w:vAlign w:val="top"/>
          </w:tcPr>
          <w:p w:rsidR="009174A1" w:rsidRPr="000744C9" w:rsidRDefault="009174A1" w:rsidP="00977AD5">
            <w:pPr>
              <w:pStyle w:val="BodyText"/>
              <w:spacing w:before="60" w:after="60"/>
              <w:cnfStyle w:val="000000100000" w:firstRow="0" w:lastRow="0" w:firstColumn="0" w:lastColumn="0" w:oddVBand="0" w:evenVBand="0" w:oddHBand="1" w:evenHBand="0" w:firstRowFirstColumn="0" w:firstRowLastColumn="0" w:lastRowFirstColumn="0" w:lastRowLastColumn="0"/>
              <w:rPr>
                <w:color w:val="000000"/>
                <w:szCs w:val="20"/>
              </w:rPr>
            </w:pPr>
            <w:r w:rsidRPr="000744C9">
              <w:rPr>
                <w:color w:val="000000"/>
                <w:szCs w:val="20"/>
              </w:rPr>
              <w:t>10-year average</w:t>
            </w:r>
          </w:p>
          <w:p w:rsidR="009174A1" w:rsidRPr="00AE5032" w:rsidRDefault="009174A1" w:rsidP="00977AD5">
            <w:pPr>
              <w:pStyle w:val="BodyText"/>
              <w:spacing w:before="60" w:after="60"/>
              <w:cnfStyle w:val="000000100000" w:firstRow="0" w:lastRow="0" w:firstColumn="0" w:lastColumn="0" w:oddVBand="0" w:evenVBand="0" w:oddHBand="1" w:evenHBand="0" w:firstRowFirstColumn="0" w:firstRowLastColumn="0" w:lastRowFirstColumn="0" w:lastRowLastColumn="0"/>
              <w:rPr>
                <w:color w:val="000000"/>
                <w:szCs w:val="20"/>
              </w:rPr>
            </w:pPr>
            <w:r w:rsidRPr="008A0495">
              <w:t>Adjustments were made to pathology and diagnostic services for males aged 75 and over to ensure consistency between male and female utilisation in line with historical trends.</w:t>
            </w:r>
          </w:p>
        </w:tc>
        <w:tc>
          <w:tcPr>
            <w:tcW w:w="5557" w:type="dxa"/>
            <w:vAlign w:val="top"/>
          </w:tcPr>
          <w:p w:rsidR="009174A1" w:rsidRPr="000744C9" w:rsidRDefault="009174A1" w:rsidP="00977AD5">
            <w:pPr>
              <w:pStyle w:val="BodyText"/>
              <w:spacing w:before="60" w:after="60"/>
              <w:cnfStyle w:val="000000100000" w:firstRow="0" w:lastRow="0" w:firstColumn="0" w:lastColumn="0" w:oddVBand="0" w:evenVBand="0" w:oddHBand="1" w:evenHBand="0" w:firstRowFirstColumn="0" w:firstRowLastColumn="0" w:lastRowFirstColumn="0" w:lastRowLastColumn="0"/>
              <w:rPr>
                <w:color w:val="000000"/>
                <w:szCs w:val="20"/>
              </w:rPr>
            </w:pPr>
            <w:r w:rsidRPr="000744C9">
              <w:rPr>
                <w:color w:val="000000"/>
                <w:szCs w:val="20"/>
              </w:rPr>
              <w:t>10-year average</w:t>
            </w:r>
          </w:p>
        </w:tc>
      </w:tr>
      <w:tr w:rsidR="00977AD5" w:rsidRPr="00227D7D" w:rsidTr="00977AD5">
        <w:trPr>
          <w:cantSplit/>
        </w:trPr>
        <w:tc>
          <w:tcPr>
            <w:cnfStyle w:val="001000000000" w:firstRow="0" w:lastRow="0" w:firstColumn="1" w:lastColumn="0" w:oddVBand="0" w:evenVBand="0" w:oddHBand="0" w:evenHBand="0" w:firstRowFirstColumn="0" w:firstRowLastColumn="0" w:lastRowFirstColumn="0" w:lastRowLastColumn="0"/>
            <w:tcW w:w="2098" w:type="dxa"/>
            <w:vAlign w:val="top"/>
          </w:tcPr>
          <w:p w:rsidR="009174A1" w:rsidRPr="008A0495" w:rsidRDefault="009174A1" w:rsidP="00977AD5">
            <w:pPr>
              <w:pStyle w:val="BodyText"/>
              <w:spacing w:before="60" w:after="60"/>
              <w:rPr>
                <w:rFonts w:ascii="Arial" w:hAnsi="Arial" w:cs="Arial"/>
                <w:b/>
                <w:sz w:val="16"/>
                <w:szCs w:val="16"/>
              </w:rPr>
            </w:pPr>
            <w:r w:rsidRPr="008A0495">
              <w:rPr>
                <w:b/>
                <w:bCs/>
                <w:iCs/>
                <w:color w:val="000000"/>
                <w:szCs w:val="20"/>
              </w:rPr>
              <w:t xml:space="preserve">GP </w:t>
            </w:r>
            <w:r w:rsidRPr="00AE5032">
              <w:rPr>
                <w:b/>
                <w:bCs/>
                <w:iCs/>
                <w:color w:val="000000"/>
                <w:szCs w:val="20"/>
              </w:rPr>
              <w:t xml:space="preserve">and GP-type </w:t>
            </w:r>
            <w:r w:rsidRPr="008A0495">
              <w:rPr>
                <w:b/>
                <w:bCs/>
                <w:iCs/>
                <w:color w:val="000000"/>
                <w:szCs w:val="20"/>
              </w:rPr>
              <w:t>services</w:t>
            </w:r>
          </w:p>
        </w:tc>
        <w:tc>
          <w:tcPr>
            <w:tcW w:w="7371" w:type="dxa"/>
            <w:vAlign w:val="top"/>
          </w:tcPr>
          <w:p w:rsidR="009174A1" w:rsidRPr="000744C9" w:rsidRDefault="009174A1" w:rsidP="00977AD5">
            <w:pPr>
              <w:pStyle w:val="BodyText"/>
              <w:spacing w:before="60" w:after="60"/>
              <w:cnfStyle w:val="000000000000" w:firstRow="0" w:lastRow="0" w:firstColumn="0" w:lastColumn="0" w:oddVBand="0" w:evenVBand="0" w:oddHBand="0" w:evenHBand="0" w:firstRowFirstColumn="0" w:firstRowLastColumn="0" w:lastRowFirstColumn="0" w:lastRowLastColumn="0"/>
              <w:rPr>
                <w:color w:val="000000"/>
                <w:szCs w:val="20"/>
              </w:rPr>
            </w:pPr>
            <w:r w:rsidRPr="008A0495">
              <w:rPr>
                <w:color w:val="000000"/>
                <w:szCs w:val="20"/>
              </w:rPr>
              <w:t>9</w:t>
            </w:r>
            <w:r w:rsidRPr="00AE5032">
              <w:rPr>
                <w:color w:val="000000"/>
                <w:szCs w:val="20"/>
              </w:rPr>
              <w:t>-year average</w:t>
            </w:r>
          </w:p>
          <w:p w:rsidR="009174A1" w:rsidRPr="000744C9" w:rsidRDefault="009174A1" w:rsidP="00977AD5">
            <w:pPr>
              <w:pStyle w:val="BodyText"/>
              <w:spacing w:before="60" w:after="60"/>
              <w:cnfStyle w:val="000000000000" w:firstRow="0" w:lastRow="0" w:firstColumn="0" w:lastColumn="0" w:oddVBand="0" w:evenVBand="0" w:oddHBand="0" w:evenHBand="0" w:firstRowFirstColumn="0" w:firstRowLastColumn="0" w:lastRowFirstColumn="0" w:lastRowLastColumn="0"/>
              <w:rPr>
                <w:color w:val="000000"/>
                <w:szCs w:val="20"/>
              </w:rPr>
            </w:pPr>
            <w:r w:rsidRPr="000744C9">
              <w:rPr>
                <w:color w:val="000000"/>
                <w:szCs w:val="20"/>
              </w:rPr>
              <w:t>A 9-year average has been adopted rather than a 10</w:t>
            </w:r>
            <w:r w:rsidRPr="008A0495">
              <w:rPr>
                <w:color w:val="000000"/>
                <w:szCs w:val="20"/>
              </w:rPr>
              <w:t>-</w:t>
            </w:r>
            <w:r w:rsidRPr="00AE5032">
              <w:rPr>
                <w:color w:val="000000"/>
                <w:szCs w:val="20"/>
              </w:rPr>
              <w:t xml:space="preserve">year average, to exclude the rapid increase in growth in services </w:t>
            </w:r>
            <w:r w:rsidR="00C244CA">
              <w:rPr>
                <w:color w:val="000000"/>
                <w:szCs w:val="20"/>
              </w:rPr>
              <w:t>per person</w:t>
            </w:r>
            <w:r w:rsidRPr="00AE5032">
              <w:rPr>
                <w:color w:val="000000"/>
                <w:szCs w:val="20"/>
              </w:rPr>
              <w:t xml:space="preserve"> that arose from</w:t>
            </w:r>
            <w:r w:rsidRPr="000744C9">
              <w:rPr>
                <w:color w:val="000000"/>
                <w:szCs w:val="20"/>
              </w:rPr>
              <w:t xml:space="preserve"> the provi</w:t>
            </w:r>
            <w:r w:rsidR="00016044" w:rsidRPr="008A0495">
              <w:rPr>
                <w:color w:val="000000"/>
                <w:szCs w:val="20"/>
              </w:rPr>
              <w:t>sion of bulk billing incentives and the increase in GP rebates prior to 2005</w:t>
            </w:r>
            <w:r w:rsidR="00DD63F1">
              <w:rPr>
                <w:color w:val="000000"/>
                <w:szCs w:val="20"/>
              </w:rPr>
              <w:t>–</w:t>
            </w:r>
            <w:r w:rsidR="00016044" w:rsidRPr="008A0495">
              <w:rPr>
                <w:color w:val="000000"/>
                <w:szCs w:val="20"/>
              </w:rPr>
              <w:t>06</w:t>
            </w:r>
            <w:r w:rsidRPr="00AE5032">
              <w:rPr>
                <w:color w:val="000000"/>
                <w:szCs w:val="20"/>
              </w:rPr>
              <w:t xml:space="preserve">. </w:t>
            </w:r>
            <w:r w:rsidR="00DD63F1">
              <w:rPr>
                <w:color w:val="000000"/>
                <w:szCs w:val="20"/>
              </w:rPr>
              <w:t xml:space="preserve"> </w:t>
            </w:r>
            <w:r w:rsidRPr="008A0495">
              <w:rPr>
                <w:color w:val="000000"/>
                <w:szCs w:val="20"/>
              </w:rPr>
              <w:t>The 9-</w:t>
            </w:r>
            <w:r w:rsidRPr="00AE5032">
              <w:rPr>
                <w:color w:val="000000"/>
                <w:szCs w:val="20"/>
              </w:rPr>
              <w:t>year average is more likely to be r</w:t>
            </w:r>
            <w:r w:rsidRPr="000744C9">
              <w:rPr>
                <w:color w:val="000000"/>
                <w:szCs w:val="20"/>
              </w:rPr>
              <w:t>epresentative of future gro</w:t>
            </w:r>
            <w:r w:rsidR="00DD63F1">
              <w:rPr>
                <w:color w:val="000000"/>
                <w:szCs w:val="20"/>
              </w:rPr>
              <w:t>wth.</w:t>
            </w:r>
          </w:p>
          <w:p w:rsidR="009174A1" w:rsidRPr="008A0495" w:rsidRDefault="009174A1" w:rsidP="00977AD5">
            <w:pPr>
              <w:pStyle w:val="BodyText"/>
              <w:spacing w:before="60" w:after="60"/>
              <w:cnfStyle w:val="000000000000" w:firstRow="0" w:lastRow="0" w:firstColumn="0" w:lastColumn="0" w:oddVBand="0" w:evenVBand="0" w:oddHBand="0" w:evenHBand="0" w:firstRowFirstColumn="0" w:firstRowLastColumn="0" w:lastRowFirstColumn="0" w:lastRowLastColumn="0"/>
              <w:rPr>
                <w:color w:val="000000"/>
                <w:szCs w:val="20"/>
              </w:rPr>
            </w:pPr>
            <w:r w:rsidRPr="008A0495">
              <w:t xml:space="preserve">Adjustments were made to GP attendances for males aged </w:t>
            </w:r>
            <w:r w:rsidR="000438E2">
              <w:t>7</w:t>
            </w:r>
            <w:r w:rsidRPr="008A0495">
              <w:t xml:space="preserve">5 and over to ensure consistency between male and female utilisation in line with recent historical trends (see </w:t>
            </w:r>
            <w:r w:rsidRPr="00271864">
              <w:t>section</w:t>
            </w:r>
            <w:r w:rsidRPr="008A0495">
              <w:t xml:space="preserve"> 3.2).</w:t>
            </w:r>
          </w:p>
        </w:tc>
        <w:tc>
          <w:tcPr>
            <w:tcW w:w="5557" w:type="dxa"/>
            <w:vAlign w:val="top"/>
          </w:tcPr>
          <w:p w:rsidR="009174A1" w:rsidRPr="000744C9" w:rsidRDefault="009174A1" w:rsidP="00977AD5">
            <w:pPr>
              <w:pStyle w:val="BodyText"/>
              <w:spacing w:before="60" w:after="60"/>
              <w:cnfStyle w:val="000000000000" w:firstRow="0" w:lastRow="0" w:firstColumn="0" w:lastColumn="0" w:oddVBand="0" w:evenVBand="0" w:oddHBand="0" w:evenHBand="0" w:firstRowFirstColumn="0" w:firstRowLastColumn="0" w:lastRowFirstColumn="0" w:lastRowLastColumn="0"/>
              <w:rPr>
                <w:color w:val="000000"/>
                <w:szCs w:val="20"/>
              </w:rPr>
            </w:pPr>
            <w:r w:rsidRPr="00AE5032">
              <w:rPr>
                <w:color w:val="000000"/>
                <w:szCs w:val="20"/>
              </w:rPr>
              <w:t>9-year average</w:t>
            </w:r>
          </w:p>
          <w:p w:rsidR="009174A1" w:rsidRPr="00227D7D" w:rsidRDefault="009174A1" w:rsidP="00977AD5">
            <w:pPr>
              <w:pStyle w:val="BodyTex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744C9">
              <w:rPr>
                <w:color w:val="000000"/>
                <w:szCs w:val="20"/>
              </w:rPr>
              <w:t>A 9-year average has been adopted rather than a 10</w:t>
            </w:r>
            <w:r w:rsidRPr="008A0495">
              <w:rPr>
                <w:color w:val="000000"/>
                <w:szCs w:val="20"/>
              </w:rPr>
              <w:t>-</w:t>
            </w:r>
            <w:r w:rsidRPr="00AE5032">
              <w:rPr>
                <w:color w:val="000000"/>
                <w:szCs w:val="20"/>
              </w:rPr>
              <w:t xml:space="preserve">year average, to exclude the spike in growth in benefits per service that arose from the </w:t>
            </w:r>
            <w:r w:rsidRPr="000744C9">
              <w:rPr>
                <w:color w:val="000000"/>
                <w:szCs w:val="20"/>
              </w:rPr>
              <w:t>increase in GP rebates</w:t>
            </w:r>
            <w:r w:rsidR="00DE66E8" w:rsidRPr="008A0495">
              <w:rPr>
                <w:color w:val="000000"/>
                <w:szCs w:val="20"/>
              </w:rPr>
              <w:t xml:space="preserve"> prior to 2005</w:t>
            </w:r>
            <w:r w:rsidR="00DD63F1">
              <w:rPr>
                <w:color w:val="000000"/>
                <w:szCs w:val="20"/>
              </w:rPr>
              <w:t>–</w:t>
            </w:r>
            <w:r w:rsidR="00DE66E8" w:rsidRPr="008A0495">
              <w:rPr>
                <w:color w:val="000000"/>
                <w:szCs w:val="20"/>
              </w:rPr>
              <w:t>06</w:t>
            </w:r>
            <w:r w:rsidRPr="00AE5032">
              <w:rPr>
                <w:color w:val="000000"/>
                <w:szCs w:val="20"/>
              </w:rPr>
              <w:t xml:space="preserve">.  </w:t>
            </w:r>
            <w:r w:rsidRPr="008A0495">
              <w:rPr>
                <w:color w:val="000000"/>
                <w:szCs w:val="20"/>
              </w:rPr>
              <w:t>The 9-</w:t>
            </w:r>
            <w:r w:rsidRPr="00AE5032">
              <w:rPr>
                <w:color w:val="000000"/>
                <w:szCs w:val="20"/>
              </w:rPr>
              <w:t>year average is more likely to be representative of future growth.</w:t>
            </w:r>
          </w:p>
        </w:tc>
      </w:tr>
      <w:tr w:rsidR="00977AD5" w:rsidRPr="00227D7D" w:rsidTr="00977AD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8" w:type="dxa"/>
            <w:vAlign w:val="top"/>
          </w:tcPr>
          <w:p w:rsidR="009174A1" w:rsidRPr="00AE5032" w:rsidRDefault="009174A1" w:rsidP="00977AD5">
            <w:pPr>
              <w:pStyle w:val="BodyText"/>
              <w:spacing w:before="60" w:after="60"/>
              <w:rPr>
                <w:b/>
                <w:bCs/>
                <w:iCs/>
                <w:color w:val="000000"/>
                <w:szCs w:val="20"/>
              </w:rPr>
            </w:pPr>
            <w:r w:rsidRPr="007917EE">
              <w:rPr>
                <w:b/>
                <w:bCs/>
                <w:iCs/>
                <w:color w:val="000000"/>
                <w:szCs w:val="20"/>
              </w:rPr>
              <w:t>Surgeries and treatments</w:t>
            </w:r>
          </w:p>
        </w:tc>
        <w:tc>
          <w:tcPr>
            <w:tcW w:w="7371" w:type="dxa"/>
            <w:vAlign w:val="top"/>
          </w:tcPr>
          <w:p w:rsidR="009174A1" w:rsidRDefault="009174A1" w:rsidP="00977AD5">
            <w:pPr>
              <w:pStyle w:val="BodyText"/>
              <w:spacing w:before="60" w:after="60"/>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10-year average</w:t>
            </w:r>
          </w:p>
        </w:tc>
        <w:tc>
          <w:tcPr>
            <w:tcW w:w="5557" w:type="dxa"/>
            <w:vAlign w:val="top"/>
          </w:tcPr>
          <w:p w:rsidR="009174A1" w:rsidRDefault="009174A1" w:rsidP="00977AD5">
            <w:pPr>
              <w:pStyle w:val="BodyText"/>
              <w:spacing w:before="60" w:after="60"/>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 xml:space="preserve">10-year average </w:t>
            </w:r>
          </w:p>
        </w:tc>
      </w:tr>
      <w:tr w:rsidR="00977AD5" w:rsidRPr="00227D7D" w:rsidTr="00977AD5">
        <w:trPr>
          <w:cantSplit/>
        </w:trPr>
        <w:tc>
          <w:tcPr>
            <w:cnfStyle w:val="001000000000" w:firstRow="0" w:lastRow="0" w:firstColumn="1" w:lastColumn="0" w:oddVBand="0" w:evenVBand="0" w:oddHBand="0" w:evenHBand="0" w:firstRowFirstColumn="0" w:firstRowLastColumn="0" w:lastRowFirstColumn="0" w:lastRowLastColumn="0"/>
            <w:tcW w:w="2098" w:type="dxa"/>
            <w:vAlign w:val="top"/>
          </w:tcPr>
          <w:p w:rsidR="009174A1" w:rsidRPr="008A0495" w:rsidRDefault="009174A1" w:rsidP="00977AD5">
            <w:pPr>
              <w:pStyle w:val="BodyText"/>
              <w:spacing w:before="60" w:after="60"/>
              <w:rPr>
                <w:rFonts w:ascii="Arial" w:hAnsi="Arial" w:cs="Arial"/>
                <w:b/>
                <w:sz w:val="16"/>
                <w:szCs w:val="16"/>
              </w:rPr>
            </w:pPr>
            <w:r w:rsidRPr="008A0495">
              <w:rPr>
                <w:b/>
                <w:bCs/>
                <w:iCs/>
                <w:color w:val="000000"/>
                <w:szCs w:val="20"/>
              </w:rPr>
              <w:t>Allied health</w:t>
            </w:r>
          </w:p>
        </w:tc>
        <w:tc>
          <w:tcPr>
            <w:tcW w:w="7371" w:type="dxa"/>
            <w:vAlign w:val="top"/>
          </w:tcPr>
          <w:p w:rsidR="009174A1" w:rsidRPr="00AE5032" w:rsidRDefault="009174A1" w:rsidP="00977AD5">
            <w:pPr>
              <w:pStyle w:val="BodyText"/>
              <w:spacing w:before="60" w:after="60"/>
              <w:cnfStyle w:val="000000000000" w:firstRow="0" w:lastRow="0" w:firstColumn="0" w:lastColumn="0" w:oddVBand="0" w:evenVBand="0" w:oddHBand="0" w:evenHBand="0" w:firstRowFirstColumn="0" w:firstRowLastColumn="0" w:lastRowFirstColumn="0" w:lastRowLastColumn="0"/>
              <w:rPr>
                <w:color w:val="000000"/>
                <w:szCs w:val="20"/>
              </w:rPr>
            </w:pPr>
            <w:r w:rsidRPr="008A0495">
              <w:rPr>
                <w:color w:val="000000"/>
                <w:szCs w:val="20"/>
              </w:rPr>
              <w:t>5-</w:t>
            </w:r>
            <w:r w:rsidRPr="00AE5032">
              <w:rPr>
                <w:color w:val="000000"/>
                <w:szCs w:val="20"/>
              </w:rPr>
              <w:t>year average</w:t>
            </w:r>
          </w:p>
          <w:p w:rsidR="009174A1" w:rsidRPr="000744C9" w:rsidRDefault="009174A1" w:rsidP="00977AD5">
            <w:pPr>
              <w:pStyle w:val="BodyText"/>
              <w:spacing w:before="60" w:after="60"/>
              <w:cnfStyle w:val="000000000000" w:firstRow="0" w:lastRow="0" w:firstColumn="0" w:lastColumn="0" w:oddVBand="0" w:evenVBand="0" w:oddHBand="0" w:evenHBand="0" w:firstRowFirstColumn="0" w:firstRowLastColumn="0" w:lastRowFirstColumn="0" w:lastRowLastColumn="0"/>
              <w:rPr>
                <w:color w:val="000000"/>
                <w:szCs w:val="20"/>
              </w:rPr>
            </w:pPr>
            <w:r w:rsidRPr="00AE5032">
              <w:rPr>
                <w:color w:val="000000"/>
                <w:szCs w:val="20"/>
              </w:rPr>
              <w:t xml:space="preserve">A </w:t>
            </w:r>
            <w:r w:rsidRPr="000744C9">
              <w:rPr>
                <w:color w:val="000000"/>
                <w:szCs w:val="20"/>
              </w:rPr>
              <w:t>5-year average has been adopted rather than a 10</w:t>
            </w:r>
            <w:r w:rsidRPr="008A0495">
              <w:rPr>
                <w:color w:val="000000"/>
                <w:szCs w:val="20"/>
              </w:rPr>
              <w:t>-</w:t>
            </w:r>
            <w:r w:rsidRPr="00AE5032">
              <w:rPr>
                <w:color w:val="000000"/>
                <w:szCs w:val="20"/>
              </w:rPr>
              <w:t xml:space="preserve">year average, to exclude </w:t>
            </w:r>
            <w:r w:rsidRPr="000744C9">
              <w:rPr>
                <w:color w:val="000000"/>
                <w:szCs w:val="20"/>
              </w:rPr>
              <w:t xml:space="preserve">the rapid increase in growth in services </w:t>
            </w:r>
            <w:r w:rsidR="00C244CA">
              <w:rPr>
                <w:color w:val="000000"/>
                <w:szCs w:val="20"/>
              </w:rPr>
              <w:t>per person</w:t>
            </w:r>
            <w:r w:rsidRPr="000744C9">
              <w:rPr>
                <w:color w:val="000000"/>
                <w:szCs w:val="20"/>
              </w:rPr>
              <w:t xml:space="preserve"> that arose from the addition, and rapid uptake, of a large number of services in 2005</w:t>
            </w:r>
            <w:r w:rsidR="00DD63F1">
              <w:rPr>
                <w:color w:val="000000"/>
                <w:szCs w:val="20"/>
              </w:rPr>
              <w:t>–</w:t>
            </w:r>
            <w:r w:rsidRPr="000744C9">
              <w:rPr>
                <w:color w:val="000000"/>
                <w:szCs w:val="20"/>
              </w:rPr>
              <w:t>06 (and to a lesser extent in the subsequent years).  The 5</w:t>
            </w:r>
            <w:r w:rsidRPr="008A0495">
              <w:rPr>
                <w:color w:val="000000"/>
                <w:szCs w:val="20"/>
              </w:rPr>
              <w:t>-</w:t>
            </w:r>
            <w:r w:rsidRPr="00AE5032">
              <w:rPr>
                <w:color w:val="000000"/>
                <w:szCs w:val="20"/>
              </w:rPr>
              <w:t>year average is more likely to</w:t>
            </w:r>
            <w:r w:rsidRPr="000744C9">
              <w:rPr>
                <w:color w:val="000000"/>
                <w:szCs w:val="20"/>
              </w:rPr>
              <w:t xml:space="preserve"> be re</w:t>
            </w:r>
            <w:r w:rsidR="00DD63F1">
              <w:rPr>
                <w:color w:val="000000"/>
                <w:szCs w:val="20"/>
              </w:rPr>
              <w:t>presentative of future growth.</w:t>
            </w:r>
          </w:p>
          <w:p w:rsidR="009174A1" w:rsidRPr="00AE5032" w:rsidRDefault="009174A1" w:rsidP="00977AD5">
            <w:pPr>
              <w:pStyle w:val="BodyTex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A0495">
              <w:t>Adjustments were made to allied health services for males aged 85 and over to ensure consistency with longer-term historical trends for this age group.</w:t>
            </w:r>
          </w:p>
        </w:tc>
        <w:tc>
          <w:tcPr>
            <w:tcW w:w="5557" w:type="dxa"/>
            <w:vAlign w:val="top"/>
          </w:tcPr>
          <w:p w:rsidR="009174A1" w:rsidRPr="00AE5032" w:rsidRDefault="009174A1" w:rsidP="00977AD5">
            <w:pPr>
              <w:pStyle w:val="BodyText"/>
              <w:spacing w:before="60" w:after="60"/>
              <w:cnfStyle w:val="000000000000" w:firstRow="0" w:lastRow="0" w:firstColumn="0" w:lastColumn="0" w:oddVBand="0" w:evenVBand="0" w:oddHBand="0" w:evenHBand="0" w:firstRowFirstColumn="0" w:firstRowLastColumn="0" w:lastRowFirstColumn="0" w:lastRowLastColumn="0"/>
              <w:rPr>
                <w:color w:val="000000"/>
                <w:szCs w:val="20"/>
              </w:rPr>
            </w:pPr>
            <w:r w:rsidRPr="000744C9">
              <w:rPr>
                <w:color w:val="000000"/>
                <w:szCs w:val="20"/>
              </w:rPr>
              <w:t>5</w:t>
            </w:r>
            <w:r w:rsidRPr="008A0495">
              <w:rPr>
                <w:color w:val="000000"/>
                <w:szCs w:val="20"/>
              </w:rPr>
              <w:t>-</w:t>
            </w:r>
            <w:r w:rsidRPr="00AE5032">
              <w:rPr>
                <w:color w:val="000000"/>
                <w:szCs w:val="20"/>
              </w:rPr>
              <w:t>year average</w:t>
            </w:r>
          </w:p>
          <w:p w:rsidR="009174A1" w:rsidRPr="00227D7D" w:rsidRDefault="009174A1" w:rsidP="00977AD5">
            <w:pPr>
              <w:pStyle w:val="BodyTex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744C9">
              <w:rPr>
                <w:color w:val="000000"/>
                <w:szCs w:val="20"/>
              </w:rPr>
              <w:t>A 5-year average has been adopted rather than a 10</w:t>
            </w:r>
            <w:r w:rsidRPr="008A0495">
              <w:rPr>
                <w:color w:val="000000"/>
                <w:szCs w:val="20"/>
              </w:rPr>
              <w:t>-</w:t>
            </w:r>
            <w:r w:rsidRPr="00AE5032">
              <w:rPr>
                <w:color w:val="000000"/>
                <w:szCs w:val="20"/>
              </w:rPr>
              <w:t xml:space="preserve">year average, to exclude the spike in growth in  </w:t>
            </w:r>
            <w:r w:rsidRPr="000744C9">
              <w:rPr>
                <w:color w:val="000000"/>
                <w:szCs w:val="20"/>
              </w:rPr>
              <w:t>benefits per service that arose from the addition, and rapid uptake, of a large number of new higher cost services in 2</w:t>
            </w:r>
            <w:r w:rsidR="00DD63F1">
              <w:rPr>
                <w:color w:val="000000"/>
                <w:szCs w:val="20"/>
              </w:rPr>
              <w:t>005–</w:t>
            </w:r>
            <w:r w:rsidRPr="000744C9">
              <w:rPr>
                <w:color w:val="000000"/>
                <w:szCs w:val="20"/>
              </w:rPr>
              <w:t>06 (and to a lesser extent in the following years).  The 5</w:t>
            </w:r>
            <w:r w:rsidRPr="008A0495">
              <w:rPr>
                <w:color w:val="000000"/>
                <w:szCs w:val="20"/>
              </w:rPr>
              <w:t>-</w:t>
            </w:r>
            <w:r w:rsidRPr="00AE5032">
              <w:rPr>
                <w:color w:val="000000"/>
                <w:szCs w:val="20"/>
              </w:rPr>
              <w:t xml:space="preserve">year average is more likely </w:t>
            </w:r>
            <w:r w:rsidRPr="000744C9">
              <w:rPr>
                <w:color w:val="000000"/>
                <w:szCs w:val="20"/>
              </w:rPr>
              <w:t>to be representative of future growth.</w:t>
            </w:r>
          </w:p>
        </w:tc>
      </w:tr>
      <w:tr w:rsidR="00977AD5" w:rsidRPr="00227D7D" w:rsidTr="00977AD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8" w:type="dxa"/>
            <w:vAlign w:val="top"/>
          </w:tcPr>
          <w:p w:rsidR="009174A1" w:rsidRPr="007917EE" w:rsidRDefault="009174A1" w:rsidP="00977AD5">
            <w:pPr>
              <w:pStyle w:val="BodyText"/>
              <w:spacing w:before="60" w:after="60"/>
              <w:rPr>
                <w:b/>
                <w:bCs/>
                <w:iCs/>
                <w:color w:val="000000"/>
                <w:szCs w:val="20"/>
              </w:rPr>
            </w:pPr>
            <w:r w:rsidRPr="007917EE">
              <w:rPr>
                <w:b/>
                <w:bCs/>
                <w:iCs/>
                <w:color w:val="000000"/>
                <w:szCs w:val="20"/>
              </w:rPr>
              <w:t>Bulk Billing incentives</w:t>
            </w:r>
            <w:r w:rsidRPr="00701D20">
              <w:rPr>
                <w:rStyle w:val="FootnoteReference"/>
              </w:rPr>
              <w:footnoteReference w:id="26"/>
            </w:r>
          </w:p>
        </w:tc>
        <w:tc>
          <w:tcPr>
            <w:tcW w:w="7371" w:type="dxa"/>
            <w:vAlign w:val="top"/>
          </w:tcPr>
          <w:p w:rsidR="009174A1" w:rsidRPr="00227D7D" w:rsidRDefault="009174A1" w:rsidP="00977AD5">
            <w:pPr>
              <w:pStyle w:val="BodyText"/>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color w:val="000000"/>
                <w:szCs w:val="20"/>
              </w:rPr>
              <w:t>N/A</w:t>
            </w:r>
          </w:p>
        </w:tc>
        <w:tc>
          <w:tcPr>
            <w:tcW w:w="5557" w:type="dxa"/>
            <w:vAlign w:val="top"/>
          </w:tcPr>
          <w:p w:rsidR="009174A1" w:rsidRPr="00227D7D" w:rsidRDefault="009174A1" w:rsidP="00977AD5">
            <w:pPr>
              <w:pStyle w:val="BodyText"/>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color w:val="000000"/>
                <w:szCs w:val="20"/>
              </w:rPr>
              <w:t>N/A</w:t>
            </w:r>
          </w:p>
        </w:tc>
      </w:tr>
      <w:tr w:rsidR="00977AD5" w:rsidRPr="00227D7D" w:rsidTr="00977AD5">
        <w:trPr>
          <w:cantSplit/>
        </w:trPr>
        <w:tc>
          <w:tcPr>
            <w:cnfStyle w:val="001000000000" w:firstRow="0" w:lastRow="0" w:firstColumn="1" w:lastColumn="0" w:oddVBand="0" w:evenVBand="0" w:oddHBand="0" w:evenHBand="0" w:firstRowFirstColumn="0" w:firstRowLastColumn="0" w:lastRowFirstColumn="0" w:lastRowLastColumn="0"/>
            <w:tcW w:w="2098" w:type="dxa"/>
            <w:vAlign w:val="top"/>
          </w:tcPr>
          <w:p w:rsidR="009174A1" w:rsidRPr="007917EE" w:rsidRDefault="009174A1" w:rsidP="00977AD5">
            <w:pPr>
              <w:pStyle w:val="BodyText"/>
              <w:spacing w:before="60" w:after="60"/>
              <w:rPr>
                <w:rFonts w:ascii="Arial" w:hAnsi="Arial" w:cs="Arial"/>
                <w:b/>
                <w:sz w:val="16"/>
                <w:szCs w:val="16"/>
              </w:rPr>
            </w:pPr>
            <w:r w:rsidRPr="007917EE">
              <w:rPr>
                <w:b/>
                <w:bCs/>
                <w:iCs/>
                <w:color w:val="000000"/>
                <w:szCs w:val="20"/>
              </w:rPr>
              <w:t>Specialist services</w:t>
            </w:r>
          </w:p>
        </w:tc>
        <w:tc>
          <w:tcPr>
            <w:tcW w:w="7371" w:type="dxa"/>
            <w:vAlign w:val="top"/>
          </w:tcPr>
          <w:p w:rsidR="009174A1" w:rsidRPr="00227D7D" w:rsidRDefault="009174A1" w:rsidP="00977AD5">
            <w:pPr>
              <w:pStyle w:val="BodyTex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color w:val="000000"/>
                <w:szCs w:val="20"/>
              </w:rPr>
              <w:t>10-year average</w:t>
            </w:r>
          </w:p>
        </w:tc>
        <w:tc>
          <w:tcPr>
            <w:tcW w:w="5557" w:type="dxa"/>
            <w:vAlign w:val="top"/>
          </w:tcPr>
          <w:p w:rsidR="009174A1" w:rsidRPr="00227D7D" w:rsidRDefault="009174A1" w:rsidP="00977AD5">
            <w:pPr>
              <w:pStyle w:val="BodyTex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color w:val="000000"/>
                <w:szCs w:val="20"/>
              </w:rPr>
              <w:t>10-year average</w:t>
            </w:r>
          </w:p>
        </w:tc>
      </w:tr>
    </w:tbl>
    <w:p w:rsidR="00977AD5" w:rsidRDefault="00977AD5" w:rsidP="00296721">
      <w:pPr>
        <w:pStyle w:val="BodyText"/>
        <w:sectPr w:rsidR="00977AD5" w:rsidSect="006A55D4">
          <w:headerReference w:type="even" r:id="rId80"/>
          <w:headerReference w:type="default" r:id="rId81"/>
          <w:footerReference w:type="even" r:id="rId82"/>
          <w:footerReference w:type="default" r:id="rId83"/>
          <w:pgSz w:w="16839" w:h="11907" w:orient="landscape" w:code="9"/>
          <w:pgMar w:top="1361" w:right="1797" w:bottom="1474" w:left="1797" w:header="283" w:footer="454" w:gutter="0"/>
          <w:cols w:space="708"/>
          <w:docGrid w:linePitch="360"/>
        </w:sectPr>
      </w:pPr>
    </w:p>
    <w:p w:rsidR="00296721" w:rsidRPr="008A0495" w:rsidRDefault="00296721" w:rsidP="00296721">
      <w:pPr>
        <w:pStyle w:val="BodyText"/>
      </w:pPr>
      <w:r w:rsidRPr="008A0495">
        <w:lastRenderedPageBreak/>
        <w:t xml:space="preserve">As with any medium-term projections there are uncertainties surrounding the numbers presented.  In particular, when projecting Medicare spending there is uncertainty regarding the ongoing impact of past policy changes and </w:t>
      </w:r>
      <w:r w:rsidR="00977AD5">
        <w:t>when they are likely to mature.</w:t>
      </w:r>
    </w:p>
    <w:p w:rsidR="00B4051B" w:rsidRPr="00977AD5" w:rsidRDefault="000B5579" w:rsidP="00977AD5">
      <w:pPr>
        <w:pStyle w:val="AppendixHeading2"/>
      </w:pPr>
      <w:r w:rsidRPr="00977AD5">
        <w:t>Real g</w:t>
      </w:r>
      <w:r w:rsidR="00B4051B" w:rsidRPr="00977AD5">
        <w:t>rowth rates</w:t>
      </w:r>
    </w:p>
    <w:p w:rsidR="000B5579" w:rsidRDefault="000B5579" w:rsidP="00B05310">
      <w:pPr>
        <w:pStyle w:val="BodyText"/>
      </w:pPr>
      <w:r>
        <w:t xml:space="preserve">Nominal spending has been deflated by the Consumer Price Index to </w:t>
      </w:r>
      <w:r w:rsidR="00977AD5">
        <w:t>determine real spending in 2014–</w:t>
      </w:r>
      <w:r>
        <w:t>15 dollars.</w:t>
      </w:r>
    </w:p>
    <w:p w:rsidR="00B05310" w:rsidRDefault="00B05310" w:rsidP="00B05310">
      <w:pPr>
        <w:pStyle w:val="BodyText"/>
      </w:pPr>
      <w:r>
        <w:t>Growth rates are compound annual average growth rates and cumulative contributions to growth.  Contributions to growth are the percentage point contribution to total cumulative real growth over the relevant period.</w:t>
      </w:r>
    </w:p>
    <w:p w:rsidR="00B05310" w:rsidRDefault="000454FB" w:rsidP="00977AD5">
      <w:pPr>
        <w:pStyle w:val="AppendixHeading2"/>
      </w:pPr>
      <w:r>
        <w:t>Sources and references</w:t>
      </w:r>
    </w:p>
    <w:p w:rsidR="001B6B42" w:rsidRPr="00604F12" w:rsidRDefault="001B6B42" w:rsidP="00604F12">
      <w:pPr>
        <w:pStyle w:val="BodyText"/>
      </w:pPr>
      <w:r w:rsidRPr="00604F12">
        <w:t>Australia</w:t>
      </w:r>
      <w:proofErr w:type="gramStart"/>
      <w:r w:rsidRPr="00604F12">
        <w:t>,,</w:t>
      </w:r>
      <w:proofErr w:type="gramEnd"/>
      <w:r w:rsidRPr="00604F12">
        <w:t xml:space="preserve"> House of Representatives 1983, Debates, no. 132, 14 September, Canberra.</w:t>
      </w:r>
    </w:p>
    <w:p w:rsidR="00604F12" w:rsidRPr="00604F12" w:rsidRDefault="00604F12" w:rsidP="00604F12">
      <w:pPr>
        <w:pStyle w:val="BodyText"/>
      </w:pPr>
      <w:r w:rsidRPr="00604F12">
        <w:t>Centre for Health Economics Research and Evaluation 2011, Extended Medicare Safety Net: Review of Capping Arrangements, prepared for the Commonwealth Department of Health and Ageing, Canberra.</w:t>
      </w:r>
    </w:p>
    <w:p w:rsidR="001B6B42" w:rsidRPr="00604F12" w:rsidRDefault="00604F12" w:rsidP="00604F12">
      <w:pPr>
        <w:pStyle w:val="BodyText"/>
      </w:pPr>
      <w:r w:rsidRPr="00604F12">
        <w:t>Commonwealth of Australia 1993–2015, Budget Papers, Updates, various, Commonwealth of Australia, Canberra.</w:t>
      </w:r>
    </w:p>
    <w:p w:rsidR="001B6B42" w:rsidRPr="00604F12" w:rsidRDefault="001B6B42" w:rsidP="00604F12">
      <w:pPr>
        <w:pStyle w:val="BodyText"/>
      </w:pPr>
      <w:r w:rsidRPr="00604F12">
        <w:t>Commonwealth of Australia 2015, 2015 Intergenerational Report, Commonwealth of Australia, Canberra.</w:t>
      </w:r>
    </w:p>
    <w:p w:rsidR="001B6B42" w:rsidRPr="00604F12" w:rsidRDefault="001B6B42" w:rsidP="00604F12">
      <w:pPr>
        <w:pStyle w:val="BodyText"/>
      </w:pPr>
      <w:r w:rsidRPr="00604F12">
        <w:t>Jolly, R 2009, Background Note: Medical practitioners, education and training in Australia, Parliamentary Library, Canberra.</w:t>
      </w:r>
    </w:p>
    <w:p w:rsidR="00604F12" w:rsidRPr="00604F12" w:rsidRDefault="00604F12" w:rsidP="000454FB">
      <w:pPr>
        <w:pStyle w:val="BodyText"/>
        <w:rPr>
          <w:color w:val="751D71" w:themeColor="accent4"/>
        </w:rPr>
      </w:pPr>
      <w:r w:rsidRPr="00604F12">
        <w:rPr>
          <w:noProof/>
          <w:color w:val="751D71" w:themeColor="accent4"/>
          <w:lang w:eastAsia="en-AU"/>
        </w:rPr>
        <w:lastRenderedPageBreak/>
        <mc:AlternateContent>
          <mc:Choice Requires="wpc">
            <w:drawing>
              <wp:anchor distT="0" distB="0" distL="114300" distR="114300" simplePos="0" relativeHeight="251661312" behindDoc="0" locked="0" layoutInCell="1" allowOverlap="1" wp14:anchorId="49C1F0FE" wp14:editId="30470DC0">
                <wp:simplePos x="723900" y="4543425"/>
                <wp:positionH relativeFrom="page">
                  <wp:align>left</wp:align>
                </wp:positionH>
                <wp:positionV relativeFrom="page">
                  <wp:align>top</wp:align>
                </wp:positionV>
                <wp:extent cx="18329143" cy="10692000"/>
                <wp:effectExtent l="0" t="0" r="0" b="0"/>
                <wp:wrapTopAndBottom/>
                <wp:docPr id="10"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solidFill>
                      </wpc:bg>
                      <wpc:whole/>
                      <wps:wsp>
                        <wps:cNvPr id="9" name="Text Box 9"/>
                        <wps:cNvSpPr txBox="1"/>
                        <wps:spPr>
                          <a:xfrm>
                            <a:off x="0" y="360045"/>
                            <a:ext cx="7560000" cy="370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B5BCC" w:rsidRPr="00604F12" w:rsidRDefault="003B5BCC" w:rsidP="009D2465">
                              <w:pPr>
                                <w:ind w:left="1701" w:right="57"/>
                                <w:rPr>
                                  <w:color w:val="FFFFFF" w:themeColor="background1"/>
                                </w:rPr>
                              </w:pPr>
                              <w:r w:rsidRPr="00604F12">
                                <w:rPr>
                                  <w:color w:val="FFFFFF" w:themeColor="background1"/>
                                </w:rPr>
                                <w:t>This page is intentionally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id="Canvas 10" o:spid="_x0000_s1026" editas="canvas" style="position:absolute;margin-left:0;margin-top:0;width:1443.25pt;height:841.9pt;z-index:251661312;mso-position-horizontal:left;mso-position-horizontal-relative:page;mso-position-vertical:top;mso-position-vertical-relative:page;mso-width-relative:margin;mso-height-relative:margin" coordsize="183286,106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3286;height:106914;visibility:visible;mso-wrap-style:square" filled="t" fillcolor="white [3212]">
                  <v:fill o:detectmouseclick="t"/>
                  <v:path o:connecttype="none"/>
                </v:shape>
                <v:shapetype id="_x0000_t202" coordsize="21600,21600" o:spt="202" path="m,l,21600r21600,l21600,xe">
                  <v:stroke joinstyle="miter"/>
                  <v:path gradientshapeok="t" o:connecttype="rect"/>
                </v:shapetype>
                <v:shape id="Text Box 9" o:spid="_x0000_s1028" type="#_x0000_t202" style="position:absolute;top:3600;width:75600;height:3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Cof8UA&#10;AADaAAAADwAAAGRycy9kb3ducmV2LnhtbESPQWvCQBSE7wX/w/KEXkrdVKmt0VWKtCreNFXx9sg+&#10;k2D2bchuk/jv3UKhx2FmvmFmi86UoqHaFZYVvAwiEMSp1QVnCr6Tr+d3EM4jaywtk4IbOVjMew8z&#10;jLVteUfN3mciQNjFqCD3voqldGlOBt3AVsTBu9jaoA+yzqSusQ1wU8phFI2lwYLDQo4VLXNKr/sf&#10;o+D8lJ22rlsd2tHrqPpcN8nbUSdKPfa7jykIT53/D/+1N1rBBH6vhBs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Kh/xQAAANoAAAAPAAAAAAAAAAAAAAAAAJgCAABkcnMv&#10;ZG93bnJldi54bWxQSwUGAAAAAAQABAD1AAAAigMAAAAA&#10;" fillcolor="white [3201]" stroked="f" strokeweight=".5pt">
                  <v:textbox>
                    <w:txbxContent>
                      <w:p w:rsidR="003B5BCC" w:rsidRPr="00604F12" w:rsidRDefault="003B5BCC" w:rsidP="009D2465">
                        <w:pPr>
                          <w:ind w:left="1701" w:right="57"/>
                          <w:rPr>
                            <w:color w:val="FFFFFF" w:themeColor="background1"/>
                          </w:rPr>
                        </w:pPr>
                        <w:r w:rsidRPr="00604F12">
                          <w:rPr>
                            <w:color w:val="FFFFFF" w:themeColor="background1"/>
                          </w:rPr>
                          <w:t>This page is intentionally blank</w:t>
                        </w:r>
                      </w:p>
                    </w:txbxContent>
                  </v:textbox>
                </v:shape>
                <w10:wrap type="topAndBottom" anchorx="page" anchory="page"/>
              </v:group>
            </w:pict>
          </mc:Fallback>
        </mc:AlternateContent>
      </w:r>
    </w:p>
    <w:p w:rsidR="00A349A8" w:rsidRPr="00D312D4" w:rsidRDefault="00A349A8" w:rsidP="00C24A58">
      <w:pPr>
        <w:pStyle w:val="BodyText"/>
      </w:pPr>
      <w:r w:rsidRPr="00227D7D">
        <w:rPr>
          <w:noProof/>
          <w:color w:val="FFFFFF" w:themeColor="background1"/>
          <w:sz w:val="72"/>
          <w:szCs w:val="72"/>
          <w:lang w:eastAsia="en-AU"/>
        </w:rPr>
        <w:lastRenderedPageBreak/>
        <mc:AlternateContent>
          <mc:Choice Requires="wpc">
            <w:drawing>
              <wp:anchor distT="0" distB="0" distL="114300" distR="114300" simplePos="0" relativeHeight="251659264" behindDoc="1" locked="0" layoutInCell="1" allowOverlap="1" wp14:anchorId="02B002C6" wp14:editId="35670EC4">
                <wp:simplePos x="0" y="0"/>
                <wp:positionH relativeFrom="page">
                  <wp:posOffset>0</wp:posOffset>
                </wp:positionH>
                <wp:positionV relativeFrom="page">
                  <wp:posOffset>0</wp:posOffset>
                </wp:positionV>
                <wp:extent cx="7632000" cy="10692000"/>
                <wp:effectExtent l="0" t="0" r="7620" b="0"/>
                <wp:wrapTight wrapText="bothSides">
                  <wp:wrapPolygon edited="0">
                    <wp:start x="0" y="0"/>
                    <wp:lineTo x="0" y="21553"/>
                    <wp:lineTo x="21568" y="21553"/>
                    <wp:lineTo x="21568" y="0"/>
                    <wp:lineTo x="0" y="0"/>
                  </wp:wrapPolygon>
                </wp:wrapTight>
                <wp:docPr id="26" name="Canvas 26"/>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pic:pic xmlns:pic="http://schemas.openxmlformats.org/drawingml/2006/picture">
                        <pic:nvPicPr>
                          <pic:cNvPr id="24" name="Picture 24"/>
                          <pic:cNvPicPr preferRelativeResize="0">
                            <a:picLocks/>
                          </pic:cNvPicPr>
                        </pic:nvPicPr>
                        <pic:blipFill>
                          <a:blip r:embed="rId84" cstate="print">
                            <a:extLst>
                              <a:ext uri="{28A0092B-C50C-407E-A947-70E740481C1C}">
                                <a14:useLocalDpi xmlns:a14="http://schemas.microsoft.com/office/drawing/2010/main" val="0"/>
                              </a:ext>
                            </a:extLst>
                          </a:blip>
                          <a:stretch>
                            <a:fillRect/>
                          </a:stretch>
                        </pic:blipFill>
                        <pic:spPr>
                          <a:xfrm>
                            <a:off x="0" y="0"/>
                            <a:ext cx="7563600" cy="10687050"/>
                          </a:xfrm>
                          <a:prstGeom prst="rect">
                            <a:avLst/>
                          </a:prstGeom>
                        </pic:spPr>
                      </pic:pic>
                      <wps:wsp>
                        <wps:cNvPr id="25" name="Text Box 2"/>
                        <wps:cNvSpPr txBox="1">
                          <a:spLocks noChangeArrowheads="1"/>
                        </wps:cNvSpPr>
                        <wps:spPr bwMode="auto">
                          <a:xfrm>
                            <a:off x="2520315" y="8763000"/>
                            <a:ext cx="2520000" cy="608400"/>
                          </a:xfrm>
                          <a:prstGeom prst="rect">
                            <a:avLst/>
                          </a:prstGeom>
                          <a:noFill/>
                          <a:ln w="9525">
                            <a:noFill/>
                            <a:miter lim="800000"/>
                            <a:headEnd/>
                            <a:tailEnd/>
                          </a:ln>
                        </wps:spPr>
                        <wps:txbx>
                          <w:txbxContent>
                            <w:p w:rsidR="003B5BCC" w:rsidRPr="0061135C" w:rsidRDefault="00AF4AB9" w:rsidP="00205DCA">
                              <w:pPr>
                                <w:pStyle w:val="xBackPageWebAddress"/>
                                <w:jc w:val="center"/>
                              </w:pPr>
                              <w:hyperlink r:id="rId85" w:history="1">
                                <w:r w:rsidR="003B5BCC" w:rsidRPr="0061135C">
                                  <w:t>www.pbo.gov.au</w:t>
                                </w:r>
                              </w:hyperlink>
                            </w:p>
                          </w:txbxContent>
                        </wps:txbx>
                        <wps:bodyPr rot="0" vert="horz" wrap="square" lIns="91440" tIns="45720" rIns="91440" bIns="45720" anchor="b" anchorCtr="0">
                          <a:noAutofit/>
                        </wps:bodyPr>
                      </wps:wsp>
                    </wpc:wpc>
                  </a:graphicData>
                </a:graphic>
                <wp14:sizeRelH relativeFrom="page">
                  <wp14:pctWidth>0</wp14:pctWidth>
                </wp14:sizeRelH>
                <wp14:sizeRelV relativeFrom="page">
                  <wp14:pctHeight>0</wp14:pctHeight>
                </wp14:sizeRelV>
              </wp:anchor>
            </w:drawing>
          </mc:Choice>
          <mc:Fallback>
            <w:pict>
              <v:group id="Canvas 26" o:spid="_x0000_s1029" editas="canvas" style="position:absolute;margin-left:0;margin-top:0;width:600.95pt;height:841.9pt;z-index:-251657216;mso-position-horizontal-relative:page;mso-position-vertical-relative:page" coordsize="76314,106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">
                <v:shape id="_x0000_s1030" type="#_x0000_t75" style="position:absolute;width:76314;height:106914;visibility:visible;mso-wrap-style:square" filled="t" fillcolor="white [3212]">
                  <v:fill o:detectmouseclick="t"/>
                  <v:path o:connecttype="none"/>
                </v:shape>
                <v:shape id="Picture 24" o:spid="_x0000_s1031" type="#_x0000_t75" style="position:absolute;width:75636;height:10687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DK7jFAAAA2wAAAA8AAABkcnMvZG93bnJldi54bWxEj0FrwkAUhO9C/8PyCl6k2VRESnQNbaBg&#10;oVBMS8DbI/tMgtm3aXabxH/vFgSPw8x8w2zTybRioN41lhU8RzEI4tLqhisFP9/vTy8gnEfW2Fom&#10;BRdykO4eZltMtB35QEPuKxEg7BJUUHvfJVK6siaDLrIdcfBOtjfog+wrqXscA9y0chnHa2mw4bBQ&#10;Y0dZTeU5/zMK8rHAc15dvmT2tjgeToX8/P0YlJo/Tq8bEJ4mfw/f2nutYLmC/y/hB8jd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wyu4xQAAANsAAAAPAAAAAAAAAAAAAAAA&#10;AJ8CAABkcnMvZG93bnJldi54bWxQSwUGAAAAAAQABAD3AAAAkQMAAAAA&#10;">
                  <v:imagedata r:id="rId86" o:title=""/>
                  <v:path arrowok="t"/>
                  <o:lock v:ext="edit" aspectratio="f"/>
                </v:shape>
                <v:shape id="Text Box 2" o:spid="_x0000_s1032" type="#_x0000_t202" style="position:absolute;left:25203;top:87630;width:25200;height:608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amlsUA&#10;AADbAAAADwAAAGRycy9kb3ducmV2LnhtbESP0WrCQBRE3wv9h+UW+mY2SpSSukqxFfoi1rQfcJO9&#10;JrHZuyG7Mcnfu0Khj8PMnGHW29E04kqdqy0rmEcxCOLC6ppLBT/f+9kLCOeRNTaWScFEDrabx4c1&#10;ptoOfKJr5ksRIOxSVFB536ZSuqIigy6yLXHwzrYz6IPsSqk7HALcNHIRxytpsOawUGFLu4qK36w3&#10;Cj6+8ilP5pd98h5PuT4Oh13RH5R6fhrfXkF4Gv1/+K/9qRUslnD/En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BqaWxQAAANsAAAAPAAAAAAAAAAAAAAAAAJgCAABkcnMv&#10;ZG93bnJldi54bWxQSwUGAAAAAAQABAD1AAAAigMAAAAA&#10;" filled="f" stroked="f">
                  <v:textbox>
                    <w:txbxContent>
                      <w:p w:rsidR="003B5BCC" w:rsidRPr="0061135C" w:rsidRDefault="00235AA8" w:rsidP="00205DCA">
                        <w:pPr>
                          <w:pStyle w:val="xBackPageWebAddress"/>
                          <w:jc w:val="center"/>
                        </w:pPr>
                        <w:hyperlink r:id="rId87" w:history="1">
                          <w:r w:rsidR="003B5BCC" w:rsidRPr="0061135C">
                            <w:t>www.pbo.gov.au</w:t>
                          </w:r>
                        </w:hyperlink>
                      </w:p>
                    </w:txbxContent>
                  </v:textbox>
                </v:shape>
                <w10:wrap type="tight" anchorx="page" anchory="page"/>
              </v:group>
            </w:pict>
          </mc:Fallback>
        </mc:AlternateContent>
      </w:r>
    </w:p>
    <w:sectPr w:rsidR="00A349A8" w:rsidRPr="00D312D4" w:rsidSect="00232965">
      <w:headerReference w:type="even" r:id="rId88"/>
      <w:headerReference w:type="default" r:id="rId89"/>
      <w:footerReference w:type="even" r:id="rId90"/>
      <w:footerReference w:type="default" r:id="rId91"/>
      <w:pgSz w:w="11907" w:h="16839" w:code="9"/>
      <w:pgMar w:top="1361" w:right="1797" w:bottom="1474" w:left="1797" w:header="283"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BCC" w:rsidRDefault="003B5BCC" w:rsidP="00A20802">
      <w:pPr>
        <w:spacing w:line="240" w:lineRule="auto"/>
      </w:pPr>
      <w:r>
        <w:separator/>
      </w:r>
    </w:p>
    <w:p w:rsidR="003B5BCC" w:rsidRDefault="003B5BCC"/>
  </w:endnote>
  <w:endnote w:type="continuationSeparator" w:id="0">
    <w:p w:rsidR="003B5BCC" w:rsidRDefault="003B5BCC" w:rsidP="00A20802">
      <w:pPr>
        <w:spacing w:line="240" w:lineRule="auto"/>
      </w:pPr>
      <w:r>
        <w:continuationSeparator/>
      </w:r>
    </w:p>
    <w:p w:rsidR="003B5BCC" w:rsidRDefault="003B5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Pr="00D87B97" w:rsidRDefault="003B5BCC" w:rsidP="00D87B97">
    <w:pPr>
      <w:pStyle w:val="Footer"/>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horzAnchor="page" w:tblpX="1" w:tblpY="397"/>
      <w:tblW w:w="1219" w:type="dxa"/>
      <w:tblLayout w:type="fixed"/>
      <w:tblCellMar>
        <w:top w:w="28" w:type="dxa"/>
      </w:tblCellMar>
      <w:tblLook w:val="04A0" w:firstRow="1" w:lastRow="0" w:firstColumn="1" w:lastColumn="0" w:noHBand="0" w:noVBand="1"/>
    </w:tblPr>
    <w:tblGrid>
      <w:gridCol w:w="595"/>
      <w:gridCol w:w="624"/>
    </w:tblGrid>
    <w:tr w:rsidR="003B5BCC" w:rsidRPr="00EB388E" w:rsidTr="00A660B0">
      <w:trPr>
        <w:cantSplit/>
        <w:trHeight w:val="567"/>
      </w:trPr>
      <w:tc>
        <w:tcPr>
          <w:tcW w:w="595" w:type="dxa"/>
          <w:textDirection w:val="tbRl"/>
        </w:tcPr>
        <w:p w:rsidR="003B5BCC" w:rsidRPr="00EB388E" w:rsidRDefault="003B5BCC" w:rsidP="00A660B0">
          <w:pPr>
            <w:pStyle w:val="FooterLeftPageNumber"/>
            <w:framePr w:wrap="auto" w:vAnchor="margin" w:hAnchor="text" w:yAlign="inline"/>
            <w:ind w:left="113"/>
          </w:pPr>
        </w:p>
      </w:tc>
      <w:tc>
        <w:tcPr>
          <w:tcW w:w="624" w:type="dxa"/>
          <w:tcBorders>
            <w:bottom w:val="single" w:sz="4" w:space="0" w:color="788184" w:themeColor="background2"/>
          </w:tcBorders>
          <w:textDirection w:val="tbRl"/>
          <w:vAlign w:val="center"/>
        </w:tcPr>
        <w:p w:rsidR="003B5BCC" w:rsidRPr="00AF7B25" w:rsidRDefault="003B5BCC" w:rsidP="00A660B0">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AF4AB9">
            <w:rPr>
              <w:noProof/>
            </w:rPr>
            <w:t>6</w:t>
          </w:r>
          <w:r w:rsidRPr="00EB388E">
            <w:fldChar w:fldCharType="end"/>
          </w:r>
        </w:p>
      </w:tc>
    </w:tr>
    <w:tr w:rsidR="003B5BCC" w:rsidRPr="00EB388E" w:rsidTr="00A660B0">
      <w:trPr>
        <w:cantSplit/>
        <w:trHeight w:val="8164"/>
      </w:trPr>
      <w:tc>
        <w:tcPr>
          <w:tcW w:w="595" w:type="dxa"/>
          <w:textDirection w:val="tbRl"/>
        </w:tcPr>
        <w:p w:rsidR="003B5BCC" w:rsidRDefault="003B5BCC" w:rsidP="00A660B0">
          <w:pPr>
            <w:pStyle w:val="FooterLeftPageNumber"/>
            <w:framePr w:wrap="auto" w:vAnchor="margin" w:hAnchor="text" w:yAlign="inline"/>
            <w:ind w:left="113"/>
          </w:pPr>
        </w:p>
      </w:tc>
      <w:tc>
        <w:tcPr>
          <w:tcW w:w="624" w:type="dxa"/>
          <w:tcBorders>
            <w:top w:val="single" w:sz="4" w:space="0" w:color="788184" w:themeColor="background2"/>
          </w:tcBorders>
          <w:textDirection w:val="tbRl"/>
          <w:vAlign w:val="center"/>
        </w:tcPr>
        <w:p w:rsidR="003B5BCC" w:rsidRPr="00EB388E" w:rsidRDefault="00AF4AB9" w:rsidP="00A660B0">
          <w:pPr>
            <w:pStyle w:val="FooterLeft"/>
            <w:framePr w:wrap="auto" w:vAnchor="margin" w:hAnchor="text" w:yAlign="inline"/>
          </w:pPr>
          <w:r>
            <w:fldChar w:fldCharType="begin"/>
          </w:r>
          <w:r>
            <w:instrText xml:space="preserve"> STYLEREF  Title  \* MERGEFORMAT </w:instrText>
          </w:r>
          <w:r>
            <w:fldChar w:fldCharType="separate"/>
          </w:r>
          <w:r>
            <w:rPr>
              <w:noProof/>
            </w:rPr>
            <w:t>Medicare Benefits Schedule</w:t>
          </w:r>
          <w:r>
            <w:rPr>
              <w:noProof/>
            </w:rPr>
            <w:fldChar w:fldCharType="end"/>
          </w:r>
        </w:p>
      </w:tc>
    </w:tr>
  </w:tbl>
  <w:p w:rsidR="003B5BCC" w:rsidRPr="00E350DC" w:rsidRDefault="003B5BCC" w:rsidP="00E55F4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horzAnchor="page" w:tblpX="1" w:tblpYSpec="bottom"/>
      <w:tblW w:w="1219" w:type="dxa"/>
      <w:tblLayout w:type="fixed"/>
      <w:tblCellMar>
        <w:top w:w="28" w:type="dxa"/>
      </w:tblCellMar>
      <w:tblLook w:val="04A0" w:firstRow="1" w:lastRow="0" w:firstColumn="1" w:lastColumn="0" w:noHBand="0" w:noVBand="1"/>
    </w:tblPr>
    <w:tblGrid>
      <w:gridCol w:w="595"/>
      <w:gridCol w:w="624"/>
    </w:tblGrid>
    <w:tr w:rsidR="003B5BCC" w:rsidRPr="00EB388E" w:rsidTr="00A660B0">
      <w:trPr>
        <w:cantSplit/>
        <w:trHeight w:val="8164"/>
      </w:trPr>
      <w:tc>
        <w:tcPr>
          <w:tcW w:w="595" w:type="dxa"/>
          <w:textDirection w:val="tbRl"/>
        </w:tcPr>
        <w:p w:rsidR="003B5BCC" w:rsidRDefault="003B5BCC" w:rsidP="00A660B0">
          <w:pPr>
            <w:pStyle w:val="FooterLeftPageNumber"/>
            <w:framePr w:wrap="auto" w:vAnchor="margin" w:hAnchor="text" w:yAlign="inline"/>
            <w:ind w:left="113"/>
          </w:pPr>
        </w:p>
      </w:tc>
      <w:tc>
        <w:tcPr>
          <w:tcW w:w="624" w:type="dxa"/>
          <w:tcBorders>
            <w:bottom w:val="single" w:sz="4" w:space="0" w:color="788184" w:themeColor="background2"/>
          </w:tcBorders>
          <w:textDirection w:val="tbRl"/>
          <w:vAlign w:val="center"/>
        </w:tcPr>
        <w:p w:rsidR="003B5BCC" w:rsidRPr="00EB388E" w:rsidRDefault="00AF4AB9" w:rsidP="00A660B0">
          <w:pPr>
            <w:pStyle w:val="FooterRight"/>
            <w:framePr w:wrap="auto" w:vAnchor="margin" w:hAnchor="text" w:xAlign="left" w:yAlign="inline"/>
          </w:pPr>
          <w:r>
            <w:fldChar w:fldCharType="begin"/>
          </w:r>
          <w:r>
            <w:instrText xml:space="preserve"> STYLEREF  "Heading 1"  \* MERGEFORMAT </w:instrText>
          </w:r>
          <w:r>
            <w:fldChar w:fldCharType="separate"/>
          </w:r>
          <w:r w:rsidR="00B32E26">
            <w:rPr>
              <w:noProof/>
            </w:rPr>
            <w:t>Trends in aggregate Medicare Benefits Schedule spending</w:t>
          </w:r>
          <w:r>
            <w:rPr>
              <w:noProof/>
            </w:rPr>
            <w:fldChar w:fldCharType="end"/>
          </w:r>
        </w:p>
      </w:tc>
    </w:tr>
    <w:tr w:rsidR="003B5BCC" w:rsidRPr="00EB388E" w:rsidTr="00A660B0">
      <w:trPr>
        <w:cantSplit/>
        <w:trHeight w:val="850"/>
      </w:trPr>
      <w:tc>
        <w:tcPr>
          <w:tcW w:w="595" w:type="dxa"/>
          <w:textDirection w:val="tbRl"/>
        </w:tcPr>
        <w:p w:rsidR="003B5BCC" w:rsidRDefault="003B5BCC" w:rsidP="00A660B0">
          <w:pPr>
            <w:pStyle w:val="FooterLeftPageNumber"/>
            <w:framePr w:wrap="auto" w:vAnchor="margin" w:hAnchor="text" w:yAlign="inline"/>
            <w:ind w:left="113"/>
          </w:pPr>
        </w:p>
      </w:tc>
      <w:tc>
        <w:tcPr>
          <w:tcW w:w="624" w:type="dxa"/>
          <w:tcBorders>
            <w:top w:val="single" w:sz="4" w:space="0" w:color="788184" w:themeColor="background2"/>
          </w:tcBorders>
          <w:textDirection w:val="tbRl"/>
          <w:vAlign w:val="center"/>
        </w:tcPr>
        <w:p w:rsidR="003B5BCC" w:rsidRPr="00AF7B25" w:rsidRDefault="003B5BCC" w:rsidP="00A660B0">
          <w:pPr>
            <w:pStyle w:val="FooterRightPageNumberLS"/>
            <w:framePr w:wrap="auto" w:xAlign="left"/>
          </w:pPr>
          <w:r w:rsidRPr="00B917D0">
            <w:fldChar w:fldCharType="begin"/>
          </w:r>
          <w:r w:rsidRPr="00B917D0">
            <w:instrText xml:space="preserve"> PAGE   \* MERGEFORMAT </w:instrText>
          </w:r>
          <w:r w:rsidRPr="00B917D0">
            <w:fldChar w:fldCharType="separate"/>
          </w:r>
          <w:r w:rsidR="00B32E26">
            <w:t>7</w:t>
          </w:r>
          <w:r w:rsidRPr="00B917D0">
            <w:fldChar w:fldCharType="end"/>
          </w:r>
        </w:p>
      </w:tc>
    </w:tr>
  </w:tbl>
  <w:p w:rsidR="003B5BCC" w:rsidRPr="00E350DC" w:rsidRDefault="003B5BCC" w:rsidP="00E55F44">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3B5BCC" w:rsidRPr="00EB388E" w:rsidTr="00A349A8">
      <w:trPr>
        <w:trHeight w:val="340"/>
      </w:trPr>
      <w:tc>
        <w:tcPr>
          <w:tcW w:w="567" w:type="dxa"/>
          <w:tcBorders>
            <w:right w:val="single" w:sz="4" w:space="0" w:color="788184" w:themeColor="background2"/>
          </w:tcBorders>
          <w:vAlign w:val="center"/>
        </w:tcPr>
        <w:p w:rsidR="003B5BCC" w:rsidRPr="00CB70DF" w:rsidRDefault="003B5BCC" w:rsidP="00A349A8">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AF4AB9">
            <w:rPr>
              <w:noProof/>
            </w:rPr>
            <w:t>20</w:t>
          </w:r>
          <w:r w:rsidRPr="00EB388E">
            <w:fldChar w:fldCharType="end"/>
          </w:r>
        </w:p>
      </w:tc>
      <w:tc>
        <w:tcPr>
          <w:tcW w:w="8164" w:type="dxa"/>
          <w:tcBorders>
            <w:left w:val="single" w:sz="4" w:space="0" w:color="788184" w:themeColor="background2"/>
          </w:tcBorders>
          <w:vAlign w:val="center"/>
        </w:tcPr>
        <w:p w:rsidR="003B5BCC" w:rsidRPr="00CB70DF" w:rsidRDefault="00AF4AB9" w:rsidP="00A349A8">
          <w:pPr>
            <w:pStyle w:val="FooterLeft"/>
            <w:framePr w:wrap="auto" w:vAnchor="margin" w:hAnchor="text" w:yAlign="inline"/>
          </w:pPr>
          <w:r>
            <w:fldChar w:fldCharType="begin"/>
          </w:r>
          <w:r>
            <w:instrText xml:space="preserve"> STYLEREF  Title  \* MERGEFORMAT </w:instrText>
          </w:r>
          <w:r>
            <w:fldChar w:fldCharType="separate"/>
          </w:r>
          <w:r>
            <w:rPr>
              <w:noProof/>
            </w:rPr>
            <w:t>Medicare Benefits Schedule</w:t>
          </w:r>
          <w:r>
            <w:rPr>
              <w:noProof/>
            </w:rPr>
            <w:fldChar w:fldCharType="end"/>
          </w:r>
        </w:p>
      </w:tc>
    </w:tr>
    <w:tr w:rsidR="003B5BCC" w:rsidRPr="00EB388E" w:rsidTr="00A349A8">
      <w:trPr>
        <w:trHeight w:hRule="exact" w:val="403"/>
      </w:trPr>
      <w:tc>
        <w:tcPr>
          <w:tcW w:w="567" w:type="dxa"/>
          <w:tcMar>
            <w:bottom w:w="284" w:type="dxa"/>
          </w:tcMar>
        </w:tcPr>
        <w:p w:rsidR="003B5BCC" w:rsidRPr="00EB388E" w:rsidRDefault="003B5BCC" w:rsidP="00A349A8">
          <w:pPr>
            <w:pStyle w:val="FooterRightPageNumber"/>
          </w:pPr>
        </w:p>
      </w:tc>
      <w:tc>
        <w:tcPr>
          <w:tcW w:w="8164" w:type="dxa"/>
          <w:tcMar>
            <w:bottom w:w="284" w:type="dxa"/>
          </w:tcMar>
        </w:tcPr>
        <w:p w:rsidR="003B5BCC" w:rsidRPr="00090E70" w:rsidRDefault="003B5BCC" w:rsidP="00A349A8"/>
      </w:tc>
    </w:tr>
  </w:tbl>
  <w:p w:rsidR="003B5BCC" w:rsidRDefault="003B5BCC">
    <w:pPr>
      <w:pStyle w:val="Footer"/>
    </w:pPr>
  </w:p>
  <w:p w:rsidR="003B5BCC" w:rsidRPr="004816D7" w:rsidRDefault="003B5BCC" w:rsidP="004816D7">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3B5BCC" w:rsidRPr="00EB388E" w:rsidTr="00A349A8">
      <w:trPr>
        <w:trHeight w:val="340"/>
      </w:trPr>
      <w:tc>
        <w:tcPr>
          <w:tcW w:w="8164" w:type="dxa"/>
          <w:tcBorders>
            <w:right w:val="single" w:sz="4" w:space="0" w:color="788184" w:themeColor="background2"/>
          </w:tcBorders>
          <w:vAlign w:val="center"/>
        </w:tcPr>
        <w:p w:rsidR="003B5BCC" w:rsidRPr="00CB70DF" w:rsidRDefault="00AF4AB9" w:rsidP="00A349A8">
          <w:pPr>
            <w:pStyle w:val="FooterRight"/>
            <w:framePr w:wrap="auto" w:vAnchor="margin" w:hAnchor="text" w:xAlign="left" w:yAlign="inline"/>
          </w:pPr>
          <w:r>
            <w:fldChar w:fldCharType="begin"/>
          </w:r>
          <w:r>
            <w:instrText xml:space="preserve"> STYLEREF  "Heading 1"  \* MERGEFORMAT </w:instrText>
          </w:r>
          <w:r>
            <w:fldChar w:fldCharType="separate"/>
          </w:r>
          <w:r>
            <w:rPr>
              <w:noProof/>
            </w:rPr>
            <w:t>Medicare Benefits Schedule spending by category</w:t>
          </w:r>
          <w:r>
            <w:rPr>
              <w:noProof/>
            </w:rPr>
            <w:fldChar w:fldCharType="end"/>
          </w:r>
        </w:p>
      </w:tc>
      <w:tc>
        <w:tcPr>
          <w:tcW w:w="567" w:type="dxa"/>
          <w:tcBorders>
            <w:left w:val="single" w:sz="4" w:space="0" w:color="788184" w:themeColor="background2"/>
          </w:tcBorders>
          <w:vAlign w:val="center"/>
        </w:tcPr>
        <w:p w:rsidR="003B5BCC" w:rsidRPr="00CB70DF" w:rsidRDefault="003B5BCC" w:rsidP="00A349A8">
          <w:pPr>
            <w:pStyle w:val="FooterRightPageNumber"/>
          </w:pPr>
          <w:r w:rsidRPr="00EB388E">
            <w:fldChar w:fldCharType="begin"/>
          </w:r>
          <w:r w:rsidRPr="00EB388E">
            <w:instrText xml:space="preserve"> PAGE   \* MERGEFORMAT </w:instrText>
          </w:r>
          <w:r w:rsidRPr="00EB388E">
            <w:fldChar w:fldCharType="separate"/>
          </w:r>
          <w:r w:rsidR="00AF4AB9">
            <w:t>21</w:t>
          </w:r>
          <w:r w:rsidRPr="00EB388E">
            <w:fldChar w:fldCharType="end"/>
          </w:r>
        </w:p>
      </w:tc>
    </w:tr>
    <w:tr w:rsidR="003B5BCC" w:rsidRPr="00EB388E" w:rsidTr="00A349A8">
      <w:trPr>
        <w:trHeight w:hRule="exact" w:val="403"/>
      </w:trPr>
      <w:tc>
        <w:tcPr>
          <w:tcW w:w="8164" w:type="dxa"/>
        </w:tcPr>
        <w:p w:rsidR="003B5BCC" w:rsidRPr="00090E70" w:rsidRDefault="003B5BCC" w:rsidP="00A349A8"/>
      </w:tc>
      <w:tc>
        <w:tcPr>
          <w:tcW w:w="567" w:type="dxa"/>
          <w:tcMar>
            <w:bottom w:w="284" w:type="dxa"/>
          </w:tcMar>
        </w:tcPr>
        <w:p w:rsidR="003B5BCC" w:rsidRPr="00090E70" w:rsidRDefault="003B5BCC" w:rsidP="00A349A8"/>
      </w:tc>
    </w:tr>
  </w:tbl>
  <w:p w:rsidR="003B5BCC" w:rsidRDefault="003B5BCC">
    <w:pPr>
      <w:pStyle w:val="Footer"/>
    </w:pPr>
  </w:p>
  <w:p w:rsidR="003B5BCC" w:rsidRPr="004816D7" w:rsidRDefault="003B5BCC" w:rsidP="00205DCA">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3B5BCC" w:rsidRPr="00EB388E" w:rsidTr="009F4B39">
      <w:trPr>
        <w:trHeight w:val="340"/>
      </w:trPr>
      <w:tc>
        <w:tcPr>
          <w:tcW w:w="567" w:type="dxa"/>
          <w:tcBorders>
            <w:right w:val="single" w:sz="4" w:space="0" w:color="788184" w:themeColor="background2"/>
          </w:tcBorders>
          <w:vAlign w:val="center"/>
        </w:tcPr>
        <w:p w:rsidR="003B5BCC" w:rsidRPr="00CB70DF" w:rsidRDefault="003B5BCC" w:rsidP="009F4B39">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AF4AB9">
            <w:rPr>
              <w:noProof/>
            </w:rPr>
            <w:t>22</w:t>
          </w:r>
          <w:r w:rsidRPr="00EB388E">
            <w:fldChar w:fldCharType="end"/>
          </w:r>
        </w:p>
      </w:tc>
      <w:tc>
        <w:tcPr>
          <w:tcW w:w="8164" w:type="dxa"/>
          <w:tcBorders>
            <w:left w:val="single" w:sz="4" w:space="0" w:color="788184" w:themeColor="background2"/>
          </w:tcBorders>
          <w:vAlign w:val="center"/>
        </w:tcPr>
        <w:p w:rsidR="003B5BCC" w:rsidRPr="00CB70DF" w:rsidRDefault="00AF4AB9" w:rsidP="009F4B39">
          <w:pPr>
            <w:pStyle w:val="FooterLeft"/>
            <w:framePr w:wrap="auto" w:vAnchor="margin" w:hAnchor="text" w:yAlign="inline"/>
          </w:pPr>
          <w:r>
            <w:fldChar w:fldCharType="begin"/>
          </w:r>
          <w:r>
            <w:instrText xml:space="preserve"> STYLEREF  Title  \* MERGEFORMAT </w:instrText>
          </w:r>
          <w:r>
            <w:fldChar w:fldCharType="separate"/>
          </w:r>
          <w:r>
            <w:rPr>
              <w:noProof/>
            </w:rPr>
            <w:t>Medicare Benefits Schedule</w:t>
          </w:r>
          <w:r>
            <w:rPr>
              <w:noProof/>
            </w:rPr>
            <w:fldChar w:fldCharType="end"/>
          </w:r>
        </w:p>
      </w:tc>
    </w:tr>
    <w:tr w:rsidR="003B5BCC" w:rsidRPr="00EB388E" w:rsidTr="009F4B39">
      <w:trPr>
        <w:trHeight w:hRule="exact" w:val="403"/>
      </w:trPr>
      <w:tc>
        <w:tcPr>
          <w:tcW w:w="567" w:type="dxa"/>
          <w:tcMar>
            <w:bottom w:w="284" w:type="dxa"/>
          </w:tcMar>
        </w:tcPr>
        <w:p w:rsidR="003B5BCC" w:rsidRPr="00EB388E" w:rsidRDefault="003B5BCC" w:rsidP="009F4B39">
          <w:pPr>
            <w:pStyle w:val="FooterRightPageNumber"/>
          </w:pPr>
        </w:p>
      </w:tc>
      <w:tc>
        <w:tcPr>
          <w:tcW w:w="8164" w:type="dxa"/>
          <w:tcMar>
            <w:bottom w:w="284" w:type="dxa"/>
          </w:tcMar>
        </w:tcPr>
        <w:p w:rsidR="003B5BCC" w:rsidRPr="00090E70" w:rsidRDefault="003B5BCC" w:rsidP="009F4B39"/>
      </w:tc>
    </w:tr>
  </w:tbl>
  <w:p w:rsidR="003B5BCC" w:rsidRDefault="003B5BCC">
    <w:pPr>
      <w:pStyle w:val="Footer"/>
    </w:pPr>
  </w:p>
  <w:p w:rsidR="003B5BCC" w:rsidRPr="004816D7" w:rsidRDefault="003B5BCC" w:rsidP="003D5FB3">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3B5BCC" w:rsidRPr="00EB388E" w:rsidTr="009F4B39">
      <w:trPr>
        <w:trHeight w:val="340"/>
      </w:trPr>
      <w:tc>
        <w:tcPr>
          <w:tcW w:w="8164" w:type="dxa"/>
          <w:tcBorders>
            <w:right w:val="single" w:sz="4" w:space="0" w:color="788184" w:themeColor="background2"/>
          </w:tcBorders>
          <w:vAlign w:val="center"/>
        </w:tcPr>
        <w:p w:rsidR="003B5BCC" w:rsidRPr="00CB70DF" w:rsidRDefault="00AF4AB9" w:rsidP="009F4B39">
          <w:pPr>
            <w:pStyle w:val="FooterRight"/>
            <w:framePr w:wrap="auto" w:vAnchor="margin" w:hAnchor="text" w:xAlign="left" w:yAlign="inline"/>
          </w:pPr>
          <w:r>
            <w:fldChar w:fldCharType="begin"/>
          </w:r>
          <w:r>
            <w:instrText xml:space="preserve"> STYLEREF  "Heading 8,Appendix Title" \r \* MERGEFORMAT </w:instrText>
          </w:r>
          <w:r>
            <w:fldChar w:fldCharType="separate"/>
          </w:r>
          <w:r w:rsidR="00235AA8">
            <w:rPr>
              <w:noProof/>
            </w:rPr>
            <w:t>Appendix A</w:t>
          </w:r>
          <w:r>
            <w:rPr>
              <w:noProof/>
            </w:rPr>
            <w:fldChar w:fldCharType="end"/>
          </w:r>
        </w:p>
      </w:tc>
      <w:tc>
        <w:tcPr>
          <w:tcW w:w="567" w:type="dxa"/>
          <w:tcBorders>
            <w:left w:val="single" w:sz="4" w:space="0" w:color="788184" w:themeColor="background2"/>
          </w:tcBorders>
          <w:vAlign w:val="center"/>
        </w:tcPr>
        <w:p w:rsidR="003B5BCC" w:rsidRPr="00CB70DF" w:rsidRDefault="003B5BCC" w:rsidP="009F4B39">
          <w:pPr>
            <w:pStyle w:val="FooterRightPageNumber"/>
          </w:pPr>
          <w:r w:rsidRPr="00EB388E">
            <w:fldChar w:fldCharType="begin"/>
          </w:r>
          <w:r w:rsidRPr="00EB388E">
            <w:instrText xml:space="preserve"> PAGE   \* MERGEFORMAT </w:instrText>
          </w:r>
          <w:r w:rsidRPr="00EB388E">
            <w:fldChar w:fldCharType="separate"/>
          </w:r>
          <w:r w:rsidR="00235AA8">
            <w:t>23</w:t>
          </w:r>
          <w:r w:rsidRPr="00EB388E">
            <w:fldChar w:fldCharType="end"/>
          </w:r>
        </w:p>
      </w:tc>
    </w:tr>
    <w:tr w:rsidR="003B5BCC" w:rsidRPr="00EB388E" w:rsidTr="009F4B39">
      <w:trPr>
        <w:trHeight w:hRule="exact" w:val="403"/>
      </w:trPr>
      <w:tc>
        <w:tcPr>
          <w:tcW w:w="8164" w:type="dxa"/>
        </w:tcPr>
        <w:p w:rsidR="003B5BCC" w:rsidRPr="00090E70" w:rsidRDefault="003B5BCC" w:rsidP="009F4B39"/>
      </w:tc>
      <w:tc>
        <w:tcPr>
          <w:tcW w:w="567" w:type="dxa"/>
          <w:tcMar>
            <w:bottom w:w="284" w:type="dxa"/>
          </w:tcMar>
        </w:tcPr>
        <w:p w:rsidR="003B5BCC" w:rsidRPr="00090E70" w:rsidRDefault="003B5BCC" w:rsidP="009F4B39"/>
      </w:tc>
    </w:tr>
  </w:tbl>
  <w:p w:rsidR="003B5BCC" w:rsidRDefault="003B5BCC">
    <w:pPr>
      <w:pStyle w:val="Footer"/>
    </w:pPr>
  </w:p>
  <w:p w:rsidR="003B5BCC" w:rsidRPr="004816D7" w:rsidRDefault="003B5BCC" w:rsidP="003D5FB3">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Default="003B5BCC">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3B5BCC" w:rsidRPr="00EB388E" w:rsidTr="009F4B39">
      <w:trPr>
        <w:trHeight w:val="340"/>
      </w:trPr>
      <w:tc>
        <w:tcPr>
          <w:tcW w:w="8164" w:type="dxa"/>
          <w:tcBorders>
            <w:right w:val="single" w:sz="4" w:space="0" w:color="788184" w:themeColor="background2"/>
          </w:tcBorders>
          <w:vAlign w:val="center"/>
        </w:tcPr>
        <w:p w:rsidR="003B5BCC" w:rsidRPr="00CB70DF" w:rsidRDefault="003B5BCC" w:rsidP="00A13FBE">
          <w:pPr>
            <w:pStyle w:val="FooterRight"/>
            <w:framePr w:wrap="auto" w:vAnchor="margin" w:hAnchor="text" w:xAlign="left" w:yAlign="inline"/>
          </w:pPr>
          <w:r>
            <w:t>Appendices</w:t>
          </w:r>
        </w:p>
      </w:tc>
      <w:tc>
        <w:tcPr>
          <w:tcW w:w="567" w:type="dxa"/>
          <w:tcBorders>
            <w:left w:val="single" w:sz="4" w:space="0" w:color="788184" w:themeColor="background2"/>
          </w:tcBorders>
          <w:vAlign w:val="center"/>
        </w:tcPr>
        <w:p w:rsidR="003B5BCC" w:rsidRPr="00CB70DF" w:rsidRDefault="003B5BCC" w:rsidP="009F4B39">
          <w:pPr>
            <w:pStyle w:val="FooterRightPageNumber"/>
          </w:pPr>
          <w:r w:rsidRPr="00EB388E">
            <w:fldChar w:fldCharType="begin"/>
          </w:r>
          <w:r w:rsidRPr="00EB388E">
            <w:instrText xml:space="preserve"> PAGE   \* MERGEFORMAT </w:instrText>
          </w:r>
          <w:r w:rsidRPr="00EB388E">
            <w:fldChar w:fldCharType="separate"/>
          </w:r>
          <w:r w:rsidR="00AF4AB9">
            <w:t>23</w:t>
          </w:r>
          <w:r w:rsidRPr="00EB388E">
            <w:fldChar w:fldCharType="end"/>
          </w:r>
        </w:p>
      </w:tc>
    </w:tr>
    <w:tr w:rsidR="003B5BCC" w:rsidRPr="00EB388E" w:rsidTr="009F4B39">
      <w:trPr>
        <w:trHeight w:hRule="exact" w:val="403"/>
      </w:trPr>
      <w:tc>
        <w:tcPr>
          <w:tcW w:w="8164" w:type="dxa"/>
        </w:tcPr>
        <w:p w:rsidR="003B5BCC" w:rsidRPr="00090E70" w:rsidRDefault="003B5BCC" w:rsidP="009F4B39"/>
      </w:tc>
      <w:tc>
        <w:tcPr>
          <w:tcW w:w="567" w:type="dxa"/>
          <w:tcMar>
            <w:bottom w:w="284" w:type="dxa"/>
          </w:tcMar>
        </w:tcPr>
        <w:p w:rsidR="003B5BCC" w:rsidRPr="00090E70" w:rsidRDefault="003B5BCC" w:rsidP="009F4B39"/>
      </w:tc>
    </w:tr>
  </w:tbl>
  <w:p w:rsidR="003B5BCC" w:rsidRDefault="003B5BCC">
    <w:pPr>
      <w:pStyle w:val="Footer"/>
    </w:pPr>
  </w:p>
  <w:p w:rsidR="003B5BCC" w:rsidRPr="004816D7" w:rsidRDefault="003B5BCC" w:rsidP="003D5FB3">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3B5BCC" w:rsidRPr="00EB388E" w:rsidTr="003D5FB3">
      <w:trPr>
        <w:trHeight w:val="340"/>
      </w:trPr>
      <w:tc>
        <w:tcPr>
          <w:tcW w:w="567" w:type="dxa"/>
          <w:tcBorders>
            <w:right w:val="single" w:sz="4" w:space="0" w:color="788184" w:themeColor="background2"/>
          </w:tcBorders>
          <w:vAlign w:val="center"/>
        </w:tcPr>
        <w:p w:rsidR="003B5BCC" w:rsidRPr="00CB70DF" w:rsidRDefault="003B5BCC" w:rsidP="003D5FB3">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AF4AB9">
            <w:rPr>
              <w:noProof/>
            </w:rPr>
            <w:t>24</w:t>
          </w:r>
          <w:r w:rsidRPr="00EB388E">
            <w:fldChar w:fldCharType="end"/>
          </w:r>
        </w:p>
      </w:tc>
      <w:tc>
        <w:tcPr>
          <w:tcW w:w="8164" w:type="dxa"/>
          <w:tcBorders>
            <w:left w:val="single" w:sz="4" w:space="0" w:color="788184" w:themeColor="background2"/>
          </w:tcBorders>
          <w:vAlign w:val="center"/>
        </w:tcPr>
        <w:p w:rsidR="003B5BCC" w:rsidRPr="00CB70DF" w:rsidRDefault="00AF4AB9" w:rsidP="003D5FB3">
          <w:pPr>
            <w:pStyle w:val="FooterLeft"/>
            <w:framePr w:wrap="auto" w:vAnchor="margin" w:hAnchor="text" w:yAlign="inline"/>
          </w:pPr>
          <w:r>
            <w:fldChar w:fldCharType="begin"/>
          </w:r>
          <w:r>
            <w:instrText xml:space="preserve"> STYLEREF  Title  \* MERGEFORMAT </w:instrText>
          </w:r>
          <w:r>
            <w:fldChar w:fldCharType="separate"/>
          </w:r>
          <w:r>
            <w:rPr>
              <w:noProof/>
            </w:rPr>
            <w:t>Medicare Benefits Schedule</w:t>
          </w:r>
          <w:r>
            <w:rPr>
              <w:noProof/>
            </w:rPr>
            <w:fldChar w:fldCharType="end"/>
          </w:r>
        </w:p>
      </w:tc>
    </w:tr>
    <w:tr w:rsidR="003B5BCC" w:rsidRPr="00EB388E" w:rsidTr="003D5FB3">
      <w:trPr>
        <w:trHeight w:hRule="exact" w:val="403"/>
      </w:trPr>
      <w:tc>
        <w:tcPr>
          <w:tcW w:w="567" w:type="dxa"/>
          <w:tcMar>
            <w:bottom w:w="284" w:type="dxa"/>
          </w:tcMar>
        </w:tcPr>
        <w:p w:rsidR="003B5BCC" w:rsidRPr="00EB388E" w:rsidRDefault="003B5BCC" w:rsidP="003D5FB3">
          <w:pPr>
            <w:pStyle w:val="FooterRightPageNumber"/>
          </w:pPr>
        </w:p>
      </w:tc>
      <w:tc>
        <w:tcPr>
          <w:tcW w:w="8164" w:type="dxa"/>
          <w:tcMar>
            <w:bottom w:w="284" w:type="dxa"/>
          </w:tcMar>
        </w:tcPr>
        <w:p w:rsidR="003B5BCC" w:rsidRPr="00090E70" w:rsidRDefault="003B5BCC" w:rsidP="003D5FB3"/>
      </w:tc>
    </w:tr>
  </w:tbl>
  <w:p w:rsidR="003B5BCC" w:rsidRDefault="003B5BCC">
    <w:pPr>
      <w:pStyle w:val="Footer"/>
    </w:pPr>
  </w:p>
  <w:p w:rsidR="003B5BCC" w:rsidRPr="004816D7" w:rsidRDefault="003B5BCC" w:rsidP="003D5FB3">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3B5BCC" w:rsidRPr="00EB388E" w:rsidTr="003D5FB3">
      <w:trPr>
        <w:trHeight w:val="340"/>
      </w:trPr>
      <w:tc>
        <w:tcPr>
          <w:tcW w:w="8164" w:type="dxa"/>
          <w:tcBorders>
            <w:right w:val="single" w:sz="4" w:space="0" w:color="788184" w:themeColor="background2"/>
          </w:tcBorders>
          <w:vAlign w:val="center"/>
        </w:tcPr>
        <w:p w:rsidR="003B5BCC" w:rsidRPr="00CB70DF" w:rsidRDefault="003B5BCC" w:rsidP="00A13FBE">
          <w:pPr>
            <w:pStyle w:val="FooterRight"/>
            <w:framePr w:wrap="auto" w:vAnchor="margin" w:hAnchor="text" w:xAlign="left" w:yAlign="inline"/>
          </w:pPr>
          <w:r>
            <w:t>Appendices</w:t>
          </w:r>
        </w:p>
      </w:tc>
      <w:tc>
        <w:tcPr>
          <w:tcW w:w="567" w:type="dxa"/>
          <w:tcBorders>
            <w:left w:val="single" w:sz="4" w:space="0" w:color="788184" w:themeColor="background2"/>
          </w:tcBorders>
          <w:vAlign w:val="center"/>
        </w:tcPr>
        <w:p w:rsidR="003B5BCC" w:rsidRPr="00CB70DF" w:rsidRDefault="003B5BCC" w:rsidP="003D5FB3">
          <w:pPr>
            <w:pStyle w:val="FooterRightPageNumber"/>
          </w:pPr>
          <w:r w:rsidRPr="00EB388E">
            <w:fldChar w:fldCharType="begin"/>
          </w:r>
          <w:r w:rsidRPr="00EB388E">
            <w:instrText xml:space="preserve"> PAGE   \* MERGEFORMAT </w:instrText>
          </w:r>
          <w:r w:rsidRPr="00EB388E">
            <w:fldChar w:fldCharType="separate"/>
          </w:r>
          <w:r w:rsidR="00AF4AB9">
            <w:t>25</w:t>
          </w:r>
          <w:r w:rsidRPr="00EB388E">
            <w:fldChar w:fldCharType="end"/>
          </w:r>
        </w:p>
      </w:tc>
    </w:tr>
    <w:tr w:rsidR="003B5BCC" w:rsidRPr="00EB388E" w:rsidTr="003D5FB3">
      <w:trPr>
        <w:trHeight w:hRule="exact" w:val="403"/>
      </w:trPr>
      <w:tc>
        <w:tcPr>
          <w:tcW w:w="8164" w:type="dxa"/>
        </w:tcPr>
        <w:p w:rsidR="003B5BCC" w:rsidRPr="00090E70" w:rsidRDefault="003B5BCC" w:rsidP="003D5FB3"/>
      </w:tc>
      <w:tc>
        <w:tcPr>
          <w:tcW w:w="567" w:type="dxa"/>
          <w:tcMar>
            <w:bottom w:w="284" w:type="dxa"/>
          </w:tcMar>
        </w:tcPr>
        <w:p w:rsidR="003B5BCC" w:rsidRPr="00090E70" w:rsidRDefault="003B5BCC" w:rsidP="003D5FB3"/>
      </w:tc>
    </w:tr>
  </w:tbl>
  <w:p w:rsidR="003B5BCC" w:rsidRDefault="003B5BCC">
    <w:pPr>
      <w:pStyle w:val="Footer"/>
    </w:pPr>
  </w:p>
  <w:p w:rsidR="003B5BCC" w:rsidRPr="004816D7" w:rsidRDefault="003B5BCC" w:rsidP="003D5F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Default="003B5BCC" w:rsidP="00326CC4">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Default="003B5BCC">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3B5BCC" w:rsidRPr="00EB388E" w:rsidTr="003D5FB3">
      <w:trPr>
        <w:trHeight w:val="340"/>
      </w:trPr>
      <w:tc>
        <w:tcPr>
          <w:tcW w:w="567" w:type="dxa"/>
          <w:tcBorders>
            <w:right w:val="single" w:sz="4" w:space="0" w:color="788184" w:themeColor="background2"/>
          </w:tcBorders>
          <w:vAlign w:val="center"/>
        </w:tcPr>
        <w:p w:rsidR="003B5BCC" w:rsidRPr="00CB70DF" w:rsidRDefault="003B5BCC" w:rsidP="003D5FB3">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AF4AB9">
            <w:rPr>
              <w:noProof/>
            </w:rPr>
            <w:t>26</w:t>
          </w:r>
          <w:r w:rsidRPr="00EB388E">
            <w:fldChar w:fldCharType="end"/>
          </w:r>
        </w:p>
      </w:tc>
      <w:tc>
        <w:tcPr>
          <w:tcW w:w="8164" w:type="dxa"/>
          <w:tcBorders>
            <w:left w:val="single" w:sz="4" w:space="0" w:color="788184" w:themeColor="background2"/>
          </w:tcBorders>
          <w:vAlign w:val="center"/>
        </w:tcPr>
        <w:p w:rsidR="003B5BCC" w:rsidRPr="00CB70DF" w:rsidRDefault="00AF4AB9" w:rsidP="003D5FB3">
          <w:pPr>
            <w:pStyle w:val="FooterLeft"/>
            <w:framePr w:wrap="auto" w:vAnchor="margin" w:hAnchor="text" w:yAlign="inline"/>
          </w:pPr>
          <w:r>
            <w:fldChar w:fldCharType="begin"/>
          </w:r>
          <w:r>
            <w:instrText xml:space="preserve"> STYLEREF  Title  \* MERGEFORMAT </w:instrText>
          </w:r>
          <w:r>
            <w:fldChar w:fldCharType="separate"/>
          </w:r>
          <w:r>
            <w:rPr>
              <w:noProof/>
            </w:rPr>
            <w:t>Medicare Benefits Schedule</w:t>
          </w:r>
          <w:r>
            <w:rPr>
              <w:noProof/>
            </w:rPr>
            <w:fldChar w:fldCharType="end"/>
          </w:r>
        </w:p>
      </w:tc>
    </w:tr>
    <w:tr w:rsidR="003B5BCC" w:rsidRPr="00EB388E" w:rsidTr="003D5FB3">
      <w:trPr>
        <w:trHeight w:hRule="exact" w:val="403"/>
      </w:trPr>
      <w:tc>
        <w:tcPr>
          <w:tcW w:w="567" w:type="dxa"/>
          <w:tcMar>
            <w:bottom w:w="284" w:type="dxa"/>
          </w:tcMar>
        </w:tcPr>
        <w:p w:rsidR="003B5BCC" w:rsidRPr="00EB388E" w:rsidRDefault="003B5BCC" w:rsidP="003D5FB3">
          <w:pPr>
            <w:pStyle w:val="FooterRightPageNumber"/>
          </w:pPr>
        </w:p>
      </w:tc>
      <w:tc>
        <w:tcPr>
          <w:tcW w:w="8164" w:type="dxa"/>
          <w:tcMar>
            <w:bottom w:w="284" w:type="dxa"/>
          </w:tcMar>
        </w:tcPr>
        <w:p w:rsidR="003B5BCC" w:rsidRPr="00090E70" w:rsidRDefault="003B5BCC" w:rsidP="003D5FB3"/>
      </w:tc>
    </w:tr>
  </w:tbl>
  <w:p w:rsidR="003B5BCC" w:rsidRDefault="003B5BCC">
    <w:pPr>
      <w:pStyle w:val="Footer"/>
    </w:pPr>
  </w:p>
  <w:p w:rsidR="003B5BCC" w:rsidRPr="004816D7" w:rsidRDefault="003B5BCC" w:rsidP="003D5FB3">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3B5BCC" w:rsidRPr="00EB388E" w:rsidTr="003D5FB3">
      <w:trPr>
        <w:trHeight w:val="340"/>
      </w:trPr>
      <w:tc>
        <w:tcPr>
          <w:tcW w:w="8164" w:type="dxa"/>
          <w:tcBorders>
            <w:right w:val="single" w:sz="4" w:space="0" w:color="788184" w:themeColor="background2"/>
          </w:tcBorders>
          <w:vAlign w:val="center"/>
        </w:tcPr>
        <w:p w:rsidR="003B5BCC" w:rsidRPr="00CB70DF" w:rsidRDefault="00AF4AB9" w:rsidP="003D5FB3">
          <w:pPr>
            <w:pStyle w:val="FooterRight"/>
            <w:framePr w:wrap="auto" w:vAnchor="margin" w:hAnchor="text" w:xAlign="left" w:yAlign="inline"/>
          </w:pPr>
          <w:r>
            <w:fldChar w:fldCharType="begin"/>
          </w:r>
          <w:r>
            <w:instrText xml:space="preserve"> STYLEREF  "Heading 8,Appendix Title" \r  \* MERGEFORMAT </w:instrText>
          </w:r>
          <w:r>
            <w:fldChar w:fldCharType="separate"/>
          </w:r>
          <w:r w:rsidR="00235AA8">
            <w:rPr>
              <w:noProof/>
            </w:rPr>
            <w:t>Appendix C</w:t>
          </w:r>
          <w:r>
            <w:rPr>
              <w:noProof/>
            </w:rPr>
            <w:fldChar w:fldCharType="end"/>
          </w:r>
        </w:p>
      </w:tc>
      <w:tc>
        <w:tcPr>
          <w:tcW w:w="567" w:type="dxa"/>
          <w:tcBorders>
            <w:left w:val="single" w:sz="4" w:space="0" w:color="788184" w:themeColor="background2"/>
          </w:tcBorders>
          <w:vAlign w:val="center"/>
        </w:tcPr>
        <w:p w:rsidR="003B5BCC" w:rsidRPr="00CB70DF" w:rsidRDefault="003B5BCC" w:rsidP="003D5FB3">
          <w:pPr>
            <w:pStyle w:val="FooterRightPageNumber"/>
          </w:pPr>
          <w:r w:rsidRPr="00EB388E">
            <w:fldChar w:fldCharType="begin"/>
          </w:r>
          <w:r w:rsidRPr="00EB388E">
            <w:instrText xml:space="preserve"> PAGE   \* MERGEFORMAT </w:instrText>
          </w:r>
          <w:r w:rsidRPr="00EB388E">
            <w:fldChar w:fldCharType="separate"/>
          </w:r>
          <w:r w:rsidR="00235AA8">
            <w:t>27</w:t>
          </w:r>
          <w:r w:rsidRPr="00EB388E">
            <w:fldChar w:fldCharType="end"/>
          </w:r>
        </w:p>
      </w:tc>
    </w:tr>
    <w:tr w:rsidR="003B5BCC" w:rsidRPr="00EB388E" w:rsidTr="003D5FB3">
      <w:trPr>
        <w:trHeight w:hRule="exact" w:val="403"/>
      </w:trPr>
      <w:tc>
        <w:tcPr>
          <w:tcW w:w="8164" w:type="dxa"/>
        </w:tcPr>
        <w:p w:rsidR="003B5BCC" w:rsidRPr="00090E70" w:rsidRDefault="003B5BCC" w:rsidP="003D5FB3"/>
      </w:tc>
      <w:tc>
        <w:tcPr>
          <w:tcW w:w="567" w:type="dxa"/>
          <w:tcMar>
            <w:bottom w:w="284" w:type="dxa"/>
          </w:tcMar>
        </w:tcPr>
        <w:p w:rsidR="003B5BCC" w:rsidRPr="00090E70" w:rsidRDefault="003B5BCC" w:rsidP="003D5FB3"/>
      </w:tc>
    </w:tr>
  </w:tbl>
  <w:p w:rsidR="003B5BCC" w:rsidRDefault="003B5BCC">
    <w:pPr>
      <w:pStyle w:val="Footer"/>
    </w:pPr>
  </w:p>
  <w:p w:rsidR="003B5BCC" w:rsidRPr="004816D7" w:rsidRDefault="003B5BCC" w:rsidP="003D5FB3">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horzAnchor="page" w:tblpX="1" w:tblpY="397"/>
      <w:tblW w:w="1219" w:type="dxa"/>
      <w:tblLayout w:type="fixed"/>
      <w:tblCellMar>
        <w:top w:w="28" w:type="dxa"/>
      </w:tblCellMar>
      <w:tblLook w:val="04A0" w:firstRow="1" w:lastRow="0" w:firstColumn="1" w:lastColumn="0" w:noHBand="0" w:noVBand="1"/>
    </w:tblPr>
    <w:tblGrid>
      <w:gridCol w:w="595"/>
      <w:gridCol w:w="624"/>
    </w:tblGrid>
    <w:tr w:rsidR="003B5BCC" w:rsidRPr="00EB388E" w:rsidTr="006A55D4">
      <w:trPr>
        <w:cantSplit/>
        <w:trHeight w:val="567"/>
      </w:trPr>
      <w:tc>
        <w:tcPr>
          <w:tcW w:w="595" w:type="dxa"/>
          <w:textDirection w:val="tbRl"/>
        </w:tcPr>
        <w:p w:rsidR="003B5BCC" w:rsidRPr="00EB388E" w:rsidRDefault="003B5BCC" w:rsidP="006A55D4">
          <w:pPr>
            <w:pStyle w:val="FooterLeftPageNumber"/>
            <w:framePr w:wrap="auto" w:vAnchor="margin" w:hAnchor="text" w:yAlign="inline"/>
            <w:ind w:left="113"/>
          </w:pPr>
        </w:p>
      </w:tc>
      <w:tc>
        <w:tcPr>
          <w:tcW w:w="624" w:type="dxa"/>
          <w:tcBorders>
            <w:bottom w:val="single" w:sz="4" w:space="0" w:color="788184" w:themeColor="background2"/>
          </w:tcBorders>
          <w:textDirection w:val="tbRl"/>
          <w:vAlign w:val="center"/>
        </w:tcPr>
        <w:p w:rsidR="003B5BCC" w:rsidRPr="00AF7B25" w:rsidRDefault="003B5BCC" w:rsidP="006A55D4">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235AA8">
            <w:rPr>
              <w:noProof/>
            </w:rPr>
            <w:t>28</w:t>
          </w:r>
          <w:r w:rsidRPr="00EB388E">
            <w:fldChar w:fldCharType="end"/>
          </w:r>
        </w:p>
      </w:tc>
    </w:tr>
    <w:tr w:rsidR="003B5BCC" w:rsidRPr="00EB388E" w:rsidTr="006A55D4">
      <w:trPr>
        <w:cantSplit/>
        <w:trHeight w:val="8164"/>
      </w:trPr>
      <w:tc>
        <w:tcPr>
          <w:tcW w:w="595" w:type="dxa"/>
          <w:textDirection w:val="tbRl"/>
        </w:tcPr>
        <w:p w:rsidR="003B5BCC" w:rsidRDefault="003B5BCC" w:rsidP="006A55D4">
          <w:pPr>
            <w:pStyle w:val="FooterLeftPageNumber"/>
            <w:framePr w:wrap="auto" w:vAnchor="margin" w:hAnchor="text" w:yAlign="inline"/>
            <w:ind w:left="113"/>
          </w:pPr>
        </w:p>
      </w:tc>
      <w:tc>
        <w:tcPr>
          <w:tcW w:w="624" w:type="dxa"/>
          <w:tcBorders>
            <w:top w:val="single" w:sz="4" w:space="0" w:color="788184" w:themeColor="background2"/>
          </w:tcBorders>
          <w:textDirection w:val="tbRl"/>
          <w:vAlign w:val="center"/>
        </w:tcPr>
        <w:p w:rsidR="003B5BCC" w:rsidRPr="00EB388E" w:rsidRDefault="00AF4AB9" w:rsidP="006A55D4">
          <w:pPr>
            <w:pStyle w:val="FooterLeft"/>
            <w:framePr w:wrap="auto" w:vAnchor="margin" w:hAnchor="text" w:yAlign="inline"/>
          </w:pPr>
          <w:r>
            <w:fldChar w:fldCharType="begin"/>
          </w:r>
          <w:r>
            <w:instrText xml:space="preserve"> STYLEREF  Title  \* MERGEFORMAT </w:instrText>
          </w:r>
          <w:r>
            <w:fldChar w:fldCharType="separate"/>
          </w:r>
          <w:r w:rsidR="00235AA8">
            <w:rPr>
              <w:noProof/>
            </w:rPr>
            <w:t>Medicare Benefits Schedule</w:t>
          </w:r>
          <w:r>
            <w:rPr>
              <w:noProof/>
            </w:rPr>
            <w:fldChar w:fldCharType="end"/>
          </w:r>
        </w:p>
      </w:tc>
    </w:tr>
  </w:tbl>
  <w:p w:rsidR="003B5BCC" w:rsidRPr="00E350DC" w:rsidRDefault="003B5BCC" w:rsidP="006A55D4">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horzAnchor="page" w:tblpX="1" w:tblpYSpec="bottom"/>
      <w:tblW w:w="1219" w:type="dxa"/>
      <w:tblLayout w:type="fixed"/>
      <w:tblCellMar>
        <w:top w:w="28" w:type="dxa"/>
      </w:tblCellMar>
      <w:tblLook w:val="04A0" w:firstRow="1" w:lastRow="0" w:firstColumn="1" w:lastColumn="0" w:noHBand="0" w:noVBand="1"/>
    </w:tblPr>
    <w:tblGrid>
      <w:gridCol w:w="595"/>
      <w:gridCol w:w="624"/>
    </w:tblGrid>
    <w:tr w:rsidR="003B5BCC" w:rsidRPr="00EB388E" w:rsidTr="006A55D4">
      <w:trPr>
        <w:cantSplit/>
        <w:trHeight w:val="8164"/>
      </w:trPr>
      <w:tc>
        <w:tcPr>
          <w:tcW w:w="595" w:type="dxa"/>
          <w:textDirection w:val="tbRl"/>
        </w:tcPr>
        <w:p w:rsidR="003B5BCC" w:rsidRDefault="003B5BCC" w:rsidP="006A55D4">
          <w:pPr>
            <w:pStyle w:val="FooterLeftPageNumber"/>
            <w:framePr w:wrap="auto" w:vAnchor="margin" w:hAnchor="text" w:yAlign="inline"/>
            <w:ind w:left="113"/>
          </w:pPr>
        </w:p>
      </w:tc>
      <w:tc>
        <w:tcPr>
          <w:tcW w:w="624" w:type="dxa"/>
          <w:tcBorders>
            <w:bottom w:val="single" w:sz="4" w:space="0" w:color="788184" w:themeColor="background2"/>
          </w:tcBorders>
          <w:textDirection w:val="tbRl"/>
          <w:vAlign w:val="center"/>
        </w:tcPr>
        <w:p w:rsidR="003B5BCC" w:rsidRPr="00EB388E" w:rsidRDefault="003B5BCC" w:rsidP="006A55D4">
          <w:pPr>
            <w:pStyle w:val="FooterRight"/>
            <w:framePr w:wrap="auto" w:vAnchor="margin" w:hAnchor="text" w:xAlign="left" w:yAlign="inline"/>
          </w:pPr>
          <w:r>
            <w:t>Appendices</w:t>
          </w:r>
        </w:p>
      </w:tc>
    </w:tr>
    <w:tr w:rsidR="003B5BCC" w:rsidRPr="00EB388E" w:rsidTr="006A55D4">
      <w:trPr>
        <w:cantSplit/>
        <w:trHeight w:val="850"/>
      </w:trPr>
      <w:tc>
        <w:tcPr>
          <w:tcW w:w="595" w:type="dxa"/>
          <w:textDirection w:val="tbRl"/>
        </w:tcPr>
        <w:p w:rsidR="003B5BCC" w:rsidRDefault="003B5BCC" w:rsidP="006A55D4">
          <w:pPr>
            <w:pStyle w:val="FooterLeftPageNumber"/>
            <w:framePr w:wrap="auto" w:vAnchor="margin" w:hAnchor="text" w:yAlign="inline"/>
            <w:ind w:left="113"/>
          </w:pPr>
        </w:p>
      </w:tc>
      <w:tc>
        <w:tcPr>
          <w:tcW w:w="624" w:type="dxa"/>
          <w:tcBorders>
            <w:top w:val="single" w:sz="4" w:space="0" w:color="788184" w:themeColor="background2"/>
          </w:tcBorders>
          <w:textDirection w:val="tbRl"/>
          <w:vAlign w:val="center"/>
        </w:tcPr>
        <w:p w:rsidR="003B5BCC" w:rsidRPr="00AF7B25" w:rsidRDefault="003B5BCC" w:rsidP="006A55D4">
          <w:pPr>
            <w:pStyle w:val="FooterRightPageNumberLS"/>
            <w:framePr w:wrap="auto" w:xAlign="left"/>
          </w:pPr>
          <w:r w:rsidRPr="00B917D0">
            <w:fldChar w:fldCharType="begin"/>
          </w:r>
          <w:r w:rsidRPr="00B917D0">
            <w:instrText xml:space="preserve"> PAGE   \* MERGEFORMAT </w:instrText>
          </w:r>
          <w:r w:rsidRPr="00B917D0">
            <w:fldChar w:fldCharType="separate"/>
          </w:r>
          <w:r w:rsidR="00AF4AB9">
            <w:t>27</w:t>
          </w:r>
          <w:r w:rsidRPr="00B917D0">
            <w:fldChar w:fldCharType="end"/>
          </w:r>
        </w:p>
      </w:tc>
    </w:tr>
  </w:tbl>
  <w:p w:rsidR="003B5BCC" w:rsidRPr="00E350DC" w:rsidRDefault="003B5BCC" w:rsidP="006A55D4">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3B5BCC" w:rsidRPr="00EB388E" w:rsidTr="00232965">
      <w:trPr>
        <w:trHeight w:val="340"/>
      </w:trPr>
      <w:tc>
        <w:tcPr>
          <w:tcW w:w="567" w:type="dxa"/>
          <w:tcBorders>
            <w:right w:val="single" w:sz="4" w:space="0" w:color="788184" w:themeColor="background2"/>
          </w:tcBorders>
          <w:vAlign w:val="center"/>
        </w:tcPr>
        <w:p w:rsidR="003B5BCC" w:rsidRPr="00CB70DF" w:rsidRDefault="003B5BCC" w:rsidP="00232965">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AF4AB9">
            <w:rPr>
              <w:noProof/>
            </w:rPr>
            <w:t>30</w:t>
          </w:r>
          <w:r w:rsidRPr="00EB388E">
            <w:fldChar w:fldCharType="end"/>
          </w:r>
        </w:p>
      </w:tc>
      <w:tc>
        <w:tcPr>
          <w:tcW w:w="8164" w:type="dxa"/>
          <w:tcBorders>
            <w:left w:val="single" w:sz="4" w:space="0" w:color="788184" w:themeColor="background2"/>
          </w:tcBorders>
          <w:vAlign w:val="center"/>
        </w:tcPr>
        <w:p w:rsidR="003B5BCC" w:rsidRPr="00CB70DF" w:rsidRDefault="00AF4AB9" w:rsidP="00232965">
          <w:pPr>
            <w:pStyle w:val="FooterLeft"/>
            <w:framePr w:wrap="auto" w:vAnchor="margin" w:hAnchor="text" w:yAlign="inline"/>
          </w:pPr>
          <w:r>
            <w:fldChar w:fldCharType="begin"/>
          </w:r>
          <w:r>
            <w:instrText xml:space="preserve"> STYLEREF  Title  \* MERGEFORMAT </w:instrText>
          </w:r>
          <w:r>
            <w:fldChar w:fldCharType="separate"/>
          </w:r>
          <w:r>
            <w:rPr>
              <w:noProof/>
            </w:rPr>
            <w:t>Medicare Benefits Schedule</w:t>
          </w:r>
          <w:r>
            <w:rPr>
              <w:noProof/>
            </w:rPr>
            <w:fldChar w:fldCharType="end"/>
          </w:r>
        </w:p>
      </w:tc>
    </w:tr>
    <w:tr w:rsidR="003B5BCC" w:rsidRPr="00EB388E" w:rsidTr="00232965">
      <w:trPr>
        <w:trHeight w:hRule="exact" w:val="403"/>
      </w:trPr>
      <w:tc>
        <w:tcPr>
          <w:tcW w:w="567" w:type="dxa"/>
          <w:tcMar>
            <w:bottom w:w="284" w:type="dxa"/>
          </w:tcMar>
        </w:tcPr>
        <w:p w:rsidR="003B5BCC" w:rsidRPr="00EB388E" w:rsidRDefault="003B5BCC" w:rsidP="00232965">
          <w:pPr>
            <w:pStyle w:val="FooterRightPageNumber"/>
          </w:pPr>
        </w:p>
      </w:tc>
      <w:tc>
        <w:tcPr>
          <w:tcW w:w="8164" w:type="dxa"/>
          <w:tcMar>
            <w:bottom w:w="284" w:type="dxa"/>
          </w:tcMar>
        </w:tcPr>
        <w:p w:rsidR="003B5BCC" w:rsidRPr="00090E70" w:rsidRDefault="003B5BCC" w:rsidP="00232965"/>
      </w:tc>
    </w:tr>
  </w:tbl>
  <w:p w:rsidR="003B5BCC" w:rsidRDefault="003B5BCC">
    <w:pPr>
      <w:pStyle w:val="Footer"/>
    </w:pPr>
  </w:p>
  <w:p w:rsidR="003B5BCC" w:rsidRPr="004816D7" w:rsidRDefault="003B5BCC" w:rsidP="004816D7">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3B5BCC" w:rsidRPr="00EB388E" w:rsidTr="00232965">
      <w:trPr>
        <w:trHeight w:val="340"/>
      </w:trPr>
      <w:tc>
        <w:tcPr>
          <w:tcW w:w="8164" w:type="dxa"/>
          <w:tcBorders>
            <w:right w:val="single" w:sz="4" w:space="0" w:color="788184" w:themeColor="background2"/>
          </w:tcBorders>
          <w:vAlign w:val="center"/>
        </w:tcPr>
        <w:p w:rsidR="003B5BCC" w:rsidRPr="00CB70DF" w:rsidRDefault="00AF4AB9" w:rsidP="00232965">
          <w:pPr>
            <w:pStyle w:val="FooterRight"/>
            <w:framePr w:wrap="auto" w:vAnchor="margin" w:hAnchor="text" w:xAlign="left" w:yAlign="inline"/>
          </w:pPr>
          <w:r>
            <w:fldChar w:fldCharType="begin"/>
          </w:r>
          <w:r>
            <w:instrText xml:space="preserve"> STYLEREF  "Heading 8,Appendix Title" \r \* MERGEFORMAT </w:instrText>
          </w:r>
          <w:r>
            <w:fldChar w:fldCharType="separate"/>
          </w:r>
          <w:r>
            <w:rPr>
              <w:noProof/>
            </w:rPr>
            <w:t>Appendix C</w:t>
          </w:r>
          <w:r>
            <w:rPr>
              <w:noProof/>
            </w:rPr>
            <w:fldChar w:fldCharType="end"/>
          </w:r>
        </w:p>
      </w:tc>
      <w:tc>
        <w:tcPr>
          <w:tcW w:w="567" w:type="dxa"/>
          <w:tcBorders>
            <w:left w:val="single" w:sz="4" w:space="0" w:color="788184" w:themeColor="background2"/>
          </w:tcBorders>
          <w:vAlign w:val="center"/>
        </w:tcPr>
        <w:p w:rsidR="003B5BCC" w:rsidRPr="00CB70DF" w:rsidRDefault="003B5BCC" w:rsidP="00232965">
          <w:pPr>
            <w:pStyle w:val="FooterRightPageNumber"/>
          </w:pPr>
          <w:r w:rsidRPr="00EB388E">
            <w:fldChar w:fldCharType="begin"/>
          </w:r>
          <w:r w:rsidRPr="00EB388E">
            <w:instrText xml:space="preserve"> PAGE   \* MERGEFORMAT </w:instrText>
          </w:r>
          <w:r w:rsidRPr="00EB388E">
            <w:fldChar w:fldCharType="separate"/>
          </w:r>
          <w:r w:rsidR="00AF4AB9">
            <w:t>29</w:t>
          </w:r>
          <w:r w:rsidRPr="00EB388E">
            <w:fldChar w:fldCharType="end"/>
          </w:r>
        </w:p>
      </w:tc>
    </w:tr>
    <w:tr w:rsidR="003B5BCC" w:rsidRPr="00EB388E" w:rsidTr="00232965">
      <w:trPr>
        <w:trHeight w:hRule="exact" w:val="403"/>
      </w:trPr>
      <w:tc>
        <w:tcPr>
          <w:tcW w:w="8164" w:type="dxa"/>
        </w:tcPr>
        <w:p w:rsidR="003B5BCC" w:rsidRPr="00090E70" w:rsidRDefault="003B5BCC" w:rsidP="00232965"/>
      </w:tc>
      <w:tc>
        <w:tcPr>
          <w:tcW w:w="567" w:type="dxa"/>
          <w:tcMar>
            <w:bottom w:w="284" w:type="dxa"/>
          </w:tcMar>
        </w:tcPr>
        <w:p w:rsidR="003B5BCC" w:rsidRPr="00090E70" w:rsidRDefault="003B5BCC" w:rsidP="00232965"/>
      </w:tc>
    </w:tr>
  </w:tbl>
  <w:p w:rsidR="003B5BCC" w:rsidRDefault="003B5BCC">
    <w:pPr>
      <w:pStyle w:val="Footer"/>
    </w:pPr>
  </w:p>
  <w:p w:rsidR="003B5BCC" w:rsidRPr="004816D7" w:rsidRDefault="003B5BCC" w:rsidP="00E55F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Default="003B5BC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3B5BCC" w:rsidRPr="00EB388E" w:rsidTr="00C80200">
      <w:trPr>
        <w:trHeight w:val="340"/>
      </w:trPr>
      <w:tc>
        <w:tcPr>
          <w:tcW w:w="567" w:type="dxa"/>
          <w:tcBorders>
            <w:right w:val="single" w:sz="4" w:space="0" w:color="788184" w:themeColor="background2"/>
          </w:tcBorders>
          <w:vAlign w:val="center"/>
        </w:tcPr>
        <w:p w:rsidR="003B5BCC" w:rsidRPr="00CB70DF" w:rsidRDefault="003B5BCC" w:rsidP="00C80200">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AF4AB9">
            <w:rPr>
              <w:noProof/>
            </w:rPr>
            <w:t>x</w:t>
          </w:r>
          <w:r w:rsidRPr="00EB388E">
            <w:fldChar w:fldCharType="end"/>
          </w:r>
        </w:p>
      </w:tc>
      <w:tc>
        <w:tcPr>
          <w:tcW w:w="8164" w:type="dxa"/>
          <w:tcBorders>
            <w:left w:val="single" w:sz="4" w:space="0" w:color="788184" w:themeColor="background2"/>
          </w:tcBorders>
          <w:vAlign w:val="center"/>
        </w:tcPr>
        <w:p w:rsidR="003B5BCC" w:rsidRPr="00CB70DF" w:rsidRDefault="003B5BCC" w:rsidP="00EE2CFE">
          <w:pPr>
            <w:pStyle w:val="FooterLeft"/>
            <w:framePr w:wrap="auto" w:vAnchor="margin" w:hAnchor="text" w:yAlign="inline"/>
            <w:jc w:val="both"/>
          </w:pPr>
        </w:p>
      </w:tc>
    </w:tr>
    <w:tr w:rsidR="003B5BCC" w:rsidRPr="00EB388E" w:rsidTr="00C80200">
      <w:trPr>
        <w:trHeight w:hRule="exact" w:val="403"/>
      </w:trPr>
      <w:tc>
        <w:tcPr>
          <w:tcW w:w="567" w:type="dxa"/>
          <w:tcMar>
            <w:bottom w:w="284" w:type="dxa"/>
          </w:tcMar>
        </w:tcPr>
        <w:p w:rsidR="003B5BCC" w:rsidRPr="00EB388E" w:rsidRDefault="003B5BCC" w:rsidP="00C80200">
          <w:pPr>
            <w:pStyle w:val="FooterRightPageNumber"/>
          </w:pPr>
        </w:p>
      </w:tc>
      <w:tc>
        <w:tcPr>
          <w:tcW w:w="8164" w:type="dxa"/>
          <w:tcMar>
            <w:bottom w:w="284" w:type="dxa"/>
          </w:tcMar>
        </w:tcPr>
        <w:p w:rsidR="003B5BCC" w:rsidRPr="00D87B97" w:rsidRDefault="003B5BCC" w:rsidP="00D87B97">
          <w:pPr>
            <w:jc w:val="center"/>
            <w:rPr>
              <w:b/>
            </w:rPr>
          </w:pPr>
        </w:p>
      </w:tc>
    </w:tr>
  </w:tbl>
  <w:p w:rsidR="003B5BCC" w:rsidRDefault="003B5BCC">
    <w:pPr>
      <w:pStyle w:val="Footer"/>
    </w:pPr>
  </w:p>
  <w:p w:rsidR="003B5BCC" w:rsidRPr="004816D7" w:rsidRDefault="003B5BCC" w:rsidP="004816D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3B5BCC" w:rsidRPr="00EB388E" w:rsidTr="0087390B">
      <w:trPr>
        <w:trHeight w:val="340"/>
      </w:trPr>
      <w:tc>
        <w:tcPr>
          <w:tcW w:w="8164" w:type="dxa"/>
          <w:tcBorders>
            <w:right w:val="single" w:sz="4" w:space="0" w:color="788184" w:themeColor="background2"/>
          </w:tcBorders>
          <w:vAlign w:val="center"/>
        </w:tcPr>
        <w:p w:rsidR="003B5BCC" w:rsidRPr="00CB70DF" w:rsidRDefault="003B5BCC" w:rsidP="00EE2CFE">
          <w:pPr>
            <w:pStyle w:val="FooterRight"/>
            <w:framePr w:wrap="auto" w:vAnchor="margin" w:hAnchor="text" w:xAlign="left" w:yAlign="inline"/>
          </w:pPr>
        </w:p>
      </w:tc>
      <w:tc>
        <w:tcPr>
          <w:tcW w:w="567" w:type="dxa"/>
          <w:tcBorders>
            <w:left w:val="single" w:sz="4" w:space="0" w:color="788184" w:themeColor="background2"/>
          </w:tcBorders>
          <w:vAlign w:val="center"/>
        </w:tcPr>
        <w:p w:rsidR="003B5BCC" w:rsidRPr="00CB70DF" w:rsidRDefault="003B5BCC" w:rsidP="00E915E6">
          <w:pPr>
            <w:pStyle w:val="FooterRightPageNumber"/>
          </w:pPr>
          <w:r w:rsidRPr="00EB388E">
            <w:fldChar w:fldCharType="begin"/>
          </w:r>
          <w:r w:rsidRPr="00EB388E">
            <w:instrText xml:space="preserve"> PAGE   \* MERGEFORMAT </w:instrText>
          </w:r>
          <w:r w:rsidRPr="00EB388E">
            <w:fldChar w:fldCharType="separate"/>
          </w:r>
          <w:r w:rsidR="00AF4AB9">
            <w:t>ix</w:t>
          </w:r>
          <w:r w:rsidRPr="00EB388E">
            <w:fldChar w:fldCharType="end"/>
          </w:r>
        </w:p>
      </w:tc>
    </w:tr>
    <w:tr w:rsidR="003B5BCC" w:rsidRPr="00EB388E" w:rsidTr="004F1297">
      <w:trPr>
        <w:trHeight w:hRule="exact" w:val="403"/>
      </w:trPr>
      <w:tc>
        <w:tcPr>
          <w:tcW w:w="8164" w:type="dxa"/>
        </w:tcPr>
        <w:p w:rsidR="003B5BCC" w:rsidRPr="00D87B97" w:rsidRDefault="003B5BCC" w:rsidP="00D87B97">
          <w:pPr>
            <w:jc w:val="center"/>
            <w:rPr>
              <w:b/>
            </w:rPr>
          </w:pPr>
        </w:p>
      </w:tc>
      <w:tc>
        <w:tcPr>
          <w:tcW w:w="567" w:type="dxa"/>
          <w:tcMar>
            <w:bottom w:w="284" w:type="dxa"/>
          </w:tcMar>
        </w:tcPr>
        <w:p w:rsidR="003B5BCC" w:rsidRPr="00090E70" w:rsidRDefault="003B5BCC" w:rsidP="0087390B"/>
      </w:tc>
    </w:tr>
  </w:tbl>
  <w:p w:rsidR="003B5BCC" w:rsidRDefault="003B5BCC">
    <w:pPr>
      <w:pStyle w:val="Footer"/>
    </w:pPr>
  </w:p>
  <w:p w:rsidR="003B5BCC" w:rsidRPr="004816D7" w:rsidRDefault="003B5BCC" w:rsidP="004816D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Default="003B5BC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3B5BCC" w:rsidRPr="00EB388E" w:rsidTr="00C80200">
      <w:trPr>
        <w:trHeight w:val="340"/>
      </w:trPr>
      <w:tc>
        <w:tcPr>
          <w:tcW w:w="567" w:type="dxa"/>
          <w:tcBorders>
            <w:right w:val="single" w:sz="4" w:space="0" w:color="788184" w:themeColor="background2"/>
          </w:tcBorders>
          <w:vAlign w:val="center"/>
        </w:tcPr>
        <w:p w:rsidR="003B5BCC" w:rsidRPr="00CB70DF" w:rsidRDefault="003B5BCC" w:rsidP="00C80200">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AF4AB9">
            <w:rPr>
              <w:noProof/>
            </w:rPr>
            <w:t>4</w:t>
          </w:r>
          <w:r w:rsidRPr="00EB388E">
            <w:fldChar w:fldCharType="end"/>
          </w:r>
        </w:p>
      </w:tc>
      <w:tc>
        <w:tcPr>
          <w:tcW w:w="8164" w:type="dxa"/>
          <w:tcBorders>
            <w:left w:val="single" w:sz="4" w:space="0" w:color="788184" w:themeColor="background2"/>
          </w:tcBorders>
          <w:vAlign w:val="center"/>
        </w:tcPr>
        <w:p w:rsidR="003B5BCC" w:rsidRPr="00CB70DF" w:rsidRDefault="00AF4AB9" w:rsidP="00A0332A">
          <w:pPr>
            <w:pStyle w:val="FooterLeft"/>
            <w:framePr w:wrap="auto" w:vAnchor="margin" w:hAnchor="text" w:yAlign="inline"/>
            <w:jc w:val="both"/>
          </w:pPr>
          <w:r>
            <w:fldChar w:fldCharType="begin"/>
          </w:r>
          <w:r>
            <w:instrText xml:space="preserve"> STYLEREF  Title  \* MERGEFORMAT </w:instrText>
          </w:r>
          <w:r>
            <w:fldChar w:fldCharType="separate"/>
          </w:r>
          <w:r>
            <w:rPr>
              <w:noProof/>
            </w:rPr>
            <w:t>Medicare Benefits Schedule</w:t>
          </w:r>
          <w:r>
            <w:rPr>
              <w:noProof/>
            </w:rPr>
            <w:fldChar w:fldCharType="end"/>
          </w:r>
        </w:p>
      </w:tc>
    </w:tr>
    <w:tr w:rsidR="003B5BCC" w:rsidRPr="00EB388E" w:rsidTr="00C80200">
      <w:trPr>
        <w:trHeight w:hRule="exact" w:val="403"/>
      </w:trPr>
      <w:tc>
        <w:tcPr>
          <w:tcW w:w="567" w:type="dxa"/>
          <w:tcMar>
            <w:bottom w:w="284" w:type="dxa"/>
          </w:tcMar>
        </w:tcPr>
        <w:p w:rsidR="003B5BCC" w:rsidRPr="00EB388E" w:rsidRDefault="003B5BCC" w:rsidP="00C80200">
          <w:pPr>
            <w:pStyle w:val="FooterRightPageNumber"/>
          </w:pPr>
        </w:p>
      </w:tc>
      <w:tc>
        <w:tcPr>
          <w:tcW w:w="8164" w:type="dxa"/>
          <w:tcMar>
            <w:bottom w:w="284" w:type="dxa"/>
          </w:tcMar>
        </w:tcPr>
        <w:p w:rsidR="003B5BCC" w:rsidRPr="00D87B97" w:rsidRDefault="003B5BCC" w:rsidP="00D87B97">
          <w:pPr>
            <w:jc w:val="center"/>
            <w:rPr>
              <w:b/>
            </w:rPr>
          </w:pPr>
        </w:p>
      </w:tc>
    </w:tr>
  </w:tbl>
  <w:p w:rsidR="003B5BCC" w:rsidRDefault="003B5BCC">
    <w:pPr>
      <w:pStyle w:val="Footer"/>
    </w:pPr>
  </w:p>
  <w:p w:rsidR="003B5BCC" w:rsidRPr="004816D7" w:rsidRDefault="003B5BCC" w:rsidP="004816D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3B5BCC" w:rsidRPr="00EB388E" w:rsidTr="0087390B">
      <w:trPr>
        <w:trHeight w:val="340"/>
      </w:trPr>
      <w:tc>
        <w:tcPr>
          <w:tcW w:w="8164" w:type="dxa"/>
          <w:tcBorders>
            <w:right w:val="single" w:sz="4" w:space="0" w:color="788184" w:themeColor="background2"/>
          </w:tcBorders>
          <w:vAlign w:val="center"/>
        </w:tcPr>
        <w:p w:rsidR="003B5BCC" w:rsidRPr="00CB70DF" w:rsidRDefault="00AF4AB9" w:rsidP="001C48DE">
          <w:pPr>
            <w:pStyle w:val="FooterRight"/>
            <w:framePr w:wrap="auto" w:vAnchor="margin" w:hAnchor="text" w:xAlign="left" w:yAlign="inline"/>
          </w:pPr>
          <w:r>
            <w:fldChar w:fldCharType="begin"/>
          </w:r>
          <w:r>
            <w:instrText xml:space="preserve"> STYLEREF  "Heading 1"  \* MERGEFORMAT </w:instrText>
          </w:r>
          <w:r>
            <w:fldChar w:fldCharType="separate"/>
          </w:r>
          <w:r>
            <w:rPr>
              <w:noProof/>
            </w:rPr>
            <w:t>Medicare Benefits Schedule</w:t>
          </w:r>
          <w:r>
            <w:rPr>
              <w:noProof/>
            </w:rPr>
            <w:fldChar w:fldCharType="end"/>
          </w:r>
        </w:p>
      </w:tc>
      <w:tc>
        <w:tcPr>
          <w:tcW w:w="567" w:type="dxa"/>
          <w:tcBorders>
            <w:left w:val="single" w:sz="4" w:space="0" w:color="788184" w:themeColor="background2"/>
          </w:tcBorders>
          <w:vAlign w:val="center"/>
        </w:tcPr>
        <w:p w:rsidR="003B5BCC" w:rsidRPr="00CB70DF" w:rsidRDefault="003B5BCC" w:rsidP="00E915E6">
          <w:pPr>
            <w:pStyle w:val="FooterRightPageNumber"/>
          </w:pPr>
          <w:r w:rsidRPr="00EB388E">
            <w:fldChar w:fldCharType="begin"/>
          </w:r>
          <w:r w:rsidRPr="00EB388E">
            <w:instrText xml:space="preserve"> PAGE   \* MERGEFORMAT </w:instrText>
          </w:r>
          <w:r w:rsidRPr="00EB388E">
            <w:fldChar w:fldCharType="separate"/>
          </w:r>
          <w:r w:rsidR="00AF4AB9">
            <w:t>3</w:t>
          </w:r>
          <w:r w:rsidRPr="00EB388E">
            <w:fldChar w:fldCharType="end"/>
          </w:r>
        </w:p>
      </w:tc>
    </w:tr>
    <w:tr w:rsidR="003B5BCC" w:rsidRPr="00EB388E" w:rsidTr="004F1297">
      <w:trPr>
        <w:trHeight w:hRule="exact" w:val="403"/>
      </w:trPr>
      <w:tc>
        <w:tcPr>
          <w:tcW w:w="8164" w:type="dxa"/>
        </w:tcPr>
        <w:p w:rsidR="003B5BCC" w:rsidRPr="00D87B97" w:rsidRDefault="003B5BCC" w:rsidP="00D87B97">
          <w:pPr>
            <w:jc w:val="center"/>
            <w:rPr>
              <w:b/>
            </w:rPr>
          </w:pPr>
        </w:p>
      </w:tc>
      <w:tc>
        <w:tcPr>
          <w:tcW w:w="567" w:type="dxa"/>
          <w:tcMar>
            <w:bottom w:w="284" w:type="dxa"/>
          </w:tcMar>
        </w:tcPr>
        <w:p w:rsidR="003B5BCC" w:rsidRPr="00090E70" w:rsidRDefault="003B5BCC" w:rsidP="0087390B"/>
      </w:tc>
    </w:tr>
  </w:tbl>
  <w:p w:rsidR="003B5BCC" w:rsidRDefault="003B5BCC">
    <w:pPr>
      <w:pStyle w:val="Footer"/>
    </w:pPr>
  </w:p>
  <w:p w:rsidR="003B5BCC" w:rsidRPr="004816D7" w:rsidRDefault="003B5BCC" w:rsidP="004816D7">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3B5BCC" w:rsidRPr="00EB388E" w:rsidTr="0087390B">
      <w:trPr>
        <w:trHeight w:val="340"/>
      </w:trPr>
      <w:tc>
        <w:tcPr>
          <w:tcW w:w="8164" w:type="dxa"/>
          <w:tcBorders>
            <w:right w:val="single" w:sz="4" w:space="0" w:color="788184" w:themeColor="background2"/>
          </w:tcBorders>
          <w:vAlign w:val="center"/>
        </w:tcPr>
        <w:p w:rsidR="003B5BCC" w:rsidRPr="00CB70DF" w:rsidRDefault="00AF4AB9" w:rsidP="001C48DE">
          <w:pPr>
            <w:pStyle w:val="FooterRight"/>
            <w:framePr w:wrap="auto" w:vAnchor="margin" w:hAnchor="text" w:xAlign="left" w:yAlign="inline"/>
          </w:pPr>
          <w:r>
            <w:fldChar w:fldCharType="begin"/>
          </w:r>
          <w:r>
            <w:instrText xml:space="preserve"> STYLEREF  "Heading 1"  \* MERGEFORMAT </w:instrText>
          </w:r>
          <w:r>
            <w:fldChar w:fldCharType="separate"/>
          </w:r>
          <w:r>
            <w:rPr>
              <w:noProof/>
            </w:rPr>
            <w:t>Trends in aggregate Medicare Benefits Schedule spending</w:t>
          </w:r>
          <w:r>
            <w:rPr>
              <w:noProof/>
            </w:rPr>
            <w:fldChar w:fldCharType="end"/>
          </w:r>
        </w:p>
      </w:tc>
      <w:tc>
        <w:tcPr>
          <w:tcW w:w="567" w:type="dxa"/>
          <w:tcBorders>
            <w:left w:val="single" w:sz="4" w:space="0" w:color="788184" w:themeColor="background2"/>
          </w:tcBorders>
          <w:vAlign w:val="center"/>
        </w:tcPr>
        <w:p w:rsidR="003B5BCC" w:rsidRPr="00CB70DF" w:rsidRDefault="003B5BCC" w:rsidP="00E915E6">
          <w:pPr>
            <w:pStyle w:val="FooterRightPageNumber"/>
          </w:pPr>
          <w:r w:rsidRPr="00EB388E">
            <w:fldChar w:fldCharType="begin"/>
          </w:r>
          <w:r w:rsidRPr="00EB388E">
            <w:instrText xml:space="preserve"> PAGE   \* MERGEFORMAT </w:instrText>
          </w:r>
          <w:r w:rsidRPr="00EB388E">
            <w:fldChar w:fldCharType="separate"/>
          </w:r>
          <w:r w:rsidR="00AF4AB9">
            <w:t>5</w:t>
          </w:r>
          <w:r w:rsidRPr="00EB388E">
            <w:fldChar w:fldCharType="end"/>
          </w:r>
        </w:p>
      </w:tc>
    </w:tr>
    <w:tr w:rsidR="003B5BCC" w:rsidRPr="00EB388E" w:rsidTr="004F1297">
      <w:trPr>
        <w:trHeight w:hRule="exact" w:val="403"/>
      </w:trPr>
      <w:tc>
        <w:tcPr>
          <w:tcW w:w="8164" w:type="dxa"/>
        </w:tcPr>
        <w:p w:rsidR="003B5BCC" w:rsidRPr="00D87B97" w:rsidRDefault="003B5BCC" w:rsidP="00D87B97">
          <w:pPr>
            <w:jc w:val="center"/>
            <w:rPr>
              <w:b/>
            </w:rPr>
          </w:pPr>
        </w:p>
      </w:tc>
      <w:tc>
        <w:tcPr>
          <w:tcW w:w="567" w:type="dxa"/>
          <w:tcMar>
            <w:bottom w:w="284" w:type="dxa"/>
          </w:tcMar>
        </w:tcPr>
        <w:p w:rsidR="003B5BCC" w:rsidRPr="00090E70" w:rsidRDefault="003B5BCC" w:rsidP="0087390B"/>
      </w:tc>
    </w:tr>
  </w:tbl>
  <w:p w:rsidR="003B5BCC" w:rsidRDefault="003B5BCC">
    <w:pPr>
      <w:pStyle w:val="Footer"/>
    </w:pPr>
  </w:p>
  <w:p w:rsidR="003B5BCC" w:rsidRPr="004816D7" w:rsidRDefault="003B5BCC" w:rsidP="004816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BCC" w:rsidRPr="000557A7" w:rsidRDefault="003B5BCC" w:rsidP="008D5A11">
      <w:pPr>
        <w:pBdr>
          <w:top w:val="single" w:sz="4" w:space="1" w:color="auto"/>
        </w:pBdr>
        <w:spacing w:before="240" w:line="60" w:lineRule="exact"/>
        <w:rPr>
          <w:sz w:val="16"/>
          <w:szCs w:val="16"/>
        </w:rPr>
      </w:pPr>
    </w:p>
  </w:footnote>
  <w:footnote w:type="continuationSeparator" w:id="0">
    <w:p w:rsidR="003B5BCC" w:rsidRDefault="003B5BCC" w:rsidP="00A20802">
      <w:pPr>
        <w:spacing w:line="240" w:lineRule="auto"/>
      </w:pPr>
      <w:r>
        <w:continuationSeparator/>
      </w:r>
    </w:p>
    <w:p w:rsidR="003B5BCC" w:rsidRDefault="003B5BCC"/>
  </w:footnote>
  <w:footnote w:id="1">
    <w:p w:rsidR="003B5BCC" w:rsidRPr="00E96DE1" w:rsidRDefault="003B5BCC" w:rsidP="00A660B0">
      <w:pPr>
        <w:pStyle w:val="FootnoteText"/>
        <w:tabs>
          <w:tab w:val="clear" w:pos="425"/>
          <w:tab w:val="left" w:pos="567"/>
        </w:tabs>
        <w:ind w:left="567" w:hanging="567"/>
      </w:pPr>
      <w:r w:rsidRPr="00E96DE1">
        <w:footnoteRef/>
      </w:r>
      <w:r>
        <w:tab/>
      </w:r>
      <w:r w:rsidRPr="00C862CB">
        <w:t>The Medicare Benefits Schedu</w:t>
      </w:r>
      <w:r>
        <w:t xml:space="preserve">le (MBS) is one of three parts of the </w:t>
      </w:r>
      <w:r w:rsidRPr="00C862CB">
        <w:t xml:space="preserve">Medicare </w:t>
      </w:r>
      <w:r>
        <w:t>health insurance scheme funded by the Australian Government</w:t>
      </w:r>
      <w:r w:rsidRPr="00C862CB">
        <w:t xml:space="preserve">.  </w:t>
      </w:r>
      <w:r>
        <w:t xml:space="preserve">In addition to the MBS, </w:t>
      </w:r>
      <w:r w:rsidRPr="008A0495">
        <w:t xml:space="preserve">Medicare includes </w:t>
      </w:r>
      <w:r>
        <w:t>the P</w:t>
      </w:r>
      <w:r w:rsidRPr="008A0495">
        <w:t>harmaceutic</w:t>
      </w:r>
      <w:r>
        <w:t>al B</w:t>
      </w:r>
      <w:r w:rsidRPr="008A0495">
        <w:t xml:space="preserve">enefits </w:t>
      </w:r>
      <w:r>
        <w:t xml:space="preserve">Scheme </w:t>
      </w:r>
      <w:r w:rsidRPr="008A0495">
        <w:t>and funding for public patients in public</w:t>
      </w:r>
      <w:r w:rsidRPr="00C862CB">
        <w:t xml:space="preserve"> hospital</w:t>
      </w:r>
      <w:r w:rsidRPr="008A0495">
        <w:t>s.</w:t>
      </w:r>
    </w:p>
  </w:footnote>
  <w:footnote w:id="2">
    <w:p w:rsidR="003B5BCC" w:rsidRPr="00085B6F" w:rsidRDefault="003B5BCC" w:rsidP="00A660B0">
      <w:pPr>
        <w:pStyle w:val="FootnoteText"/>
        <w:tabs>
          <w:tab w:val="clear" w:pos="425"/>
          <w:tab w:val="left" w:pos="567"/>
        </w:tabs>
        <w:ind w:left="567" w:hanging="567"/>
      </w:pPr>
      <w:r w:rsidRPr="00085B6F">
        <w:footnoteRef/>
      </w:r>
      <w:r>
        <w:tab/>
        <w:t>In 1981, access to free hospital and medical care was restricted to p</w:t>
      </w:r>
      <w:r w:rsidRPr="00BE12A6">
        <w:t xml:space="preserve">ensioners </w:t>
      </w:r>
      <w:r>
        <w:t>with health care cards, sickness beneficiaries and those meeting stringent means tests</w:t>
      </w:r>
      <w:r w:rsidRPr="000A7084">
        <w:t>.</w:t>
      </w:r>
    </w:p>
  </w:footnote>
  <w:footnote w:id="3">
    <w:p w:rsidR="003B5BCC" w:rsidRPr="00F95CC0" w:rsidRDefault="003B5BCC" w:rsidP="00A660B0">
      <w:pPr>
        <w:pStyle w:val="FootnoteText"/>
        <w:tabs>
          <w:tab w:val="clear" w:pos="425"/>
          <w:tab w:val="left" w:pos="567"/>
        </w:tabs>
        <w:ind w:left="567" w:hanging="567"/>
      </w:pPr>
      <w:r w:rsidRPr="008A0495">
        <w:footnoteRef/>
      </w:r>
      <w:r>
        <w:tab/>
        <w:t xml:space="preserve">The benefit paid can also be affected by the Greatest Permissible Gap (GPG), which increases the benefit </w:t>
      </w:r>
      <w:proofErr w:type="gramStart"/>
      <w:r>
        <w:t>paid</w:t>
      </w:r>
      <w:proofErr w:type="gramEnd"/>
      <w:r>
        <w:t xml:space="preserve"> up to the Schedule Fee less $78.40 for non-bulk billed out-of-hospital patients.  The Australian Government has announced changes to the GPG from 1 January 2016.</w:t>
      </w:r>
    </w:p>
  </w:footnote>
  <w:footnote w:id="4">
    <w:p w:rsidR="003B5BCC" w:rsidRPr="00991A09" w:rsidRDefault="003B5BCC" w:rsidP="00C60314">
      <w:pPr>
        <w:pStyle w:val="FootnoteText"/>
        <w:tabs>
          <w:tab w:val="clear" w:pos="425"/>
          <w:tab w:val="left" w:pos="567"/>
        </w:tabs>
        <w:ind w:left="567" w:hanging="567"/>
      </w:pPr>
      <w:r w:rsidRPr="008A0495">
        <w:footnoteRef/>
      </w:r>
      <w:r>
        <w:tab/>
        <w:t>This is reduced by any payment received by a private health insurer in the case of medical services provided for admitted patients or out-of-hospital services.</w:t>
      </w:r>
    </w:p>
  </w:footnote>
  <w:footnote w:id="5">
    <w:p w:rsidR="003B5BCC" w:rsidRPr="00CD39B4" w:rsidRDefault="003B5BCC" w:rsidP="00C60314">
      <w:pPr>
        <w:pStyle w:val="FootnoteText"/>
        <w:tabs>
          <w:tab w:val="clear" w:pos="425"/>
          <w:tab w:val="left" w:pos="567"/>
        </w:tabs>
        <w:ind w:left="567" w:hanging="567"/>
      </w:pPr>
      <w:r w:rsidRPr="00BE12A6">
        <w:footnoteRef/>
      </w:r>
      <w:r w:rsidRPr="00BE12A6">
        <w:tab/>
      </w:r>
      <w:r>
        <w:t>These hospital agreements are</w:t>
      </w:r>
      <w:r w:rsidRPr="008A0495">
        <w:t xml:space="preserve"> part of the broader Medicare health </w:t>
      </w:r>
      <w:r>
        <w:t>insurance scheme</w:t>
      </w:r>
      <w:r w:rsidRPr="00BE12A6">
        <w:t>.</w:t>
      </w:r>
    </w:p>
  </w:footnote>
  <w:footnote w:id="6">
    <w:p w:rsidR="003B5BCC" w:rsidRPr="007F3F2F" w:rsidRDefault="003B5BCC" w:rsidP="00C60314">
      <w:pPr>
        <w:pStyle w:val="FootnoteText"/>
        <w:tabs>
          <w:tab w:val="clear" w:pos="425"/>
          <w:tab w:val="left" w:pos="567"/>
        </w:tabs>
        <w:ind w:left="567" w:hanging="567"/>
      </w:pPr>
      <w:r w:rsidRPr="007F3F2F">
        <w:footnoteRef/>
      </w:r>
      <w:r>
        <w:tab/>
        <w:t>Australia</w:t>
      </w:r>
      <w:proofErr w:type="gramStart"/>
      <w:r>
        <w:t>,,</w:t>
      </w:r>
      <w:proofErr w:type="gramEnd"/>
      <w:r>
        <w:t xml:space="preserve"> House of Representatives 1983, </w:t>
      </w:r>
      <w:r w:rsidRPr="00A62BA1">
        <w:rPr>
          <w:i/>
        </w:rPr>
        <w:t>Debates</w:t>
      </w:r>
      <w:r>
        <w:t>, no. 132, 14 September, Canberra, p. 733.</w:t>
      </w:r>
    </w:p>
  </w:footnote>
  <w:footnote w:id="7">
    <w:p w:rsidR="003B5BCC" w:rsidRPr="00FB26D9" w:rsidRDefault="003B5BCC" w:rsidP="00C60314">
      <w:pPr>
        <w:pStyle w:val="FootnoteText"/>
        <w:tabs>
          <w:tab w:val="clear" w:pos="425"/>
          <w:tab w:val="left" w:pos="567"/>
        </w:tabs>
        <w:ind w:left="567" w:hanging="567"/>
      </w:pPr>
      <w:r w:rsidRPr="008A0495">
        <w:footnoteRef/>
      </w:r>
      <w:r w:rsidRPr="00BE12A6">
        <w:tab/>
      </w:r>
      <w:r>
        <w:t>From 1 July 1997, the</w:t>
      </w:r>
      <w:r w:rsidRPr="00BE12A6">
        <w:t xml:space="preserve"> Medicare levy surcharge</w:t>
      </w:r>
      <w:r>
        <w:t xml:space="preserve"> was introduced for higher income earners without private health insurance.</w:t>
      </w:r>
    </w:p>
  </w:footnote>
  <w:footnote w:id="8">
    <w:p w:rsidR="003B5BCC" w:rsidRPr="006D77AB" w:rsidRDefault="003B5BCC" w:rsidP="00C60314">
      <w:pPr>
        <w:pStyle w:val="FootnoteText"/>
        <w:tabs>
          <w:tab w:val="clear" w:pos="425"/>
          <w:tab w:val="left" w:pos="567"/>
        </w:tabs>
        <w:ind w:left="567" w:hanging="567"/>
      </w:pPr>
      <w:r w:rsidRPr="008A0495">
        <w:footnoteRef/>
      </w:r>
      <w:r>
        <w:tab/>
        <w:t>The s</w:t>
      </w:r>
      <w:r w:rsidRPr="000A7084">
        <w:t xml:space="preserve">urgeries and treatments </w:t>
      </w:r>
      <w:r>
        <w:t xml:space="preserve">category </w:t>
      </w:r>
      <w:r w:rsidRPr="00345AA9">
        <w:t xml:space="preserve">covers in-hospital and out-of-hospital </w:t>
      </w:r>
      <w:r w:rsidRPr="006D77AB">
        <w:t>procedures and excludes physician consultations.</w:t>
      </w:r>
    </w:p>
  </w:footnote>
  <w:footnote w:id="9">
    <w:p w:rsidR="003B5BCC" w:rsidRPr="00382DBC" w:rsidRDefault="003B5BCC" w:rsidP="00C60314">
      <w:pPr>
        <w:pStyle w:val="FootnoteText"/>
        <w:tabs>
          <w:tab w:val="clear" w:pos="425"/>
          <w:tab w:val="left" w:pos="567"/>
        </w:tabs>
        <w:ind w:left="567" w:hanging="567"/>
      </w:pPr>
      <w:r w:rsidRPr="008A0495">
        <w:footnoteRef/>
      </w:r>
      <w:r w:rsidRPr="00BE12A6">
        <w:tab/>
      </w:r>
      <w:r>
        <w:t>The s</w:t>
      </w:r>
      <w:r w:rsidRPr="000A7084">
        <w:t>pecialist</w:t>
      </w:r>
      <w:r w:rsidRPr="00345AA9">
        <w:t xml:space="preserve"> services </w:t>
      </w:r>
      <w:r>
        <w:t xml:space="preserve">category </w:t>
      </w:r>
      <w:r w:rsidRPr="006D77AB">
        <w:t>predominantly cover</w:t>
      </w:r>
      <w:r>
        <w:t>s</w:t>
      </w:r>
      <w:r w:rsidRPr="00D63179">
        <w:t xml:space="preserve"> physician consultations.</w:t>
      </w:r>
    </w:p>
  </w:footnote>
  <w:footnote w:id="10">
    <w:p w:rsidR="003B5BCC" w:rsidRPr="00EC7F80" w:rsidRDefault="003B5BCC" w:rsidP="00C60314">
      <w:pPr>
        <w:pStyle w:val="FootnoteText"/>
        <w:tabs>
          <w:tab w:val="clear" w:pos="425"/>
          <w:tab w:val="left" w:pos="567"/>
        </w:tabs>
        <w:ind w:left="567" w:hanging="567"/>
        <w:rPr>
          <w:lang w:val="en-US"/>
        </w:rPr>
      </w:pPr>
      <w:r w:rsidRPr="00EC7F80">
        <w:footnoteRef/>
      </w:r>
      <w:r>
        <w:rPr>
          <w:lang w:val="en-US"/>
        </w:rPr>
        <w:tab/>
        <w:t>S</w:t>
      </w:r>
      <w:r w:rsidRPr="00EC7F80">
        <w:rPr>
          <w:lang w:val="en-US"/>
        </w:rPr>
        <w:t>ervices provide</w:t>
      </w:r>
      <w:r>
        <w:rPr>
          <w:lang w:val="en-US"/>
        </w:rPr>
        <w:t>d by allied health professionals including</w:t>
      </w:r>
      <w:r w:rsidRPr="00EC7F80">
        <w:rPr>
          <w:lang w:val="en-US"/>
        </w:rPr>
        <w:t xml:space="preserve"> optometry and psychology services</w:t>
      </w:r>
      <w:r>
        <w:rPr>
          <w:lang w:val="en-US"/>
        </w:rPr>
        <w:t>.</w:t>
      </w:r>
    </w:p>
  </w:footnote>
  <w:footnote w:id="11">
    <w:p w:rsidR="003B5BCC" w:rsidRDefault="003B5BCC" w:rsidP="00C60314">
      <w:pPr>
        <w:pStyle w:val="FootnoteText"/>
        <w:tabs>
          <w:tab w:val="clear" w:pos="425"/>
          <w:tab w:val="left" w:pos="567"/>
        </w:tabs>
        <w:ind w:left="567" w:hanging="567"/>
      </w:pPr>
      <w:r w:rsidRPr="000467F6">
        <w:footnoteRef/>
      </w:r>
      <w:r>
        <w:tab/>
        <w:t>While g</w:t>
      </w:r>
      <w:r w:rsidRPr="00227D7D">
        <w:t xml:space="preserve">rowth in nominal </w:t>
      </w:r>
      <w:r>
        <w:t>MBS</w:t>
      </w:r>
      <w:r w:rsidRPr="00227D7D">
        <w:t xml:space="preserve"> spending is driven by a combination of population growth, demographic change, inflation, rising utilisation of services, and policy changes</w:t>
      </w:r>
      <w:r>
        <w:t>,</w:t>
      </w:r>
      <w:r w:rsidRPr="00227D7D">
        <w:t xml:space="preserve"> </w:t>
      </w:r>
      <w:r>
        <w:t>t</w:t>
      </w:r>
      <w:r w:rsidRPr="00227D7D">
        <w:t xml:space="preserve">he analysis in this report focusses on spending </w:t>
      </w:r>
      <w:r>
        <w:t>per person</w:t>
      </w:r>
      <w:r w:rsidRPr="00227D7D">
        <w:t xml:space="preserve"> </w:t>
      </w:r>
      <w:r>
        <w:t xml:space="preserve">in real terms </w:t>
      </w:r>
      <w:r w:rsidRPr="00227D7D">
        <w:t xml:space="preserve">to isolate the specific drivers of increases in </w:t>
      </w:r>
      <w:r>
        <w:t>MBS</w:t>
      </w:r>
      <w:r w:rsidRPr="00227D7D">
        <w:t xml:space="preserve"> spending from population growth and inflation.</w:t>
      </w:r>
    </w:p>
  </w:footnote>
  <w:footnote w:id="12">
    <w:p w:rsidR="003B5BCC" w:rsidRPr="00930783" w:rsidRDefault="003B5BCC" w:rsidP="00C60314">
      <w:pPr>
        <w:pStyle w:val="FootnoteText"/>
        <w:tabs>
          <w:tab w:val="clear" w:pos="425"/>
          <w:tab w:val="left" w:pos="567"/>
        </w:tabs>
        <w:ind w:left="567" w:hanging="567"/>
      </w:pPr>
      <w:r w:rsidRPr="00930783">
        <w:footnoteRef/>
      </w:r>
      <w:r>
        <w:tab/>
        <w:t>Per person calculations are based on Treasury population estimates.</w:t>
      </w:r>
    </w:p>
  </w:footnote>
  <w:footnote w:id="13">
    <w:p w:rsidR="003B5BCC" w:rsidRPr="00930783" w:rsidRDefault="003B5BCC" w:rsidP="00C60314">
      <w:pPr>
        <w:pStyle w:val="FootnoteText"/>
        <w:tabs>
          <w:tab w:val="clear" w:pos="425"/>
          <w:tab w:val="left" w:pos="567"/>
        </w:tabs>
        <w:ind w:left="567" w:hanging="567"/>
      </w:pPr>
      <w:r w:rsidRPr="00930783">
        <w:footnoteRef/>
      </w:r>
      <w:r>
        <w:tab/>
        <w:t xml:space="preserve">There is no annual real growth per person shown for bulk billing incentives over the period as they were </w:t>
      </w:r>
      <w:r w:rsidRPr="004C34B3">
        <w:t>introduced</w:t>
      </w:r>
      <w:r>
        <w:t xml:space="preserve"> in 2003–04</w:t>
      </w:r>
      <w:r w:rsidRPr="004C34B3">
        <w:t>.</w:t>
      </w:r>
    </w:p>
  </w:footnote>
  <w:footnote w:id="14">
    <w:p w:rsidR="003B5BCC" w:rsidRPr="009B111D" w:rsidRDefault="003B5BCC" w:rsidP="00C60314">
      <w:pPr>
        <w:pStyle w:val="FootnoteText"/>
        <w:tabs>
          <w:tab w:val="clear" w:pos="425"/>
        </w:tabs>
        <w:ind w:left="567" w:hanging="567"/>
      </w:pPr>
      <w:r w:rsidRPr="000467F6">
        <w:footnoteRef/>
      </w:r>
      <w:r>
        <w:tab/>
      </w:r>
      <w:r w:rsidRPr="00C01E20">
        <w:t>Major policy changes are those which are reported s</w:t>
      </w:r>
      <w:r>
        <w:t>eparately in the budget papers.</w:t>
      </w:r>
    </w:p>
  </w:footnote>
  <w:footnote w:id="15">
    <w:p w:rsidR="003B5BCC" w:rsidRDefault="003B5BCC" w:rsidP="00C60314">
      <w:pPr>
        <w:pStyle w:val="FootnoteText"/>
        <w:tabs>
          <w:tab w:val="clear" w:pos="425"/>
        </w:tabs>
        <w:ind w:left="567" w:hanging="567"/>
      </w:pPr>
      <w:r w:rsidRPr="000467F6">
        <w:footnoteRef/>
      </w:r>
      <w:r>
        <w:tab/>
      </w:r>
      <w:r w:rsidRPr="000467F6">
        <w:t>This also includes the addition or removal of minor services from the MBS since 1993</w:t>
      </w:r>
      <w:r>
        <w:t>–</w:t>
      </w:r>
      <w:r w:rsidRPr="000467F6">
        <w:t xml:space="preserve">94, which are not reported separately in </w:t>
      </w:r>
      <w:r>
        <w:t>the budget.</w:t>
      </w:r>
    </w:p>
  </w:footnote>
  <w:footnote w:id="16">
    <w:p w:rsidR="003B5BCC" w:rsidRDefault="003B5BCC" w:rsidP="00C60314">
      <w:pPr>
        <w:pStyle w:val="FootnoteText"/>
        <w:tabs>
          <w:tab w:val="clear" w:pos="425"/>
        </w:tabs>
        <w:ind w:left="567" w:hanging="567"/>
      </w:pPr>
      <w:r w:rsidRPr="008A0495">
        <w:footnoteRef/>
      </w:r>
      <w:r>
        <w:tab/>
        <w:t>For a full list of major policy changes refer to Appendix B.</w:t>
      </w:r>
    </w:p>
  </w:footnote>
  <w:footnote w:id="17">
    <w:p w:rsidR="003B5BCC" w:rsidRPr="003C2DD0" w:rsidRDefault="003B5BCC" w:rsidP="00C60314">
      <w:pPr>
        <w:pStyle w:val="FootnoteText"/>
        <w:tabs>
          <w:tab w:val="clear" w:pos="425"/>
        </w:tabs>
        <w:ind w:left="567" w:hanging="567"/>
      </w:pPr>
      <w:r w:rsidRPr="008A0495">
        <w:footnoteRef/>
      </w:r>
      <w:r w:rsidRPr="0034303C">
        <w:tab/>
        <w:t xml:space="preserve">Introduction of these items to the MBS followed a funding agreement between the Commonwealth and </w:t>
      </w:r>
      <w:r w:rsidRPr="008A0495">
        <w:t>radiologists designed to control</w:t>
      </w:r>
      <w:r w:rsidRPr="0034303C">
        <w:t xml:space="preserve"> spending</w:t>
      </w:r>
      <w:r w:rsidRPr="008A0495">
        <w:t xml:space="preserve"> growth, which was already high</w:t>
      </w:r>
      <w:r w:rsidRPr="0034303C">
        <w:t>.</w:t>
      </w:r>
    </w:p>
  </w:footnote>
  <w:footnote w:id="18">
    <w:p w:rsidR="003B5BCC" w:rsidRDefault="003B5BCC" w:rsidP="00C60314">
      <w:pPr>
        <w:pStyle w:val="FootnoteText"/>
        <w:tabs>
          <w:tab w:val="clear" w:pos="425"/>
          <w:tab w:val="left" w:pos="567"/>
        </w:tabs>
        <w:ind w:left="567" w:hanging="567"/>
      </w:pPr>
      <w:r w:rsidRPr="004E402F">
        <w:footnoteRef/>
      </w:r>
      <w:r>
        <w:tab/>
        <w:t xml:space="preserve">Commonwealth of Australia 2015, </w:t>
      </w:r>
      <w:r>
        <w:rPr>
          <w:i/>
        </w:rPr>
        <w:t xml:space="preserve">2015 </w:t>
      </w:r>
      <w:r w:rsidRPr="004E402F">
        <w:rPr>
          <w:i/>
        </w:rPr>
        <w:t>Intergenerational Report</w:t>
      </w:r>
      <w:r>
        <w:t>, Commonwealth of Australia, Canberra.</w:t>
      </w:r>
    </w:p>
  </w:footnote>
  <w:footnote w:id="19">
    <w:p w:rsidR="003B5BCC" w:rsidRPr="003C2DCD" w:rsidRDefault="003B5BCC" w:rsidP="00C60314">
      <w:pPr>
        <w:pStyle w:val="FootnoteText"/>
        <w:tabs>
          <w:tab w:val="clear" w:pos="425"/>
          <w:tab w:val="left" w:pos="567"/>
        </w:tabs>
        <w:ind w:left="567" w:hanging="567"/>
      </w:pPr>
      <w:r w:rsidRPr="008A0495">
        <w:footnoteRef/>
      </w:r>
      <w:r w:rsidRPr="00607D44">
        <w:tab/>
      </w:r>
      <w:r w:rsidRPr="000F541F">
        <w:t xml:space="preserve">Jolly, R 2009, </w:t>
      </w:r>
      <w:r w:rsidRPr="004B437B">
        <w:rPr>
          <w:i/>
        </w:rPr>
        <w:t xml:space="preserve">Background Note: </w:t>
      </w:r>
      <w:r w:rsidRPr="008A0495">
        <w:rPr>
          <w:i/>
        </w:rPr>
        <w:t xml:space="preserve">Medical practitioners, education and training in Australia, </w:t>
      </w:r>
      <w:r w:rsidRPr="00607D44">
        <w:t>Parliamentary</w:t>
      </w:r>
      <w:r>
        <w:t> </w:t>
      </w:r>
      <w:r w:rsidRPr="00607D44">
        <w:t>Library</w:t>
      </w:r>
      <w:r>
        <w:t>, Canberra</w:t>
      </w:r>
      <w:r w:rsidRPr="000F541F">
        <w:t>.</w:t>
      </w:r>
    </w:p>
  </w:footnote>
  <w:footnote w:id="20">
    <w:p w:rsidR="003B5BCC" w:rsidRPr="009B215C" w:rsidRDefault="003B5BCC" w:rsidP="00C60314">
      <w:pPr>
        <w:pStyle w:val="FootnoteText"/>
        <w:tabs>
          <w:tab w:val="clear" w:pos="425"/>
          <w:tab w:val="left" w:pos="567"/>
        </w:tabs>
        <w:ind w:left="567" w:hanging="567"/>
      </w:pPr>
      <w:r w:rsidRPr="008A0495">
        <w:footnoteRef/>
      </w:r>
      <w:r w:rsidRPr="00607D44">
        <w:tab/>
      </w:r>
      <w:r w:rsidRPr="000A7084">
        <w:t xml:space="preserve">The </w:t>
      </w:r>
      <w:r w:rsidRPr="00EB61ED">
        <w:t>policy</w:t>
      </w:r>
      <w:r>
        <w:t xml:space="preserve"> announced in the 2014–</w:t>
      </w:r>
      <w:r w:rsidRPr="008A0495">
        <w:t xml:space="preserve">15 Budget </w:t>
      </w:r>
      <w:r w:rsidRPr="00607D44">
        <w:t xml:space="preserve">to simplify the Medicare Safety Net from 1 July 2016 is </w:t>
      </w:r>
      <w:r w:rsidRPr="000A7084">
        <w:t>design</w:t>
      </w:r>
      <w:r w:rsidRPr="008A0495">
        <w:t xml:space="preserve">ed </w:t>
      </w:r>
      <w:r w:rsidRPr="00607D44">
        <w:t xml:space="preserve">to </w:t>
      </w:r>
      <w:r w:rsidRPr="008A0495">
        <w:t xml:space="preserve">further </w:t>
      </w:r>
      <w:r w:rsidRPr="00607D44">
        <w:t>reduce spending.</w:t>
      </w:r>
    </w:p>
  </w:footnote>
  <w:footnote w:id="21">
    <w:p w:rsidR="003B5BCC" w:rsidRPr="00EE05B3" w:rsidRDefault="003B5BCC" w:rsidP="00C60314">
      <w:pPr>
        <w:pStyle w:val="FootnoteText"/>
        <w:tabs>
          <w:tab w:val="clear" w:pos="425"/>
        </w:tabs>
        <w:ind w:left="567" w:hanging="567"/>
      </w:pPr>
      <w:r w:rsidRPr="008A0495">
        <w:footnoteRef/>
      </w:r>
      <w:r>
        <w:tab/>
        <w:t>Allied health covered only optometry services up to and including 2002–03 before it was broadened in scope to other health services.</w:t>
      </w:r>
    </w:p>
  </w:footnote>
  <w:footnote w:id="22">
    <w:p w:rsidR="003B5BCC" w:rsidRPr="00563A0C" w:rsidRDefault="003B5BCC" w:rsidP="00C60314">
      <w:pPr>
        <w:pStyle w:val="FootnoteText"/>
        <w:tabs>
          <w:tab w:val="clear" w:pos="425"/>
          <w:tab w:val="left" w:pos="567"/>
        </w:tabs>
        <w:ind w:left="567" w:hanging="567"/>
      </w:pPr>
      <w:r w:rsidRPr="008A0495">
        <w:footnoteRef/>
      </w:r>
      <w:r>
        <w:tab/>
        <w:t>Bulk-billing incentives were introduced in 2003–04.</w:t>
      </w:r>
    </w:p>
  </w:footnote>
  <w:footnote w:id="23">
    <w:p w:rsidR="003B5BCC" w:rsidRPr="00307702" w:rsidRDefault="003B5BCC" w:rsidP="00C60314">
      <w:pPr>
        <w:pStyle w:val="FootnoteText"/>
        <w:tabs>
          <w:tab w:val="clear" w:pos="425"/>
          <w:tab w:val="left" w:pos="567"/>
        </w:tabs>
        <w:ind w:left="567" w:hanging="567"/>
      </w:pPr>
      <w:r w:rsidRPr="008A0495">
        <w:footnoteRef/>
      </w:r>
      <w:r w:rsidRPr="000F541F">
        <w:tab/>
      </w:r>
      <w:r w:rsidRPr="008A0495">
        <w:t>Specialist services predominantly cover physician consultations</w:t>
      </w:r>
      <w:r w:rsidRPr="000F541F">
        <w:t>.</w:t>
      </w:r>
      <w:r w:rsidRPr="000A7084">
        <w:t xml:space="preserve">  These do not overlap with specialist surgeries and treatments.</w:t>
      </w:r>
    </w:p>
  </w:footnote>
  <w:footnote w:id="24">
    <w:p w:rsidR="003B5BCC" w:rsidRPr="00272AC0" w:rsidRDefault="003B5BCC" w:rsidP="00C60314">
      <w:pPr>
        <w:pStyle w:val="FootnoteText"/>
        <w:tabs>
          <w:tab w:val="clear" w:pos="425"/>
          <w:tab w:val="left" w:pos="567"/>
        </w:tabs>
        <w:ind w:left="567" w:hanging="567"/>
      </w:pPr>
      <w:r w:rsidRPr="000467F6">
        <w:footnoteRef/>
      </w:r>
      <w:r>
        <w:tab/>
        <w:t>The Greatest Permissible Gap (GPG), introduced in 1973, predates the Original Medicare Safety Net.  The GPG requires the difference between the MBS fee for an item and the 85 per cent Medicare benefit must not be greater than a specified amount (</w:t>
      </w:r>
      <w:proofErr w:type="spellStart"/>
      <w:r>
        <w:t>eg</w:t>
      </w:r>
      <w:proofErr w:type="spellEnd"/>
      <w:r>
        <w:t xml:space="preserve"> $78.40 in 2015).</w:t>
      </w:r>
    </w:p>
  </w:footnote>
  <w:footnote w:id="25">
    <w:p w:rsidR="003B5BCC" w:rsidRPr="0018523A" w:rsidRDefault="003B5BCC" w:rsidP="00C60314">
      <w:pPr>
        <w:pStyle w:val="FootnoteText"/>
        <w:tabs>
          <w:tab w:val="clear" w:pos="425"/>
          <w:tab w:val="left" w:pos="567"/>
        </w:tabs>
        <w:ind w:left="567" w:hanging="567"/>
      </w:pPr>
      <w:r w:rsidRPr="008A0495">
        <w:footnoteRef/>
      </w:r>
      <w:r>
        <w:tab/>
        <w:t>Also includes the GPG.</w:t>
      </w:r>
    </w:p>
  </w:footnote>
  <w:footnote w:id="26">
    <w:p w:rsidR="003B5BCC" w:rsidRDefault="003B5BCC" w:rsidP="00C60314">
      <w:pPr>
        <w:pStyle w:val="FootnoteText"/>
        <w:tabs>
          <w:tab w:val="clear" w:pos="425"/>
        </w:tabs>
        <w:ind w:left="567" w:hanging="567"/>
      </w:pPr>
      <w:r w:rsidRPr="007917EE">
        <w:footnoteRef/>
      </w:r>
      <w:r>
        <w:tab/>
        <w:t>There is no service count for bulk billing as it is not an MBS item itself.  This category is projected using trends in GP attendances, as most bulk billing is associated with GP attendances.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Default="003B5BCC">
    <w:pPr>
      <w:pStyle w:val="Header"/>
    </w:pPr>
    <w:r>
      <w:rPr>
        <w:noProof/>
        <w:lang w:eastAsia="en-AU"/>
      </w:rPr>
      <mc:AlternateContent>
        <mc:Choice Requires="wps">
          <w:drawing>
            <wp:anchor distT="0" distB="0" distL="114300" distR="114300" simplePos="0" relativeHeight="251663360" behindDoc="1" locked="1" layoutInCell="1" allowOverlap="1" wp14:anchorId="596B7B95" wp14:editId="0B70F3D4">
              <wp:simplePos x="0" y="0"/>
              <wp:positionH relativeFrom="page">
                <wp:align>center</wp:align>
              </wp:positionH>
              <wp:positionV relativeFrom="page">
                <wp:align>center</wp:align>
              </wp:positionV>
              <wp:extent cx="7560000" cy="1796400"/>
              <wp:effectExtent l="0" t="0" r="0" b="0"/>
              <wp:wrapNone/>
              <wp:docPr id="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BCC" w:rsidRPr="0001226A" w:rsidRDefault="003B5BCC"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33" type="#_x0000_t202" style="position:absolute;margin-left:0;margin-top:0;width:595.3pt;height:141.45pt;z-index:-2516531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IOtgIAALw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" filled="f" stroked="f">
              <v:textbox>
                <w:txbxContent>
                  <w:p w:rsidR="003B5BCC" w:rsidRPr="0001226A" w:rsidRDefault="003B5BCC" w:rsidP="00F45442">
                    <w:pPr>
                      <w:pStyle w:val="xStatus"/>
                      <w:rPr>
                        <w:szCs w:val="120"/>
                      </w:rPr>
                    </w:pPr>
                  </w:p>
                </w:txbxContent>
              </v:textbox>
              <w10:wrap anchorx="page" anchory="page"/>
              <w10:anchorlock/>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Default="003B5BCC" w:rsidP="000A2552">
    <w:pPr>
      <w:pStyle w:val="Header"/>
      <w:jc w:val="cent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Default="003B5BCC" w:rsidP="000A2552">
    <w:pPr>
      <w:pStyle w:val="Header"/>
      <w:jc w:val="cent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Default="003B5BCC">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Default="003B5BCC" w:rsidP="00A660B0">
    <w:pPr>
      <w:pStyle w:val="Header"/>
    </w:pPr>
  </w:p>
  <w:p w:rsidR="003B5BCC" w:rsidRPr="00A660B0" w:rsidRDefault="003B5BCC" w:rsidP="00A660B0">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Default="003B5BCC" w:rsidP="00A660B0">
    <w:pPr>
      <w:pStyle w:val="Header"/>
    </w:pPr>
    <w:r>
      <w:rPr>
        <w:noProof/>
        <w:lang w:eastAsia="en-AU"/>
      </w:rPr>
      <mc:AlternateContent>
        <mc:Choice Requires="wps">
          <w:drawing>
            <wp:anchor distT="0" distB="0" distL="114300" distR="114300" simplePos="0" relativeHeight="251693056" behindDoc="1" locked="1" layoutInCell="1" allowOverlap="1" wp14:anchorId="1A48DB99" wp14:editId="781D36E0">
              <wp:simplePos x="0" y="0"/>
              <wp:positionH relativeFrom="page">
                <wp:align>center</wp:align>
              </wp:positionH>
              <wp:positionV relativeFrom="page">
                <wp:align>center</wp:align>
              </wp:positionV>
              <wp:extent cx="7560000" cy="1796400"/>
              <wp:effectExtent l="0" t="0" r="0" b="0"/>
              <wp:wrapNone/>
              <wp:docPr id="11"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BCC" w:rsidRPr="0001226A" w:rsidRDefault="003B5BCC" w:rsidP="00A660B0">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Pr>
                              <w:szCs w:val="120"/>
                            </w:rPr>
                            <w:t>DRAFT</w: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0;margin-top:0;width:595.3pt;height:141.45pt;z-index:-2516234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FOVugIAAMQ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O80U5W6AgAA&#10;xAUAAA4AAAAAAAAAAAAAAAAALgIAAGRycy9lMm9Eb2MueG1sUEsBAi0AFAAGAAgAAAAhADTFRM7b&#10;AAAABgEAAA8AAAAAAAAAAAAAAAAAFAUAAGRycy9kb3ducmV2LnhtbFBLBQYAAAAABAAEAPMAAAAc&#10;BgAAAAA=&#10;" filled="f" stroked="f">
              <v:textbox>
                <w:txbxContent>
                  <w:p w:rsidR="003B5BCC" w:rsidRPr="0001226A" w:rsidRDefault="003B5BCC" w:rsidP="00A660B0">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Pr>
                        <w:szCs w:val="120"/>
                      </w:rPr>
                      <w:t>DRAFT</w:t>
                    </w:r>
                    <w:r w:rsidRPr="0001226A">
                      <w:rPr>
                        <w:szCs w:val="120"/>
                      </w:rPr>
                      <w:fldChar w:fldCharType="end"/>
                    </w:r>
                  </w:p>
                </w:txbxContent>
              </v:textbox>
              <w10:wrap anchorx="page" anchory="page"/>
              <w10:anchorlock/>
            </v:shape>
          </w:pict>
        </mc:Fallback>
      </mc:AlternateContent>
    </w:r>
  </w:p>
  <w:p w:rsidR="003B5BCC" w:rsidRPr="00A660B0" w:rsidRDefault="003B5BCC" w:rsidP="00A660B0">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Default="003B5BCC">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Default="003B5BCC">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Default="003B5BCC">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Default="003B5BCC">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Default="003B5B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Default="003B5BCC">
    <w:pPr>
      <w:pStyle w:val="Header"/>
    </w:pPr>
    <w:r>
      <w:rPr>
        <w:noProof/>
        <w:lang w:eastAsia="en-AU"/>
      </w:rPr>
      <mc:AlternateContent>
        <mc:Choice Requires="wps">
          <w:drawing>
            <wp:anchor distT="0" distB="0" distL="114300" distR="114300" simplePos="0" relativeHeight="251665408" behindDoc="1" locked="1" layoutInCell="1" allowOverlap="1" wp14:anchorId="0746B754" wp14:editId="3EF3C48B">
              <wp:simplePos x="0" y="0"/>
              <wp:positionH relativeFrom="page">
                <wp:align>center</wp:align>
              </wp:positionH>
              <wp:positionV relativeFrom="page">
                <wp:align>center</wp:align>
              </wp:positionV>
              <wp:extent cx="7560000" cy="1796400"/>
              <wp:effectExtent l="0" t="0" r="0" b="0"/>
              <wp:wrapNone/>
              <wp:docPr id="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BCC" w:rsidRPr="0001226A" w:rsidRDefault="003B5BCC"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0;margin-top:0;width:595.3pt;height:141.45pt;z-index:-25165107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IeAB0W6AgAA&#10;wwUAAA4AAAAAAAAAAAAAAAAALgIAAGRycy9lMm9Eb2MueG1sUEsBAi0AFAAGAAgAAAAhADTFRM7b&#10;AAAABgEAAA8AAAAAAAAAAAAAAAAAFAUAAGRycy9kb3ducmV2LnhtbFBLBQYAAAAABAAEAPMAAAAc&#10;BgAAAAA=&#10;" filled="f" stroked="f">
              <v:textbox>
                <w:txbxContent>
                  <w:p w:rsidR="003B5BCC" w:rsidRPr="0001226A" w:rsidRDefault="003B5BCC" w:rsidP="00F45442">
                    <w:pPr>
                      <w:pStyle w:val="xStatus"/>
                      <w:rPr>
                        <w:szCs w:val="120"/>
                      </w:rPr>
                    </w:pPr>
                  </w:p>
                </w:txbxContent>
              </v:textbox>
              <w10:wrap anchorx="page" anchory="page"/>
              <w10:anchorlock/>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Default="003B5BCC">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Default="003B5BCC">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Default="003B5BCC">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Default="003B5BCC">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Default="003B5BCC">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Default="003B5BCC">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Default="003B5BCC">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Default="003B5BCC" w:rsidP="006A55D4">
    <w:pPr>
      <w:pStyle w:val="Header"/>
    </w:pPr>
    <w:r>
      <w:rPr>
        <w:noProof/>
        <w:lang w:eastAsia="en-AU"/>
      </w:rPr>
      <mc:AlternateContent>
        <mc:Choice Requires="wps">
          <w:drawing>
            <wp:anchor distT="0" distB="0" distL="114300" distR="114300" simplePos="0" relativeHeight="251707392" behindDoc="1" locked="1" layoutInCell="1" allowOverlap="1" wp14:anchorId="5834B570" wp14:editId="7921683E">
              <wp:simplePos x="0" y="0"/>
              <wp:positionH relativeFrom="page">
                <wp:align>center</wp:align>
              </wp:positionH>
              <wp:positionV relativeFrom="page">
                <wp:align>center</wp:align>
              </wp:positionV>
              <wp:extent cx="7560000" cy="1796400"/>
              <wp:effectExtent l="0" t="0" r="0" b="0"/>
              <wp:wrapNone/>
              <wp:docPr id="19"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BCC" w:rsidRPr="0001226A" w:rsidRDefault="003B5BCC" w:rsidP="006A55D4">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Pr>
                              <w:szCs w:val="120"/>
                            </w:rPr>
                            <w:t>DRAFT</w: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0;margin-top:0;width:595.3pt;height:141.45pt;z-index:-25160908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DlE/aS6AgAA&#10;xAUAAA4AAAAAAAAAAAAAAAAALgIAAGRycy9lMm9Eb2MueG1sUEsBAi0AFAAGAAgAAAAhADTFRM7b&#10;AAAABgEAAA8AAAAAAAAAAAAAAAAAFAUAAGRycy9kb3ducmV2LnhtbFBLBQYAAAAABAAEAPMAAAAc&#10;BgAAAAA=&#10;" filled="f" stroked="f">
              <v:textbox>
                <w:txbxContent>
                  <w:p w:rsidR="003B5BCC" w:rsidRPr="0001226A" w:rsidRDefault="003B5BCC" w:rsidP="006A55D4">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Pr>
                        <w:szCs w:val="120"/>
                      </w:rPr>
                      <w:t>DRAFT</w:t>
                    </w:r>
                    <w:r w:rsidRPr="0001226A">
                      <w:rPr>
                        <w:szCs w:val="120"/>
                      </w:rPr>
                      <w:fldChar w:fldCharType="end"/>
                    </w:r>
                  </w:p>
                </w:txbxContent>
              </v:textbox>
              <w10:wrap anchorx="page" anchory="page"/>
              <w10:anchorlock/>
            </v:shape>
          </w:pict>
        </mc:Fallback>
      </mc:AlternateContent>
    </w:r>
  </w:p>
  <w:p w:rsidR="003B5BCC" w:rsidRPr="006A55D4" w:rsidRDefault="003B5BCC" w:rsidP="006A55D4">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Default="003B5BCC" w:rsidP="006A55D4">
    <w:pPr>
      <w:pStyle w:val="Header"/>
    </w:pPr>
  </w:p>
  <w:p w:rsidR="003B5BCC" w:rsidRPr="006A55D4" w:rsidRDefault="003B5BCC" w:rsidP="006A55D4">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Default="003B5BCC" w:rsidP="00232965">
    <w:pPr>
      <w:pStyle w:val="Header"/>
    </w:pPr>
  </w:p>
  <w:p w:rsidR="003B5BCC" w:rsidRPr="00232965" w:rsidRDefault="003B5BCC" w:rsidP="002329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Pr="000A2552" w:rsidRDefault="003B5BCC" w:rsidP="00AA6FE2">
    <w:pPr>
      <w:pStyle w:val="Header"/>
      <w:rPr>
        <w:b/>
        <w:sz w:val="28"/>
        <w:szCs w:val="28"/>
      </w:rPr>
    </w:pPr>
    <w:r w:rsidRPr="000A2552">
      <w:rPr>
        <w:b/>
        <w:noProof/>
        <w:sz w:val="28"/>
        <w:szCs w:val="28"/>
        <w:lang w:eastAsia="en-AU"/>
      </w:rPr>
      <w:drawing>
        <wp:anchor distT="0" distB="0" distL="114300" distR="114300" simplePos="0" relativeHeight="251674624" behindDoc="1" locked="0" layoutInCell="1" allowOverlap="1" wp14:anchorId="28C7D6B9" wp14:editId="158542F6">
          <wp:simplePos x="0" y="0"/>
          <wp:positionH relativeFrom="page">
            <wp:posOffset>0</wp:posOffset>
          </wp:positionH>
          <wp:positionV relativeFrom="page">
            <wp:posOffset>78740</wp:posOffset>
          </wp:positionV>
          <wp:extent cx="7563144" cy="10614356"/>
          <wp:effectExtent l="0" t="0" r="0" b="0"/>
          <wp:wrapNone/>
          <wp:docPr id="7" name="Picture 7"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144" cy="10614356"/>
                  </a:xfrm>
                  <a:prstGeom prst="rect">
                    <a:avLst/>
                  </a:prstGeom>
                </pic:spPr>
              </pic:pic>
            </a:graphicData>
          </a:graphic>
          <wp14:sizeRelH relativeFrom="page">
            <wp14:pctWidth>0</wp14:pctWidth>
          </wp14:sizeRelH>
          <wp14:sizeRelV relativeFrom="page">
            <wp14:pctHeight>0</wp14:pctHeight>
          </wp14:sizeRelV>
        </wp:anchor>
      </w:drawing>
    </w:r>
    <w:r w:rsidRPr="000A2552">
      <w:rPr>
        <w:b/>
        <w:noProof/>
        <w:sz w:val="28"/>
        <w:szCs w:val="28"/>
        <w:lang w:eastAsia="en-AU"/>
      </w:rPr>
      <mc:AlternateContent>
        <mc:Choice Requires="wps">
          <w:drawing>
            <wp:anchor distT="0" distB="0" distL="114300" distR="114300" simplePos="0" relativeHeight="251661312" behindDoc="1" locked="1" layoutInCell="1" allowOverlap="1" wp14:anchorId="3466A358" wp14:editId="609547D9">
              <wp:simplePos x="0" y="0"/>
              <wp:positionH relativeFrom="page">
                <wp:align>center</wp:align>
              </wp:positionH>
              <wp:positionV relativeFrom="page">
                <wp:align>center</wp:align>
              </wp:positionV>
              <wp:extent cx="7560000" cy="1796400"/>
              <wp:effectExtent l="0" t="0" r="0" b="0"/>
              <wp:wrapNone/>
              <wp:docPr id="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BCC" w:rsidRPr="0001226A" w:rsidRDefault="003B5BCC"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0;margin-top:0;width:595.3pt;height:141.45pt;z-index:-2516551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Gtyw5K6AgAA&#10;wwUAAA4AAAAAAAAAAAAAAAAALgIAAGRycy9lMm9Eb2MueG1sUEsBAi0AFAAGAAgAAAAhADTFRM7b&#10;AAAABgEAAA8AAAAAAAAAAAAAAAAAFAUAAGRycy9kb3ducmV2LnhtbFBLBQYAAAAABAAEAPMAAAAc&#10;BgAAAAA=&#10;" filled="f" stroked="f">
              <v:textbox>
                <w:txbxContent>
                  <w:p w:rsidR="003B5BCC" w:rsidRPr="0001226A" w:rsidRDefault="003B5BCC" w:rsidP="00F45442">
                    <w:pPr>
                      <w:pStyle w:val="xStatus"/>
                      <w:rPr>
                        <w:szCs w:val="120"/>
                      </w:rPr>
                    </w:pPr>
                  </w:p>
                </w:txbxContent>
              </v:textbox>
              <w10:wrap anchorx="page" anchory="page"/>
              <w10:anchorlock/>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Default="003B5BCC" w:rsidP="00232965">
    <w:pPr>
      <w:pStyle w:val="Header"/>
    </w:pPr>
    <w:r>
      <w:rPr>
        <w:noProof/>
        <w:lang w:eastAsia="en-AU"/>
      </w:rPr>
      <mc:AlternateContent>
        <mc:Choice Requires="wps">
          <w:drawing>
            <wp:anchor distT="0" distB="0" distL="114300" distR="114300" simplePos="0" relativeHeight="251701248" behindDoc="1" locked="1" layoutInCell="1" allowOverlap="1" wp14:anchorId="4EA2E5B1" wp14:editId="5A528586">
              <wp:simplePos x="0" y="0"/>
              <wp:positionH relativeFrom="page">
                <wp:align>center</wp:align>
              </wp:positionH>
              <wp:positionV relativeFrom="page">
                <wp:align>center</wp:align>
              </wp:positionV>
              <wp:extent cx="7560000" cy="1796400"/>
              <wp:effectExtent l="0" t="0" r="0" b="0"/>
              <wp:wrapNone/>
              <wp:docPr id="2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BCC" w:rsidRPr="0001226A" w:rsidRDefault="003B5BCC" w:rsidP="00232965">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Pr>
                              <w:szCs w:val="120"/>
                            </w:rPr>
                            <w:t>DRAFT</w: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0;margin-top:0;width:595.3pt;height:141.45pt;z-index:-25161523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" filled="f" stroked="f">
              <v:textbox>
                <w:txbxContent>
                  <w:p w:rsidR="003B5BCC" w:rsidRPr="0001226A" w:rsidRDefault="003B5BCC" w:rsidP="00232965">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Pr>
                        <w:szCs w:val="120"/>
                      </w:rPr>
                      <w:t>DRAFT</w:t>
                    </w:r>
                    <w:r w:rsidRPr="0001226A">
                      <w:rPr>
                        <w:szCs w:val="120"/>
                      </w:rPr>
                      <w:fldChar w:fldCharType="end"/>
                    </w:r>
                  </w:p>
                </w:txbxContent>
              </v:textbox>
              <w10:wrap anchorx="page" anchory="page"/>
              <w10:anchorlock/>
            </v:shape>
          </w:pict>
        </mc:Fallback>
      </mc:AlternateContent>
    </w:r>
  </w:p>
  <w:p w:rsidR="003B5BCC" w:rsidRPr="00232965" w:rsidRDefault="003B5BCC" w:rsidP="0023296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Default="003B5BCC" w:rsidP="000A2552">
    <w:pPr>
      <w:pStyle w:val="Header"/>
      <w:jc w:val="center"/>
    </w:pPr>
    <w:r>
      <w:rPr>
        <w:noProof/>
        <w:lang w:eastAsia="en-AU"/>
      </w:rPr>
      <mc:AlternateContent>
        <mc:Choice Requires="wps">
          <w:drawing>
            <wp:anchor distT="0" distB="0" distL="114300" distR="114300" simplePos="0" relativeHeight="251667456" behindDoc="1" locked="1" layoutInCell="1" allowOverlap="1" wp14:anchorId="522DAA4D" wp14:editId="3CEB2CA1">
              <wp:simplePos x="0" y="0"/>
              <wp:positionH relativeFrom="page">
                <wp:align>center</wp:align>
              </wp:positionH>
              <wp:positionV relativeFrom="page">
                <wp:align>center</wp:align>
              </wp:positionV>
              <wp:extent cx="7560000" cy="1796400"/>
              <wp:effectExtent l="0" t="0" r="0" b="0"/>
              <wp:wrapNone/>
              <wp:docPr id="4"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BCC" w:rsidRPr="0001226A" w:rsidRDefault="003B5BCC"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left:0;text-align:left;margin-left:0;margin-top:0;width:595.3pt;height:141.45pt;z-index:-2516490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CbXotK6AgAA&#10;wwUAAA4AAAAAAAAAAAAAAAAALgIAAGRycy9lMm9Eb2MueG1sUEsBAi0AFAAGAAgAAAAhADTFRM7b&#10;AAAABgEAAA8AAAAAAAAAAAAAAAAAFAUAAGRycy9kb3ducmV2LnhtbFBLBQYAAAAABAAEAPMAAAAc&#10;BgAAAAA=&#10;" filled="f" stroked="f">
              <v:textbox>
                <w:txbxContent>
                  <w:p w:rsidR="003B5BCC" w:rsidRPr="0001226A" w:rsidRDefault="003B5BCC" w:rsidP="00F45442">
                    <w:pPr>
                      <w:pStyle w:val="xStatus"/>
                      <w:rPr>
                        <w:szCs w:val="120"/>
                      </w:rPr>
                    </w:pPr>
                  </w:p>
                </w:txbxContent>
              </v:textbox>
              <w10:wrap anchorx="page" anchory="page"/>
              <w10:anchorlock/>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Default="003B5BCC">
    <w:pPr>
      <w:pStyle w:val="Header"/>
    </w:pPr>
    <w:r>
      <w:rPr>
        <w:noProof/>
        <w:lang w:eastAsia="en-AU"/>
      </w:rPr>
      <mc:AlternateContent>
        <mc:Choice Requires="wps">
          <w:drawing>
            <wp:anchor distT="0" distB="0" distL="114300" distR="114300" simplePos="0" relativeHeight="251669504" behindDoc="1" locked="1" layoutInCell="1" allowOverlap="1" wp14:anchorId="251C0278" wp14:editId="3E97713D">
              <wp:simplePos x="0" y="0"/>
              <wp:positionH relativeFrom="page">
                <wp:align>center</wp:align>
              </wp:positionH>
              <wp:positionV relativeFrom="page">
                <wp:align>center</wp:align>
              </wp:positionV>
              <wp:extent cx="7560000" cy="1796400"/>
              <wp:effectExtent l="0" t="0" r="0" b="0"/>
              <wp:wrapNone/>
              <wp:docPr id="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BCC" w:rsidRPr="0001226A" w:rsidRDefault="003B5BCC"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0;margin-top:0;width:595.3pt;height:141.45pt;z-index:-2516469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mCugIAAMM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FPCCYK6AgAA&#10;wwUAAA4AAAAAAAAAAAAAAAAALgIAAGRycy9lMm9Eb2MueG1sUEsBAi0AFAAGAAgAAAAhADTFRM7b&#10;AAAABgEAAA8AAAAAAAAAAAAAAAAAFAUAAGRycy9kb3ducmV2LnhtbFBLBQYAAAAABAAEAPMAAAAc&#10;BgAAAAA=&#10;" filled="f" stroked="f">
              <v:textbox>
                <w:txbxContent>
                  <w:p w:rsidR="003B5BCC" w:rsidRPr="0001226A" w:rsidRDefault="003B5BCC" w:rsidP="00F45442">
                    <w:pPr>
                      <w:pStyle w:val="xStatus"/>
                      <w:rPr>
                        <w:szCs w:val="120"/>
                      </w:rPr>
                    </w:pPr>
                  </w:p>
                </w:txbxContent>
              </v:textbox>
              <w10:wrap anchorx="page" anchory="page"/>
              <w10:anchorlock/>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Default="003B5BC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Pr="00826CC3" w:rsidRDefault="003B5BCC" w:rsidP="000A2552">
    <w:pPr>
      <w:pStyle w:val="Header"/>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Default="003B5BCC" w:rsidP="000A2552">
    <w:pPr>
      <w:pStyle w:val="Header"/>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CC" w:rsidRDefault="003B5B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37FE"/>
    <w:multiLevelType w:val="multilevel"/>
    <w:tmpl w:val="D1A2BED4"/>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
    <w:nsid w:val="0D745448"/>
    <w:multiLevelType w:val="multilevel"/>
    <w:tmpl w:val="9524FD68"/>
    <w:name w:val="PBOHeadings"/>
    <w:lvl w:ilvl="0">
      <w:start w:val="1"/>
      <w:numFmt w:val="decimal"/>
      <w:lvlRestart w:val="0"/>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2">
    <w:nsid w:val="0FB2573F"/>
    <w:multiLevelType w:val="multilevel"/>
    <w:tmpl w:val="C4600F0E"/>
    <w:name w:val="TableFootnotes"/>
    <w:lvl w:ilvl="0">
      <w:start w:val="1"/>
      <w:numFmt w:val="decimal"/>
      <w:lvlText w:val="%1"/>
      <w:lvlJc w:val="left"/>
      <w:pPr>
        <w:ind w:left="227" w:hanging="227"/>
      </w:pPr>
      <w:rPr>
        <w:rFonts w:hint="default"/>
        <w:color w:val="788184" w:themeColor="background2"/>
        <w:spacing w:val="0"/>
        <w:sz w:val="20"/>
        <w:vertAlign w:val="superscript"/>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3">
    <w:nsid w:val="109B3D51"/>
    <w:multiLevelType w:val="multilevel"/>
    <w:tmpl w:val="F3CC8F8A"/>
    <w:name w:val="PBOHeadings2"/>
    <w:lvl w:ilvl="0">
      <w:start w:val="1"/>
      <w:numFmt w:val="decimal"/>
      <w:lvlRestart w:val="0"/>
      <w:pStyle w:val="Heading1"/>
      <w:lvlText w:val="%1"/>
      <w:lvlJc w:val="left"/>
      <w:pPr>
        <w:tabs>
          <w:tab w:val="num" w:pos="765"/>
        </w:tabs>
        <w:ind w:left="765" w:hanging="765"/>
      </w:pPr>
      <w:rPr>
        <w:rFonts w:hint="default"/>
      </w:rPr>
    </w:lvl>
    <w:lvl w:ilvl="1">
      <w:start w:val="1"/>
      <w:numFmt w:val="decimal"/>
      <w:pStyle w:val="Heading2"/>
      <w:lvlText w:val="%1.%2"/>
      <w:lvlJc w:val="left"/>
      <w:pPr>
        <w:tabs>
          <w:tab w:val="num" w:pos="765"/>
        </w:tabs>
        <w:ind w:left="765" w:hanging="765"/>
      </w:pPr>
      <w:rPr>
        <w:rFonts w:hint="default"/>
      </w:rPr>
    </w:lvl>
    <w:lvl w:ilvl="2">
      <w:start w:val="1"/>
      <w:numFmt w:val="decimal"/>
      <w:pStyle w:val="Heading3"/>
      <w:lvlText w:val="%1.%2.%3"/>
      <w:lvlJc w:val="left"/>
      <w:pPr>
        <w:tabs>
          <w:tab w:val="num" w:pos="765"/>
        </w:tabs>
        <w:ind w:left="765" w:hanging="765"/>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4">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5">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nsid w:val="335E6CEB"/>
    <w:multiLevelType w:val="hybridMultilevel"/>
    <w:tmpl w:val="05DC0340"/>
    <w:lvl w:ilvl="0" w:tplc="8F94B626">
      <w:start w:val="1"/>
      <w:numFmt w:val="decimal"/>
      <w:pStyle w:val="PBOlist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nsid w:val="5D0540A9"/>
    <w:multiLevelType w:val="multilevel"/>
    <w:tmpl w:val="0748BA46"/>
    <w:name w:val="AppendicesNumbering"/>
    <w:lvl w:ilvl="0">
      <w:start w:val="1"/>
      <w:numFmt w:val="upperLetter"/>
      <w:lvlRestart w:val="0"/>
      <w:pStyle w:val="Heading8"/>
      <w:suff w:val="space"/>
      <w:lvlText w:val="Appendix %1"/>
      <w:lvlJc w:val="left"/>
      <w:pPr>
        <w:ind w:left="0" w:firstLine="0"/>
      </w:pPr>
      <w:rPr>
        <w:rFonts w:hint="default"/>
        <w:b w:val="0"/>
        <w:i w:val="0"/>
        <w:sz w:val="40"/>
      </w:rPr>
    </w:lvl>
    <w:lvl w:ilvl="1">
      <w:start w:val="1"/>
      <w:numFmt w:val="decimal"/>
      <w:pStyle w:val="Heading9"/>
      <w:lvlText w:val="%1%2."/>
      <w:lvlJc w:val="left"/>
      <w:pPr>
        <w:tabs>
          <w:tab w:val="num" w:pos="765"/>
        </w:tabs>
        <w:ind w:left="765" w:hanging="765"/>
      </w:pPr>
      <w:rPr>
        <w:rFonts w:hint="default"/>
        <w:sz w:val="26"/>
      </w:rPr>
    </w:lvl>
    <w:lvl w:ilvl="2">
      <w:start w:val="1"/>
      <w:numFmt w:val="decimal"/>
      <w:pStyle w:val="AppendixHeading2"/>
      <w:lvlText w:val="%1%2.%3"/>
      <w:lvlJc w:val="left"/>
      <w:pPr>
        <w:tabs>
          <w:tab w:val="num" w:pos="765"/>
        </w:tabs>
        <w:ind w:left="765" w:hanging="765"/>
      </w:pPr>
      <w:rPr>
        <w:rFonts w:hint="default"/>
      </w:rPr>
    </w:lvl>
    <w:lvl w:ilvl="3">
      <w:start w:val="1"/>
      <w:numFmt w:val="decimal"/>
      <w:pStyle w:val="AppendixHeading3"/>
      <w:lvlText w:val="%1%2.%3.%4"/>
      <w:lvlJc w:val="left"/>
      <w:pPr>
        <w:tabs>
          <w:tab w:val="num" w:pos="765"/>
        </w:tabs>
        <w:ind w:left="765" w:hanging="765"/>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9">
    <w:nsid w:val="68DA3198"/>
    <w:multiLevelType w:val="hybridMultilevel"/>
    <w:tmpl w:val="F3C2FB10"/>
    <w:lvl w:ilvl="0" w:tplc="437C4164">
      <w:start w:val="1"/>
      <w:numFmt w:val="decimal"/>
      <w:pStyle w:val="PBOtex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2">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8"/>
  </w:num>
  <w:num w:numId="2">
    <w:abstractNumId w:val="0"/>
  </w:num>
  <w:num w:numId="3">
    <w:abstractNumId w:val="12"/>
  </w:num>
  <w:num w:numId="4">
    <w:abstractNumId w:val="7"/>
  </w:num>
  <w:num w:numId="5">
    <w:abstractNumId w:val="5"/>
  </w:num>
  <w:num w:numId="6">
    <w:abstractNumId w:val="11"/>
  </w:num>
  <w:num w:numId="7">
    <w:abstractNumId w:val="4"/>
  </w:num>
  <w:num w:numId="8">
    <w:abstractNumId w:val="10"/>
  </w:num>
  <w:num w:numId="9">
    <w:abstractNumId w:val="9"/>
  </w:num>
  <w:num w:numId="10">
    <w:abstractNumId w:val="3"/>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attachedTemplate r:id="rId1"/>
  <w:defaultTabStop w:val="720"/>
  <w:evenAndOddHeaders/>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True"/>
    <w:docVar w:name="AppendixName" w:val="Appendix"/>
    <w:docVar w:name="Disclaimer" w:val="True"/>
    <w:docVar w:name="Foreword" w:val="True"/>
    <w:docVar w:name="Heading1Numbered" w:val="True"/>
    <w:docVar w:name="Heading2Numbered" w:val="True"/>
    <w:docVar w:name="Heading3Numbered" w:val="True"/>
    <w:docVar w:name="IsWordingOverview" w:val="True"/>
    <w:docVar w:name="NumberedBodyText" w:val="False"/>
    <w:docVar w:name="optHeading1OddPage" w:val="False"/>
    <w:docVar w:name="Overview" w:val="True"/>
    <w:docVar w:name="PageSetup" w:val="Double"/>
    <w:docVar w:name="RibbonLabel" w:val="Appendix"/>
    <w:docVar w:name="TOC" w:val="True"/>
    <w:docVar w:name="TOCNew" w:val="False"/>
    <w:docVar w:name="Version" w:val="Version 1"/>
  </w:docVars>
  <w:rsids>
    <w:rsidRoot w:val="00D312D4"/>
    <w:rsid w:val="00000468"/>
    <w:rsid w:val="00000A93"/>
    <w:rsid w:val="00000ABA"/>
    <w:rsid w:val="0000130F"/>
    <w:rsid w:val="00001A23"/>
    <w:rsid w:val="00001C7D"/>
    <w:rsid w:val="0000240D"/>
    <w:rsid w:val="0000322C"/>
    <w:rsid w:val="00003CC5"/>
    <w:rsid w:val="00003CDD"/>
    <w:rsid w:val="00004608"/>
    <w:rsid w:val="0000541E"/>
    <w:rsid w:val="00011CFA"/>
    <w:rsid w:val="00013B07"/>
    <w:rsid w:val="000145C5"/>
    <w:rsid w:val="00014DF2"/>
    <w:rsid w:val="00015F88"/>
    <w:rsid w:val="00016044"/>
    <w:rsid w:val="0001613E"/>
    <w:rsid w:val="0001657B"/>
    <w:rsid w:val="000168A7"/>
    <w:rsid w:val="00016D72"/>
    <w:rsid w:val="000226E8"/>
    <w:rsid w:val="00022EE3"/>
    <w:rsid w:val="00022FC0"/>
    <w:rsid w:val="00026871"/>
    <w:rsid w:val="000278D0"/>
    <w:rsid w:val="00027E62"/>
    <w:rsid w:val="00030104"/>
    <w:rsid w:val="000307C8"/>
    <w:rsid w:val="00030819"/>
    <w:rsid w:val="00030DE7"/>
    <w:rsid w:val="00030F73"/>
    <w:rsid w:val="000311FF"/>
    <w:rsid w:val="0003189A"/>
    <w:rsid w:val="00032D4E"/>
    <w:rsid w:val="00033A35"/>
    <w:rsid w:val="00034F3C"/>
    <w:rsid w:val="00035302"/>
    <w:rsid w:val="00035ADE"/>
    <w:rsid w:val="00036B83"/>
    <w:rsid w:val="00036E53"/>
    <w:rsid w:val="00040F1C"/>
    <w:rsid w:val="000410B1"/>
    <w:rsid w:val="0004224B"/>
    <w:rsid w:val="000438E2"/>
    <w:rsid w:val="000454FB"/>
    <w:rsid w:val="00045531"/>
    <w:rsid w:val="00046226"/>
    <w:rsid w:val="000467F6"/>
    <w:rsid w:val="000469E4"/>
    <w:rsid w:val="00047610"/>
    <w:rsid w:val="00051AB0"/>
    <w:rsid w:val="00051B95"/>
    <w:rsid w:val="00051C98"/>
    <w:rsid w:val="00052D79"/>
    <w:rsid w:val="0005330D"/>
    <w:rsid w:val="0005437B"/>
    <w:rsid w:val="0005443C"/>
    <w:rsid w:val="000552F3"/>
    <w:rsid w:val="000557A7"/>
    <w:rsid w:val="00055805"/>
    <w:rsid w:val="00056916"/>
    <w:rsid w:val="000569E9"/>
    <w:rsid w:val="00056CB3"/>
    <w:rsid w:val="0005792A"/>
    <w:rsid w:val="00057CAC"/>
    <w:rsid w:val="00060464"/>
    <w:rsid w:val="0006217C"/>
    <w:rsid w:val="0006237C"/>
    <w:rsid w:val="00063BE5"/>
    <w:rsid w:val="00065E31"/>
    <w:rsid w:val="00066A24"/>
    <w:rsid w:val="00067664"/>
    <w:rsid w:val="00067A28"/>
    <w:rsid w:val="00071857"/>
    <w:rsid w:val="0007260F"/>
    <w:rsid w:val="00072E16"/>
    <w:rsid w:val="000733ED"/>
    <w:rsid w:val="00074374"/>
    <w:rsid w:val="00074446"/>
    <w:rsid w:val="000744C9"/>
    <w:rsid w:val="0007462F"/>
    <w:rsid w:val="000746CC"/>
    <w:rsid w:val="000768FC"/>
    <w:rsid w:val="00077562"/>
    <w:rsid w:val="000805D5"/>
    <w:rsid w:val="0008103B"/>
    <w:rsid w:val="00081899"/>
    <w:rsid w:val="000826DC"/>
    <w:rsid w:val="000826F7"/>
    <w:rsid w:val="00082A4A"/>
    <w:rsid w:val="00083DFA"/>
    <w:rsid w:val="00084936"/>
    <w:rsid w:val="00085712"/>
    <w:rsid w:val="0008589D"/>
    <w:rsid w:val="00085B6E"/>
    <w:rsid w:val="00085B6F"/>
    <w:rsid w:val="00085F97"/>
    <w:rsid w:val="00086057"/>
    <w:rsid w:val="00086ADB"/>
    <w:rsid w:val="00086E84"/>
    <w:rsid w:val="00087B4F"/>
    <w:rsid w:val="00090567"/>
    <w:rsid w:val="00090F8F"/>
    <w:rsid w:val="000913F4"/>
    <w:rsid w:val="000918D3"/>
    <w:rsid w:val="000921D3"/>
    <w:rsid w:val="00092A33"/>
    <w:rsid w:val="00094450"/>
    <w:rsid w:val="0009497C"/>
    <w:rsid w:val="00094D14"/>
    <w:rsid w:val="0009708A"/>
    <w:rsid w:val="00097590"/>
    <w:rsid w:val="0009790F"/>
    <w:rsid w:val="000A07C3"/>
    <w:rsid w:val="000A12C8"/>
    <w:rsid w:val="000A142D"/>
    <w:rsid w:val="000A17C2"/>
    <w:rsid w:val="000A2552"/>
    <w:rsid w:val="000A286F"/>
    <w:rsid w:val="000A2FEC"/>
    <w:rsid w:val="000A30CE"/>
    <w:rsid w:val="000A348F"/>
    <w:rsid w:val="000A4508"/>
    <w:rsid w:val="000A4CAE"/>
    <w:rsid w:val="000A5B65"/>
    <w:rsid w:val="000A648A"/>
    <w:rsid w:val="000A7084"/>
    <w:rsid w:val="000A7A21"/>
    <w:rsid w:val="000A7E93"/>
    <w:rsid w:val="000B120C"/>
    <w:rsid w:val="000B178F"/>
    <w:rsid w:val="000B4119"/>
    <w:rsid w:val="000B5367"/>
    <w:rsid w:val="000B5579"/>
    <w:rsid w:val="000B5EEA"/>
    <w:rsid w:val="000B6942"/>
    <w:rsid w:val="000C09FA"/>
    <w:rsid w:val="000C11A8"/>
    <w:rsid w:val="000C24C8"/>
    <w:rsid w:val="000C37A9"/>
    <w:rsid w:val="000C4FAF"/>
    <w:rsid w:val="000C6728"/>
    <w:rsid w:val="000C6E86"/>
    <w:rsid w:val="000C702E"/>
    <w:rsid w:val="000C7B8B"/>
    <w:rsid w:val="000D1039"/>
    <w:rsid w:val="000D15E9"/>
    <w:rsid w:val="000D1B15"/>
    <w:rsid w:val="000D21B7"/>
    <w:rsid w:val="000D3182"/>
    <w:rsid w:val="000D37D9"/>
    <w:rsid w:val="000D45C4"/>
    <w:rsid w:val="000D5707"/>
    <w:rsid w:val="000D596C"/>
    <w:rsid w:val="000D65F1"/>
    <w:rsid w:val="000E10E6"/>
    <w:rsid w:val="000E168D"/>
    <w:rsid w:val="000E18F3"/>
    <w:rsid w:val="000E266E"/>
    <w:rsid w:val="000E2D07"/>
    <w:rsid w:val="000E4ADD"/>
    <w:rsid w:val="000E564B"/>
    <w:rsid w:val="000E6D8B"/>
    <w:rsid w:val="000E7A36"/>
    <w:rsid w:val="000F1515"/>
    <w:rsid w:val="000F16B5"/>
    <w:rsid w:val="000F2240"/>
    <w:rsid w:val="000F2963"/>
    <w:rsid w:val="000F2C6E"/>
    <w:rsid w:val="000F2CDE"/>
    <w:rsid w:val="000F3630"/>
    <w:rsid w:val="000F41BA"/>
    <w:rsid w:val="000F541F"/>
    <w:rsid w:val="000F616E"/>
    <w:rsid w:val="000F6672"/>
    <w:rsid w:val="00100482"/>
    <w:rsid w:val="0010375B"/>
    <w:rsid w:val="00104D15"/>
    <w:rsid w:val="0010525D"/>
    <w:rsid w:val="00105BEA"/>
    <w:rsid w:val="0011097C"/>
    <w:rsid w:val="00110C35"/>
    <w:rsid w:val="00110D43"/>
    <w:rsid w:val="00113C51"/>
    <w:rsid w:val="00114C27"/>
    <w:rsid w:val="001159EA"/>
    <w:rsid w:val="001160D8"/>
    <w:rsid w:val="001229BC"/>
    <w:rsid w:val="001234D9"/>
    <w:rsid w:val="001235DF"/>
    <w:rsid w:val="00123623"/>
    <w:rsid w:val="00123773"/>
    <w:rsid w:val="00123B8D"/>
    <w:rsid w:val="00123F81"/>
    <w:rsid w:val="00123FFE"/>
    <w:rsid w:val="00125243"/>
    <w:rsid w:val="00125410"/>
    <w:rsid w:val="00125550"/>
    <w:rsid w:val="00125F89"/>
    <w:rsid w:val="00126796"/>
    <w:rsid w:val="00126CB9"/>
    <w:rsid w:val="00127C73"/>
    <w:rsid w:val="00127D03"/>
    <w:rsid w:val="00130858"/>
    <w:rsid w:val="00130AF5"/>
    <w:rsid w:val="001313AD"/>
    <w:rsid w:val="00131632"/>
    <w:rsid w:val="0013252B"/>
    <w:rsid w:val="00132AA0"/>
    <w:rsid w:val="00132CEA"/>
    <w:rsid w:val="00133E62"/>
    <w:rsid w:val="00133EE0"/>
    <w:rsid w:val="00134EF7"/>
    <w:rsid w:val="001360ED"/>
    <w:rsid w:val="00136C26"/>
    <w:rsid w:val="00136CE4"/>
    <w:rsid w:val="0014059F"/>
    <w:rsid w:val="00140FA2"/>
    <w:rsid w:val="00141551"/>
    <w:rsid w:val="0014177B"/>
    <w:rsid w:val="001417CE"/>
    <w:rsid w:val="00142C03"/>
    <w:rsid w:val="0014309B"/>
    <w:rsid w:val="00144021"/>
    <w:rsid w:val="0014479F"/>
    <w:rsid w:val="001447D8"/>
    <w:rsid w:val="00145054"/>
    <w:rsid w:val="00147E95"/>
    <w:rsid w:val="001512BC"/>
    <w:rsid w:val="00151DF3"/>
    <w:rsid w:val="0015266F"/>
    <w:rsid w:val="00152756"/>
    <w:rsid w:val="001530C8"/>
    <w:rsid w:val="00154DC5"/>
    <w:rsid w:val="00160C8D"/>
    <w:rsid w:val="001616D4"/>
    <w:rsid w:val="001629C0"/>
    <w:rsid w:val="001636F3"/>
    <w:rsid w:val="00164799"/>
    <w:rsid w:val="00164F86"/>
    <w:rsid w:val="00165122"/>
    <w:rsid w:val="00165854"/>
    <w:rsid w:val="00165BED"/>
    <w:rsid w:val="001664CC"/>
    <w:rsid w:val="001671AC"/>
    <w:rsid w:val="00167634"/>
    <w:rsid w:val="001678CA"/>
    <w:rsid w:val="00167D80"/>
    <w:rsid w:val="0017067E"/>
    <w:rsid w:val="001710A3"/>
    <w:rsid w:val="0017158D"/>
    <w:rsid w:val="00173DFD"/>
    <w:rsid w:val="00173E4F"/>
    <w:rsid w:val="001744D4"/>
    <w:rsid w:val="0017459F"/>
    <w:rsid w:val="001751D4"/>
    <w:rsid w:val="00175BE9"/>
    <w:rsid w:val="00176ED4"/>
    <w:rsid w:val="001773A6"/>
    <w:rsid w:val="00177A3E"/>
    <w:rsid w:val="00180FF9"/>
    <w:rsid w:val="00181A05"/>
    <w:rsid w:val="00184856"/>
    <w:rsid w:val="0018522A"/>
    <w:rsid w:val="0018523A"/>
    <w:rsid w:val="00185EEC"/>
    <w:rsid w:val="00186493"/>
    <w:rsid w:val="00190766"/>
    <w:rsid w:val="00190A11"/>
    <w:rsid w:val="00191851"/>
    <w:rsid w:val="00193420"/>
    <w:rsid w:val="00193B4B"/>
    <w:rsid w:val="00193F9F"/>
    <w:rsid w:val="00195228"/>
    <w:rsid w:val="001953E7"/>
    <w:rsid w:val="00195696"/>
    <w:rsid w:val="0019603B"/>
    <w:rsid w:val="00196532"/>
    <w:rsid w:val="00196715"/>
    <w:rsid w:val="00197345"/>
    <w:rsid w:val="001A1D75"/>
    <w:rsid w:val="001A1ECA"/>
    <w:rsid w:val="001A1EFC"/>
    <w:rsid w:val="001A2DA0"/>
    <w:rsid w:val="001A48EF"/>
    <w:rsid w:val="001A49CC"/>
    <w:rsid w:val="001A4F6A"/>
    <w:rsid w:val="001A5553"/>
    <w:rsid w:val="001A6708"/>
    <w:rsid w:val="001A6718"/>
    <w:rsid w:val="001A716E"/>
    <w:rsid w:val="001A7AE4"/>
    <w:rsid w:val="001B1436"/>
    <w:rsid w:val="001B1FE4"/>
    <w:rsid w:val="001B28BA"/>
    <w:rsid w:val="001B2C65"/>
    <w:rsid w:val="001B63E2"/>
    <w:rsid w:val="001B69F1"/>
    <w:rsid w:val="001B6B42"/>
    <w:rsid w:val="001B7058"/>
    <w:rsid w:val="001B7499"/>
    <w:rsid w:val="001C17AB"/>
    <w:rsid w:val="001C25DD"/>
    <w:rsid w:val="001C26D3"/>
    <w:rsid w:val="001C3A4F"/>
    <w:rsid w:val="001C3A76"/>
    <w:rsid w:val="001C3C11"/>
    <w:rsid w:val="001C3D6D"/>
    <w:rsid w:val="001C4121"/>
    <w:rsid w:val="001C48DE"/>
    <w:rsid w:val="001C5794"/>
    <w:rsid w:val="001C66CE"/>
    <w:rsid w:val="001C7DEC"/>
    <w:rsid w:val="001D1824"/>
    <w:rsid w:val="001D1A2E"/>
    <w:rsid w:val="001D1FCF"/>
    <w:rsid w:val="001D3017"/>
    <w:rsid w:val="001D3E6E"/>
    <w:rsid w:val="001D52E3"/>
    <w:rsid w:val="001D53FD"/>
    <w:rsid w:val="001D576F"/>
    <w:rsid w:val="001D646F"/>
    <w:rsid w:val="001D6AC2"/>
    <w:rsid w:val="001D7180"/>
    <w:rsid w:val="001D79C6"/>
    <w:rsid w:val="001D7C29"/>
    <w:rsid w:val="001E0475"/>
    <w:rsid w:val="001E0551"/>
    <w:rsid w:val="001E06D2"/>
    <w:rsid w:val="001E0B4F"/>
    <w:rsid w:val="001E2008"/>
    <w:rsid w:val="001E2D6B"/>
    <w:rsid w:val="001E46FD"/>
    <w:rsid w:val="001E487A"/>
    <w:rsid w:val="001E4B3F"/>
    <w:rsid w:val="001E52A3"/>
    <w:rsid w:val="001E5F8A"/>
    <w:rsid w:val="001E5FEB"/>
    <w:rsid w:val="001E65B7"/>
    <w:rsid w:val="001E72D7"/>
    <w:rsid w:val="001E759D"/>
    <w:rsid w:val="001F084B"/>
    <w:rsid w:val="001F12DF"/>
    <w:rsid w:val="001F18A3"/>
    <w:rsid w:val="001F41C7"/>
    <w:rsid w:val="001F46CD"/>
    <w:rsid w:val="001F5C90"/>
    <w:rsid w:val="001F6638"/>
    <w:rsid w:val="001F767C"/>
    <w:rsid w:val="001F7B2F"/>
    <w:rsid w:val="00200F34"/>
    <w:rsid w:val="00202231"/>
    <w:rsid w:val="00202E1A"/>
    <w:rsid w:val="0020316A"/>
    <w:rsid w:val="00205456"/>
    <w:rsid w:val="00205DCA"/>
    <w:rsid w:val="0020763F"/>
    <w:rsid w:val="00210914"/>
    <w:rsid w:val="00210FCF"/>
    <w:rsid w:val="0021122D"/>
    <w:rsid w:val="002143DD"/>
    <w:rsid w:val="00214B98"/>
    <w:rsid w:val="0021524D"/>
    <w:rsid w:val="00215D90"/>
    <w:rsid w:val="00216865"/>
    <w:rsid w:val="002173AC"/>
    <w:rsid w:val="002177EA"/>
    <w:rsid w:val="00222EFF"/>
    <w:rsid w:val="00223171"/>
    <w:rsid w:val="002240D5"/>
    <w:rsid w:val="002249DF"/>
    <w:rsid w:val="00225177"/>
    <w:rsid w:val="00225294"/>
    <w:rsid w:val="002261A7"/>
    <w:rsid w:val="0022629C"/>
    <w:rsid w:val="002268A0"/>
    <w:rsid w:val="00226A2D"/>
    <w:rsid w:val="00226AEC"/>
    <w:rsid w:val="00227D7D"/>
    <w:rsid w:val="0023066D"/>
    <w:rsid w:val="002307A9"/>
    <w:rsid w:val="0023134A"/>
    <w:rsid w:val="00231812"/>
    <w:rsid w:val="0023217E"/>
    <w:rsid w:val="00232965"/>
    <w:rsid w:val="002334FA"/>
    <w:rsid w:val="00234927"/>
    <w:rsid w:val="00235AA8"/>
    <w:rsid w:val="00235C48"/>
    <w:rsid w:val="002370E3"/>
    <w:rsid w:val="00237875"/>
    <w:rsid w:val="00237879"/>
    <w:rsid w:val="00244E23"/>
    <w:rsid w:val="00245605"/>
    <w:rsid w:val="002461B5"/>
    <w:rsid w:val="00247A4A"/>
    <w:rsid w:val="00250188"/>
    <w:rsid w:val="0025077C"/>
    <w:rsid w:val="0025339E"/>
    <w:rsid w:val="002545F3"/>
    <w:rsid w:val="0025461A"/>
    <w:rsid w:val="00255278"/>
    <w:rsid w:val="002555DF"/>
    <w:rsid w:val="002572E8"/>
    <w:rsid w:val="00263328"/>
    <w:rsid w:val="0026344F"/>
    <w:rsid w:val="002637B6"/>
    <w:rsid w:val="00265A72"/>
    <w:rsid w:val="00265B8B"/>
    <w:rsid w:val="00266A17"/>
    <w:rsid w:val="00266E17"/>
    <w:rsid w:val="00266F0A"/>
    <w:rsid w:val="002675FD"/>
    <w:rsid w:val="00267B16"/>
    <w:rsid w:val="002700EF"/>
    <w:rsid w:val="00270372"/>
    <w:rsid w:val="00271864"/>
    <w:rsid w:val="00271C66"/>
    <w:rsid w:val="00272AC0"/>
    <w:rsid w:val="00273BB7"/>
    <w:rsid w:val="00274C86"/>
    <w:rsid w:val="00275402"/>
    <w:rsid w:val="00275534"/>
    <w:rsid w:val="002767FC"/>
    <w:rsid w:val="00277075"/>
    <w:rsid w:val="002775D2"/>
    <w:rsid w:val="00280B67"/>
    <w:rsid w:val="00281ADD"/>
    <w:rsid w:val="0028473D"/>
    <w:rsid w:val="002864F8"/>
    <w:rsid w:val="00287889"/>
    <w:rsid w:val="00287F22"/>
    <w:rsid w:val="0029000D"/>
    <w:rsid w:val="002920D2"/>
    <w:rsid w:val="00292AF0"/>
    <w:rsid w:val="00293E0D"/>
    <w:rsid w:val="00293E80"/>
    <w:rsid w:val="00293F7A"/>
    <w:rsid w:val="0029483E"/>
    <w:rsid w:val="00294CCD"/>
    <w:rsid w:val="002952EA"/>
    <w:rsid w:val="002957E1"/>
    <w:rsid w:val="002961A0"/>
    <w:rsid w:val="00296721"/>
    <w:rsid w:val="00296A8B"/>
    <w:rsid w:val="002973B0"/>
    <w:rsid w:val="00297808"/>
    <w:rsid w:val="0029786A"/>
    <w:rsid w:val="00297C14"/>
    <w:rsid w:val="002A0821"/>
    <w:rsid w:val="002A220F"/>
    <w:rsid w:val="002A24F1"/>
    <w:rsid w:val="002A3432"/>
    <w:rsid w:val="002A5147"/>
    <w:rsid w:val="002A5605"/>
    <w:rsid w:val="002A5778"/>
    <w:rsid w:val="002A578F"/>
    <w:rsid w:val="002A5EB1"/>
    <w:rsid w:val="002A6E64"/>
    <w:rsid w:val="002B0481"/>
    <w:rsid w:val="002B1E84"/>
    <w:rsid w:val="002B2085"/>
    <w:rsid w:val="002B263C"/>
    <w:rsid w:val="002B3CAD"/>
    <w:rsid w:val="002B3D79"/>
    <w:rsid w:val="002B3EC4"/>
    <w:rsid w:val="002B6C3D"/>
    <w:rsid w:val="002B7B77"/>
    <w:rsid w:val="002C0594"/>
    <w:rsid w:val="002C10DA"/>
    <w:rsid w:val="002C119D"/>
    <w:rsid w:val="002C1A45"/>
    <w:rsid w:val="002C2488"/>
    <w:rsid w:val="002C288A"/>
    <w:rsid w:val="002C32F2"/>
    <w:rsid w:val="002C37D5"/>
    <w:rsid w:val="002C3AA5"/>
    <w:rsid w:val="002C587B"/>
    <w:rsid w:val="002C6492"/>
    <w:rsid w:val="002C7B82"/>
    <w:rsid w:val="002D187D"/>
    <w:rsid w:val="002D2E1D"/>
    <w:rsid w:val="002D34DB"/>
    <w:rsid w:val="002D3771"/>
    <w:rsid w:val="002D46B2"/>
    <w:rsid w:val="002D4B11"/>
    <w:rsid w:val="002D5F53"/>
    <w:rsid w:val="002D664C"/>
    <w:rsid w:val="002D6F50"/>
    <w:rsid w:val="002E05D5"/>
    <w:rsid w:val="002E0D16"/>
    <w:rsid w:val="002E12D4"/>
    <w:rsid w:val="002E1657"/>
    <w:rsid w:val="002E24F7"/>
    <w:rsid w:val="002E2F98"/>
    <w:rsid w:val="002E3009"/>
    <w:rsid w:val="002E33A2"/>
    <w:rsid w:val="002E39FA"/>
    <w:rsid w:val="002E4639"/>
    <w:rsid w:val="002E4A48"/>
    <w:rsid w:val="002E4EAF"/>
    <w:rsid w:val="002E500F"/>
    <w:rsid w:val="002E5633"/>
    <w:rsid w:val="002E6E42"/>
    <w:rsid w:val="002E7868"/>
    <w:rsid w:val="002F019A"/>
    <w:rsid w:val="002F073D"/>
    <w:rsid w:val="002F0BB1"/>
    <w:rsid w:val="002F11D2"/>
    <w:rsid w:val="002F1963"/>
    <w:rsid w:val="002F2079"/>
    <w:rsid w:val="002F26E1"/>
    <w:rsid w:val="002F2E21"/>
    <w:rsid w:val="002F4A43"/>
    <w:rsid w:val="002F4B0E"/>
    <w:rsid w:val="002F4BB6"/>
    <w:rsid w:val="002F5A75"/>
    <w:rsid w:val="002F5B6E"/>
    <w:rsid w:val="002F61B5"/>
    <w:rsid w:val="002F61FF"/>
    <w:rsid w:val="002F649C"/>
    <w:rsid w:val="002F658B"/>
    <w:rsid w:val="003004D8"/>
    <w:rsid w:val="00301481"/>
    <w:rsid w:val="0030209B"/>
    <w:rsid w:val="00303554"/>
    <w:rsid w:val="003052FF"/>
    <w:rsid w:val="0030550F"/>
    <w:rsid w:val="003057AF"/>
    <w:rsid w:val="00305A95"/>
    <w:rsid w:val="003067DD"/>
    <w:rsid w:val="00307702"/>
    <w:rsid w:val="00310B94"/>
    <w:rsid w:val="00310F26"/>
    <w:rsid w:val="00311B70"/>
    <w:rsid w:val="003127E4"/>
    <w:rsid w:val="00312C25"/>
    <w:rsid w:val="00313215"/>
    <w:rsid w:val="003174C3"/>
    <w:rsid w:val="003201E7"/>
    <w:rsid w:val="00321B4D"/>
    <w:rsid w:val="00322132"/>
    <w:rsid w:val="00322FFB"/>
    <w:rsid w:val="0032459D"/>
    <w:rsid w:val="0032557A"/>
    <w:rsid w:val="00326162"/>
    <w:rsid w:val="00326CC4"/>
    <w:rsid w:val="00327D47"/>
    <w:rsid w:val="00327D87"/>
    <w:rsid w:val="003303EF"/>
    <w:rsid w:val="00330815"/>
    <w:rsid w:val="003311F3"/>
    <w:rsid w:val="00331F44"/>
    <w:rsid w:val="003322E4"/>
    <w:rsid w:val="00333387"/>
    <w:rsid w:val="00333467"/>
    <w:rsid w:val="003339E3"/>
    <w:rsid w:val="00335E48"/>
    <w:rsid w:val="0033729B"/>
    <w:rsid w:val="00340685"/>
    <w:rsid w:val="00340778"/>
    <w:rsid w:val="00340988"/>
    <w:rsid w:val="00341096"/>
    <w:rsid w:val="0034134A"/>
    <w:rsid w:val="0034303C"/>
    <w:rsid w:val="00344A88"/>
    <w:rsid w:val="00344D2C"/>
    <w:rsid w:val="00345859"/>
    <w:rsid w:val="003458CE"/>
    <w:rsid w:val="003459EC"/>
    <w:rsid w:val="00345A57"/>
    <w:rsid w:val="00345AA9"/>
    <w:rsid w:val="00346287"/>
    <w:rsid w:val="00346CA6"/>
    <w:rsid w:val="00346D90"/>
    <w:rsid w:val="00347659"/>
    <w:rsid w:val="00347C68"/>
    <w:rsid w:val="00351B3A"/>
    <w:rsid w:val="00351F62"/>
    <w:rsid w:val="00352FB6"/>
    <w:rsid w:val="0035310D"/>
    <w:rsid w:val="00353330"/>
    <w:rsid w:val="003554E4"/>
    <w:rsid w:val="00356434"/>
    <w:rsid w:val="00357067"/>
    <w:rsid w:val="003601F4"/>
    <w:rsid w:val="00360E80"/>
    <w:rsid w:val="003611A9"/>
    <w:rsid w:val="003613DB"/>
    <w:rsid w:val="00361C32"/>
    <w:rsid w:val="003649D9"/>
    <w:rsid w:val="00366BD7"/>
    <w:rsid w:val="003671E2"/>
    <w:rsid w:val="00370A81"/>
    <w:rsid w:val="00371A90"/>
    <w:rsid w:val="00372632"/>
    <w:rsid w:val="00372827"/>
    <w:rsid w:val="00372AE6"/>
    <w:rsid w:val="00372F9F"/>
    <w:rsid w:val="00373E3D"/>
    <w:rsid w:val="0037505F"/>
    <w:rsid w:val="0037660B"/>
    <w:rsid w:val="003811D6"/>
    <w:rsid w:val="0038164E"/>
    <w:rsid w:val="00382DBC"/>
    <w:rsid w:val="003837E1"/>
    <w:rsid w:val="00383869"/>
    <w:rsid w:val="0038584D"/>
    <w:rsid w:val="003874B0"/>
    <w:rsid w:val="00390078"/>
    <w:rsid w:val="00390DFD"/>
    <w:rsid w:val="00390F66"/>
    <w:rsid w:val="00391BBE"/>
    <w:rsid w:val="00392519"/>
    <w:rsid w:val="0039257F"/>
    <w:rsid w:val="003930F4"/>
    <w:rsid w:val="003931DE"/>
    <w:rsid w:val="00393DF5"/>
    <w:rsid w:val="00396FDD"/>
    <w:rsid w:val="003975C6"/>
    <w:rsid w:val="00397D1A"/>
    <w:rsid w:val="003A0075"/>
    <w:rsid w:val="003A064D"/>
    <w:rsid w:val="003A0E23"/>
    <w:rsid w:val="003A0F76"/>
    <w:rsid w:val="003A163C"/>
    <w:rsid w:val="003A1B01"/>
    <w:rsid w:val="003A2B4E"/>
    <w:rsid w:val="003A2FBB"/>
    <w:rsid w:val="003A3799"/>
    <w:rsid w:val="003A3C79"/>
    <w:rsid w:val="003A487D"/>
    <w:rsid w:val="003A4913"/>
    <w:rsid w:val="003A54A9"/>
    <w:rsid w:val="003A7083"/>
    <w:rsid w:val="003B0AAA"/>
    <w:rsid w:val="003B17D3"/>
    <w:rsid w:val="003B1855"/>
    <w:rsid w:val="003B1D3D"/>
    <w:rsid w:val="003B2071"/>
    <w:rsid w:val="003B2087"/>
    <w:rsid w:val="003B23A4"/>
    <w:rsid w:val="003B3098"/>
    <w:rsid w:val="003B3205"/>
    <w:rsid w:val="003B38B3"/>
    <w:rsid w:val="003B3A97"/>
    <w:rsid w:val="003B3D44"/>
    <w:rsid w:val="003B46C6"/>
    <w:rsid w:val="003B4FD7"/>
    <w:rsid w:val="003B5BCC"/>
    <w:rsid w:val="003B62A2"/>
    <w:rsid w:val="003B6AE3"/>
    <w:rsid w:val="003B7BED"/>
    <w:rsid w:val="003C0EEA"/>
    <w:rsid w:val="003C1278"/>
    <w:rsid w:val="003C1817"/>
    <w:rsid w:val="003C2153"/>
    <w:rsid w:val="003C26B9"/>
    <w:rsid w:val="003C2A8B"/>
    <w:rsid w:val="003C2DCD"/>
    <w:rsid w:val="003C2DD0"/>
    <w:rsid w:val="003C3464"/>
    <w:rsid w:val="003C3933"/>
    <w:rsid w:val="003C3D25"/>
    <w:rsid w:val="003C43FE"/>
    <w:rsid w:val="003C5DE3"/>
    <w:rsid w:val="003C5F63"/>
    <w:rsid w:val="003C6289"/>
    <w:rsid w:val="003C7820"/>
    <w:rsid w:val="003C78FA"/>
    <w:rsid w:val="003C7AEA"/>
    <w:rsid w:val="003C7CC2"/>
    <w:rsid w:val="003D2351"/>
    <w:rsid w:val="003D3B5C"/>
    <w:rsid w:val="003D508E"/>
    <w:rsid w:val="003D50B6"/>
    <w:rsid w:val="003D59EF"/>
    <w:rsid w:val="003D5DC7"/>
    <w:rsid w:val="003D5FB3"/>
    <w:rsid w:val="003D6109"/>
    <w:rsid w:val="003D69AB"/>
    <w:rsid w:val="003D6FB8"/>
    <w:rsid w:val="003D74A8"/>
    <w:rsid w:val="003E05DF"/>
    <w:rsid w:val="003E1A83"/>
    <w:rsid w:val="003E1E69"/>
    <w:rsid w:val="003E356E"/>
    <w:rsid w:val="003E3E96"/>
    <w:rsid w:val="003E6085"/>
    <w:rsid w:val="003E6860"/>
    <w:rsid w:val="003E6951"/>
    <w:rsid w:val="003E6CA3"/>
    <w:rsid w:val="003F167C"/>
    <w:rsid w:val="003F1A3F"/>
    <w:rsid w:val="003F22E2"/>
    <w:rsid w:val="003F25CD"/>
    <w:rsid w:val="003F2812"/>
    <w:rsid w:val="003F2BD3"/>
    <w:rsid w:val="003F2D06"/>
    <w:rsid w:val="003F3A1E"/>
    <w:rsid w:val="003F4C96"/>
    <w:rsid w:val="003F6B52"/>
    <w:rsid w:val="003F778F"/>
    <w:rsid w:val="00400680"/>
    <w:rsid w:val="00402D5E"/>
    <w:rsid w:val="00403896"/>
    <w:rsid w:val="00405B1F"/>
    <w:rsid w:val="00406002"/>
    <w:rsid w:val="0040619A"/>
    <w:rsid w:val="00406235"/>
    <w:rsid w:val="00406AD3"/>
    <w:rsid w:val="0041090B"/>
    <w:rsid w:val="00410BCC"/>
    <w:rsid w:val="0041130F"/>
    <w:rsid w:val="00411C67"/>
    <w:rsid w:val="0041252D"/>
    <w:rsid w:val="00412A41"/>
    <w:rsid w:val="00412E42"/>
    <w:rsid w:val="00412E86"/>
    <w:rsid w:val="00412FB5"/>
    <w:rsid w:val="00413CDE"/>
    <w:rsid w:val="00414793"/>
    <w:rsid w:val="004148D2"/>
    <w:rsid w:val="00414D82"/>
    <w:rsid w:val="00414FE8"/>
    <w:rsid w:val="004152E9"/>
    <w:rsid w:val="00416607"/>
    <w:rsid w:val="00416F2D"/>
    <w:rsid w:val="00416FC7"/>
    <w:rsid w:val="00417931"/>
    <w:rsid w:val="00417B6A"/>
    <w:rsid w:val="00417D0E"/>
    <w:rsid w:val="00421A89"/>
    <w:rsid w:val="00422681"/>
    <w:rsid w:val="00422A89"/>
    <w:rsid w:val="004230F4"/>
    <w:rsid w:val="00423DB6"/>
    <w:rsid w:val="00424D5D"/>
    <w:rsid w:val="00425132"/>
    <w:rsid w:val="00426356"/>
    <w:rsid w:val="00426929"/>
    <w:rsid w:val="00427945"/>
    <w:rsid w:val="00431E36"/>
    <w:rsid w:val="00432A34"/>
    <w:rsid w:val="004336B0"/>
    <w:rsid w:val="00433B2D"/>
    <w:rsid w:val="00434286"/>
    <w:rsid w:val="00434403"/>
    <w:rsid w:val="00435A6F"/>
    <w:rsid w:val="004372A4"/>
    <w:rsid w:val="00442C16"/>
    <w:rsid w:val="00443BA3"/>
    <w:rsid w:val="00445224"/>
    <w:rsid w:val="0044630C"/>
    <w:rsid w:val="00446439"/>
    <w:rsid w:val="00447729"/>
    <w:rsid w:val="004477F1"/>
    <w:rsid w:val="004505D7"/>
    <w:rsid w:val="00450BDA"/>
    <w:rsid w:val="0045253F"/>
    <w:rsid w:val="00453A3E"/>
    <w:rsid w:val="0045452F"/>
    <w:rsid w:val="00454A00"/>
    <w:rsid w:val="00454BFF"/>
    <w:rsid w:val="0045650C"/>
    <w:rsid w:val="00456791"/>
    <w:rsid w:val="0045766B"/>
    <w:rsid w:val="00457D6F"/>
    <w:rsid w:val="004602AC"/>
    <w:rsid w:val="00460EF6"/>
    <w:rsid w:val="00462B44"/>
    <w:rsid w:val="004633A0"/>
    <w:rsid w:val="00463B7B"/>
    <w:rsid w:val="00463CB9"/>
    <w:rsid w:val="00464872"/>
    <w:rsid w:val="0046497D"/>
    <w:rsid w:val="00464A61"/>
    <w:rsid w:val="004652AD"/>
    <w:rsid w:val="00465B12"/>
    <w:rsid w:val="004666BB"/>
    <w:rsid w:val="00466D8F"/>
    <w:rsid w:val="00467057"/>
    <w:rsid w:val="00467249"/>
    <w:rsid w:val="004674B0"/>
    <w:rsid w:val="004677C6"/>
    <w:rsid w:val="00470338"/>
    <w:rsid w:val="004707A4"/>
    <w:rsid w:val="00470BFE"/>
    <w:rsid w:val="004711B6"/>
    <w:rsid w:val="004712CE"/>
    <w:rsid w:val="004712E2"/>
    <w:rsid w:val="00473A00"/>
    <w:rsid w:val="00474BB7"/>
    <w:rsid w:val="00476729"/>
    <w:rsid w:val="00476F9A"/>
    <w:rsid w:val="004816D7"/>
    <w:rsid w:val="004818AE"/>
    <w:rsid w:val="00481D92"/>
    <w:rsid w:val="00482C02"/>
    <w:rsid w:val="0048342E"/>
    <w:rsid w:val="00484605"/>
    <w:rsid w:val="004859CF"/>
    <w:rsid w:val="00486037"/>
    <w:rsid w:val="004863DC"/>
    <w:rsid w:val="004863F0"/>
    <w:rsid w:val="004865A9"/>
    <w:rsid w:val="004867BA"/>
    <w:rsid w:val="00486E6E"/>
    <w:rsid w:val="00487478"/>
    <w:rsid w:val="0048782D"/>
    <w:rsid w:val="00491063"/>
    <w:rsid w:val="00491582"/>
    <w:rsid w:val="00491736"/>
    <w:rsid w:val="00493B80"/>
    <w:rsid w:val="00493D8D"/>
    <w:rsid w:val="004943CE"/>
    <w:rsid w:val="00494DC1"/>
    <w:rsid w:val="00495787"/>
    <w:rsid w:val="0049732B"/>
    <w:rsid w:val="0049798A"/>
    <w:rsid w:val="004A0301"/>
    <w:rsid w:val="004A36AD"/>
    <w:rsid w:val="004A3F56"/>
    <w:rsid w:val="004A46F3"/>
    <w:rsid w:val="004A5E21"/>
    <w:rsid w:val="004A666A"/>
    <w:rsid w:val="004A6DFB"/>
    <w:rsid w:val="004A7436"/>
    <w:rsid w:val="004B013B"/>
    <w:rsid w:val="004B053C"/>
    <w:rsid w:val="004B0F66"/>
    <w:rsid w:val="004B12A3"/>
    <w:rsid w:val="004B143F"/>
    <w:rsid w:val="004B1C2C"/>
    <w:rsid w:val="004B21F0"/>
    <w:rsid w:val="004B437B"/>
    <w:rsid w:val="004B49A0"/>
    <w:rsid w:val="004B5DED"/>
    <w:rsid w:val="004B728E"/>
    <w:rsid w:val="004C34B3"/>
    <w:rsid w:val="004C3B29"/>
    <w:rsid w:val="004C4784"/>
    <w:rsid w:val="004C565E"/>
    <w:rsid w:val="004C60C0"/>
    <w:rsid w:val="004C6306"/>
    <w:rsid w:val="004C64E4"/>
    <w:rsid w:val="004C6842"/>
    <w:rsid w:val="004C6D91"/>
    <w:rsid w:val="004C6F5E"/>
    <w:rsid w:val="004C7059"/>
    <w:rsid w:val="004C7E8E"/>
    <w:rsid w:val="004C7E94"/>
    <w:rsid w:val="004D0CC2"/>
    <w:rsid w:val="004D0D7A"/>
    <w:rsid w:val="004D0FFA"/>
    <w:rsid w:val="004D2B1D"/>
    <w:rsid w:val="004D3230"/>
    <w:rsid w:val="004D4287"/>
    <w:rsid w:val="004D4ADE"/>
    <w:rsid w:val="004D5067"/>
    <w:rsid w:val="004D5658"/>
    <w:rsid w:val="004D7B4B"/>
    <w:rsid w:val="004D7CF8"/>
    <w:rsid w:val="004D7EDA"/>
    <w:rsid w:val="004E0E49"/>
    <w:rsid w:val="004E197A"/>
    <w:rsid w:val="004E1E9D"/>
    <w:rsid w:val="004E29AC"/>
    <w:rsid w:val="004E402F"/>
    <w:rsid w:val="004E42AC"/>
    <w:rsid w:val="004E43D6"/>
    <w:rsid w:val="004E5D52"/>
    <w:rsid w:val="004E7A18"/>
    <w:rsid w:val="004E7C22"/>
    <w:rsid w:val="004F07D7"/>
    <w:rsid w:val="004F1297"/>
    <w:rsid w:val="004F1328"/>
    <w:rsid w:val="004F16DB"/>
    <w:rsid w:val="004F19A1"/>
    <w:rsid w:val="004F2148"/>
    <w:rsid w:val="004F36CC"/>
    <w:rsid w:val="004F38B8"/>
    <w:rsid w:val="004F4D7E"/>
    <w:rsid w:val="004F501F"/>
    <w:rsid w:val="004F5B16"/>
    <w:rsid w:val="004F5BB1"/>
    <w:rsid w:val="004F5D9D"/>
    <w:rsid w:val="004F68E5"/>
    <w:rsid w:val="004F6B13"/>
    <w:rsid w:val="004F741B"/>
    <w:rsid w:val="004F7D82"/>
    <w:rsid w:val="00500CCC"/>
    <w:rsid w:val="00502149"/>
    <w:rsid w:val="00502852"/>
    <w:rsid w:val="00502918"/>
    <w:rsid w:val="00503253"/>
    <w:rsid w:val="00503304"/>
    <w:rsid w:val="00503B47"/>
    <w:rsid w:val="00503BB0"/>
    <w:rsid w:val="00503E03"/>
    <w:rsid w:val="00506FFD"/>
    <w:rsid w:val="00507B2A"/>
    <w:rsid w:val="0051124E"/>
    <w:rsid w:val="005116BC"/>
    <w:rsid w:val="005116E5"/>
    <w:rsid w:val="00511DAD"/>
    <w:rsid w:val="00512226"/>
    <w:rsid w:val="00512A39"/>
    <w:rsid w:val="00513605"/>
    <w:rsid w:val="005140F6"/>
    <w:rsid w:val="005147C6"/>
    <w:rsid w:val="00514D55"/>
    <w:rsid w:val="005157D1"/>
    <w:rsid w:val="005159B1"/>
    <w:rsid w:val="00515AFC"/>
    <w:rsid w:val="00515B8F"/>
    <w:rsid w:val="005165AC"/>
    <w:rsid w:val="00517ED6"/>
    <w:rsid w:val="00520E09"/>
    <w:rsid w:val="00521DCE"/>
    <w:rsid w:val="00522502"/>
    <w:rsid w:val="0052478C"/>
    <w:rsid w:val="005248BB"/>
    <w:rsid w:val="005255A1"/>
    <w:rsid w:val="005255FD"/>
    <w:rsid w:val="00526023"/>
    <w:rsid w:val="00526042"/>
    <w:rsid w:val="0052641C"/>
    <w:rsid w:val="00527DCE"/>
    <w:rsid w:val="00530C52"/>
    <w:rsid w:val="00531B00"/>
    <w:rsid w:val="00532407"/>
    <w:rsid w:val="00534553"/>
    <w:rsid w:val="00534DDF"/>
    <w:rsid w:val="00534F21"/>
    <w:rsid w:val="00535315"/>
    <w:rsid w:val="0053609B"/>
    <w:rsid w:val="00536AA2"/>
    <w:rsid w:val="0053795D"/>
    <w:rsid w:val="00537CB2"/>
    <w:rsid w:val="00540203"/>
    <w:rsid w:val="00541112"/>
    <w:rsid w:val="0054270C"/>
    <w:rsid w:val="00542802"/>
    <w:rsid w:val="00544522"/>
    <w:rsid w:val="005468AB"/>
    <w:rsid w:val="005468FB"/>
    <w:rsid w:val="00546ABE"/>
    <w:rsid w:val="005501A0"/>
    <w:rsid w:val="00550831"/>
    <w:rsid w:val="00551D7A"/>
    <w:rsid w:val="00551FCD"/>
    <w:rsid w:val="00552F0B"/>
    <w:rsid w:val="00554273"/>
    <w:rsid w:val="005542E3"/>
    <w:rsid w:val="00554CD8"/>
    <w:rsid w:val="00555101"/>
    <w:rsid w:val="00555DB9"/>
    <w:rsid w:val="00556772"/>
    <w:rsid w:val="00557E27"/>
    <w:rsid w:val="00557EBC"/>
    <w:rsid w:val="00561090"/>
    <w:rsid w:val="00563A0C"/>
    <w:rsid w:val="005642B6"/>
    <w:rsid w:val="005653A3"/>
    <w:rsid w:val="00565787"/>
    <w:rsid w:val="00566490"/>
    <w:rsid w:val="00566933"/>
    <w:rsid w:val="005679F7"/>
    <w:rsid w:val="00567FAB"/>
    <w:rsid w:val="00570F85"/>
    <w:rsid w:val="00571D5E"/>
    <w:rsid w:val="00573CCD"/>
    <w:rsid w:val="0057475E"/>
    <w:rsid w:val="00576AE2"/>
    <w:rsid w:val="00576D09"/>
    <w:rsid w:val="00576E11"/>
    <w:rsid w:val="005805ED"/>
    <w:rsid w:val="0058093D"/>
    <w:rsid w:val="00580C6B"/>
    <w:rsid w:val="00580E52"/>
    <w:rsid w:val="00581A4E"/>
    <w:rsid w:val="00581CA7"/>
    <w:rsid w:val="005823D0"/>
    <w:rsid w:val="00584123"/>
    <w:rsid w:val="0058485C"/>
    <w:rsid w:val="00584FC0"/>
    <w:rsid w:val="00586DBF"/>
    <w:rsid w:val="00590916"/>
    <w:rsid w:val="0059173C"/>
    <w:rsid w:val="00591E69"/>
    <w:rsid w:val="00591E94"/>
    <w:rsid w:val="0059331E"/>
    <w:rsid w:val="00593570"/>
    <w:rsid w:val="005939F1"/>
    <w:rsid w:val="005941A0"/>
    <w:rsid w:val="00596169"/>
    <w:rsid w:val="005A1031"/>
    <w:rsid w:val="005A244E"/>
    <w:rsid w:val="005A2748"/>
    <w:rsid w:val="005A280F"/>
    <w:rsid w:val="005A3925"/>
    <w:rsid w:val="005A42CE"/>
    <w:rsid w:val="005A443F"/>
    <w:rsid w:val="005A4D4B"/>
    <w:rsid w:val="005A590C"/>
    <w:rsid w:val="005A6735"/>
    <w:rsid w:val="005A69D0"/>
    <w:rsid w:val="005A6FDC"/>
    <w:rsid w:val="005A747F"/>
    <w:rsid w:val="005A7550"/>
    <w:rsid w:val="005A7744"/>
    <w:rsid w:val="005B042E"/>
    <w:rsid w:val="005B04D4"/>
    <w:rsid w:val="005B0F9B"/>
    <w:rsid w:val="005B17B2"/>
    <w:rsid w:val="005B271C"/>
    <w:rsid w:val="005B3841"/>
    <w:rsid w:val="005B3CCD"/>
    <w:rsid w:val="005B49EE"/>
    <w:rsid w:val="005B5294"/>
    <w:rsid w:val="005B58A8"/>
    <w:rsid w:val="005B58D4"/>
    <w:rsid w:val="005B6FD0"/>
    <w:rsid w:val="005B7738"/>
    <w:rsid w:val="005B7B7D"/>
    <w:rsid w:val="005B7D60"/>
    <w:rsid w:val="005C016D"/>
    <w:rsid w:val="005C07B3"/>
    <w:rsid w:val="005C1B86"/>
    <w:rsid w:val="005C1CB4"/>
    <w:rsid w:val="005C284E"/>
    <w:rsid w:val="005C2E49"/>
    <w:rsid w:val="005C47D4"/>
    <w:rsid w:val="005C4969"/>
    <w:rsid w:val="005C4D08"/>
    <w:rsid w:val="005C600C"/>
    <w:rsid w:val="005C6549"/>
    <w:rsid w:val="005C6C08"/>
    <w:rsid w:val="005C7EEA"/>
    <w:rsid w:val="005D064C"/>
    <w:rsid w:val="005D1349"/>
    <w:rsid w:val="005D2126"/>
    <w:rsid w:val="005D2450"/>
    <w:rsid w:val="005D3CD0"/>
    <w:rsid w:val="005D3D66"/>
    <w:rsid w:val="005D4568"/>
    <w:rsid w:val="005D51D0"/>
    <w:rsid w:val="005D54F4"/>
    <w:rsid w:val="005D620C"/>
    <w:rsid w:val="005D6220"/>
    <w:rsid w:val="005D6481"/>
    <w:rsid w:val="005D66D0"/>
    <w:rsid w:val="005D6F83"/>
    <w:rsid w:val="005D7877"/>
    <w:rsid w:val="005D79EE"/>
    <w:rsid w:val="005D7CCF"/>
    <w:rsid w:val="005E1022"/>
    <w:rsid w:val="005E33D9"/>
    <w:rsid w:val="005E41E6"/>
    <w:rsid w:val="005E481A"/>
    <w:rsid w:val="005E5150"/>
    <w:rsid w:val="005E58C4"/>
    <w:rsid w:val="005E5D8F"/>
    <w:rsid w:val="005E69C6"/>
    <w:rsid w:val="005F07A4"/>
    <w:rsid w:val="005F181D"/>
    <w:rsid w:val="005F1EE1"/>
    <w:rsid w:val="005F20FC"/>
    <w:rsid w:val="005F390D"/>
    <w:rsid w:val="005F3AB5"/>
    <w:rsid w:val="005F5170"/>
    <w:rsid w:val="005F5A5C"/>
    <w:rsid w:val="005F5CD9"/>
    <w:rsid w:val="005F63C9"/>
    <w:rsid w:val="005F698D"/>
    <w:rsid w:val="005F74F6"/>
    <w:rsid w:val="005F779F"/>
    <w:rsid w:val="00600833"/>
    <w:rsid w:val="0060148E"/>
    <w:rsid w:val="006017CD"/>
    <w:rsid w:val="006020EC"/>
    <w:rsid w:val="006024F5"/>
    <w:rsid w:val="00602816"/>
    <w:rsid w:val="00602FD4"/>
    <w:rsid w:val="006033BB"/>
    <w:rsid w:val="00604DE8"/>
    <w:rsid w:val="00604F12"/>
    <w:rsid w:val="00605458"/>
    <w:rsid w:val="00606B0B"/>
    <w:rsid w:val="00606D57"/>
    <w:rsid w:val="00607D44"/>
    <w:rsid w:val="0061135C"/>
    <w:rsid w:val="006136DD"/>
    <w:rsid w:val="006149F0"/>
    <w:rsid w:val="00616268"/>
    <w:rsid w:val="00617606"/>
    <w:rsid w:val="00621099"/>
    <w:rsid w:val="00621D3A"/>
    <w:rsid w:val="006220A5"/>
    <w:rsid w:val="006222AB"/>
    <w:rsid w:val="0062252B"/>
    <w:rsid w:val="00623BE9"/>
    <w:rsid w:val="00624AC8"/>
    <w:rsid w:val="00626A30"/>
    <w:rsid w:val="00630427"/>
    <w:rsid w:val="0063096B"/>
    <w:rsid w:val="00630C19"/>
    <w:rsid w:val="00631BEC"/>
    <w:rsid w:val="006325D1"/>
    <w:rsid w:val="00632C92"/>
    <w:rsid w:val="006330F6"/>
    <w:rsid w:val="00633791"/>
    <w:rsid w:val="00633C60"/>
    <w:rsid w:val="006347FF"/>
    <w:rsid w:val="006357D9"/>
    <w:rsid w:val="006360A3"/>
    <w:rsid w:val="006365CC"/>
    <w:rsid w:val="00636D4D"/>
    <w:rsid w:val="00640A19"/>
    <w:rsid w:val="00640F6F"/>
    <w:rsid w:val="0064126D"/>
    <w:rsid w:val="00642340"/>
    <w:rsid w:val="006432B8"/>
    <w:rsid w:val="00643367"/>
    <w:rsid w:val="00643403"/>
    <w:rsid w:val="0064381E"/>
    <w:rsid w:val="006451B8"/>
    <w:rsid w:val="00645268"/>
    <w:rsid w:val="00645722"/>
    <w:rsid w:val="00645A7A"/>
    <w:rsid w:val="00645B79"/>
    <w:rsid w:val="0064650F"/>
    <w:rsid w:val="00647703"/>
    <w:rsid w:val="0064776C"/>
    <w:rsid w:val="00647C73"/>
    <w:rsid w:val="006509AC"/>
    <w:rsid w:val="00650B2D"/>
    <w:rsid w:val="00651177"/>
    <w:rsid w:val="006517D6"/>
    <w:rsid w:val="00651E51"/>
    <w:rsid w:val="00652432"/>
    <w:rsid w:val="006537B3"/>
    <w:rsid w:val="00653CF3"/>
    <w:rsid w:val="00654456"/>
    <w:rsid w:val="00654F68"/>
    <w:rsid w:val="00657840"/>
    <w:rsid w:val="00657C5D"/>
    <w:rsid w:val="0066003C"/>
    <w:rsid w:val="0066041E"/>
    <w:rsid w:val="006615F2"/>
    <w:rsid w:val="0066265A"/>
    <w:rsid w:val="00663908"/>
    <w:rsid w:val="00663AF3"/>
    <w:rsid w:val="00665272"/>
    <w:rsid w:val="00666D4F"/>
    <w:rsid w:val="0066736D"/>
    <w:rsid w:val="0066790F"/>
    <w:rsid w:val="00667BA2"/>
    <w:rsid w:val="0067349F"/>
    <w:rsid w:val="00673684"/>
    <w:rsid w:val="00673CCC"/>
    <w:rsid w:val="00673DED"/>
    <w:rsid w:val="00675146"/>
    <w:rsid w:val="00675C98"/>
    <w:rsid w:val="00675E28"/>
    <w:rsid w:val="006765A9"/>
    <w:rsid w:val="0067711B"/>
    <w:rsid w:val="006776F4"/>
    <w:rsid w:val="0068137F"/>
    <w:rsid w:val="00681579"/>
    <w:rsid w:val="00682180"/>
    <w:rsid w:val="00682F46"/>
    <w:rsid w:val="006847B0"/>
    <w:rsid w:val="00685028"/>
    <w:rsid w:val="0068603E"/>
    <w:rsid w:val="00686AFF"/>
    <w:rsid w:val="006872BA"/>
    <w:rsid w:val="0069026B"/>
    <w:rsid w:val="00691F5F"/>
    <w:rsid w:val="00692733"/>
    <w:rsid w:val="00692995"/>
    <w:rsid w:val="00692D20"/>
    <w:rsid w:val="00693AA7"/>
    <w:rsid w:val="00694611"/>
    <w:rsid w:val="006956EA"/>
    <w:rsid w:val="00695AFB"/>
    <w:rsid w:val="00695B39"/>
    <w:rsid w:val="0069789D"/>
    <w:rsid w:val="006A0908"/>
    <w:rsid w:val="006A0EC8"/>
    <w:rsid w:val="006A19EC"/>
    <w:rsid w:val="006A3109"/>
    <w:rsid w:val="006A34E6"/>
    <w:rsid w:val="006A3A71"/>
    <w:rsid w:val="006A3C88"/>
    <w:rsid w:val="006A4098"/>
    <w:rsid w:val="006A40BC"/>
    <w:rsid w:val="006A490C"/>
    <w:rsid w:val="006A4D30"/>
    <w:rsid w:val="006A5037"/>
    <w:rsid w:val="006A55D4"/>
    <w:rsid w:val="006A6071"/>
    <w:rsid w:val="006A664D"/>
    <w:rsid w:val="006A697C"/>
    <w:rsid w:val="006A6C9F"/>
    <w:rsid w:val="006A7630"/>
    <w:rsid w:val="006A7963"/>
    <w:rsid w:val="006A7DC3"/>
    <w:rsid w:val="006B0118"/>
    <w:rsid w:val="006B43CD"/>
    <w:rsid w:val="006B49F1"/>
    <w:rsid w:val="006B4F7D"/>
    <w:rsid w:val="006B581A"/>
    <w:rsid w:val="006B633E"/>
    <w:rsid w:val="006B638B"/>
    <w:rsid w:val="006B6C66"/>
    <w:rsid w:val="006B71AD"/>
    <w:rsid w:val="006C0B7A"/>
    <w:rsid w:val="006C114C"/>
    <w:rsid w:val="006C2610"/>
    <w:rsid w:val="006C3864"/>
    <w:rsid w:val="006C3C4C"/>
    <w:rsid w:val="006C427C"/>
    <w:rsid w:val="006C48F6"/>
    <w:rsid w:val="006C529B"/>
    <w:rsid w:val="006C5383"/>
    <w:rsid w:val="006C5E72"/>
    <w:rsid w:val="006C658C"/>
    <w:rsid w:val="006C6633"/>
    <w:rsid w:val="006C6B06"/>
    <w:rsid w:val="006C786F"/>
    <w:rsid w:val="006D1AE6"/>
    <w:rsid w:val="006D24D8"/>
    <w:rsid w:val="006D2AEC"/>
    <w:rsid w:val="006D33BD"/>
    <w:rsid w:val="006D48A1"/>
    <w:rsid w:val="006D4C8E"/>
    <w:rsid w:val="006D5E7F"/>
    <w:rsid w:val="006D61B1"/>
    <w:rsid w:val="006D6C72"/>
    <w:rsid w:val="006D77AB"/>
    <w:rsid w:val="006D7E06"/>
    <w:rsid w:val="006E011B"/>
    <w:rsid w:val="006E19D1"/>
    <w:rsid w:val="006E1CBB"/>
    <w:rsid w:val="006E1DF7"/>
    <w:rsid w:val="006E301D"/>
    <w:rsid w:val="006E427B"/>
    <w:rsid w:val="006E4317"/>
    <w:rsid w:val="006E4B8F"/>
    <w:rsid w:val="006E778D"/>
    <w:rsid w:val="006F100B"/>
    <w:rsid w:val="006F1422"/>
    <w:rsid w:val="006F1585"/>
    <w:rsid w:val="006F1F54"/>
    <w:rsid w:val="006F239A"/>
    <w:rsid w:val="006F2C9D"/>
    <w:rsid w:val="006F3B10"/>
    <w:rsid w:val="006F5427"/>
    <w:rsid w:val="006F6101"/>
    <w:rsid w:val="00701D20"/>
    <w:rsid w:val="00701DF4"/>
    <w:rsid w:val="00702EC6"/>
    <w:rsid w:val="00704292"/>
    <w:rsid w:val="0070637D"/>
    <w:rsid w:val="007071DD"/>
    <w:rsid w:val="0070771F"/>
    <w:rsid w:val="007079A7"/>
    <w:rsid w:val="007108E1"/>
    <w:rsid w:val="00712A14"/>
    <w:rsid w:val="0071322B"/>
    <w:rsid w:val="007135EC"/>
    <w:rsid w:val="00713997"/>
    <w:rsid w:val="00713C6A"/>
    <w:rsid w:val="007147CD"/>
    <w:rsid w:val="00715A47"/>
    <w:rsid w:val="00716C04"/>
    <w:rsid w:val="00716C41"/>
    <w:rsid w:val="00717180"/>
    <w:rsid w:val="007179D2"/>
    <w:rsid w:val="00720750"/>
    <w:rsid w:val="00720D54"/>
    <w:rsid w:val="00721B4B"/>
    <w:rsid w:val="007229D8"/>
    <w:rsid w:val="007229EF"/>
    <w:rsid w:val="00722A7D"/>
    <w:rsid w:val="00722DAE"/>
    <w:rsid w:val="007232C2"/>
    <w:rsid w:val="007233DA"/>
    <w:rsid w:val="00723844"/>
    <w:rsid w:val="00724437"/>
    <w:rsid w:val="0072466D"/>
    <w:rsid w:val="00725327"/>
    <w:rsid w:val="0072549C"/>
    <w:rsid w:val="00725A80"/>
    <w:rsid w:val="007260F7"/>
    <w:rsid w:val="0072649A"/>
    <w:rsid w:val="0072793F"/>
    <w:rsid w:val="00727C09"/>
    <w:rsid w:val="00730107"/>
    <w:rsid w:val="0073039B"/>
    <w:rsid w:val="00731261"/>
    <w:rsid w:val="00731764"/>
    <w:rsid w:val="007329F3"/>
    <w:rsid w:val="00732C9D"/>
    <w:rsid w:val="00733970"/>
    <w:rsid w:val="00734A78"/>
    <w:rsid w:val="00734B96"/>
    <w:rsid w:val="00735EDB"/>
    <w:rsid w:val="00735F7C"/>
    <w:rsid w:val="007365DE"/>
    <w:rsid w:val="00737E68"/>
    <w:rsid w:val="00740355"/>
    <w:rsid w:val="00740F1B"/>
    <w:rsid w:val="00741EAD"/>
    <w:rsid w:val="00742E6C"/>
    <w:rsid w:val="00744E50"/>
    <w:rsid w:val="0074587C"/>
    <w:rsid w:val="00747A4E"/>
    <w:rsid w:val="00750359"/>
    <w:rsid w:val="0075107A"/>
    <w:rsid w:val="007539FA"/>
    <w:rsid w:val="0075485A"/>
    <w:rsid w:val="00754C58"/>
    <w:rsid w:val="0075617C"/>
    <w:rsid w:val="00760281"/>
    <w:rsid w:val="007605DB"/>
    <w:rsid w:val="007610C0"/>
    <w:rsid w:val="00761275"/>
    <w:rsid w:val="00762E98"/>
    <w:rsid w:val="0076379D"/>
    <w:rsid w:val="00765B21"/>
    <w:rsid w:val="00766B8E"/>
    <w:rsid w:val="00767565"/>
    <w:rsid w:val="00767F04"/>
    <w:rsid w:val="00770F42"/>
    <w:rsid w:val="00772040"/>
    <w:rsid w:val="00772491"/>
    <w:rsid w:val="00773662"/>
    <w:rsid w:val="00774762"/>
    <w:rsid w:val="00775353"/>
    <w:rsid w:val="0077649A"/>
    <w:rsid w:val="00776B61"/>
    <w:rsid w:val="00776CC0"/>
    <w:rsid w:val="00776E78"/>
    <w:rsid w:val="00776F56"/>
    <w:rsid w:val="00776FCA"/>
    <w:rsid w:val="007776DA"/>
    <w:rsid w:val="00777BB3"/>
    <w:rsid w:val="00777CD1"/>
    <w:rsid w:val="00780075"/>
    <w:rsid w:val="007804AE"/>
    <w:rsid w:val="007812D4"/>
    <w:rsid w:val="0078138A"/>
    <w:rsid w:val="00781D6D"/>
    <w:rsid w:val="0078208F"/>
    <w:rsid w:val="007824C3"/>
    <w:rsid w:val="00782B43"/>
    <w:rsid w:val="00783014"/>
    <w:rsid w:val="007834DC"/>
    <w:rsid w:val="00783A9F"/>
    <w:rsid w:val="00786C60"/>
    <w:rsid w:val="00787256"/>
    <w:rsid w:val="00787257"/>
    <w:rsid w:val="00790DEC"/>
    <w:rsid w:val="007920E6"/>
    <w:rsid w:val="00792116"/>
    <w:rsid w:val="0079264D"/>
    <w:rsid w:val="0079349F"/>
    <w:rsid w:val="007936C5"/>
    <w:rsid w:val="00793A7E"/>
    <w:rsid w:val="00793D14"/>
    <w:rsid w:val="00794CD4"/>
    <w:rsid w:val="007955EF"/>
    <w:rsid w:val="007959D8"/>
    <w:rsid w:val="0079630F"/>
    <w:rsid w:val="0079701B"/>
    <w:rsid w:val="007A007F"/>
    <w:rsid w:val="007A04C2"/>
    <w:rsid w:val="007A08B2"/>
    <w:rsid w:val="007A3B06"/>
    <w:rsid w:val="007A48A9"/>
    <w:rsid w:val="007A4F33"/>
    <w:rsid w:val="007A4F3C"/>
    <w:rsid w:val="007A698E"/>
    <w:rsid w:val="007A7321"/>
    <w:rsid w:val="007B146A"/>
    <w:rsid w:val="007B496D"/>
    <w:rsid w:val="007B5842"/>
    <w:rsid w:val="007C0E7C"/>
    <w:rsid w:val="007C0EAA"/>
    <w:rsid w:val="007C132F"/>
    <w:rsid w:val="007C17B4"/>
    <w:rsid w:val="007C2CB7"/>
    <w:rsid w:val="007C3435"/>
    <w:rsid w:val="007C4309"/>
    <w:rsid w:val="007C44B2"/>
    <w:rsid w:val="007C49FD"/>
    <w:rsid w:val="007C4B2C"/>
    <w:rsid w:val="007C5758"/>
    <w:rsid w:val="007C6496"/>
    <w:rsid w:val="007C745E"/>
    <w:rsid w:val="007C7714"/>
    <w:rsid w:val="007C7C34"/>
    <w:rsid w:val="007D16EB"/>
    <w:rsid w:val="007D3546"/>
    <w:rsid w:val="007D3743"/>
    <w:rsid w:val="007D562F"/>
    <w:rsid w:val="007D5666"/>
    <w:rsid w:val="007D5D54"/>
    <w:rsid w:val="007D6CFC"/>
    <w:rsid w:val="007E04F3"/>
    <w:rsid w:val="007E077A"/>
    <w:rsid w:val="007E1237"/>
    <w:rsid w:val="007E3F8C"/>
    <w:rsid w:val="007E6C9A"/>
    <w:rsid w:val="007E78F6"/>
    <w:rsid w:val="007F1BE2"/>
    <w:rsid w:val="007F2058"/>
    <w:rsid w:val="007F3F2F"/>
    <w:rsid w:val="007F4F57"/>
    <w:rsid w:val="007F5BE8"/>
    <w:rsid w:val="007F6AF6"/>
    <w:rsid w:val="007F7253"/>
    <w:rsid w:val="007F7685"/>
    <w:rsid w:val="007F7A0E"/>
    <w:rsid w:val="0080011D"/>
    <w:rsid w:val="0080029B"/>
    <w:rsid w:val="008002B7"/>
    <w:rsid w:val="00800605"/>
    <w:rsid w:val="00800EA5"/>
    <w:rsid w:val="00801C01"/>
    <w:rsid w:val="00801C45"/>
    <w:rsid w:val="00803A8F"/>
    <w:rsid w:val="00805FBE"/>
    <w:rsid w:val="008061DD"/>
    <w:rsid w:val="00810F54"/>
    <w:rsid w:val="008130BB"/>
    <w:rsid w:val="008141B1"/>
    <w:rsid w:val="0081565A"/>
    <w:rsid w:val="00816850"/>
    <w:rsid w:val="00816B31"/>
    <w:rsid w:val="00817AAF"/>
    <w:rsid w:val="008237FA"/>
    <w:rsid w:val="008256E8"/>
    <w:rsid w:val="00825D37"/>
    <w:rsid w:val="0082617C"/>
    <w:rsid w:val="00826292"/>
    <w:rsid w:val="00826692"/>
    <w:rsid w:val="00826701"/>
    <w:rsid w:val="00826CC3"/>
    <w:rsid w:val="0083243A"/>
    <w:rsid w:val="0083312F"/>
    <w:rsid w:val="00834215"/>
    <w:rsid w:val="008358B7"/>
    <w:rsid w:val="008369B0"/>
    <w:rsid w:val="008375FA"/>
    <w:rsid w:val="00837EE5"/>
    <w:rsid w:val="008404AC"/>
    <w:rsid w:val="0084170F"/>
    <w:rsid w:val="008422A3"/>
    <w:rsid w:val="00842AE6"/>
    <w:rsid w:val="00847773"/>
    <w:rsid w:val="00850C41"/>
    <w:rsid w:val="0085110B"/>
    <w:rsid w:val="00852228"/>
    <w:rsid w:val="00852911"/>
    <w:rsid w:val="00852BDE"/>
    <w:rsid w:val="00853A59"/>
    <w:rsid w:val="0085473F"/>
    <w:rsid w:val="00855905"/>
    <w:rsid w:val="0085732C"/>
    <w:rsid w:val="00860B45"/>
    <w:rsid w:val="00860CAA"/>
    <w:rsid w:val="00860CD4"/>
    <w:rsid w:val="00861077"/>
    <w:rsid w:val="00861CC1"/>
    <w:rsid w:val="008623EC"/>
    <w:rsid w:val="00862D2D"/>
    <w:rsid w:val="0086346F"/>
    <w:rsid w:val="0086366A"/>
    <w:rsid w:val="00863860"/>
    <w:rsid w:val="008638B5"/>
    <w:rsid w:val="008642DA"/>
    <w:rsid w:val="0086570E"/>
    <w:rsid w:val="00866F09"/>
    <w:rsid w:val="00866F2C"/>
    <w:rsid w:val="0087053F"/>
    <w:rsid w:val="00871058"/>
    <w:rsid w:val="00871A39"/>
    <w:rsid w:val="00872702"/>
    <w:rsid w:val="00872706"/>
    <w:rsid w:val="00873200"/>
    <w:rsid w:val="008734DB"/>
    <w:rsid w:val="0087390B"/>
    <w:rsid w:val="008745A1"/>
    <w:rsid w:val="00874E3D"/>
    <w:rsid w:val="008751A2"/>
    <w:rsid w:val="00875428"/>
    <w:rsid w:val="008757E4"/>
    <w:rsid w:val="008768E9"/>
    <w:rsid w:val="00877118"/>
    <w:rsid w:val="0087751B"/>
    <w:rsid w:val="00877611"/>
    <w:rsid w:val="008807CE"/>
    <w:rsid w:val="008813D6"/>
    <w:rsid w:val="00881714"/>
    <w:rsid w:val="00881DC1"/>
    <w:rsid w:val="00882384"/>
    <w:rsid w:val="0088271B"/>
    <w:rsid w:val="008835D0"/>
    <w:rsid w:val="00884CB8"/>
    <w:rsid w:val="00885042"/>
    <w:rsid w:val="00887307"/>
    <w:rsid w:val="00887AC0"/>
    <w:rsid w:val="00887E97"/>
    <w:rsid w:val="0089021A"/>
    <w:rsid w:val="00890269"/>
    <w:rsid w:val="00890995"/>
    <w:rsid w:val="008914FB"/>
    <w:rsid w:val="008916A0"/>
    <w:rsid w:val="0089245D"/>
    <w:rsid w:val="00892DD2"/>
    <w:rsid w:val="00892FE5"/>
    <w:rsid w:val="0089415F"/>
    <w:rsid w:val="008957FC"/>
    <w:rsid w:val="0089586B"/>
    <w:rsid w:val="008960D0"/>
    <w:rsid w:val="00896E04"/>
    <w:rsid w:val="00897E99"/>
    <w:rsid w:val="008A0495"/>
    <w:rsid w:val="008A28A7"/>
    <w:rsid w:val="008A3213"/>
    <w:rsid w:val="008A4829"/>
    <w:rsid w:val="008A58F3"/>
    <w:rsid w:val="008A7891"/>
    <w:rsid w:val="008A7A0C"/>
    <w:rsid w:val="008B0973"/>
    <w:rsid w:val="008B110D"/>
    <w:rsid w:val="008B237F"/>
    <w:rsid w:val="008B2384"/>
    <w:rsid w:val="008B38D6"/>
    <w:rsid w:val="008B4802"/>
    <w:rsid w:val="008B69E3"/>
    <w:rsid w:val="008B76FE"/>
    <w:rsid w:val="008C0C45"/>
    <w:rsid w:val="008C15DB"/>
    <w:rsid w:val="008C1FD1"/>
    <w:rsid w:val="008C24A8"/>
    <w:rsid w:val="008C25AC"/>
    <w:rsid w:val="008C2BF6"/>
    <w:rsid w:val="008C3084"/>
    <w:rsid w:val="008C35EF"/>
    <w:rsid w:val="008C3E6B"/>
    <w:rsid w:val="008C53C8"/>
    <w:rsid w:val="008C552C"/>
    <w:rsid w:val="008C5996"/>
    <w:rsid w:val="008C60CC"/>
    <w:rsid w:val="008C66B3"/>
    <w:rsid w:val="008C789A"/>
    <w:rsid w:val="008D0E6F"/>
    <w:rsid w:val="008D13B3"/>
    <w:rsid w:val="008D300A"/>
    <w:rsid w:val="008D3924"/>
    <w:rsid w:val="008D5A11"/>
    <w:rsid w:val="008D5E23"/>
    <w:rsid w:val="008D6292"/>
    <w:rsid w:val="008D75B9"/>
    <w:rsid w:val="008D7646"/>
    <w:rsid w:val="008D7FDA"/>
    <w:rsid w:val="008E208F"/>
    <w:rsid w:val="008E263F"/>
    <w:rsid w:val="008E2D6E"/>
    <w:rsid w:val="008E365B"/>
    <w:rsid w:val="008E5721"/>
    <w:rsid w:val="008E5F95"/>
    <w:rsid w:val="008E645D"/>
    <w:rsid w:val="008E6D59"/>
    <w:rsid w:val="008E7D4F"/>
    <w:rsid w:val="008F03CE"/>
    <w:rsid w:val="008F092D"/>
    <w:rsid w:val="008F0E83"/>
    <w:rsid w:val="008F1079"/>
    <w:rsid w:val="008F2ABC"/>
    <w:rsid w:val="008F2CB0"/>
    <w:rsid w:val="008F2E20"/>
    <w:rsid w:val="008F4F80"/>
    <w:rsid w:val="008F5D66"/>
    <w:rsid w:val="008F5FCF"/>
    <w:rsid w:val="008F6068"/>
    <w:rsid w:val="008F794F"/>
    <w:rsid w:val="00900875"/>
    <w:rsid w:val="0090152F"/>
    <w:rsid w:val="009017C6"/>
    <w:rsid w:val="00901B72"/>
    <w:rsid w:val="00901BD1"/>
    <w:rsid w:val="00901D3B"/>
    <w:rsid w:val="009025D5"/>
    <w:rsid w:val="00902858"/>
    <w:rsid w:val="009028AA"/>
    <w:rsid w:val="00902F78"/>
    <w:rsid w:val="0090365B"/>
    <w:rsid w:val="00903E3F"/>
    <w:rsid w:val="00903E48"/>
    <w:rsid w:val="0090443D"/>
    <w:rsid w:val="009049C3"/>
    <w:rsid w:val="00905361"/>
    <w:rsid w:val="009057D9"/>
    <w:rsid w:val="009059BB"/>
    <w:rsid w:val="00906571"/>
    <w:rsid w:val="00906A8E"/>
    <w:rsid w:val="0090727D"/>
    <w:rsid w:val="0090774A"/>
    <w:rsid w:val="00910CB3"/>
    <w:rsid w:val="00910CEC"/>
    <w:rsid w:val="00910D07"/>
    <w:rsid w:val="00910FFE"/>
    <w:rsid w:val="009113AA"/>
    <w:rsid w:val="009122A9"/>
    <w:rsid w:val="00914B2F"/>
    <w:rsid w:val="00914E34"/>
    <w:rsid w:val="00914ECA"/>
    <w:rsid w:val="00914F90"/>
    <w:rsid w:val="009150E6"/>
    <w:rsid w:val="009168B2"/>
    <w:rsid w:val="00916FCF"/>
    <w:rsid w:val="0091700B"/>
    <w:rsid w:val="009174A1"/>
    <w:rsid w:val="00917815"/>
    <w:rsid w:val="00917F89"/>
    <w:rsid w:val="00917FDC"/>
    <w:rsid w:val="009204C4"/>
    <w:rsid w:val="00921490"/>
    <w:rsid w:val="00922C23"/>
    <w:rsid w:val="00923F38"/>
    <w:rsid w:val="009253A5"/>
    <w:rsid w:val="009255EE"/>
    <w:rsid w:val="00925603"/>
    <w:rsid w:val="00925F76"/>
    <w:rsid w:val="00926822"/>
    <w:rsid w:val="00930783"/>
    <w:rsid w:val="00930E56"/>
    <w:rsid w:val="00931600"/>
    <w:rsid w:val="00931D5B"/>
    <w:rsid w:val="009323B7"/>
    <w:rsid w:val="00932731"/>
    <w:rsid w:val="00932E89"/>
    <w:rsid w:val="0093359D"/>
    <w:rsid w:val="0093372F"/>
    <w:rsid w:val="00933C78"/>
    <w:rsid w:val="00933F2B"/>
    <w:rsid w:val="00934BE0"/>
    <w:rsid w:val="00934E2F"/>
    <w:rsid w:val="00934E9B"/>
    <w:rsid w:val="00935D81"/>
    <w:rsid w:val="00936D9C"/>
    <w:rsid w:val="009377DA"/>
    <w:rsid w:val="00940D25"/>
    <w:rsid w:val="00941406"/>
    <w:rsid w:val="0094238F"/>
    <w:rsid w:val="00942B5A"/>
    <w:rsid w:val="00942EEB"/>
    <w:rsid w:val="0094468E"/>
    <w:rsid w:val="00945261"/>
    <w:rsid w:val="00946FD9"/>
    <w:rsid w:val="009479F8"/>
    <w:rsid w:val="00950362"/>
    <w:rsid w:val="0095069B"/>
    <w:rsid w:val="009506A5"/>
    <w:rsid w:val="00950D6A"/>
    <w:rsid w:val="00951C7A"/>
    <w:rsid w:val="00951F07"/>
    <w:rsid w:val="0095229C"/>
    <w:rsid w:val="00952B84"/>
    <w:rsid w:val="00953482"/>
    <w:rsid w:val="00953C23"/>
    <w:rsid w:val="009541CC"/>
    <w:rsid w:val="00954863"/>
    <w:rsid w:val="0095535C"/>
    <w:rsid w:val="009556B4"/>
    <w:rsid w:val="00955B46"/>
    <w:rsid w:val="0095636C"/>
    <w:rsid w:val="00956564"/>
    <w:rsid w:val="00956581"/>
    <w:rsid w:val="00956D5A"/>
    <w:rsid w:val="009571B8"/>
    <w:rsid w:val="0095746C"/>
    <w:rsid w:val="00957C0D"/>
    <w:rsid w:val="009604CB"/>
    <w:rsid w:val="009605AF"/>
    <w:rsid w:val="00960F71"/>
    <w:rsid w:val="0096130D"/>
    <w:rsid w:val="00961B2C"/>
    <w:rsid w:val="00961DBB"/>
    <w:rsid w:val="009623D3"/>
    <w:rsid w:val="009638D3"/>
    <w:rsid w:val="0096618E"/>
    <w:rsid w:val="009679BC"/>
    <w:rsid w:val="00967FD9"/>
    <w:rsid w:val="00970A1C"/>
    <w:rsid w:val="00971373"/>
    <w:rsid w:val="00971684"/>
    <w:rsid w:val="00971992"/>
    <w:rsid w:val="00972845"/>
    <w:rsid w:val="00973846"/>
    <w:rsid w:val="009745A4"/>
    <w:rsid w:val="009745BB"/>
    <w:rsid w:val="009754B8"/>
    <w:rsid w:val="00975961"/>
    <w:rsid w:val="00976CE8"/>
    <w:rsid w:val="00977067"/>
    <w:rsid w:val="00977AD5"/>
    <w:rsid w:val="00980FD4"/>
    <w:rsid w:val="00981433"/>
    <w:rsid w:val="00981F73"/>
    <w:rsid w:val="0098259E"/>
    <w:rsid w:val="00982FC0"/>
    <w:rsid w:val="00983751"/>
    <w:rsid w:val="0098444A"/>
    <w:rsid w:val="00985215"/>
    <w:rsid w:val="0098533B"/>
    <w:rsid w:val="00985C07"/>
    <w:rsid w:val="00985CB6"/>
    <w:rsid w:val="009865E1"/>
    <w:rsid w:val="00987838"/>
    <w:rsid w:val="00987853"/>
    <w:rsid w:val="0099049E"/>
    <w:rsid w:val="00990F6C"/>
    <w:rsid w:val="00991A09"/>
    <w:rsid w:val="0099208F"/>
    <w:rsid w:val="009922E9"/>
    <w:rsid w:val="0099265D"/>
    <w:rsid w:val="0099362D"/>
    <w:rsid w:val="00994008"/>
    <w:rsid w:val="00994DC1"/>
    <w:rsid w:val="00994FCE"/>
    <w:rsid w:val="00995B4F"/>
    <w:rsid w:val="009961F0"/>
    <w:rsid w:val="00997582"/>
    <w:rsid w:val="009A117A"/>
    <w:rsid w:val="009A2763"/>
    <w:rsid w:val="009A2C21"/>
    <w:rsid w:val="009A3E58"/>
    <w:rsid w:val="009A4ED5"/>
    <w:rsid w:val="009A5D78"/>
    <w:rsid w:val="009A5F02"/>
    <w:rsid w:val="009A6CE2"/>
    <w:rsid w:val="009A6F49"/>
    <w:rsid w:val="009A7348"/>
    <w:rsid w:val="009A7AB1"/>
    <w:rsid w:val="009B02C1"/>
    <w:rsid w:val="009B0B0B"/>
    <w:rsid w:val="009B111D"/>
    <w:rsid w:val="009B13B7"/>
    <w:rsid w:val="009B1B41"/>
    <w:rsid w:val="009B215C"/>
    <w:rsid w:val="009B4C73"/>
    <w:rsid w:val="009B4C9F"/>
    <w:rsid w:val="009B5EFD"/>
    <w:rsid w:val="009B7B91"/>
    <w:rsid w:val="009B7C23"/>
    <w:rsid w:val="009B7C4A"/>
    <w:rsid w:val="009C0811"/>
    <w:rsid w:val="009C1082"/>
    <w:rsid w:val="009C62CD"/>
    <w:rsid w:val="009C6811"/>
    <w:rsid w:val="009C6DAA"/>
    <w:rsid w:val="009C75E3"/>
    <w:rsid w:val="009C7CE6"/>
    <w:rsid w:val="009D0E74"/>
    <w:rsid w:val="009D0F91"/>
    <w:rsid w:val="009D1411"/>
    <w:rsid w:val="009D1A96"/>
    <w:rsid w:val="009D2303"/>
    <w:rsid w:val="009D2465"/>
    <w:rsid w:val="009D370B"/>
    <w:rsid w:val="009D397C"/>
    <w:rsid w:val="009D6893"/>
    <w:rsid w:val="009D6CEA"/>
    <w:rsid w:val="009D7068"/>
    <w:rsid w:val="009D7F37"/>
    <w:rsid w:val="009E1EEE"/>
    <w:rsid w:val="009E2087"/>
    <w:rsid w:val="009E252B"/>
    <w:rsid w:val="009E2AE0"/>
    <w:rsid w:val="009E2E1A"/>
    <w:rsid w:val="009E2F3A"/>
    <w:rsid w:val="009E3265"/>
    <w:rsid w:val="009E3353"/>
    <w:rsid w:val="009E3F3A"/>
    <w:rsid w:val="009E428B"/>
    <w:rsid w:val="009E446D"/>
    <w:rsid w:val="009E4F33"/>
    <w:rsid w:val="009E58EA"/>
    <w:rsid w:val="009E6896"/>
    <w:rsid w:val="009E7C09"/>
    <w:rsid w:val="009F0A5A"/>
    <w:rsid w:val="009F0AF7"/>
    <w:rsid w:val="009F11F6"/>
    <w:rsid w:val="009F146D"/>
    <w:rsid w:val="009F34D5"/>
    <w:rsid w:val="009F35BA"/>
    <w:rsid w:val="009F444A"/>
    <w:rsid w:val="009F4B39"/>
    <w:rsid w:val="009F4F1E"/>
    <w:rsid w:val="009F53AE"/>
    <w:rsid w:val="009F5458"/>
    <w:rsid w:val="009F5E78"/>
    <w:rsid w:val="009F5ECA"/>
    <w:rsid w:val="009F6EC2"/>
    <w:rsid w:val="009F768D"/>
    <w:rsid w:val="00A00D4E"/>
    <w:rsid w:val="00A01012"/>
    <w:rsid w:val="00A01323"/>
    <w:rsid w:val="00A015E4"/>
    <w:rsid w:val="00A01960"/>
    <w:rsid w:val="00A01DA5"/>
    <w:rsid w:val="00A02CFC"/>
    <w:rsid w:val="00A0332A"/>
    <w:rsid w:val="00A03E3E"/>
    <w:rsid w:val="00A03F6F"/>
    <w:rsid w:val="00A04836"/>
    <w:rsid w:val="00A04AC9"/>
    <w:rsid w:val="00A052CF"/>
    <w:rsid w:val="00A058CB"/>
    <w:rsid w:val="00A075BC"/>
    <w:rsid w:val="00A11222"/>
    <w:rsid w:val="00A1189C"/>
    <w:rsid w:val="00A11BBB"/>
    <w:rsid w:val="00A12C39"/>
    <w:rsid w:val="00A134FB"/>
    <w:rsid w:val="00A13F00"/>
    <w:rsid w:val="00A13FBE"/>
    <w:rsid w:val="00A1468E"/>
    <w:rsid w:val="00A15FAA"/>
    <w:rsid w:val="00A1764B"/>
    <w:rsid w:val="00A17EF8"/>
    <w:rsid w:val="00A20305"/>
    <w:rsid w:val="00A20802"/>
    <w:rsid w:val="00A2119D"/>
    <w:rsid w:val="00A211A7"/>
    <w:rsid w:val="00A225E6"/>
    <w:rsid w:val="00A23A7B"/>
    <w:rsid w:val="00A2522D"/>
    <w:rsid w:val="00A25B4F"/>
    <w:rsid w:val="00A26178"/>
    <w:rsid w:val="00A303F7"/>
    <w:rsid w:val="00A349A8"/>
    <w:rsid w:val="00A358DD"/>
    <w:rsid w:val="00A35D4E"/>
    <w:rsid w:val="00A363E9"/>
    <w:rsid w:val="00A37164"/>
    <w:rsid w:val="00A37A17"/>
    <w:rsid w:val="00A37CF4"/>
    <w:rsid w:val="00A40BE9"/>
    <w:rsid w:val="00A40F11"/>
    <w:rsid w:val="00A41124"/>
    <w:rsid w:val="00A42298"/>
    <w:rsid w:val="00A42848"/>
    <w:rsid w:val="00A4286A"/>
    <w:rsid w:val="00A43049"/>
    <w:rsid w:val="00A442BF"/>
    <w:rsid w:val="00A45914"/>
    <w:rsid w:val="00A46235"/>
    <w:rsid w:val="00A46A4A"/>
    <w:rsid w:val="00A52692"/>
    <w:rsid w:val="00A53674"/>
    <w:rsid w:val="00A53716"/>
    <w:rsid w:val="00A54060"/>
    <w:rsid w:val="00A5426A"/>
    <w:rsid w:val="00A549AA"/>
    <w:rsid w:val="00A5629E"/>
    <w:rsid w:val="00A56A4A"/>
    <w:rsid w:val="00A56C65"/>
    <w:rsid w:val="00A579E9"/>
    <w:rsid w:val="00A602C8"/>
    <w:rsid w:val="00A602E7"/>
    <w:rsid w:val="00A625A3"/>
    <w:rsid w:val="00A6276B"/>
    <w:rsid w:val="00A62869"/>
    <w:rsid w:val="00A62BA1"/>
    <w:rsid w:val="00A62EF8"/>
    <w:rsid w:val="00A63534"/>
    <w:rsid w:val="00A63D57"/>
    <w:rsid w:val="00A63DC3"/>
    <w:rsid w:val="00A64832"/>
    <w:rsid w:val="00A65FCE"/>
    <w:rsid w:val="00A6603E"/>
    <w:rsid w:val="00A660B0"/>
    <w:rsid w:val="00A7051A"/>
    <w:rsid w:val="00A70534"/>
    <w:rsid w:val="00A70B85"/>
    <w:rsid w:val="00A719FC"/>
    <w:rsid w:val="00A71C12"/>
    <w:rsid w:val="00A72B00"/>
    <w:rsid w:val="00A72FB3"/>
    <w:rsid w:val="00A732DB"/>
    <w:rsid w:val="00A744A2"/>
    <w:rsid w:val="00A75FA0"/>
    <w:rsid w:val="00A769AA"/>
    <w:rsid w:val="00A77918"/>
    <w:rsid w:val="00A7798E"/>
    <w:rsid w:val="00A77F7C"/>
    <w:rsid w:val="00A8083F"/>
    <w:rsid w:val="00A80D93"/>
    <w:rsid w:val="00A84A8D"/>
    <w:rsid w:val="00A84EC2"/>
    <w:rsid w:val="00A84FB4"/>
    <w:rsid w:val="00A85161"/>
    <w:rsid w:val="00A85A90"/>
    <w:rsid w:val="00A85EFC"/>
    <w:rsid w:val="00A86F04"/>
    <w:rsid w:val="00A9160E"/>
    <w:rsid w:val="00A92471"/>
    <w:rsid w:val="00A92B30"/>
    <w:rsid w:val="00A92CB9"/>
    <w:rsid w:val="00A93027"/>
    <w:rsid w:val="00A946C4"/>
    <w:rsid w:val="00A94775"/>
    <w:rsid w:val="00A95B0F"/>
    <w:rsid w:val="00A96FFD"/>
    <w:rsid w:val="00A97D3C"/>
    <w:rsid w:val="00AA077E"/>
    <w:rsid w:val="00AA1E69"/>
    <w:rsid w:val="00AA41B6"/>
    <w:rsid w:val="00AA4B4B"/>
    <w:rsid w:val="00AA4BB3"/>
    <w:rsid w:val="00AA5161"/>
    <w:rsid w:val="00AA672B"/>
    <w:rsid w:val="00AA6FE2"/>
    <w:rsid w:val="00AA7753"/>
    <w:rsid w:val="00AA7C16"/>
    <w:rsid w:val="00AA7FBA"/>
    <w:rsid w:val="00AB1697"/>
    <w:rsid w:val="00AB1D76"/>
    <w:rsid w:val="00AB3C60"/>
    <w:rsid w:val="00AB40B2"/>
    <w:rsid w:val="00AB5371"/>
    <w:rsid w:val="00AB5A52"/>
    <w:rsid w:val="00AC01F8"/>
    <w:rsid w:val="00AC059A"/>
    <w:rsid w:val="00AC14D8"/>
    <w:rsid w:val="00AC1993"/>
    <w:rsid w:val="00AC19F1"/>
    <w:rsid w:val="00AC2475"/>
    <w:rsid w:val="00AC41AC"/>
    <w:rsid w:val="00AC46A7"/>
    <w:rsid w:val="00AC65A6"/>
    <w:rsid w:val="00AC6DE4"/>
    <w:rsid w:val="00AC6EBF"/>
    <w:rsid w:val="00AD0308"/>
    <w:rsid w:val="00AD10B3"/>
    <w:rsid w:val="00AD15D5"/>
    <w:rsid w:val="00AD1A91"/>
    <w:rsid w:val="00AD2F6B"/>
    <w:rsid w:val="00AD377A"/>
    <w:rsid w:val="00AD484C"/>
    <w:rsid w:val="00AD56C4"/>
    <w:rsid w:val="00AD6247"/>
    <w:rsid w:val="00AD65A4"/>
    <w:rsid w:val="00AD67BB"/>
    <w:rsid w:val="00AD6CD0"/>
    <w:rsid w:val="00AE1C42"/>
    <w:rsid w:val="00AE1CC1"/>
    <w:rsid w:val="00AE2361"/>
    <w:rsid w:val="00AE3C21"/>
    <w:rsid w:val="00AE3EA4"/>
    <w:rsid w:val="00AE44D1"/>
    <w:rsid w:val="00AE5032"/>
    <w:rsid w:val="00AE53FB"/>
    <w:rsid w:val="00AE6643"/>
    <w:rsid w:val="00AE7431"/>
    <w:rsid w:val="00AE79E6"/>
    <w:rsid w:val="00AE7B81"/>
    <w:rsid w:val="00AF0A77"/>
    <w:rsid w:val="00AF0F3B"/>
    <w:rsid w:val="00AF1AE9"/>
    <w:rsid w:val="00AF1B02"/>
    <w:rsid w:val="00AF1CE9"/>
    <w:rsid w:val="00AF2946"/>
    <w:rsid w:val="00AF41E4"/>
    <w:rsid w:val="00AF4AB9"/>
    <w:rsid w:val="00AF559F"/>
    <w:rsid w:val="00AF6350"/>
    <w:rsid w:val="00AF66B9"/>
    <w:rsid w:val="00AF6CB8"/>
    <w:rsid w:val="00AF739E"/>
    <w:rsid w:val="00AF77FA"/>
    <w:rsid w:val="00AF7E4E"/>
    <w:rsid w:val="00B02B77"/>
    <w:rsid w:val="00B0303F"/>
    <w:rsid w:val="00B033C6"/>
    <w:rsid w:val="00B05310"/>
    <w:rsid w:val="00B056D4"/>
    <w:rsid w:val="00B06A75"/>
    <w:rsid w:val="00B06BC3"/>
    <w:rsid w:val="00B07563"/>
    <w:rsid w:val="00B0789C"/>
    <w:rsid w:val="00B11E59"/>
    <w:rsid w:val="00B12849"/>
    <w:rsid w:val="00B14DDB"/>
    <w:rsid w:val="00B15A0F"/>
    <w:rsid w:val="00B167F1"/>
    <w:rsid w:val="00B169B3"/>
    <w:rsid w:val="00B17FC5"/>
    <w:rsid w:val="00B20236"/>
    <w:rsid w:val="00B20937"/>
    <w:rsid w:val="00B21547"/>
    <w:rsid w:val="00B220A0"/>
    <w:rsid w:val="00B22B64"/>
    <w:rsid w:val="00B22FEA"/>
    <w:rsid w:val="00B23CAE"/>
    <w:rsid w:val="00B24321"/>
    <w:rsid w:val="00B24A4C"/>
    <w:rsid w:val="00B24D6D"/>
    <w:rsid w:val="00B26571"/>
    <w:rsid w:val="00B30AB3"/>
    <w:rsid w:val="00B30FEB"/>
    <w:rsid w:val="00B3126F"/>
    <w:rsid w:val="00B31E49"/>
    <w:rsid w:val="00B32DD9"/>
    <w:rsid w:val="00B32E26"/>
    <w:rsid w:val="00B35272"/>
    <w:rsid w:val="00B37F83"/>
    <w:rsid w:val="00B4014F"/>
    <w:rsid w:val="00B4051B"/>
    <w:rsid w:val="00B40AA3"/>
    <w:rsid w:val="00B4403D"/>
    <w:rsid w:val="00B44478"/>
    <w:rsid w:val="00B46367"/>
    <w:rsid w:val="00B47913"/>
    <w:rsid w:val="00B50750"/>
    <w:rsid w:val="00B50B31"/>
    <w:rsid w:val="00B5130A"/>
    <w:rsid w:val="00B5198E"/>
    <w:rsid w:val="00B5213F"/>
    <w:rsid w:val="00B5215B"/>
    <w:rsid w:val="00B526EB"/>
    <w:rsid w:val="00B53726"/>
    <w:rsid w:val="00B539D6"/>
    <w:rsid w:val="00B53DE8"/>
    <w:rsid w:val="00B54CDE"/>
    <w:rsid w:val="00B55B80"/>
    <w:rsid w:val="00B57AA4"/>
    <w:rsid w:val="00B6002C"/>
    <w:rsid w:val="00B60818"/>
    <w:rsid w:val="00B620EE"/>
    <w:rsid w:val="00B62AA3"/>
    <w:rsid w:val="00B64781"/>
    <w:rsid w:val="00B651C8"/>
    <w:rsid w:val="00B70171"/>
    <w:rsid w:val="00B703A8"/>
    <w:rsid w:val="00B706F4"/>
    <w:rsid w:val="00B70AA5"/>
    <w:rsid w:val="00B7178F"/>
    <w:rsid w:val="00B734C5"/>
    <w:rsid w:val="00B74A3D"/>
    <w:rsid w:val="00B74FFA"/>
    <w:rsid w:val="00B7604A"/>
    <w:rsid w:val="00B77CF7"/>
    <w:rsid w:val="00B80621"/>
    <w:rsid w:val="00B82F21"/>
    <w:rsid w:val="00B835C0"/>
    <w:rsid w:val="00B8453F"/>
    <w:rsid w:val="00B84698"/>
    <w:rsid w:val="00B848D6"/>
    <w:rsid w:val="00B84E2A"/>
    <w:rsid w:val="00B85366"/>
    <w:rsid w:val="00B87F60"/>
    <w:rsid w:val="00B9007B"/>
    <w:rsid w:val="00B90100"/>
    <w:rsid w:val="00B92E0B"/>
    <w:rsid w:val="00B93D3D"/>
    <w:rsid w:val="00B95F33"/>
    <w:rsid w:val="00B96F14"/>
    <w:rsid w:val="00B97BEA"/>
    <w:rsid w:val="00BA0E84"/>
    <w:rsid w:val="00BA1AE3"/>
    <w:rsid w:val="00BA214B"/>
    <w:rsid w:val="00BA2B0D"/>
    <w:rsid w:val="00BA2CED"/>
    <w:rsid w:val="00BA3323"/>
    <w:rsid w:val="00BA36A3"/>
    <w:rsid w:val="00BA4169"/>
    <w:rsid w:val="00BA471F"/>
    <w:rsid w:val="00BA476E"/>
    <w:rsid w:val="00BA4DD1"/>
    <w:rsid w:val="00BA5A32"/>
    <w:rsid w:val="00BA719D"/>
    <w:rsid w:val="00BA72DA"/>
    <w:rsid w:val="00BA74ED"/>
    <w:rsid w:val="00BA7FB9"/>
    <w:rsid w:val="00BB0999"/>
    <w:rsid w:val="00BB142C"/>
    <w:rsid w:val="00BB32A4"/>
    <w:rsid w:val="00BB3458"/>
    <w:rsid w:val="00BB3E55"/>
    <w:rsid w:val="00BB489A"/>
    <w:rsid w:val="00BB5013"/>
    <w:rsid w:val="00BB528E"/>
    <w:rsid w:val="00BB5871"/>
    <w:rsid w:val="00BB5F05"/>
    <w:rsid w:val="00BB6229"/>
    <w:rsid w:val="00BB6E9B"/>
    <w:rsid w:val="00BB6F99"/>
    <w:rsid w:val="00BC062B"/>
    <w:rsid w:val="00BC120B"/>
    <w:rsid w:val="00BC1869"/>
    <w:rsid w:val="00BC1B8F"/>
    <w:rsid w:val="00BC21BF"/>
    <w:rsid w:val="00BC2600"/>
    <w:rsid w:val="00BC36F0"/>
    <w:rsid w:val="00BC3AD6"/>
    <w:rsid w:val="00BC4C05"/>
    <w:rsid w:val="00BC4FA7"/>
    <w:rsid w:val="00BC5310"/>
    <w:rsid w:val="00BC5E30"/>
    <w:rsid w:val="00BC6E29"/>
    <w:rsid w:val="00BC71DE"/>
    <w:rsid w:val="00BC77B3"/>
    <w:rsid w:val="00BC7CBF"/>
    <w:rsid w:val="00BC7D40"/>
    <w:rsid w:val="00BD02C5"/>
    <w:rsid w:val="00BD0348"/>
    <w:rsid w:val="00BD068D"/>
    <w:rsid w:val="00BD13B8"/>
    <w:rsid w:val="00BD153E"/>
    <w:rsid w:val="00BD1754"/>
    <w:rsid w:val="00BD2663"/>
    <w:rsid w:val="00BD2A7A"/>
    <w:rsid w:val="00BD4A0C"/>
    <w:rsid w:val="00BE08AD"/>
    <w:rsid w:val="00BE0D9A"/>
    <w:rsid w:val="00BE12A6"/>
    <w:rsid w:val="00BE1666"/>
    <w:rsid w:val="00BE1A50"/>
    <w:rsid w:val="00BE284A"/>
    <w:rsid w:val="00BE2D68"/>
    <w:rsid w:val="00BE2F0D"/>
    <w:rsid w:val="00BE5085"/>
    <w:rsid w:val="00BE5A8D"/>
    <w:rsid w:val="00BE5FBF"/>
    <w:rsid w:val="00BF0BD5"/>
    <w:rsid w:val="00BF1829"/>
    <w:rsid w:val="00BF1F4F"/>
    <w:rsid w:val="00BF418E"/>
    <w:rsid w:val="00BF526A"/>
    <w:rsid w:val="00BF5579"/>
    <w:rsid w:val="00BF55F8"/>
    <w:rsid w:val="00BF6A42"/>
    <w:rsid w:val="00BF745F"/>
    <w:rsid w:val="00BF79B8"/>
    <w:rsid w:val="00C009AB"/>
    <w:rsid w:val="00C016AF"/>
    <w:rsid w:val="00C01D6B"/>
    <w:rsid w:val="00C01E20"/>
    <w:rsid w:val="00C04E25"/>
    <w:rsid w:val="00C051FD"/>
    <w:rsid w:val="00C0621D"/>
    <w:rsid w:val="00C06563"/>
    <w:rsid w:val="00C06806"/>
    <w:rsid w:val="00C06E38"/>
    <w:rsid w:val="00C07E7F"/>
    <w:rsid w:val="00C10E3A"/>
    <w:rsid w:val="00C1417D"/>
    <w:rsid w:val="00C16CE6"/>
    <w:rsid w:val="00C1714B"/>
    <w:rsid w:val="00C20C7D"/>
    <w:rsid w:val="00C20DEF"/>
    <w:rsid w:val="00C22B8F"/>
    <w:rsid w:val="00C2365D"/>
    <w:rsid w:val="00C23E99"/>
    <w:rsid w:val="00C244CA"/>
    <w:rsid w:val="00C24A58"/>
    <w:rsid w:val="00C24B25"/>
    <w:rsid w:val="00C2640D"/>
    <w:rsid w:val="00C2794F"/>
    <w:rsid w:val="00C30422"/>
    <w:rsid w:val="00C30658"/>
    <w:rsid w:val="00C30D1F"/>
    <w:rsid w:val="00C32C2F"/>
    <w:rsid w:val="00C34A1F"/>
    <w:rsid w:val="00C35A2A"/>
    <w:rsid w:val="00C3738A"/>
    <w:rsid w:val="00C37B2D"/>
    <w:rsid w:val="00C414ED"/>
    <w:rsid w:val="00C4305A"/>
    <w:rsid w:val="00C4315A"/>
    <w:rsid w:val="00C43F5E"/>
    <w:rsid w:val="00C44074"/>
    <w:rsid w:val="00C45C23"/>
    <w:rsid w:val="00C460D6"/>
    <w:rsid w:val="00C4651F"/>
    <w:rsid w:val="00C47573"/>
    <w:rsid w:val="00C476E8"/>
    <w:rsid w:val="00C5014B"/>
    <w:rsid w:val="00C50C09"/>
    <w:rsid w:val="00C513C7"/>
    <w:rsid w:val="00C51D0B"/>
    <w:rsid w:val="00C5278A"/>
    <w:rsid w:val="00C52A50"/>
    <w:rsid w:val="00C53203"/>
    <w:rsid w:val="00C53537"/>
    <w:rsid w:val="00C54D3E"/>
    <w:rsid w:val="00C5533B"/>
    <w:rsid w:val="00C5674D"/>
    <w:rsid w:val="00C57E19"/>
    <w:rsid w:val="00C60314"/>
    <w:rsid w:val="00C60F53"/>
    <w:rsid w:val="00C60FFF"/>
    <w:rsid w:val="00C61462"/>
    <w:rsid w:val="00C616C3"/>
    <w:rsid w:val="00C61834"/>
    <w:rsid w:val="00C642D4"/>
    <w:rsid w:val="00C64D47"/>
    <w:rsid w:val="00C667AC"/>
    <w:rsid w:val="00C675E9"/>
    <w:rsid w:val="00C70661"/>
    <w:rsid w:val="00C71246"/>
    <w:rsid w:val="00C724AE"/>
    <w:rsid w:val="00C730F4"/>
    <w:rsid w:val="00C73F5A"/>
    <w:rsid w:val="00C74A43"/>
    <w:rsid w:val="00C753BD"/>
    <w:rsid w:val="00C75C9C"/>
    <w:rsid w:val="00C77DFA"/>
    <w:rsid w:val="00C801A8"/>
    <w:rsid w:val="00C80200"/>
    <w:rsid w:val="00C80A04"/>
    <w:rsid w:val="00C82519"/>
    <w:rsid w:val="00C8270B"/>
    <w:rsid w:val="00C82776"/>
    <w:rsid w:val="00C83061"/>
    <w:rsid w:val="00C833E0"/>
    <w:rsid w:val="00C83E03"/>
    <w:rsid w:val="00C841A9"/>
    <w:rsid w:val="00C862CB"/>
    <w:rsid w:val="00C8728F"/>
    <w:rsid w:val="00C907D3"/>
    <w:rsid w:val="00C90B92"/>
    <w:rsid w:val="00C9102A"/>
    <w:rsid w:val="00C911A9"/>
    <w:rsid w:val="00C931E9"/>
    <w:rsid w:val="00C95D34"/>
    <w:rsid w:val="00C96E0D"/>
    <w:rsid w:val="00C96F97"/>
    <w:rsid w:val="00C97FBC"/>
    <w:rsid w:val="00CA0B7E"/>
    <w:rsid w:val="00CA3F22"/>
    <w:rsid w:val="00CA4157"/>
    <w:rsid w:val="00CA4466"/>
    <w:rsid w:val="00CA4AB3"/>
    <w:rsid w:val="00CA4C33"/>
    <w:rsid w:val="00CA5598"/>
    <w:rsid w:val="00CA5E63"/>
    <w:rsid w:val="00CA5EF8"/>
    <w:rsid w:val="00CA6BE8"/>
    <w:rsid w:val="00CA7C28"/>
    <w:rsid w:val="00CB1785"/>
    <w:rsid w:val="00CB2383"/>
    <w:rsid w:val="00CB2445"/>
    <w:rsid w:val="00CB28A3"/>
    <w:rsid w:val="00CB5B6A"/>
    <w:rsid w:val="00CB6305"/>
    <w:rsid w:val="00CC00A0"/>
    <w:rsid w:val="00CC085F"/>
    <w:rsid w:val="00CC0A7B"/>
    <w:rsid w:val="00CC34F6"/>
    <w:rsid w:val="00CC3D6F"/>
    <w:rsid w:val="00CC3F62"/>
    <w:rsid w:val="00CC4514"/>
    <w:rsid w:val="00CC5455"/>
    <w:rsid w:val="00CC5B54"/>
    <w:rsid w:val="00CC5C41"/>
    <w:rsid w:val="00CC6C06"/>
    <w:rsid w:val="00CC7589"/>
    <w:rsid w:val="00CC766E"/>
    <w:rsid w:val="00CD21CA"/>
    <w:rsid w:val="00CD24D8"/>
    <w:rsid w:val="00CD39B4"/>
    <w:rsid w:val="00CD5509"/>
    <w:rsid w:val="00CD64EE"/>
    <w:rsid w:val="00CD686B"/>
    <w:rsid w:val="00CD7610"/>
    <w:rsid w:val="00CD7D42"/>
    <w:rsid w:val="00CE0378"/>
    <w:rsid w:val="00CE18E4"/>
    <w:rsid w:val="00CE1EB0"/>
    <w:rsid w:val="00CE2203"/>
    <w:rsid w:val="00CE3AD9"/>
    <w:rsid w:val="00CE3DF2"/>
    <w:rsid w:val="00CE4C01"/>
    <w:rsid w:val="00CE68D4"/>
    <w:rsid w:val="00CF010A"/>
    <w:rsid w:val="00CF01D1"/>
    <w:rsid w:val="00CF0C0F"/>
    <w:rsid w:val="00CF1690"/>
    <w:rsid w:val="00CF1B72"/>
    <w:rsid w:val="00CF1E83"/>
    <w:rsid w:val="00CF1F2A"/>
    <w:rsid w:val="00CF24AD"/>
    <w:rsid w:val="00CF2DB1"/>
    <w:rsid w:val="00CF35FF"/>
    <w:rsid w:val="00CF3FB1"/>
    <w:rsid w:val="00CF5CE3"/>
    <w:rsid w:val="00CF7412"/>
    <w:rsid w:val="00CF78CB"/>
    <w:rsid w:val="00D015B8"/>
    <w:rsid w:val="00D01656"/>
    <w:rsid w:val="00D01854"/>
    <w:rsid w:val="00D01DA5"/>
    <w:rsid w:val="00D030F8"/>
    <w:rsid w:val="00D03359"/>
    <w:rsid w:val="00D03698"/>
    <w:rsid w:val="00D03A22"/>
    <w:rsid w:val="00D04175"/>
    <w:rsid w:val="00D04228"/>
    <w:rsid w:val="00D044E8"/>
    <w:rsid w:val="00D06A24"/>
    <w:rsid w:val="00D06A44"/>
    <w:rsid w:val="00D077B7"/>
    <w:rsid w:val="00D11C1E"/>
    <w:rsid w:val="00D13AFB"/>
    <w:rsid w:val="00D16A92"/>
    <w:rsid w:val="00D16C1B"/>
    <w:rsid w:val="00D16E82"/>
    <w:rsid w:val="00D20297"/>
    <w:rsid w:val="00D20A11"/>
    <w:rsid w:val="00D216AD"/>
    <w:rsid w:val="00D21E6B"/>
    <w:rsid w:val="00D2207E"/>
    <w:rsid w:val="00D2329A"/>
    <w:rsid w:val="00D235D0"/>
    <w:rsid w:val="00D23634"/>
    <w:rsid w:val="00D23C42"/>
    <w:rsid w:val="00D23DB1"/>
    <w:rsid w:val="00D23DE5"/>
    <w:rsid w:val="00D251DD"/>
    <w:rsid w:val="00D25CFD"/>
    <w:rsid w:val="00D26867"/>
    <w:rsid w:val="00D27D00"/>
    <w:rsid w:val="00D30051"/>
    <w:rsid w:val="00D312D4"/>
    <w:rsid w:val="00D31542"/>
    <w:rsid w:val="00D3162C"/>
    <w:rsid w:val="00D317CE"/>
    <w:rsid w:val="00D31A47"/>
    <w:rsid w:val="00D32602"/>
    <w:rsid w:val="00D33657"/>
    <w:rsid w:val="00D33977"/>
    <w:rsid w:val="00D33AB3"/>
    <w:rsid w:val="00D3428D"/>
    <w:rsid w:val="00D34551"/>
    <w:rsid w:val="00D3550A"/>
    <w:rsid w:val="00D35B6A"/>
    <w:rsid w:val="00D35C32"/>
    <w:rsid w:val="00D35E72"/>
    <w:rsid w:val="00D35EE5"/>
    <w:rsid w:val="00D3601A"/>
    <w:rsid w:val="00D3652F"/>
    <w:rsid w:val="00D371B2"/>
    <w:rsid w:val="00D3750C"/>
    <w:rsid w:val="00D37F41"/>
    <w:rsid w:val="00D40527"/>
    <w:rsid w:val="00D405A9"/>
    <w:rsid w:val="00D41954"/>
    <w:rsid w:val="00D41B70"/>
    <w:rsid w:val="00D4249E"/>
    <w:rsid w:val="00D43C25"/>
    <w:rsid w:val="00D442E7"/>
    <w:rsid w:val="00D457D6"/>
    <w:rsid w:val="00D458C9"/>
    <w:rsid w:val="00D47AAE"/>
    <w:rsid w:val="00D50DA0"/>
    <w:rsid w:val="00D51667"/>
    <w:rsid w:val="00D51D81"/>
    <w:rsid w:val="00D52664"/>
    <w:rsid w:val="00D5272A"/>
    <w:rsid w:val="00D5290E"/>
    <w:rsid w:val="00D53192"/>
    <w:rsid w:val="00D53CE3"/>
    <w:rsid w:val="00D545A9"/>
    <w:rsid w:val="00D547B3"/>
    <w:rsid w:val="00D54C08"/>
    <w:rsid w:val="00D552CE"/>
    <w:rsid w:val="00D55457"/>
    <w:rsid w:val="00D606CB"/>
    <w:rsid w:val="00D60F0D"/>
    <w:rsid w:val="00D61224"/>
    <w:rsid w:val="00D6172B"/>
    <w:rsid w:val="00D619EB"/>
    <w:rsid w:val="00D63179"/>
    <w:rsid w:val="00D64B02"/>
    <w:rsid w:val="00D64CE2"/>
    <w:rsid w:val="00D667DC"/>
    <w:rsid w:val="00D66B22"/>
    <w:rsid w:val="00D66BEA"/>
    <w:rsid w:val="00D672A4"/>
    <w:rsid w:val="00D67755"/>
    <w:rsid w:val="00D67F8C"/>
    <w:rsid w:val="00D71265"/>
    <w:rsid w:val="00D71C58"/>
    <w:rsid w:val="00D72A69"/>
    <w:rsid w:val="00D737E7"/>
    <w:rsid w:val="00D747C2"/>
    <w:rsid w:val="00D7661D"/>
    <w:rsid w:val="00D76BBE"/>
    <w:rsid w:val="00D77458"/>
    <w:rsid w:val="00D7751B"/>
    <w:rsid w:val="00D80139"/>
    <w:rsid w:val="00D815DC"/>
    <w:rsid w:val="00D81C46"/>
    <w:rsid w:val="00D822B5"/>
    <w:rsid w:val="00D82B69"/>
    <w:rsid w:val="00D82EF0"/>
    <w:rsid w:val="00D83D3C"/>
    <w:rsid w:val="00D84692"/>
    <w:rsid w:val="00D8566E"/>
    <w:rsid w:val="00D86646"/>
    <w:rsid w:val="00D867AE"/>
    <w:rsid w:val="00D87B97"/>
    <w:rsid w:val="00D87BBB"/>
    <w:rsid w:val="00D87C87"/>
    <w:rsid w:val="00D90FD4"/>
    <w:rsid w:val="00D921C4"/>
    <w:rsid w:val="00D9296A"/>
    <w:rsid w:val="00D92DB0"/>
    <w:rsid w:val="00D93C23"/>
    <w:rsid w:val="00D954CB"/>
    <w:rsid w:val="00D95512"/>
    <w:rsid w:val="00D95638"/>
    <w:rsid w:val="00D9584C"/>
    <w:rsid w:val="00D96DBB"/>
    <w:rsid w:val="00D97122"/>
    <w:rsid w:val="00D97EC0"/>
    <w:rsid w:val="00DA02A4"/>
    <w:rsid w:val="00DA0F8B"/>
    <w:rsid w:val="00DA1390"/>
    <w:rsid w:val="00DA14D9"/>
    <w:rsid w:val="00DA2597"/>
    <w:rsid w:val="00DA5027"/>
    <w:rsid w:val="00DA6ECB"/>
    <w:rsid w:val="00DB0E73"/>
    <w:rsid w:val="00DB11E2"/>
    <w:rsid w:val="00DB13AD"/>
    <w:rsid w:val="00DB165B"/>
    <w:rsid w:val="00DB23F9"/>
    <w:rsid w:val="00DB3004"/>
    <w:rsid w:val="00DB3FFE"/>
    <w:rsid w:val="00DB564D"/>
    <w:rsid w:val="00DB584B"/>
    <w:rsid w:val="00DB58BE"/>
    <w:rsid w:val="00DB6176"/>
    <w:rsid w:val="00DB689B"/>
    <w:rsid w:val="00DB6AA0"/>
    <w:rsid w:val="00DB77A7"/>
    <w:rsid w:val="00DB7C3A"/>
    <w:rsid w:val="00DB7D63"/>
    <w:rsid w:val="00DC01B7"/>
    <w:rsid w:val="00DC069E"/>
    <w:rsid w:val="00DC07C0"/>
    <w:rsid w:val="00DC125B"/>
    <w:rsid w:val="00DC1802"/>
    <w:rsid w:val="00DC2E2A"/>
    <w:rsid w:val="00DC3EBC"/>
    <w:rsid w:val="00DC501A"/>
    <w:rsid w:val="00DC5279"/>
    <w:rsid w:val="00DC5654"/>
    <w:rsid w:val="00DC6384"/>
    <w:rsid w:val="00DC63BF"/>
    <w:rsid w:val="00DC6442"/>
    <w:rsid w:val="00DD0F3F"/>
    <w:rsid w:val="00DD11D0"/>
    <w:rsid w:val="00DD18F4"/>
    <w:rsid w:val="00DD26EB"/>
    <w:rsid w:val="00DD2A3C"/>
    <w:rsid w:val="00DD2E35"/>
    <w:rsid w:val="00DD32AB"/>
    <w:rsid w:val="00DD3CDD"/>
    <w:rsid w:val="00DD519A"/>
    <w:rsid w:val="00DD5905"/>
    <w:rsid w:val="00DD5BF6"/>
    <w:rsid w:val="00DD63F1"/>
    <w:rsid w:val="00DD6AE0"/>
    <w:rsid w:val="00DD6C69"/>
    <w:rsid w:val="00DE06A3"/>
    <w:rsid w:val="00DE0E17"/>
    <w:rsid w:val="00DE162C"/>
    <w:rsid w:val="00DE1692"/>
    <w:rsid w:val="00DE1865"/>
    <w:rsid w:val="00DE2E75"/>
    <w:rsid w:val="00DE4157"/>
    <w:rsid w:val="00DE4B16"/>
    <w:rsid w:val="00DE66E8"/>
    <w:rsid w:val="00DE6AFB"/>
    <w:rsid w:val="00DE6CEF"/>
    <w:rsid w:val="00DF07AF"/>
    <w:rsid w:val="00DF088B"/>
    <w:rsid w:val="00DF11C2"/>
    <w:rsid w:val="00DF2C70"/>
    <w:rsid w:val="00DF35DF"/>
    <w:rsid w:val="00DF3B80"/>
    <w:rsid w:val="00DF3C6B"/>
    <w:rsid w:val="00DF4593"/>
    <w:rsid w:val="00DF4ED5"/>
    <w:rsid w:val="00DF54E0"/>
    <w:rsid w:val="00DF6014"/>
    <w:rsid w:val="00DF69B0"/>
    <w:rsid w:val="00DF741A"/>
    <w:rsid w:val="00DF7D43"/>
    <w:rsid w:val="00E0005E"/>
    <w:rsid w:val="00E00375"/>
    <w:rsid w:val="00E00CC5"/>
    <w:rsid w:val="00E016EE"/>
    <w:rsid w:val="00E0322B"/>
    <w:rsid w:val="00E03C7F"/>
    <w:rsid w:val="00E0556B"/>
    <w:rsid w:val="00E05679"/>
    <w:rsid w:val="00E07265"/>
    <w:rsid w:val="00E073CD"/>
    <w:rsid w:val="00E10099"/>
    <w:rsid w:val="00E10AD4"/>
    <w:rsid w:val="00E10D05"/>
    <w:rsid w:val="00E10F1D"/>
    <w:rsid w:val="00E1406B"/>
    <w:rsid w:val="00E15924"/>
    <w:rsid w:val="00E15D28"/>
    <w:rsid w:val="00E1643E"/>
    <w:rsid w:val="00E170CE"/>
    <w:rsid w:val="00E17D5D"/>
    <w:rsid w:val="00E17E25"/>
    <w:rsid w:val="00E17F21"/>
    <w:rsid w:val="00E20ED6"/>
    <w:rsid w:val="00E214D1"/>
    <w:rsid w:val="00E21FDD"/>
    <w:rsid w:val="00E2223E"/>
    <w:rsid w:val="00E222BC"/>
    <w:rsid w:val="00E22D98"/>
    <w:rsid w:val="00E23371"/>
    <w:rsid w:val="00E23DB4"/>
    <w:rsid w:val="00E24623"/>
    <w:rsid w:val="00E24ADE"/>
    <w:rsid w:val="00E252E3"/>
    <w:rsid w:val="00E27D08"/>
    <w:rsid w:val="00E334D9"/>
    <w:rsid w:val="00E33D0E"/>
    <w:rsid w:val="00E3480E"/>
    <w:rsid w:val="00E36364"/>
    <w:rsid w:val="00E36509"/>
    <w:rsid w:val="00E36DEB"/>
    <w:rsid w:val="00E37AA1"/>
    <w:rsid w:val="00E40505"/>
    <w:rsid w:val="00E42A41"/>
    <w:rsid w:val="00E4356B"/>
    <w:rsid w:val="00E43CC1"/>
    <w:rsid w:val="00E45766"/>
    <w:rsid w:val="00E46A26"/>
    <w:rsid w:val="00E47E60"/>
    <w:rsid w:val="00E50AFB"/>
    <w:rsid w:val="00E50C82"/>
    <w:rsid w:val="00E51F43"/>
    <w:rsid w:val="00E51FC5"/>
    <w:rsid w:val="00E5265C"/>
    <w:rsid w:val="00E52D66"/>
    <w:rsid w:val="00E54313"/>
    <w:rsid w:val="00E55193"/>
    <w:rsid w:val="00E55F44"/>
    <w:rsid w:val="00E56597"/>
    <w:rsid w:val="00E567E5"/>
    <w:rsid w:val="00E5721F"/>
    <w:rsid w:val="00E574C5"/>
    <w:rsid w:val="00E57681"/>
    <w:rsid w:val="00E57B96"/>
    <w:rsid w:val="00E60D65"/>
    <w:rsid w:val="00E617EF"/>
    <w:rsid w:val="00E61AE4"/>
    <w:rsid w:val="00E64A47"/>
    <w:rsid w:val="00E66304"/>
    <w:rsid w:val="00E6708B"/>
    <w:rsid w:val="00E67894"/>
    <w:rsid w:val="00E67AEA"/>
    <w:rsid w:val="00E714C9"/>
    <w:rsid w:val="00E71894"/>
    <w:rsid w:val="00E71FBB"/>
    <w:rsid w:val="00E72ED2"/>
    <w:rsid w:val="00E73426"/>
    <w:rsid w:val="00E73A8C"/>
    <w:rsid w:val="00E73F30"/>
    <w:rsid w:val="00E740D1"/>
    <w:rsid w:val="00E75050"/>
    <w:rsid w:val="00E76F42"/>
    <w:rsid w:val="00E770BE"/>
    <w:rsid w:val="00E77A4E"/>
    <w:rsid w:val="00E824C0"/>
    <w:rsid w:val="00E828C0"/>
    <w:rsid w:val="00E86562"/>
    <w:rsid w:val="00E869D9"/>
    <w:rsid w:val="00E86A0B"/>
    <w:rsid w:val="00E90073"/>
    <w:rsid w:val="00E915E6"/>
    <w:rsid w:val="00E92E74"/>
    <w:rsid w:val="00E93FB0"/>
    <w:rsid w:val="00E95E79"/>
    <w:rsid w:val="00E96567"/>
    <w:rsid w:val="00E9656E"/>
    <w:rsid w:val="00E96DE1"/>
    <w:rsid w:val="00EA0581"/>
    <w:rsid w:val="00EA17FA"/>
    <w:rsid w:val="00EA20E5"/>
    <w:rsid w:val="00EA3B45"/>
    <w:rsid w:val="00EA3E11"/>
    <w:rsid w:val="00EA64E4"/>
    <w:rsid w:val="00EA6EB3"/>
    <w:rsid w:val="00EA7B5E"/>
    <w:rsid w:val="00EA7EE5"/>
    <w:rsid w:val="00EA7F62"/>
    <w:rsid w:val="00EB076A"/>
    <w:rsid w:val="00EB1859"/>
    <w:rsid w:val="00EB27B4"/>
    <w:rsid w:val="00EB281D"/>
    <w:rsid w:val="00EB28CC"/>
    <w:rsid w:val="00EB3737"/>
    <w:rsid w:val="00EB4A8E"/>
    <w:rsid w:val="00EB5650"/>
    <w:rsid w:val="00EB5EF3"/>
    <w:rsid w:val="00EB61ED"/>
    <w:rsid w:val="00EB695D"/>
    <w:rsid w:val="00EC09B4"/>
    <w:rsid w:val="00EC0FF9"/>
    <w:rsid w:val="00EC220B"/>
    <w:rsid w:val="00EC227C"/>
    <w:rsid w:val="00EC2B9B"/>
    <w:rsid w:val="00EC2D8C"/>
    <w:rsid w:val="00EC52D3"/>
    <w:rsid w:val="00EC558F"/>
    <w:rsid w:val="00EC5737"/>
    <w:rsid w:val="00EC6951"/>
    <w:rsid w:val="00EC7F80"/>
    <w:rsid w:val="00ED0077"/>
    <w:rsid w:val="00ED044E"/>
    <w:rsid w:val="00ED0E0F"/>
    <w:rsid w:val="00ED10A9"/>
    <w:rsid w:val="00ED2240"/>
    <w:rsid w:val="00ED3273"/>
    <w:rsid w:val="00ED39CE"/>
    <w:rsid w:val="00ED4134"/>
    <w:rsid w:val="00ED4D63"/>
    <w:rsid w:val="00ED5119"/>
    <w:rsid w:val="00ED5D93"/>
    <w:rsid w:val="00ED6B26"/>
    <w:rsid w:val="00ED7705"/>
    <w:rsid w:val="00EE05B3"/>
    <w:rsid w:val="00EE05F1"/>
    <w:rsid w:val="00EE0AC8"/>
    <w:rsid w:val="00EE1217"/>
    <w:rsid w:val="00EE13DE"/>
    <w:rsid w:val="00EE1E4F"/>
    <w:rsid w:val="00EE1FF9"/>
    <w:rsid w:val="00EE2083"/>
    <w:rsid w:val="00EE2691"/>
    <w:rsid w:val="00EE2CFE"/>
    <w:rsid w:val="00EE2E09"/>
    <w:rsid w:val="00EE3746"/>
    <w:rsid w:val="00EE471A"/>
    <w:rsid w:val="00EE5283"/>
    <w:rsid w:val="00EE5492"/>
    <w:rsid w:val="00EE6996"/>
    <w:rsid w:val="00EE69F8"/>
    <w:rsid w:val="00EE6D53"/>
    <w:rsid w:val="00EE771D"/>
    <w:rsid w:val="00EE7A86"/>
    <w:rsid w:val="00EE7C51"/>
    <w:rsid w:val="00EF07AF"/>
    <w:rsid w:val="00EF13C6"/>
    <w:rsid w:val="00EF215E"/>
    <w:rsid w:val="00EF2676"/>
    <w:rsid w:val="00EF5279"/>
    <w:rsid w:val="00EF58D5"/>
    <w:rsid w:val="00EF5DAC"/>
    <w:rsid w:val="00EF718F"/>
    <w:rsid w:val="00F0221B"/>
    <w:rsid w:val="00F02E96"/>
    <w:rsid w:val="00F03297"/>
    <w:rsid w:val="00F04494"/>
    <w:rsid w:val="00F052DD"/>
    <w:rsid w:val="00F066F4"/>
    <w:rsid w:val="00F073BF"/>
    <w:rsid w:val="00F078AE"/>
    <w:rsid w:val="00F07BD5"/>
    <w:rsid w:val="00F1027D"/>
    <w:rsid w:val="00F1193D"/>
    <w:rsid w:val="00F122D6"/>
    <w:rsid w:val="00F12B25"/>
    <w:rsid w:val="00F15654"/>
    <w:rsid w:val="00F15BF4"/>
    <w:rsid w:val="00F17940"/>
    <w:rsid w:val="00F202AD"/>
    <w:rsid w:val="00F2046C"/>
    <w:rsid w:val="00F20647"/>
    <w:rsid w:val="00F20B39"/>
    <w:rsid w:val="00F20C93"/>
    <w:rsid w:val="00F216C6"/>
    <w:rsid w:val="00F2175B"/>
    <w:rsid w:val="00F22104"/>
    <w:rsid w:val="00F222B4"/>
    <w:rsid w:val="00F240B7"/>
    <w:rsid w:val="00F24158"/>
    <w:rsid w:val="00F248B4"/>
    <w:rsid w:val="00F257A2"/>
    <w:rsid w:val="00F25F19"/>
    <w:rsid w:val="00F26D07"/>
    <w:rsid w:val="00F26D7E"/>
    <w:rsid w:val="00F301EA"/>
    <w:rsid w:val="00F30A5D"/>
    <w:rsid w:val="00F31392"/>
    <w:rsid w:val="00F3145E"/>
    <w:rsid w:val="00F32F5E"/>
    <w:rsid w:val="00F3338B"/>
    <w:rsid w:val="00F33E79"/>
    <w:rsid w:val="00F347C2"/>
    <w:rsid w:val="00F348B5"/>
    <w:rsid w:val="00F34936"/>
    <w:rsid w:val="00F3652B"/>
    <w:rsid w:val="00F36536"/>
    <w:rsid w:val="00F3678C"/>
    <w:rsid w:val="00F377B9"/>
    <w:rsid w:val="00F40E45"/>
    <w:rsid w:val="00F41039"/>
    <w:rsid w:val="00F41CA0"/>
    <w:rsid w:val="00F4299C"/>
    <w:rsid w:val="00F438BE"/>
    <w:rsid w:val="00F45442"/>
    <w:rsid w:val="00F45F2F"/>
    <w:rsid w:val="00F46F45"/>
    <w:rsid w:val="00F50C47"/>
    <w:rsid w:val="00F5145E"/>
    <w:rsid w:val="00F51E31"/>
    <w:rsid w:val="00F521E9"/>
    <w:rsid w:val="00F537EF"/>
    <w:rsid w:val="00F5412B"/>
    <w:rsid w:val="00F541C4"/>
    <w:rsid w:val="00F54832"/>
    <w:rsid w:val="00F54FB9"/>
    <w:rsid w:val="00F550E3"/>
    <w:rsid w:val="00F55522"/>
    <w:rsid w:val="00F558EA"/>
    <w:rsid w:val="00F60039"/>
    <w:rsid w:val="00F601B2"/>
    <w:rsid w:val="00F60467"/>
    <w:rsid w:val="00F613CB"/>
    <w:rsid w:val="00F61F79"/>
    <w:rsid w:val="00F656A4"/>
    <w:rsid w:val="00F6665E"/>
    <w:rsid w:val="00F67D96"/>
    <w:rsid w:val="00F7075F"/>
    <w:rsid w:val="00F70BB7"/>
    <w:rsid w:val="00F710D0"/>
    <w:rsid w:val="00F71D76"/>
    <w:rsid w:val="00F72A9A"/>
    <w:rsid w:val="00F74B86"/>
    <w:rsid w:val="00F76D6C"/>
    <w:rsid w:val="00F7701D"/>
    <w:rsid w:val="00F7703C"/>
    <w:rsid w:val="00F77A33"/>
    <w:rsid w:val="00F77B6A"/>
    <w:rsid w:val="00F8069D"/>
    <w:rsid w:val="00F8075C"/>
    <w:rsid w:val="00F80B34"/>
    <w:rsid w:val="00F80BE6"/>
    <w:rsid w:val="00F829F1"/>
    <w:rsid w:val="00F82DFA"/>
    <w:rsid w:val="00F8349F"/>
    <w:rsid w:val="00F838CE"/>
    <w:rsid w:val="00F83FB7"/>
    <w:rsid w:val="00F849AD"/>
    <w:rsid w:val="00F84F92"/>
    <w:rsid w:val="00F85935"/>
    <w:rsid w:val="00F85D29"/>
    <w:rsid w:val="00F85DAC"/>
    <w:rsid w:val="00F862F2"/>
    <w:rsid w:val="00F91CD8"/>
    <w:rsid w:val="00F91D8E"/>
    <w:rsid w:val="00F91F07"/>
    <w:rsid w:val="00F91F36"/>
    <w:rsid w:val="00F95CC0"/>
    <w:rsid w:val="00F96458"/>
    <w:rsid w:val="00F969D3"/>
    <w:rsid w:val="00F971D6"/>
    <w:rsid w:val="00FA190E"/>
    <w:rsid w:val="00FA218D"/>
    <w:rsid w:val="00FA2280"/>
    <w:rsid w:val="00FA3655"/>
    <w:rsid w:val="00FA3D13"/>
    <w:rsid w:val="00FA54D8"/>
    <w:rsid w:val="00FA628B"/>
    <w:rsid w:val="00FA7E33"/>
    <w:rsid w:val="00FB1A30"/>
    <w:rsid w:val="00FB1D5B"/>
    <w:rsid w:val="00FB206D"/>
    <w:rsid w:val="00FB2359"/>
    <w:rsid w:val="00FB26D9"/>
    <w:rsid w:val="00FB4CDA"/>
    <w:rsid w:val="00FB5414"/>
    <w:rsid w:val="00FB5C7E"/>
    <w:rsid w:val="00FB5CD7"/>
    <w:rsid w:val="00FB69F8"/>
    <w:rsid w:val="00FB6DDB"/>
    <w:rsid w:val="00FB77AA"/>
    <w:rsid w:val="00FB7CFA"/>
    <w:rsid w:val="00FC239B"/>
    <w:rsid w:val="00FC3283"/>
    <w:rsid w:val="00FC3BAF"/>
    <w:rsid w:val="00FC3C64"/>
    <w:rsid w:val="00FC43D5"/>
    <w:rsid w:val="00FC4EFA"/>
    <w:rsid w:val="00FC4FB7"/>
    <w:rsid w:val="00FC539D"/>
    <w:rsid w:val="00FC59C2"/>
    <w:rsid w:val="00FC6224"/>
    <w:rsid w:val="00FC7309"/>
    <w:rsid w:val="00FC7C6C"/>
    <w:rsid w:val="00FC7EFA"/>
    <w:rsid w:val="00FD0239"/>
    <w:rsid w:val="00FD06DA"/>
    <w:rsid w:val="00FD0B08"/>
    <w:rsid w:val="00FD12ED"/>
    <w:rsid w:val="00FD357B"/>
    <w:rsid w:val="00FD38FC"/>
    <w:rsid w:val="00FD3946"/>
    <w:rsid w:val="00FD6119"/>
    <w:rsid w:val="00FD688E"/>
    <w:rsid w:val="00FD6D61"/>
    <w:rsid w:val="00FD7186"/>
    <w:rsid w:val="00FD7C0C"/>
    <w:rsid w:val="00FD7F1B"/>
    <w:rsid w:val="00FE045C"/>
    <w:rsid w:val="00FE0968"/>
    <w:rsid w:val="00FE0C52"/>
    <w:rsid w:val="00FE1692"/>
    <w:rsid w:val="00FE2033"/>
    <w:rsid w:val="00FE2391"/>
    <w:rsid w:val="00FE4F03"/>
    <w:rsid w:val="00FE5519"/>
    <w:rsid w:val="00FE680C"/>
    <w:rsid w:val="00FE79E9"/>
    <w:rsid w:val="00FF0566"/>
    <w:rsid w:val="00FF0ACF"/>
    <w:rsid w:val="00FF6218"/>
    <w:rsid w:val="00FF71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able of figures" w:semiHidden="0" w:uiPriority="99"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A058CB"/>
  </w:style>
  <w:style w:type="paragraph" w:styleId="Heading1">
    <w:name w:val="heading 1"/>
    <w:basedOn w:val="Normal"/>
    <w:next w:val="BodyText"/>
    <w:link w:val="Heading1Char"/>
    <w:qFormat/>
    <w:rsid w:val="00733970"/>
    <w:pPr>
      <w:keepNext/>
      <w:keepLines/>
      <w:numPr>
        <w:numId w:val="10"/>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10"/>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B620EE"/>
    <w:pPr>
      <w:keepNext/>
      <w:keepLines/>
      <w:numPr>
        <w:ilvl w:val="2"/>
        <w:numId w:val="10"/>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2"/>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3"/>
      </w:numPr>
      <w:spacing w:before="113" w:after="113"/>
    </w:pPr>
    <w:rPr>
      <w:spacing w:val="-1"/>
    </w:rPr>
  </w:style>
  <w:style w:type="paragraph" w:styleId="ListNumber2">
    <w:name w:val="List Number 2"/>
    <w:basedOn w:val="Normal"/>
    <w:qFormat/>
    <w:rsid w:val="00961DBB"/>
    <w:pPr>
      <w:numPr>
        <w:ilvl w:val="1"/>
        <w:numId w:val="3"/>
      </w:numPr>
      <w:spacing w:before="113" w:after="113"/>
    </w:pPr>
    <w:rPr>
      <w:spacing w:val="-1"/>
    </w:rPr>
  </w:style>
  <w:style w:type="paragraph" w:styleId="ListNumber3">
    <w:name w:val="List Number 3"/>
    <w:basedOn w:val="Normal"/>
    <w:qFormat/>
    <w:rsid w:val="00961DBB"/>
    <w:pPr>
      <w:numPr>
        <w:ilvl w:val="2"/>
        <w:numId w:val="3"/>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99"/>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4"/>
      </w:numPr>
    </w:pPr>
  </w:style>
  <w:style w:type="paragraph" w:customStyle="1" w:styleId="PullOutBoxBullet2">
    <w:name w:val="Pull Out Box Bullet 2"/>
    <w:basedOn w:val="PullOutBoxBodyText"/>
    <w:qFormat/>
    <w:rsid w:val="00961DBB"/>
    <w:pPr>
      <w:numPr>
        <w:ilvl w:val="1"/>
        <w:numId w:val="4"/>
      </w:numPr>
    </w:pPr>
  </w:style>
  <w:style w:type="paragraph" w:customStyle="1" w:styleId="PullOutBoxBullet3">
    <w:name w:val="Pull Out Box Bullet 3"/>
    <w:basedOn w:val="PullOutBoxBodyText"/>
    <w:qFormat/>
    <w:rsid w:val="00961DBB"/>
    <w:pPr>
      <w:numPr>
        <w:ilvl w:val="2"/>
        <w:numId w:val="4"/>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5"/>
      </w:numPr>
    </w:pPr>
  </w:style>
  <w:style w:type="paragraph" w:customStyle="1" w:styleId="PullOutBoxNumber2">
    <w:name w:val="Pull Out Box Number 2"/>
    <w:basedOn w:val="PullOutBoxBodyText"/>
    <w:qFormat/>
    <w:rsid w:val="00961DBB"/>
    <w:pPr>
      <w:numPr>
        <w:ilvl w:val="1"/>
        <w:numId w:val="5"/>
      </w:numPr>
    </w:pPr>
  </w:style>
  <w:style w:type="paragraph" w:customStyle="1" w:styleId="PullOutBoxNumber3">
    <w:name w:val="Pull Out Box Number 3"/>
    <w:basedOn w:val="PullOutBoxBodyText"/>
    <w:qFormat/>
    <w:rsid w:val="00961DBB"/>
    <w:pPr>
      <w:numPr>
        <w:ilvl w:val="2"/>
        <w:numId w:val="5"/>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6"/>
      </w:numPr>
    </w:pPr>
  </w:style>
  <w:style w:type="paragraph" w:customStyle="1" w:styleId="QuoteBullet2">
    <w:name w:val="Quote Bullet 2"/>
    <w:basedOn w:val="Quote"/>
    <w:qFormat/>
    <w:rsid w:val="00961DBB"/>
    <w:pPr>
      <w:numPr>
        <w:ilvl w:val="1"/>
        <w:numId w:val="6"/>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7"/>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8"/>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left" w:pos="454"/>
        <w:tab w:val="right" w:leader="underscore" w:pos="8164"/>
      </w:tabs>
      <w:spacing w:after="227"/>
      <w:ind w:left="454" w:right="851" w:hanging="454"/>
    </w:pPr>
    <w:rPr>
      <w:b/>
      <w:noProof/>
      <w:color w:val="2B3B5F" w:themeColor="text2"/>
    </w:rPr>
  </w:style>
  <w:style w:type="paragraph" w:styleId="TOC2">
    <w:name w:val="toc 2"/>
    <w:basedOn w:val="Normal"/>
    <w:next w:val="Normal"/>
    <w:uiPriority w:val="39"/>
    <w:rsid w:val="001B2C65"/>
    <w:pPr>
      <w:tabs>
        <w:tab w:val="left" w:pos="1020"/>
        <w:tab w:val="right" w:leader="underscore" w:pos="8164"/>
      </w:tabs>
      <w:spacing w:after="227"/>
      <w:ind w:left="1020" w:right="851" w:hanging="567"/>
    </w:pPr>
    <w:rPr>
      <w:noProof/>
      <w:szCs w:val="28"/>
    </w:rPr>
  </w:style>
  <w:style w:type="paragraph" w:styleId="TOC3">
    <w:name w:val="toc 3"/>
    <w:basedOn w:val="Normal"/>
    <w:next w:val="Normal"/>
    <w:uiPriority w:val="39"/>
    <w:rsid w:val="001B2C65"/>
    <w:pPr>
      <w:tabs>
        <w:tab w:val="left" w:pos="1757"/>
        <w:tab w:val="right" w:leader="underscore" w:pos="8164"/>
      </w:tabs>
      <w:spacing w:after="227"/>
      <w:ind w:left="1757" w:right="851" w:hanging="737"/>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2000" w:lineRule="exact"/>
      <w:jc w:val="center"/>
    </w:pPr>
    <w:rPr>
      <w:caps/>
      <w:color w:val="EAEAEA"/>
      <w:spacing w:val="40"/>
      <w:sz w:val="20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uiPriority w:val="99"/>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styleId="TOC9">
    <w:name w:val="toc 9"/>
    <w:basedOn w:val="Normal"/>
    <w:next w:val="Normal"/>
    <w:autoRedefine/>
    <w:semiHidden/>
    <w:unhideWhenUsed/>
    <w:rsid w:val="00887E97"/>
    <w:pPr>
      <w:spacing w:after="100"/>
      <w:ind w:left="1760"/>
    </w:pPr>
  </w:style>
  <w:style w:type="paragraph" w:customStyle="1" w:styleId="PBOtext">
    <w:name w:val="PBO text"/>
    <w:basedOn w:val="Normal"/>
    <w:qFormat/>
    <w:rsid w:val="00C833E0"/>
    <w:pPr>
      <w:numPr>
        <w:numId w:val="9"/>
      </w:numPr>
      <w:spacing w:before="120" w:after="113" w:line="240" w:lineRule="auto"/>
      <w:ind w:left="567" w:hanging="567"/>
    </w:pPr>
    <w:rPr>
      <w:rFonts w:ascii="Calibri" w:eastAsia="Cambria" w:hAnsi="Calibri" w:cs="Times New Roman"/>
      <w:szCs w:val="20"/>
      <w:lang w:eastAsia="en-AU"/>
    </w:rPr>
  </w:style>
  <w:style w:type="paragraph" w:customStyle="1" w:styleId="PBOfiguretableheading">
    <w:name w:val="PBO figure/table heading"/>
    <w:uiPriority w:val="2"/>
    <w:qFormat/>
    <w:rsid w:val="00C833E0"/>
    <w:pPr>
      <w:spacing w:before="200" w:after="113" w:line="288" w:lineRule="auto"/>
    </w:pPr>
    <w:rPr>
      <w:rFonts w:ascii="Calibri" w:eastAsia="Cambria" w:hAnsi="Calibri" w:cs="Times New Roman"/>
      <w:b/>
      <w:i/>
      <w:color w:val="2B3B5F"/>
      <w:sz w:val="20"/>
      <w:szCs w:val="24"/>
    </w:rPr>
  </w:style>
  <w:style w:type="table" w:customStyle="1" w:styleId="PBOtable">
    <w:name w:val="PBO table"/>
    <w:basedOn w:val="TableNormal"/>
    <w:qFormat/>
    <w:rsid w:val="00C833E0"/>
    <w:pPr>
      <w:spacing w:line="240" w:lineRule="auto"/>
    </w:pPr>
    <w:rPr>
      <w:rFonts w:ascii="Calibri" w:eastAsia="Cambria" w:hAnsi="Calibri" w:cs="Times New Roman"/>
      <w:sz w:val="18"/>
      <w:szCs w:val="20"/>
      <w:lang w:eastAsia="en-AU"/>
    </w:rPr>
    <w:tblPr>
      <w:tblStyleRowBandSize w:val="1"/>
      <w:tblStyleColBandSize w:val="1"/>
    </w:tblPr>
    <w:tcPr>
      <w:shd w:val="clear" w:color="auto" w:fill="95A4C6"/>
      <w:vAlign w:val="center"/>
    </w:tcPr>
    <w:tblStylePr w:type="firstRow">
      <w:pPr>
        <w:jc w:val="center"/>
      </w:pPr>
      <w:rPr>
        <w:rFonts w:ascii="Calibri" w:hAnsi="Calibri"/>
        <w:b/>
        <w:color w:val="FFFFFF" w:themeColor="background1"/>
        <w:sz w:val="18"/>
      </w:rPr>
      <w:tblPr/>
      <w:tcPr>
        <w:shd w:val="clear" w:color="auto" w:fill="264A76"/>
      </w:tcPr>
    </w:tblStylePr>
    <w:tblStylePr w:type="firstCol">
      <w:pPr>
        <w:jc w:val="left"/>
      </w:pPr>
      <w:rPr>
        <w:rFonts w:ascii="Calibri" w:hAnsi="Calibri"/>
        <w:b/>
        <w:sz w:val="18"/>
      </w:rPr>
      <w:tblPr/>
      <w:tcPr>
        <w:vAlign w:val="center"/>
      </w:tcPr>
    </w:tblStylePr>
    <w:tblStylePr w:type="lastCol">
      <w:rPr>
        <w:rFonts w:ascii="Calibri" w:hAnsi="Calibri"/>
        <w:sz w:val="18"/>
      </w:rPr>
    </w:tblStylePr>
    <w:tblStylePr w:type="band1Horz">
      <w:pPr>
        <w:jc w:val="center"/>
      </w:pPr>
      <w:rPr>
        <w:color w:val="auto"/>
      </w:rPr>
      <w:tblPr/>
      <w:tcPr>
        <w:shd w:val="clear" w:color="auto" w:fill="D8DCE5"/>
      </w:tcPr>
    </w:tblStylePr>
    <w:tblStylePr w:type="band2Horz">
      <w:pPr>
        <w:jc w:val="center"/>
      </w:pPr>
      <w:rPr>
        <w:rFonts w:ascii="Calibri" w:hAnsi="Calibri"/>
        <w:sz w:val="18"/>
      </w:rPr>
      <w:tblPr/>
      <w:tcPr>
        <w:shd w:val="clear" w:color="auto" w:fill="FFFFFF" w:themeFill="background1"/>
      </w:tcPr>
    </w:tblStylePr>
  </w:style>
  <w:style w:type="character" w:styleId="CommentReference">
    <w:name w:val="annotation reference"/>
    <w:basedOn w:val="DefaultParagraphFont"/>
    <w:semiHidden/>
    <w:unhideWhenUsed/>
    <w:rsid w:val="000826F7"/>
    <w:rPr>
      <w:sz w:val="16"/>
      <w:szCs w:val="16"/>
    </w:rPr>
  </w:style>
  <w:style w:type="paragraph" w:styleId="CommentText">
    <w:name w:val="annotation text"/>
    <w:basedOn w:val="Normal"/>
    <w:link w:val="CommentTextChar"/>
    <w:semiHidden/>
    <w:unhideWhenUsed/>
    <w:rsid w:val="000826F7"/>
    <w:pPr>
      <w:spacing w:line="240" w:lineRule="auto"/>
    </w:pPr>
    <w:rPr>
      <w:sz w:val="20"/>
      <w:szCs w:val="20"/>
    </w:rPr>
  </w:style>
  <w:style w:type="character" w:customStyle="1" w:styleId="CommentTextChar">
    <w:name w:val="Comment Text Char"/>
    <w:basedOn w:val="DefaultParagraphFont"/>
    <w:link w:val="CommentText"/>
    <w:semiHidden/>
    <w:rsid w:val="000826F7"/>
    <w:rPr>
      <w:sz w:val="20"/>
      <w:szCs w:val="20"/>
    </w:rPr>
  </w:style>
  <w:style w:type="paragraph" w:styleId="CommentSubject">
    <w:name w:val="annotation subject"/>
    <w:basedOn w:val="CommentText"/>
    <w:next w:val="CommentText"/>
    <w:link w:val="CommentSubjectChar"/>
    <w:semiHidden/>
    <w:unhideWhenUsed/>
    <w:rsid w:val="000826F7"/>
    <w:rPr>
      <w:b/>
      <w:bCs/>
    </w:rPr>
  </w:style>
  <w:style w:type="character" w:customStyle="1" w:styleId="CommentSubjectChar">
    <w:name w:val="Comment Subject Char"/>
    <w:basedOn w:val="CommentTextChar"/>
    <w:link w:val="CommentSubject"/>
    <w:semiHidden/>
    <w:rsid w:val="000826F7"/>
    <w:rPr>
      <w:b/>
      <w:bCs/>
      <w:sz w:val="20"/>
      <w:szCs w:val="20"/>
    </w:rPr>
  </w:style>
  <w:style w:type="paragraph" w:styleId="Revision">
    <w:name w:val="Revision"/>
    <w:hidden/>
    <w:uiPriority w:val="99"/>
    <w:semiHidden/>
    <w:rsid w:val="00BA719D"/>
    <w:pPr>
      <w:spacing w:line="240" w:lineRule="auto"/>
    </w:pPr>
  </w:style>
  <w:style w:type="character" w:styleId="FollowedHyperlink">
    <w:name w:val="FollowedHyperlink"/>
    <w:basedOn w:val="DefaultParagraphFont"/>
    <w:semiHidden/>
    <w:unhideWhenUsed/>
    <w:rsid w:val="00951C7A"/>
    <w:rPr>
      <w:color w:val="000000" w:themeColor="followedHyperlink"/>
      <w:u w:val="single"/>
    </w:rPr>
  </w:style>
  <w:style w:type="paragraph" w:styleId="ListParagraph">
    <w:name w:val="List Paragraph"/>
    <w:basedOn w:val="Normal"/>
    <w:uiPriority w:val="34"/>
    <w:qFormat/>
    <w:rsid w:val="00B05310"/>
    <w:pPr>
      <w:spacing w:line="240" w:lineRule="auto"/>
      <w:ind w:left="720"/>
    </w:pPr>
    <w:rPr>
      <w:rFonts w:ascii="Calibri" w:hAnsi="Calibri" w:cs="Times New Roman"/>
    </w:rPr>
  </w:style>
  <w:style w:type="paragraph" w:styleId="EndnoteText">
    <w:name w:val="endnote text"/>
    <w:basedOn w:val="Normal"/>
    <w:link w:val="EndnoteTextChar"/>
    <w:semiHidden/>
    <w:unhideWhenUsed/>
    <w:rsid w:val="00090567"/>
    <w:pPr>
      <w:spacing w:line="240" w:lineRule="auto"/>
    </w:pPr>
    <w:rPr>
      <w:sz w:val="20"/>
      <w:szCs w:val="20"/>
    </w:rPr>
  </w:style>
  <w:style w:type="character" w:customStyle="1" w:styleId="EndnoteTextChar">
    <w:name w:val="Endnote Text Char"/>
    <w:basedOn w:val="DefaultParagraphFont"/>
    <w:link w:val="EndnoteText"/>
    <w:semiHidden/>
    <w:rsid w:val="00090567"/>
    <w:rPr>
      <w:sz w:val="20"/>
      <w:szCs w:val="20"/>
    </w:rPr>
  </w:style>
  <w:style w:type="character" w:styleId="EndnoteReference">
    <w:name w:val="endnote reference"/>
    <w:basedOn w:val="DefaultParagraphFont"/>
    <w:semiHidden/>
    <w:unhideWhenUsed/>
    <w:rsid w:val="00090567"/>
    <w:rPr>
      <w:vertAlign w:val="superscript"/>
    </w:rPr>
  </w:style>
  <w:style w:type="paragraph" w:customStyle="1" w:styleId="PBOlist1">
    <w:name w:val="PBO list 1"/>
    <w:basedOn w:val="Normal"/>
    <w:rsid w:val="00476729"/>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able of figures" w:semiHidden="0" w:uiPriority="99"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A058CB"/>
  </w:style>
  <w:style w:type="paragraph" w:styleId="Heading1">
    <w:name w:val="heading 1"/>
    <w:basedOn w:val="Normal"/>
    <w:next w:val="BodyText"/>
    <w:link w:val="Heading1Char"/>
    <w:qFormat/>
    <w:rsid w:val="00733970"/>
    <w:pPr>
      <w:keepNext/>
      <w:keepLines/>
      <w:numPr>
        <w:numId w:val="10"/>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10"/>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B620EE"/>
    <w:pPr>
      <w:keepNext/>
      <w:keepLines/>
      <w:numPr>
        <w:ilvl w:val="2"/>
        <w:numId w:val="10"/>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2"/>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3"/>
      </w:numPr>
      <w:spacing w:before="113" w:after="113"/>
    </w:pPr>
    <w:rPr>
      <w:spacing w:val="-1"/>
    </w:rPr>
  </w:style>
  <w:style w:type="paragraph" w:styleId="ListNumber2">
    <w:name w:val="List Number 2"/>
    <w:basedOn w:val="Normal"/>
    <w:qFormat/>
    <w:rsid w:val="00961DBB"/>
    <w:pPr>
      <w:numPr>
        <w:ilvl w:val="1"/>
        <w:numId w:val="3"/>
      </w:numPr>
      <w:spacing w:before="113" w:after="113"/>
    </w:pPr>
    <w:rPr>
      <w:spacing w:val="-1"/>
    </w:rPr>
  </w:style>
  <w:style w:type="paragraph" w:styleId="ListNumber3">
    <w:name w:val="List Number 3"/>
    <w:basedOn w:val="Normal"/>
    <w:qFormat/>
    <w:rsid w:val="00961DBB"/>
    <w:pPr>
      <w:numPr>
        <w:ilvl w:val="2"/>
        <w:numId w:val="3"/>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99"/>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4"/>
      </w:numPr>
    </w:pPr>
  </w:style>
  <w:style w:type="paragraph" w:customStyle="1" w:styleId="PullOutBoxBullet2">
    <w:name w:val="Pull Out Box Bullet 2"/>
    <w:basedOn w:val="PullOutBoxBodyText"/>
    <w:qFormat/>
    <w:rsid w:val="00961DBB"/>
    <w:pPr>
      <w:numPr>
        <w:ilvl w:val="1"/>
        <w:numId w:val="4"/>
      </w:numPr>
    </w:pPr>
  </w:style>
  <w:style w:type="paragraph" w:customStyle="1" w:styleId="PullOutBoxBullet3">
    <w:name w:val="Pull Out Box Bullet 3"/>
    <w:basedOn w:val="PullOutBoxBodyText"/>
    <w:qFormat/>
    <w:rsid w:val="00961DBB"/>
    <w:pPr>
      <w:numPr>
        <w:ilvl w:val="2"/>
        <w:numId w:val="4"/>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5"/>
      </w:numPr>
    </w:pPr>
  </w:style>
  <w:style w:type="paragraph" w:customStyle="1" w:styleId="PullOutBoxNumber2">
    <w:name w:val="Pull Out Box Number 2"/>
    <w:basedOn w:val="PullOutBoxBodyText"/>
    <w:qFormat/>
    <w:rsid w:val="00961DBB"/>
    <w:pPr>
      <w:numPr>
        <w:ilvl w:val="1"/>
        <w:numId w:val="5"/>
      </w:numPr>
    </w:pPr>
  </w:style>
  <w:style w:type="paragraph" w:customStyle="1" w:styleId="PullOutBoxNumber3">
    <w:name w:val="Pull Out Box Number 3"/>
    <w:basedOn w:val="PullOutBoxBodyText"/>
    <w:qFormat/>
    <w:rsid w:val="00961DBB"/>
    <w:pPr>
      <w:numPr>
        <w:ilvl w:val="2"/>
        <w:numId w:val="5"/>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6"/>
      </w:numPr>
    </w:pPr>
  </w:style>
  <w:style w:type="paragraph" w:customStyle="1" w:styleId="QuoteBullet2">
    <w:name w:val="Quote Bullet 2"/>
    <w:basedOn w:val="Quote"/>
    <w:qFormat/>
    <w:rsid w:val="00961DBB"/>
    <w:pPr>
      <w:numPr>
        <w:ilvl w:val="1"/>
        <w:numId w:val="6"/>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7"/>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8"/>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left" w:pos="454"/>
        <w:tab w:val="right" w:leader="underscore" w:pos="8164"/>
      </w:tabs>
      <w:spacing w:after="227"/>
      <w:ind w:left="454" w:right="851" w:hanging="454"/>
    </w:pPr>
    <w:rPr>
      <w:b/>
      <w:noProof/>
      <w:color w:val="2B3B5F" w:themeColor="text2"/>
    </w:rPr>
  </w:style>
  <w:style w:type="paragraph" w:styleId="TOC2">
    <w:name w:val="toc 2"/>
    <w:basedOn w:val="Normal"/>
    <w:next w:val="Normal"/>
    <w:uiPriority w:val="39"/>
    <w:rsid w:val="001B2C65"/>
    <w:pPr>
      <w:tabs>
        <w:tab w:val="left" w:pos="1020"/>
        <w:tab w:val="right" w:leader="underscore" w:pos="8164"/>
      </w:tabs>
      <w:spacing w:after="227"/>
      <w:ind w:left="1020" w:right="851" w:hanging="567"/>
    </w:pPr>
    <w:rPr>
      <w:noProof/>
      <w:szCs w:val="28"/>
    </w:rPr>
  </w:style>
  <w:style w:type="paragraph" w:styleId="TOC3">
    <w:name w:val="toc 3"/>
    <w:basedOn w:val="Normal"/>
    <w:next w:val="Normal"/>
    <w:uiPriority w:val="39"/>
    <w:rsid w:val="001B2C65"/>
    <w:pPr>
      <w:tabs>
        <w:tab w:val="left" w:pos="1757"/>
        <w:tab w:val="right" w:leader="underscore" w:pos="8164"/>
      </w:tabs>
      <w:spacing w:after="227"/>
      <w:ind w:left="1757" w:right="851" w:hanging="737"/>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2000" w:lineRule="exact"/>
      <w:jc w:val="center"/>
    </w:pPr>
    <w:rPr>
      <w:caps/>
      <w:color w:val="EAEAEA"/>
      <w:spacing w:val="40"/>
      <w:sz w:val="20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uiPriority w:val="99"/>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styleId="TOC9">
    <w:name w:val="toc 9"/>
    <w:basedOn w:val="Normal"/>
    <w:next w:val="Normal"/>
    <w:autoRedefine/>
    <w:semiHidden/>
    <w:unhideWhenUsed/>
    <w:rsid w:val="00887E97"/>
    <w:pPr>
      <w:spacing w:after="100"/>
      <w:ind w:left="1760"/>
    </w:pPr>
  </w:style>
  <w:style w:type="paragraph" w:customStyle="1" w:styleId="PBOtext">
    <w:name w:val="PBO text"/>
    <w:basedOn w:val="Normal"/>
    <w:qFormat/>
    <w:rsid w:val="00C833E0"/>
    <w:pPr>
      <w:numPr>
        <w:numId w:val="9"/>
      </w:numPr>
      <w:spacing w:before="120" w:after="113" w:line="240" w:lineRule="auto"/>
      <w:ind w:left="567" w:hanging="567"/>
    </w:pPr>
    <w:rPr>
      <w:rFonts w:ascii="Calibri" w:eastAsia="Cambria" w:hAnsi="Calibri" w:cs="Times New Roman"/>
      <w:szCs w:val="20"/>
      <w:lang w:eastAsia="en-AU"/>
    </w:rPr>
  </w:style>
  <w:style w:type="paragraph" w:customStyle="1" w:styleId="PBOfiguretableheading">
    <w:name w:val="PBO figure/table heading"/>
    <w:uiPriority w:val="2"/>
    <w:qFormat/>
    <w:rsid w:val="00C833E0"/>
    <w:pPr>
      <w:spacing w:before="200" w:after="113" w:line="288" w:lineRule="auto"/>
    </w:pPr>
    <w:rPr>
      <w:rFonts w:ascii="Calibri" w:eastAsia="Cambria" w:hAnsi="Calibri" w:cs="Times New Roman"/>
      <w:b/>
      <w:i/>
      <w:color w:val="2B3B5F"/>
      <w:sz w:val="20"/>
      <w:szCs w:val="24"/>
    </w:rPr>
  </w:style>
  <w:style w:type="table" w:customStyle="1" w:styleId="PBOtable">
    <w:name w:val="PBO table"/>
    <w:basedOn w:val="TableNormal"/>
    <w:qFormat/>
    <w:rsid w:val="00C833E0"/>
    <w:pPr>
      <w:spacing w:line="240" w:lineRule="auto"/>
    </w:pPr>
    <w:rPr>
      <w:rFonts w:ascii="Calibri" w:eastAsia="Cambria" w:hAnsi="Calibri" w:cs="Times New Roman"/>
      <w:sz w:val="18"/>
      <w:szCs w:val="20"/>
      <w:lang w:eastAsia="en-AU"/>
    </w:rPr>
    <w:tblPr>
      <w:tblStyleRowBandSize w:val="1"/>
      <w:tblStyleColBandSize w:val="1"/>
    </w:tblPr>
    <w:tcPr>
      <w:shd w:val="clear" w:color="auto" w:fill="95A4C6"/>
      <w:vAlign w:val="center"/>
    </w:tcPr>
    <w:tblStylePr w:type="firstRow">
      <w:pPr>
        <w:jc w:val="center"/>
      </w:pPr>
      <w:rPr>
        <w:rFonts w:ascii="Calibri" w:hAnsi="Calibri"/>
        <w:b/>
        <w:color w:val="FFFFFF" w:themeColor="background1"/>
        <w:sz w:val="18"/>
      </w:rPr>
      <w:tblPr/>
      <w:tcPr>
        <w:shd w:val="clear" w:color="auto" w:fill="264A76"/>
      </w:tcPr>
    </w:tblStylePr>
    <w:tblStylePr w:type="firstCol">
      <w:pPr>
        <w:jc w:val="left"/>
      </w:pPr>
      <w:rPr>
        <w:rFonts w:ascii="Calibri" w:hAnsi="Calibri"/>
        <w:b/>
        <w:sz w:val="18"/>
      </w:rPr>
      <w:tblPr/>
      <w:tcPr>
        <w:vAlign w:val="center"/>
      </w:tcPr>
    </w:tblStylePr>
    <w:tblStylePr w:type="lastCol">
      <w:rPr>
        <w:rFonts w:ascii="Calibri" w:hAnsi="Calibri"/>
        <w:sz w:val="18"/>
      </w:rPr>
    </w:tblStylePr>
    <w:tblStylePr w:type="band1Horz">
      <w:pPr>
        <w:jc w:val="center"/>
      </w:pPr>
      <w:rPr>
        <w:color w:val="auto"/>
      </w:rPr>
      <w:tblPr/>
      <w:tcPr>
        <w:shd w:val="clear" w:color="auto" w:fill="D8DCE5"/>
      </w:tcPr>
    </w:tblStylePr>
    <w:tblStylePr w:type="band2Horz">
      <w:pPr>
        <w:jc w:val="center"/>
      </w:pPr>
      <w:rPr>
        <w:rFonts w:ascii="Calibri" w:hAnsi="Calibri"/>
        <w:sz w:val="18"/>
      </w:rPr>
      <w:tblPr/>
      <w:tcPr>
        <w:shd w:val="clear" w:color="auto" w:fill="FFFFFF" w:themeFill="background1"/>
      </w:tcPr>
    </w:tblStylePr>
  </w:style>
  <w:style w:type="character" w:styleId="CommentReference">
    <w:name w:val="annotation reference"/>
    <w:basedOn w:val="DefaultParagraphFont"/>
    <w:semiHidden/>
    <w:unhideWhenUsed/>
    <w:rsid w:val="000826F7"/>
    <w:rPr>
      <w:sz w:val="16"/>
      <w:szCs w:val="16"/>
    </w:rPr>
  </w:style>
  <w:style w:type="paragraph" w:styleId="CommentText">
    <w:name w:val="annotation text"/>
    <w:basedOn w:val="Normal"/>
    <w:link w:val="CommentTextChar"/>
    <w:semiHidden/>
    <w:unhideWhenUsed/>
    <w:rsid w:val="000826F7"/>
    <w:pPr>
      <w:spacing w:line="240" w:lineRule="auto"/>
    </w:pPr>
    <w:rPr>
      <w:sz w:val="20"/>
      <w:szCs w:val="20"/>
    </w:rPr>
  </w:style>
  <w:style w:type="character" w:customStyle="1" w:styleId="CommentTextChar">
    <w:name w:val="Comment Text Char"/>
    <w:basedOn w:val="DefaultParagraphFont"/>
    <w:link w:val="CommentText"/>
    <w:semiHidden/>
    <w:rsid w:val="000826F7"/>
    <w:rPr>
      <w:sz w:val="20"/>
      <w:szCs w:val="20"/>
    </w:rPr>
  </w:style>
  <w:style w:type="paragraph" w:styleId="CommentSubject">
    <w:name w:val="annotation subject"/>
    <w:basedOn w:val="CommentText"/>
    <w:next w:val="CommentText"/>
    <w:link w:val="CommentSubjectChar"/>
    <w:semiHidden/>
    <w:unhideWhenUsed/>
    <w:rsid w:val="000826F7"/>
    <w:rPr>
      <w:b/>
      <w:bCs/>
    </w:rPr>
  </w:style>
  <w:style w:type="character" w:customStyle="1" w:styleId="CommentSubjectChar">
    <w:name w:val="Comment Subject Char"/>
    <w:basedOn w:val="CommentTextChar"/>
    <w:link w:val="CommentSubject"/>
    <w:semiHidden/>
    <w:rsid w:val="000826F7"/>
    <w:rPr>
      <w:b/>
      <w:bCs/>
      <w:sz w:val="20"/>
      <w:szCs w:val="20"/>
    </w:rPr>
  </w:style>
  <w:style w:type="paragraph" w:styleId="Revision">
    <w:name w:val="Revision"/>
    <w:hidden/>
    <w:uiPriority w:val="99"/>
    <w:semiHidden/>
    <w:rsid w:val="00BA719D"/>
    <w:pPr>
      <w:spacing w:line="240" w:lineRule="auto"/>
    </w:pPr>
  </w:style>
  <w:style w:type="character" w:styleId="FollowedHyperlink">
    <w:name w:val="FollowedHyperlink"/>
    <w:basedOn w:val="DefaultParagraphFont"/>
    <w:semiHidden/>
    <w:unhideWhenUsed/>
    <w:rsid w:val="00951C7A"/>
    <w:rPr>
      <w:color w:val="000000" w:themeColor="followedHyperlink"/>
      <w:u w:val="single"/>
    </w:rPr>
  </w:style>
  <w:style w:type="paragraph" w:styleId="ListParagraph">
    <w:name w:val="List Paragraph"/>
    <w:basedOn w:val="Normal"/>
    <w:uiPriority w:val="34"/>
    <w:qFormat/>
    <w:rsid w:val="00B05310"/>
    <w:pPr>
      <w:spacing w:line="240" w:lineRule="auto"/>
      <w:ind w:left="720"/>
    </w:pPr>
    <w:rPr>
      <w:rFonts w:ascii="Calibri" w:hAnsi="Calibri" w:cs="Times New Roman"/>
    </w:rPr>
  </w:style>
  <w:style w:type="paragraph" w:styleId="EndnoteText">
    <w:name w:val="endnote text"/>
    <w:basedOn w:val="Normal"/>
    <w:link w:val="EndnoteTextChar"/>
    <w:semiHidden/>
    <w:unhideWhenUsed/>
    <w:rsid w:val="00090567"/>
    <w:pPr>
      <w:spacing w:line="240" w:lineRule="auto"/>
    </w:pPr>
    <w:rPr>
      <w:sz w:val="20"/>
      <w:szCs w:val="20"/>
    </w:rPr>
  </w:style>
  <w:style w:type="character" w:customStyle="1" w:styleId="EndnoteTextChar">
    <w:name w:val="Endnote Text Char"/>
    <w:basedOn w:val="DefaultParagraphFont"/>
    <w:link w:val="EndnoteText"/>
    <w:semiHidden/>
    <w:rsid w:val="00090567"/>
    <w:rPr>
      <w:sz w:val="20"/>
      <w:szCs w:val="20"/>
    </w:rPr>
  </w:style>
  <w:style w:type="character" w:styleId="EndnoteReference">
    <w:name w:val="endnote reference"/>
    <w:basedOn w:val="DefaultParagraphFont"/>
    <w:semiHidden/>
    <w:unhideWhenUsed/>
    <w:rsid w:val="00090567"/>
    <w:rPr>
      <w:vertAlign w:val="superscript"/>
    </w:rPr>
  </w:style>
  <w:style w:type="paragraph" w:customStyle="1" w:styleId="PBOlist1">
    <w:name w:val="PBO list 1"/>
    <w:basedOn w:val="Normal"/>
    <w:rsid w:val="00476729"/>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5117">
      <w:bodyDiv w:val="1"/>
      <w:marLeft w:val="0"/>
      <w:marRight w:val="0"/>
      <w:marTop w:val="0"/>
      <w:marBottom w:val="0"/>
      <w:divBdr>
        <w:top w:val="none" w:sz="0" w:space="0" w:color="auto"/>
        <w:left w:val="none" w:sz="0" w:space="0" w:color="auto"/>
        <w:bottom w:val="none" w:sz="0" w:space="0" w:color="auto"/>
        <w:right w:val="none" w:sz="0" w:space="0" w:color="auto"/>
      </w:divBdr>
    </w:div>
    <w:div w:id="119230868">
      <w:bodyDiv w:val="1"/>
      <w:marLeft w:val="0"/>
      <w:marRight w:val="0"/>
      <w:marTop w:val="0"/>
      <w:marBottom w:val="0"/>
      <w:divBdr>
        <w:top w:val="none" w:sz="0" w:space="0" w:color="auto"/>
        <w:left w:val="none" w:sz="0" w:space="0" w:color="auto"/>
        <w:bottom w:val="none" w:sz="0" w:space="0" w:color="auto"/>
        <w:right w:val="none" w:sz="0" w:space="0" w:color="auto"/>
      </w:divBdr>
    </w:div>
    <w:div w:id="154539603">
      <w:bodyDiv w:val="1"/>
      <w:marLeft w:val="0"/>
      <w:marRight w:val="0"/>
      <w:marTop w:val="0"/>
      <w:marBottom w:val="0"/>
      <w:divBdr>
        <w:top w:val="none" w:sz="0" w:space="0" w:color="auto"/>
        <w:left w:val="none" w:sz="0" w:space="0" w:color="auto"/>
        <w:bottom w:val="none" w:sz="0" w:space="0" w:color="auto"/>
        <w:right w:val="none" w:sz="0" w:space="0" w:color="auto"/>
      </w:divBdr>
    </w:div>
    <w:div w:id="191576093">
      <w:bodyDiv w:val="1"/>
      <w:marLeft w:val="0"/>
      <w:marRight w:val="0"/>
      <w:marTop w:val="0"/>
      <w:marBottom w:val="0"/>
      <w:divBdr>
        <w:top w:val="none" w:sz="0" w:space="0" w:color="auto"/>
        <w:left w:val="none" w:sz="0" w:space="0" w:color="auto"/>
        <w:bottom w:val="none" w:sz="0" w:space="0" w:color="auto"/>
        <w:right w:val="none" w:sz="0" w:space="0" w:color="auto"/>
      </w:divBdr>
    </w:div>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233274835">
      <w:bodyDiv w:val="1"/>
      <w:marLeft w:val="0"/>
      <w:marRight w:val="0"/>
      <w:marTop w:val="0"/>
      <w:marBottom w:val="0"/>
      <w:divBdr>
        <w:top w:val="none" w:sz="0" w:space="0" w:color="auto"/>
        <w:left w:val="none" w:sz="0" w:space="0" w:color="auto"/>
        <w:bottom w:val="none" w:sz="0" w:space="0" w:color="auto"/>
        <w:right w:val="none" w:sz="0" w:space="0" w:color="auto"/>
      </w:divBdr>
    </w:div>
    <w:div w:id="269900828">
      <w:bodyDiv w:val="1"/>
      <w:marLeft w:val="0"/>
      <w:marRight w:val="0"/>
      <w:marTop w:val="0"/>
      <w:marBottom w:val="0"/>
      <w:divBdr>
        <w:top w:val="none" w:sz="0" w:space="0" w:color="auto"/>
        <w:left w:val="none" w:sz="0" w:space="0" w:color="auto"/>
        <w:bottom w:val="none" w:sz="0" w:space="0" w:color="auto"/>
        <w:right w:val="none" w:sz="0" w:space="0" w:color="auto"/>
      </w:divBdr>
    </w:div>
    <w:div w:id="413355034">
      <w:bodyDiv w:val="1"/>
      <w:marLeft w:val="0"/>
      <w:marRight w:val="0"/>
      <w:marTop w:val="0"/>
      <w:marBottom w:val="0"/>
      <w:divBdr>
        <w:top w:val="none" w:sz="0" w:space="0" w:color="auto"/>
        <w:left w:val="none" w:sz="0" w:space="0" w:color="auto"/>
        <w:bottom w:val="none" w:sz="0" w:space="0" w:color="auto"/>
        <w:right w:val="none" w:sz="0" w:space="0" w:color="auto"/>
      </w:divBdr>
    </w:div>
    <w:div w:id="455875358">
      <w:bodyDiv w:val="1"/>
      <w:marLeft w:val="0"/>
      <w:marRight w:val="0"/>
      <w:marTop w:val="0"/>
      <w:marBottom w:val="0"/>
      <w:divBdr>
        <w:top w:val="none" w:sz="0" w:space="0" w:color="auto"/>
        <w:left w:val="none" w:sz="0" w:space="0" w:color="auto"/>
        <w:bottom w:val="none" w:sz="0" w:space="0" w:color="auto"/>
        <w:right w:val="none" w:sz="0" w:space="0" w:color="auto"/>
      </w:divBdr>
    </w:div>
    <w:div w:id="506096216">
      <w:bodyDiv w:val="1"/>
      <w:marLeft w:val="0"/>
      <w:marRight w:val="0"/>
      <w:marTop w:val="0"/>
      <w:marBottom w:val="0"/>
      <w:divBdr>
        <w:top w:val="none" w:sz="0" w:space="0" w:color="auto"/>
        <w:left w:val="none" w:sz="0" w:space="0" w:color="auto"/>
        <w:bottom w:val="none" w:sz="0" w:space="0" w:color="auto"/>
        <w:right w:val="none" w:sz="0" w:space="0" w:color="auto"/>
      </w:divBdr>
    </w:div>
    <w:div w:id="550770125">
      <w:bodyDiv w:val="1"/>
      <w:marLeft w:val="0"/>
      <w:marRight w:val="0"/>
      <w:marTop w:val="0"/>
      <w:marBottom w:val="0"/>
      <w:divBdr>
        <w:top w:val="none" w:sz="0" w:space="0" w:color="auto"/>
        <w:left w:val="none" w:sz="0" w:space="0" w:color="auto"/>
        <w:bottom w:val="none" w:sz="0" w:space="0" w:color="auto"/>
        <w:right w:val="none" w:sz="0" w:space="0" w:color="auto"/>
      </w:divBdr>
    </w:div>
    <w:div w:id="766274270">
      <w:bodyDiv w:val="1"/>
      <w:marLeft w:val="0"/>
      <w:marRight w:val="0"/>
      <w:marTop w:val="0"/>
      <w:marBottom w:val="0"/>
      <w:divBdr>
        <w:top w:val="none" w:sz="0" w:space="0" w:color="auto"/>
        <w:left w:val="none" w:sz="0" w:space="0" w:color="auto"/>
        <w:bottom w:val="none" w:sz="0" w:space="0" w:color="auto"/>
        <w:right w:val="none" w:sz="0" w:space="0" w:color="auto"/>
      </w:divBdr>
    </w:div>
    <w:div w:id="855459047">
      <w:bodyDiv w:val="1"/>
      <w:marLeft w:val="0"/>
      <w:marRight w:val="0"/>
      <w:marTop w:val="0"/>
      <w:marBottom w:val="0"/>
      <w:divBdr>
        <w:top w:val="none" w:sz="0" w:space="0" w:color="auto"/>
        <w:left w:val="none" w:sz="0" w:space="0" w:color="auto"/>
        <w:bottom w:val="none" w:sz="0" w:space="0" w:color="auto"/>
        <w:right w:val="none" w:sz="0" w:space="0" w:color="auto"/>
      </w:divBdr>
    </w:div>
    <w:div w:id="941844368">
      <w:bodyDiv w:val="1"/>
      <w:marLeft w:val="0"/>
      <w:marRight w:val="0"/>
      <w:marTop w:val="0"/>
      <w:marBottom w:val="0"/>
      <w:divBdr>
        <w:top w:val="none" w:sz="0" w:space="0" w:color="auto"/>
        <w:left w:val="none" w:sz="0" w:space="0" w:color="auto"/>
        <w:bottom w:val="none" w:sz="0" w:space="0" w:color="auto"/>
        <w:right w:val="none" w:sz="0" w:space="0" w:color="auto"/>
      </w:divBdr>
    </w:div>
    <w:div w:id="1041436061">
      <w:bodyDiv w:val="1"/>
      <w:marLeft w:val="0"/>
      <w:marRight w:val="0"/>
      <w:marTop w:val="0"/>
      <w:marBottom w:val="0"/>
      <w:divBdr>
        <w:top w:val="none" w:sz="0" w:space="0" w:color="auto"/>
        <w:left w:val="none" w:sz="0" w:space="0" w:color="auto"/>
        <w:bottom w:val="none" w:sz="0" w:space="0" w:color="auto"/>
        <w:right w:val="none" w:sz="0" w:space="0" w:color="auto"/>
      </w:divBdr>
    </w:div>
    <w:div w:id="1261065185">
      <w:bodyDiv w:val="1"/>
      <w:marLeft w:val="0"/>
      <w:marRight w:val="0"/>
      <w:marTop w:val="0"/>
      <w:marBottom w:val="0"/>
      <w:divBdr>
        <w:top w:val="none" w:sz="0" w:space="0" w:color="auto"/>
        <w:left w:val="none" w:sz="0" w:space="0" w:color="auto"/>
        <w:bottom w:val="none" w:sz="0" w:space="0" w:color="auto"/>
        <w:right w:val="none" w:sz="0" w:space="0" w:color="auto"/>
      </w:divBdr>
    </w:div>
    <w:div w:id="1338388553">
      <w:bodyDiv w:val="1"/>
      <w:marLeft w:val="0"/>
      <w:marRight w:val="0"/>
      <w:marTop w:val="0"/>
      <w:marBottom w:val="0"/>
      <w:divBdr>
        <w:top w:val="none" w:sz="0" w:space="0" w:color="auto"/>
        <w:left w:val="none" w:sz="0" w:space="0" w:color="auto"/>
        <w:bottom w:val="none" w:sz="0" w:space="0" w:color="auto"/>
        <w:right w:val="none" w:sz="0" w:space="0" w:color="auto"/>
      </w:divBdr>
    </w:div>
    <w:div w:id="1343779014">
      <w:bodyDiv w:val="1"/>
      <w:marLeft w:val="0"/>
      <w:marRight w:val="0"/>
      <w:marTop w:val="0"/>
      <w:marBottom w:val="0"/>
      <w:divBdr>
        <w:top w:val="none" w:sz="0" w:space="0" w:color="auto"/>
        <w:left w:val="none" w:sz="0" w:space="0" w:color="auto"/>
        <w:bottom w:val="none" w:sz="0" w:space="0" w:color="auto"/>
        <w:right w:val="none" w:sz="0" w:space="0" w:color="auto"/>
      </w:divBdr>
    </w:div>
    <w:div w:id="1365712853">
      <w:bodyDiv w:val="1"/>
      <w:marLeft w:val="0"/>
      <w:marRight w:val="0"/>
      <w:marTop w:val="0"/>
      <w:marBottom w:val="0"/>
      <w:divBdr>
        <w:top w:val="none" w:sz="0" w:space="0" w:color="auto"/>
        <w:left w:val="none" w:sz="0" w:space="0" w:color="auto"/>
        <w:bottom w:val="none" w:sz="0" w:space="0" w:color="auto"/>
        <w:right w:val="none" w:sz="0" w:space="0" w:color="auto"/>
      </w:divBdr>
    </w:div>
    <w:div w:id="1405376303">
      <w:bodyDiv w:val="1"/>
      <w:marLeft w:val="0"/>
      <w:marRight w:val="0"/>
      <w:marTop w:val="0"/>
      <w:marBottom w:val="0"/>
      <w:divBdr>
        <w:top w:val="none" w:sz="0" w:space="0" w:color="auto"/>
        <w:left w:val="none" w:sz="0" w:space="0" w:color="auto"/>
        <w:bottom w:val="none" w:sz="0" w:space="0" w:color="auto"/>
        <w:right w:val="none" w:sz="0" w:space="0" w:color="auto"/>
      </w:divBdr>
    </w:div>
    <w:div w:id="1692416198">
      <w:bodyDiv w:val="1"/>
      <w:marLeft w:val="0"/>
      <w:marRight w:val="0"/>
      <w:marTop w:val="0"/>
      <w:marBottom w:val="0"/>
      <w:divBdr>
        <w:top w:val="none" w:sz="0" w:space="0" w:color="auto"/>
        <w:left w:val="none" w:sz="0" w:space="0" w:color="auto"/>
        <w:bottom w:val="none" w:sz="0" w:space="0" w:color="auto"/>
        <w:right w:val="none" w:sz="0" w:space="0" w:color="auto"/>
      </w:divBdr>
    </w:div>
    <w:div w:id="1832215640">
      <w:bodyDiv w:val="1"/>
      <w:marLeft w:val="0"/>
      <w:marRight w:val="0"/>
      <w:marTop w:val="0"/>
      <w:marBottom w:val="0"/>
      <w:divBdr>
        <w:top w:val="none" w:sz="0" w:space="0" w:color="auto"/>
        <w:left w:val="none" w:sz="0" w:space="0" w:color="auto"/>
        <w:bottom w:val="none" w:sz="0" w:space="0" w:color="auto"/>
        <w:right w:val="none" w:sz="0" w:space="0" w:color="auto"/>
      </w:divBdr>
    </w:div>
    <w:div w:id="1877620260">
      <w:bodyDiv w:val="1"/>
      <w:marLeft w:val="0"/>
      <w:marRight w:val="0"/>
      <w:marTop w:val="0"/>
      <w:marBottom w:val="0"/>
      <w:divBdr>
        <w:top w:val="none" w:sz="0" w:space="0" w:color="auto"/>
        <w:left w:val="none" w:sz="0" w:space="0" w:color="auto"/>
        <w:bottom w:val="none" w:sz="0" w:space="0" w:color="auto"/>
        <w:right w:val="none" w:sz="0" w:space="0" w:color="auto"/>
      </w:divBdr>
    </w:div>
    <w:div w:id="210588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header" Target="header12.xml"/><Relationship Id="rId21" Type="http://schemas.openxmlformats.org/officeDocument/2006/relationships/header" Target="header6.xml"/><Relationship Id="rId34" Type="http://schemas.openxmlformats.org/officeDocument/2006/relationships/image" Target="media/image6.png"/><Relationship Id="rId42" Type="http://schemas.openxmlformats.org/officeDocument/2006/relationships/footer" Target="footer10.xml"/><Relationship Id="rId47" Type="http://schemas.openxmlformats.org/officeDocument/2006/relationships/footer" Target="footer12.xml"/><Relationship Id="rId50" Type="http://schemas.openxmlformats.org/officeDocument/2006/relationships/image" Target="media/image9.png"/><Relationship Id="rId55" Type="http://schemas.openxmlformats.org/officeDocument/2006/relationships/image" Target="media/image14.png"/><Relationship Id="rId63" Type="http://schemas.openxmlformats.org/officeDocument/2006/relationships/footer" Target="footer14.xml"/><Relationship Id="rId68" Type="http://schemas.openxmlformats.org/officeDocument/2006/relationships/header" Target="header21.xml"/><Relationship Id="rId76" Type="http://schemas.openxmlformats.org/officeDocument/2006/relationships/header" Target="header25.xml"/><Relationship Id="rId84" Type="http://schemas.openxmlformats.org/officeDocument/2006/relationships/image" Target="media/image20.png"/><Relationship Id="rId89" Type="http://schemas.openxmlformats.org/officeDocument/2006/relationships/header" Target="header30.xml"/><Relationship Id="rId7" Type="http://schemas.openxmlformats.org/officeDocument/2006/relationships/footnotes" Target="footnotes.xml"/><Relationship Id="rId71" Type="http://schemas.openxmlformats.org/officeDocument/2006/relationships/footer" Target="footer19.xm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tsanhonour.gov.au/coat-arms" TargetMode="External"/><Relationship Id="rId29" Type="http://schemas.openxmlformats.org/officeDocument/2006/relationships/image" Target="media/image4.png"/><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image" Target="media/image5.png"/><Relationship Id="rId37" Type="http://schemas.openxmlformats.org/officeDocument/2006/relationships/header" Target="header11.xml"/><Relationship Id="rId40" Type="http://schemas.openxmlformats.org/officeDocument/2006/relationships/header" Target="header13.xml"/><Relationship Id="rId45" Type="http://schemas.openxmlformats.org/officeDocument/2006/relationships/header" Target="header15.xml"/><Relationship Id="rId53" Type="http://schemas.openxmlformats.org/officeDocument/2006/relationships/image" Target="media/image12.png"/><Relationship Id="rId58" Type="http://schemas.openxmlformats.org/officeDocument/2006/relationships/image" Target="media/image17.png"/><Relationship Id="rId66" Type="http://schemas.openxmlformats.org/officeDocument/2006/relationships/footer" Target="footer16.xml"/><Relationship Id="rId74" Type="http://schemas.openxmlformats.org/officeDocument/2006/relationships/hyperlink" Target="http://medicarestatistics.humanservices.gov.au/statistics/mbs_item.jsp" TargetMode="External"/><Relationship Id="rId79" Type="http://schemas.openxmlformats.org/officeDocument/2006/relationships/header" Target="header26.xml"/><Relationship Id="rId87" Type="http://schemas.openxmlformats.org/officeDocument/2006/relationships/hyperlink" Target="http://www.pbo.gov.au/" TargetMode="External"/><Relationship Id="rId5" Type="http://schemas.openxmlformats.org/officeDocument/2006/relationships/settings" Target="settings.xml"/><Relationship Id="rId61" Type="http://schemas.openxmlformats.org/officeDocument/2006/relationships/header" Target="header18.xml"/><Relationship Id="rId82" Type="http://schemas.openxmlformats.org/officeDocument/2006/relationships/footer" Target="footer23.xml"/><Relationship Id="rId90" Type="http://schemas.openxmlformats.org/officeDocument/2006/relationships/footer" Target="footer25.xml"/><Relationship Id="rId19" Type="http://schemas.openxmlformats.org/officeDocument/2006/relationships/header" Target="header5.xml"/><Relationship Id="rId14" Type="http://schemas.openxmlformats.org/officeDocument/2006/relationships/image" Target="media/image2.png"/><Relationship Id="rId22" Type="http://schemas.openxmlformats.org/officeDocument/2006/relationships/header" Target="header7.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image" Target="media/image7.png"/><Relationship Id="rId43" Type="http://schemas.openxmlformats.org/officeDocument/2006/relationships/footer" Target="footer11.xml"/><Relationship Id="rId48" Type="http://schemas.openxmlformats.org/officeDocument/2006/relationships/footer" Target="footer13.xml"/><Relationship Id="rId56" Type="http://schemas.openxmlformats.org/officeDocument/2006/relationships/image" Target="media/image15.png"/><Relationship Id="rId64" Type="http://schemas.openxmlformats.org/officeDocument/2006/relationships/footer" Target="footer15.xml"/><Relationship Id="rId69" Type="http://schemas.openxmlformats.org/officeDocument/2006/relationships/header" Target="header22.xml"/><Relationship Id="rId77" Type="http://schemas.openxmlformats.org/officeDocument/2006/relationships/footer" Target="footer21.xml"/><Relationship Id="rId8" Type="http://schemas.openxmlformats.org/officeDocument/2006/relationships/endnotes" Target="endnotes.xml"/><Relationship Id="rId51" Type="http://schemas.openxmlformats.org/officeDocument/2006/relationships/image" Target="media/image10.png"/><Relationship Id="rId72" Type="http://schemas.openxmlformats.org/officeDocument/2006/relationships/header" Target="header23.xml"/><Relationship Id="rId80" Type="http://schemas.openxmlformats.org/officeDocument/2006/relationships/header" Target="header27.xml"/><Relationship Id="rId85" Type="http://schemas.openxmlformats.org/officeDocument/2006/relationships/hyperlink" Target="http://www.pbo.gov.au/" TargetMode="External"/><Relationship Id="rId93"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mailto:pbo@pbo.gov.au" TargetMode="External"/><Relationship Id="rId25" Type="http://schemas.openxmlformats.org/officeDocument/2006/relationships/footer" Target="footer5.xml"/><Relationship Id="rId33" Type="http://schemas.openxmlformats.org/officeDocument/2006/relationships/hyperlink" Target="http://medicarestatistics.humanservices.gov.au/statistics/mbs_item.jsp" TargetMode="External"/><Relationship Id="rId38" Type="http://schemas.openxmlformats.org/officeDocument/2006/relationships/footer" Target="footer9.xml"/><Relationship Id="rId46" Type="http://schemas.openxmlformats.org/officeDocument/2006/relationships/header" Target="header16.xml"/><Relationship Id="rId59" Type="http://schemas.openxmlformats.org/officeDocument/2006/relationships/image" Target="media/image18.png"/><Relationship Id="rId67" Type="http://schemas.openxmlformats.org/officeDocument/2006/relationships/footer" Target="footer17.xml"/><Relationship Id="rId20" Type="http://schemas.openxmlformats.org/officeDocument/2006/relationships/footer" Target="footer3.xml"/><Relationship Id="rId41" Type="http://schemas.openxmlformats.org/officeDocument/2006/relationships/header" Target="header14.xml"/><Relationship Id="rId54" Type="http://schemas.openxmlformats.org/officeDocument/2006/relationships/image" Target="media/image13.png"/><Relationship Id="rId62" Type="http://schemas.openxmlformats.org/officeDocument/2006/relationships/header" Target="header19.xml"/><Relationship Id="rId70" Type="http://schemas.openxmlformats.org/officeDocument/2006/relationships/footer" Target="footer18.xml"/><Relationship Id="rId75" Type="http://schemas.openxmlformats.org/officeDocument/2006/relationships/header" Target="header24.xml"/><Relationship Id="rId83" Type="http://schemas.openxmlformats.org/officeDocument/2006/relationships/footer" Target="footer24.xml"/><Relationship Id="rId88" Type="http://schemas.openxmlformats.org/officeDocument/2006/relationships/header" Target="header29.xml"/><Relationship Id="rId91" Type="http://schemas.openxmlformats.org/officeDocument/2006/relationships/footer" Target="footer26.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creativecommons.org/licenses/by-nc-nd/3.0/au/" TargetMode="External"/><Relationship Id="rId23" Type="http://schemas.openxmlformats.org/officeDocument/2006/relationships/header" Target="header8.xml"/><Relationship Id="rId28" Type="http://schemas.openxmlformats.org/officeDocument/2006/relationships/image" Target="media/image3.png"/><Relationship Id="rId36" Type="http://schemas.openxmlformats.org/officeDocument/2006/relationships/header" Target="header10.xml"/><Relationship Id="rId49" Type="http://schemas.openxmlformats.org/officeDocument/2006/relationships/header" Target="header17.xml"/><Relationship Id="rId57" Type="http://schemas.openxmlformats.org/officeDocument/2006/relationships/image" Target="media/image16.png"/><Relationship Id="rId10" Type="http://schemas.openxmlformats.org/officeDocument/2006/relationships/header" Target="header2.xml"/><Relationship Id="rId31" Type="http://schemas.openxmlformats.org/officeDocument/2006/relationships/footer" Target="footer8.xml"/><Relationship Id="rId44" Type="http://schemas.openxmlformats.org/officeDocument/2006/relationships/image" Target="media/image8.png"/><Relationship Id="rId52" Type="http://schemas.openxmlformats.org/officeDocument/2006/relationships/image" Target="media/image11.png"/><Relationship Id="rId60" Type="http://schemas.openxmlformats.org/officeDocument/2006/relationships/image" Target="media/image19.png"/><Relationship Id="rId65" Type="http://schemas.openxmlformats.org/officeDocument/2006/relationships/header" Target="header20.xml"/><Relationship Id="rId73" Type="http://schemas.openxmlformats.org/officeDocument/2006/relationships/footer" Target="footer20.xml"/><Relationship Id="rId78" Type="http://schemas.openxmlformats.org/officeDocument/2006/relationships/footer" Target="footer22.xml"/><Relationship Id="rId81" Type="http://schemas.openxmlformats.org/officeDocument/2006/relationships/header" Target="header28.xml"/><Relationship Id="rId86" Type="http://schemas.openxmlformats.org/officeDocument/2006/relationships/image" Target="media/image21.png"/><Relationship Id="rId9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iganl\AppData\Roaming\Microsoft\Templates\PBO%20Research%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628A7B35E7643CD834E0FEFE10BD7CD"/>
        <w:category>
          <w:name w:val="General"/>
          <w:gallery w:val="placeholder"/>
        </w:category>
        <w:types>
          <w:type w:val="bbPlcHdr"/>
        </w:types>
        <w:behaviors>
          <w:behavior w:val="content"/>
        </w:behaviors>
        <w:guid w:val="{A40D9036-F5EB-4AF7-87F5-D2CAC0F3D402}"/>
      </w:docPartPr>
      <w:docPartBody>
        <w:p w:rsidR="006D4D99" w:rsidRDefault="005601F9" w:rsidP="005601F9">
          <w:pPr>
            <w:pStyle w:val="7628A7B35E7643CD834E0FEFE10BD7CD"/>
          </w:pPr>
          <w:r w:rsidRPr="004F703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1F9"/>
    <w:rsid w:val="00055C7F"/>
    <w:rsid w:val="000C6CF8"/>
    <w:rsid w:val="000D315A"/>
    <w:rsid w:val="000F2BF7"/>
    <w:rsid w:val="001323C3"/>
    <w:rsid w:val="00146110"/>
    <w:rsid w:val="0015517D"/>
    <w:rsid w:val="00224E1A"/>
    <w:rsid w:val="00226BB7"/>
    <w:rsid w:val="00237F01"/>
    <w:rsid w:val="00246718"/>
    <w:rsid w:val="00261F7F"/>
    <w:rsid w:val="00297425"/>
    <w:rsid w:val="002A3FD3"/>
    <w:rsid w:val="002B6C5E"/>
    <w:rsid w:val="003178B9"/>
    <w:rsid w:val="00325E0A"/>
    <w:rsid w:val="00327A26"/>
    <w:rsid w:val="003608A6"/>
    <w:rsid w:val="00386496"/>
    <w:rsid w:val="00391FEA"/>
    <w:rsid w:val="003E778F"/>
    <w:rsid w:val="00404BF8"/>
    <w:rsid w:val="004266BA"/>
    <w:rsid w:val="00432C6B"/>
    <w:rsid w:val="0043358A"/>
    <w:rsid w:val="00447FFC"/>
    <w:rsid w:val="0045055D"/>
    <w:rsid w:val="00460F5B"/>
    <w:rsid w:val="004862F8"/>
    <w:rsid w:val="004C4234"/>
    <w:rsid w:val="004E59C4"/>
    <w:rsid w:val="004F687C"/>
    <w:rsid w:val="00515894"/>
    <w:rsid w:val="0054402C"/>
    <w:rsid w:val="00552BD2"/>
    <w:rsid w:val="005601F9"/>
    <w:rsid w:val="00574080"/>
    <w:rsid w:val="00596A43"/>
    <w:rsid w:val="00605F64"/>
    <w:rsid w:val="00617629"/>
    <w:rsid w:val="00664EB6"/>
    <w:rsid w:val="00686E55"/>
    <w:rsid w:val="006A3AD1"/>
    <w:rsid w:val="006A7F73"/>
    <w:rsid w:val="006C2AC4"/>
    <w:rsid w:val="006D4D99"/>
    <w:rsid w:val="006E0A8F"/>
    <w:rsid w:val="00715B46"/>
    <w:rsid w:val="00726828"/>
    <w:rsid w:val="0075699C"/>
    <w:rsid w:val="007768A8"/>
    <w:rsid w:val="00781EC0"/>
    <w:rsid w:val="00793D35"/>
    <w:rsid w:val="007E14BF"/>
    <w:rsid w:val="007E2592"/>
    <w:rsid w:val="007F7322"/>
    <w:rsid w:val="00806D90"/>
    <w:rsid w:val="00822DD9"/>
    <w:rsid w:val="008971C2"/>
    <w:rsid w:val="008C5402"/>
    <w:rsid w:val="008D194C"/>
    <w:rsid w:val="008F3784"/>
    <w:rsid w:val="009246D2"/>
    <w:rsid w:val="009676F5"/>
    <w:rsid w:val="00985366"/>
    <w:rsid w:val="009A4D70"/>
    <w:rsid w:val="00A076B5"/>
    <w:rsid w:val="00A555E8"/>
    <w:rsid w:val="00A668ED"/>
    <w:rsid w:val="00A832E6"/>
    <w:rsid w:val="00A97FFD"/>
    <w:rsid w:val="00AC7148"/>
    <w:rsid w:val="00B21C68"/>
    <w:rsid w:val="00B24DF7"/>
    <w:rsid w:val="00B355DE"/>
    <w:rsid w:val="00B618B1"/>
    <w:rsid w:val="00B624FF"/>
    <w:rsid w:val="00B70B3E"/>
    <w:rsid w:val="00B72F19"/>
    <w:rsid w:val="00BC0E84"/>
    <w:rsid w:val="00BE1C50"/>
    <w:rsid w:val="00BE64E3"/>
    <w:rsid w:val="00BF20BB"/>
    <w:rsid w:val="00C04C9E"/>
    <w:rsid w:val="00C313E9"/>
    <w:rsid w:val="00C85D4E"/>
    <w:rsid w:val="00C863DE"/>
    <w:rsid w:val="00CA0B6A"/>
    <w:rsid w:val="00CC6C95"/>
    <w:rsid w:val="00D27E58"/>
    <w:rsid w:val="00D37235"/>
    <w:rsid w:val="00D40D48"/>
    <w:rsid w:val="00D55E1B"/>
    <w:rsid w:val="00D75443"/>
    <w:rsid w:val="00DA2CFF"/>
    <w:rsid w:val="00DB4522"/>
    <w:rsid w:val="00DF0FC1"/>
    <w:rsid w:val="00E01C24"/>
    <w:rsid w:val="00E307D1"/>
    <w:rsid w:val="00E437A0"/>
    <w:rsid w:val="00E53F47"/>
    <w:rsid w:val="00E93125"/>
    <w:rsid w:val="00ED04FF"/>
    <w:rsid w:val="00ED38CF"/>
    <w:rsid w:val="00EE1585"/>
    <w:rsid w:val="00F01D45"/>
    <w:rsid w:val="00F12ABA"/>
    <w:rsid w:val="00F3598C"/>
    <w:rsid w:val="00F740C6"/>
    <w:rsid w:val="00F84EB7"/>
    <w:rsid w:val="00F91591"/>
    <w:rsid w:val="00FF49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601F9"/>
    <w:rPr>
      <w:color w:val="808080"/>
    </w:rPr>
  </w:style>
  <w:style w:type="paragraph" w:customStyle="1" w:styleId="7628A7B35E7643CD834E0FEFE10BD7CD">
    <w:name w:val="7628A7B35E7643CD834E0FEFE10BD7CD"/>
    <w:rsid w:val="005601F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601F9"/>
    <w:rPr>
      <w:color w:val="808080"/>
    </w:rPr>
  </w:style>
  <w:style w:type="paragraph" w:customStyle="1" w:styleId="7628A7B35E7643CD834E0FEFE10BD7CD">
    <w:name w:val="7628A7B35E7643CD834E0FEFE10BD7CD"/>
    <w:rsid w:val="005601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475E1-9CFE-4B6E-979F-CD2DEF05E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PBO Research Report.dotm</Template>
  <TotalTime>878</TotalTime>
  <Pages>40</Pages>
  <Words>11963</Words>
  <Characters>68195</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Medicare Benefits Schedule - Spending trends and projections</vt:lpstr>
    </vt:vector>
  </TitlesOfParts>
  <Company>Parliament of Australia</Company>
  <LinksUpToDate>false</LinksUpToDate>
  <CharactersWithSpaces>79999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Benefits Schedule - Spending trends and projections</dc:title>
  <dc:creator>Parliamentary Budget Office</dc:creator>
  <cp:lastModifiedBy>Milligan, Louise (PBO)</cp:lastModifiedBy>
  <cp:revision>161</cp:revision>
  <cp:lastPrinted>2015-12-15T00:29:00Z</cp:lastPrinted>
  <dcterms:created xsi:type="dcterms:W3CDTF">2015-11-23T02:00:00Z</dcterms:created>
  <dcterms:modified xsi:type="dcterms:W3CDTF">2015-12-16T02:18:00Z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DRAFT</vt:lpwstr>
  </property>
  <property fmtid="{D5CDD505-2E9C-101B-9397-08002B2CF9AE}" pid="3" name="xTOCH2">
    <vt:lpwstr>N</vt:lpwstr>
  </property>
  <property fmtid="{D5CDD505-2E9C-101B-9397-08002B2CF9AE}" pid="4" name="xTOCH3">
    <vt:lpwstr>N</vt:lpwstr>
  </property>
  <property fmtid="{D5CDD505-2E9C-101B-9397-08002B2CF9AE}" pid="5" name="xTOCTable">
    <vt:lpwstr>S</vt:lpwstr>
  </property>
  <property fmtid="{D5CDD505-2E9C-101B-9397-08002B2CF9AE}" pid="6" name="xTOCFigure">
    <vt:lpwstr>S</vt:lpwstr>
  </property>
  <property fmtid="{D5CDD505-2E9C-101B-9397-08002B2CF9AE}" pid="7" name="xTOCApp">
    <vt:lpwstr>S</vt:lpwstr>
  </property>
  <property fmtid="{D5CDD505-2E9C-101B-9397-08002B2CF9AE}" pid="8" name="xNumberedBodyText">
    <vt:lpwstr>False</vt:lpwstr>
  </property>
  <property fmtid="{D5CDD505-2E9C-101B-9397-08002B2CF9AE}" pid="9" name="xCR">
    <vt:lpwstr>Tables</vt:lpwstr>
  </property>
  <property fmtid="{D5CDD505-2E9C-101B-9397-08002B2CF9AE}" pid="10" name="xHeadingsNumbered">
    <vt:lpwstr>-1</vt:lpwstr>
  </property>
  <property fmtid="{D5CDD505-2E9C-101B-9397-08002B2CF9AE}" pid="11" name="xAppendixName">
    <vt:lpwstr>Appendix</vt:lpwstr>
  </property>
  <property fmtid="{D5CDD505-2E9C-101B-9397-08002B2CF9AE}" pid="12" name="_MarkAsFinal">
    <vt:bool>true</vt:bool>
  </property>
</Properties>
</file>