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8.xml" ContentType="application/vnd.openxmlformats-officedocument.wordprocessingml.header+xml"/>
  <Override PartName="/word/footer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21.xml" ContentType="application/vnd.openxmlformats-officedocument.wordprocessingml.header+xml"/>
  <Override PartName="/word/footer12.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24.xml" ContentType="application/vnd.openxmlformats-officedocument.wordprocessingml.header+xml"/>
  <Override PartName="/word/footer15.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7.xml" ContentType="application/vnd.openxmlformats-officedocument.wordprocessingml.header+xml"/>
  <Override PartName="/word/footer18.xml" ContentType="application/vnd.openxmlformats-officedocument.wordprocessingml.footer+xml"/>
  <Override PartName="/word/header28.xml" ContentType="application/vnd.openxmlformats-officedocument.wordprocessingml.header+xml"/>
  <Override PartName="/word/footer19.xml" ContentType="application/vnd.openxmlformats-officedocument.wordprocessingml.footer+xml"/>
  <Override PartName="/word/header29.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DBB" w:rsidRDefault="00961DBB" w:rsidP="00961DBB">
      <w:bookmarkStart w:id="0" w:name="Here"/>
      <w:bookmarkEnd w:id="0"/>
    </w:p>
    <w:tbl>
      <w:tblPr>
        <w:tblStyle w:val="TableAsPlaceholder"/>
        <w:tblpPr w:leftFromText="181" w:rightFromText="181" w:vertAnchor="page" w:horzAnchor="margin" w:tblpY="5779"/>
        <w:tblOverlap w:val="never"/>
        <w:tblW w:w="8277" w:type="dxa"/>
        <w:tblLayout w:type="fixed"/>
        <w:tblLook w:val="04A0" w:firstRow="1" w:lastRow="0" w:firstColumn="1" w:lastColumn="0" w:noHBand="0" w:noVBand="1"/>
      </w:tblPr>
      <w:tblGrid>
        <w:gridCol w:w="8277"/>
      </w:tblGrid>
      <w:tr w:rsidR="00961DBB" w:rsidTr="00C8728F">
        <w:trPr>
          <w:trHeight w:val="907"/>
        </w:trPr>
        <w:tc>
          <w:tcPr>
            <w:tcW w:w="8277" w:type="dxa"/>
          </w:tcPr>
          <w:p w:rsidR="00961DBB" w:rsidRDefault="00590815" w:rsidP="00C8728F">
            <w:pPr>
              <w:pStyle w:val="Title"/>
            </w:pPr>
            <w:r>
              <w:t>Higher Education Loan Programme</w:t>
            </w:r>
          </w:p>
        </w:tc>
      </w:tr>
      <w:tr w:rsidR="00F20647" w:rsidTr="00C8728F">
        <w:trPr>
          <w:trHeight w:val="680"/>
        </w:trPr>
        <w:tc>
          <w:tcPr>
            <w:tcW w:w="8277" w:type="dxa"/>
          </w:tcPr>
          <w:p w:rsidR="00F20647" w:rsidRPr="006A7978" w:rsidRDefault="00590815" w:rsidP="00C8728F">
            <w:pPr>
              <w:pStyle w:val="Title2"/>
            </w:pPr>
            <w:r>
              <w:t>Impact on the Budget</w:t>
            </w:r>
          </w:p>
        </w:tc>
      </w:tr>
      <w:tr w:rsidR="00195228" w:rsidTr="00C8728F">
        <w:trPr>
          <w:trHeight w:val="765"/>
        </w:trPr>
        <w:tc>
          <w:tcPr>
            <w:tcW w:w="8277" w:type="dxa"/>
          </w:tcPr>
          <w:p w:rsidR="00195228" w:rsidRPr="009541CC" w:rsidRDefault="00590815" w:rsidP="00FD7E0A">
            <w:pPr>
              <w:pStyle w:val="Title3"/>
              <w:framePr w:wrap="auto" w:vAnchor="margin" w:hAnchor="text" w:yAlign="inline"/>
            </w:pPr>
            <w:r>
              <w:t xml:space="preserve">Report no. </w:t>
            </w:r>
            <w:r w:rsidR="00FD7E0A">
              <w:t>02</w:t>
            </w:r>
            <w:r>
              <w:t>/2016</w:t>
            </w:r>
          </w:p>
        </w:tc>
      </w:tr>
    </w:tbl>
    <w:p w:rsidR="00961DBB" w:rsidRDefault="00961DBB" w:rsidP="00961DBB"/>
    <w:p w:rsidR="00961DBB" w:rsidRDefault="00961DBB">
      <w:pPr>
        <w:sectPr w:rsidR="00961DBB" w:rsidSect="009057D9">
          <w:headerReference w:type="even" r:id="rId9"/>
          <w:headerReference w:type="default" r:id="rId10"/>
          <w:headerReference w:type="first" r:id="rId11"/>
          <w:pgSz w:w="11906" w:h="16838" w:code="9"/>
          <w:pgMar w:top="1361" w:right="1797" w:bottom="1474" w:left="1797" w:header="284" w:footer="454" w:gutter="0"/>
          <w:cols w:space="708"/>
          <w:titlePg/>
          <w:docGrid w:linePitch="360"/>
        </w:sectPr>
      </w:pPr>
    </w:p>
    <w:p w:rsidR="00961DBB" w:rsidRDefault="00961DBB" w:rsidP="00961DBB"/>
    <w:tbl>
      <w:tblPr>
        <w:tblStyle w:val="TableAsPlaceholder"/>
        <w:tblpPr w:leftFromText="181" w:rightFromText="181" w:horzAnchor="margin" w:tblpY="4310"/>
        <w:tblOverlap w:val="never"/>
        <w:tblW w:w="0" w:type="auto"/>
        <w:tblCellMar>
          <w:bottom w:w="57" w:type="dxa"/>
          <w:right w:w="57" w:type="dxa"/>
        </w:tblCellMar>
        <w:tblLook w:val="04A0" w:firstRow="1" w:lastRow="0" w:firstColumn="1" w:lastColumn="0" w:noHBand="0" w:noVBand="1"/>
      </w:tblPr>
      <w:tblGrid>
        <w:gridCol w:w="8220"/>
      </w:tblGrid>
      <w:tr w:rsidR="00961DBB" w:rsidTr="0087390B">
        <w:trPr>
          <w:trHeight w:val="8165"/>
        </w:trPr>
        <w:tc>
          <w:tcPr>
            <w:tcW w:w="8220" w:type="dxa"/>
            <w:vAlign w:val="bottom"/>
          </w:tcPr>
          <w:p w:rsidR="00961DBB" w:rsidRPr="00C77B5C" w:rsidRDefault="00961DBB" w:rsidP="00BB5013">
            <w:pPr>
              <w:pStyle w:val="xDisclaimerText2"/>
              <w:framePr w:hSpace="0" w:wrap="auto" w:hAnchor="text" w:yAlign="inline"/>
              <w:suppressOverlap w:val="0"/>
            </w:pPr>
            <w:bookmarkStart w:id="1" w:name="_DisclaimerMarker"/>
            <w:bookmarkEnd w:id="1"/>
            <w:r w:rsidRPr="00C77B5C">
              <w:t xml:space="preserve">© </w:t>
            </w:r>
            <w:r w:rsidRPr="0087390B">
              <w:t>Commonwealth</w:t>
            </w:r>
            <w:r w:rsidRPr="00C77B5C">
              <w:t xml:space="preserve"> of Australia</w:t>
            </w:r>
            <w:r w:rsidR="00F20647">
              <w:t xml:space="preserve"> </w:t>
            </w:r>
            <w:r w:rsidR="00590815">
              <w:t>2016</w:t>
            </w:r>
          </w:p>
          <w:p w:rsidR="00961DBB" w:rsidRPr="00BB5013" w:rsidRDefault="00961DBB" w:rsidP="00BB5013">
            <w:pPr>
              <w:pStyle w:val="xDisclaimerText2"/>
              <w:framePr w:hSpace="0" w:wrap="auto" w:hAnchor="text" w:yAlign="inline"/>
              <w:suppressOverlap w:val="0"/>
            </w:pPr>
            <w:r w:rsidRPr="008E314A">
              <w:t>IS</w:t>
            </w:r>
            <w:r w:rsidR="00FD7E0A">
              <w:t>B</w:t>
            </w:r>
            <w:r w:rsidRPr="008E314A">
              <w:t xml:space="preserve">N </w:t>
            </w:r>
            <w:r w:rsidR="00590815" w:rsidRPr="00A66EB7">
              <w:t>978-0-9944547-3-7</w:t>
            </w:r>
            <w:r w:rsidRPr="008E314A">
              <w:t xml:space="preserve"> (</w:t>
            </w:r>
            <w:r w:rsidRPr="00870C85">
              <w:t>Online</w:t>
            </w:r>
            <w:r w:rsidRPr="00C77B5C">
              <w:t>)</w:t>
            </w:r>
          </w:p>
          <w:p w:rsidR="00961DBB" w:rsidRDefault="00961DBB" w:rsidP="00BB5013">
            <w:pPr>
              <w:pStyle w:val="xDisclaimerText2"/>
              <w:framePr w:hSpace="0" w:wrap="auto" w:hAnchor="text" w:yAlign="inline"/>
              <w:suppressOverlap w:val="0"/>
            </w:pPr>
            <w:r w:rsidRPr="00C77B5C">
              <w:t>This work is licensed und</w:t>
            </w:r>
            <w:r w:rsidRPr="00870C85">
              <w:t>e</w:t>
            </w:r>
            <w:r w:rsidRPr="00C77B5C">
              <w:t xml:space="preserve">r </w:t>
            </w:r>
            <w:r w:rsidRPr="008E314A">
              <w:t xml:space="preserve">the Creative </w:t>
            </w:r>
            <w:r w:rsidRPr="0087390B">
              <w:t>Commons</w:t>
            </w:r>
            <w:r w:rsidRPr="008E314A">
              <w:t xml:space="preserve"> Attribution-</w:t>
            </w:r>
            <w:proofErr w:type="spellStart"/>
            <w:r w:rsidRPr="008E314A">
              <w:t>NonCommercial</w:t>
            </w:r>
            <w:proofErr w:type="spellEnd"/>
            <w:r w:rsidRPr="008E314A">
              <w:t>-</w:t>
            </w:r>
            <w:proofErr w:type="spellStart"/>
            <w:r w:rsidRPr="008E314A">
              <w:t>NoDerivs</w:t>
            </w:r>
            <w:proofErr w:type="spellEnd"/>
            <w:r w:rsidRPr="008E314A">
              <w:t xml:space="preserve"> 3.0 Australia License</w:t>
            </w:r>
            <w:r>
              <w:t>.</w:t>
            </w:r>
          </w:p>
          <w:p w:rsidR="00961DBB" w:rsidRPr="0084503F" w:rsidRDefault="003B3D44" w:rsidP="00BB5013">
            <w:pPr>
              <w:pStyle w:val="xDisclaimerText2"/>
              <w:framePr w:hSpace="0" w:wrap="auto" w:hAnchor="text" w:yAlign="inline"/>
              <w:spacing w:before="240"/>
              <w:suppressOverlap w:val="0"/>
            </w:pPr>
            <w:r>
              <w:rPr>
                <w:noProof/>
              </w:rPr>
              <w:drawing>
                <wp:inline distT="0" distB="0" distL="0" distR="0" wp14:anchorId="32153DD8" wp14:editId="73F24BD7">
                  <wp:extent cx="1079086" cy="377985"/>
                  <wp:effectExtent l="0" t="0" r="698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on creative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9086" cy="377985"/>
                          </a:xfrm>
                          <a:prstGeom prst="rect">
                            <a:avLst/>
                          </a:prstGeom>
                        </pic:spPr>
                      </pic:pic>
                    </a:graphicData>
                  </a:graphic>
                </wp:inline>
              </w:drawing>
            </w:r>
          </w:p>
          <w:p w:rsidR="00961DBB" w:rsidRDefault="00961DBB" w:rsidP="00BB5013">
            <w:pPr>
              <w:pStyle w:val="xDisclaimerText2"/>
              <w:framePr w:hSpace="0" w:wrap="auto" w:hAnchor="text" w:yAlign="inline"/>
              <w:suppressOverlap w:val="0"/>
            </w:pPr>
            <w:r w:rsidRPr="00D0237F">
              <w:t xml:space="preserve">The details of this licence </w:t>
            </w:r>
            <w:r w:rsidRPr="00BB5013">
              <w:t>are</w:t>
            </w:r>
            <w:r w:rsidRPr="00D0237F">
              <w:t xml:space="preserve"> available on the Creative Commons website:</w:t>
            </w:r>
            <w:r w:rsidRPr="00D0237F">
              <w:rPr>
                <w:color w:val="FF0000"/>
              </w:rPr>
              <w:t xml:space="preserve"> </w:t>
            </w:r>
            <w:hyperlink r:id="rId13" w:history="1">
              <w:r w:rsidR="00BB5013" w:rsidRPr="00BB5013">
                <w:t>http://creativecommons.org/licenses/by-nc-nd/3.0/au/</w:t>
              </w:r>
            </w:hyperlink>
            <w:r w:rsidR="00BB5013">
              <w:t xml:space="preserve"> </w:t>
            </w:r>
          </w:p>
          <w:p w:rsidR="00961DBB" w:rsidRPr="00BB5013" w:rsidRDefault="00961DBB" w:rsidP="00BB5013">
            <w:pPr>
              <w:pStyle w:val="xDisclaimerHeading"/>
              <w:framePr w:hSpace="0" w:wrap="auto" w:hAnchor="text" w:yAlign="inline"/>
              <w:suppressOverlap w:val="0"/>
            </w:pPr>
            <w:r>
              <w:t xml:space="preserve">Use </w:t>
            </w:r>
            <w:r w:rsidRPr="00D0237F">
              <w:t>of</w:t>
            </w:r>
            <w:r>
              <w:t xml:space="preserve"> </w:t>
            </w:r>
            <w:r w:rsidRPr="00D0237F">
              <w:t>the</w:t>
            </w:r>
            <w:r>
              <w:t xml:space="preserve"> Coat of Arms</w:t>
            </w:r>
          </w:p>
          <w:p w:rsidR="00961DBB" w:rsidRDefault="00961DBB" w:rsidP="00BB5013">
            <w:pPr>
              <w:pStyle w:val="xDisclaimerText2"/>
              <w:framePr w:hSpace="0" w:wrap="auto" w:hAnchor="text" w:yAlign="inline"/>
              <w:suppressOverlap w:val="0"/>
            </w:pPr>
            <w:r>
              <w:t xml:space="preserve">The terms under which the Coat of Arms </w:t>
            </w:r>
            <w:r w:rsidRPr="00BB5013">
              <w:t>can</w:t>
            </w:r>
            <w:r>
              <w:t xml:space="preserve"> be used are detailed on the following website: </w:t>
            </w:r>
            <w:hyperlink r:id="rId14" w:history="1">
              <w:r w:rsidR="00BB5013" w:rsidRPr="00BB5013">
                <w:t>www.itsanhonour.gov.au/coat-arms</w:t>
              </w:r>
            </w:hyperlink>
            <w:r w:rsidR="00BB5013">
              <w:t xml:space="preserve"> </w:t>
            </w:r>
          </w:p>
          <w:p w:rsidR="00961DBB" w:rsidRDefault="00961DBB" w:rsidP="00BB5013">
            <w:pPr>
              <w:pStyle w:val="xDisclaimerText"/>
            </w:pPr>
            <w:r w:rsidRPr="00D429BD">
              <w:rPr>
                <w:rStyle w:val="xDisclaimerHeadingwithxDisclaimerTextChar"/>
              </w:rPr>
              <w:t>Produced by:</w:t>
            </w:r>
            <w:r>
              <w:t xml:space="preserve"> </w:t>
            </w:r>
            <w:r w:rsidRPr="00BB5013">
              <w:t>Parliamentary</w:t>
            </w:r>
            <w:r>
              <w:t xml:space="preserve"> Budget Office</w:t>
            </w:r>
          </w:p>
          <w:p w:rsidR="00961DBB" w:rsidRPr="00BB5013" w:rsidRDefault="00961DBB" w:rsidP="00BB5013">
            <w:pPr>
              <w:pStyle w:val="xDisclaimerText"/>
            </w:pPr>
            <w:r w:rsidRPr="00D429BD">
              <w:rPr>
                <w:rStyle w:val="xDisclaimerHeadingwithxDisclaimerTextChar"/>
              </w:rPr>
              <w:t>Designed by:</w:t>
            </w:r>
            <w:r>
              <w:t xml:space="preserve"> </w:t>
            </w:r>
            <w:r w:rsidR="00590815">
              <w:t>Studio Tweed</w:t>
            </w:r>
          </w:p>
          <w:p w:rsidR="00961DBB" w:rsidRDefault="00590815" w:rsidP="0087390B">
            <w:pPr>
              <w:pStyle w:val="xDisclaimerHeading"/>
              <w:framePr w:hSpace="0" w:wrap="auto" w:hAnchor="text" w:yAlign="inline"/>
              <w:suppressOverlap w:val="0"/>
            </w:pPr>
            <w:r>
              <w:t>Assistant Parliamentary Budget Officer</w:t>
            </w:r>
          </w:p>
          <w:p w:rsidR="00961DBB" w:rsidRPr="008E314A" w:rsidRDefault="00590815" w:rsidP="0087390B">
            <w:pPr>
              <w:pStyle w:val="xDisclaimerText"/>
            </w:pPr>
            <w:r>
              <w:t>Fiscal Policy Analysis Division</w:t>
            </w:r>
          </w:p>
          <w:p w:rsidR="00961DBB" w:rsidRDefault="00961DBB" w:rsidP="0087390B">
            <w:pPr>
              <w:pStyle w:val="xDisclaimerText2"/>
              <w:framePr w:hSpace="0" w:wrap="auto" w:hAnchor="text" w:yAlign="inline"/>
              <w:suppressOverlap w:val="0"/>
            </w:pPr>
            <w:r w:rsidRPr="008E314A">
              <w:t>Parliamentary Budget</w:t>
            </w:r>
            <w:r>
              <w:t xml:space="preserve"> Office</w:t>
            </w:r>
          </w:p>
          <w:p w:rsidR="00961DBB" w:rsidRPr="008E314A" w:rsidRDefault="00961DBB" w:rsidP="0087390B">
            <w:pPr>
              <w:pStyle w:val="xDisclaimerText"/>
            </w:pPr>
            <w:r w:rsidRPr="008E314A">
              <w:t>Parliament House</w:t>
            </w:r>
          </w:p>
          <w:p w:rsidR="00961DBB" w:rsidRPr="008E314A" w:rsidRDefault="00961DBB" w:rsidP="0087390B">
            <w:pPr>
              <w:pStyle w:val="xDisclaimerText"/>
            </w:pPr>
            <w:r w:rsidRPr="008E314A">
              <w:t>PO Box 6010</w:t>
            </w:r>
          </w:p>
          <w:p w:rsidR="00961DBB" w:rsidRDefault="00961DBB" w:rsidP="0087390B">
            <w:pPr>
              <w:pStyle w:val="xDisclaimerText2"/>
              <w:framePr w:hSpace="0" w:wrap="auto" w:hAnchor="text" w:yAlign="inline"/>
              <w:suppressOverlap w:val="0"/>
            </w:pPr>
            <w:r w:rsidRPr="008E314A">
              <w:t>CANBERRA ACT</w:t>
            </w:r>
            <w:r>
              <w:t xml:space="preserve"> 2600</w:t>
            </w:r>
          </w:p>
          <w:p w:rsidR="00961DBB" w:rsidRPr="008E314A" w:rsidRDefault="00961DBB" w:rsidP="0087390B">
            <w:pPr>
              <w:pStyle w:val="xDisclaimerText"/>
            </w:pPr>
            <w:r>
              <w:t xml:space="preserve">Phone: (02) </w:t>
            </w:r>
            <w:r w:rsidRPr="008E314A">
              <w:t>6277 9500</w:t>
            </w:r>
          </w:p>
          <w:p w:rsidR="00961DBB" w:rsidRDefault="00961DBB" w:rsidP="0087390B">
            <w:pPr>
              <w:pStyle w:val="xDisclaimerText"/>
            </w:pPr>
            <w:r w:rsidRPr="008E314A">
              <w:t>Email: pbo@pbo.gov</w:t>
            </w:r>
            <w:r>
              <w:t>.au</w:t>
            </w:r>
          </w:p>
        </w:tc>
      </w:tr>
    </w:tbl>
    <w:p w:rsidR="00961DBB" w:rsidRDefault="00961DBB" w:rsidP="00961DBB"/>
    <w:p w:rsidR="00961DBB" w:rsidRDefault="00961DBB">
      <w:pPr>
        <w:sectPr w:rsidR="00961DBB" w:rsidSect="00590815">
          <w:headerReference w:type="even" r:id="rId15"/>
          <w:headerReference w:type="default" r:id="rId16"/>
          <w:footerReference w:type="default" r:id="rId17"/>
          <w:headerReference w:type="first" r:id="rId18"/>
          <w:pgSz w:w="11906" w:h="16838" w:code="9"/>
          <w:pgMar w:top="1361" w:right="1797" w:bottom="1474" w:left="1797" w:header="284" w:footer="454" w:gutter="0"/>
          <w:pgNumType w:fmt="lowerRoman"/>
          <w:cols w:space="708"/>
          <w:docGrid w:linePitch="360"/>
        </w:sectPr>
      </w:pPr>
    </w:p>
    <w:p w:rsidR="00961DBB" w:rsidRPr="00733970" w:rsidRDefault="00903E3F" w:rsidP="00733970">
      <w:pPr>
        <w:pStyle w:val="TOCHeading"/>
      </w:pPr>
      <w:r w:rsidRPr="00903E3F">
        <w:lastRenderedPageBreak/>
        <w:t>Contents</w:t>
      </w:r>
      <w:bookmarkStart w:id="2" w:name="_TOCMarker"/>
      <w:bookmarkEnd w:id="2"/>
    </w:p>
    <w:p w:rsidR="00557CE8" w:rsidRDefault="00557CE8">
      <w:pPr>
        <w:pStyle w:val="TOC1"/>
        <w:rPr>
          <w:rFonts w:eastAsiaTheme="minorEastAsia"/>
          <w:b w:val="0"/>
          <w:color w:val="auto"/>
          <w:lang w:eastAsia="en-AU"/>
        </w:rPr>
      </w:pPr>
      <w:r>
        <w:fldChar w:fldCharType="begin"/>
      </w:r>
      <w:r>
        <w:instrText xml:space="preserve"> TOC \o "2-2" \h \z \t "Heading 1,1,Heading 1 No Numbering,1,Section Heading,5" </w:instrText>
      </w:r>
      <w:r>
        <w:fldChar w:fldCharType="separate"/>
      </w:r>
      <w:hyperlink w:anchor="_Toc447617986" w:history="1">
        <w:r w:rsidRPr="00E15B5E">
          <w:rPr>
            <w:rStyle w:val="Hyperlink"/>
          </w:rPr>
          <w:t>Foreword</w:t>
        </w:r>
        <w:r>
          <w:rPr>
            <w:webHidden/>
          </w:rPr>
          <w:tab/>
        </w:r>
        <w:r>
          <w:rPr>
            <w:webHidden/>
          </w:rPr>
          <w:fldChar w:fldCharType="begin"/>
        </w:r>
        <w:r>
          <w:rPr>
            <w:webHidden/>
          </w:rPr>
          <w:instrText xml:space="preserve"> PAGEREF _Toc447617986 \h </w:instrText>
        </w:r>
        <w:r>
          <w:rPr>
            <w:webHidden/>
          </w:rPr>
        </w:r>
        <w:r>
          <w:rPr>
            <w:webHidden/>
          </w:rPr>
          <w:fldChar w:fldCharType="separate"/>
        </w:r>
        <w:r w:rsidR="00CA5C2D">
          <w:rPr>
            <w:webHidden/>
          </w:rPr>
          <w:t>iv</w:t>
        </w:r>
        <w:r>
          <w:rPr>
            <w:webHidden/>
          </w:rPr>
          <w:fldChar w:fldCharType="end"/>
        </w:r>
      </w:hyperlink>
    </w:p>
    <w:p w:rsidR="00557CE8" w:rsidRDefault="00A749E2">
      <w:pPr>
        <w:pStyle w:val="TOC1"/>
        <w:rPr>
          <w:rFonts w:eastAsiaTheme="minorEastAsia"/>
          <w:b w:val="0"/>
          <w:color w:val="auto"/>
          <w:lang w:eastAsia="en-AU"/>
        </w:rPr>
      </w:pPr>
      <w:hyperlink w:anchor="_Toc447617987" w:history="1">
        <w:r w:rsidR="00557CE8" w:rsidRPr="00E15B5E">
          <w:rPr>
            <w:rStyle w:val="Hyperlink"/>
          </w:rPr>
          <w:t>Overview</w:t>
        </w:r>
        <w:r w:rsidR="00557CE8">
          <w:rPr>
            <w:webHidden/>
          </w:rPr>
          <w:tab/>
        </w:r>
        <w:r w:rsidR="00557CE8">
          <w:rPr>
            <w:webHidden/>
          </w:rPr>
          <w:fldChar w:fldCharType="begin"/>
        </w:r>
        <w:r w:rsidR="00557CE8">
          <w:rPr>
            <w:webHidden/>
          </w:rPr>
          <w:instrText xml:space="preserve"> PAGEREF _Toc447617987 \h </w:instrText>
        </w:r>
        <w:r w:rsidR="00557CE8">
          <w:rPr>
            <w:webHidden/>
          </w:rPr>
        </w:r>
        <w:r w:rsidR="00557CE8">
          <w:rPr>
            <w:webHidden/>
          </w:rPr>
          <w:fldChar w:fldCharType="separate"/>
        </w:r>
        <w:r w:rsidR="00CA5C2D">
          <w:rPr>
            <w:webHidden/>
          </w:rPr>
          <w:t>v</w:t>
        </w:r>
        <w:r w:rsidR="00557CE8">
          <w:rPr>
            <w:webHidden/>
          </w:rPr>
          <w:fldChar w:fldCharType="end"/>
        </w:r>
      </w:hyperlink>
    </w:p>
    <w:p w:rsidR="00557CE8" w:rsidRDefault="00A749E2">
      <w:pPr>
        <w:pStyle w:val="TOC1"/>
        <w:rPr>
          <w:rFonts w:eastAsiaTheme="minorEastAsia"/>
          <w:b w:val="0"/>
          <w:color w:val="auto"/>
          <w:lang w:eastAsia="en-AU"/>
        </w:rPr>
      </w:pPr>
      <w:hyperlink w:anchor="_Toc447617988" w:history="1">
        <w:r w:rsidR="00557CE8" w:rsidRPr="00E15B5E">
          <w:rPr>
            <w:rStyle w:val="Hyperlink"/>
          </w:rPr>
          <w:t>1</w:t>
        </w:r>
        <w:r w:rsidR="00557CE8">
          <w:rPr>
            <w:rFonts w:eastAsiaTheme="minorEastAsia"/>
            <w:b w:val="0"/>
            <w:color w:val="auto"/>
            <w:lang w:eastAsia="en-AU"/>
          </w:rPr>
          <w:tab/>
        </w:r>
        <w:r w:rsidR="00557CE8" w:rsidRPr="00E15B5E">
          <w:rPr>
            <w:rStyle w:val="Hyperlink"/>
          </w:rPr>
          <w:t>What is HELP?</w:t>
        </w:r>
        <w:r w:rsidR="00557CE8">
          <w:rPr>
            <w:webHidden/>
          </w:rPr>
          <w:tab/>
        </w:r>
        <w:r w:rsidR="00557CE8">
          <w:rPr>
            <w:webHidden/>
          </w:rPr>
          <w:fldChar w:fldCharType="begin"/>
        </w:r>
        <w:r w:rsidR="00557CE8">
          <w:rPr>
            <w:webHidden/>
          </w:rPr>
          <w:instrText xml:space="preserve"> PAGEREF _Toc447617988 \h </w:instrText>
        </w:r>
        <w:r w:rsidR="00557CE8">
          <w:rPr>
            <w:webHidden/>
          </w:rPr>
        </w:r>
        <w:r w:rsidR="00557CE8">
          <w:rPr>
            <w:webHidden/>
          </w:rPr>
          <w:fldChar w:fldCharType="separate"/>
        </w:r>
        <w:r w:rsidR="00CA5C2D">
          <w:rPr>
            <w:webHidden/>
          </w:rPr>
          <w:t>1</w:t>
        </w:r>
        <w:r w:rsidR="00557CE8">
          <w:rPr>
            <w:webHidden/>
          </w:rPr>
          <w:fldChar w:fldCharType="end"/>
        </w:r>
      </w:hyperlink>
    </w:p>
    <w:p w:rsidR="00557CE8" w:rsidRDefault="00A749E2">
      <w:pPr>
        <w:pStyle w:val="TOC2"/>
        <w:rPr>
          <w:rFonts w:eastAsiaTheme="minorEastAsia"/>
          <w:szCs w:val="22"/>
          <w:lang w:eastAsia="en-AU"/>
        </w:rPr>
      </w:pPr>
      <w:hyperlink w:anchor="_Toc447617989" w:history="1">
        <w:r w:rsidR="00557CE8" w:rsidRPr="00E15B5E">
          <w:rPr>
            <w:rStyle w:val="Hyperlink"/>
          </w:rPr>
          <w:t>1.1</w:t>
        </w:r>
        <w:r w:rsidR="00557CE8">
          <w:rPr>
            <w:rFonts w:eastAsiaTheme="minorEastAsia"/>
            <w:szCs w:val="22"/>
            <w:lang w:eastAsia="en-AU"/>
          </w:rPr>
          <w:tab/>
        </w:r>
        <w:r w:rsidR="00557CE8" w:rsidRPr="00E15B5E">
          <w:rPr>
            <w:rStyle w:val="Hyperlink"/>
          </w:rPr>
          <w:t>Background</w:t>
        </w:r>
        <w:r w:rsidR="00557CE8">
          <w:rPr>
            <w:webHidden/>
          </w:rPr>
          <w:tab/>
        </w:r>
        <w:r w:rsidR="00557CE8">
          <w:rPr>
            <w:webHidden/>
          </w:rPr>
          <w:fldChar w:fldCharType="begin"/>
        </w:r>
        <w:r w:rsidR="00557CE8">
          <w:rPr>
            <w:webHidden/>
          </w:rPr>
          <w:instrText xml:space="preserve"> PAGEREF _Toc447617989 \h </w:instrText>
        </w:r>
        <w:r w:rsidR="00557CE8">
          <w:rPr>
            <w:webHidden/>
          </w:rPr>
        </w:r>
        <w:r w:rsidR="00557CE8">
          <w:rPr>
            <w:webHidden/>
          </w:rPr>
          <w:fldChar w:fldCharType="separate"/>
        </w:r>
        <w:r w:rsidR="00CA5C2D">
          <w:rPr>
            <w:webHidden/>
          </w:rPr>
          <w:t>1</w:t>
        </w:r>
        <w:r w:rsidR="00557CE8">
          <w:rPr>
            <w:webHidden/>
          </w:rPr>
          <w:fldChar w:fldCharType="end"/>
        </w:r>
      </w:hyperlink>
    </w:p>
    <w:p w:rsidR="00557CE8" w:rsidRDefault="00A749E2">
      <w:pPr>
        <w:pStyle w:val="TOC2"/>
        <w:rPr>
          <w:rFonts w:eastAsiaTheme="minorEastAsia"/>
          <w:szCs w:val="22"/>
          <w:lang w:eastAsia="en-AU"/>
        </w:rPr>
      </w:pPr>
      <w:hyperlink w:anchor="_Toc447617990" w:history="1">
        <w:r w:rsidR="00557CE8" w:rsidRPr="00E15B5E">
          <w:rPr>
            <w:rStyle w:val="Hyperlink"/>
          </w:rPr>
          <w:t>1.2</w:t>
        </w:r>
        <w:r w:rsidR="00557CE8">
          <w:rPr>
            <w:rFonts w:eastAsiaTheme="minorEastAsia"/>
            <w:szCs w:val="22"/>
            <w:lang w:eastAsia="en-AU"/>
          </w:rPr>
          <w:tab/>
        </w:r>
        <w:r w:rsidR="00557CE8" w:rsidRPr="00E15B5E">
          <w:rPr>
            <w:rStyle w:val="Hyperlink"/>
          </w:rPr>
          <w:t>Student numbers</w:t>
        </w:r>
        <w:r w:rsidR="00557CE8">
          <w:rPr>
            <w:webHidden/>
          </w:rPr>
          <w:tab/>
        </w:r>
        <w:r w:rsidR="00557CE8">
          <w:rPr>
            <w:webHidden/>
          </w:rPr>
          <w:fldChar w:fldCharType="begin"/>
        </w:r>
        <w:r w:rsidR="00557CE8">
          <w:rPr>
            <w:webHidden/>
          </w:rPr>
          <w:instrText xml:space="preserve"> PAGEREF _Toc447617990 \h </w:instrText>
        </w:r>
        <w:r w:rsidR="00557CE8">
          <w:rPr>
            <w:webHidden/>
          </w:rPr>
        </w:r>
        <w:r w:rsidR="00557CE8">
          <w:rPr>
            <w:webHidden/>
          </w:rPr>
          <w:fldChar w:fldCharType="separate"/>
        </w:r>
        <w:r w:rsidR="00CA5C2D">
          <w:rPr>
            <w:webHidden/>
          </w:rPr>
          <w:t>3</w:t>
        </w:r>
        <w:r w:rsidR="00557CE8">
          <w:rPr>
            <w:webHidden/>
          </w:rPr>
          <w:fldChar w:fldCharType="end"/>
        </w:r>
      </w:hyperlink>
    </w:p>
    <w:p w:rsidR="00557CE8" w:rsidRDefault="00A749E2">
      <w:pPr>
        <w:pStyle w:val="TOC2"/>
        <w:rPr>
          <w:rFonts w:eastAsiaTheme="minorEastAsia"/>
          <w:szCs w:val="22"/>
          <w:lang w:eastAsia="en-AU"/>
        </w:rPr>
      </w:pPr>
      <w:hyperlink w:anchor="_Toc447617991" w:history="1">
        <w:r w:rsidR="00557CE8" w:rsidRPr="00E15B5E">
          <w:rPr>
            <w:rStyle w:val="Hyperlink"/>
          </w:rPr>
          <w:t>1.3</w:t>
        </w:r>
        <w:r w:rsidR="00557CE8">
          <w:rPr>
            <w:rFonts w:eastAsiaTheme="minorEastAsia"/>
            <w:szCs w:val="22"/>
            <w:lang w:eastAsia="en-AU"/>
          </w:rPr>
          <w:tab/>
        </w:r>
        <w:r w:rsidR="00557CE8" w:rsidRPr="00E15B5E">
          <w:rPr>
            <w:rStyle w:val="Hyperlink"/>
          </w:rPr>
          <w:t>Recent policy reform measures</w:t>
        </w:r>
        <w:r w:rsidR="00557CE8">
          <w:rPr>
            <w:webHidden/>
          </w:rPr>
          <w:tab/>
        </w:r>
        <w:r w:rsidR="00557CE8">
          <w:rPr>
            <w:webHidden/>
          </w:rPr>
          <w:fldChar w:fldCharType="begin"/>
        </w:r>
        <w:r w:rsidR="00557CE8">
          <w:rPr>
            <w:webHidden/>
          </w:rPr>
          <w:instrText xml:space="preserve"> PAGEREF _Toc447617991 \h </w:instrText>
        </w:r>
        <w:r w:rsidR="00557CE8">
          <w:rPr>
            <w:webHidden/>
          </w:rPr>
        </w:r>
        <w:r w:rsidR="00557CE8">
          <w:rPr>
            <w:webHidden/>
          </w:rPr>
          <w:fldChar w:fldCharType="separate"/>
        </w:r>
        <w:r w:rsidR="00CA5C2D">
          <w:rPr>
            <w:webHidden/>
          </w:rPr>
          <w:t>4</w:t>
        </w:r>
        <w:r w:rsidR="00557CE8">
          <w:rPr>
            <w:webHidden/>
          </w:rPr>
          <w:fldChar w:fldCharType="end"/>
        </w:r>
      </w:hyperlink>
    </w:p>
    <w:p w:rsidR="00557CE8" w:rsidRDefault="00A749E2">
      <w:pPr>
        <w:pStyle w:val="TOC1"/>
        <w:rPr>
          <w:rFonts w:eastAsiaTheme="minorEastAsia"/>
          <w:b w:val="0"/>
          <w:color w:val="auto"/>
          <w:lang w:eastAsia="en-AU"/>
        </w:rPr>
      </w:pPr>
      <w:hyperlink w:anchor="_Toc447617992" w:history="1">
        <w:r w:rsidR="00557CE8" w:rsidRPr="00E15B5E">
          <w:rPr>
            <w:rStyle w:val="Hyperlink"/>
          </w:rPr>
          <w:t>2</w:t>
        </w:r>
        <w:r w:rsidR="00557CE8">
          <w:rPr>
            <w:rFonts w:eastAsiaTheme="minorEastAsia"/>
            <w:b w:val="0"/>
            <w:color w:val="auto"/>
            <w:lang w:eastAsia="en-AU"/>
          </w:rPr>
          <w:tab/>
        </w:r>
        <w:r w:rsidR="00557CE8" w:rsidRPr="00E15B5E">
          <w:rPr>
            <w:rStyle w:val="Hyperlink"/>
          </w:rPr>
          <w:t>Budget impact of HELP</w:t>
        </w:r>
        <w:r w:rsidR="00557CE8">
          <w:rPr>
            <w:webHidden/>
          </w:rPr>
          <w:tab/>
        </w:r>
        <w:r w:rsidR="00557CE8">
          <w:rPr>
            <w:webHidden/>
          </w:rPr>
          <w:fldChar w:fldCharType="begin"/>
        </w:r>
        <w:r w:rsidR="00557CE8">
          <w:rPr>
            <w:webHidden/>
          </w:rPr>
          <w:instrText xml:space="preserve"> PAGEREF _Toc447617992 \h </w:instrText>
        </w:r>
        <w:r w:rsidR="00557CE8">
          <w:rPr>
            <w:webHidden/>
          </w:rPr>
        </w:r>
        <w:r w:rsidR="00557CE8">
          <w:rPr>
            <w:webHidden/>
          </w:rPr>
          <w:fldChar w:fldCharType="separate"/>
        </w:r>
        <w:r w:rsidR="00CA5C2D">
          <w:rPr>
            <w:webHidden/>
          </w:rPr>
          <w:t>5</w:t>
        </w:r>
        <w:r w:rsidR="00557CE8">
          <w:rPr>
            <w:webHidden/>
          </w:rPr>
          <w:fldChar w:fldCharType="end"/>
        </w:r>
      </w:hyperlink>
    </w:p>
    <w:p w:rsidR="00557CE8" w:rsidRDefault="00A749E2">
      <w:pPr>
        <w:pStyle w:val="TOC2"/>
        <w:rPr>
          <w:rFonts w:eastAsiaTheme="minorEastAsia"/>
          <w:szCs w:val="22"/>
          <w:lang w:eastAsia="en-AU"/>
        </w:rPr>
      </w:pPr>
      <w:hyperlink w:anchor="_Toc447617993" w:history="1">
        <w:r w:rsidR="00557CE8" w:rsidRPr="00E15B5E">
          <w:rPr>
            <w:rStyle w:val="Hyperlink"/>
          </w:rPr>
          <w:t>2.1</w:t>
        </w:r>
        <w:r w:rsidR="00557CE8">
          <w:rPr>
            <w:rFonts w:eastAsiaTheme="minorEastAsia"/>
            <w:szCs w:val="22"/>
            <w:lang w:eastAsia="en-AU"/>
          </w:rPr>
          <w:tab/>
        </w:r>
        <w:r w:rsidR="00557CE8" w:rsidRPr="00E15B5E">
          <w:rPr>
            <w:rStyle w:val="Hyperlink"/>
          </w:rPr>
          <w:t>Size of loan portfolio</w:t>
        </w:r>
        <w:r w:rsidR="00557CE8">
          <w:rPr>
            <w:webHidden/>
          </w:rPr>
          <w:tab/>
        </w:r>
        <w:r w:rsidR="00557CE8">
          <w:rPr>
            <w:webHidden/>
          </w:rPr>
          <w:fldChar w:fldCharType="begin"/>
        </w:r>
        <w:r w:rsidR="00557CE8">
          <w:rPr>
            <w:webHidden/>
          </w:rPr>
          <w:instrText xml:space="preserve"> PAGEREF _Toc447617993 \h </w:instrText>
        </w:r>
        <w:r w:rsidR="00557CE8">
          <w:rPr>
            <w:webHidden/>
          </w:rPr>
        </w:r>
        <w:r w:rsidR="00557CE8">
          <w:rPr>
            <w:webHidden/>
          </w:rPr>
          <w:fldChar w:fldCharType="separate"/>
        </w:r>
        <w:r w:rsidR="00CA5C2D">
          <w:rPr>
            <w:webHidden/>
          </w:rPr>
          <w:t>5</w:t>
        </w:r>
        <w:r w:rsidR="00557CE8">
          <w:rPr>
            <w:webHidden/>
          </w:rPr>
          <w:fldChar w:fldCharType="end"/>
        </w:r>
      </w:hyperlink>
    </w:p>
    <w:p w:rsidR="00557CE8" w:rsidRDefault="00A749E2">
      <w:pPr>
        <w:pStyle w:val="TOC2"/>
        <w:rPr>
          <w:rFonts w:eastAsiaTheme="minorEastAsia"/>
          <w:szCs w:val="22"/>
          <w:lang w:eastAsia="en-AU"/>
        </w:rPr>
      </w:pPr>
      <w:hyperlink w:anchor="_Toc447617994" w:history="1">
        <w:r w:rsidR="00557CE8" w:rsidRPr="00E15B5E">
          <w:rPr>
            <w:rStyle w:val="Hyperlink"/>
          </w:rPr>
          <w:t>2.2</w:t>
        </w:r>
        <w:r w:rsidR="00557CE8">
          <w:rPr>
            <w:rFonts w:eastAsiaTheme="minorEastAsia"/>
            <w:szCs w:val="22"/>
            <w:lang w:eastAsia="en-AU"/>
          </w:rPr>
          <w:tab/>
        </w:r>
        <w:r w:rsidR="00557CE8" w:rsidRPr="00E15B5E">
          <w:rPr>
            <w:rStyle w:val="Hyperlink"/>
          </w:rPr>
          <w:t>Cost of HELP</w:t>
        </w:r>
        <w:r w:rsidR="00557CE8">
          <w:rPr>
            <w:webHidden/>
          </w:rPr>
          <w:tab/>
        </w:r>
        <w:r w:rsidR="00557CE8">
          <w:rPr>
            <w:webHidden/>
          </w:rPr>
          <w:fldChar w:fldCharType="begin"/>
        </w:r>
        <w:r w:rsidR="00557CE8">
          <w:rPr>
            <w:webHidden/>
          </w:rPr>
          <w:instrText xml:space="preserve"> PAGEREF _Toc447617994 \h </w:instrText>
        </w:r>
        <w:r w:rsidR="00557CE8">
          <w:rPr>
            <w:webHidden/>
          </w:rPr>
        </w:r>
        <w:r w:rsidR="00557CE8">
          <w:rPr>
            <w:webHidden/>
          </w:rPr>
          <w:fldChar w:fldCharType="separate"/>
        </w:r>
        <w:r w:rsidR="00CA5C2D">
          <w:rPr>
            <w:webHidden/>
          </w:rPr>
          <w:t>6</w:t>
        </w:r>
        <w:r w:rsidR="00557CE8">
          <w:rPr>
            <w:webHidden/>
          </w:rPr>
          <w:fldChar w:fldCharType="end"/>
        </w:r>
      </w:hyperlink>
    </w:p>
    <w:p w:rsidR="00557CE8" w:rsidRDefault="00A749E2">
      <w:pPr>
        <w:pStyle w:val="TOC2"/>
        <w:rPr>
          <w:rFonts w:eastAsiaTheme="minorEastAsia"/>
          <w:szCs w:val="22"/>
          <w:lang w:eastAsia="en-AU"/>
        </w:rPr>
      </w:pPr>
      <w:hyperlink w:anchor="_Toc447617995" w:history="1">
        <w:r w:rsidR="00557CE8" w:rsidRPr="00E15B5E">
          <w:rPr>
            <w:rStyle w:val="Hyperlink"/>
          </w:rPr>
          <w:t>2.3</w:t>
        </w:r>
        <w:r w:rsidR="00557CE8">
          <w:rPr>
            <w:rFonts w:eastAsiaTheme="minorEastAsia"/>
            <w:szCs w:val="22"/>
            <w:lang w:eastAsia="en-AU"/>
          </w:rPr>
          <w:tab/>
        </w:r>
        <w:r w:rsidR="00557CE8" w:rsidRPr="00E15B5E">
          <w:rPr>
            <w:rStyle w:val="Hyperlink"/>
          </w:rPr>
          <w:t>Reporting on HELP</w:t>
        </w:r>
        <w:r w:rsidR="00557CE8">
          <w:rPr>
            <w:webHidden/>
          </w:rPr>
          <w:tab/>
        </w:r>
        <w:r w:rsidR="00557CE8">
          <w:rPr>
            <w:webHidden/>
          </w:rPr>
          <w:fldChar w:fldCharType="begin"/>
        </w:r>
        <w:r w:rsidR="00557CE8">
          <w:rPr>
            <w:webHidden/>
          </w:rPr>
          <w:instrText xml:space="preserve"> PAGEREF _Toc447617995 \h </w:instrText>
        </w:r>
        <w:r w:rsidR="00557CE8">
          <w:rPr>
            <w:webHidden/>
          </w:rPr>
        </w:r>
        <w:r w:rsidR="00557CE8">
          <w:rPr>
            <w:webHidden/>
          </w:rPr>
          <w:fldChar w:fldCharType="separate"/>
        </w:r>
        <w:r w:rsidR="00CA5C2D">
          <w:rPr>
            <w:webHidden/>
          </w:rPr>
          <w:t>8</w:t>
        </w:r>
        <w:r w:rsidR="00557CE8">
          <w:rPr>
            <w:webHidden/>
          </w:rPr>
          <w:fldChar w:fldCharType="end"/>
        </w:r>
      </w:hyperlink>
    </w:p>
    <w:p w:rsidR="00557CE8" w:rsidRDefault="00A749E2">
      <w:pPr>
        <w:pStyle w:val="TOC2"/>
        <w:rPr>
          <w:rFonts w:eastAsiaTheme="minorEastAsia"/>
          <w:szCs w:val="22"/>
          <w:lang w:eastAsia="en-AU"/>
        </w:rPr>
      </w:pPr>
      <w:hyperlink w:anchor="_Toc447617996" w:history="1">
        <w:r w:rsidR="00557CE8" w:rsidRPr="00E15B5E">
          <w:rPr>
            <w:rStyle w:val="Hyperlink"/>
          </w:rPr>
          <w:t>2.4</w:t>
        </w:r>
        <w:r w:rsidR="00557CE8">
          <w:rPr>
            <w:rFonts w:eastAsiaTheme="minorEastAsia"/>
            <w:szCs w:val="22"/>
            <w:lang w:eastAsia="en-AU"/>
          </w:rPr>
          <w:tab/>
        </w:r>
        <w:r w:rsidR="00557CE8" w:rsidRPr="00E15B5E">
          <w:rPr>
            <w:rStyle w:val="Hyperlink"/>
          </w:rPr>
          <w:t>Net annual cash flows</w:t>
        </w:r>
        <w:r w:rsidR="00557CE8">
          <w:rPr>
            <w:webHidden/>
          </w:rPr>
          <w:tab/>
        </w:r>
        <w:r w:rsidR="00557CE8">
          <w:rPr>
            <w:webHidden/>
          </w:rPr>
          <w:fldChar w:fldCharType="begin"/>
        </w:r>
        <w:r w:rsidR="00557CE8">
          <w:rPr>
            <w:webHidden/>
          </w:rPr>
          <w:instrText xml:space="preserve"> PAGEREF _Toc447617996 \h </w:instrText>
        </w:r>
        <w:r w:rsidR="00557CE8">
          <w:rPr>
            <w:webHidden/>
          </w:rPr>
        </w:r>
        <w:r w:rsidR="00557CE8">
          <w:rPr>
            <w:webHidden/>
          </w:rPr>
          <w:fldChar w:fldCharType="separate"/>
        </w:r>
        <w:r w:rsidR="00CA5C2D">
          <w:rPr>
            <w:webHidden/>
          </w:rPr>
          <w:t>9</w:t>
        </w:r>
        <w:r w:rsidR="00557CE8">
          <w:rPr>
            <w:webHidden/>
          </w:rPr>
          <w:fldChar w:fldCharType="end"/>
        </w:r>
      </w:hyperlink>
    </w:p>
    <w:p w:rsidR="00557CE8" w:rsidRDefault="00A749E2">
      <w:pPr>
        <w:pStyle w:val="TOC2"/>
        <w:rPr>
          <w:rFonts w:eastAsiaTheme="minorEastAsia"/>
          <w:szCs w:val="22"/>
          <w:lang w:eastAsia="en-AU"/>
        </w:rPr>
      </w:pPr>
      <w:hyperlink w:anchor="_Toc447617997" w:history="1">
        <w:r w:rsidR="00557CE8" w:rsidRPr="00E15B5E">
          <w:rPr>
            <w:rStyle w:val="Hyperlink"/>
          </w:rPr>
          <w:t>2.5</w:t>
        </w:r>
        <w:r w:rsidR="00557CE8">
          <w:rPr>
            <w:rFonts w:eastAsiaTheme="minorEastAsia"/>
            <w:szCs w:val="22"/>
            <w:lang w:eastAsia="en-AU"/>
          </w:rPr>
          <w:tab/>
        </w:r>
        <w:r w:rsidR="00557CE8" w:rsidRPr="00E15B5E">
          <w:rPr>
            <w:rStyle w:val="Hyperlink"/>
          </w:rPr>
          <w:t>Underlying cash balance impact</w:t>
        </w:r>
        <w:r w:rsidR="00557CE8">
          <w:rPr>
            <w:webHidden/>
          </w:rPr>
          <w:tab/>
        </w:r>
        <w:r w:rsidR="00557CE8">
          <w:rPr>
            <w:webHidden/>
          </w:rPr>
          <w:fldChar w:fldCharType="begin"/>
        </w:r>
        <w:r w:rsidR="00557CE8">
          <w:rPr>
            <w:webHidden/>
          </w:rPr>
          <w:instrText xml:space="preserve"> PAGEREF _Toc447617997 \h </w:instrText>
        </w:r>
        <w:r w:rsidR="00557CE8">
          <w:rPr>
            <w:webHidden/>
          </w:rPr>
        </w:r>
        <w:r w:rsidR="00557CE8">
          <w:rPr>
            <w:webHidden/>
          </w:rPr>
          <w:fldChar w:fldCharType="separate"/>
        </w:r>
        <w:r w:rsidR="00CA5C2D">
          <w:rPr>
            <w:webHidden/>
          </w:rPr>
          <w:t>10</w:t>
        </w:r>
        <w:r w:rsidR="00557CE8">
          <w:rPr>
            <w:webHidden/>
          </w:rPr>
          <w:fldChar w:fldCharType="end"/>
        </w:r>
      </w:hyperlink>
    </w:p>
    <w:p w:rsidR="00557CE8" w:rsidRDefault="00A749E2">
      <w:pPr>
        <w:pStyle w:val="TOC2"/>
        <w:rPr>
          <w:rStyle w:val="Hyperlink"/>
        </w:rPr>
      </w:pPr>
      <w:hyperlink w:anchor="_Toc447617998" w:history="1">
        <w:r w:rsidR="00557CE8" w:rsidRPr="00E15B5E">
          <w:rPr>
            <w:rStyle w:val="Hyperlink"/>
          </w:rPr>
          <w:t>2.6</w:t>
        </w:r>
        <w:r w:rsidR="00557CE8">
          <w:rPr>
            <w:rFonts w:eastAsiaTheme="minorEastAsia"/>
            <w:szCs w:val="22"/>
            <w:lang w:eastAsia="en-AU"/>
          </w:rPr>
          <w:tab/>
        </w:r>
        <w:r w:rsidR="00557CE8" w:rsidRPr="00E15B5E">
          <w:rPr>
            <w:rStyle w:val="Hyperlink"/>
          </w:rPr>
          <w:t>Impact of HELP on net debt</w:t>
        </w:r>
        <w:r w:rsidR="00557CE8">
          <w:rPr>
            <w:webHidden/>
          </w:rPr>
          <w:tab/>
        </w:r>
        <w:r w:rsidR="00557CE8">
          <w:rPr>
            <w:webHidden/>
          </w:rPr>
          <w:fldChar w:fldCharType="begin"/>
        </w:r>
        <w:r w:rsidR="00557CE8">
          <w:rPr>
            <w:webHidden/>
          </w:rPr>
          <w:instrText xml:space="preserve"> PAGEREF _Toc447617998 \h </w:instrText>
        </w:r>
        <w:r w:rsidR="00557CE8">
          <w:rPr>
            <w:webHidden/>
          </w:rPr>
        </w:r>
        <w:r w:rsidR="00557CE8">
          <w:rPr>
            <w:webHidden/>
          </w:rPr>
          <w:fldChar w:fldCharType="separate"/>
        </w:r>
        <w:r w:rsidR="00CA5C2D">
          <w:rPr>
            <w:webHidden/>
          </w:rPr>
          <w:t>12</w:t>
        </w:r>
        <w:r w:rsidR="00557CE8">
          <w:rPr>
            <w:webHidden/>
          </w:rPr>
          <w:fldChar w:fldCharType="end"/>
        </w:r>
      </w:hyperlink>
    </w:p>
    <w:bookmarkStart w:id="3" w:name="_LOF"/>
    <w:p w:rsidR="00557CE8" w:rsidRPr="00557CE8" w:rsidRDefault="00557CE8" w:rsidP="00557CE8">
      <w:pPr>
        <w:pStyle w:val="TOC1"/>
        <w:ind w:left="0" w:firstLine="0"/>
      </w:pPr>
      <w:r>
        <w:fldChar w:fldCharType="begin"/>
      </w:r>
      <w:r>
        <w:instrText xml:space="preserve"> TOC \h \z \u \t "Heading 8,4" \* Charformat </w:instrText>
      </w:r>
      <w:r>
        <w:fldChar w:fldCharType="separate"/>
      </w:r>
      <w:hyperlink w:anchor="_Toc447618000" w:history="1">
        <w:r w:rsidRPr="00557CE8">
          <w:t>Appendix A – Methodology and key technical assumptions</w:t>
        </w:r>
        <w:r>
          <w:rPr>
            <w:webHidden/>
          </w:rPr>
          <w:tab/>
        </w:r>
        <w:r>
          <w:rPr>
            <w:webHidden/>
          </w:rPr>
          <w:fldChar w:fldCharType="begin"/>
        </w:r>
        <w:r>
          <w:rPr>
            <w:webHidden/>
          </w:rPr>
          <w:instrText xml:space="preserve"> PAGEREF _Toc447618000 \h </w:instrText>
        </w:r>
        <w:r>
          <w:rPr>
            <w:webHidden/>
          </w:rPr>
        </w:r>
        <w:r>
          <w:rPr>
            <w:webHidden/>
          </w:rPr>
          <w:fldChar w:fldCharType="separate"/>
        </w:r>
        <w:r w:rsidR="00CA5C2D">
          <w:rPr>
            <w:webHidden/>
          </w:rPr>
          <w:t>15</w:t>
        </w:r>
        <w:r>
          <w:rPr>
            <w:webHidden/>
          </w:rPr>
          <w:fldChar w:fldCharType="end"/>
        </w:r>
      </w:hyperlink>
    </w:p>
    <w:p w:rsidR="00557CE8" w:rsidRPr="00557CE8" w:rsidRDefault="00A749E2" w:rsidP="00557CE8">
      <w:pPr>
        <w:pStyle w:val="TOC1"/>
      </w:pPr>
      <w:hyperlink w:anchor="_Toc447618001" w:history="1">
        <w:r w:rsidR="00557CE8" w:rsidRPr="00557CE8">
          <w:t>Appendix B – Higher education policy reform measures, 2013–14 to 2014–15</w:t>
        </w:r>
        <w:r w:rsidR="00557CE8">
          <w:rPr>
            <w:webHidden/>
          </w:rPr>
          <w:tab/>
        </w:r>
        <w:r w:rsidR="00557CE8">
          <w:rPr>
            <w:webHidden/>
          </w:rPr>
          <w:fldChar w:fldCharType="begin"/>
        </w:r>
        <w:r w:rsidR="00557CE8">
          <w:rPr>
            <w:webHidden/>
          </w:rPr>
          <w:instrText xml:space="preserve"> PAGEREF _Toc447618001 \h </w:instrText>
        </w:r>
        <w:r w:rsidR="00557CE8">
          <w:rPr>
            <w:webHidden/>
          </w:rPr>
        </w:r>
        <w:r w:rsidR="00557CE8">
          <w:rPr>
            <w:webHidden/>
          </w:rPr>
          <w:fldChar w:fldCharType="separate"/>
        </w:r>
        <w:r w:rsidR="00CA5C2D">
          <w:rPr>
            <w:webHidden/>
          </w:rPr>
          <w:t>17</w:t>
        </w:r>
        <w:r w:rsidR="00557CE8">
          <w:rPr>
            <w:webHidden/>
          </w:rPr>
          <w:fldChar w:fldCharType="end"/>
        </w:r>
      </w:hyperlink>
    </w:p>
    <w:p w:rsidR="00557CE8" w:rsidRDefault="00557CE8" w:rsidP="00557CE8">
      <w:pPr>
        <w:pStyle w:val="TOC1"/>
        <w:rPr>
          <w:rStyle w:val="Hyperlink"/>
        </w:rPr>
      </w:pPr>
      <w:r>
        <w:fldChar w:fldCharType="end"/>
      </w:r>
      <w:bookmarkEnd w:id="3"/>
      <w:r w:rsidRPr="00E15B5E">
        <w:rPr>
          <w:rStyle w:val="Hyperlink"/>
        </w:rPr>
        <w:fldChar w:fldCharType="begin"/>
      </w:r>
      <w:r w:rsidRPr="00E15B5E">
        <w:rPr>
          <w:rStyle w:val="Hyperlink"/>
        </w:rPr>
        <w:instrText xml:space="preserve"> </w:instrText>
      </w:r>
      <w:r>
        <w:instrText>HYPERLINK \l "_Toc447617999"</w:instrText>
      </w:r>
      <w:r w:rsidRPr="00E15B5E">
        <w:rPr>
          <w:rStyle w:val="Hyperlink"/>
        </w:rPr>
        <w:instrText xml:space="preserve"> </w:instrText>
      </w:r>
      <w:r w:rsidRPr="00E15B5E">
        <w:rPr>
          <w:rStyle w:val="Hyperlink"/>
        </w:rPr>
        <w:fldChar w:fldCharType="separate"/>
      </w:r>
      <w:r w:rsidRPr="00E15B5E">
        <w:rPr>
          <w:rStyle w:val="Hyperlink"/>
        </w:rPr>
        <w:t>References</w:t>
      </w:r>
      <w:r>
        <w:rPr>
          <w:webHidden/>
        </w:rPr>
        <w:tab/>
      </w:r>
      <w:r>
        <w:rPr>
          <w:webHidden/>
        </w:rPr>
        <w:fldChar w:fldCharType="begin"/>
      </w:r>
      <w:r>
        <w:rPr>
          <w:webHidden/>
        </w:rPr>
        <w:instrText xml:space="preserve"> PAGEREF _Toc447617999 \h </w:instrText>
      </w:r>
      <w:r>
        <w:rPr>
          <w:webHidden/>
        </w:rPr>
      </w:r>
      <w:r>
        <w:rPr>
          <w:webHidden/>
        </w:rPr>
        <w:fldChar w:fldCharType="separate"/>
      </w:r>
      <w:r w:rsidR="00CA5C2D">
        <w:rPr>
          <w:webHidden/>
        </w:rPr>
        <w:t>20</w:t>
      </w:r>
      <w:r>
        <w:rPr>
          <w:webHidden/>
        </w:rPr>
        <w:fldChar w:fldCharType="end"/>
      </w:r>
      <w:r w:rsidRPr="00E15B5E">
        <w:rPr>
          <w:rStyle w:val="Hyperlink"/>
        </w:rPr>
        <w:fldChar w:fldCharType="end"/>
      </w:r>
    </w:p>
    <w:p w:rsidR="00E915E6" w:rsidRPr="00557CE8" w:rsidRDefault="00557CE8" w:rsidP="00557CE8">
      <w:pPr>
        <w:pStyle w:val="BodyText"/>
        <w:sectPr w:rsidR="00E915E6" w:rsidRPr="00557CE8" w:rsidSect="00590815">
          <w:headerReference w:type="even" r:id="rId19"/>
          <w:headerReference w:type="default" r:id="rId20"/>
          <w:footerReference w:type="even" r:id="rId21"/>
          <w:footerReference w:type="default" r:id="rId22"/>
          <w:headerReference w:type="first" r:id="rId23"/>
          <w:pgSz w:w="11906" w:h="16838" w:code="9"/>
          <w:pgMar w:top="1361" w:right="1797" w:bottom="1474" w:left="1797" w:header="284" w:footer="454" w:gutter="0"/>
          <w:pgNumType w:fmt="lowerRoman"/>
          <w:cols w:space="708"/>
          <w:docGrid w:linePitch="360"/>
        </w:sectPr>
      </w:pPr>
      <w:r>
        <w:fldChar w:fldCharType="end"/>
      </w:r>
    </w:p>
    <w:p w:rsidR="004F1297" w:rsidRDefault="00E915E6" w:rsidP="00A12C39">
      <w:pPr>
        <w:pStyle w:val="Heading1NoNumbering"/>
      </w:pPr>
      <w:bookmarkStart w:id="4" w:name="_Toc445304403"/>
      <w:bookmarkStart w:id="5" w:name="_Toc445304429"/>
      <w:bookmarkStart w:id="6" w:name="_Toc445901357"/>
      <w:bookmarkStart w:id="7" w:name="_Toc447617956"/>
      <w:bookmarkStart w:id="8" w:name="_Toc447617986"/>
      <w:r>
        <w:lastRenderedPageBreak/>
        <w:t>Foreword</w:t>
      </w:r>
      <w:bookmarkStart w:id="9" w:name="_ForewordMarker"/>
      <w:bookmarkEnd w:id="4"/>
      <w:bookmarkEnd w:id="5"/>
      <w:bookmarkEnd w:id="6"/>
      <w:bookmarkEnd w:id="7"/>
      <w:bookmarkEnd w:id="8"/>
      <w:bookmarkEnd w:id="9"/>
    </w:p>
    <w:p w:rsidR="00590815" w:rsidRDefault="00590815" w:rsidP="00590815">
      <w:pPr>
        <w:pStyle w:val="OverviewBodyText"/>
      </w:pPr>
      <w:r>
        <w:t xml:space="preserve">The Higher Education Loan Programme (HELP) is a large and growing government programme that supports participation in higher education.  Although the costs of HELP are included in the budget financial statements, </w:t>
      </w:r>
      <w:r w:rsidR="00685D8E">
        <w:t>they</w:t>
      </w:r>
      <w:r>
        <w:t xml:space="preserve"> are not separately identified to allow the impact of the programme on the budget to be readily assessed.</w:t>
      </w:r>
    </w:p>
    <w:p w:rsidR="00590815" w:rsidRDefault="00590815" w:rsidP="00590815">
      <w:pPr>
        <w:pStyle w:val="OverviewBodyText"/>
      </w:pPr>
      <w:r>
        <w:t>This report discusses the size and costs of HELP and provides an estimate of the impact of the programme on the underlying cash balance.</w:t>
      </w:r>
      <w:r w:rsidR="00B5015D">
        <w:t xml:space="preserve">  </w:t>
      </w:r>
      <w:r w:rsidR="00B5015D" w:rsidRPr="00A1599A">
        <w:t xml:space="preserve">The analysis in this paper is based on the Government’s announced policies as at </w:t>
      </w:r>
      <w:r w:rsidR="00B5015D">
        <w:t>the 2015</w:t>
      </w:r>
      <w:r w:rsidR="00444A6A">
        <w:t>–</w:t>
      </w:r>
      <w:r w:rsidR="00B5015D">
        <w:t>16 MYEFO.</w:t>
      </w:r>
    </w:p>
    <w:p w:rsidR="00590815" w:rsidRDefault="00590815" w:rsidP="00590815">
      <w:pPr>
        <w:pStyle w:val="BodyText"/>
      </w:pPr>
      <w:r w:rsidRPr="00227D7D">
        <w:t>I would like to thank the PBO staff involved in the preparation of this report</w:t>
      </w:r>
      <w:r>
        <w:t>:</w:t>
      </w:r>
      <w:r w:rsidR="00FD7E0A">
        <w:t xml:space="preserve"> Tim Pyne, Paul </w:t>
      </w:r>
      <w:r w:rsidRPr="00227D7D">
        <w:t xml:space="preserve">Gardiner, </w:t>
      </w:r>
      <w:r>
        <w:t>Lok</w:t>
      </w:r>
      <w:r w:rsidR="00FD7E0A">
        <w:t> </w:t>
      </w:r>
      <w:r>
        <w:t>Potticary and Vijay</w:t>
      </w:r>
      <w:r w:rsidR="00FD7E0A">
        <w:t> </w:t>
      </w:r>
      <w:r>
        <w:t>Murik</w:t>
      </w:r>
      <w:r w:rsidRPr="00227D7D">
        <w:t>.  The report was prepared for publication by Louise</w:t>
      </w:r>
      <w:r w:rsidR="00FD7E0A">
        <w:t> </w:t>
      </w:r>
      <w:r w:rsidRPr="00227D7D">
        <w:t>Milligan.</w:t>
      </w:r>
    </w:p>
    <w:p w:rsidR="0039286E" w:rsidRDefault="0039286E" w:rsidP="0039286E">
      <w:pPr>
        <w:pStyle w:val="OverviewBodyText"/>
        <w:rPr>
          <w:rFonts w:cs="Times New Roman"/>
          <w:spacing w:val="-1"/>
        </w:rPr>
      </w:pPr>
      <w:r w:rsidRPr="005747D3">
        <w:rPr>
          <w:rFonts w:cs="Times New Roman"/>
          <w:spacing w:val="-1"/>
        </w:rPr>
        <w:t>I also wish to thank the external referees who provided helpful comments and suggestions on the report, namely the Grattan Institute and Professor Bruce Chapman, Crawford School of Public Policy, Australian National Univers</w:t>
      </w:r>
      <w:r>
        <w:rPr>
          <w:rFonts w:cs="Times New Roman"/>
          <w:spacing w:val="-1"/>
        </w:rPr>
        <w:t>ity.</w:t>
      </w:r>
    </w:p>
    <w:p w:rsidR="00C80200" w:rsidRDefault="00590815" w:rsidP="00925603">
      <w:pPr>
        <w:pStyle w:val="OverviewBodyText"/>
      </w:pPr>
      <w:r w:rsidRPr="00296721">
        <w:t>The assistance of external reviewers does not imply any responsibility on their part for the content of the final report, which rests solely with the P</w:t>
      </w:r>
      <w:r w:rsidR="00FD7E0A">
        <w:t xml:space="preserve">arliamentary </w:t>
      </w:r>
      <w:r w:rsidRPr="00296721">
        <w:t>B</w:t>
      </w:r>
      <w:r w:rsidR="00FD7E0A">
        <w:t xml:space="preserve">udget </w:t>
      </w:r>
      <w:r w:rsidRPr="00296721">
        <w:t>O</w:t>
      </w:r>
      <w:r w:rsidR="00FD7E0A">
        <w:t>ffice</w:t>
      </w:r>
      <w:r w:rsidRPr="00296721">
        <w:t>.</w:t>
      </w:r>
    </w:p>
    <w:p w:rsidR="00590815" w:rsidRDefault="00590815" w:rsidP="00590815">
      <w:pPr>
        <w:spacing w:before="960"/>
      </w:pPr>
      <w:r>
        <w:t>Phil Bowen PSM FCPA</w:t>
      </w:r>
    </w:p>
    <w:p w:rsidR="00590815" w:rsidRDefault="00590815" w:rsidP="00590815">
      <w:pPr>
        <w:spacing w:after="114"/>
      </w:pPr>
      <w:r>
        <w:t>Parliamentary Budget Officer</w:t>
      </w:r>
    </w:p>
    <w:sdt>
      <w:sdtPr>
        <w:alias w:val="Date"/>
        <w:tag w:val="Date"/>
        <w:id w:val="-226846581"/>
        <w:placeholder>
          <w:docPart w:val="53DF7176198C4B5F9AE8F990E96AB6F3"/>
        </w:placeholder>
        <w:date w:fullDate="2016-04-06T00:00:00Z">
          <w:dateFormat w:val="d MMMM yyyy"/>
          <w:lid w:val="en-AU"/>
          <w:storeMappedDataAs w:val="dateTime"/>
          <w:calendar w:val="gregorian"/>
        </w:date>
      </w:sdtPr>
      <w:sdtEndPr/>
      <w:sdtContent>
        <w:p w:rsidR="00EA6EB3" w:rsidRDefault="00772249" w:rsidP="00351F62">
          <w:r>
            <w:t>6 April 2016</w:t>
          </w:r>
        </w:p>
      </w:sdtContent>
    </w:sdt>
    <w:p w:rsidR="00EA6EB3" w:rsidRDefault="00EA6EB3">
      <w:pPr>
        <w:sectPr w:rsidR="00EA6EB3" w:rsidSect="00590815">
          <w:headerReference w:type="even" r:id="rId24"/>
          <w:headerReference w:type="default" r:id="rId25"/>
          <w:footerReference w:type="default" r:id="rId26"/>
          <w:headerReference w:type="first" r:id="rId27"/>
          <w:pgSz w:w="11906" w:h="16838" w:code="9"/>
          <w:pgMar w:top="1361" w:right="1797" w:bottom="1474" w:left="1797" w:header="284" w:footer="454" w:gutter="0"/>
          <w:pgNumType w:fmt="lowerRoman"/>
          <w:cols w:space="708"/>
          <w:docGrid w:linePitch="360"/>
        </w:sectPr>
      </w:pPr>
    </w:p>
    <w:p w:rsidR="00F37B0C" w:rsidRDefault="009454A7" w:rsidP="00F37B0C">
      <w:pPr>
        <w:pStyle w:val="Heading1NoNumbering"/>
      </w:pPr>
      <w:bookmarkStart w:id="10" w:name="_Toc445304404"/>
      <w:bookmarkStart w:id="11" w:name="_Toc445304430"/>
      <w:bookmarkStart w:id="12" w:name="_Toc445901358"/>
      <w:bookmarkStart w:id="13" w:name="_Toc447617957"/>
      <w:bookmarkStart w:id="14" w:name="_Toc447617987"/>
      <w:r>
        <w:lastRenderedPageBreak/>
        <w:t>Overview</w:t>
      </w:r>
      <w:bookmarkStart w:id="15" w:name="_OverviewMarker"/>
      <w:bookmarkEnd w:id="10"/>
      <w:bookmarkEnd w:id="11"/>
      <w:bookmarkEnd w:id="12"/>
      <w:bookmarkEnd w:id="13"/>
      <w:bookmarkEnd w:id="14"/>
      <w:bookmarkEnd w:id="15"/>
    </w:p>
    <w:p w:rsidR="00F37B0C" w:rsidRDefault="00F37B0C" w:rsidP="00F37B0C">
      <w:pPr>
        <w:pStyle w:val="BodyText17ptAbove"/>
      </w:pPr>
      <w:r>
        <w:t xml:space="preserve">The cost of the Higher Education Loan Programme (HELP) is growing strongly driven by the </w:t>
      </w:r>
      <w:r w:rsidRPr="00280064">
        <w:t xml:space="preserve">introduction of the demand </w:t>
      </w:r>
      <w:r w:rsidRPr="0031206C">
        <w:t>driven approach to higher education funding</w:t>
      </w:r>
      <w:r w:rsidR="00EB0C4A" w:rsidRPr="0031206C">
        <w:t xml:space="preserve">, recently </w:t>
      </w:r>
      <w:r w:rsidRPr="0031206C">
        <w:t xml:space="preserve">announced policy decisions </w:t>
      </w:r>
      <w:r w:rsidR="00A462C1">
        <w:t xml:space="preserve">to reduce subsidies for university courses and </w:t>
      </w:r>
      <w:r w:rsidR="00917BA4" w:rsidRPr="0031206C">
        <w:t>to</w:t>
      </w:r>
      <w:r w:rsidR="00685D8E" w:rsidRPr="0031206C">
        <w:t xml:space="preserve"> </w:t>
      </w:r>
      <w:r w:rsidRPr="0031206C">
        <w:t>allow</w:t>
      </w:r>
      <w:r w:rsidRPr="0032561F">
        <w:t xml:space="preserve"> universities to set their own</w:t>
      </w:r>
      <w:r>
        <w:t xml:space="preserve"> course</w:t>
      </w:r>
      <w:r w:rsidRPr="0032561F">
        <w:t xml:space="preserve"> fees</w:t>
      </w:r>
      <w:r w:rsidR="00EB0C4A">
        <w:t>,</w:t>
      </w:r>
      <w:r w:rsidRPr="00280064">
        <w:t xml:space="preserve"> </w:t>
      </w:r>
      <w:r w:rsidR="00EB0C4A" w:rsidRPr="00280064">
        <w:t xml:space="preserve">and expansion of </w:t>
      </w:r>
      <w:r w:rsidR="00EB0C4A">
        <w:t>HELP</w:t>
      </w:r>
      <w:r w:rsidR="00FD7E0A">
        <w:t xml:space="preserve"> loans to vocational education.</w:t>
      </w:r>
    </w:p>
    <w:p w:rsidR="00F37B0C" w:rsidRDefault="00F37B0C" w:rsidP="00F37B0C">
      <w:pPr>
        <w:pStyle w:val="BodyText"/>
        <w:rPr>
          <w:b/>
          <w:bCs/>
          <w:color w:val="2B3B5F" w:themeColor="text2"/>
          <w:spacing w:val="-4"/>
        </w:rPr>
      </w:pPr>
      <w:r>
        <w:t>T</w:t>
      </w:r>
      <w:r w:rsidRPr="00EE010C">
        <w:t xml:space="preserve">he </w:t>
      </w:r>
      <w:r w:rsidR="00FD7E0A">
        <w:t>Parliamentary Budget Office (</w:t>
      </w:r>
      <w:r>
        <w:t>PBO</w:t>
      </w:r>
      <w:r w:rsidR="00FD7E0A">
        <w:t>)</w:t>
      </w:r>
      <w:r>
        <w:t xml:space="preserve"> projects that the annual cost of HELP loans on an underlying cash basis will rise from </w:t>
      </w:r>
      <w:r w:rsidR="00E531FC">
        <w:t>$1.7</w:t>
      </w:r>
      <w:r w:rsidRPr="00EE010C">
        <w:t xml:space="preserve"> billion in 2015</w:t>
      </w:r>
      <w:r>
        <w:t>–</w:t>
      </w:r>
      <w:r w:rsidRPr="00EE010C">
        <w:t>16 to</w:t>
      </w:r>
      <w:r w:rsidR="00AA1836">
        <w:t xml:space="preserve"> </w:t>
      </w:r>
      <w:r w:rsidR="00E531FC">
        <w:t>$11.1</w:t>
      </w:r>
      <w:r>
        <w:t> b</w:t>
      </w:r>
      <w:r w:rsidRPr="00EE010C">
        <w:t xml:space="preserve">illion </w:t>
      </w:r>
      <w:r w:rsidR="00685D8E">
        <w:t>in</w:t>
      </w:r>
      <w:r w:rsidRPr="00EE010C">
        <w:t xml:space="preserve"> 2025</w:t>
      </w:r>
      <w:r>
        <w:t>–</w:t>
      </w:r>
      <w:r w:rsidRPr="00EE010C">
        <w:t>26</w:t>
      </w:r>
      <w:r>
        <w:t xml:space="preserve"> </w:t>
      </w:r>
      <w:r w:rsidR="0003125D">
        <w:br/>
      </w:r>
      <w:r>
        <w:t>(</w:t>
      </w:r>
      <w:r w:rsidR="00444A6A">
        <w:fldChar w:fldCharType="begin"/>
      </w:r>
      <w:r w:rsidR="00444A6A">
        <w:instrText xml:space="preserve"> REF _Ref447264164 \h </w:instrText>
      </w:r>
      <w:r w:rsidR="00444A6A">
        <w:fldChar w:fldCharType="separate"/>
      </w:r>
      <w:r w:rsidR="0003125D">
        <w:t>Figure </w:t>
      </w:r>
      <w:r w:rsidR="00CA5C2D">
        <w:rPr>
          <w:noProof/>
        </w:rPr>
        <w:t>1</w:t>
      </w:r>
      <w:r w:rsidR="00444A6A">
        <w:fldChar w:fldCharType="end"/>
      </w:r>
      <w:r>
        <w:t>)</w:t>
      </w:r>
      <w:r w:rsidRPr="00EE010C">
        <w:t>.</w:t>
      </w:r>
    </w:p>
    <w:p w:rsidR="009454A7" w:rsidRDefault="009454A7" w:rsidP="008763E2">
      <w:pPr>
        <w:pStyle w:val="Caption"/>
        <w:keepLines/>
      </w:pPr>
      <w:bookmarkStart w:id="16" w:name="_Ref447264164"/>
      <w:r w:rsidRPr="009454A7">
        <w:t xml:space="preserve">Figure </w:t>
      </w:r>
      <w:fldSimple w:instr=" SEQ Figure \* ARABIC \s 1 ">
        <w:r w:rsidR="00CA5C2D">
          <w:rPr>
            <w:noProof/>
          </w:rPr>
          <w:t>1</w:t>
        </w:r>
      </w:fldSimple>
      <w:bookmarkEnd w:id="16"/>
      <w:r w:rsidRPr="009454A7">
        <w:t xml:space="preserve">: </w:t>
      </w:r>
      <w:r>
        <w:t>HELP loan portfolio – annual cost on an underlying cash balance basis</w:t>
      </w:r>
    </w:p>
    <w:tbl>
      <w:tblPr>
        <w:tblStyle w:val="TableGrid"/>
        <w:tblW w:w="5000" w:type="pct"/>
        <w:tblLook w:val="0680" w:firstRow="0" w:lastRow="0" w:firstColumn="1" w:lastColumn="0" w:noHBand="1" w:noVBand="1"/>
      </w:tblPr>
      <w:tblGrid>
        <w:gridCol w:w="1380"/>
        <w:gridCol w:w="444"/>
        <w:gridCol w:w="409"/>
        <w:gridCol w:w="409"/>
        <w:gridCol w:w="409"/>
        <w:gridCol w:w="409"/>
        <w:gridCol w:w="409"/>
        <w:gridCol w:w="444"/>
        <w:gridCol w:w="444"/>
        <w:gridCol w:w="444"/>
        <w:gridCol w:w="444"/>
        <w:gridCol w:w="444"/>
        <w:gridCol w:w="444"/>
        <w:gridCol w:w="444"/>
        <w:gridCol w:w="444"/>
        <w:gridCol w:w="447"/>
        <w:gridCol w:w="444"/>
      </w:tblGrid>
      <w:tr w:rsidR="00DC36AB" w:rsidRPr="009A19BE" w:rsidTr="00DC36AB">
        <w:tc>
          <w:tcPr>
            <w:cnfStyle w:val="001000000000" w:firstRow="0" w:lastRow="0" w:firstColumn="1" w:lastColumn="0" w:oddVBand="0" w:evenVBand="0" w:oddHBand="0" w:evenHBand="0" w:firstRowFirstColumn="0" w:firstRowLastColumn="0" w:lastRowFirstColumn="0" w:lastRowLastColumn="0"/>
            <w:tcW w:w="831" w:type="pct"/>
            <w:noWrap/>
            <w:hideMark/>
          </w:tcPr>
          <w:p w:rsidR="00DC36AB" w:rsidRPr="009A19BE" w:rsidRDefault="004E4BA2" w:rsidP="008763E2">
            <w:pPr>
              <w:pStyle w:val="TableText"/>
              <w:keepNext/>
              <w:keepLines/>
              <w:spacing w:before="0" w:after="0" w:line="240" w:lineRule="auto"/>
              <w:ind w:left="57" w:right="57"/>
              <w:rPr>
                <w:color w:val="FFFFFF" w:themeColor="background1"/>
                <w:sz w:val="8"/>
                <w:szCs w:val="8"/>
              </w:rPr>
            </w:pPr>
            <w:r w:rsidRPr="009A19BE">
              <w:rPr>
                <w:noProof/>
                <w:color w:val="FFFFFF" w:themeColor="background1"/>
              </w:rPr>
              <w:drawing>
                <wp:anchor distT="0" distB="0" distL="114300" distR="114300" simplePos="0" relativeHeight="251658240" behindDoc="0" locked="0" layoutInCell="1" allowOverlap="1" wp14:anchorId="63C30042" wp14:editId="4AEDC1B6">
                  <wp:simplePos x="0" y="0"/>
                  <wp:positionH relativeFrom="column">
                    <wp:posOffset>-7620</wp:posOffset>
                  </wp:positionH>
                  <wp:positionV relativeFrom="paragraph">
                    <wp:posOffset>2540</wp:posOffset>
                  </wp:positionV>
                  <wp:extent cx="5269230" cy="2510155"/>
                  <wp:effectExtent l="0" t="0" r="7620" b="4445"/>
                  <wp:wrapNone/>
                  <wp:docPr id="37" name="Picture 37" descr="Decorative&#10;"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28">
                            <a:extLst>
                              <a:ext uri="{28A0092B-C50C-407E-A947-70E740481C1C}">
                                <a14:useLocalDpi xmlns:a14="http://schemas.microsoft.com/office/drawing/2010/main" val="0"/>
                              </a:ext>
                            </a:extLst>
                          </a:blip>
                          <a:srcRect b="8823"/>
                          <a:stretch/>
                        </pic:blipFill>
                        <pic:spPr bwMode="auto">
                          <a:xfrm>
                            <a:off x="0" y="0"/>
                            <a:ext cx="5269230" cy="25101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67" w:type="pct"/>
            <w:noWrap/>
            <w:hideMark/>
          </w:tcPr>
          <w:p w:rsidR="00DC36AB" w:rsidRPr="009A19BE" w:rsidRDefault="00DC36AB" w:rsidP="008763E2">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9A19BE">
              <w:rPr>
                <w:color w:val="FFFFFF" w:themeColor="background1"/>
                <w:sz w:val="8"/>
                <w:szCs w:val="8"/>
              </w:rPr>
              <w:t>2010–11</w:t>
            </w:r>
          </w:p>
        </w:tc>
        <w:tc>
          <w:tcPr>
            <w:tcW w:w="246" w:type="pct"/>
            <w:noWrap/>
            <w:hideMark/>
          </w:tcPr>
          <w:p w:rsidR="00DC36AB" w:rsidRPr="009A19BE" w:rsidRDefault="00DC36AB" w:rsidP="008763E2">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9A19BE">
              <w:rPr>
                <w:color w:val="FFFFFF" w:themeColor="background1"/>
                <w:sz w:val="8"/>
                <w:szCs w:val="8"/>
              </w:rPr>
              <w:t>2011–12</w:t>
            </w:r>
          </w:p>
        </w:tc>
        <w:tc>
          <w:tcPr>
            <w:tcW w:w="246" w:type="pct"/>
            <w:noWrap/>
            <w:hideMark/>
          </w:tcPr>
          <w:p w:rsidR="00DC36AB" w:rsidRPr="009A19BE" w:rsidRDefault="00DC36AB" w:rsidP="008763E2">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9A19BE">
              <w:rPr>
                <w:color w:val="FFFFFF" w:themeColor="background1"/>
                <w:sz w:val="8"/>
                <w:szCs w:val="8"/>
              </w:rPr>
              <w:t>2012–13</w:t>
            </w:r>
          </w:p>
        </w:tc>
        <w:tc>
          <w:tcPr>
            <w:tcW w:w="246" w:type="pct"/>
            <w:noWrap/>
            <w:hideMark/>
          </w:tcPr>
          <w:p w:rsidR="00DC36AB" w:rsidRPr="009A19BE" w:rsidRDefault="00DC36AB" w:rsidP="008763E2">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9A19BE">
              <w:rPr>
                <w:color w:val="FFFFFF" w:themeColor="background1"/>
                <w:sz w:val="8"/>
                <w:szCs w:val="8"/>
              </w:rPr>
              <w:t>2013–14</w:t>
            </w:r>
          </w:p>
        </w:tc>
        <w:tc>
          <w:tcPr>
            <w:tcW w:w="246" w:type="pct"/>
            <w:noWrap/>
            <w:hideMark/>
          </w:tcPr>
          <w:p w:rsidR="00DC36AB" w:rsidRPr="009A19BE" w:rsidRDefault="00DC36AB" w:rsidP="008763E2">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9A19BE">
              <w:rPr>
                <w:color w:val="FFFFFF" w:themeColor="background1"/>
                <w:sz w:val="8"/>
                <w:szCs w:val="8"/>
              </w:rPr>
              <w:t>2014–15</w:t>
            </w:r>
          </w:p>
        </w:tc>
        <w:tc>
          <w:tcPr>
            <w:tcW w:w="246" w:type="pct"/>
            <w:noWrap/>
            <w:hideMark/>
          </w:tcPr>
          <w:p w:rsidR="00DC36AB" w:rsidRPr="009A19BE" w:rsidRDefault="00DC36AB" w:rsidP="008763E2">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9A19BE">
              <w:rPr>
                <w:color w:val="FFFFFF" w:themeColor="background1"/>
                <w:sz w:val="8"/>
                <w:szCs w:val="8"/>
              </w:rPr>
              <w:t>2015–16</w:t>
            </w:r>
          </w:p>
        </w:tc>
        <w:tc>
          <w:tcPr>
            <w:tcW w:w="267" w:type="pct"/>
            <w:noWrap/>
            <w:hideMark/>
          </w:tcPr>
          <w:p w:rsidR="00DC36AB" w:rsidRPr="009A19BE" w:rsidRDefault="00DC36AB" w:rsidP="008763E2">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9A19BE">
              <w:rPr>
                <w:color w:val="FFFFFF" w:themeColor="background1"/>
                <w:sz w:val="8"/>
                <w:szCs w:val="8"/>
              </w:rPr>
              <w:t>2016–17</w:t>
            </w:r>
          </w:p>
        </w:tc>
        <w:tc>
          <w:tcPr>
            <w:tcW w:w="267" w:type="pct"/>
            <w:noWrap/>
            <w:hideMark/>
          </w:tcPr>
          <w:p w:rsidR="00DC36AB" w:rsidRPr="009A19BE" w:rsidRDefault="00DC36AB" w:rsidP="008763E2">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9A19BE">
              <w:rPr>
                <w:color w:val="FFFFFF" w:themeColor="background1"/>
                <w:sz w:val="8"/>
                <w:szCs w:val="8"/>
              </w:rPr>
              <w:t>2017–18</w:t>
            </w:r>
          </w:p>
        </w:tc>
        <w:tc>
          <w:tcPr>
            <w:tcW w:w="267" w:type="pct"/>
            <w:noWrap/>
            <w:hideMark/>
          </w:tcPr>
          <w:p w:rsidR="00DC36AB" w:rsidRPr="009A19BE" w:rsidRDefault="00DC36AB" w:rsidP="008763E2">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9A19BE">
              <w:rPr>
                <w:color w:val="FFFFFF" w:themeColor="background1"/>
                <w:sz w:val="8"/>
                <w:szCs w:val="8"/>
              </w:rPr>
              <w:t>2018–19</w:t>
            </w:r>
          </w:p>
        </w:tc>
        <w:tc>
          <w:tcPr>
            <w:tcW w:w="267" w:type="pct"/>
            <w:noWrap/>
            <w:hideMark/>
          </w:tcPr>
          <w:p w:rsidR="00DC36AB" w:rsidRPr="009A19BE" w:rsidRDefault="00DC36AB" w:rsidP="008763E2">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9A19BE">
              <w:rPr>
                <w:color w:val="FFFFFF" w:themeColor="background1"/>
                <w:sz w:val="8"/>
                <w:szCs w:val="8"/>
              </w:rPr>
              <w:t>2019–20</w:t>
            </w:r>
          </w:p>
        </w:tc>
        <w:tc>
          <w:tcPr>
            <w:tcW w:w="267" w:type="pct"/>
            <w:noWrap/>
            <w:hideMark/>
          </w:tcPr>
          <w:p w:rsidR="00DC36AB" w:rsidRPr="009A19BE" w:rsidRDefault="00DC36AB" w:rsidP="008763E2">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9A19BE">
              <w:rPr>
                <w:color w:val="FFFFFF" w:themeColor="background1"/>
                <w:sz w:val="8"/>
                <w:szCs w:val="8"/>
              </w:rPr>
              <w:t>2020–21</w:t>
            </w:r>
          </w:p>
        </w:tc>
        <w:tc>
          <w:tcPr>
            <w:tcW w:w="267" w:type="pct"/>
            <w:noWrap/>
            <w:hideMark/>
          </w:tcPr>
          <w:p w:rsidR="00DC36AB" w:rsidRPr="009A19BE" w:rsidRDefault="00DC36AB" w:rsidP="008763E2">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9A19BE">
              <w:rPr>
                <w:color w:val="FFFFFF" w:themeColor="background1"/>
                <w:sz w:val="8"/>
                <w:szCs w:val="8"/>
              </w:rPr>
              <w:t>2021–22</w:t>
            </w:r>
          </w:p>
        </w:tc>
        <w:tc>
          <w:tcPr>
            <w:tcW w:w="267" w:type="pct"/>
            <w:noWrap/>
            <w:hideMark/>
          </w:tcPr>
          <w:p w:rsidR="00DC36AB" w:rsidRPr="009A19BE" w:rsidRDefault="00DC36AB" w:rsidP="008763E2">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9A19BE">
              <w:rPr>
                <w:color w:val="FFFFFF" w:themeColor="background1"/>
                <w:sz w:val="8"/>
                <w:szCs w:val="8"/>
              </w:rPr>
              <w:t>2022–23</w:t>
            </w:r>
          </w:p>
        </w:tc>
        <w:tc>
          <w:tcPr>
            <w:tcW w:w="267" w:type="pct"/>
            <w:noWrap/>
            <w:hideMark/>
          </w:tcPr>
          <w:p w:rsidR="00DC36AB" w:rsidRPr="009A19BE" w:rsidRDefault="00DC36AB" w:rsidP="008763E2">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9A19BE">
              <w:rPr>
                <w:color w:val="FFFFFF" w:themeColor="background1"/>
                <w:sz w:val="8"/>
                <w:szCs w:val="8"/>
              </w:rPr>
              <w:t>2023–24</w:t>
            </w:r>
          </w:p>
        </w:tc>
        <w:tc>
          <w:tcPr>
            <w:tcW w:w="269" w:type="pct"/>
            <w:noWrap/>
            <w:hideMark/>
          </w:tcPr>
          <w:p w:rsidR="00DC36AB" w:rsidRPr="009A19BE" w:rsidRDefault="00DC36AB" w:rsidP="008763E2">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9A19BE">
              <w:rPr>
                <w:color w:val="FFFFFF" w:themeColor="background1"/>
                <w:sz w:val="8"/>
                <w:szCs w:val="8"/>
              </w:rPr>
              <w:t>2024–25</w:t>
            </w:r>
          </w:p>
        </w:tc>
        <w:tc>
          <w:tcPr>
            <w:tcW w:w="269" w:type="pct"/>
            <w:noWrap/>
            <w:hideMark/>
          </w:tcPr>
          <w:p w:rsidR="00DC36AB" w:rsidRPr="009A19BE" w:rsidRDefault="00DC36AB" w:rsidP="008763E2">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9A19BE">
              <w:rPr>
                <w:color w:val="FFFFFF" w:themeColor="background1"/>
                <w:sz w:val="8"/>
                <w:szCs w:val="8"/>
              </w:rPr>
              <w:t>2025–26</w:t>
            </w:r>
          </w:p>
        </w:tc>
      </w:tr>
      <w:tr w:rsidR="00DC36AB" w:rsidRPr="009A19BE" w:rsidTr="00DC36AB">
        <w:tc>
          <w:tcPr>
            <w:cnfStyle w:val="001000000000" w:firstRow="0" w:lastRow="0" w:firstColumn="1" w:lastColumn="0" w:oddVBand="0" w:evenVBand="0" w:oddHBand="0" w:evenHBand="0" w:firstRowFirstColumn="0" w:firstRowLastColumn="0" w:lastRowFirstColumn="0" w:lastRowLastColumn="0"/>
            <w:tcW w:w="831" w:type="pct"/>
            <w:noWrap/>
            <w:hideMark/>
          </w:tcPr>
          <w:p w:rsidR="00DC36AB" w:rsidRPr="009A19BE" w:rsidRDefault="00DC36AB" w:rsidP="008763E2">
            <w:pPr>
              <w:pStyle w:val="TableText"/>
              <w:keepNext/>
              <w:keepLines/>
              <w:spacing w:before="0" w:after="0" w:line="240" w:lineRule="auto"/>
              <w:ind w:left="57" w:right="57"/>
              <w:rPr>
                <w:color w:val="FFFFFF" w:themeColor="background1"/>
                <w:sz w:val="8"/>
                <w:szCs w:val="8"/>
              </w:rPr>
            </w:pPr>
            <w:r w:rsidRPr="009A19BE">
              <w:rPr>
                <w:color w:val="FFFFFF" w:themeColor="background1"/>
                <w:sz w:val="8"/>
                <w:szCs w:val="8"/>
              </w:rPr>
              <w:t>Annual net cash cost</w:t>
            </w:r>
          </w:p>
        </w:tc>
        <w:tc>
          <w:tcPr>
            <w:tcW w:w="267" w:type="pct"/>
            <w:noWrap/>
            <w:hideMark/>
          </w:tcPr>
          <w:p w:rsidR="00DC36AB" w:rsidRPr="009A19BE" w:rsidRDefault="00DC36AB" w:rsidP="008763E2">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9A19BE">
              <w:rPr>
                <w:color w:val="FFFFFF" w:themeColor="background1"/>
                <w:sz w:val="8"/>
                <w:szCs w:val="8"/>
              </w:rPr>
              <w:t>1.133</w:t>
            </w:r>
          </w:p>
        </w:tc>
        <w:tc>
          <w:tcPr>
            <w:tcW w:w="246" w:type="pct"/>
            <w:noWrap/>
            <w:hideMark/>
          </w:tcPr>
          <w:p w:rsidR="00DC36AB" w:rsidRPr="009A19BE" w:rsidRDefault="00DC36AB" w:rsidP="008763E2">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9A19BE">
              <w:rPr>
                <w:color w:val="FFFFFF" w:themeColor="background1"/>
                <w:sz w:val="8"/>
                <w:szCs w:val="8"/>
              </w:rPr>
              <w:t>0.591</w:t>
            </w:r>
          </w:p>
        </w:tc>
        <w:tc>
          <w:tcPr>
            <w:tcW w:w="246" w:type="pct"/>
            <w:noWrap/>
            <w:hideMark/>
          </w:tcPr>
          <w:p w:rsidR="00DC36AB" w:rsidRPr="009A19BE" w:rsidRDefault="00DC36AB" w:rsidP="008763E2">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9A19BE">
              <w:rPr>
                <w:color w:val="FFFFFF" w:themeColor="background1"/>
                <w:sz w:val="8"/>
                <w:szCs w:val="8"/>
              </w:rPr>
              <w:t>0.908</w:t>
            </w:r>
          </w:p>
        </w:tc>
        <w:tc>
          <w:tcPr>
            <w:tcW w:w="246" w:type="pct"/>
            <w:noWrap/>
            <w:hideMark/>
          </w:tcPr>
          <w:p w:rsidR="00DC36AB" w:rsidRPr="009A19BE" w:rsidRDefault="00DC36AB" w:rsidP="008763E2">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9A19BE">
              <w:rPr>
                <w:color w:val="FFFFFF" w:themeColor="background1"/>
                <w:sz w:val="8"/>
                <w:szCs w:val="8"/>
              </w:rPr>
              <w:t>1.063</w:t>
            </w:r>
          </w:p>
        </w:tc>
        <w:tc>
          <w:tcPr>
            <w:tcW w:w="246" w:type="pct"/>
            <w:noWrap/>
            <w:hideMark/>
          </w:tcPr>
          <w:p w:rsidR="00DC36AB" w:rsidRPr="009A19BE" w:rsidRDefault="00DC36AB" w:rsidP="008763E2">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9A19BE">
              <w:rPr>
                <w:color w:val="FFFFFF" w:themeColor="background1"/>
                <w:sz w:val="8"/>
                <w:szCs w:val="8"/>
              </w:rPr>
              <w:t>0.865</w:t>
            </w:r>
          </w:p>
        </w:tc>
        <w:tc>
          <w:tcPr>
            <w:tcW w:w="246" w:type="pct"/>
            <w:noWrap/>
            <w:hideMark/>
          </w:tcPr>
          <w:p w:rsidR="00DC36AB" w:rsidRPr="009A19BE" w:rsidRDefault="00DC36AB" w:rsidP="008763E2">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9A19BE">
              <w:rPr>
                <w:color w:val="FFFFFF" w:themeColor="background1"/>
                <w:sz w:val="8"/>
                <w:szCs w:val="8"/>
              </w:rPr>
              <w:t>1.717</w:t>
            </w:r>
          </w:p>
        </w:tc>
        <w:tc>
          <w:tcPr>
            <w:tcW w:w="267" w:type="pct"/>
            <w:noWrap/>
            <w:hideMark/>
          </w:tcPr>
          <w:p w:rsidR="00DC36AB" w:rsidRPr="009A19BE" w:rsidRDefault="00DC36AB" w:rsidP="008763E2">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9A19BE">
              <w:rPr>
                <w:color w:val="FFFFFF" w:themeColor="background1"/>
                <w:sz w:val="8"/>
                <w:szCs w:val="8"/>
              </w:rPr>
              <w:t>2.092</w:t>
            </w:r>
          </w:p>
        </w:tc>
        <w:tc>
          <w:tcPr>
            <w:tcW w:w="267" w:type="pct"/>
            <w:noWrap/>
            <w:hideMark/>
          </w:tcPr>
          <w:p w:rsidR="00DC36AB" w:rsidRPr="009A19BE" w:rsidRDefault="00DC36AB" w:rsidP="008763E2">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9A19BE">
              <w:rPr>
                <w:color w:val="FFFFFF" w:themeColor="background1"/>
                <w:sz w:val="8"/>
                <w:szCs w:val="8"/>
              </w:rPr>
              <w:t>2.519</w:t>
            </w:r>
          </w:p>
        </w:tc>
        <w:tc>
          <w:tcPr>
            <w:tcW w:w="267" w:type="pct"/>
            <w:noWrap/>
            <w:hideMark/>
          </w:tcPr>
          <w:p w:rsidR="00DC36AB" w:rsidRPr="009A19BE" w:rsidRDefault="00DC36AB" w:rsidP="008763E2">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9A19BE">
              <w:rPr>
                <w:color w:val="FFFFFF" w:themeColor="background1"/>
                <w:sz w:val="8"/>
                <w:szCs w:val="8"/>
              </w:rPr>
              <w:t>3.427</w:t>
            </w:r>
          </w:p>
        </w:tc>
        <w:tc>
          <w:tcPr>
            <w:tcW w:w="267" w:type="pct"/>
            <w:noWrap/>
            <w:hideMark/>
          </w:tcPr>
          <w:p w:rsidR="00DC36AB" w:rsidRPr="009A19BE" w:rsidRDefault="00DC36AB" w:rsidP="008763E2">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9A19BE">
              <w:rPr>
                <w:color w:val="FFFFFF" w:themeColor="background1"/>
                <w:sz w:val="8"/>
                <w:szCs w:val="8"/>
              </w:rPr>
              <w:t>4.414</w:t>
            </w:r>
          </w:p>
        </w:tc>
        <w:tc>
          <w:tcPr>
            <w:tcW w:w="267" w:type="pct"/>
            <w:noWrap/>
            <w:hideMark/>
          </w:tcPr>
          <w:p w:rsidR="00DC36AB" w:rsidRPr="009A19BE" w:rsidRDefault="00DC36AB" w:rsidP="008763E2">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9A19BE">
              <w:rPr>
                <w:color w:val="FFFFFF" w:themeColor="background1"/>
                <w:sz w:val="8"/>
                <w:szCs w:val="8"/>
              </w:rPr>
              <w:t>5.432</w:t>
            </w:r>
          </w:p>
        </w:tc>
        <w:tc>
          <w:tcPr>
            <w:tcW w:w="267" w:type="pct"/>
            <w:noWrap/>
            <w:hideMark/>
          </w:tcPr>
          <w:p w:rsidR="00DC36AB" w:rsidRPr="009A19BE" w:rsidRDefault="00DC36AB" w:rsidP="008763E2">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9A19BE">
              <w:rPr>
                <w:color w:val="FFFFFF" w:themeColor="background1"/>
                <w:sz w:val="8"/>
                <w:szCs w:val="8"/>
              </w:rPr>
              <w:t>6.537</w:t>
            </w:r>
          </w:p>
        </w:tc>
        <w:tc>
          <w:tcPr>
            <w:tcW w:w="267" w:type="pct"/>
            <w:noWrap/>
            <w:hideMark/>
          </w:tcPr>
          <w:p w:rsidR="00DC36AB" w:rsidRPr="009A19BE" w:rsidRDefault="00DC36AB" w:rsidP="008763E2">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9A19BE">
              <w:rPr>
                <w:color w:val="FFFFFF" w:themeColor="background1"/>
                <w:sz w:val="8"/>
                <w:szCs w:val="8"/>
              </w:rPr>
              <w:t>7.664</w:t>
            </w:r>
          </w:p>
        </w:tc>
        <w:tc>
          <w:tcPr>
            <w:tcW w:w="267" w:type="pct"/>
            <w:noWrap/>
            <w:hideMark/>
          </w:tcPr>
          <w:p w:rsidR="00DC36AB" w:rsidRPr="009A19BE" w:rsidRDefault="00DC36AB" w:rsidP="008763E2">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9A19BE">
              <w:rPr>
                <w:color w:val="FFFFFF" w:themeColor="background1"/>
                <w:sz w:val="8"/>
                <w:szCs w:val="8"/>
              </w:rPr>
              <w:t>8.847</w:t>
            </w:r>
          </w:p>
        </w:tc>
        <w:tc>
          <w:tcPr>
            <w:tcW w:w="269" w:type="pct"/>
            <w:noWrap/>
            <w:hideMark/>
          </w:tcPr>
          <w:p w:rsidR="00DC36AB" w:rsidRPr="009A19BE" w:rsidRDefault="00DC36AB" w:rsidP="008763E2">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9A19BE">
              <w:rPr>
                <w:color w:val="FFFFFF" w:themeColor="background1"/>
                <w:sz w:val="8"/>
                <w:szCs w:val="8"/>
              </w:rPr>
              <w:t>10.015</w:t>
            </w:r>
          </w:p>
        </w:tc>
        <w:tc>
          <w:tcPr>
            <w:tcW w:w="269" w:type="pct"/>
            <w:noWrap/>
            <w:hideMark/>
          </w:tcPr>
          <w:p w:rsidR="00DC36AB" w:rsidRPr="009A19BE" w:rsidRDefault="00DC36AB" w:rsidP="008763E2">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9A19BE">
              <w:rPr>
                <w:color w:val="FFFFFF" w:themeColor="background1"/>
                <w:sz w:val="8"/>
                <w:szCs w:val="8"/>
              </w:rPr>
              <w:t>11.095</w:t>
            </w:r>
          </w:p>
        </w:tc>
      </w:tr>
    </w:tbl>
    <w:p w:rsidR="00F37B0C" w:rsidRPr="00444A6A" w:rsidRDefault="00F37B0C" w:rsidP="008763E2">
      <w:pPr>
        <w:pStyle w:val="Source"/>
        <w:keepNext/>
        <w:keepLines/>
        <w:spacing w:before="3840"/>
      </w:pPr>
      <w:bookmarkStart w:id="17" w:name="PasteHere"/>
      <w:bookmarkStart w:id="18" w:name="PasteEndHere"/>
      <w:bookmarkEnd w:id="17"/>
      <w:bookmarkEnd w:id="18"/>
      <w:r w:rsidRPr="00444A6A">
        <w:t xml:space="preserve">Source: </w:t>
      </w:r>
      <w:r w:rsidR="00685D8E" w:rsidRPr="00444A6A">
        <w:t>PBO analysis of Department of Education and Training data</w:t>
      </w:r>
      <w:r w:rsidR="00186075">
        <w:t>.</w:t>
      </w:r>
    </w:p>
    <w:p w:rsidR="00F37B0C" w:rsidRDefault="00F37B0C" w:rsidP="008763E2">
      <w:pPr>
        <w:pStyle w:val="BodyText17ptAbove"/>
      </w:pPr>
      <w:r>
        <w:t xml:space="preserve">The two key sources of the costs of HELP are the concessional interest rate charged on the loans and the doubtful debt cost of loans that are not expected to be repaid.  The underlying cash balance reflects the concessional interest rate cost through the </w:t>
      </w:r>
      <w:r w:rsidRPr="00A1599A">
        <w:t xml:space="preserve">shortfall in annual interest receipts </w:t>
      </w:r>
      <w:r>
        <w:t xml:space="preserve">on the loans </w:t>
      </w:r>
      <w:r w:rsidRPr="00A1599A">
        <w:t>relative to annual</w:t>
      </w:r>
      <w:r>
        <w:t xml:space="preserve"> public debt interest payments on borrowing used to finance the loans.  It also indirectly reflects the doubtful debt costs through increasing public debt interest costs on the outstanding loans that are unlikely to be repaid.</w:t>
      </w:r>
    </w:p>
    <w:p w:rsidR="00A462C1" w:rsidRDefault="00A462C1" w:rsidP="008763E2">
      <w:pPr>
        <w:pStyle w:val="BodyText"/>
      </w:pPr>
      <w:r w:rsidRPr="00FA1A03">
        <w:t xml:space="preserve">Doubtful debt costs associated with new loans are projected to increase from </w:t>
      </w:r>
      <w:r w:rsidR="00E531FC">
        <w:t>$1.9</w:t>
      </w:r>
      <w:r w:rsidRPr="00FA1A03">
        <w:t> billion (or</w:t>
      </w:r>
      <w:r>
        <w:t> </w:t>
      </w:r>
      <w:r w:rsidR="000634F8">
        <w:t>19.0</w:t>
      </w:r>
      <w:r>
        <w:t> </w:t>
      </w:r>
      <w:r w:rsidRPr="00FA1A03">
        <w:t>per</w:t>
      </w:r>
      <w:r>
        <w:t> </w:t>
      </w:r>
      <w:r w:rsidRPr="00FA1A03">
        <w:t xml:space="preserve">cent of new loans) in 2015–16 to </w:t>
      </w:r>
      <w:r>
        <w:t>$4.0</w:t>
      </w:r>
      <w:r w:rsidRPr="00FA1A03">
        <w:t xml:space="preserve"> billion (or 21.8 per cent of new loans) in 2025–26.  Concessional interest rate costs for new loans are projected to increase from around </w:t>
      </w:r>
      <w:r w:rsidRPr="009B6C23">
        <w:t>$1.0</w:t>
      </w:r>
      <w:r w:rsidRPr="00FA1A03">
        <w:t xml:space="preserve"> billion (or 10.2 per cent of new loans) in 2015–16 to </w:t>
      </w:r>
      <w:r>
        <w:t xml:space="preserve">$2.4 </w:t>
      </w:r>
      <w:r w:rsidRPr="00FA1A03">
        <w:t>billion (or 13</w:t>
      </w:r>
      <w:r w:rsidR="00E131EA">
        <w:t>.1 per cent of new loans) in 2025</w:t>
      </w:r>
      <w:r w:rsidRPr="00FA1A03">
        <w:t>–26.</w:t>
      </w:r>
    </w:p>
    <w:p w:rsidR="00B352F3" w:rsidRDefault="00B352F3" w:rsidP="005F3AFD">
      <w:pPr>
        <w:pStyle w:val="BodyText"/>
        <w:keepNext/>
        <w:keepLines/>
      </w:pPr>
      <w:r>
        <w:lastRenderedPageBreak/>
        <w:t>The full cost of HELP is included in the overall budget underlying cash balance but it is not separately identified in the budget papers.  The growing impact of HELP is largely due to policy decisions taken since 2008, particularly the introduction of the demand driven funding model and the announced policies to reduce government subsidies and to allow universities to set their own fees.</w:t>
      </w:r>
    </w:p>
    <w:p w:rsidR="00B352F3" w:rsidRDefault="00B352F3" w:rsidP="00B352F3">
      <w:pPr>
        <w:pStyle w:val="BodyText"/>
      </w:pPr>
      <w:r>
        <w:t>The financial consequences of these policy changes were not fully transparent because the published impact of measures affecting HELP are presented on a fiscal balance basis which does</w:t>
      </w:r>
      <w:r w:rsidR="00E131EA">
        <w:t xml:space="preserve"> not</w:t>
      </w:r>
      <w:r>
        <w:t xml:space="preserve"> include doubtful debt costs.  Also</w:t>
      </w:r>
      <w:r w:rsidR="00E131EA">
        <w:t>,</w:t>
      </w:r>
      <w:r>
        <w:t xml:space="preserve"> the published impact of HELP measures does not include the public debt interest cost which is accounted for globally in the budget.  As a result, the published costs of these measures only provide a partial picture of the budget impact of the policy decisions.</w:t>
      </w:r>
    </w:p>
    <w:p w:rsidR="00B352F3" w:rsidRPr="0095065C" w:rsidRDefault="00B352F3" w:rsidP="00B352F3">
      <w:pPr>
        <w:pStyle w:val="BodyText"/>
      </w:pPr>
      <w:r>
        <w:t xml:space="preserve">The annual cost of HELP on an underlying cash balance basis shown in </w:t>
      </w:r>
      <w:r w:rsidR="00BD6C89">
        <w:fldChar w:fldCharType="begin"/>
      </w:r>
      <w:r w:rsidR="00BD6C89">
        <w:instrText xml:space="preserve"> REF _Ref447264164 \h </w:instrText>
      </w:r>
      <w:r w:rsidR="00BD6C89">
        <w:fldChar w:fldCharType="separate"/>
      </w:r>
      <w:r w:rsidR="00CA5C2D" w:rsidRPr="009454A7">
        <w:t xml:space="preserve">Figure </w:t>
      </w:r>
      <w:r w:rsidR="00CA5C2D">
        <w:rPr>
          <w:noProof/>
        </w:rPr>
        <w:t>1</w:t>
      </w:r>
      <w:r w:rsidR="00BD6C89">
        <w:fldChar w:fldCharType="end"/>
      </w:r>
      <w:r>
        <w:t xml:space="preserve"> highlights the long term consequences of policy decisions relating to HELP loans.  It reinforces the importance of understanding the medium term costs of major program</w:t>
      </w:r>
      <w:r w:rsidR="00E131EA">
        <w:t>me</w:t>
      </w:r>
      <w:r>
        <w:t>s in considering policy priorities and fiscal sustainability.</w:t>
      </w:r>
    </w:p>
    <w:p w:rsidR="00F37B0C" w:rsidRDefault="00F37B0C" w:rsidP="00F37B0C">
      <w:pPr>
        <w:pStyle w:val="BodyText"/>
      </w:pPr>
      <w:r>
        <w:t xml:space="preserve">HELP loans also increase the size of net debt because the borrowing used to fund these loans exceeds the value of loans on the balance sheet, which is reduced to account for the concessional interest rate and the provision for doubtful debt.  Net debt attributable to the HELP portfolio is projected to rise from </w:t>
      </w:r>
      <w:r w:rsidR="00E531FC">
        <w:t>$13.4</w:t>
      </w:r>
      <w:r w:rsidR="00BD6C89">
        <w:t> </w:t>
      </w:r>
      <w:r>
        <w:t>billion in 2015</w:t>
      </w:r>
      <w:r w:rsidR="00FD7E0A">
        <w:t>–</w:t>
      </w:r>
      <w:r>
        <w:t xml:space="preserve">16 to </w:t>
      </w:r>
      <w:r w:rsidR="00E531FC">
        <w:t>$48.1</w:t>
      </w:r>
      <w:r w:rsidR="00BD6C89">
        <w:t> </w:t>
      </w:r>
      <w:r>
        <w:t>billion in 2025</w:t>
      </w:r>
      <w:r w:rsidR="00FD7E0A">
        <w:t>–</w:t>
      </w:r>
      <w:r>
        <w:t xml:space="preserve">26.  This will see the proportion of net debt attributable to HELP increase from </w:t>
      </w:r>
      <w:r w:rsidR="00E531FC">
        <w:t>4.8</w:t>
      </w:r>
      <w:r w:rsidR="00BD6C89">
        <w:t> </w:t>
      </w:r>
      <w:r w:rsidR="009454A7">
        <w:t>per</w:t>
      </w:r>
      <w:r w:rsidR="00BD6C89">
        <w:t> </w:t>
      </w:r>
      <w:r w:rsidR="009454A7">
        <w:t>cent in 2015–</w:t>
      </w:r>
      <w:r>
        <w:t xml:space="preserve">16 to </w:t>
      </w:r>
      <w:r w:rsidR="00E531FC">
        <w:t>18.3</w:t>
      </w:r>
      <w:r>
        <w:t xml:space="preserve"> per cent in 2025</w:t>
      </w:r>
      <w:r w:rsidR="009454A7">
        <w:t>–26 (</w:t>
      </w:r>
      <w:r w:rsidR="00BD6C89">
        <w:fldChar w:fldCharType="begin"/>
      </w:r>
      <w:r w:rsidR="00BD6C89">
        <w:instrText xml:space="preserve"> REF _Ref447264419 \h </w:instrText>
      </w:r>
      <w:r w:rsidR="00BD6C89">
        <w:fldChar w:fldCharType="separate"/>
      </w:r>
      <w:r w:rsidR="00CA5C2D" w:rsidRPr="009454A7">
        <w:t xml:space="preserve">Figure </w:t>
      </w:r>
      <w:r w:rsidR="00CA5C2D">
        <w:rPr>
          <w:noProof/>
        </w:rPr>
        <w:t>2</w:t>
      </w:r>
      <w:r w:rsidR="00BD6C89">
        <w:fldChar w:fldCharType="end"/>
      </w:r>
      <w:r>
        <w:t>).</w:t>
      </w:r>
    </w:p>
    <w:p w:rsidR="009454A7" w:rsidRDefault="002F42D3" w:rsidP="009454A7">
      <w:pPr>
        <w:pStyle w:val="Caption"/>
      </w:pPr>
      <w:bookmarkStart w:id="19" w:name="_Ref447264419"/>
      <w:r w:rsidRPr="009A19BE">
        <w:rPr>
          <w:noProof/>
          <w:color w:val="FFFFFF" w:themeColor="background1"/>
          <w:lang w:eastAsia="en-AU"/>
        </w:rPr>
        <w:drawing>
          <wp:anchor distT="0" distB="0" distL="114300" distR="114300" simplePos="0" relativeHeight="251659264" behindDoc="0" locked="0" layoutInCell="1" allowOverlap="1" wp14:anchorId="0DFE7AB9" wp14:editId="76B6C340">
            <wp:simplePos x="0" y="0"/>
            <wp:positionH relativeFrom="column">
              <wp:posOffset>-7620</wp:posOffset>
            </wp:positionH>
            <wp:positionV relativeFrom="paragraph">
              <wp:posOffset>401955</wp:posOffset>
            </wp:positionV>
            <wp:extent cx="5322570" cy="2749550"/>
            <wp:effectExtent l="0" t="0" r="0" b="0"/>
            <wp:wrapNone/>
            <wp:docPr id="39" name="Picture 39" descr="Decorative"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22570" cy="2749550"/>
                    </a:xfrm>
                    <a:prstGeom prst="rect">
                      <a:avLst/>
                    </a:prstGeom>
                    <a:noFill/>
                  </pic:spPr>
                </pic:pic>
              </a:graphicData>
            </a:graphic>
            <wp14:sizeRelH relativeFrom="page">
              <wp14:pctWidth>0</wp14:pctWidth>
            </wp14:sizeRelH>
            <wp14:sizeRelV relativeFrom="page">
              <wp14:pctHeight>0</wp14:pctHeight>
            </wp14:sizeRelV>
          </wp:anchor>
        </w:drawing>
      </w:r>
      <w:r w:rsidR="009454A7" w:rsidRPr="009454A7">
        <w:t xml:space="preserve">Figure </w:t>
      </w:r>
      <w:fldSimple w:instr=" SEQ Figure \* ARABIC \s 1 ">
        <w:r w:rsidR="00CA5C2D">
          <w:rPr>
            <w:noProof/>
          </w:rPr>
          <w:t>2</w:t>
        </w:r>
      </w:fldSimple>
      <w:bookmarkEnd w:id="19"/>
      <w:r w:rsidR="009454A7" w:rsidRPr="009454A7">
        <w:t xml:space="preserve">: </w:t>
      </w:r>
      <w:r w:rsidR="009454A7">
        <w:t>HELP loan portfolio – impact on net debt</w:t>
      </w:r>
    </w:p>
    <w:tbl>
      <w:tblPr>
        <w:tblStyle w:val="TableGrid"/>
        <w:tblW w:w="2648" w:type="dxa"/>
        <w:tblLook w:val="0680" w:firstRow="0" w:lastRow="0" w:firstColumn="1" w:lastColumn="0" w:noHBand="1" w:noVBand="1"/>
      </w:tblPr>
      <w:tblGrid>
        <w:gridCol w:w="534"/>
        <w:gridCol w:w="955"/>
        <w:gridCol w:w="1207"/>
      </w:tblGrid>
      <w:tr w:rsidR="009A1420" w:rsidRPr="009A1420" w:rsidTr="009A1420">
        <w:tc>
          <w:tcPr>
            <w:cnfStyle w:val="001000000000" w:firstRow="0" w:lastRow="0" w:firstColumn="1" w:lastColumn="0" w:oddVBand="0" w:evenVBand="0" w:oddHBand="0" w:evenHBand="0" w:firstRowFirstColumn="0" w:firstRowLastColumn="0" w:lastRowFirstColumn="0" w:lastRowLastColumn="0"/>
            <w:tcW w:w="518" w:type="dxa"/>
            <w:noWrap/>
            <w:hideMark/>
          </w:tcPr>
          <w:p w:rsidR="009A1420" w:rsidRPr="009A19BE" w:rsidRDefault="009A1420" w:rsidP="009A1420">
            <w:pPr>
              <w:pStyle w:val="TableText"/>
              <w:spacing w:before="0" w:after="0" w:line="240" w:lineRule="auto"/>
              <w:ind w:left="57" w:right="57"/>
              <w:jc w:val="both"/>
              <w:rPr>
                <w:color w:val="FFFFFF" w:themeColor="background1"/>
                <w:sz w:val="8"/>
                <w:szCs w:val="16"/>
              </w:rPr>
            </w:pPr>
            <w:r w:rsidRPr="009A19BE">
              <w:rPr>
                <w:color w:val="FFFFFF" w:themeColor="background1"/>
                <w:sz w:val="8"/>
                <w:szCs w:val="16"/>
              </w:rPr>
              <w:t>Year</w:t>
            </w:r>
          </w:p>
        </w:tc>
        <w:tc>
          <w:tcPr>
            <w:tcW w:w="939" w:type="dxa"/>
            <w:hideMark/>
          </w:tcPr>
          <w:p w:rsidR="009A1420" w:rsidRPr="009A19BE" w:rsidRDefault="009A1420" w:rsidP="009A1420">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9A19BE">
              <w:rPr>
                <w:color w:val="FFFFFF" w:themeColor="background1"/>
                <w:sz w:val="8"/>
                <w:szCs w:val="16"/>
              </w:rPr>
              <w:t>Net debt impact of HELP</w:t>
            </w:r>
          </w:p>
        </w:tc>
        <w:tc>
          <w:tcPr>
            <w:tcW w:w="1191" w:type="dxa"/>
            <w:hideMark/>
          </w:tcPr>
          <w:p w:rsidR="009A1420" w:rsidRPr="009A19BE" w:rsidRDefault="009A1420" w:rsidP="009A1420">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9A19BE">
              <w:rPr>
                <w:color w:val="FFFFFF" w:themeColor="background1"/>
                <w:sz w:val="8"/>
                <w:szCs w:val="16"/>
              </w:rPr>
              <w:t>Net debt not attributable to HELP</w:t>
            </w:r>
          </w:p>
        </w:tc>
      </w:tr>
      <w:tr w:rsidR="009A1420" w:rsidRPr="009A1420" w:rsidTr="009A1420">
        <w:tc>
          <w:tcPr>
            <w:cnfStyle w:val="001000000000" w:firstRow="0" w:lastRow="0" w:firstColumn="1" w:lastColumn="0" w:oddVBand="0" w:evenVBand="0" w:oddHBand="0" w:evenHBand="0" w:firstRowFirstColumn="0" w:firstRowLastColumn="0" w:lastRowFirstColumn="0" w:lastRowLastColumn="0"/>
            <w:tcW w:w="518" w:type="dxa"/>
            <w:noWrap/>
            <w:hideMark/>
          </w:tcPr>
          <w:p w:rsidR="009A1420" w:rsidRPr="009A19BE" w:rsidRDefault="009A1420" w:rsidP="009A1420">
            <w:pPr>
              <w:pStyle w:val="TableText"/>
              <w:spacing w:before="0" w:after="0" w:line="240" w:lineRule="auto"/>
              <w:ind w:left="57" w:right="57"/>
              <w:jc w:val="both"/>
              <w:rPr>
                <w:color w:val="FFFFFF" w:themeColor="background1"/>
                <w:sz w:val="8"/>
                <w:szCs w:val="16"/>
              </w:rPr>
            </w:pPr>
            <w:r w:rsidRPr="009A19BE">
              <w:rPr>
                <w:color w:val="FFFFFF" w:themeColor="background1"/>
                <w:sz w:val="8"/>
                <w:szCs w:val="16"/>
              </w:rPr>
              <w:t>2010–11</w:t>
            </w:r>
          </w:p>
        </w:tc>
        <w:tc>
          <w:tcPr>
            <w:tcW w:w="939" w:type="dxa"/>
            <w:noWrap/>
            <w:hideMark/>
          </w:tcPr>
          <w:p w:rsidR="009A1420" w:rsidRPr="009A19BE" w:rsidRDefault="009A1420" w:rsidP="009A1420">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9A19BE">
              <w:rPr>
                <w:color w:val="FFFFFF" w:themeColor="background1"/>
                <w:sz w:val="8"/>
                <w:szCs w:val="16"/>
              </w:rPr>
              <w:t>6.9</w:t>
            </w:r>
          </w:p>
        </w:tc>
        <w:tc>
          <w:tcPr>
            <w:tcW w:w="1191" w:type="dxa"/>
            <w:noWrap/>
            <w:hideMark/>
          </w:tcPr>
          <w:p w:rsidR="009A1420" w:rsidRPr="009A19BE" w:rsidRDefault="009A1420" w:rsidP="009A1420">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9A19BE">
              <w:rPr>
                <w:color w:val="FFFFFF" w:themeColor="background1"/>
                <w:sz w:val="8"/>
                <w:szCs w:val="16"/>
              </w:rPr>
              <w:t>77.66</w:t>
            </w:r>
          </w:p>
        </w:tc>
      </w:tr>
      <w:tr w:rsidR="009A1420" w:rsidRPr="009A1420" w:rsidTr="009A1420">
        <w:tc>
          <w:tcPr>
            <w:cnfStyle w:val="001000000000" w:firstRow="0" w:lastRow="0" w:firstColumn="1" w:lastColumn="0" w:oddVBand="0" w:evenVBand="0" w:oddHBand="0" w:evenHBand="0" w:firstRowFirstColumn="0" w:firstRowLastColumn="0" w:lastRowFirstColumn="0" w:lastRowLastColumn="0"/>
            <w:tcW w:w="518" w:type="dxa"/>
            <w:noWrap/>
            <w:hideMark/>
          </w:tcPr>
          <w:p w:rsidR="009A1420" w:rsidRPr="009A19BE" w:rsidRDefault="009A1420" w:rsidP="009A1420">
            <w:pPr>
              <w:pStyle w:val="TableText"/>
              <w:spacing w:before="0" w:after="0" w:line="240" w:lineRule="auto"/>
              <w:ind w:left="57" w:right="57"/>
              <w:jc w:val="both"/>
              <w:rPr>
                <w:color w:val="FFFFFF" w:themeColor="background1"/>
                <w:sz w:val="8"/>
                <w:szCs w:val="16"/>
              </w:rPr>
            </w:pPr>
            <w:r w:rsidRPr="009A19BE">
              <w:rPr>
                <w:color w:val="FFFFFF" w:themeColor="background1"/>
                <w:sz w:val="8"/>
                <w:szCs w:val="16"/>
              </w:rPr>
              <w:t>2011–12</w:t>
            </w:r>
          </w:p>
        </w:tc>
        <w:tc>
          <w:tcPr>
            <w:tcW w:w="939" w:type="dxa"/>
            <w:noWrap/>
            <w:hideMark/>
          </w:tcPr>
          <w:p w:rsidR="009A1420" w:rsidRPr="009A19BE" w:rsidRDefault="009A1420" w:rsidP="009A1420">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9A19BE">
              <w:rPr>
                <w:color w:val="FFFFFF" w:themeColor="background1"/>
                <w:sz w:val="8"/>
                <w:szCs w:val="16"/>
              </w:rPr>
              <w:t>6.3</w:t>
            </w:r>
          </w:p>
        </w:tc>
        <w:tc>
          <w:tcPr>
            <w:tcW w:w="1191" w:type="dxa"/>
            <w:noWrap/>
            <w:hideMark/>
          </w:tcPr>
          <w:p w:rsidR="009A1420" w:rsidRPr="009A19BE" w:rsidRDefault="009A1420" w:rsidP="009A1420">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9A19BE">
              <w:rPr>
                <w:color w:val="FFFFFF" w:themeColor="background1"/>
                <w:sz w:val="8"/>
                <w:szCs w:val="16"/>
              </w:rPr>
              <w:t>141.02</w:t>
            </w:r>
          </w:p>
        </w:tc>
      </w:tr>
      <w:tr w:rsidR="009A1420" w:rsidRPr="009A1420" w:rsidTr="009A1420">
        <w:tc>
          <w:tcPr>
            <w:cnfStyle w:val="001000000000" w:firstRow="0" w:lastRow="0" w:firstColumn="1" w:lastColumn="0" w:oddVBand="0" w:evenVBand="0" w:oddHBand="0" w:evenHBand="0" w:firstRowFirstColumn="0" w:firstRowLastColumn="0" w:lastRowFirstColumn="0" w:lastRowLastColumn="0"/>
            <w:tcW w:w="518" w:type="dxa"/>
            <w:noWrap/>
            <w:hideMark/>
          </w:tcPr>
          <w:p w:rsidR="009A1420" w:rsidRPr="009A19BE" w:rsidRDefault="009A1420" w:rsidP="009A1420">
            <w:pPr>
              <w:pStyle w:val="TableText"/>
              <w:spacing w:before="0" w:after="0" w:line="240" w:lineRule="auto"/>
              <w:ind w:left="57" w:right="57"/>
              <w:jc w:val="both"/>
              <w:rPr>
                <w:color w:val="FFFFFF" w:themeColor="background1"/>
                <w:sz w:val="8"/>
                <w:szCs w:val="16"/>
              </w:rPr>
            </w:pPr>
            <w:r w:rsidRPr="009A19BE">
              <w:rPr>
                <w:color w:val="FFFFFF" w:themeColor="background1"/>
                <w:sz w:val="8"/>
                <w:szCs w:val="16"/>
              </w:rPr>
              <w:t>2012–13</w:t>
            </w:r>
          </w:p>
        </w:tc>
        <w:tc>
          <w:tcPr>
            <w:tcW w:w="939" w:type="dxa"/>
            <w:noWrap/>
            <w:hideMark/>
          </w:tcPr>
          <w:p w:rsidR="009A1420" w:rsidRPr="009A19BE" w:rsidRDefault="009A1420" w:rsidP="009A1420">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9A19BE">
              <w:rPr>
                <w:color w:val="FFFFFF" w:themeColor="background1"/>
                <w:sz w:val="8"/>
                <w:szCs w:val="16"/>
              </w:rPr>
              <w:t>8.1</w:t>
            </w:r>
          </w:p>
        </w:tc>
        <w:tc>
          <w:tcPr>
            <w:tcW w:w="1191" w:type="dxa"/>
            <w:noWrap/>
            <w:hideMark/>
          </w:tcPr>
          <w:p w:rsidR="009A1420" w:rsidRPr="009A19BE" w:rsidRDefault="009A1420" w:rsidP="009A1420">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9A19BE">
              <w:rPr>
                <w:color w:val="FFFFFF" w:themeColor="background1"/>
                <w:sz w:val="8"/>
                <w:szCs w:val="16"/>
              </w:rPr>
              <w:t>144.88</w:t>
            </w:r>
          </w:p>
        </w:tc>
      </w:tr>
      <w:tr w:rsidR="009A1420" w:rsidRPr="009A1420" w:rsidTr="009A1420">
        <w:tc>
          <w:tcPr>
            <w:cnfStyle w:val="001000000000" w:firstRow="0" w:lastRow="0" w:firstColumn="1" w:lastColumn="0" w:oddVBand="0" w:evenVBand="0" w:oddHBand="0" w:evenHBand="0" w:firstRowFirstColumn="0" w:firstRowLastColumn="0" w:lastRowFirstColumn="0" w:lastRowLastColumn="0"/>
            <w:tcW w:w="518" w:type="dxa"/>
            <w:noWrap/>
            <w:hideMark/>
          </w:tcPr>
          <w:p w:rsidR="009A1420" w:rsidRPr="009A19BE" w:rsidRDefault="009A1420" w:rsidP="009A1420">
            <w:pPr>
              <w:pStyle w:val="TableText"/>
              <w:spacing w:before="0" w:after="0" w:line="240" w:lineRule="auto"/>
              <w:ind w:left="57" w:right="57"/>
              <w:jc w:val="both"/>
              <w:rPr>
                <w:color w:val="FFFFFF" w:themeColor="background1"/>
                <w:sz w:val="8"/>
                <w:szCs w:val="16"/>
              </w:rPr>
            </w:pPr>
            <w:r w:rsidRPr="009A19BE">
              <w:rPr>
                <w:color w:val="FFFFFF" w:themeColor="background1"/>
                <w:sz w:val="8"/>
                <w:szCs w:val="16"/>
              </w:rPr>
              <w:t>2013–14</w:t>
            </w:r>
          </w:p>
        </w:tc>
        <w:tc>
          <w:tcPr>
            <w:tcW w:w="939" w:type="dxa"/>
            <w:noWrap/>
            <w:hideMark/>
          </w:tcPr>
          <w:p w:rsidR="009A1420" w:rsidRPr="009A19BE" w:rsidRDefault="009A1420" w:rsidP="009A1420">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9A19BE">
              <w:rPr>
                <w:color w:val="FFFFFF" w:themeColor="background1"/>
                <w:sz w:val="8"/>
                <w:szCs w:val="16"/>
              </w:rPr>
              <w:t>7.9</w:t>
            </w:r>
          </w:p>
        </w:tc>
        <w:tc>
          <w:tcPr>
            <w:tcW w:w="1191" w:type="dxa"/>
            <w:noWrap/>
            <w:hideMark/>
          </w:tcPr>
          <w:p w:rsidR="009A1420" w:rsidRPr="009A19BE" w:rsidRDefault="009A1420" w:rsidP="009A1420">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9A19BE">
              <w:rPr>
                <w:color w:val="FFFFFF" w:themeColor="background1"/>
                <w:sz w:val="8"/>
                <w:szCs w:val="16"/>
              </w:rPr>
              <w:t>194.60</w:t>
            </w:r>
          </w:p>
        </w:tc>
      </w:tr>
      <w:tr w:rsidR="009A1420" w:rsidRPr="009A1420" w:rsidTr="009A1420">
        <w:tc>
          <w:tcPr>
            <w:cnfStyle w:val="001000000000" w:firstRow="0" w:lastRow="0" w:firstColumn="1" w:lastColumn="0" w:oddVBand="0" w:evenVBand="0" w:oddHBand="0" w:evenHBand="0" w:firstRowFirstColumn="0" w:firstRowLastColumn="0" w:lastRowFirstColumn="0" w:lastRowLastColumn="0"/>
            <w:tcW w:w="518" w:type="dxa"/>
            <w:noWrap/>
            <w:hideMark/>
          </w:tcPr>
          <w:p w:rsidR="009A1420" w:rsidRPr="009A19BE" w:rsidRDefault="009A1420" w:rsidP="009A1420">
            <w:pPr>
              <w:pStyle w:val="TableText"/>
              <w:spacing w:before="0" w:after="0" w:line="240" w:lineRule="auto"/>
              <w:ind w:left="57" w:right="57"/>
              <w:jc w:val="both"/>
              <w:rPr>
                <w:color w:val="FFFFFF" w:themeColor="background1"/>
                <w:sz w:val="8"/>
                <w:szCs w:val="16"/>
              </w:rPr>
            </w:pPr>
            <w:r w:rsidRPr="009A19BE">
              <w:rPr>
                <w:color w:val="FFFFFF" w:themeColor="background1"/>
                <w:sz w:val="8"/>
                <w:szCs w:val="16"/>
              </w:rPr>
              <w:t>2014–15</w:t>
            </w:r>
          </w:p>
        </w:tc>
        <w:tc>
          <w:tcPr>
            <w:tcW w:w="939" w:type="dxa"/>
            <w:noWrap/>
            <w:hideMark/>
          </w:tcPr>
          <w:p w:rsidR="009A1420" w:rsidRPr="009A19BE" w:rsidRDefault="009A1420" w:rsidP="009A1420">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9A19BE">
              <w:rPr>
                <w:color w:val="FFFFFF" w:themeColor="background1"/>
                <w:sz w:val="8"/>
                <w:szCs w:val="16"/>
              </w:rPr>
              <w:t>11.1</w:t>
            </w:r>
          </w:p>
        </w:tc>
        <w:tc>
          <w:tcPr>
            <w:tcW w:w="1191" w:type="dxa"/>
            <w:noWrap/>
            <w:hideMark/>
          </w:tcPr>
          <w:p w:rsidR="009A1420" w:rsidRPr="009A19BE" w:rsidRDefault="009A1420" w:rsidP="009A1420">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9A19BE">
              <w:rPr>
                <w:color w:val="FFFFFF" w:themeColor="background1"/>
                <w:sz w:val="8"/>
                <w:szCs w:val="16"/>
              </w:rPr>
              <w:t>227.58</w:t>
            </w:r>
          </w:p>
        </w:tc>
      </w:tr>
      <w:tr w:rsidR="009A1420" w:rsidRPr="009A1420" w:rsidTr="009A1420">
        <w:tc>
          <w:tcPr>
            <w:cnfStyle w:val="001000000000" w:firstRow="0" w:lastRow="0" w:firstColumn="1" w:lastColumn="0" w:oddVBand="0" w:evenVBand="0" w:oddHBand="0" w:evenHBand="0" w:firstRowFirstColumn="0" w:firstRowLastColumn="0" w:lastRowFirstColumn="0" w:lastRowLastColumn="0"/>
            <w:tcW w:w="518" w:type="dxa"/>
            <w:noWrap/>
            <w:hideMark/>
          </w:tcPr>
          <w:p w:rsidR="009A1420" w:rsidRPr="009A19BE" w:rsidRDefault="009A1420" w:rsidP="009A1420">
            <w:pPr>
              <w:pStyle w:val="TableText"/>
              <w:spacing w:before="0" w:after="0" w:line="240" w:lineRule="auto"/>
              <w:ind w:left="57" w:right="57"/>
              <w:jc w:val="both"/>
              <w:rPr>
                <w:color w:val="FFFFFF" w:themeColor="background1"/>
                <w:sz w:val="8"/>
                <w:szCs w:val="16"/>
              </w:rPr>
            </w:pPr>
            <w:r w:rsidRPr="009A19BE">
              <w:rPr>
                <w:color w:val="FFFFFF" w:themeColor="background1"/>
                <w:sz w:val="8"/>
                <w:szCs w:val="16"/>
              </w:rPr>
              <w:t>2015–16</w:t>
            </w:r>
          </w:p>
        </w:tc>
        <w:tc>
          <w:tcPr>
            <w:tcW w:w="939" w:type="dxa"/>
            <w:noWrap/>
            <w:hideMark/>
          </w:tcPr>
          <w:p w:rsidR="009A1420" w:rsidRPr="009A19BE" w:rsidRDefault="009A1420" w:rsidP="009A1420">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9A19BE">
              <w:rPr>
                <w:color w:val="FFFFFF" w:themeColor="background1"/>
                <w:sz w:val="8"/>
                <w:szCs w:val="16"/>
              </w:rPr>
              <w:t>13.4</w:t>
            </w:r>
          </w:p>
        </w:tc>
        <w:tc>
          <w:tcPr>
            <w:tcW w:w="1191" w:type="dxa"/>
            <w:noWrap/>
            <w:hideMark/>
          </w:tcPr>
          <w:p w:rsidR="009A1420" w:rsidRPr="009A19BE" w:rsidRDefault="009A1420" w:rsidP="009A1420">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9A19BE">
              <w:rPr>
                <w:color w:val="FFFFFF" w:themeColor="background1"/>
                <w:sz w:val="8"/>
                <w:szCs w:val="16"/>
              </w:rPr>
              <w:t>265.33</w:t>
            </w:r>
          </w:p>
        </w:tc>
      </w:tr>
      <w:tr w:rsidR="009A1420" w:rsidRPr="009A1420" w:rsidTr="009A1420">
        <w:tc>
          <w:tcPr>
            <w:cnfStyle w:val="001000000000" w:firstRow="0" w:lastRow="0" w:firstColumn="1" w:lastColumn="0" w:oddVBand="0" w:evenVBand="0" w:oddHBand="0" w:evenHBand="0" w:firstRowFirstColumn="0" w:firstRowLastColumn="0" w:lastRowFirstColumn="0" w:lastRowLastColumn="0"/>
            <w:tcW w:w="518" w:type="dxa"/>
            <w:noWrap/>
            <w:hideMark/>
          </w:tcPr>
          <w:p w:rsidR="009A1420" w:rsidRPr="009A19BE" w:rsidRDefault="009A1420" w:rsidP="009A1420">
            <w:pPr>
              <w:pStyle w:val="TableText"/>
              <w:spacing w:before="0" w:after="0" w:line="240" w:lineRule="auto"/>
              <w:ind w:left="57" w:right="57"/>
              <w:jc w:val="both"/>
              <w:rPr>
                <w:color w:val="FFFFFF" w:themeColor="background1"/>
                <w:sz w:val="8"/>
                <w:szCs w:val="16"/>
              </w:rPr>
            </w:pPr>
            <w:r w:rsidRPr="009A19BE">
              <w:rPr>
                <w:color w:val="FFFFFF" w:themeColor="background1"/>
                <w:sz w:val="8"/>
                <w:szCs w:val="16"/>
              </w:rPr>
              <w:t>2016–17</w:t>
            </w:r>
          </w:p>
        </w:tc>
        <w:tc>
          <w:tcPr>
            <w:tcW w:w="939" w:type="dxa"/>
            <w:noWrap/>
            <w:hideMark/>
          </w:tcPr>
          <w:p w:rsidR="009A1420" w:rsidRPr="009A19BE" w:rsidRDefault="009A1420" w:rsidP="009A1420">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9A19BE">
              <w:rPr>
                <w:color w:val="FFFFFF" w:themeColor="background1"/>
                <w:sz w:val="8"/>
                <w:szCs w:val="16"/>
              </w:rPr>
              <w:t>16.1</w:t>
            </w:r>
          </w:p>
        </w:tc>
        <w:tc>
          <w:tcPr>
            <w:tcW w:w="1191" w:type="dxa"/>
            <w:noWrap/>
            <w:hideMark/>
          </w:tcPr>
          <w:p w:rsidR="009A1420" w:rsidRPr="009A19BE" w:rsidRDefault="009A1420" w:rsidP="009A1420">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9A19BE">
              <w:rPr>
                <w:color w:val="FFFFFF" w:themeColor="background1"/>
                <w:sz w:val="8"/>
                <w:szCs w:val="16"/>
              </w:rPr>
              <w:t>300.43</w:t>
            </w:r>
          </w:p>
        </w:tc>
      </w:tr>
      <w:tr w:rsidR="009A1420" w:rsidRPr="009A1420" w:rsidTr="009A1420">
        <w:tc>
          <w:tcPr>
            <w:cnfStyle w:val="001000000000" w:firstRow="0" w:lastRow="0" w:firstColumn="1" w:lastColumn="0" w:oddVBand="0" w:evenVBand="0" w:oddHBand="0" w:evenHBand="0" w:firstRowFirstColumn="0" w:firstRowLastColumn="0" w:lastRowFirstColumn="0" w:lastRowLastColumn="0"/>
            <w:tcW w:w="518" w:type="dxa"/>
            <w:noWrap/>
            <w:hideMark/>
          </w:tcPr>
          <w:p w:rsidR="009A1420" w:rsidRPr="009A19BE" w:rsidRDefault="009A1420" w:rsidP="009A1420">
            <w:pPr>
              <w:pStyle w:val="TableText"/>
              <w:spacing w:before="0" w:after="0" w:line="240" w:lineRule="auto"/>
              <w:ind w:left="57" w:right="57"/>
              <w:jc w:val="both"/>
              <w:rPr>
                <w:color w:val="FFFFFF" w:themeColor="background1"/>
                <w:sz w:val="8"/>
                <w:szCs w:val="16"/>
              </w:rPr>
            </w:pPr>
            <w:r w:rsidRPr="009A19BE">
              <w:rPr>
                <w:color w:val="FFFFFF" w:themeColor="background1"/>
                <w:sz w:val="8"/>
                <w:szCs w:val="16"/>
              </w:rPr>
              <w:t>2017–18</w:t>
            </w:r>
          </w:p>
        </w:tc>
        <w:tc>
          <w:tcPr>
            <w:tcW w:w="939" w:type="dxa"/>
            <w:noWrap/>
            <w:hideMark/>
          </w:tcPr>
          <w:p w:rsidR="009A1420" w:rsidRPr="009A19BE" w:rsidRDefault="009A1420" w:rsidP="009A1420">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9A19BE">
              <w:rPr>
                <w:color w:val="FFFFFF" w:themeColor="background1"/>
                <w:sz w:val="8"/>
                <w:szCs w:val="16"/>
              </w:rPr>
              <w:t>19.3</w:t>
            </w:r>
          </w:p>
        </w:tc>
        <w:tc>
          <w:tcPr>
            <w:tcW w:w="1191" w:type="dxa"/>
            <w:noWrap/>
            <w:hideMark/>
          </w:tcPr>
          <w:p w:rsidR="009A1420" w:rsidRPr="009A19BE" w:rsidRDefault="009A1420" w:rsidP="009A1420">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9A19BE">
              <w:rPr>
                <w:color w:val="FFFFFF" w:themeColor="background1"/>
                <w:sz w:val="8"/>
                <w:szCs w:val="16"/>
              </w:rPr>
              <w:t>317.10</w:t>
            </w:r>
          </w:p>
        </w:tc>
      </w:tr>
      <w:tr w:rsidR="009A1420" w:rsidRPr="009A1420" w:rsidTr="009A1420">
        <w:tc>
          <w:tcPr>
            <w:cnfStyle w:val="001000000000" w:firstRow="0" w:lastRow="0" w:firstColumn="1" w:lastColumn="0" w:oddVBand="0" w:evenVBand="0" w:oddHBand="0" w:evenHBand="0" w:firstRowFirstColumn="0" w:firstRowLastColumn="0" w:lastRowFirstColumn="0" w:lastRowLastColumn="0"/>
            <w:tcW w:w="518" w:type="dxa"/>
            <w:noWrap/>
            <w:hideMark/>
          </w:tcPr>
          <w:p w:rsidR="009A1420" w:rsidRPr="009A19BE" w:rsidRDefault="009A1420" w:rsidP="009A1420">
            <w:pPr>
              <w:pStyle w:val="TableText"/>
              <w:spacing w:before="0" w:after="0" w:line="240" w:lineRule="auto"/>
              <w:ind w:left="57" w:right="57"/>
              <w:jc w:val="both"/>
              <w:rPr>
                <w:color w:val="FFFFFF" w:themeColor="background1"/>
                <w:sz w:val="8"/>
                <w:szCs w:val="16"/>
              </w:rPr>
            </w:pPr>
            <w:r w:rsidRPr="009A19BE">
              <w:rPr>
                <w:color w:val="FFFFFF" w:themeColor="background1"/>
                <w:sz w:val="8"/>
                <w:szCs w:val="16"/>
              </w:rPr>
              <w:t>2018–19</w:t>
            </w:r>
          </w:p>
        </w:tc>
        <w:tc>
          <w:tcPr>
            <w:tcW w:w="939" w:type="dxa"/>
            <w:noWrap/>
            <w:hideMark/>
          </w:tcPr>
          <w:p w:rsidR="009A1420" w:rsidRPr="009A19BE" w:rsidRDefault="009A1420" w:rsidP="009A1420">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9A19BE">
              <w:rPr>
                <w:color w:val="FFFFFF" w:themeColor="background1"/>
                <w:sz w:val="8"/>
                <w:szCs w:val="16"/>
              </w:rPr>
              <w:t>22.7</w:t>
            </w:r>
          </w:p>
        </w:tc>
        <w:tc>
          <w:tcPr>
            <w:tcW w:w="1191" w:type="dxa"/>
            <w:noWrap/>
            <w:hideMark/>
          </w:tcPr>
          <w:p w:rsidR="009A1420" w:rsidRPr="009A19BE" w:rsidRDefault="009A1420" w:rsidP="009A1420">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9A19BE">
              <w:rPr>
                <w:color w:val="FFFFFF" w:themeColor="background1"/>
                <w:sz w:val="8"/>
                <w:szCs w:val="16"/>
              </w:rPr>
              <w:t>323.86</w:t>
            </w:r>
          </w:p>
        </w:tc>
      </w:tr>
      <w:tr w:rsidR="009A1420" w:rsidRPr="009A1420" w:rsidTr="009A1420">
        <w:tc>
          <w:tcPr>
            <w:cnfStyle w:val="001000000000" w:firstRow="0" w:lastRow="0" w:firstColumn="1" w:lastColumn="0" w:oddVBand="0" w:evenVBand="0" w:oddHBand="0" w:evenHBand="0" w:firstRowFirstColumn="0" w:firstRowLastColumn="0" w:lastRowFirstColumn="0" w:lastRowLastColumn="0"/>
            <w:tcW w:w="518" w:type="dxa"/>
            <w:noWrap/>
            <w:hideMark/>
          </w:tcPr>
          <w:p w:rsidR="009A1420" w:rsidRPr="009A19BE" w:rsidRDefault="009A1420" w:rsidP="009A1420">
            <w:pPr>
              <w:pStyle w:val="TableText"/>
              <w:spacing w:before="0" w:after="0" w:line="240" w:lineRule="auto"/>
              <w:ind w:left="57" w:right="57"/>
              <w:jc w:val="both"/>
              <w:rPr>
                <w:color w:val="FFFFFF" w:themeColor="background1"/>
                <w:sz w:val="8"/>
                <w:szCs w:val="16"/>
              </w:rPr>
            </w:pPr>
            <w:r w:rsidRPr="009A19BE">
              <w:rPr>
                <w:color w:val="FFFFFF" w:themeColor="background1"/>
                <w:sz w:val="8"/>
                <w:szCs w:val="16"/>
              </w:rPr>
              <w:t>2019–20</w:t>
            </w:r>
          </w:p>
        </w:tc>
        <w:tc>
          <w:tcPr>
            <w:tcW w:w="939" w:type="dxa"/>
            <w:noWrap/>
            <w:hideMark/>
          </w:tcPr>
          <w:p w:rsidR="009A1420" w:rsidRPr="009A19BE" w:rsidRDefault="009A1420" w:rsidP="009A1420">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9A19BE">
              <w:rPr>
                <w:color w:val="FFFFFF" w:themeColor="background1"/>
                <w:sz w:val="8"/>
                <w:szCs w:val="16"/>
              </w:rPr>
              <w:t>26.2</w:t>
            </w:r>
          </w:p>
        </w:tc>
        <w:tc>
          <w:tcPr>
            <w:tcW w:w="1191" w:type="dxa"/>
            <w:noWrap/>
            <w:hideMark/>
          </w:tcPr>
          <w:p w:rsidR="009A1420" w:rsidRPr="009A19BE" w:rsidRDefault="009A1420" w:rsidP="009A1420">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9A19BE">
              <w:rPr>
                <w:color w:val="FFFFFF" w:themeColor="background1"/>
                <w:sz w:val="8"/>
                <w:szCs w:val="16"/>
              </w:rPr>
              <w:t>315.18</w:t>
            </w:r>
          </w:p>
        </w:tc>
      </w:tr>
      <w:tr w:rsidR="009A1420" w:rsidRPr="009A1420" w:rsidTr="009A1420">
        <w:tc>
          <w:tcPr>
            <w:cnfStyle w:val="001000000000" w:firstRow="0" w:lastRow="0" w:firstColumn="1" w:lastColumn="0" w:oddVBand="0" w:evenVBand="0" w:oddHBand="0" w:evenHBand="0" w:firstRowFirstColumn="0" w:firstRowLastColumn="0" w:lastRowFirstColumn="0" w:lastRowLastColumn="0"/>
            <w:tcW w:w="518" w:type="dxa"/>
            <w:noWrap/>
            <w:hideMark/>
          </w:tcPr>
          <w:p w:rsidR="009A1420" w:rsidRPr="009A19BE" w:rsidRDefault="009A1420" w:rsidP="009A1420">
            <w:pPr>
              <w:pStyle w:val="TableText"/>
              <w:spacing w:before="0" w:after="0" w:line="240" w:lineRule="auto"/>
              <w:ind w:left="57" w:right="57"/>
              <w:jc w:val="both"/>
              <w:rPr>
                <w:color w:val="FFFFFF" w:themeColor="background1"/>
                <w:sz w:val="8"/>
                <w:szCs w:val="16"/>
              </w:rPr>
            </w:pPr>
            <w:r w:rsidRPr="009A19BE">
              <w:rPr>
                <w:color w:val="FFFFFF" w:themeColor="background1"/>
                <w:sz w:val="8"/>
                <w:szCs w:val="16"/>
              </w:rPr>
              <w:t>2020–21</w:t>
            </w:r>
          </w:p>
        </w:tc>
        <w:tc>
          <w:tcPr>
            <w:tcW w:w="939" w:type="dxa"/>
            <w:noWrap/>
            <w:hideMark/>
          </w:tcPr>
          <w:p w:rsidR="009A1420" w:rsidRPr="009A19BE" w:rsidRDefault="009A1420" w:rsidP="009A1420">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9A19BE">
              <w:rPr>
                <w:color w:val="FFFFFF" w:themeColor="background1"/>
                <w:sz w:val="8"/>
                <w:szCs w:val="16"/>
              </w:rPr>
              <w:t>30.0</w:t>
            </w:r>
          </w:p>
        </w:tc>
        <w:tc>
          <w:tcPr>
            <w:tcW w:w="1191" w:type="dxa"/>
            <w:noWrap/>
            <w:hideMark/>
          </w:tcPr>
          <w:p w:rsidR="009A1420" w:rsidRPr="009A19BE" w:rsidRDefault="009A1420" w:rsidP="009A1420">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9A19BE">
              <w:rPr>
                <w:color w:val="FFFFFF" w:themeColor="background1"/>
                <w:sz w:val="8"/>
                <w:szCs w:val="16"/>
              </w:rPr>
              <w:t>277.83</w:t>
            </w:r>
          </w:p>
        </w:tc>
      </w:tr>
      <w:tr w:rsidR="009A1420" w:rsidRPr="009A1420" w:rsidTr="009A1420">
        <w:tc>
          <w:tcPr>
            <w:cnfStyle w:val="001000000000" w:firstRow="0" w:lastRow="0" w:firstColumn="1" w:lastColumn="0" w:oddVBand="0" w:evenVBand="0" w:oddHBand="0" w:evenHBand="0" w:firstRowFirstColumn="0" w:firstRowLastColumn="0" w:lastRowFirstColumn="0" w:lastRowLastColumn="0"/>
            <w:tcW w:w="518" w:type="dxa"/>
            <w:noWrap/>
            <w:hideMark/>
          </w:tcPr>
          <w:p w:rsidR="009A1420" w:rsidRPr="009A19BE" w:rsidRDefault="009A1420" w:rsidP="009A1420">
            <w:pPr>
              <w:pStyle w:val="TableText"/>
              <w:spacing w:before="0" w:after="0" w:line="240" w:lineRule="auto"/>
              <w:ind w:left="57" w:right="57"/>
              <w:jc w:val="both"/>
              <w:rPr>
                <w:color w:val="FFFFFF" w:themeColor="background1"/>
                <w:sz w:val="8"/>
                <w:szCs w:val="16"/>
              </w:rPr>
            </w:pPr>
            <w:r w:rsidRPr="009A19BE">
              <w:rPr>
                <w:color w:val="FFFFFF" w:themeColor="background1"/>
                <w:sz w:val="8"/>
                <w:szCs w:val="16"/>
              </w:rPr>
              <w:t>2021–22</w:t>
            </w:r>
          </w:p>
        </w:tc>
        <w:tc>
          <w:tcPr>
            <w:tcW w:w="939" w:type="dxa"/>
            <w:noWrap/>
            <w:hideMark/>
          </w:tcPr>
          <w:p w:rsidR="009A1420" w:rsidRPr="009A19BE" w:rsidRDefault="009A1420" w:rsidP="009A1420">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9A19BE">
              <w:rPr>
                <w:color w:val="FFFFFF" w:themeColor="background1"/>
                <w:sz w:val="8"/>
                <w:szCs w:val="16"/>
              </w:rPr>
              <w:t>33.7</w:t>
            </w:r>
          </w:p>
        </w:tc>
        <w:tc>
          <w:tcPr>
            <w:tcW w:w="1191" w:type="dxa"/>
            <w:noWrap/>
            <w:hideMark/>
          </w:tcPr>
          <w:p w:rsidR="009A1420" w:rsidRPr="009A19BE" w:rsidRDefault="009A1420" w:rsidP="009A1420">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9A19BE">
              <w:rPr>
                <w:color w:val="FFFFFF" w:themeColor="background1"/>
                <w:sz w:val="8"/>
                <w:szCs w:val="16"/>
              </w:rPr>
              <w:t>254.50</w:t>
            </w:r>
          </w:p>
        </w:tc>
      </w:tr>
      <w:tr w:rsidR="009A1420" w:rsidRPr="009A1420" w:rsidTr="009A1420">
        <w:tc>
          <w:tcPr>
            <w:cnfStyle w:val="001000000000" w:firstRow="0" w:lastRow="0" w:firstColumn="1" w:lastColumn="0" w:oddVBand="0" w:evenVBand="0" w:oddHBand="0" w:evenHBand="0" w:firstRowFirstColumn="0" w:firstRowLastColumn="0" w:lastRowFirstColumn="0" w:lastRowLastColumn="0"/>
            <w:tcW w:w="518" w:type="dxa"/>
            <w:noWrap/>
            <w:hideMark/>
          </w:tcPr>
          <w:p w:rsidR="009A1420" w:rsidRPr="009A19BE" w:rsidRDefault="009A1420" w:rsidP="009A1420">
            <w:pPr>
              <w:pStyle w:val="TableText"/>
              <w:spacing w:before="0" w:after="0" w:line="240" w:lineRule="auto"/>
              <w:ind w:left="57" w:right="57"/>
              <w:jc w:val="both"/>
              <w:rPr>
                <w:color w:val="FFFFFF" w:themeColor="background1"/>
                <w:sz w:val="8"/>
                <w:szCs w:val="16"/>
              </w:rPr>
            </w:pPr>
            <w:r w:rsidRPr="009A19BE">
              <w:rPr>
                <w:color w:val="FFFFFF" w:themeColor="background1"/>
                <w:sz w:val="8"/>
                <w:szCs w:val="16"/>
              </w:rPr>
              <w:t>2022–23</w:t>
            </w:r>
          </w:p>
        </w:tc>
        <w:tc>
          <w:tcPr>
            <w:tcW w:w="939" w:type="dxa"/>
            <w:noWrap/>
            <w:hideMark/>
          </w:tcPr>
          <w:p w:rsidR="009A1420" w:rsidRPr="009A19BE" w:rsidRDefault="009A1420" w:rsidP="009A1420">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9A19BE">
              <w:rPr>
                <w:color w:val="FFFFFF" w:themeColor="background1"/>
                <w:sz w:val="8"/>
                <w:szCs w:val="16"/>
              </w:rPr>
              <w:t>37.4</w:t>
            </w:r>
          </w:p>
        </w:tc>
        <w:tc>
          <w:tcPr>
            <w:tcW w:w="1191" w:type="dxa"/>
            <w:noWrap/>
            <w:hideMark/>
          </w:tcPr>
          <w:p w:rsidR="009A1420" w:rsidRPr="009A19BE" w:rsidRDefault="009A1420" w:rsidP="009A1420">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9A19BE">
              <w:rPr>
                <w:color w:val="FFFFFF" w:themeColor="background1"/>
                <w:sz w:val="8"/>
                <w:szCs w:val="16"/>
              </w:rPr>
              <w:t>239.18</w:t>
            </w:r>
          </w:p>
        </w:tc>
      </w:tr>
      <w:tr w:rsidR="009A1420" w:rsidRPr="009A1420" w:rsidTr="009A1420">
        <w:tc>
          <w:tcPr>
            <w:cnfStyle w:val="001000000000" w:firstRow="0" w:lastRow="0" w:firstColumn="1" w:lastColumn="0" w:oddVBand="0" w:evenVBand="0" w:oddHBand="0" w:evenHBand="0" w:firstRowFirstColumn="0" w:firstRowLastColumn="0" w:lastRowFirstColumn="0" w:lastRowLastColumn="0"/>
            <w:tcW w:w="518" w:type="dxa"/>
            <w:noWrap/>
            <w:hideMark/>
          </w:tcPr>
          <w:p w:rsidR="009A1420" w:rsidRPr="009A19BE" w:rsidRDefault="009A1420" w:rsidP="009A1420">
            <w:pPr>
              <w:pStyle w:val="TableText"/>
              <w:spacing w:before="0" w:after="0" w:line="240" w:lineRule="auto"/>
              <w:ind w:left="57" w:right="57"/>
              <w:jc w:val="both"/>
              <w:rPr>
                <w:color w:val="FFFFFF" w:themeColor="background1"/>
                <w:sz w:val="8"/>
                <w:szCs w:val="16"/>
              </w:rPr>
            </w:pPr>
            <w:r w:rsidRPr="009A19BE">
              <w:rPr>
                <w:color w:val="FFFFFF" w:themeColor="background1"/>
                <w:sz w:val="8"/>
                <w:szCs w:val="16"/>
              </w:rPr>
              <w:t>2023–24</w:t>
            </w:r>
          </w:p>
        </w:tc>
        <w:tc>
          <w:tcPr>
            <w:tcW w:w="939" w:type="dxa"/>
            <w:noWrap/>
            <w:hideMark/>
          </w:tcPr>
          <w:p w:rsidR="009A1420" w:rsidRPr="009A19BE" w:rsidRDefault="009A1420" w:rsidP="009A1420">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9A19BE">
              <w:rPr>
                <w:color w:val="FFFFFF" w:themeColor="background1"/>
                <w:sz w:val="8"/>
                <w:szCs w:val="16"/>
              </w:rPr>
              <w:t>41.0</w:t>
            </w:r>
          </w:p>
        </w:tc>
        <w:tc>
          <w:tcPr>
            <w:tcW w:w="1191" w:type="dxa"/>
            <w:noWrap/>
            <w:hideMark/>
          </w:tcPr>
          <w:p w:rsidR="009A1420" w:rsidRPr="009A19BE" w:rsidRDefault="009A1420" w:rsidP="009A1420">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9A19BE">
              <w:rPr>
                <w:color w:val="FFFFFF" w:themeColor="background1"/>
                <w:sz w:val="8"/>
                <w:szCs w:val="16"/>
              </w:rPr>
              <w:t>228.98</w:t>
            </w:r>
          </w:p>
        </w:tc>
      </w:tr>
      <w:tr w:rsidR="009A1420" w:rsidRPr="009A1420" w:rsidTr="009A1420">
        <w:tc>
          <w:tcPr>
            <w:cnfStyle w:val="001000000000" w:firstRow="0" w:lastRow="0" w:firstColumn="1" w:lastColumn="0" w:oddVBand="0" w:evenVBand="0" w:oddHBand="0" w:evenHBand="0" w:firstRowFirstColumn="0" w:firstRowLastColumn="0" w:lastRowFirstColumn="0" w:lastRowLastColumn="0"/>
            <w:tcW w:w="518" w:type="dxa"/>
            <w:noWrap/>
            <w:hideMark/>
          </w:tcPr>
          <w:p w:rsidR="009A1420" w:rsidRPr="009A19BE" w:rsidRDefault="009A1420" w:rsidP="009A1420">
            <w:pPr>
              <w:pStyle w:val="TableText"/>
              <w:spacing w:before="0" w:after="0" w:line="240" w:lineRule="auto"/>
              <w:ind w:left="57" w:right="57"/>
              <w:jc w:val="both"/>
              <w:rPr>
                <w:color w:val="FFFFFF" w:themeColor="background1"/>
                <w:sz w:val="8"/>
                <w:szCs w:val="16"/>
              </w:rPr>
            </w:pPr>
            <w:r w:rsidRPr="009A19BE">
              <w:rPr>
                <w:color w:val="FFFFFF" w:themeColor="background1"/>
                <w:sz w:val="8"/>
                <w:szCs w:val="16"/>
              </w:rPr>
              <w:t>2024–25</w:t>
            </w:r>
          </w:p>
        </w:tc>
        <w:tc>
          <w:tcPr>
            <w:tcW w:w="939" w:type="dxa"/>
            <w:noWrap/>
            <w:hideMark/>
          </w:tcPr>
          <w:p w:rsidR="009A1420" w:rsidRPr="009A19BE" w:rsidRDefault="009A1420" w:rsidP="009A1420">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9A19BE">
              <w:rPr>
                <w:color w:val="FFFFFF" w:themeColor="background1"/>
                <w:sz w:val="8"/>
                <w:szCs w:val="16"/>
              </w:rPr>
              <w:t>44.6</w:t>
            </w:r>
          </w:p>
        </w:tc>
        <w:tc>
          <w:tcPr>
            <w:tcW w:w="1191" w:type="dxa"/>
            <w:noWrap/>
            <w:hideMark/>
          </w:tcPr>
          <w:p w:rsidR="009A1420" w:rsidRPr="009A19BE" w:rsidRDefault="009A1420" w:rsidP="009A1420">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9A19BE">
              <w:rPr>
                <w:color w:val="FFFFFF" w:themeColor="background1"/>
                <w:sz w:val="8"/>
                <w:szCs w:val="16"/>
              </w:rPr>
              <w:t>221.40</w:t>
            </w:r>
          </w:p>
        </w:tc>
      </w:tr>
      <w:tr w:rsidR="009A1420" w:rsidRPr="009A1420" w:rsidTr="009A1420">
        <w:tc>
          <w:tcPr>
            <w:cnfStyle w:val="001000000000" w:firstRow="0" w:lastRow="0" w:firstColumn="1" w:lastColumn="0" w:oddVBand="0" w:evenVBand="0" w:oddHBand="0" w:evenHBand="0" w:firstRowFirstColumn="0" w:firstRowLastColumn="0" w:lastRowFirstColumn="0" w:lastRowLastColumn="0"/>
            <w:tcW w:w="518" w:type="dxa"/>
            <w:noWrap/>
            <w:hideMark/>
          </w:tcPr>
          <w:p w:rsidR="009A1420" w:rsidRPr="009A19BE" w:rsidRDefault="009A1420" w:rsidP="009A1420">
            <w:pPr>
              <w:pStyle w:val="TableText"/>
              <w:spacing w:before="0" w:after="0" w:line="240" w:lineRule="auto"/>
              <w:ind w:left="57" w:right="57"/>
              <w:jc w:val="both"/>
              <w:rPr>
                <w:color w:val="FFFFFF" w:themeColor="background1"/>
                <w:sz w:val="8"/>
                <w:szCs w:val="16"/>
              </w:rPr>
            </w:pPr>
            <w:r w:rsidRPr="009A19BE">
              <w:rPr>
                <w:color w:val="FFFFFF" w:themeColor="background1"/>
                <w:sz w:val="8"/>
                <w:szCs w:val="16"/>
              </w:rPr>
              <w:t>2025–26</w:t>
            </w:r>
          </w:p>
        </w:tc>
        <w:tc>
          <w:tcPr>
            <w:tcW w:w="939" w:type="dxa"/>
            <w:noWrap/>
            <w:hideMark/>
          </w:tcPr>
          <w:p w:rsidR="009A1420" w:rsidRPr="009A19BE" w:rsidRDefault="009A1420" w:rsidP="009A1420">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9A19BE">
              <w:rPr>
                <w:color w:val="FFFFFF" w:themeColor="background1"/>
                <w:sz w:val="8"/>
                <w:szCs w:val="16"/>
              </w:rPr>
              <w:t>48.1</w:t>
            </w:r>
          </w:p>
        </w:tc>
        <w:tc>
          <w:tcPr>
            <w:tcW w:w="1191" w:type="dxa"/>
            <w:noWrap/>
            <w:hideMark/>
          </w:tcPr>
          <w:p w:rsidR="009A1420" w:rsidRPr="009A19BE" w:rsidRDefault="009A1420" w:rsidP="009A1420">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9A19BE">
              <w:rPr>
                <w:color w:val="FFFFFF" w:themeColor="background1"/>
                <w:sz w:val="8"/>
                <w:szCs w:val="16"/>
              </w:rPr>
              <w:t>214.56</w:t>
            </w:r>
          </w:p>
        </w:tc>
      </w:tr>
    </w:tbl>
    <w:p w:rsidR="00F37B0C" w:rsidRDefault="00F37B0C" w:rsidP="002F3E6C">
      <w:pPr>
        <w:pStyle w:val="Source"/>
        <w:spacing w:before="2640"/>
      </w:pPr>
      <w:r>
        <w:t>Source: 2015-16 MYEFO and PBO analysis.</w:t>
      </w:r>
    </w:p>
    <w:p w:rsidR="00F37B0C" w:rsidRDefault="00F37B0C" w:rsidP="002F3E6C">
      <w:pPr>
        <w:pStyle w:val="BodyText17ptAbove"/>
        <w:keepNext/>
        <w:keepLines/>
      </w:pPr>
      <w:r>
        <w:lastRenderedPageBreak/>
        <w:t xml:space="preserve">The public debt interest cost of financing the HELP loan portfolio is projected by the PBO to grow strongly as the value of outstanding loans increases.  Public debt interest attributable to the HELP loan portfolio is projected to rise from </w:t>
      </w:r>
      <w:r w:rsidR="00E531FC">
        <w:t>$2.2</w:t>
      </w:r>
      <w:r>
        <w:t> billion in 2015</w:t>
      </w:r>
      <w:r w:rsidR="009454A7">
        <w:t>–</w:t>
      </w:r>
      <w:r>
        <w:t xml:space="preserve">16 to </w:t>
      </w:r>
      <w:r w:rsidR="00E531FC">
        <w:t>$12.8</w:t>
      </w:r>
      <w:r w:rsidR="002F3DAF">
        <w:t> </w:t>
      </w:r>
      <w:r>
        <w:t>billion in 2025</w:t>
      </w:r>
      <w:r w:rsidR="009454A7">
        <w:t>–</w:t>
      </w:r>
      <w:r>
        <w:t xml:space="preserve">26.  The proportion of Australian Government public debt interest required to finance outstanding HELP loans is projected to increase from </w:t>
      </w:r>
      <w:r w:rsidR="00E531FC">
        <w:t>15.4</w:t>
      </w:r>
      <w:r w:rsidR="002F3DAF">
        <w:t> </w:t>
      </w:r>
      <w:r>
        <w:t>per</w:t>
      </w:r>
      <w:r w:rsidR="002F3DAF">
        <w:t> </w:t>
      </w:r>
      <w:r>
        <w:t>cent in 2015</w:t>
      </w:r>
      <w:r w:rsidR="009454A7">
        <w:t>–</w:t>
      </w:r>
      <w:r>
        <w:t xml:space="preserve">16 to </w:t>
      </w:r>
      <w:r w:rsidR="00E531FC">
        <w:t>46.3</w:t>
      </w:r>
      <w:r w:rsidR="009454A7">
        <w:t> </w:t>
      </w:r>
      <w:r>
        <w:t>p</w:t>
      </w:r>
      <w:r w:rsidR="009454A7">
        <w:t>er </w:t>
      </w:r>
      <w:r>
        <w:t>cent in 2025</w:t>
      </w:r>
      <w:r w:rsidR="009454A7">
        <w:t>–</w:t>
      </w:r>
      <w:r>
        <w:t>26 (</w:t>
      </w:r>
      <w:r w:rsidR="002F3DAF">
        <w:fldChar w:fldCharType="begin"/>
      </w:r>
      <w:r w:rsidR="002F3DAF">
        <w:instrText xml:space="preserve"> REF _Ref447264606 \h </w:instrText>
      </w:r>
      <w:r w:rsidR="002F3DAF">
        <w:fldChar w:fldCharType="separate"/>
      </w:r>
      <w:r w:rsidR="00CA5C2D">
        <w:t xml:space="preserve">Figure </w:t>
      </w:r>
      <w:r w:rsidR="00CA5C2D">
        <w:rPr>
          <w:noProof/>
        </w:rPr>
        <w:t>3</w:t>
      </w:r>
      <w:r w:rsidR="002F3DAF">
        <w:fldChar w:fldCharType="end"/>
      </w:r>
      <w:r>
        <w:t>).</w:t>
      </w:r>
    </w:p>
    <w:p w:rsidR="002274E2" w:rsidRPr="002274E2" w:rsidRDefault="002274E2" w:rsidP="002274E2">
      <w:pPr>
        <w:pStyle w:val="BodyText"/>
      </w:pPr>
    </w:p>
    <w:p w:rsidR="009454A7" w:rsidRDefault="005C1E95" w:rsidP="009454A7">
      <w:pPr>
        <w:pStyle w:val="Caption"/>
      </w:pPr>
      <w:bookmarkStart w:id="20" w:name="_Ref447264606"/>
      <w:r>
        <w:t xml:space="preserve">Figure </w:t>
      </w:r>
      <w:fldSimple w:instr=" SEQ Figure \* ARABIC \s 1 ">
        <w:r w:rsidR="00CA5C2D">
          <w:rPr>
            <w:noProof/>
          </w:rPr>
          <w:t>3</w:t>
        </w:r>
      </w:fldSimple>
      <w:bookmarkEnd w:id="20"/>
      <w:r w:rsidR="009454A7" w:rsidRPr="009454A7">
        <w:t xml:space="preserve">: </w:t>
      </w:r>
      <w:r>
        <w:t>HELP loan portfolio – impact on public debt interest</w:t>
      </w:r>
    </w:p>
    <w:tbl>
      <w:tblPr>
        <w:tblStyle w:val="TableGrid"/>
        <w:tblW w:w="5000" w:type="pct"/>
        <w:tblLook w:val="0680" w:firstRow="0" w:lastRow="0" w:firstColumn="1" w:lastColumn="0" w:noHBand="1" w:noVBand="1"/>
      </w:tblPr>
      <w:tblGrid>
        <w:gridCol w:w="1554"/>
        <w:gridCol w:w="429"/>
        <w:gridCol w:w="398"/>
        <w:gridCol w:w="398"/>
        <w:gridCol w:w="398"/>
        <w:gridCol w:w="398"/>
        <w:gridCol w:w="398"/>
        <w:gridCol w:w="433"/>
        <w:gridCol w:w="434"/>
        <w:gridCol w:w="434"/>
        <w:gridCol w:w="434"/>
        <w:gridCol w:w="434"/>
        <w:gridCol w:w="434"/>
        <w:gridCol w:w="434"/>
        <w:gridCol w:w="434"/>
        <w:gridCol w:w="434"/>
        <w:gridCol w:w="434"/>
      </w:tblGrid>
      <w:tr w:rsidR="00A32520" w:rsidRPr="00866E09" w:rsidTr="00A32520">
        <w:tc>
          <w:tcPr>
            <w:cnfStyle w:val="001000000000" w:firstRow="0" w:lastRow="0" w:firstColumn="1" w:lastColumn="0" w:oddVBand="0" w:evenVBand="0" w:oddHBand="0" w:evenHBand="0" w:firstRowFirstColumn="0" w:firstRowLastColumn="0" w:lastRowFirstColumn="0" w:lastRowLastColumn="0"/>
            <w:tcW w:w="860" w:type="pct"/>
            <w:noWrap/>
            <w:hideMark/>
          </w:tcPr>
          <w:p w:rsidR="00A32520" w:rsidRPr="00866E09" w:rsidRDefault="002274E2" w:rsidP="00A32520">
            <w:pPr>
              <w:pStyle w:val="TableText"/>
              <w:spacing w:before="0" w:after="0" w:line="240" w:lineRule="auto"/>
              <w:ind w:left="57" w:right="57"/>
              <w:rPr>
                <w:color w:val="FFFFFF" w:themeColor="background1"/>
                <w:sz w:val="8"/>
                <w:szCs w:val="8"/>
              </w:rPr>
            </w:pPr>
            <w:r>
              <w:rPr>
                <w:noProof/>
              </w:rPr>
              <w:drawing>
                <wp:anchor distT="0" distB="0" distL="114300" distR="114300" simplePos="0" relativeHeight="251677696" behindDoc="0" locked="0" layoutInCell="1" allowOverlap="1" wp14:anchorId="2F14673E" wp14:editId="3CC98AA4">
                  <wp:simplePos x="0" y="0"/>
                  <wp:positionH relativeFrom="column">
                    <wp:posOffset>-5080</wp:posOffset>
                  </wp:positionH>
                  <wp:positionV relativeFrom="paragraph">
                    <wp:posOffset>1905</wp:posOffset>
                  </wp:positionV>
                  <wp:extent cx="5279390" cy="2749550"/>
                  <wp:effectExtent l="0" t="0" r="0" b="0"/>
                  <wp:wrapNone/>
                  <wp:docPr id="8" name="Picture 8" descr="Decorative"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79390" cy="2749550"/>
                          </a:xfrm>
                          <a:prstGeom prst="rect">
                            <a:avLst/>
                          </a:prstGeom>
                          <a:noFill/>
                        </pic:spPr>
                      </pic:pic>
                    </a:graphicData>
                  </a:graphic>
                  <wp14:sizeRelH relativeFrom="page">
                    <wp14:pctWidth>0</wp14:pctWidth>
                  </wp14:sizeRelH>
                  <wp14:sizeRelV relativeFrom="page">
                    <wp14:pctHeight>0</wp14:pctHeight>
                  </wp14:sizeRelV>
                </wp:anchor>
              </w:drawing>
            </w:r>
          </w:p>
        </w:tc>
        <w:tc>
          <w:tcPr>
            <w:tcW w:w="263" w:type="pct"/>
            <w:noWrap/>
            <w:hideMark/>
          </w:tcPr>
          <w:p w:rsidR="00A32520" w:rsidRPr="00866E09" w:rsidRDefault="00A32520" w:rsidP="0043371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866E09">
              <w:rPr>
                <w:color w:val="FFFFFF" w:themeColor="background1"/>
                <w:sz w:val="8"/>
                <w:szCs w:val="8"/>
              </w:rPr>
              <w:t>2010–11</w:t>
            </w:r>
          </w:p>
        </w:tc>
        <w:tc>
          <w:tcPr>
            <w:tcW w:w="242" w:type="pct"/>
            <w:noWrap/>
            <w:hideMark/>
          </w:tcPr>
          <w:p w:rsidR="00A32520" w:rsidRPr="00866E09" w:rsidRDefault="00A32520" w:rsidP="0043371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866E09">
              <w:rPr>
                <w:color w:val="FFFFFF" w:themeColor="background1"/>
                <w:sz w:val="8"/>
                <w:szCs w:val="8"/>
              </w:rPr>
              <w:t>2011–12</w:t>
            </w:r>
          </w:p>
        </w:tc>
        <w:tc>
          <w:tcPr>
            <w:tcW w:w="245" w:type="pct"/>
            <w:noWrap/>
            <w:hideMark/>
          </w:tcPr>
          <w:p w:rsidR="00A32520" w:rsidRPr="00866E09" w:rsidRDefault="00A32520" w:rsidP="0043371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866E09">
              <w:rPr>
                <w:color w:val="FFFFFF" w:themeColor="background1"/>
                <w:sz w:val="8"/>
                <w:szCs w:val="8"/>
              </w:rPr>
              <w:t>2012–13</w:t>
            </w:r>
          </w:p>
        </w:tc>
        <w:tc>
          <w:tcPr>
            <w:tcW w:w="245" w:type="pct"/>
            <w:noWrap/>
            <w:hideMark/>
          </w:tcPr>
          <w:p w:rsidR="00A32520" w:rsidRPr="00866E09" w:rsidRDefault="00A32520" w:rsidP="0043371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866E09">
              <w:rPr>
                <w:color w:val="FFFFFF" w:themeColor="background1"/>
                <w:sz w:val="8"/>
                <w:szCs w:val="8"/>
              </w:rPr>
              <w:t>2013–14</w:t>
            </w:r>
          </w:p>
        </w:tc>
        <w:tc>
          <w:tcPr>
            <w:tcW w:w="245" w:type="pct"/>
            <w:noWrap/>
            <w:hideMark/>
          </w:tcPr>
          <w:p w:rsidR="00A32520" w:rsidRPr="00866E09" w:rsidRDefault="00A32520" w:rsidP="0043371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866E09">
              <w:rPr>
                <w:color w:val="FFFFFF" w:themeColor="background1"/>
                <w:sz w:val="8"/>
                <w:szCs w:val="8"/>
              </w:rPr>
              <w:t>2014–15</w:t>
            </w:r>
          </w:p>
        </w:tc>
        <w:tc>
          <w:tcPr>
            <w:tcW w:w="245" w:type="pct"/>
            <w:noWrap/>
            <w:hideMark/>
          </w:tcPr>
          <w:p w:rsidR="00A32520" w:rsidRPr="00866E09" w:rsidRDefault="00A32520" w:rsidP="0043371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866E09">
              <w:rPr>
                <w:color w:val="FFFFFF" w:themeColor="background1"/>
                <w:sz w:val="8"/>
                <w:szCs w:val="8"/>
              </w:rPr>
              <w:t>2015–16</w:t>
            </w:r>
          </w:p>
        </w:tc>
        <w:tc>
          <w:tcPr>
            <w:tcW w:w="265" w:type="pct"/>
            <w:noWrap/>
            <w:hideMark/>
          </w:tcPr>
          <w:p w:rsidR="00A32520" w:rsidRPr="00866E09" w:rsidRDefault="00A32520" w:rsidP="0043371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866E09">
              <w:rPr>
                <w:color w:val="FFFFFF" w:themeColor="background1"/>
                <w:sz w:val="8"/>
                <w:szCs w:val="8"/>
              </w:rPr>
              <w:t>2016–17</w:t>
            </w:r>
          </w:p>
        </w:tc>
        <w:tc>
          <w:tcPr>
            <w:tcW w:w="265" w:type="pct"/>
            <w:noWrap/>
            <w:hideMark/>
          </w:tcPr>
          <w:p w:rsidR="00A32520" w:rsidRPr="00866E09" w:rsidRDefault="00A32520" w:rsidP="0043371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866E09">
              <w:rPr>
                <w:color w:val="FFFFFF" w:themeColor="background1"/>
                <w:sz w:val="8"/>
                <w:szCs w:val="8"/>
              </w:rPr>
              <w:t>2017–18</w:t>
            </w:r>
          </w:p>
        </w:tc>
        <w:tc>
          <w:tcPr>
            <w:tcW w:w="265" w:type="pct"/>
            <w:noWrap/>
            <w:hideMark/>
          </w:tcPr>
          <w:p w:rsidR="00A32520" w:rsidRPr="00866E09" w:rsidRDefault="00A32520" w:rsidP="0043371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866E09">
              <w:rPr>
                <w:color w:val="FFFFFF" w:themeColor="background1"/>
                <w:sz w:val="8"/>
                <w:szCs w:val="8"/>
              </w:rPr>
              <w:t>2018–19</w:t>
            </w:r>
          </w:p>
        </w:tc>
        <w:tc>
          <w:tcPr>
            <w:tcW w:w="265" w:type="pct"/>
            <w:noWrap/>
            <w:hideMark/>
          </w:tcPr>
          <w:p w:rsidR="00A32520" w:rsidRPr="00866E09" w:rsidRDefault="00A32520" w:rsidP="0043371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866E09">
              <w:rPr>
                <w:color w:val="FFFFFF" w:themeColor="background1"/>
                <w:sz w:val="8"/>
                <w:szCs w:val="8"/>
              </w:rPr>
              <w:t>2019–20</w:t>
            </w:r>
          </w:p>
        </w:tc>
        <w:tc>
          <w:tcPr>
            <w:tcW w:w="265" w:type="pct"/>
            <w:noWrap/>
            <w:hideMark/>
          </w:tcPr>
          <w:p w:rsidR="00A32520" w:rsidRPr="00866E09" w:rsidRDefault="00A32520" w:rsidP="0043371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866E09">
              <w:rPr>
                <w:color w:val="FFFFFF" w:themeColor="background1"/>
                <w:sz w:val="8"/>
                <w:szCs w:val="8"/>
              </w:rPr>
              <w:t>2020–21</w:t>
            </w:r>
          </w:p>
        </w:tc>
        <w:tc>
          <w:tcPr>
            <w:tcW w:w="265" w:type="pct"/>
            <w:noWrap/>
            <w:hideMark/>
          </w:tcPr>
          <w:p w:rsidR="00A32520" w:rsidRPr="00866E09" w:rsidRDefault="00A32520" w:rsidP="0043371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866E09">
              <w:rPr>
                <w:color w:val="FFFFFF" w:themeColor="background1"/>
                <w:sz w:val="8"/>
                <w:szCs w:val="8"/>
              </w:rPr>
              <w:t>2021–22</w:t>
            </w:r>
          </w:p>
        </w:tc>
        <w:tc>
          <w:tcPr>
            <w:tcW w:w="265" w:type="pct"/>
            <w:noWrap/>
            <w:hideMark/>
          </w:tcPr>
          <w:p w:rsidR="00A32520" w:rsidRPr="00866E09" w:rsidRDefault="00A32520" w:rsidP="0043371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866E09">
              <w:rPr>
                <w:color w:val="FFFFFF" w:themeColor="background1"/>
                <w:sz w:val="8"/>
                <w:szCs w:val="8"/>
              </w:rPr>
              <w:t>2022–23</w:t>
            </w:r>
          </w:p>
        </w:tc>
        <w:tc>
          <w:tcPr>
            <w:tcW w:w="265" w:type="pct"/>
            <w:noWrap/>
            <w:hideMark/>
          </w:tcPr>
          <w:p w:rsidR="00A32520" w:rsidRPr="00866E09" w:rsidRDefault="00A32520" w:rsidP="0043371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866E09">
              <w:rPr>
                <w:color w:val="FFFFFF" w:themeColor="background1"/>
                <w:sz w:val="8"/>
                <w:szCs w:val="8"/>
              </w:rPr>
              <w:t>2023–24</w:t>
            </w:r>
          </w:p>
        </w:tc>
        <w:tc>
          <w:tcPr>
            <w:tcW w:w="265" w:type="pct"/>
            <w:noWrap/>
            <w:hideMark/>
          </w:tcPr>
          <w:p w:rsidR="00A32520" w:rsidRPr="00866E09" w:rsidRDefault="00A32520" w:rsidP="0043371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866E09">
              <w:rPr>
                <w:color w:val="FFFFFF" w:themeColor="background1"/>
                <w:sz w:val="8"/>
                <w:szCs w:val="8"/>
              </w:rPr>
              <w:t>2024–25</w:t>
            </w:r>
          </w:p>
        </w:tc>
        <w:tc>
          <w:tcPr>
            <w:tcW w:w="265" w:type="pct"/>
            <w:noWrap/>
            <w:hideMark/>
          </w:tcPr>
          <w:p w:rsidR="00A32520" w:rsidRPr="00866E09" w:rsidRDefault="00A32520" w:rsidP="0043371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866E09">
              <w:rPr>
                <w:color w:val="FFFFFF" w:themeColor="background1"/>
                <w:sz w:val="8"/>
                <w:szCs w:val="8"/>
              </w:rPr>
              <w:t>2025–26</w:t>
            </w:r>
          </w:p>
        </w:tc>
      </w:tr>
      <w:tr w:rsidR="0098476B" w:rsidRPr="00866E09" w:rsidTr="00A32520">
        <w:tc>
          <w:tcPr>
            <w:cnfStyle w:val="001000000000" w:firstRow="0" w:lastRow="0" w:firstColumn="1" w:lastColumn="0" w:oddVBand="0" w:evenVBand="0" w:oddHBand="0" w:evenHBand="0" w:firstRowFirstColumn="0" w:firstRowLastColumn="0" w:lastRowFirstColumn="0" w:lastRowLastColumn="0"/>
            <w:tcW w:w="860" w:type="pct"/>
            <w:noWrap/>
            <w:hideMark/>
          </w:tcPr>
          <w:p w:rsidR="00A32520" w:rsidRPr="00866E09" w:rsidRDefault="00A32520" w:rsidP="00A32520">
            <w:pPr>
              <w:pStyle w:val="TableText"/>
              <w:spacing w:before="0" w:after="0" w:line="240" w:lineRule="auto"/>
              <w:ind w:left="57" w:right="57"/>
              <w:rPr>
                <w:color w:val="FFFFFF" w:themeColor="background1"/>
                <w:sz w:val="8"/>
                <w:szCs w:val="8"/>
              </w:rPr>
            </w:pPr>
            <w:r w:rsidRPr="00866E09">
              <w:rPr>
                <w:color w:val="FFFFFF" w:themeColor="background1"/>
                <w:sz w:val="8"/>
                <w:szCs w:val="8"/>
              </w:rPr>
              <w:t>Public debt interest not attributable to HELP</w:t>
            </w:r>
          </w:p>
        </w:tc>
        <w:tc>
          <w:tcPr>
            <w:tcW w:w="263" w:type="pct"/>
            <w:noWrap/>
            <w:hideMark/>
          </w:tcPr>
          <w:p w:rsidR="00A32520" w:rsidRPr="00866E09" w:rsidRDefault="00A32520" w:rsidP="0043371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866E09">
              <w:rPr>
                <w:color w:val="FFFFFF" w:themeColor="background1"/>
                <w:sz w:val="8"/>
                <w:szCs w:val="8"/>
              </w:rPr>
              <w:t>8.06</w:t>
            </w:r>
          </w:p>
        </w:tc>
        <w:tc>
          <w:tcPr>
            <w:tcW w:w="242" w:type="pct"/>
            <w:noWrap/>
            <w:hideMark/>
          </w:tcPr>
          <w:p w:rsidR="00A32520" w:rsidRPr="00866E09" w:rsidRDefault="00A32520" w:rsidP="0043371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866E09">
              <w:rPr>
                <w:color w:val="FFFFFF" w:themeColor="background1"/>
                <w:sz w:val="8"/>
                <w:szCs w:val="8"/>
              </w:rPr>
              <w:t>9.90</w:t>
            </w:r>
          </w:p>
        </w:tc>
        <w:tc>
          <w:tcPr>
            <w:tcW w:w="245" w:type="pct"/>
            <w:noWrap/>
            <w:hideMark/>
          </w:tcPr>
          <w:p w:rsidR="00A32520" w:rsidRPr="00866E09" w:rsidRDefault="00A32520" w:rsidP="0043371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866E09">
              <w:rPr>
                <w:color w:val="FFFFFF" w:themeColor="background1"/>
                <w:sz w:val="8"/>
                <w:szCs w:val="8"/>
              </w:rPr>
              <w:t>10.55</w:t>
            </w:r>
          </w:p>
        </w:tc>
        <w:tc>
          <w:tcPr>
            <w:tcW w:w="245" w:type="pct"/>
            <w:noWrap/>
            <w:hideMark/>
          </w:tcPr>
          <w:p w:rsidR="00A32520" w:rsidRPr="00866E09" w:rsidRDefault="0098476B" w:rsidP="0043371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866E09">
              <w:rPr>
                <w:color w:val="FFFFFF" w:themeColor="background1"/>
                <w:sz w:val="8"/>
                <w:szCs w:val="8"/>
              </w:rPr>
              <w:t>12.45</w:t>
            </w:r>
          </w:p>
        </w:tc>
        <w:tc>
          <w:tcPr>
            <w:tcW w:w="245" w:type="pct"/>
            <w:noWrap/>
            <w:hideMark/>
          </w:tcPr>
          <w:p w:rsidR="00A32520" w:rsidRPr="00866E09" w:rsidRDefault="0098476B" w:rsidP="0043371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866E09">
              <w:rPr>
                <w:color w:val="FFFFFF" w:themeColor="background1"/>
                <w:sz w:val="8"/>
                <w:szCs w:val="8"/>
              </w:rPr>
              <w:t>12.50</w:t>
            </w:r>
          </w:p>
        </w:tc>
        <w:tc>
          <w:tcPr>
            <w:tcW w:w="245" w:type="pct"/>
            <w:noWrap/>
            <w:hideMark/>
          </w:tcPr>
          <w:p w:rsidR="00A32520" w:rsidRPr="00866E09" w:rsidRDefault="0098476B" w:rsidP="0043371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866E09">
              <w:rPr>
                <w:color w:val="FFFFFF" w:themeColor="background1"/>
                <w:sz w:val="8"/>
                <w:szCs w:val="8"/>
              </w:rPr>
              <w:t>12.37</w:t>
            </w:r>
          </w:p>
        </w:tc>
        <w:tc>
          <w:tcPr>
            <w:tcW w:w="265" w:type="pct"/>
            <w:noWrap/>
            <w:hideMark/>
          </w:tcPr>
          <w:p w:rsidR="00A32520" w:rsidRPr="00866E09" w:rsidRDefault="0098476B" w:rsidP="0043371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866E09">
              <w:rPr>
                <w:color w:val="FFFFFF" w:themeColor="background1"/>
                <w:sz w:val="8"/>
                <w:szCs w:val="8"/>
              </w:rPr>
              <w:t>12.84</w:t>
            </w:r>
          </w:p>
        </w:tc>
        <w:tc>
          <w:tcPr>
            <w:tcW w:w="265" w:type="pct"/>
            <w:noWrap/>
            <w:hideMark/>
          </w:tcPr>
          <w:p w:rsidR="00A32520" w:rsidRPr="00866E09" w:rsidRDefault="0098476B" w:rsidP="0043371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866E09">
              <w:rPr>
                <w:color w:val="FFFFFF" w:themeColor="background1"/>
                <w:sz w:val="8"/>
                <w:szCs w:val="8"/>
              </w:rPr>
              <w:t>13.25</w:t>
            </w:r>
          </w:p>
        </w:tc>
        <w:tc>
          <w:tcPr>
            <w:tcW w:w="265" w:type="pct"/>
            <w:noWrap/>
            <w:hideMark/>
          </w:tcPr>
          <w:p w:rsidR="00A32520" w:rsidRPr="00866E09" w:rsidRDefault="0098476B" w:rsidP="0043371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866E09">
              <w:rPr>
                <w:color w:val="FFFFFF" w:themeColor="background1"/>
                <w:sz w:val="8"/>
                <w:szCs w:val="8"/>
              </w:rPr>
              <w:t>13.66</w:t>
            </w:r>
          </w:p>
        </w:tc>
        <w:tc>
          <w:tcPr>
            <w:tcW w:w="265" w:type="pct"/>
            <w:noWrap/>
            <w:hideMark/>
          </w:tcPr>
          <w:p w:rsidR="00A32520" w:rsidRPr="00866E09" w:rsidRDefault="0098476B" w:rsidP="0043371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866E09">
              <w:rPr>
                <w:color w:val="FFFFFF" w:themeColor="background1"/>
                <w:sz w:val="8"/>
                <w:szCs w:val="8"/>
              </w:rPr>
              <w:t>13.28</w:t>
            </w:r>
          </w:p>
        </w:tc>
        <w:tc>
          <w:tcPr>
            <w:tcW w:w="265" w:type="pct"/>
            <w:noWrap/>
            <w:hideMark/>
          </w:tcPr>
          <w:p w:rsidR="00A32520" w:rsidRPr="00866E09" w:rsidRDefault="0098476B" w:rsidP="0043371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866E09">
              <w:rPr>
                <w:color w:val="FFFFFF" w:themeColor="background1"/>
                <w:sz w:val="8"/>
                <w:szCs w:val="8"/>
              </w:rPr>
              <w:t>12.87</w:t>
            </w:r>
          </w:p>
        </w:tc>
        <w:tc>
          <w:tcPr>
            <w:tcW w:w="265" w:type="pct"/>
            <w:noWrap/>
            <w:hideMark/>
          </w:tcPr>
          <w:p w:rsidR="00A32520" w:rsidRPr="00866E09" w:rsidRDefault="0098476B" w:rsidP="0043371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866E09">
              <w:rPr>
                <w:color w:val="FFFFFF" w:themeColor="background1"/>
                <w:sz w:val="8"/>
                <w:szCs w:val="8"/>
              </w:rPr>
              <w:t>12.63</w:t>
            </w:r>
          </w:p>
        </w:tc>
        <w:tc>
          <w:tcPr>
            <w:tcW w:w="265" w:type="pct"/>
            <w:noWrap/>
            <w:hideMark/>
          </w:tcPr>
          <w:p w:rsidR="00A32520" w:rsidRPr="00866E09" w:rsidRDefault="0098476B" w:rsidP="0043371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866E09">
              <w:rPr>
                <w:color w:val="FFFFFF" w:themeColor="background1"/>
                <w:sz w:val="8"/>
                <w:szCs w:val="8"/>
              </w:rPr>
              <w:t>13.09</w:t>
            </w:r>
          </w:p>
        </w:tc>
        <w:tc>
          <w:tcPr>
            <w:tcW w:w="265" w:type="pct"/>
            <w:noWrap/>
            <w:hideMark/>
          </w:tcPr>
          <w:p w:rsidR="00A32520" w:rsidRPr="00866E09" w:rsidRDefault="0098476B" w:rsidP="0043371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866E09">
              <w:rPr>
                <w:color w:val="FFFFFF" w:themeColor="background1"/>
                <w:sz w:val="8"/>
                <w:szCs w:val="8"/>
              </w:rPr>
              <w:t>13.37</w:t>
            </w:r>
          </w:p>
        </w:tc>
        <w:tc>
          <w:tcPr>
            <w:tcW w:w="265" w:type="pct"/>
            <w:noWrap/>
            <w:hideMark/>
          </w:tcPr>
          <w:p w:rsidR="00A32520" w:rsidRPr="00866E09" w:rsidRDefault="0098476B" w:rsidP="0043371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866E09">
              <w:rPr>
                <w:color w:val="FFFFFF" w:themeColor="background1"/>
                <w:sz w:val="8"/>
                <w:szCs w:val="8"/>
              </w:rPr>
              <w:t>13.88</w:t>
            </w:r>
          </w:p>
        </w:tc>
        <w:tc>
          <w:tcPr>
            <w:tcW w:w="265" w:type="pct"/>
            <w:noWrap/>
            <w:hideMark/>
          </w:tcPr>
          <w:p w:rsidR="00A32520" w:rsidRPr="00866E09" w:rsidRDefault="0098476B" w:rsidP="0043371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866E09">
              <w:rPr>
                <w:color w:val="FFFFFF" w:themeColor="background1"/>
                <w:sz w:val="8"/>
                <w:szCs w:val="8"/>
              </w:rPr>
              <w:t>14.88</w:t>
            </w:r>
          </w:p>
        </w:tc>
      </w:tr>
      <w:tr w:rsidR="0098476B" w:rsidRPr="00866E09" w:rsidTr="00A32520">
        <w:tc>
          <w:tcPr>
            <w:cnfStyle w:val="001000000000" w:firstRow="0" w:lastRow="0" w:firstColumn="1" w:lastColumn="0" w:oddVBand="0" w:evenVBand="0" w:oddHBand="0" w:evenHBand="0" w:firstRowFirstColumn="0" w:firstRowLastColumn="0" w:lastRowFirstColumn="0" w:lastRowLastColumn="0"/>
            <w:tcW w:w="860" w:type="pct"/>
            <w:noWrap/>
            <w:hideMark/>
          </w:tcPr>
          <w:p w:rsidR="00A32520" w:rsidRPr="00866E09" w:rsidRDefault="00A32520" w:rsidP="00A32520">
            <w:pPr>
              <w:pStyle w:val="TableText"/>
              <w:spacing w:before="0" w:after="0" w:line="240" w:lineRule="auto"/>
              <w:ind w:left="57" w:right="57"/>
              <w:rPr>
                <w:color w:val="FFFFFF" w:themeColor="background1"/>
                <w:sz w:val="8"/>
                <w:szCs w:val="8"/>
              </w:rPr>
            </w:pPr>
            <w:r w:rsidRPr="00866E09">
              <w:rPr>
                <w:color w:val="FFFFFF" w:themeColor="background1"/>
                <w:sz w:val="8"/>
                <w:szCs w:val="8"/>
              </w:rPr>
              <w:t>Public debt interest impact of HELP</w:t>
            </w:r>
          </w:p>
        </w:tc>
        <w:tc>
          <w:tcPr>
            <w:tcW w:w="263" w:type="pct"/>
            <w:noWrap/>
            <w:hideMark/>
          </w:tcPr>
          <w:p w:rsidR="00A32520" w:rsidRPr="00866E09" w:rsidRDefault="00A32520" w:rsidP="0043371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866E09">
              <w:rPr>
                <w:color w:val="FFFFFF" w:themeColor="background1"/>
                <w:sz w:val="8"/>
                <w:szCs w:val="8"/>
              </w:rPr>
              <w:t>1.49</w:t>
            </w:r>
          </w:p>
        </w:tc>
        <w:tc>
          <w:tcPr>
            <w:tcW w:w="242" w:type="pct"/>
            <w:noWrap/>
            <w:hideMark/>
          </w:tcPr>
          <w:p w:rsidR="00A32520" w:rsidRPr="00866E09" w:rsidRDefault="00A32520" w:rsidP="0043371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866E09">
              <w:rPr>
                <w:color w:val="FFFFFF" w:themeColor="background1"/>
                <w:sz w:val="8"/>
                <w:szCs w:val="8"/>
              </w:rPr>
              <w:t>0.98</w:t>
            </w:r>
          </w:p>
        </w:tc>
        <w:tc>
          <w:tcPr>
            <w:tcW w:w="245" w:type="pct"/>
            <w:noWrap/>
            <w:hideMark/>
          </w:tcPr>
          <w:p w:rsidR="00A32520" w:rsidRPr="00866E09" w:rsidRDefault="00A32520" w:rsidP="0043371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866E09">
              <w:rPr>
                <w:color w:val="FFFFFF" w:themeColor="background1"/>
                <w:sz w:val="8"/>
                <w:szCs w:val="8"/>
              </w:rPr>
              <w:t>1.30</w:t>
            </w:r>
          </w:p>
        </w:tc>
        <w:tc>
          <w:tcPr>
            <w:tcW w:w="245" w:type="pct"/>
            <w:noWrap/>
            <w:hideMark/>
          </w:tcPr>
          <w:p w:rsidR="00A32520" w:rsidRPr="00866E09" w:rsidRDefault="00A32520" w:rsidP="0043371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866E09">
              <w:rPr>
                <w:color w:val="FFFFFF" w:themeColor="background1"/>
                <w:sz w:val="8"/>
                <w:szCs w:val="8"/>
              </w:rPr>
              <w:t>1.52</w:t>
            </w:r>
          </w:p>
        </w:tc>
        <w:tc>
          <w:tcPr>
            <w:tcW w:w="245" w:type="pct"/>
            <w:noWrap/>
            <w:hideMark/>
          </w:tcPr>
          <w:p w:rsidR="00A32520" w:rsidRPr="00866E09" w:rsidRDefault="00A32520" w:rsidP="0043371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866E09">
              <w:rPr>
                <w:color w:val="FFFFFF" w:themeColor="background1"/>
                <w:sz w:val="8"/>
                <w:szCs w:val="8"/>
              </w:rPr>
              <w:t>1.42</w:t>
            </w:r>
          </w:p>
        </w:tc>
        <w:tc>
          <w:tcPr>
            <w:tcW w:w="245" w:type="pct"/>
            <w:noWrap/>
            <w:hideMark/>
          </w:tcPr>
          <w:p w:rsidR="00A32520" w:rsidRPr="00866E09" w:rsidRDefault="00A32520" w:rsidP="0043371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866E09">
              <w:rPr>
                <w:color w:val="FFFFFF" w:themeColor="background1"/>
                <w:sz w:val="8"/>
                <w:szCs w:val="8"/>
              </w:rPr>
              <w:t>2.25</w:t>
            </w:r>
          </w:p>
        </w:tc>
        <w:tc>
          <w:tcPr>
            <w:tcW w:w="265" w:type="pct"/>
            <w:noWrap/>
            <w:hideMark/>
          </w:tcPr>
          <w:p w:rsidR="00A32520" w:rsidRPr="00866E09" w:rsidRDefault="00A32520" w:rsidP="0043371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866E09">
              <w:rPr>
                <w:color w:val="FFFFFF" w:themeColor="background1"/>
                <w:sz w:val="8"/>
                <w:szCs w:val="8"/>
              </w:rPr>
              <w:t>2.66</w:t>
            </w:r>
          </w:p>
        </w:tc>
        <w:tc>
          <w:tcPr>
            <w:tcW w:w="265" w:type="pct"/>
            <w:noWrap/>
            <w:hideMark/>
          </w:tcPr>
          <w:p w:rsidR="00A32520" w:rsidRPr="00866E09" w:rsidRDefault="00A32520" w:rsidP="0043371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866E09">
              <w:rPr>
                <w:color w:val="FFFFFF" w:themeColor="background1"/>
                <w:sz w:val="8"/>
                <w:szCs w:val="8"/>
              </w:rPr>
              <w:t>3.12</w:t>
            </w:r>
          </w:p>
        </w:tc>
        <w:tc>
          <w:tcPr>
            <w:tcW w:w="265" w:type="pct"/>
            <w:noWrap/>
            <w:hideMark/>
          </w:tcPr>
          <w:p w:rsidR="00A32520" w:rsidRPr="00866E09" w:rsidRDefault="00A32520" w:rsidP="0043371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866E09">
              <w:rPr>
                <w:color w:val="FFFFFF" w:themeColor="background1"/>
                <w:sz w:val="8"/>
                <w:szCs w:val="8"/>
              </w:rPr>
              <w:t>4.09</w:t>
            </w:r>
          </w:p>
        </w:tc>
        <w:tc>
          <w:tcPr>
            <w:tcW w:w="265" w:type="pct"/>
            <w:noWrap/>
            <w:hideMark/>
          </w:tcPr>
          <w:p w:rsidR="00A32520" w:rsidRPr="00866E09" w:rsidRDefault="00A32520" w:rsidP="0043371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866E09">
              <w:rPr>
                <w:color w:val="FFFFFF" w:themeColor="background1"/>
                <w:sz w:val="8"/>
                <w:szCs w:val="8"/>
              </w:rPr>
              <w:t>5.15</w:t>
            </w:r>
          </w:p>
        </w:tc>
        <w:tc>
          <w:tcPr>
            <w:tcW w:w="265" w:type="pct"/>
            <w:noWrap/>
            <w:hideMark/>
          </w:tcPr>
          <w:p w:rsidR="00A32520" w:rsidRPr="00866E09" w:rsidRDefault="0098476B" w:rsidP="0043371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866E09">
              <w:rPr>
                <w:color w:val="FFFFFF" w:themeColor="background1"/>
                <w:sz w:val="8"/>
                <w:szCs w:val="8"/>
              </w:rPr>
              <w:t>6.28</w:t>
            </w:r>
          </w:p>
        </w:tc>
        <w:tc>
          <w:tcPr>
            <w:tcW w:w="265" w:type="pct"/>
            <w:noWrap/>
            <w:hideMark/>
          </w:tcPr>
          <w:p w:rsidR="00A32520" w:rsidRPr="00866E09" w:rsidRDefault="0098476B" w:rsidP="0043371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866E09">
              <w:rPr>
                <w:color w:val="FFFFFF" w:themeColor="background1"/>
                <w:sz w:val="8"/>
                <w:szCs w:val="8"/>
              </w:rPr>
              <w:t>7.49</w:t>
            </w:r>
          </w:p>
        </w:tc>
        <w:tc>
          <w:tcPr>
            <w:tcW w:w="265" w:type="pct"/>
            <w:noWrap/>
            <w:hideMark/>
          </w:tcPr>
          <w:p w:rsidR="00A32520" w:rsidRPr="00866E09" w:rsidRDefault="0098476B" w:rsidP="0043371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866E09">
              <w:rPr>
                <w:color w:val="FFFFFF" w:themeColor="background1"/>
                <w:sz w:val="8"/>
                <w:szCs w:val="8"/>
              </w:rPr>
              <w:t>8.78</w:t>
            </w:r>
          </w:p>
        </w:tc>
        <w:tc>
          <w:tcPr>
            <w:tcW w:w="265" w:type="pct"/>
            <w:noWrap/>
            <w:hideMark/>
          </w:tcPr>
          <w:p w:rsidR="00A32520" w:rsidRPr="00866E09" w:rsidRDefault="0098476B" w:rsidP="0043371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866E09">
              <w:rPr>
                <w:color w:val="FFFFFF" w:themeColor="background1"/>
                <w:sz w:val="8"/>
                <w:szCs w:val="8"/>
              </w:rPr>
              <w:t>10.13</w:t>
            </w:r>
          </w:p>
        </w:tc>
        <w:tc>
          <w:tcPr>
            <w:tcW w:w="265" w:type="pct"/>
            <w:noWrap/>
            <w:hideMark/>
          </w:tcPr>
          <w:p w:rsidR="00A32520" w:rsidRPr="00866E09" w:rsidRDefault="0098476B" w:rsidP="0043371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866E09">
              <w:rPr>
                <w:color w:val="FFFFFF" w:themeColor="background1"/>
                <w:sz w:val="8"/>
                <w:szCs w:val="8"/>
              </w:rPr>
              <w:t>11.51</w:t>
            </w:r>
          </w:p>
        </w:tc>
        <w:tc>
          <w:tcPr>
            <w:tcW w:w="265" w:type="pct"/>
            <w:noWrap/>
            <w:hideMark/>
          </w:tcPr>
          <w:p w:rsidR="00A32520" w:rsidRPr="00866E09" w:rsidRDefault="0098476B" w:rsidP="0043371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866E09">
              <w:rPr>
                <w:color w:val="FFFFFF" w:themeColor="background1"/>
                <w:sz w:val="8"/>
                <w:szCs w:val="8"/>
              </w:rPr>
              <w:t>12.84</w:t>
            </w:r>
          </w:p>
        </w:tc>
      </w:tr>
    </w:tbl>
    <w:p w:rsidR="00F37B0C" w:rsidRPr="002F3DAF" w:rsidRDefault="00F37B0C" w:rsidP="00636D54">
      <w:pPr>
        <w:pStyle w:val="Source"/>
        <w:spacing w:before="3960"/>
      </w:pPr>
      <w:r w:rsidRPr="002F3DAF">
        <w:t xml:space="preserve">Source: </w:t>
      </w:r>
      <w:r w:rsidR="0055773E">
        <w:t>2015–16 MYEFO and PBO analysis.</w:t>
      </w:r>
    </w:p>
    <w:p w:rsidR="00EA6EB3" w:rsidRDefault="00EA6EB3"/>
    <w:p w:rsidR="00EA6EB3" w:rsidRDefault="00EA6EB3">
      <w:pPr>
        <w:sectPr w:rsidR="00EA6EB3" w:rsidSect="00590815">
          <w:pgSz w:w="11906" w:h="16838" w:code="9"/>
          <w:pgMar w:top="1361" w:right="1797" w:bottom="1474" w:left="1797" w:header="284" w:footer="454" w:gutter="0"/>
          <w:pgNumType w:fmt="lowerRoman"/>
          <w:cols w:space="708"/>
          <w:docGrid w:linePitch="360"/>
        </w:sectPr>
      </w:pPr>
    </w:p>
    <w:p w:rsidR="00903E3F" w:rsidRDefault="00590815" w:rsidP="00CF5CE3">
      <w:pPr>
        <w:pStyle w:val="Heading1"/>
      </w:pPr>
      <w:bookmarkStart w:id="21" w:name="_Toc445272988"/>
      <w:bookmarkStart w:id="22" w:name="_Toc445304405"/>
      <w:bookmarkStart w:id="23" w:name="_Toc445304431"/>
      <w:bookmarkStart w:id="24" w:name="_Toc445901359"/>
      <w:bookmarkStart w:id="25" w:name="_Ref447616237"/>
      <w:bookmarkStart w:id="26" w:name="_Toc447617958"/>
      <w:bookmarkStart w:id="27" w:name="_Toc447617988"/>
      <w:r>
        <w:lastRenderedPageBreak/>
        <w:t>What is HELP?</w:t>
      </w:r>
      <w:bookmarkEnd w:id="21"/>
      <w:bookmarkEnd w:id="22"/>
      <w:bookmarkEnd w:id="23"/>
      <w:bookmarkEnd w:id="24"/>
      <w:bookmarkEnd w:id="25"/>
      <w:bookmarkEnd w:id="26"/>
      <w:bookmarkEnd w:id="27"/>
    </w:p>
    <w:p w:rsidR="00C26C53" w:rsidRDefault="00590815" w:rsidP="00590815">
      <w:pPr>
        <w:pStyle w:val="BodyText"/>
      </w:pPr>
      <w:r w:rsidRPr="00590815">
        <w:t>The Australian Government’s Higher Education Loan Programme (HELP) supports participation in higher education by providing income-contingent concessional loans to students to assist with the costs of education.</w:t>
      </w:r>
      <w:r w:rsidR="00A1599A">
        <w:t xml:space="preserve">  </w:t>
      </w:r>
      <w:r w:rsidR="00A1599A" w:rsidRPr="00A1599A">
        <w:t xml:space="preserve">The analysis in this paper is based on the Government’s announced policies as at </w:t>
      </w:r>
      <w:r w:rsidR="004517DB">
        <w:t>the 2015</w:t>
      </w:r>
      <w:r w:rsidR="002F3DAF">
        <w:t>–</w:t>
      </w:r>
      <w:r w:rsidR="004517DB">
        <w:t>16 MYEFO</w:t>
      </w:r>
      <w:r w:rsidR="00A1599A" w:rsidRPr="00A1599A">
        <w:t xml:space="preserve">, including those that are </w:t>
      </w:r>
      <w:r w:rsidR="00A1599A">
        <w:t>yet to be</w:t>
      </w:r>
      <w:r w:rsidR="00A1599A" w:rsidRPr="00A1599A">
        <w:t xml:space="preserve"> legislated.</w:t>
      </w:r>
      <w:r w:rsidR="00A1599A">
        <w:t xml:space="preserve">  </w:t>
      </w:r>
      <w:r w:rsidR="004F486B">
        <w:t xml:space="preserve">Key assumptions underpinning the analysis in this report are outlined in </w:t>
      </w:r>
      <w:r w:rsidR="00A574EA">
        <w:fldChar w:fldCharType="begin"/>
      </w:r>
      <w:r w:rsidR="00A574EA">
        <w:instrText xml:space="preserve"> REF _Ref447616243 \r \h </w:instrText>
      </w:r>
      <w:r w:rsidR="00A574EA">
        <w:fldChar w:fldCharType="separate"/>
      </w:r>
      <w:r w:rsidR="00CA5C2D">
        <w:t>Appendix A</w:t>
      </w:r>
      <w:r w:rsidR="00A574EA">
        <w:fldChar w:fldCharType="end"/>
      </w:r>
      <w:r w:rsidR="001430A3">
        <w:t>.</w:t>
      </w:r>
    </w:p>
    <w:p w:rsidR="00590815" w:rsidRDefault="00590815" w:rsidP="00590815">
      <w:pPr>
        <w:pStyle w:val="Heading2"/>
      </w:pPr>
      <w:bookmarkStart w:id="28" w:name="_Toc445304406"/>
      <w:bookmarkStart w:id="29" w:name="_Toc445304432"/>
      <w:bookmarkStart w:id="30" w:name="_Toc445901360"/>
      <w:bookmarkStart w:id="31" w:name="_Toc447617959"/>
      <w:bookmarkStart w:id="32" w:name="_Toc447617989"/>
      <w:r>
        <w:t>Background</w:t>
      </w:r>
      <w:bookmarkEnd w:id="28"/>
      <w:bookmarkEnd w:id="29"/>
      <w:bookmarkEnd w:id="30"/>
      <w:bookmarkEnd w:id="31"/>
      <w:bookmarkEnd w:id="32"/>
    </w:p>
    <w:p w:rsidR="00590815" w:rsidRDefault="00590815" w:rsidP="00590815">
      <w:pPr>
        <w:pStyle w:val="BodyText"/>
      </w:pPr>
      <w:r w:rsidRPr="00625268">
        <w:t>Since the Government introduced HELP in 1989,</w:t>
      </w:r>
      <w:r w:rsidRPr="00A574EA">
        <w:rPr>
          <w:rStyle w:val="FootnoteReference"/>
        </w:rPr>
        <w:footnoteReference w:id="2"/>
      </w:r>
      <w:r w:rsidRPr="00625268">
        <w:t xml:space="preserve"> the scope and coverage of the scheme has grown to five constituent </w:t>
      </w:r>
      <w:r>
        <w:t>sub-</w:t>
      </w:r>
      <w:r w:rsidRPr="00625268">
        <w:t>program</w:t>
      </w:r>
      <w:r>
        <w:t>me</w:t>
      </w:r>
      <w:r w:rsidRPr="00625268">
        <w:t>s</w:t>
      </w:r>
      <w:r>
        <w:t xml:space="preserve"> covering various types of loans to university and vocational education students</w:t>
      </w:r>
      <w:r w:rsidRPr="00625268">
        <w:t>.</w:t>
      </w:r>
    </w:p>
    <w:p w:rsidR="00590815" w:rsidRDefault="00590815" w:rsidP="00590815">
      <w:pPr>
        <w:pStyle w:val="BodyText"/>
      </w:pPr>
      <w:r w:rsidRPr="001A7C6F">
        <w:t xml:space="preserve">The largest and original </w:t>
      </w:r>
      <w:r>
        <w:t>sub-programme</w:t>
      </w:r>
      <w:r w:rsidRPr="001A7C6F">
        <w:t>, HECS-HELP</w:t>
      </w:r>
      <w:r>
        <w:t>,</w:t>
      </w:r>
      <w:r w:rsidRPr="001A7C6F">
        <w:t xml:space="preserve"> provid</w:t>
      </w:r>
      <w:r>
        <w:t>es</w:t>
      </w:r>
      <w:r w:rsidRPr="001A7C6F">
        <w:t xml:space="preserve"> university fee loans on a concessional basis for students enrolled in </w:t>
      </w:r>
      <w:r>
        <w:t>Government subsidised university places</w:t>
      </w:r>
      <w:r w:rsidRPr="001A7C6F">
        <w:t xml:space="preserve"> </w:t>
      </w:r>
      <w:r>
        <w:t xml:space="preserve">known as </w:t>
      </w:r>
      <w:r w:rsidRPr="001A7C6F">
        <w:t>Commonwealth Supported Places (CSP)</w:t>
      </w:r>
      <w:r>
        <w:t xml:space="preserve">.  HECS-HELP </w:t>
      </w:r>
      <w:r w:rsidRPr="001A7C6F">
        <w:t>account</w:t>
      </w:r>
      <w:r>
        <w:t>ed</w:t>
      </w:r>
      <w:r w:rsidRPr="001A7C6F">
        <w:t xml:space="preserve"> for </w:t>
      </w:r>
      <w:r w:rsidR="00E743FC">
        <w:t>56.6</w:t>
      </w:r>
      <w:r w:rsidRPr="001A7C6F">
        <w:t xml:space="preserve"> per cent of</w:t>
      </w:r>
      <w:r>
        <w:t xml:space="preserve"> new</w:t>
      </w:r>
      <w:r w:rsidRPr="001A7C6F">
        <w:t xml:space="preserve"> HELP loans over the </w:t>
      </w:r>
      <w:r w:rsidR="00E743FC">
        <w:t>period from 2010–11</w:t>
      </w:r>
      <w:r>
        <w:t xml:space="preserve"> to 2015–16.</w:t>
      </w:r>
    </w:p>
    <w:p w:rsidR="00590815" w:rsidRDefault="00590815" w:rsidP="00590815">
      <w:pPr>
        <w:pStyle w:val="BodyText"/>
      </w:pPr>
      <w:r w:rsidRPr="00E743FC">
        <w:t>The other significant sub-programme</w:t>
      </w:r>
      <w:r w:rsidR="00E743FC">
        <w:t xml:space="preserve">s are FEE-HELP and </w:t>
      </w:r>
      <w:r w:rsidRPr="00E743FC">
        <w:t>VET FEE-HELP</w:t>
      </w:r>
      <w:r w:rsidR="00E743FC">
        <w:t xml:space="preserve">.  FEE-HELP provides loans for unsubsidised full-fee paying students enrolled in higher education courses, </w:t>
      </w:r>
      <w:r w:rsidR="00E743FC" w:rsidRPr="00E743FC">
        <w:t xml:space="preserve">and </w:t>
      </w:r>
      <w:r w:rsidR="00E743FC">
        <w:t xml:space="preserve">accounted </w:t>
      </w:r>
      <w:r w:rsidR="00E743FC" w:rsidRPr="001A7C6F">
        <w:t xml:space="preserve">for </w:t>
      </w:r>
      <w:r w:rsidR="00E743FC">
        <w:t>20.5</w:t>
      </w:r>
      <w:r w:rsidR="00E743FC" w:rsidRPr="001A7C6F">
        <w:t xml:space="preserve"> per cent of</w:t>
      </w:r>
      <w:r w:rsidR="00E743FC">
        <w:t xml:space="preserve"> new</w:t>
      </w:r>
      <w:r w:rsidR="00E743FC" w:rsidRPr="001A7C6F">
        <w:t xml:space="preserve"> HELP loans over the </w:t>
      </w:r>
      <w:r w:rsidR="00E743FC">
        <w:t xml:space="preserve">period from 2010–11 to 2015–16.  VET FEE-HELP </w:t>
      </w:r>
      <w:r w:rsidRPr="00E743FC">
        <w:t xml:space="preserve">provides loans for vocational education and training courses at the advanced diploma level and higher, and </w:t>
      </w:r>
      <w:r w:rsidR="00E743FC">
        <w:t xml:space="preserve">accounted </w:t>
      </w:r>
      <w:r w:rsidR="00E743FC" w:rsidRPr="001A7C6F">
        <w:t xml:space="preserve">for </w:t>
      </w:r>
      <w:r w:rsidR="00E743FC">
        <w:t>21.0</w:t>
      </w:r>
      <w:r w:rsidR="00E743FC" w:rsidRPr="001A7C6F">
        <w:t xml:space="preserve"> per cent of</w:t>
      </w:r>
      <w:r w:rsidR="00E743FC">
        <w:t xml:space="preserve"> new</w:t>
      </w:r>
      <w:r w:rsidR="00E743FC" w:rsidRPr="001A7C6F">
        <w:t xml:space="preserve"> HELP loans over the </w:t>
      </w:r>
      <w:r w:rsidR="00E743FC">
        <w:t>period from 2010–11 to 2015–16</w:t>
      </w:r>
      <w:r w:rsidRPr="00E743FC">
        <w:t>.</w:t>
      </w:r>
      <w:r w:rsidRPr="00A574EA">
        <w:rPr>
          <w:rStyle w:val="FootnoteReference"/>
        </w:rPr>
        <w:footnoteReference w:id="3"/>
      </w:r>
    </w:p>
    <w:p w:rsidR="00590815" w:rsidRDefault="00590815" w:rsidP="00590815">
      <w:pPr>
        <w:pStyle w:val="BodyText"/>
      </w:pPr>
      <w:r w:rsidRPr="00A56E4A">
        <w:t xml:space="preserve">Loans from the separate </w:t>
      </w:r>
      <w:r>
        <w:t>sub-</w:t>
      </w:r>
      <w:r w:rsidRPr="00A56E4A">
        <w:t>program</w:t>
      </w:r>
      <w:r>
        <w:t>me</w:t>
      </w:r>
      <w:r w:rsidRPr="00A56E4A">
        <w:t xml:space="preserve">s are combined into a single </w:t>
      </w:r>
      <w:r>
        <w:t xml:space="preserve">pool of loans that are owed to </w:t>
      </w:r>
      <w:r w:rsidRPr="00A56E4A">
        <w:t>the Government (</w:t>
      </w:r>
      <w:r>
        <w:t>‘HELP loan portfolio’</w:t>
      </w:r>
      <w:r w:rsidRPr="00A56E4A">
        <w:t>).</w:t>
      </w:r>
    </w:p>
    <w:p w:rsidR="00590815" w:rsidRDefault="00590815" w:rsidP="00590815">
      <w:pPr>
        <w:pStyle w:val="BodyText"/>
      </w:pPr>
      <w:r>
        <w:t>HELP loans have two</w:t>
      </w:r>
      <w:r w:rsidRPr="00625268">
        <w:t xml:space="preserve"> defining characteristics</w:t>
      </w:r>
      <w:r>
        <w:t>:</w:t>
      </w:r>
    </w:p>
    <w:p w:rsidR="00590815" w:rsidRDefault="00590815" w:rsidP="00590815">
      <w:pPr>
        <w:pStyle w:val="ListBullet"/>
      </w:pPr>
      <w:r>
        <w:rPr>
          <w:b/>
        </w:rPr>
        <w:t>Income contingency:</w:t>
      </w:r>
      <w:r>
        <w:t xml:space="preserve">  Students</w:t>
      </w:r>
      <w:r w:rsidRPr="003C7471">
        <w:t xml:space="preserve"> are only required to repay</w:t>
      </w:r>
      <w:r>
        <w:t xml:space="preserve"> their HELP loans</w:t>
      </w:r>
      <w:r w:rsidRPr="003C7471">
        <w:t xml:space="preserve"> once the</w:t>
      </w:r>
      <w:r>
        <w:t>ir income exceeds a repayment threshold.</w:t>
      </w:r>
    </w:p>
    <w:p w:rsidR="00590815" w:rsidRDefault="00590815" w:rsidP="00590815">
      <w:pPr>
        <w:pStyle w:val="ListBullet"/>
      </w:pPr>
      <w:proofErr w:type="spellStart"/>
      <w:r>
        <w:rPr>
          <w:b/>
        </w:rPr>
        <w:t>Concessionality</w:t>
      </w:r>
      <w:proofErr w:type="spellEnd"/>
      <w:r>
        <w:rPr>
          <w:b/>
        </w:rPr>
        <w:t>:</w:t>
      </w:r>
      <w:r>
        <w:t xml:space="preserve">  The outstanding loan balances are indexed annually to changes in the Consumer Price Index (CPI).  Since CPI inflation is typically lower than the Government’s cost of borrowing, HELP loans are provided to students on a concessional basis.</w:t>
      </w:r>
    </w:p>
    <w:p w:rsidR="00590815" w:rsidRDefault="00590815" w:rsidP="00590815">
      <w:pPr>
        <w:pStyle w:val="Caption"/>
      </w:pPr>
      <w:r w:rsidRPr="00590815">
        <w:lastRenderedPageBreak/>
        <w:t xml:space="preserve">Table </w:t>
      </w:r>
      <w:fldSimple w:instr=" STYLEREF 1 \s ">
        <w:r w:rsidR="00CA5C2D">
          <w:rPr>
            <w:noProof/>
          </w:rPr>
          <w:t>1</w:t>
        </w:r>
      </w:fldSimple>
      <w:r w:rsidRPr="00590815">
        <w:t>–</w:t>
      </w:r>
      <w:fldSimple w:instr=" SEQ Table \* ARABIC \s 1 ">
        <w:r w:rsidR="00CA5C2D">
          <w:rPr>
            <w:noProof/>
          </w:rPr>
          <w:t>1</w:t>
        </w:r>
      </w:fldSimple>
      <w:r w:rsidRPr="00590815">
        <w:t xml:space="preserve">: </w:t>
      </w:r>
      <w:r>
        <w:t>How HELP works</w:t>
      </w:r>
    </w:p>
    <w:tbl>
      <w:tblPr>
        <w:tblStyle w:val="TableGrid"/>
        <w:tblW w:w="5000" w:type="pct"/>
        <w:tblBorders>
          <w:top w:val="single" w:sz="4" w:space="0" w:color="auto"/>
          <w:left w:val="single" w:sz="4" w:space="0" w:color="auto"/>
          <w:bottom w:val="single" w:sz="4" w:space="0" w:color="auto"/>
          <w:right w:val="single" w:sz="4" w:space="0" w:color="auto"/>
        </w:tblBorders>
        <w:tblLook w:val="0480" w:firstRow="0" w:lastRow="0" w:firstColumn="1" w:lastColumn="0" w:noHBand="0" w:noVBand="1"/>
      </w:tblPr>
      <w:tblGrid>
        <w:gridCol w:w="2555"/>
        <w:gridCol w:w="5767"/>
      </w:tblGrid>
      <w:tr w:rsidR="00590815" w:rsidTr="004B77F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35" w:type="pct"/>
            <w:tcBorders>
              <w:top w:val="none" w:sz="0" w:space="0" w:color="auto"/>
              <w:left w:val="none" w:sz="0" w:space="0" w:color="auto"/>
              <w:bottom w:val="none" w:sz="0" w:space="0" w:color="auto"/>
              <w:right w:val="single" w:sz="4" w:space="0" w:color="auto"/>
              <w:tl2br w:val="none" w:sz="0" w:space="0" w:color="auto"/>
              <w:tr2bl w:val="none" w:sz="0" w:space="0" w:color="auto"/>
            </w:tcBorders>
            <w:shd w:val="clear" w:color="auto" w:fill="2B3B5F" w:themeFill="text2"/>
            <w:vAlign w:val="top"/>
          </w:tcPr>
          <w:p w:rsidR="00590815" w:rsidRPr="009D5D9A" w:rsidRDefault="00590815" w:rsidP="00A5365E">
            <w:pPr>
              <w:pStyle w:val="TableText"/>
              <w:keepNext/>
              <w:keepLines/>
              <w:spacing w:before="60" w:after="60"/>
              <w:rPr>
                <w:b/>
                <w:sz w:val="18"/>
                <w:szCs w:val="18"/>
              </w:rPr>
            </w:pPr>
            <w:r w:rsidRPr="009D5D9A">
              <w:rPr>
                <w:b/>
                <w:sz w:val="18"/>
                <w:szCs w:val="18"/>
              </w:rPr>
              <w:t>Students</w:t>
            </w:r>
          </w:p>
        </w:tc>
        <w:tc>
          <w:tcPr>
            <w:tcW w:w="3465" w:type="pct"/>
            <w:tcBorders>
              <w:top w:val="single" w:sz="4" w:space="0" w:color="auto"/>
              <w:left w:val="single" w:sz="4" w:space="0" w:color="auto"/>
              <w:bottom w:val="single" w:sz="4" w:space="0" w:color="auto"/>
              <w:right w:val="none" w:sz="0" w:space="0" w:color="auto"/>
              <w:tl2br w:val="none" w:sz="0" w:space="0" w:color="auto"/>
              <w:tr2bl w:val="none" w:sz="0" w:space="0" w:color="auto"/>
            </w:tcBorders>
          </w:tcPr>
          <w:p w:rsidR="00590815" w:rsidRPr="009D5D9A" w:rsidRDefault="00590815" w:rsidP="00A5365E">
            <w:pPr>
              <w:pStyle w:val="TableTextCentred"/>
              <w:keepNext/>
              <w:keepLines/>
              <w:spacing w:before="60" w:after="60"/>
              <w:jc w:val="left"/>
              <w:cnfStyle w:val="000000100000" w:firstRow="0" w:lastRow="0" w:firstColumn="0" w:lastColumn="0" w:oddVBand="0" w:evenVBand="0" w:oddHBand="1" w:evenHBand="0" w:firstRowFirstColumn="0" w:firstRowLastColumn="0" w:lastRowFirstColumn="0" w:lastRowLastColumn="0"/>
              <w:rPr>
                <w:sz w:val="18"/>
                <w:szCs w:val="18"/>
              </w:rPr>
            </w:pPr>
            <w:r w:rsidRPr="009D5D9A">
              <w:rPr>
                <w:sz w:val="18"/>
                <w:szCs w:val="18"/>
              </w:rPr>
              <w:t xml:space="preserve">Students </w:t>
            </w:r>
            <w:r>
              <w:rPr>
                <w:sz w:val="18"/>
                <w:szCs w:val="18"/>
              </w:rPr>
              <w:t xml:space="preserve">enrol </w:t>
            </w:r>
            <w:r w:rsidRPr="009D5D9A">
              <w:rPr>
                <w:sz w:val="18"/>
                <w:szCs w:val="18"/>
              </w:rPr>
              <w:t xml:space="preserve">in </w:t>
            </w:r>
            <w:r>
              <w:rPr>
                <w:sz w:val="18"/>
                <w:szCs w:val="18"/>
              </w:rPr>
              <w:t>an eligible</w:t>
            </w:r>
            <w:r w:rsidRPr="009D5D9A">
              <w:rPr>
                <w:sz w:val="18"/>
                <w:szCs w:val="18"/>
              </w:rPr>
              <w:t xml:space="preserve"> co</w:t>
            </w:r>
            <w:r>
              <w:rPr>
                <w:sz w:val="18"/>
                <w:szCs w:val="18"/>
              </w:rPr>
              <w:t xml:space="preserve">urse at an approved institution.  </w:t>
            </w:r>
            <w:r w:rsidRPr="0079210F">
              <w:rPr>
                <w:sz w:val="18"/>
                <w:szCs w:val="18"/>
              </w:rPr>
              <w:t xml:space="preserve">Students elect to either pay their contributions </w:t>
            </w:r>
            <w:r>
              <w:rPr>
                <w:sz w:val="18"/>
                <w:szCs w:val="18"/>
              </w:rPr>
              <w:t xml:space="preserve">(fees) </w:t>
            </w:r>
            <w:r w:rsidRPr="0079210F">
              <w:rPr>
                <w:sz w:val="18"/>
                <w:szCs w:val="18"/>
              </w:rPr>
              <w:t xml:space="preserve">upfront, or defer payment and take out a </w:t>
            </w:r>
            <w:r>
              <w:rPr>
                <w:sz w:val="18"/>
                <w:szCs w:val="18"/>
              </w:rPr>
              <w:t>HELP loan from the Government.</w:t>
            </w:r>
          </w:p>
        </w:tc>
      </w:tr>
      <w:tr w:rsidR="00590815" w:rsidTr="004B77FE">
        <w:trPr>
          <w:cantSplit/>
        </w:trPr>
        <w:tc>
          <w:tcPr>
            <w:cnfStyle w:val="001000000000" w:firstRow="0" w:lastRow="0" w:firstColumn="1" w:lastColumn="0" w:oddVBand="0" w:evenVBand="0" w:oddHBand="0" w:evenHBand="0" w:firstRowFirstColumn="0" w:firstRowLastColumn="0" w:lastRowFirstColumn="0" w:lastRowLastColumn="0"/>
            <w:tcW w:w="1535" w:type="pct"/>
            <w:tcBorders>
              <w:right w:val="single" w:sz="4" w:space="0" w:color="auto"/>
            </w:tcBorders>
            <w:shd w:val="clear" w:color="auto" w:fill="2B3B5F" w:themeFill="text2"/>
            <w:vAlign w:val="top"/>
          </w:tcPr>
          <w:p w:rsidR="00590815" w:rsidRPr="009D5D9A" w:rsidRDefault="00590815" w:rsidP="00265D70">
            <w:pPr>
              <w:pStyle w:val="TableText"/>
              <w:keepNext/>
              <w:keepLines/>
              <w:spacing w:before="60" w:after="60"/>
              <w:rPr>
                <w:b/>
                <w:sz w:val="18"/>
                <w:szCs w:val="18"/>
              </w:rPr>
            </w:pPr>
            <w:r w:rsidRPr="009D5D9A">
              <w:rPr>
                <w:b/>
                <w:sz w:val="18"/>
                <w:szCs w:val="18"/>
              </w:rPr>
              <w:t>Higher education institution</w:t>
            </w:r>
          </w:p>
        </w:tc>
        <w:tc>
          <w:tcPr>
            <w:tcW w:w="3465" w:type="pct"/>
            <w:tcBorders>
              <w:top w:val="single" w:sz="4" w:space="0" w:color="auto"/>
              <w:left w:val="single" w:sz="4" w:space="0" w:color="auto"/>
              <w:bottom w:val="single" w:sz="4" w:space="0" w:color="auto"/>
            </w:tcBorders>
          </w:tcPr>
          <w:p w:rsidR="00590815" w:rsidRPr="009D5D9A" w:rsidRDefault="00590815" w:rsidP="00A5365E">
            <w:pPr>
              <w:pStyle w:val="TableTextCentred"/>
              <w:keepNext/>
              <w:keepLines/>
              <w:spacing w:before="60" w:after="60"/>
              <w:jc w:val="lef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For CSP students, the </w:t>
            </w:r>
            <w:r w:rsidRPr="009D5D9A">
              <w:rPr>
                <w:sz w:val="18"/>
                <w:szCs w:val="18"/>
              </w:rPr>
              <w:t xml:space="preserve">Government provides a direct subsidy </w:t>
            </w:r>
            <w:r>
              <w:rPr>
                <w:sz w:val="18"/>
                <w:szCs w:val="18"/>
              </w:rPr>
              <w:t xml:space="preserve">to the education institution </w:t>
            </w:r>
            <w:r w:rsidRPr="009D5D9A">
              <w:rPr>
                <w:sz w:val="18"/>
                <w:szCs w:val="18"/>
              </w:rPr>
              <w:t>for the CSP</w:t>
            </w:r>
            <w:r>
              <w:rPr>
                <w:sz w:val="18"/>
                <w:szCs w:val="18"/>
              </w:rPr>
              <w:t xml:space="preserve"> student under the </w:t>
            </w:r>
            <w:r w:rsidR="00772249">
              <w:rPr>
                <w:sz w:val="18"/>
                <w:szCs w:val="18"/>
              </w:rPr>
              <w:t>Commonwealth Grant Scheme</w:t>
            </w:r>
            <w:r>
              <w:rPr>
                <w:sz w:val="18"/>
                <w:szCs w:val="18"/>
              </w:rPr>
              <w:t>.  For those CSP students who defer their fees and take out a HELP loan, the Government</w:t>
            </w:r>
            <w:r w:rsidRPr="009D5D9A">
              <w:rPr>
                <w:sz w:val="18"/>
                <w:szCs w:val="18"/>
              </w:rPr>
              <w:t xml:space="preserve"> </w:t>
            </w:r>
            <w:r>
              <w:rPr>
                <w:sz w:val="18"/>
                <w:szCs w:val="18"/>
              </w:rPr>
              <w:t xml:space="preserve">also pays </w:t>
            </w:r>
            <w:r w:rsidRPr="009D5D9A">
              <w:rPr>
                <w:sz w:val="18"/>
                <w:szCs w:val="18"/>
              </w:rPr>
              <w:t xml:space="preserve">the student contribution to the institution.  The </w:t>
            </w:r>
            <w:r>
              <w:rPr>
                <w:sz w:val="18"/>
                <w:szCs w:val="18"/>
              </w:rPr>
              <w:t xml:space="preserve">direct </w:t>
            </w:r>
            <w:r w:rsidRPr="009D5D9A">
              <w:rPr>
                <w:sz w:val="18"/>
                <w:szCs w:val="18"/>
              </w:rPr>
              <w:t xml:space="preserve">subsidy </w:t>
            </w:r>
            <w:r>
              <w:rPr>
                <w:sz w:val="18"/>
                <w:szCs w:val="18"/>
              </w:rPr>
              <w:t xml:space="preserve">to the education institution </w:t>
            </w:r>
            <w:r w:rsidRPr="009D5D9A">
              <w:rPr>
                <w:sz w:val="18"/>
                <w:szCs w:val="18"/>
              </w:rPr>
              <w:t>and the student contribution</w:t>
            </w:r>
            <w:r>
              <w:rPr>
                <w:sz w:val="18"/>
                <w:szCs w:val="18"/>
              </w:rPr>
              <w:t>,</w:t>
            </w:r>
            <w:r w:rsidRPr="009D5D9A">
              <w:rPr>
                <w:sz w:val="18"/>
                <w:szCs w:val="18"/>
              </w:rPr>
              <w:t xml:space="preserve"> together</w:t>
            </w:r>
            <w:r>
              <w:rPr>
                <w:sz w:val="18"/>
                <w:szCs w:val="18"/>
              </w:rPr>
              <w:t>,</w:t>
            </w:r>
            <w:r w:rsidRPr="009D5D9A">
              <w:rPr>
                <w:sz w:val="18"/>
                <w:szCs w:val="18"/>
              </w:rPr>
              <w:t xml:space="preserve"> account for the </w:t>
            </w:r>
            <w:r>
              <w:rPr>
                <w:sz w:val="18"/>
                <w:szCs w:val="18"/>
              </w:rPr>
              <w:t xml:space="preserve">total </w:t>
            </w:r>
            <w:r w:rsidRPr="009D5D9A">
              <w:rPr>
                <w:sz w:val="18"/>
                <w:szCs w:val="18"/>
              </w:rPr>
              <w:t>course fee</w:t>
            </w:r>
            <w:r>
              <w:rPr>
                <w:sz w:val="18"/>
                <w:szCs w:val="18"/>
              </w:rPr>
              <w:t xml:space="preserve"> received by the institution</w:t>
            </w:r>
            <w:r w:rsidRPr="009D5D9A">
              <w:rPr>
                <w:sz w:val="18"/>
                <w:szCs w:val="18"/>
              </w:rPr>
              <w:t>.</w:t>
            </w:r>
          </w:p>
        </w:tc>
      </w:tr>
      <w:tr w:rsidR="00590815" w:rsidTr="004B77F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35" w:type="pct"/>
            <w:tcBorders>
              <w:top w:val="none" w:sz="0" w:space="0" w:color="auto"/>
              <w:left w:val="none" w:sz="0" w:space="0" w:color="auto"/>
              <w:bottom w:val="none" w:sz="0" w:space="0" w:color="auto"/>
              <w:right w:val="single" w:sz="4" w:space="0" w:color="auto"/>
              <w:tl2br w:val="none" w:sz="0" w:space="0" w:color="auto"/>
              <w:tr2bl w:val="none" w:sz="0" w:space="0" w:color="auto"/>
            </w:tcBorders>
            <w:shd w:val="clear" w:color="auto" w:fill="2B3B5F" w:themeFill="text2"/>
            <w:vAlign w:val="top"/>
          </w:tcPr>
          <w:p w:rsidR="00590815" w:rsidRPr="009D5D9A" w:rsidRDefault="00590815" w:rsidP="00A5365E">
            <w:pPr>
              <w:pStyle w:val="TableText"/>
              <w:keepNext/>
              <w:keepLines/>
              <w:spacing w:before="60" w:after="60"/>
              <w:rPr>
                <w:b/>
                <w:sz w:val="18"/>
                <w:szCs w:val="18"/>
              </w:rPr>
            </w:pPr>
            <w:r w:rsidRPr="009D5D9A">
              <w:rPr>
                <w:b/>
                <w:sz w:val="18"/>
                <w:szCs w:val="18"/>
              </w:rPr>
              <w:t>Concessional loan</w:t>
            </w:r>
          </w:p>
        </w:tc>
        <w:tc>
          <w:tcPr>
            <w:tcW w:w="3465" w:type="pct"/>
            <w:tcBorders>
              <w:top w:val="single" w:sz="4" w:space="0" w:color="auto"/>
              <w:left w:val="single" w:sz="4" w:space="0" w:color="auto"/>
              <w:bottom w:val="single" w:sz="4" w:space="0" w:color="auto"/>
              <w:right w:val="none" w:sz="0" w:space="0" w:color="auto"/>
              <w:tl2br w:val="none" w:sz="0" w:space="0" w:color="auto"/>
              <w:tr2bl w:val="none" w:sz="0" w:space="0" w:color="auto"/>
            </w:tcBorders>
          </w:tcPr>
          <w:p w:rsidR="00590815" w:rsidRPr="009D5D9A" w:rsidRDefault="00590815" w:rsidP="00C63A77">
            <w:pPr>
              <w:pStyle w:val="TableTextCentred"/>
              <w:keepNext/>
              <w:keepLines/>
              <w:spacing w:before="60" w:after="60"/>
              <w:jc w:val="left"/>
              <w:cnfStyle w:val="000000100000" w:firstRow="0" w:lastRow="0" w:firstColumn="0" w:lastColumn="0" w:oddVBand="0" w:evenVBand="0" w:oddHBand="1" w:evenHBand="0" w:firstRowFirstColumn="0" w:firstRowLastColumn="0" w:lastRowFirstColumn="0" w:lastRowLastColumn="0"/>
              <w:rPr>
                <w:sz w:val="18"/>
                <w:szCs w:val="18"/>
              </w:rPr>
            </w:pPr>
            <w:r w:rsidRPr="009D5D9A">
              <w:rPr>
                <w:sz w:val="18"/>
                <w:szCs w:val="18"/>
              </w:rPr>
              <w:t xml:space="preserve">The student contribution is treated as a loan </w:t>
            </w:r>
            <w:r>
              <w:rPr>
                <w:sz w:val="18"/>
                <w:szCs w:val="18"/>
              </w:rPr>
              <w:t xml:space="preserve">to the student </w:t>
            </w:r>
            <w:r w:rsidRPr="009D5D9A">
              <w:rPr>
                <w:sz w:val="18"/>
                <w:szCs w:val="18"/>
              </w:rPr>
              <w:t xml:space="preserve">indexed to </w:t>
            </w:r>
            <w:r>
              <w:rPr>
                <w:sz w:val="18"/>
                <w:szCs w:val="18"/>
              </w:rPr>
              <w:t xml:space="preserve">annual changes in </w:t>
            </w:r>
            <w:r w:rsidRPr="009D5D9A">
              <w:rPr>
                <w:sz w:val="18"/>
                <w:szCs w:val="18"/>
              </w:rPr>
              <w:t>the Consumer Price Index (CPI</w:t>
            </w:r>
            <w:r w:rsidR="0037293C">
              <w:rPr>
                <w:sz w:val="18"/>
                <w:szCs w:val="18"/>
              </w:rPr>
              <w:t>)</w:t>
            </w:r>
            <w:r>
              <w:rPr>
                <w:sz w:val="18"/>
                <w:szCs w:val="18"/>
              </w:rPr>
              <w:t xml:space="preserve">.  The loan is </w:t>
            </w:r>
            <w:r w:rsidRPr="009D5D9A">
              <w:rPr>
                <w:sz w:val="18"/>
                <w:szCs w:val="18"/>
              </w:rPr>
              <w:t>concession</w:t>
            </w:r>
            <w:r>
              <w:rPr>
                <w:sz w:val="18"/>
                <w:szCs w:val="18"/>
              </w:rPr>
              <w:t>al</w:t>
            </w:r>
            <w:r w:rsidRPr="009D5D9A">
              <w:rPr>
                <w:sz w:val="18"/>
                <w:szCs w:val="18"/>
              </w:rPr>
              <w:t xml:space="preserve"> </w:t>
            </w:r>
            <w:r>
              <w:rPr>
                <w:sz w:val="18"/>
                <w:szCs w:val="18"/>
              </w:rPr>
              <w:t>because</w:t>
            </w:r>
            <w:r w:rsidRPr="009D5D9A">
              <w:rPr>
                <w:sz w:val="18"/>
                <w:szCs w:val="18"/>
              </w:rPr>
              <w:t xml:space="preserve"> CPI inflation</w:t>
            </w:r>
            <w:r>
              <w:rPr>
                <w:sz w:val="18"/>
                <w:szCs w:val="18"/>
              </w:rPr>
              <w:t xml:space="preserve"> (the rate of interest payable by the student)</w:t>
            </w:r>
            <w:r w:rsidRPr="009D5D9A">
              <w:rPr>
                <w:sz w:val="18"/>
                <w:szCs w:val="18"/>
              </w:rPr>
              <w:t xml:space="preserve"> is typically lower than the G</w:t>
            </w:r>
            <w:r>
              <w:rPr>
                <w:sz w:val="18"/>
                <w:szCs w:val="18"/>
              </w:rPr>
              <w:t>overnment’s cost of borrowing.</w:t>
            </w:r>
          </w:p>
        </w:tc>
      </w:tr>
      <w:tr w:rsidR="00590815" w:rsidTr="004B77FE">
        <w:trPr>
          <w:cantSplit/>
        </w:trPr>
        <w:tc>
          <w:tcPr>
            <w:cnfStyle w:val="001000000000" w:firstRow="0" w:lastRow="0" w:firstColumn="1" w:lastColumn="0" w:oddVBand="0" w:evenVBand="0" w:oddHBand="0" w:evenHBand="0" w:firstRowFirstColumn="0" w:firstRowLastColumn="0" w:lastRowFirstColumn="0" w:lastRowLastColumn="0"/>
            <w:tcW w:w="1535" w:type="pct"/>
            <w:tcBorders>
              <w:right w:val="single" w:sz="4" w:space="0" w:color="auto"/>
            </w:tcBorders>
            <w:shd w:val="clear" w:color="auto" w:fill="2B3B5F" w:themeFill="text2"/>
            <w:vAlign w:val="top"/>
          </w:tcPr>
          <w:p w:rsidR="00590815" w:rsidRPr="009D5D9A" w:rsidRDefault="00590815" w:rsidP="00A5365E">
            <w:pPr>
              <w:pStyle w:val="TableText"/>
              <w:keepNext/>
              <w:keepLines/>
              <w:spacing w:before="60" w:after="60"/>
              <w:rPr>
                <w:b/>
                <w:sz w:val="18"/>
                <w:szCs w:val="18"/>
              </w:rPr>
            </w:pPr>
            <w:r w:rsidRPr="009D5D9A">
              <w:rPr>
                <w:b/>
                <w:sz w:val="18"/>
                <w:szCs w:val="18"/>
              </w:rPr>
              <w:t>Government financing</w:t>
            </w:r>
          </w:p>
        </w:tc>
        <w:tc>
          <w:tcPr>
            <w:tcW w:w="3465" w:type="pct"/>
            <w:tcBorders>
              <w:top w:val="single" w:sz="4" w:space="0" w:color="auto"/>
              <w:left w:val="single" w:sz="4" w:space="0" w:color="auto"/>
              <w:bottom w:val="single" w:sz="4" w:space="0" w:color="auto"/>
            </w:tcBorders>
          </w:tcPr>
          <w:p w:rsidR="00590815" w:rsidRPr="009D5D9A" w:rsidRDefault="00590815" w:rsidP="00265D70">
            <w:pPr>
              <w:pStyle w:val="TableTextCentred"/>
              <w:keepNext/>
              <w:keepLines/>
              <w:spacing w:before="60" w:after="60"/>
              <w:jc w:val="left"/>
              <w:cnfStyle w:val="000000000000" w:firstRow="0" w:lastRow="0" w:firstColumn="0" w:lastColumn="0" w:oddVBand="0" w:evenVBand="0" w:oddHBand="0" w:evenHBand="0" w:firstRowFirstColumn="0" w:firstRowLastColumn="0" w:lastRowFirstColumn="0" w:lastRowLastColumn="0"/>
              <w:rPr>
                <w:sz w:val="18"/>
                <w:szCs w:val="18"/>
              </w:rPr>
            </w:pPr>
            <w:r w:rsidRPr="009D5D9A">
              <w:rPr>
                <w:sz w:val="18"/>
                <w:szCs w:val="18"/>
              </w:rPr>
              <w:t xml:space="preserve">The Government funds new HELP loans through </w:t>
            </w:r>
            <w:r w:rsidR="00850F7F">
              <w:rPr>
                <w:sz w:val="18"/>
                <w:szCs w:val="18"/>
              </w:rPr>
              <w:t>Government borrowing</w:t>
            </w:r>
            <w:r w:rsidR="00850F7F" w:rsidRPr="009D5D9A">
              <w:rPr>
                <w:sz w:val="18"/>
                <w:szCs w:val="18"/>
              </w:rPr>
              <w:t xml:space="preserve"> </w:t>
            </w:r>
            <w:r w:rsidR="00850F7F">
              <w:rPr>
                <w:sz w:val="18"/>
                <w:szCs w:val="18"/>
              </w:rPr>
              <w:t xml:space="preserve">taking the form of </w:t>
            </w:r>
            <w:r w:rsidRPr="009D5D9A">
              <w:rPr>
                <w:sz w:val="18"/>
                <w:szCs w:val="18"/>
              </w:rPr>
              <w:t>the issuance of Commonwealth Government Securities.  In doing so, the Government incurs a cost for financing the loans in the form of public debt interest</w:t>
            </w:r>
            <w:r>
              <w:rPr>
                <w:sz w:val="18"/>
                <w:szCs w:val="18"/>
              </w:rPr>
              <w:t xml:space="preserve"> payments</w:t>
            </w:r>
            <w:r w:rsidRPr="009D5D9A">
              <w:rPr>
                <w:sz w:val="18"/>
                <w:szCs w:val="18"/>
              </w:rPr>
              <w:t>.</w:t>
            </w:r>
          </w:p>
        </w:tc>
      </w:tr>
      <w:tr w:rsidR="00590815" w:rsidTr="004B77F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35" w:type="pct"/>
            <w:tcBorders>
              <w:top w:val="none" w:sz="0" w:space="0" w:color="auto"/>
              <w:left w:val="none" w:sz="0" w:space="0" w:color="auto"/>
              <w:bottom w:val="none" w:sz="0" w:space="0" w:color="auto"/>
              <w:right w:val="single" w:sz="4" w:space="0" w:color="auto"/>
              <w:tl2br w:val="none" w:sz="0" w:space="0" w:color="auto"/>
              <w:tr2bl w:val="none" w:sz="0" w:space="0" w:color="auto"/>
            </w:tcBorders>
            <w:shd w:val="clear" w:color="auto" w:fill="2B3B5F" w:themeFill="text2"/>
            <w:vAlign w:val="top"/>
          </w:tcPr>
          <w:p w:rsidR="00590815" w:rsidRPr="009D5D9A" w:rsidRDefault="00590815" w:rsidP="00A5365E">
            <w:pPr>
              <w:pStyle w:val="TableText"/>
              <w:keepNext/>
              <w:keepLines/>
              <w:spacing w:before="60" w:after="60"/>
              <w:rPr>
                <w:b/>
                <w:sz w:val="18"/>
                <w:szCs w:val="18"/>
              </w:rPr>
            </w:pPr>
            <w:r w:rsidRPr="009D5D9A">
              <w:rPr>
                <w:b/>
                <w:sz w:val="18"/>
                <w:szCs w:val="18"/>
              </w:rPr>
              <w:t>Income-contingent repayment</w:t>
            </w:r>
          </w:p>
        </w:tc>
        <w:tc>
          <w:tcPr>
            <w:tcW w:w="3465" w:type="pct"/>
            <w:tcBorders>
              <w:top w:val="single" w:sz="4" w:space="0" w:color="auto"/>
              <w:left w:val="single" w:sz="4" w:space="0" w:color="auto"/>
              <w:bottom w:val="single" w:sz="4" w:space="0" w:color="auto"/>
              <w:right w:val="none" w:sz="0" w:space="0" w:color="auto"/>
              <w:tl2br w:val="none" w:sz="0" w:space="0" w:color="auto"/>
              <w:tr2bl w:val="none" w:sz="0" w:space="0" w:color="auto"/>
            </w:tcBorders>
          </w:tcPr>
          <w:p w:rsidR="00590815" w:rsidRDefault="00590815" w:rsidP="00A5365E">
            <w:pPr>
              <w:pStyle w:val="TableTextCentred"/>
              <w:keepNext/>
              <w:keepLines/>
              <w:spacing w:before="60" w:after="60"/>
              <w:jc w:val="left"/>
              <w:cnfStyle w:val="000000100000" w:firstRow="0" w:lastRow="0" w:firstColumn="0" w:lastColumn="0" w:oddVBand="0" w:evenVBand="0" w:oddHBand="1" w:evenHBand="0" w:firstRowFirstColumn="0" w:firstRowLastColumn="0" w:lastRowFirstColumn="0" w:lastRowLastColumn="0"/>
              <w:rPr>
                <w:sz w:val="18"/>
                <w:szCs w:val="18"/>
              </w:rPr>
            </w:pPr>
            <w:r w:rsidRPr="009D5D9A">
              <w:rPr>
                <w:sz w:val="18"/>
                <w:szCs w:val="18"/>
              </w:rPr>
              <w:t xml:space="preserve">Subject to the level of the borrower’s income, the borrower repays his or her HELP loan to the Australian Taxation Office.  </w:t>
            </w:r>
            <w:r>
              <w:rPr>
                <w:sz w:val="18"/>
                <w:szCs w:val="18"/>
              </w:rPr>
              <w:t>P</w:t>
            </w:r>
            <w:r w:rsidRPr="009D5D9A">
              <w:rPr>
                <w:sz w:val="18"/>
                <w:szCs w:val="18"/>
              </w:rPr>
              <w:t>ayments are made according to income thresholds and repayment rates</w:t>
            </w:r>
            <w:r>
              <w:rPr>
                <w:sz w:val="18"/>
                <w:szCs w:val="18"/>
              </w:rPr>
              <w:t xml:space="preserve"> that are set annually by the Government</w:t>
            </w:r>
            <w:r w:rsidRPr="009D5D9A">
              <w:rPr>
                <w:sz w:val="18"/>
                <w:szCs w:val="18"/>
              </w:rPr>
              <w:t>.</w:t>
            </w:r>
          </w:p>
          <w:p w:rsidR="00590815" w:rsidRPr="009D5D9A" w:rsidRDefault="00590815" w:rsidP="00A5365E">
            <w:pPr>
              <w:pStyle w:val="TableTextCentred"/>
              <w:keepNext/>
              <w:keepLines/>
              <w:spacing w:before="60" w:after="60"/>
              <w:jc w:val="left"/>
              <w:cnfStyle w:val="000000100000" w:firstRow="0" w:lastRow="0" w:firstColumn="0" w:lastColumn="0" w:oddVBand="0" w:evenVBand="0" w:oddHBand="1" w:evenHBand="0" w:firstRowFirstColumn="0" w:firstRowLastColumn="0" w:lastRowFirstColumn="0" w:lastRowLastColumn="0"/>
              <w:rPr>
                <w:sz w:val="18"/>
                <w:szCs w:val="18"/>
              </w:rPr>
            </w:pPr>
            <w:r w:rsidRPr="002F5022">
              <w:rPr>
                <w:sz w:val="18"/>
                <w:szCs w:val="18"/>
              </w:rPr>
              <w:t>HELP loans are currently repaid by borrowers over an average of nine years, but the length of time taken for individuals to repay their loans varies widely depending on individual</w:t>
            </w:r>
            <w:r>
              <w:rPr>
                <w:sz w:val="18"/>
                <w:szCs w:val="18"/>
              </w:rPr>
              <w:t xml:space="preserve"> </w:t>
            </w:r>
            <w:r w:rsidRPr="002F5022">
              <w:rPr>
                <w:sz w:val="18"/>
                <w:szCs w:val="18"/>
              </w:rPr>
              <w:t>circumstances.</w:t>
            </w:r>
          </w:p>
        </w:tc>
      </w:tr>
      <w:tr w:rsidR="00590815" w:rsidTr="004B77FE">
        <w:trPr>
          <w:cantSplit/>
        </w:trPr>
        <w:tc>
          <w:tcPr>
            <w:cnfStyle w:val="001000000000" w:firstRow="0" w:lastRow="0" w:firstColumn="1" w:lastColumn="0" w:oddVBand="0" w:evenVBand="0" w:oddHBand="0" w:evenHBand="0" w:firstRowFirstColumn="0" w:firstRowLastColumn="0" w:lastRowFirstColumn="0" w:lastRowLastColumn="0"/>
            <w:tcW w:w="1535" w:type="pct"/>
            <w:tcBorders>
              <w:right w:val="single" w:sz="4" w:space="0" w:color="auto"/>
            </w:tcBorders>
            <w:shd w:val="clear" w:color="auto" w:fill="2B3B5F" w:themeFill="text2"/>
            <w:vAlign w:val="top"/>
          </w:tcPr>
          <w:p w:rsidR="00590815" w:rsidRPr="009D5D9A" w:rsidRDefault="00590815" w:rsidP="00A5365E">
            <w:pPr>
              <w:pStyle w:val="TableText"/>
              <w:keepNext/>
              <w:keepLines/>
              <w:spacing w:before="60" w:after="60"/>
              <w:rPr>
                <w:b/>
                <w:sz w:val="18"/>
                <w:szCs w:val="18"/>
              </w:rPr>
            </w:pPr>
            <w:r>
              <w:rPr>
                <w:b/>
                <w:sz w:val="18"/>
                <w:szCs w:val="18"/>
              </w:rPr>
              <w:t>Doubtful debts</w:t>
            </w:r>
            <w:r w:rsidRPr="009D5D9A">
              <w:rPr>
                <w:b/>
                <w:sz w:val="18"/>
                <w:szCs w:val="18"/>
              </w:rPr>
              <w:t xml:space="preserve"> </w:t>
            </w:r>
          </w:p>
        </w:tc>
        <w:tc>
          <w:tcPr>
            <w:tcW w:w="3465" w:type="pct"/>
            <w:tcBorders>
              <w:top w:val="single" w:sz="4" w:space="0" w:color="auto"/>
              <w:left w:val="single" w:sz="4" w:space="0" w:color="auto"/>
              <w:bottom w:val="single" w:sz="4" w:space="0" w:color="auto"/>
            </w:tcBorders>
          </w:tcPr>
          <w:p w:rsidR="00590815" w:rsidRPr="009D5D9A" w:rsidRDefault="00590815" w:rsidP="00483FCB">
            <w:pPr>
              <w:pStyle w:val="TableTextCentred"/>
              <w:keepNext/>
              <w:keepLines/>
              <w:spacing w:before="60" w:after="60"/>
              <w:jc w:val="lef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T</w:t>
            </w:r>
            <w:r w:rsidRPr="009D5D9A">
              <w:rPr>
                <w:sz w:val="18"/>
                <w:szCs w:val="18"/>
              </w:rPr>
              <w:t xml:space="preserve">hese are loans that are </w:t>
            </w:r>
            <w:r>
              <w:rPr>
                <w:sz w:val="18"/>
                <w:szCs w:val="18"/>
              </w:rPr>
              <w:t>unlikely to be</w:t>
            </w:r>
            <w:r w:rsidRPr="009D5D9A">
              <w:rPr>
                <w:sz w:val="18"/>
                <w:szCs w:val="18"/>
              </w:rPr>
              <w:t xml:space="preserve"> repaid because the taxable income of the borrower is below the repayment threshold</w:t>
            </w:r>
            <w:r w:rsidR="00BE7D66">
              <w:rPr>
                <w:sz w:val="18"/>
                <w:szCs w:val="18"/>
              </w:rPr>
              <w:t>,</w:t>
            </w:r>
            <w:r w:rsidR="00BE7D66" w:rsidRPr="00A574EA">
              <w:rPr>
                <w:rStyle w:val="FootnoteReference"/>
              </w:rPr>
              <w:footnoteReference w:id="4"/>
            </w:r>
            <w:r w:rsidRPr="009D5D9A">
              <w:rPr>
                <w:sz w:val="18"/>
                <w:szCs w:val="18"/>
              </w:rPr>
              <w:t xml:space="preserve"> or </w:t>
            </w:r>
            <w:r w:rsidR="00483FCB">
              <w:rPr>
                <w:sz w:val="18"/>
                <w:szCs w:val="18"/>
              </w:rPr>
              <w:t xml:space="preserve">they </w:t>
            </w:r>
            <w:r w:rsidRPr="009D5D9A">
              <w:rPr>
                <w:sz w:val="18"/>
                <w:szCs w:val="18"/>
              </w:rPr>
              <w:t>ha</w:t>
            </w:r>
            <w:r w:rsidR="00483FCB">
              <w:rPr>
                <w:sz w:val="18"/>
                <w:szCs w:val="18"/>
              </w:rPr>
              <w:t>ve</w:t>
            </w:r>
            <w:r w:rsidRPr="009D5D9A">
              <w:rPr>
                <w:sz w:val="18"/>
                <w:szCs w:val="18"/>
              </w:rPr>
              <w:t xml:space="preserve"> moved overseas.</w:t>
            </w:r>
            <w:r w:rsidR="00E743FC" w:rsidRPr="00A574EA">
              <w:rPr>
                <w:rStyle w:val="FootnoteReference"/>
              </w:rPr>
              <w:footnoteReference w:id="5"/>
            </w:r>
          </w:p>
        </w:tc>
      </w:tr>
    </w:tbl>
    <w:p w:rsidR="00590815" w:rsidRPr="00AB47E9" w:rsidRDefault="00590815" w:rsidP="00AB47E9">
      <w:pPr>
        <w:pStyle w:val="Source"/>
      </w:pPr>
      <w:r w:rsidRPr="00AB47E9">
        <w:t>Source: PBO analysis.</w:t>
      </w:r>
    </w:p>
    <w:p w:rsidR="00590815" w:rsidRDefault="00E131EA" w:rsidP="00450C29">
      <w:pPr>
        <w:pStyle w:val="BodyText17ptAbove"/>
      </w:pPr>
      <w:r>
        <w:t xml:space="preserve">Under current legislation, study </w:t>
      </w:r>
      <w:r w:rsidR="00590815">
        <w:t xml:space="preserve">fees for CSP students are capped at an amount per subject determined by the Government in consultation with education providers.  Fees are based on three bands covering various fields of studies, with a maximum annual fee in </w:t>
      </w:r>
      <w:r w:rsidR="007714A9">
        <w:t xml:space="preserve">2016 </w:t>
      </w:r>
      <w:r w:rsidR="00590815">
        <w:t>ranging from $6,</w:t>
      </w:r>
      <w:r w:rsidR="007714A9">
        <w:t xml:space="preserve">256 </w:t>
      </w:r>
      <w:r w:rsidR="00590815">
        <w:t>to $10,</w:t>
      </w:r>
      <w:r w:rsidR="007714A9">
        <w:t>440</w:t>
      </w:r>
      <w:r w:rsidR="00590815">
        <w:t>.</w:t>
      </w:r>
      <w:r>
        <w:t xml:space="preserve">  The Government’s announced policy is for fees to be deregulated from 2017 as discussed below.</w:t>
      </w:r>
    </w:p>
    <w:p w:rsidR="00590815" w:rsidRDefault="00590815" w:rsidP="002F0D40">
      <w:pPr>
        <w:pStyle w:val="Heading2"/>
      </w:pPr>
      <w:bookmarkStart w:id="33" w:name="_Toc445304407"/>
      <w:bookmarkStart w:id="34" w:name="_Toc445304433"/>
      <w:bookmarkStart w:id="35" w:name="_Toc445901361"/>
      <w:bookmarkStart w:id="36" w:name="_Toc447617960"/>
      <w:bookmarkStart w:id="37" w:name="_Toc447617990"/>
      <w:r>
        <w:lastRenderedPageBreak/>
        <w:t>Student numbers</w:t>
      </w:r>
      <w:bookmarkEnd w:id="33"/>
      <w:bookmarkEnd w:id="34"/>
      <w:bookmarkEnd w:id="35"/>
      <w:bookmarkEnd w:id="36"/>
      <w:bookmarkEnd w:id="37"/>
    </w:p>
    <w:p w:rsidR="00590815" w:rsidRDefault="00590815" w:rsidP="002F0D40">
      <w:pPr>
        <w:pStyle w:val="BodyText"/>
        <w:keepNext/>
        <w:keepLines/>
      </w:pPr>
      <w:r w:rsidRPr="006419AE">
        <w:t xml:space="preserve">The number of CSP students accessing loans through HECS-HELP has grown </w:t>
      </w:r>
      <w:r w:rsidRPr="00745930">
        <w:t xml:space="preserve">by </w:t>
      </w:r>
      <w:r w:rsidR="000634F8">
        <w:t>11.2</w:t>
      </w:r>
      <w:r w:rsidRPr="00745930">
        <w:t xml:space="preserve"> per cent annually </w:t>
      </w:r>
      <w:r w:rsidR="00A52FBA" w:rsidRPr="00745930">
        <w:t xml:space="preserve">over the past </w:t>
      </w:r>
      <w:r w:rsidR="000634F8">
        <w:t>five</w:t>
      </w:r>
      <w:r w:rsidR="000634F8" w:rsidRPr="00745930">
        <w:t xml:space="preserve"> </w:t>
      </w:r>
      <w:r w:rsidR="00A52FBA" w:rsidRPr="00745930">
        <w:t xml:space="preserve">years, rising </w:t>
      </w:r>
      <w:r w:rsidRPr="00745930">
        <w:t xml:space="preserve">from </w:t>
      </w:r>
      <w:r w:rsidR="000634F8">
        <w:t>308</w:t>
      </w:r>
      <w:r w:rsidR="003011F1" w:rsidRPr="00745930">
        <w:t>,000</w:t>
      </w:r>
      <w:r w:rsidR="00A52FBA" w:rsidRPr="00745930">
        <w:t xml:space="preserve"> in </w:t>
      </w:r>
      <w:r w:rsidR="000634F8" w:rsidRPr="00745930">
        <w:t>20</w:t>
      </w:r>
      <w:r w:rsidR="000634F8">
        <w:t>10</w:t>
      </w:r>
      <w:r w:rsidR="000634F8" w:rsidRPr="00745930">
        <w:t xml:space="preserve"> </w:t>
      </w:r>
      <w:r w:rsidRPr="00745930">
        <w:t>to</w:t>
      </w:r>
      <w:r w:rsidR="003011F1" w:rsidRPr="00745930">
        <w:t xml:space="preserve"> </w:t>
      </w:r>
      <w:r w:rsidR="000634F8">
        <w:t>522</w:t>
      </w:r>
      <w:r w:rsidR="003011F1" w:rsidRPr="00745930">
        <w:t>,000</w:t>
      </w:r>
      <w:r w:rsidRPr="00745930">
        <w:t xml:space="preserve"> </w:t>
      </w:r>
      <w:r w:rsidR="00A52FBA" w:rsidRPr="00745930">
        <w:t xml:space="preserve">in </w:t>
      </w:r>
      <w:r w:rsidRPr="00A85258">
        <w:t xml:space="preserve">2015 </w:t>
      </w:r>
      <w:r w:rsidR="00685D8E" w:rsidRPr="00A85258">
        <w:t xml:space="preserve">on an </w:t>
      </w:r>
      <w:r w:rsidR="00685D8E" w:rsidRPr="00E131EA">
        <w:t xml:space="preserve">equivalent full-time </w:t>
      </w:r>
      <w:r w:rsidR="00E131EA" w:rsidRPr="00E131EA">
        <w:t>student</w:t>
      </w:r>
      <w:r w:rsidR="00685D8E" w:rsidRPr="00E131EA">
        <w:t xml:space="preserve"> load</w:t>
      </w:r>
      <w:r w:rsidR="00E131EA">
        <w:t xml:space="preserve"> (EFTSL)</w:t>
      </w:r>
      <w:r w:rsidR="00685D8E" w:rsidRPr="00A85258">
        <w:t xml:space="preserve"> basis </w:t>
      </w:r>
      <w:r w:rsidRPr="00A85258">
        <w:t>(</w:t>
      </w:r>
      <w:r w:rsidR="00C63A77" w:rsidRPr="00A85258">
        <w:fldChar w:fldCharType="begin"/>
      </w:r>
      <w:r w:rsidR="00C63A77" w:rsidRPr="00A85258">
        <w:instrText xml:space="preserve"> REF _Ref445304793 \h </w:instrText>
      </w:r>
      <w:r w:rsidR="00A85258" w:rsidRPr="00A85258">
        <w:instrText xml:space="preserve"> \* MERGEFORMAT </w:instrText>
      </w:r>
      <w:r w:rsidR="00C63A77" w:rsidRPr="00A85258">
        <w:fldChar w:fldCharType="separate"/>
      </w:r>
      <w:r w:rsidR="00CA5C2D" w:rsidRPr="00590815">
        <w:t xml:space="preserve">Figure </w:t>
      </w:r>
      <w:r w:rsidR="00CA5C2D">
        <w:rPr>
          <w:noProof/>
        </w:rPr>
        <w:t>1</w:t>
      </w:r>
      <w:r w:rsidR="00CA5C2D" w:rsidRPr="00590815">
        <w:t>–</w:t>
      </w:r>
      <w:r w:rsidR="00CA5C2D">
        <w:rPr>
          <w:noProof/>
        </w:rPr>
        <w:t>1</w:t>
      </w:r>
      <w:r w:rsidR="00C63A77" w:rsidRPr="00A85258">
        <w:fldChar w:fldCharType="end"/>
      </w:r>
      <w:r w:rsidRPr="00A85258">
        <w:t>).  In recent years, growth in student numbers has been partly driven by the policy decision in 2009 to introduce a demand driven funding</w:t>
      </w:r>
      <w:r w:rsidRPr="006419AE">
        <w:t xml:space="preserve"> system for university education. </w:t>
      </w:r>
      <w:r>
        <w:t xml:space="preserve"> </w:t>
      </w:r>
      <w:r w:rsidRPr="006419AE">
        <w:t>Caps on enrolments were increased in 2010 and 2011</w:t>
      </w:r>
      <w:r>
        <w:t>,</w:t>
      </w:r>
      <w:r w:rsidRPr="006419AE">
        <w:t xml:space="preserve"> an</w:t>
      </w:r>
      <w:r w:rsidR="00C63A77">
        <w:t>d completely removed from 2012.</w:t>
      </w:r>
    </w:p>
    <w:p w:rsidR="00685D8E" w:rsidRPr="006419AE" w:rsidRDefault="00685D8E" w:rsidP="00590815">
      <w:pPr>
        <w:pStyle w:val="BodyText"/>
      </w:pPr>
      <w:r w:rsidRPr="00A85258">
        <w:t>There is also expected to be a</w:t>
      </w:r>
      <w:r w:rsidR="00A85258" w:rsidRPr="00A85258">
        <w:t xml:space="preserve">n increase </w:t>
      </w:r>
      <w:r w:rsidRPr="00A85258">
        <w:t>in student numbers in 2017</w:t>
      </w:r>
      <w:r w:rsidR="00642440" w:rsidRPr="00A85258">
        <w:t>,</w:t>
      </w:r>
      <w:r w:rsidRPr="00A85258">
        <w:t xml:space="preserve"> following the extension of HELP to certain sub-bachelor </w:t>
      </w:r>
      <w:r w:rsidR="00642440" w:rsidRPr="00A85258">
        <w:t xml:space="preserve">courses </w:t>
      </w:r>
      <w:r w:rsidR="00917BA4" w:rsidRPr="00A85258">
        <w:t xml:space="preserve">and to non-university higher </w:t>
      </w:r>
      <w:r w:rsidR="00642440" w:rsidRPr="00A85258">
        <w:t>education providers</w:t>
      </w:r>
      <w:r w:rsidRPr="00A85258">
        <w:t>.</w:t>
      </w:r>
    </w:p>
    <w:p w:rsidR="00590815" w:rsidRPr="006419AE" w:rsidRDefault="00590815" w:rsidP="00590815">
      <w:pPr>
        <w:pStyle w:val="BodyText"/>
      </w:pPr>
      <w:r w:rsidRPr="000440B0">
        <w:t xml:space="preserve">Following the rise in demand for HECS-HELP loans associated with the </w:t>
      </w:r>
      <w:r w:rsidR="008A2FB5" w:rsidRPr="000440B0">
        <w:t xml:space="preserve">expansion of the </w:t>
      </w:r>
      <w:r w:rsidRPr="000440B0">
        <w:t>demand driven approach to university education</w:t>
      </w:r>
      <w:r w:rsidRPr="00583064">
        <w:t xml:space="preserve">, the PBO </w:t>
      </w:r>
      <w:r w:rsidR="00A52FBA">
        <w:t xml:space="preserve">projects </w:t>
      </w:r>
      <w:r w:rsidRPr="00583064">
        <w:t xml:space="preserve">that HECS-HELP student numbers </w:t>
      </w:r>
      <w:r w:rsidR="00A52FBA">
        <w:t xml:space="preserve">will </w:t>
      </w:r>
      <w:r w:rsidRPr="00583064">
        <w:t>increase in line with population growth</w:t>
      </w:r>
      <w:r w:rsidR="003011F1">
        <w:t xml:space="preserve">, </w:t>
      </w:r>
      <w:proofErr w:type="gramStart"/>
      <w:r w:rsidR="003011F1">
        <w:t>rising</w:t>
      </w:r>
      <w:proofErr w:type="gramEnd"/>
      <w:r w:rsidR="003011F1">
        <w:t xml:space="preserve"> to </w:t>
      </w:r>
      <w:r w:rsidR="00745930">
        <w:t>696,000</w:t>
      </w:r>
      <w:r w:rsidR="00A52FBA">
        <w:t xml:space="preserve"> by 202</w:t>
      </w:r>
      <w:r w:rsidR="003011F1">
        <w:t>6</w:t>
      </w:r>
      <w:r w:rsidRPr="00583064">
        <w:t>.</w:t>
      </w:r>
    </w:p>
    <w:p w:rsidR="00590815" w:rsidRDefault="00590815" w:rsidP="00590815">
      <w:pPr>
        <w:pStyle w:val="BodyText"/>
      </w:pPr>
      <w:r w:rsidRPr="006419AE">
        <w:t>The number of vocational education and training stude</w:t>
      </w:r>
      <w:r w:rsidR="002F0D40">
        <w:t>nts accessing loans through VET </w:t>
      </w:r>
      <w:r w:rsidRPr="006419AE">
        <w:t>FEE</w:t>
      </w:r>
      <w:r w:rsidRPr="006419AE">
        <w:noBreakHyphen/>
        <w:t>HELP has experienced a rapid expansion since its introduction in 2009, growing at a rate of 14</w:t>
      </w:r>
      <w:r w:rsidR="008A2FB5">
        <w:t>7</w:t>
      </w:r>
      <w:r>
        <w:t> </w:t>
      </w:r>
      <w:r w:rsidRPr="006419AE">
        <w:t>per</w:t>
      </w:r>
      <w:r>
        <w:t> </w:t>
      </w:r>
      <w:r w:rsidRPr="006419AE">
        <w:t>cent per annum</w:t>
      </w:r>
      <w:r w:rsidR="00A52FBA">
        <w:t xml:space="preserve"> </w:t>
      </w:r>
      <w:r w:rsidR="003011F1">
        <w:t>rising to 226,000</w:t>
      </w:r>
      <w:r w:rsidR="00A52FBA">
        <w:t xml:space="preserve"> students in 2015</w:t>
      </w:r>
      <w:r w:rsidRPr="006419AE">
        <w:t>.</w:t>
      </w:r>
      <w:r>
        <w:t xml:space="preserve"> </w:t>
      </w:r>
      <w:r w:rsidR="002F0D40">
        <w:t xml:space="preserve"> Growth in VET FEE</w:t>
      </w:r>
      <w:r w:rsidR="002F0D40">
        <w:noBreakHyphen/>
      </w:r>
      <w:r w:rsidRPr="006419AE">
        <w:t xml:space="preserve">HELP student numbers is expected to slow markedly following </w:t>
      </w:r>
      <w:r w:rsidR="008B5CCB">
        <w:t xml:space="preserve">measures introduced by the Government in </w:t>
      </w:r>
      <w:r w:rsidR="008B5CCB" w:rsidRPr="006419AE">
        <w:t>2015</w:t>
      </w:r>
      <w:r w:rsidR="008B5CCB">
        <w:t xml:space="preserve">, including </w:t>
      </w:r>
      <w:r w:rsidRPr="006419AE">
        <w:t>the decision to freeze the value of VET FEE-HELP loans for existing training providers at 2015 levels.</w:t>
      </w:r>
    </w:p>
    <w:p w:rsidR="00E131EA" w:rsidRDefault="00E131EA" w:rsidP="00590815">
      <w:pPr>
        <w:pStyle w:val="BodyText"/>
      </w:pPr>
      <w:r>
        <w:t>The number of full-fee paying students accessing loans through FEE-HELP has grown by 7.5</w:t>
      </w:r>
      <w:r w:rsidR="00287726">
        <w:t> </w:t>
      </w:r>
      <w:r>
        <w:t>per cent annually over the past five years, and is projected to grow in line with population growth.</w:t>
      </w:r>
    </w:p>
    <w:p w:rsidR="00590815" w:rsidRDefault="00590815" w:rsidP="00590815">
      <w:pPr>
        <w:pStyle w:val="Caption"/>
      </w:pPr>
      <w:bookmarkStart w:id="38" w:name="_Ref445304793"/>
      <w:bookmarkStart w:id="39" w:name="_Ref445304788"/>
      <w:r w:rsidRPr="00590815">
        <w:t xml:space="preserve">Figure </w:t>
      </w:r>
      <w:fldSimple w:instr=" STYLEREF 1 \s ">
        <w:r w:rsidR="00CA5C2D">
          <w:rPr>
            <w:noProof/>
          </w:rPr>
          <w:t>1</w:t>
        </w:r>
      </w:fldSimple>
      <w:r w:rsidRPr="00590815">
        <w:t>–</w:t>
      </w:r>
      <w:fldSimple w:instr=" SEQ Figure \* ARABIC \s 1 ">
        <w:r w:rsidR="00CA5C2D">
          <w:rPr>
            <w:noProof/>
          </w:rPr>
          <w:t>1</w:t>
        </w:r>
      </w:fldSimple>
      <w:bookmarkEnd w:id="38"/>
      <w:r w:rsidRPr="00590815">
        <w:t xml:space="preserve">: </w:t>
      </w:r>
      <w:r>
        <w:t xml:space="preserve">Student </w:t>
      </w:r>
      <w:bookmarkEnd w:id="39"/>
      <w:r w:rsidR="0090440F">
        <w:t>numbers (</w:t>
      </w:r>
      <w:r w:rsidR="00006383">
        <w:t>e</w:t>
      </w:r>
      <w:r w:rsidR="0090440F">
        <w:t xml:space="preserve">quivalent full-time </w:t>
      </w:r>
      <w:r w:rsidR="000E63B0">
        <w:t>student</w:t>
      </w:r>
      <w:r w:rsidR="0090440F">
        <w:t xml:space="preserve"> load)</w:t>
      </w:r>
    </w:p>
    <w:tbl>
      <w:tblPr>
        <w:tblStyle w:val="TableGrid"/>
        <w:tblW w:w="2891" w:type="dxa"/>
        <w:tblLook w:val="0680" w:firstRow="0" w:lastRow="0" w:firstColumn="1" w:lastColumn="0" w:noHBand="1" w:noVBand="1"/>
      </w:tblPr>
      <w:tblGrid>
        <w:gridCol w:w="300"/>
        <w:gridCol w:w="842"/>
        <w:gridCol w:w="939"/>
        <w:gridCol w:w="810"/>
      </w:tblGrid>
      <w:tr w:rsidR="00FF69D7" w:rsidRPr="00CD3CEC" w:rsidTr="00FF69D7">
        <w:tc>
          <w:tcPr>
            <w:cnfStyle w:val="001000000000" w:firstRow="0" w:lastRow="0" w:firstColumn="1" w:lastColumn="0" w:oddVBand="0" w:evenVBand="0" w:oddHBand="0" w:evenHBand="0" w:firstRowFirstColumn="0" w:firstRowLastColumn="0" w:lastRowFirstColumn="0" w:lastRowLastColumn="0"/>
            <w:tcW w:w="348" w:type="dxa"/>
            <w:hideMark/>
          </w:tcPr>
          <w:p w:rsidR="00FF69D7" w:rsidRPr="00CD3CEC" w:rsidRDefault="00CA3032" w:rsidP="00FF69D7">
            <w:pPr>
              <w:pStyle w:val="TableText"/>
              <w:spacing w:before="0" w:after="0" w:line="240" w:lineRule="auto"/>
              <w:ind w:left="57" w:right="57"/>
              <w:rPr>
                <w:color w:val="FFFFFF" w:themeColor="background1"/>
                <w:sz w:val="8"/>
                <w:szCs w:val="8"/>
              </w:rPr>
            </w:pPr>
            <w:r>
              <w:rPr>
                <w:noProof/>
              </w:rPr>
              <w:drawing>
                <wp:anchor distT="0" distB="0" distL="114300" distR="114300" simplePos="0" relativeHeight="251669504" behindDoc="0" locked="0" layoutInCell="1" allowOverlap="1" wp14:anchorId="6F4C4284" wp14:editId="5BA0B1F8">
                  <wp:simplePos x="0" y="0"/>
                  <wp:positionH relativeFrom="column">
                    <wp:posOffset>-15240</wp:posOffset>
                  </wp:positionH>
                  <wp:positionV relativeFrom="paragraph">
                    <wp:posOffset>0</wp:posOffset>
                  </wp:positionV>
                  <wp:extent cx="5248275" cy="2733675"/>
                  <wp:effectExtent l="0" t="0" r="9525" b="9525"/>
                  <wp:wrapNone/>
                  <wp:docPr id="4" name="Picture 4" descr="Decorative"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5248275" cy="2733675"/>
                          </a:xfrm>
                          <a:prstGeom prst="rect">
                            <a:avLst/>
                          </a:prstGeom>
                        </pic:spPr>
                      </pic:pic>
                    </a:graphicData>
                  </a:graphic>
                  <wp14:sizeRelH relativeFrom="page">
                    <wp14:pctWidth>0</wp14:pctWidth>
                  </wp14:sizeRelH>
                  <wp14:sizeRelV relativeFrom="page">
                    <wp14:pctHeight>0</wp14:pctHeight>
                  </wp14:sizeRelV>
                </wp:anchor>
              </w:drawing>
            </w:r>
          </w:p>
        </w:tc>
        <w:tc>
          <w:tcPr>
            <w:tcW w:w="826" w:type="dxa"/>
            <w:hideMark/>
          </w:tcPr>
          <w:p w:rsidR="00FF69D7" w:rsidRPr="00CD3CEC" w:rsidRDefault="00FF69D7" w:rsidP="00FF69D7">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D3CEC">
              <w:rPr>
                <w:color w:val="FFFFFF" w:themeColor="background1"/>
                <w:sz w:val="8"/>
                <w:szCs w:val="8"/>
              </w:rPr>
              <w:t>HECS-HELP students</w:t>
            </w:r>
          </w:p>
        </w:tc>
        <w:tc>
          <w:tcPr>
            <w:tcW w:w="923" w:type="dxa"/>
            <w:hideMark/>
          </w:tcPr>
          <w:p w:rsidR="00FF69D7" w:rsidRPr="00CD3CEC" w:rsidRDefault="00FF69D7" w:rsidP="00FF69D7">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D3CEC">
              <w:rPr>
                <w:color w:val="FFFFFF" w:themeColor="background1"/>
                <w:sz w:val="8"/>
                <w:szCs w:val="8"/>
              </w:rPr>
              <w:t>VET FEE-HELP students</w:t>
            </w:r>
          </w:p>
        </w:tc>
        <w:tc>
          <w:tcPr>
            <w:tcW w:w="794" w:type="dxa"/>
            <w:hideMark/>
          </w:tcPr>
          <w:p w:rsidR="00FF69D7" w:rsidRPr="00CD3CEC" w:rsidRDefault="00FF69D7" w:rsidP="00FF69D7">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D3CEC">
              <w:rPr>
                <w:color w:val="FFFFFF" w:themeColor="background1"/>
                <w:sz w:val="8"/>
                <w:szCs w:val="8"/>
              </w:rPr>
              <w:t>FEE-HELP students</w:t>
            </w:r>
          </w:p>
        </w:tc>
      </w:tr>
      <w:tr w:rsidR="00FF69D7" w:rsidRPr="00CD3CEC" w:rsidTr="00FF69D7">
        <w:tc>
          <w:tcPr>
            <w:cnfStyle w:val="001000000000" w:firstRow="0" w:lastRow="0" w:firstColumn="1" w:lastColumn="0" w:oddVBand="0" w:evenVBand="0" w:oddHBand="0" w:evenHBand="0" w:firstRowFirstColumn="0" w:firstRowLastColumn="0" w:lastRowFirstColumn="0" w:lastRowLastColumn="0"/>
            <w:tcW w:w="348" w:type="dxa"/>
            <w:hideMark/>
          </w:tcPr>
          <w:p w:rsidR="00FF69D7" w:rsidRPr="00CD3CEC" w:rsidRDefault="00FF69D7" w:rsidP="00FF69D7">
            <w:pPr>
              <w:pStyle w:val="TableText"/>
              <w:spacing w:before="0" w:after="0" w:line="240" w:lineRule="auto"/>
              <w:ind w:left="57" w:right="57"/>
              <w:rPr>
                <w:color w:val="FFFFFF" w:themeColor="background1"/>
                <w:sz w:val="8"/>
                <w:szCs w:val="8"/>
              </w:rPr>
            </w:pPr>
            <w:r w:rsidRPr="00CD3CEC">
              <w:rPr>
                <w:color w:val="FFFFFF" w:themeColor="background1"/>
                <w:sz w:val="8"/>
                <w:szCs w:val="8"/>
              </w:rPr>
              <w:t>2010</w:t>
            </w:r>
          </w:p>
        </w:tc>
        <w:tc>
          <w:tcPr>
            <w:tcW w:w="826" w:type="dxa"/>
            <w:noWrap/>
            <w:hideMark/>
          </w:tcPr>
          <w:p w:rsidR="00FF69D7" w:rsidRPr="00CD3CEC" w:rsidRDefault="00FF69D7" w:rsidP="00FF69D7">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D3CEC">
              <w:rPr>
                <w:color w:val="FFFFFF" w:themeColor="background1"/>
                <w:sz w:val="8"/>
                <w:szCs w:val="8"/>
              </w:rPr>
              <w:t>307.949</w:t>
            </w:r>
          </w:p>
        </w:tc>
        <w:tc>
          <w:tcPr>
            <w:tcW w:w="923" w:type="dxa"/>
            <w:noWrap/>
            <w:hideMark/>
          </w:tcPr>
          <w:p w:rsidR="00FF69D7" w:rsidRPr="00CD3CEC" w:rsidRDefault="00FF69D7" w:rsidP="00FF69D7">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D3CEC">
              <w:rPr>
                <w:color w:val="FFFFFF" w:themeColor="background1"/>
                <w:sz w:val="8"/>
                <w:szCs w:val="8"/>
              </w:rPr>
              <w:t>20.108</w:t>
            </w:r>
          </w:p>
        </w:tc>
        <w:tc>
          <w:tcPr>
            <w:tcW w:w="794" w:type="dxa"/>
            <w:noWrap/>
            <w:hideMark/>
          </w:tcPr>
          <w:p w:rsidR="00FF69D7" w:rsidRPr="00CD3CEC" w:rsidRDefault="00FF69D7" w:rsidP="00FF69D7">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D3CEC">
              <w:rPr>
                <w:color w:val="FFFFFF" w:themeColor="background1"/>
                <w:sz w:val="8"/>
                <w:szCs w:val="8"/>
              </w:rPr>
              <w:t>23.313</w:t>
            </w:r>
          </w:p>
        </w:tc>
      </w:tr>
      <w:tr w:rsidR="00FF69D7" w:rsidRPr="00CD3CEC" w:rsidTr="00FF69D7">
        <w:tc>
          <w:tcPr>
            <w:cnfStyle w:val="001000000000" w:firstRow="0" w:lastRow="0" w:firstColumn="1" w:lastColumn="0" w:oddVBand="0" w:evenVBand="0" w:oddHBand="0" w:evenHBand="0" w:firstRowFirstColumn="0" w:firstRowLastColumn="0" w:lastRowFirstColumn="0" w:lastRowLastColumn="0"/>
            <w:tcW w:w="348" w:type="dxa"/>
            <w:hideMark/>
          </w:tcPr>
          <w:p w:rsidR="00FF69D7" w:rsidRPr="00CD3CEC" w:rsidRDefault="00FF69D7" w:rsidP="00FF69D7">
            <w:pPr>
              <w:pStyle w:val="TableText"/>
              <w:spacing w:before="0" w:after="0" w:line="240" w:lineRule="auto"/>
              <w:ind w:left="57" w:right="57"/>
              <w:rPr>
                <w:color w:val="FFFFFF" w:themeColor="background1"/>
                <w:sz w:val="8"/>
                <w:szCs w:val="8"/>
              </w:rPr>
            </w:pPr>
            <w:r w:rsidRPr="00CD3CEC">
              <w:rPr>
                <w:color w:val="FFFFFF" w:themeColor="background1"/>
                <w:sz w:val="8"/>
                <w:szCs w:val="8"/>
              </w:rPr>
              <w:t>2011</w:t>
            </w:r>
          </w:p>
        </w:tc>
        <w:tc>
          <w:tcPr>
            <w:tcW w:w="826" w:type="dxa"/>
            <w:noWrap/>
            <w:hideMark/>
          </w:tcPr>
          <w:p w:rsidR="00FF69D7" w:rsidRPr="00CD3CEC" w:rsidRDefault="00FF69D7" w:rsidP="00FF69D7">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D3CEC">
              <w:rPr>
                <w:color w:val="FFFFFF" w:themeColor="background1"/>
                <w:sz w:val="8"/>
                <w:szCs w:val="8"/>
              </w:rPr>
              <w:t>333.570</w:t>
            </w:r>
          </w:p>
        </w:tc>
        <w:tc>
          <w:tcPr>
            <w:tcW w:w="923" w:type="dxa"/>
            <w:noWrap/>
            <w:hideMark/>
          </w:tcPr>
          <w:p w:rsidR="00FF69D7" w:rsidRPr="00CD3CEC" w:rsidRDefault="00FF69D7" w:rsidP="00FF69D7">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D3CEC">
              <w:rPr>
                <w:color w:val="FFFFFF" w:themeColor="background1"/>
                <w:sz w:val="8"/>
                <w:szCs w:val="8"/>
              </w:rPr>
              <w:t>28.570</w:t>
            </w:r>
          </w:p>
        </w:tc>
        <w:tc>
          <w:tcPr>
            <w:tcW w:w="794" w:type="dxa"/>
            <w:noWrap/>
            <w:hideMark/>
          </w:tcPr>
          <w:p w:rsidR="00FF69D7" w:rsidRPr="00CD3CEC" w:rsidRDefault="00FF69D7" w:rsidP="00FF69D7">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D3CEC">
              <w:rPr>
                <w:color w:val="FFFFFF" w:themeColor="background1"/>
                <w:sz w:val="8"/>
                <w:szCs w:val="8"/>
              </w:rPr>
              <w:t>25.684</w:t>
            </w:r>
          </w:p>
        </w:tc>
      </w:tr>
      <w:tr w:rsidR="00FF69D7" w:rsidRPr="00CD3CEC" w:rsidTr="00FF69D7">
        <w:tc>
          <w:tcPr>
            <w:cnfStyle w:val="001000000000" w:firstRow="0" w:lastRow="0" w:firstColumn="1" w:lastColumn="0" w:oddVBand="0" w:evenVBand="0" w:oddHBand="0" w:evenHBand="0" w:firstRowFirstColumn="0" w:firstRowLastColumn="0" w:lastRowFirstColumn="0" w:lastRowLastColumn="0"/>
            <w:tcW w:w="348" w:type="dxa"/>
            <w:hideMark/>
          </w:tcPr>
          <w:p w:rsidR="00FF69D7" w:rsidRPr="00CD3CEC" w:rsidRDefault="00FF69D7" w:rsidP="00FF69D7">
            <w:pPr>
              <w:pStyle w:val="TableText"/>
              <w:spacing w:before="0" w:after="0" w:line="240" w:lineRule="auto"/>
              <w:ind w:left="57" w:right="57"/>
              <w:rPr>
                <w:color w:val="FFFFFF" w:themeColor="background1"/>
                <w:sz w:val="8"/>
                <w:szCs w:val="8"/>
              </w:rPr>
            </w:pPr>
            <w:r w:rsidRPr="00CD3CEC">
              <w:rPr>
                <w:color w:val="FFFFFF" w:themeColor="background1"/>
                <w:sz w:val="8"/>
                <w:szCs w:val="8"/>
              </w:rPr>
              <w:t>2012</w:t>
            </w:r>
          </w:p>
        </w:tc>
        <w:tc>
          <w:tcPr>
            <w:tcW w:w="826" w:type="dxa"/>
            <w:noWrap/>
            <w:hideMark/>
          </w:tcPr>
          <w:p w:rsidR="00FF69D7" w:rsidRPr="00CD3CEC" w:rsidRDefault="00FF69D7" w:rsidP="00FF69D7">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D3CEC">
              <w:rPr>
                <w:color w:val="FFFFFF" w:themeColor="background1"/>
                <w:sz w:val="8"/>
                <w:szCs w:val="8"/>
              </w:rPr>
              <w:t>380.274</w:t>
            </w:r>
          </w:p>
        </w:tc>
        <w:tc>
          <w:tcPr>
            <w:tcW w:w="923" w:type="dxa"/>
            <w:noWrap/>
            <w:hideMark/>
          </w:tcPr>
          <w:p w:rsidR="00FF69D7" w:rsidRPr="00CD3CEC" w:rsidRDefault="00FF69D7" w:rsidP="00FF69D7">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D3CEC">
              <w:rPr>
                <w:color w:val="FFFFFF" w:themeColor="background1"/>
                <w:sz w:val="8"/>
                <w:szCs w:val="8"/>
              </w:rPr>
              <w:t>37.716</w:t>
            </w:r>
          </w:p>
        </w:tc>
        <w:tc>
          <w:tcPr>
            <w:tcW w:w="794" w:type="dxa"/>
            <w:noWrap/>
            <w:hideMark/>
          </w:tcPr>
          <w:p w:rsidR="00FF69D7" w:rsidRPr="00CD3CEC" w:rsidRDefault="00FF69D7" w:rsidP="00FF69D7">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D3CEC">
              <w:rPr>
                <w:color w:val="FFFFFF" w:themeColor="background1"/>
                <w:sz w:val="8"/>
                <w:szCs w:val="8"/>
              </w:rPr>
              <w:t>25.860</w:t>
            </w:r>
          </w:p>
        </w:tc>
      </w:tr>
      <w:tr w:rsidR="00FF69D7" w:rsidRPr="00CD3CEC" w:rsidTr="00FF69D7">
        <w:tc>
          <w:tcPr>
            <w:cnfStyle w:val="001000000000" w:firstRow="0" w:lastRow="0" w:firstColumn="1" w:lastColumn="0" w:oddVBand="0" w:evenVBand="0" w:oddHBand="0" w:evenHBand="0" w:firstRowFirstColumn="0" w:firstRowLastColumn="0" w:lastRowFirstColumn="0" w:lastRowLastColumn="0"/>
            <w:tcW w:w="348" w:type="dxa"/>
            <w:hideMark/>
          </w:tcPr>
          <w:p w:rsidR="00FF69D7" w:rsidRPr="00CD3CEC" w:rsidRDefault="00FF69D7" w:rsidP="00FF69D7">
            <w:pPr>
              <w:pStyle w:val="TableText"/>
              <w:spacing w:before="0" w:after="0" w:line="240" w:lineRule="auto"/>
              <w:ind w:left="57" w:right="57"/>
              <w:rPr>
                <w:color w:val="FFFFFF" w:themeColor="background1"/>
                <w:sz w:val="8"/>
                <w:szCs w:val="8"/>
              </w:rPr>
            </w:pPr>
            <w:r w:rsidRPr="00CD3CEC">
              <w:rPr>
                <w:color w:val="FFFFFF" w:themeColor="background1"/>
                <w:sz w:val="8"/>
                <w:szCs w:val="8"/>
              </w:rPr>
              <w:t>2013</w:t>
            </w:r>
          </w:p>
        </w:tc>
        <w:tc>
          <w:tcPr>
            <w:tcW w:w="826" w:type="dxa"/>
            <w:noWrap/>
            <w:hideMark/>
          </w:tcPr>
          <w:p w:rsidR="00FF69D7" w:rsidRPr="00CD3CEC" w:rsidRDefault="00FF69D7" w:rsidP="00FF69D7">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D3CEC">
              <w:rPr>
                <w:color w:val="FFFFFF" w:themeColor="background1"/>
                <w:sz w:val="8"/>
                <w:szCs w:val="8"/>
              </w:rPr>
              <w:t>472.434</w:t>
            </w:r>
          </w:p>
        </w:tc>
        <w:tc>
          <w:tcPr>
            <w:tcW w:w="923" w:type="dxa"/>
            <w:noWrap/>
            <w:hideMark/>
          </w:tcPr>
          <w:p w:rsidR="00FF69D7" w:rsidRPr="00CD3CEC" w:rsidRDefault="00FF69D7" w:rsidP="00FF69D7">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D3CEC">
              <w:rPr>
                <w:color w:val="FFFFFF" w:themeColor="background1"/>
                <w:sz w:val="8"/>
                <w:szCs w:val="8"/>
              </w:rPr>
              <w:t>64.913</w:t>
            </w:r>
          </w:p>
        </w:tc>
        <w:tc>
          <w:tcPr>
            <w:tcW w:w="794" w:type="dxa"/>
            <w:noWrap/>
            <w:hideMark/>
          </w:tcPr>
          <w:p w:rsidR="00FF69D7" w:rsidRPr="00CD3CEC" w:rsidRDefault="00FF69D7" w:rsidP="00FF69D7">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D3CEC">
              <w:rPr>
                <w:color w:val="FFFFFF" w:themeColor="background1"/>
                <w:sz w:val="8"/>
                <w:szCs w:val="8"/>
              </w:rPr>
              <w:t>30.841</w:t>
            </w:r>
          </w:p>
        </w:tc>
      </w:tr>
      <w:tr w:rsidR="00FF69D7" w:rsidRPr="00CD3CEC" w:rsidTr="00FF69D7">
        <w:tc>
          <w:tcPr>
            <w:cnfStyle w:val="001000000000" w:firstRow="0" w:lastRow="0" w:firstColumn="1" w:lastColumn="0" w:oddVBand="0" w:evenVBand="0" w:oddHBand="0" w:evenHBand="0" w:firstRowFirstColumn="0" w:firstRowLastColumn="0" w:lastRowFirstColumn="0" w:lastRowLastColumn="0"/>
            <w:tcW w:w="348" w:type="dxa"/>
            <w:hideMark/>
          </w:tcPr>
          <w:p w:rsidR="00FF69D7" w:rsidRPr="00CD3CEC" w:rsidRDefault="00FF69D7" w:rsidP="00FF69D7">
            <w:pPr>
              <w:pStyle w:val="TableText"/>
              <w:spacing w:before="0" w:after="0" w:line="240" w:lineRule="auto"/>
              <w:ind w:left="57" w:right="57"/>
              <w:rPr>
                <w:color w:val="FFFFFF" w:themeColor="background1"/>
                <w:sz w:val="8"/>
                <w:szCs w:val="8"/>
              </w:rPr>
            </w:pPr>
            <w:r w:rsidRPr="00CD3CEC">
              <w:rPr>
                <w:color w:val="FFFFFF" w:themeColor="background1"/>
                <w:sz w:val="8"/>
                <w:szCs w:val="8"/>
              </w:rPr>
              <w:t>2014</w:t>
            </w:r>
          </w:p>
        </w:tc>
        <w:tc>
          <w:tcPr>
            <w:tcW w:w="826" w:type="dxa"/>
            <w:noWrap/>
            <w:hideMark/>
          </w:tcPr>
          <w:p w:rsidR="00FF69D7" w:rsidRPr="00CD3CEC" w:rsidRDefault="00FF69D7" w:rsidP="00FF69D7">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D3CEC">
              <w:rPr>
                <w:color w:val="FFFFFF" w:themeColor="background1"/>
                <w:sz w:val="8"/>
                <w:szCs w:val="8"/>
              </w:rPr>
              <w:t>507.114</w:t>
            </w:r>
          </w:p>
        </w:tc>
        <w:tc>
          <w:tcPr>
            <w:tcW w:w="923" w:type="dxa"/>
            <w:noWrap/>
            <w:hideMark/>
          </w:tcPr>
          <w:p w:rsidR="00FF69D7" w:rsidRPr="00CD3CEC" w:rsidRDefault="00FF69D7" w:rsidP="00FF69D7">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D3CEC">
              <w:rPr>
                <w:color w:val="FFFFFF" w:themeColor="background1"/>
                <w:sz w:val="8"/>
                <w:szCs w:val="8"/>
              </w:rPr>
              <w:t>123.017</w:t>
            </w:r>
          </w:p>
        </w:tc>
        <w:tc>
          <w:tcPr>
            <w:tcW w:w="794" w:type="dxa"/>
            <w:noWrap/>
            <w:hideMark/>
          </w:tcPr>
          <w:p w:rsidR="00FF69D7" w:rsidRPr="00CD3CEC" w:rsidRDefault="00FF69D7" w:rsidP="00FF69D7">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D3CEC">
              <w:rPr>
                <w:color w:val="FFFFFF" w:themeColor="background1"/>
                <w:sz w:val="8"/>
                <w:szCs w:val="8"/>
              </w:rPr>
              <w:t>32.218</w:t>
            </w:r>
          </w:p>
        </w:tc>
      </w:tr>
      <w:tr w:rsidR="00FF69D7" w:rsidRPr="00CD3CEC" w:rsidTr="00FF69D7">
        <w:tc>
          <w:tcPr>
            <w:cnfStyle w:val="001000000000" w:firstRow="0" w:lastRow="0" w:firstColumn="1" w:lastColumn="0" w:oddVBand="0" w:evenVBand="0" w:oddHBand="0" w:evenHBand="0" w:firstRowFirstColumn="0" w:firstRowLastColumn="0" w:lastRowFirstColumn="0" w:lastRowLastColumn="0"/>
            <w:tcW w:w="348" w:type="dxa"/>
            <w:hideMark/>
          </w:tcPr>
          <w:p w:rsidR="00FF69D7" w:rsidRPr="00CD3CEC" w:rsidRDefault="00FF69D7" w:rsidP="00FF69D7">
            <w:pPr>
              <w:pStyle w:val="TableText"/>
              <w:spacing w:before="0" w:after="0" w:line="240" w:lineRule="auto"/>
              <w:ind w:left="57" w:right="57"/>
              <w:rPr>
                <w:color w:val="FFFFFF" w:themeColor="background1"/>
                <w:sz w:val="8"/>
                <w:szCs w:val="8"/>
              </w:rPr>
            </w:pPr>
            <w:r w:rsidRPr="00CD3CEC">
              <w:rPr>
                <w:color w:val="FFFFFF" w:themeColor="background1"/>
                <w:sz w:val="8"/>
                <w:szCs w:val="8"/>
              </w:rPr>
              <w:t>2015</w:t>
            </w:r>
          </w:p>
        </w:tc>
        <w:tc>
          <w:tcPr>
            <w:tcW w:w="826" w:type="dxa"/>
            <w:noWrap/>
            <w:hideMark/>
          </w:tcPr>
          <w:p w:rsidR="00FF69D7" w:rsidRPr="00CD3CEC" w:rsidRDefault="00FF69D7" w:rsidP="00FF69D7">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D3CEC">
              <w:rPr>
                <w:color w:val="FFFFFF" w:themeColor="background1"/>
                <w:sz w:val="8"/>
                <w:szCs w:val="8"/>
              </w:rPr>
              <w:t>522.602</w:t>
            </w:r>
          </w:p>
        </w:tc>
        <w:tc>
          <w:tcPr>
            <w:tcW w:w="923" w:type="dxa"/>
            <w:noWrap/>
            <w:hideMark/>
          </w:tcPr>
          <w:p w:rsidR="00FF69D7" w:rsidRPr="00CD3CEC" w:rsidRDefault="00FF69D7" w:rsidP="00FF69D7">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D3CEC">
              <w:rPr>
                <w:color w:val="FFFFFF" w:themeColor="background1"/>
                <w:sz w:val="8"/>
                <w:szCs w:val="8"/>
              </w:rPr>
              <w:t>225.875</w:t>
            </w:r>
          </w:p>
        </w:tc>
        <w:tc>
          <w:tcPr>
            <w:tcW w:w="794" w:type="dxa"/>
            <w:noWrap/>
            <w:hideMark/>
          </w:tcPr>
          <w:p w:rsidR="00FF69D7" w:rsidRPr="00CD3CEC" w:rsidRDefault="00FF69D7" w:rsidP="00FF69D7">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D3CEC">
              <w:rPr>
                <w:color w:val="FFFFFF" w:themeColor="background1"/>
                <w:sz w:val="8"/>
                <w:szCs w:val="8"/>
              </w:rPr>
              <w:t>33.445</w:t>
            </w:r>
          </w:p>
        </w:tc>
      </w:tr>
      <w:tr w:rsidR="00FF69D7" w:rsidRPr="00CD3CEC" w:rsidTr="00FF69D7">
        <w:tc>
          <w:tcPr>
            <w:cnfStyle w:val="001000000000" w:firstRow="0" w:lastRow="0" w:firstColumn="1" w:lastColumn="0" w:oddVBand="0" w:evenVBand="0" w:oddHBand="0" w:evenHBand="0" w:firstRowFirstColumn="0" w:firstRowLastColumn="0" w:lastRowFirstColumn="0" w:lastRowLastColumn="0"/>
            <w:tcW w:w="348" w:type="dxa"/>
            <w:hideMark/>
          </w:tcPr>
          <w:p w:rsidR="00FF69D7" w:rsidRPr="00CD3CEC" w:rsidRDefault="00FF69D7" w:rsidP="00FF69D7">
            <w:pPr>
              <w:pStyle w:val="TableText"/>
              <w:spacing w:before="0" w:after="0" w:line="240" w:lineRule="auto"/>
              <w:ind w:left="57" w:right="57"/>
              <w:rPr>
                <w:color w:val="FFFFFF" w:themeColor="background1"/>
                <w:sz w:val="8"/>
                <w:szCs w:val="8"/>
              </w:rPr>
            </w:pPr>
            <w:r w:rsidRPr="00CD3CEC">
              <w:rPr>
                <w:color w:val="FFFFFF" w:themeColor="background1"/>
                <w:sz w:val="8"/>
                <w:szCs w:val="8"/>
              </w:rPr>
              <w:t>2016</w:t>
            </w:r>
          </w:p>
        </w:tc>
        <w:tc>
          <w:tcPr>
            <w:tcW w:w="826" w:type="dxa"/>
            <w:noWrap/>
            <w:hideMark/>
          </w:tcPr>
          <w:p w:rsidR="00FF69D7" w:rsidRPr="00CD3CEC" w:rsidRDefault="00FF69D7" w:rsidP="00FF69D7">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D3CEC">
              <w:rPr>
                <w:color w:val="FFFFFF" w:themeColor="background1"/>
                <w:sz w:val="8"/>
                <w:szCs w:val="8"/>
              </w:rPr>
              <w:t>537.035</w:t>
            </w:r>
          </w:p>
        </w:tc>
        <w:tc>
          <w:tcPr>
            <w:tcW w:w="923" w:type="dxa"/>
            <w:noWrap/>
            <w:hideMark/>
          </w:tcPr>
          <w:p w:rsidR="00FF69D7" w:rsidRPr="00CD3CEC" w:rsidRDefault="00FF69D7" w:rsidP="00FF69D7">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D3CEC">
              <w:rPr>
                <w:color w:val="FFFFFF" w:themeColor="background1"/>
                <w:sz w:val="8"/>
                <w:szCs w:val="8"/>
              </w:rPr>
              <w:t>227.269</w:t>
            </w:r>
          </w:p>
        </w:tc>
        <w:tc>
          <w:tcPr>
            <w:tcW w:w="794" w:type="dxa"/>
            <w:noWrap/>
            <w:hideMark/>
          </w:tcPr>
          <w:p w:rsidR="00FF69D7" w:rsidRPr="00CD3CEC" w:rsidRDefault="00FF69D7" w:rsidP="00FF69D7">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D3CEC">
              <w:rPr>
                <w:color w:val="FFFFFF" w:themeColor="background1"/>
                <w:sz w:val="8"/>
                <w:szCs w:val="8"/>
              </w:rPr>
              <w:t>34.783</w:t>
            </w:r>
          </w:p>
        </w:tc>
      </w:tr>
      <w:tr w:rsidR="00FF69D7" w:rsidRPr="00CD3CEC" w:rsidTr="00FF69D7">
        <w:tc>
          <w:tcPr>
            <w:cnfStyle w:val="001000000000" w:firstRow="0" w:lastRow="0" w:firstColumn="1" w:lastColumn="0" w:oddVBand="0" w:evenVBand="0" w:oddHBand="0" w:evenHBand="0" w:firstRowFirstColumn="0" w:firstRowLastColumn="0" w:lastRowFirstColumn="0" w:lastRowLastColumn="0"/>
            <w:tcW w:w="348" w:type="dxa"/>
            <w:hideMark/>
          </w:tcPr>
          <w:p w:rsidR="00FF69D7" w:rsidRPr="00CD3CEC" w:rsidRDefault="00FF69D7" w:rsidP="00FF69D7">
            <w:pPr>
              <w:pStyle w:val="TableText"/>
              <w:spacing w:before="0" w:after="0" w:line="240" w:lineRule="auto"/>
              <w:ind w:left="57" w:right="57"/>
              <w:rPr>
                <w:color w:val="FFFFFF" w:themeColor="background1"/>
                <w:sz w:val="8"/>
                <w:szCs w:val="8"/>
              </w:rPr>
            </w:pPr>
            <w:r w:rsidRPr="00CD3CEC">
              <w:rPr>
                <w:color w:val="FFFFFF" w:themeColor="background1"/>
                <w:sz w:val="8"/>
                <w:szCs w:val="8"/>
              </w:rPr>
              <w:t>2017</w:t>
            </w:r>
          </w:p>
        </w:tc>
        <w:tc>
          <w:tcPr>
            <w:tcW w:w="826" w:type="dxa"/>
            <w:noWrap/>
            <w:hideMark/>
          </w:tcPr>
          <w:p w:rsidR="00FF69D7" w:rsidRPr="00CD3CEC" w:rsidRDefault="00FF69D7" w:rsidP="00FF69D7">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D3CEC">
              <w:rPr>
                <w:color w:val="FFFFFF" w:themeColor="background1"/>
                <w:sz w:val="8"/>
                <w:szCs w:val="8"/>
              </w:rPr>
              <w:t>606.094</w:t>
            </w:r>
          </w:p>
        </w:tc>
        <w:tc>
          <w:tcPr>
            <w:tcW w:w="923" w:type="dxa"/>
            <w:noWrap/>
            <w:hideMark/>
          </w:tcPr>
          <w:p w:rsidR="00FF69D7" w:rsidRPr="00CD3CEC" w:rsidRDefault="00FF69D7" w:rsidP="00FF69D7">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D3CEC">
              <w:rPr>
                <w:color w:val="FFFFFF" w:themeColor="background1"/>
                <w:sz w:val="8"/>
                <w:szCs w:val="8"/>
              </w:rPr>
              <w:t>214.625</w:t>
            </w:r>
          </w:p>
        </w:tc>
        <w:tc>
          <w:tcPr>
            <w:tcW w:w="794" w:type="dxa"/>
            <w:noWrap/>
            <w:hideMark/>
          </w:tcPr>
          <w:p w:rsidR="00FF69D7" w:rsidRPr="00CD3CEC" w:rsidRDefault="00FF69D7" w:rsidP="00FF69D7">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D3CEC">
              <w:rPr>
                <w:color w:val="FFFFFF" w:themeColor="background1"/>
                <w:sz w:val="8"/>
                <w:szCs w:val="8"/>
              </w:rPr>
              <w:t>36.174</w:t>
            </w:r>
          </w:p>
        </w:tc>
      </w:tr>
      <w:tr w:rsidR="00FF69D7" w:rsidRPr="00CD3CEC" w:rsidTr="00FF69D7">
        <w:tc>
          <w:tcPr>
            <w:cnfStyle w:val="001000000000" w:firstRow="0" w:lastRow="0" w:firstColumn="1" w:lastColumn="0" w:oddVBand="0" w:evenVBand="0" w:oddHBand="0" w:evenHBand="0" w:firstRowFirstColumn="0" w:firstRowLastColumn="0" w:lastRowFirstColumn="0" w:lastRowLastColumn="0"/>
            <w:tcW w:w="348" w:type="dxa"/>
            <w:hideMark/>
          </w:tcPr>
          <w:p w:rsidR="00FF69D7" w:rsidRPr="00CD3CEC" w:rsidRDefault="00FF69D7" w:rsidP="00FF69D7">
            <w:pPr>
              <w:pStyle w:val="TableText"/>
              <w:spacing w:before="0" w:after="0" w:line="240" w:lineRule="auto"/>
              <w:ind w:left="57" w:right="57"/>
              <w:rPr>
                <w:color w:val="FFFFFF" w:themeColor="background1"/>
                <w:sz w:val="8"/>
                <w:szCs w:val="8"/>
              </w:rPr>
            </w:pPr>
            <w:r w:rsidRPr="00CD3CEC">
              <w:rPr>
                <w:color w:val="FFFFFF" w:themeColor="background1"/>
                <w:sz w:val="8"/>
                <w:szCs w:val="8"/>
              </w:rPr>
              <w:t>2018</w:t>
            </w:r>
          </w:p>
        </w:tc>
        <w:tc>
          <w:tcPr>
            <w:tcW w:w="826" w:type="dxa"/>
            <w:noWrap/>
            <w:hideMark/>
          </w:tcPr>
          <w:p w:rsidR="00FF69D7" w:rsidRPr="00CD3CEC" w:rsidRDefault="00FF69D7" w:rsidP="00FF69D7">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D3CEC">
              <w:rPr>
                <w:color w:val="FFFFFF" w:themeColor="background1"/>
                <w:sz w:val="8"/>
                <w:szCs w:val="8"/>
              </w:rPr>
              <w:t>623.838</w:t>
            </w:r>
          </w:p>
        </w:tc>
        <w:tc>
          <w:tcPr>
            <w:tcW w:w="923" w:type="dxa"/>
            <w:noWrap/>
            <w:hideMark/>
          </w:tcPr>
          <w:p w:rsidR="00FF69D7" w:rsidRPr="00CD3CEC" w:rsidRDefault="00FF69D7" w:rsidP="00FF69D7">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D3CEC">
              <w:rPr>
                <w:color w:val="FFFFFF" w:themeColor="background1"/>
                <w:sz w:val="8"/>
                <w:szCs w:val="8"/>
              </w:rPr>
              <w:t>225.298</w:t>
            </w:r>
          </w:p>
        </w:tc>
        <w:tc>
          <w:tcPr>
            <w:tcW w:w="794" w:type="dxa"/>
            <w:noWrap/>
            <w:hideMark/>
          </w:tcPr>
          <w:p w:rsidR="00FF69D7" w:rsidRPr="00CD3CEC" w:rsidRDefault="00FF69D7" w:rsidP="00FF69D7">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D3CEC">
              <w:rPr>
                <w:color w:val="FFFFFF" w:themeColor="background1"/>
                <w:sz w:val="8"/>
                <w:szCs w:val="8"/>
              </w:rPr>
              <w:t>37.621</w:t>
            </w:r>
          </w:p>
        </w:tc>
      </w:tr>
      <w:tr w:rsidR="00FF69D7" w:rsidRPr="00CD3CEC" w:rsidTr="00FF69D7">
        <w:tc>
          <w:tcPr>
            <w:cnfStyle w:val="001000000000" w:firstRow="0" w:lastRow="0" w:firstColumn="1" w:lastColumn="0" w:oddVBand="0" w:evenVBand="0" w:oddHBand="0" w:evenHBand="0" w:firstRowFirstColumn="0" w:firstRowLastColumn="0" w:lastRowFirstColumn="0" w:lastRowLastColumn="0"/>
            <w:tcW w:w="348" w:type="dxa"/>
            <w:hideMark/>
          </w:tcPr>
          <w:p w:rsidR="00FF69D7" w:rsidRPr="00CD3CEC" w:rsidRDefault="00FF69D7" w:rsidP="00FF69D7">
            <w:pPr>
              <w:pStyle w:val="TableText"/>
              <w:spacing w:before="0" w:after="0" w:line="240" w:lineRule="auto"/>
              <w:ind w:left="57" w:right="57"/>
              <w:rPr>
                <w:color w:val="FFFFFF" w:themeColor="background1"/>
                <w:sz w:val="8"/>
                <w:szCs w:val="8"/>
              </w:rPr>
            </w:pPr>
            <w:r w:rsidRPr="00CD3CEC">
              <w:rPr>
                <w:color w:val="FFFFFF" w:themeColor="background1"/>
                <w:sz w:val="8"/>
                <w:szCs w:val="8"/>
              </w:rPr>
              <w:t>2019</w:t>
            </w:r>
          </w:p>
        </w:tc>
        <w:tc>
          <w:tcPr>
            <w:tcW w:w="826" w:type="dxa"/>
            <w:noWrap/>
            <w:hideMark/>
          </w:tcPr>
          <w:p w:rsidR="00FF69D7" w:rsidRPr="00CD3CEC" w:rsidRDefault="00FF69D7" w:rsidP="00FF69D7">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D3CEC">
              <w:rPr>
                <w:color w:val="FFFFFF" w:themeColor="background1"/>
                <w:sz w:val="8"/>
                <w:szCs w:val="8"/>
              </w:rPr>
              <w:t>641.856</w:t>
            </w:r>
          </w:p>
        </w:tc>
        <w:tc>
          <w:tcPr>
            <w:tcW w:w="923" w:type="dxa"/>
            <w:noWrap/>
            <w:hideMark/>
          </w:tcPr>
          <w:p w:rsidR="00FF69D7" w:rsidRPr="00CD3CEC" w:rsidRDefault="00FF69D7" w:rsidP="00FF69D7">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D3CEC">
              <w:rPr>
                <w:color w:val="FFFFFF" w:themeColor="background1"/>
                <w:sz w:val="8"/>
                <w:szCs w:val="8"/>
              </w:rPr>
              <w:t>228.109</w:t>
            </w:r>
          </w:p>
        </w:tc>
        <w:tc>
          <w:tcPr>
            <w:tcW w:w="794" w:type="dxa"/>
            <w:noWrap/>
            <w:hideMark/>
          </w:tcPr>
          <w:p w:rsidR="00FF69D7" w:rsidRPr="00CD3CEC" w:rsidRDefault="00FF69D7" w:rsidP="00FF69D7">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D3CEC">
              <w:rPr>
                <w:color w:val="FFFFFF" w:themeColor="background1"/>
                <w:sz w:val="8"/>
                <w:szCs w:val="8"/>
              </w:rPr>
              <w:t>37.884</w:t>
            </w:r>
          </w:p>
        </w:tc>
      </w:tr>
      <w:tr w:rsidR="00FF69D7" w:rsidRPr="00CD3CEC" w:rsidTr="00FF69D7">
        <w:tc>
          <w:tcPr>
            <w:cnfStyle w:val="001000000000" w:firstRow="0" w:lastRow="0" w:firstColumn="1" w:lastColumn="0" w:oddVBand="0" w:evenVBand="0" w:oddHBand="0" w:evenHBand="0" w:firstRowFirstColumn="0" w:firstRowLastColumn="0" w:lastRowFirstColumn="0" w:lastRowLastColumn="0"/>
            <w:tcW w:w="348" w:type="dxa"/>
            <w:hideMark/>
          </w:tcPr>
          <w:p w:rsidR="00FF69D7" w:rsidRPr="00CD3CEC" w:rsidRDefault="00FF69D7" w:rsidP="00FF69D7">
            <w:pPr>
              <w:pStyle w:val="TableText"/>
              <w:spacing w:before="0" w:after="0" w:line="240" w:lineRule="auto"/>
              <w:ind w:left="57" w:right="57"/>
              <w:rPr>
                <w:color w:val="FFFFFF" w:themeColor="background1"/>
                <w:sz w:val="8"/>
                <w:szCs w:val="8"/>
              </w:rPr>
            </w:pPr>
            <w:r w:rsidRPr="00CD3CEC">
              <w:rPr>
                <w:color w:val="FFFFFF" w:themeColor="background1"/>
                <w:sz w:val="8"/>
                <w:szCs w:val="8"/>
              </w:rPr>
              <w:t>2020</w:t>
            </w:r>
          </w:p>
        </w:tc>
        <w:tc>
          <w:tcPr>
            <w:tcW w:w="826" w:type="dxa"/>
            <w:noWrap/>
            <w:hideMark/>
          </w:tcPr>
          <w:p w:rsidR="00FF69D7" w:rsidRPr="00CD3CEC" w:rsidRDefault="00FF69D7" w:rsidP="00FF69D7">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D3CEC">
              <w:rPr>
                <w:color w:val="FFFFFF" w:themeColor="background1"/>
                <w:sz w:val="8"/>
                <w:szCs w:val="8"/>
              </w:rPr>
              <w:t>654.443</w:t>
            </w:r>
          </w:p>
        </w:tc>
        <w:tc>
          <w:tcPr>
            <w:tcW w:w="923" w:type="dxa"/>
            <w:noWrap/>
            <w:hideMark/>
          </w:tcPr>
          <w:p w:rsidR="00FF69D7" w:rsidRPr="00CD3CEC" w:rsidRDefault="00FF69D7" w:rsidP="00FF69D7">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D3CEC">
              <w:rPr>
                <w:color w:val="FFFFFF" w:themeColor="background1"/>
                <w:sz w:val="8"/>
                <w:szCs w:val="8"/>
              </w:rPr>
              <w:t>231.084</w:t>
            </w:r>
          </w:p>
        </w:tc>
        <w:tc>
          <w:tcPr>
            <w:tcW w:w="794" w:type="dxa"/>
            <w:noWrap/>
            <w:hideMark/>
          </w:tcPr>
          <w:p w:rsidR="00FF69D7" w:rsidRPr="00CD3CEC" w:rsidRDefault="00FF69D7" w:rsidP="00FF69D7">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D3CEC">
              <w:rPr>
                <w:color w:val="FFFFFF" w:themeColor="background1"/>
                <w:sz w:val="8"/>
                <w:szCs w:val="8"/>
              </w:rPr>
              <w:t>38.154</w:t>
            </w:r>
          </w:p>
        </w:tc>
      </w:tr>
      <w:tr w:rsidR="00FF69D7" w:rsidRPr="00CD3CEC" w:rsidTr="00FF69D7">
        <w:tc>
          <w:tcPr>
            <w:cnfStyle w:val="001000000000" w:firstRow="0" w:lastRow="0" w:firstColumn="1" w:lastColumn="0" w:oddVBand="0" w:evenVBand="0" w:oddHBand="0" w:evenHBand="0" w:firstRowFirstColumn="0" w:firstRowLastColumn="0" w:lastRowFirstColumn="0" w:lastRowLastColumn="0"/>
            <w:tcW w:w="348" w:type="dxa"/>
            <w:hideMark/>
          </w:tcPr>
          <w:p w:rsidR="00FF69D7" w:rsidRPr="00CD3CEC" w:rsidRDefault="00FF69D7" w:rsidP="00FF69D7">
            <w:pPr>
              <w:pStyle w:val="TableText"/>
              <w:spacing w:before="0" w:after="0" w:line="240" w:lineRule="auto"/>
              <w:ind w:left="57" w:right="57"/>
              <w:rPr>
                <w:color w:val="FFFFFF" w:themeColor="background1"/>
                <w:sz w:val="8"/>
                <w:szCs w:val="8"/>
              </w:rPr>
            </w:pPr>
            <w:r w:rsidRPr="00CD3CEC">
              <w:rPr>
                <w:color w:val="FFFFFF" w:themeColor="background1"/>
                <w:sz w:val="8"/>
                <w:szCs w:val="8"/>
              </w:rPr>
              <w:t>2021</w:t>
            </w:r>
          </w:p>
        </w:tc>
        <w:tc>
          <w:tcPr>
            <w:tcW w:w="826" w:type="dxa"/>
            <w:noWrap/>
            <w:hideMark/>
          </w:tcPr>
          <w:p w:rsidR="00FF69D7" w:rsidRPr="00CD3CEC" w:rsidRDefault="00FF69D7" w:rsidP="00FF69D7">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D3CEC">
              <w:rPr>
                <w:color w:val="FFFFFF" w:themeColor="background1"/>
                <w:sz w:val="8"/>
                <w:szCs w:val="8"/>
              </w:rPr>
              <w:t>667.257</w:t>
            </w:r>
          </w:p>
        </w:tc>
        <w:tc>
          <w:tcPr>
            <w:tcW w:w="923" w:type="dxa"/>
            <w:noWrap/>
            <w:hideMark/>
          </w:tcPr>
          <w:p w:rsidR="00FF69D7" w:rsidRPr="00CD3CEC" w:rsidRDefault="00FF69D7" w:rsidP="00FF69D7">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D3CEC">
              <w:rPr>
                <w:color w:val="FFFFFF" w:themeColor="background1"/>
                <w:sz w:val="8"/>
                <w:szCs w:val="8"/>
              </w:rPr>
              <w:t>234.068</w:t>
            </w:r>
          </w:p>
        </w:tc>
        <w:tc>
          <w:tcPr>
            <w:tcW w:w="794" w:type="dxa"/>
            <w:noWrap/>
            <w:hideMark/>
          </w:tcPr>
          <w:p w:rsidR="00FF69D7" w:rsidRPr="00CD3CEC" w:rsidRDefault="00FF69D7" w:rsidP="00FF69D7">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D3CEC">
              <w:rPr>
                <w:color w:val="FFFFFF" w:themeColor="background1"/>
                <w:sz w:val="8"/>
                <w:szCs w:val="8"/>
              </w:rPr>
              <w:t>38.434</w:t>
            </w:r>
          </w:p>
        </w:tc>
      </w:tr>
      <w:tr w:rsidR="00FF69D7" w:rsidRPr="00CD3CEC" w:rsidTr="00FF69D7">
        <w:tc>
          <w:tcPr>
            <w:cnfStyle w:val="001000000000" w:firstRow="0" w:lastRow="0" w:firstColumn="1" w:lastColumn="0" w:oddVBand="0" w:evenVBand="0" w:oddHBand="0" w:evenHBand="0" w:firstRowFirstColumn="0" w:firstRowLastColumn="0" w:lastRowFirstColumn="0" w:lastRowLastColumn="0"/>
            <w:tcW w:w="348" w:type="dxa"/>
            <w:hideMark/>
          </w:tcPr>
          <w:p w:rsidR="00FF69D7" w:rsidRPr="00CD3CEC" w:rsidRDefault="00FF69D7" w:rsidP="00FF69D7">
            <w:pPr>
              <w:pStyle w:val="TableText"/>
              <w:spacing w:before="0" w:after="0" w:line="240" w:lineRule="auto"/>
              <w:ind w:left="57" w:right="57"/>
              <w:rPr>
                <w:color w:val="FFFFFF" w:themeColor="background1"/>
                <w:sz w:val="8"/>
                <w:szCs w:val="8"/>
              </w:rPr>
            </w:pPr>
            <w:r w:rsidRPr="00CD3CEC">
              <w:rPr>
                <w:color w:val="FFFFFF" w:themeColor="background1"/>
                <w:sz w:val="8"/>
                <w:szCs w:val="8"/>
              </w:rPr>
              <w:t>2022</w:t>
            </w:r>
          </w:p>
        </w:tc>
        <w:tc>
          <w:tcPr>
            <w:tcW w:w="826" w:type="dxa"/>
            <w:noWrap/>
            <w:hideMark/>
          </w:tcPr>
          <w:p w:rsidR="00FF69D7" w:rsidRPr="00CD3CEC" w:rsidRDefault="00FF69D7" w:rsidP="00FF69D7">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D3CEC">
              <w:rPr>
                <w:color w:val="FFFFFF" w:themeColor="background1"/>
                <w:sz w:val="8"/>
                <w:szCs w:val="8"/>
              </w:rPr>
              <w:t>673.017</w:t>
            </w:r>
          </w:p>
        </w:tc>
        <w:tc>
          <w:tcPr>
            <w:tcW w:w="923" w:type="dxa"/>
            <w:noWrap/>
            <w:hideMark/>
          </w:tcPr>
          <w:p w:rsidR="00FF69D7" w:rsidRPr="00CD3CEC" w:rsidRDefault="00FF69D7" w:rsidP="00FF69D7">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D3CEC">
              <w:rPr>
                <w:color w:val="FFFFFF" w:themeColor="background1"/>
                <w:sz w:val="8"/>
                <w:szCs w:val="8"/>
              </w:rPr>
              <w:t>237.085</w:t>
            </w:r>
          </w:p>
        </w:tc>
        <w:tc>
          <w:tcPr>
            <w:tcW w:w="794" w:type="dxa"/>
            <w:noWrap/>
            <w:hideMark/>
          </w:tcPr>
          <w:p w:rsidR="00FF69D7" w:rsidRPr="00CD3CEC" w:rsidRDefault="00FF69D7" w:rsidP="00FF69D7">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D3CEC">
              <w:rPr>
                <w:color w:val="FFFFFF" w:themeColor="background1"/>
                <w:sz w:val="8"/>
                <w:szCs w:val="8"/>
              </w:rPr>
              <w:t>38.704</w:t>
            </w:r>
          </w:p>
        </w:tc>
      </w:tr>
      <w:tr w:rsidR="00FF69D7" w:rsidRPr="00CD3CEC" w:rsidTr="00FF69D7">
        <w:tc>
          <w:tcPr>
            <w:cnfStyle w:val="001000000000" w:firstRow="0" w:lastRow="0" w:firstColumn="1" w:lastColumn="0" w:oddVBand="0" w:evenVBand="0" w:oddHBand="0" w:evenHBand="0" w:firstRowFirstColumn="0" w:firstRowLastColumn="0" w:lastRowFirstColumn="0" w:lastRowLastColumn="0"/>
            <w:tcW w:w="348" w:type="dxa"/>
            <w:hideMark/>
          </w:tcPr>
          <w:p w:rsidR="00FF69D7" w:rsidRPr="00CD3CEC" w:rsidRDefault="00FF69D7" w:rsidP="00FF69D7">
            <w:pPr>
              <w:pStyle w:val="TableText"/>
              <w:spacing w:before="0" w:after="0" w:line="240" w:lineRule="auto"/>
              <w:ind w:left="57" w:right="57"/>
              <w:rPr>
                <w:color w:val="FFFFFF" w:themeColor="background1"/>
                <w:sz w:val="8"/>
                <w:szCs w:val="8"/>
              </w:rPr>
            </w:pPr>
            <w:r w:rsidRPr="00CD3CEC">
              <w:rPr>
                <w:color w:val="FFFFFF" w:themeColor="background1"/>
                <w:sz w:val="8"/>
                <w:szCs w:val="8"/>
              </w:rPr>
              <w:t>2023</w:t>
            </w:r>
          </w:p>
        </w:tc>
        <w:tc>
          <w:tcPr>
            <w:tcW w:w="826" w:type="dxa"/>
            <w:noWrap/>
            <w:hideMark/>
          </w:tcPr>
          <w:p w:rsidR="00FF69D7" w:rsidRPr="00CD3CEC" w:rsidRDefault="00FF69D7" w:rsidP="00FF69D7">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D3CEC">
              <w:rPr>
                <w:color w:val="FFFFFF" w:themeColor="background1"/>
                <w:sz w:val="8"/>
                <w:szCs w:val="8"/>
              </w:rPr>
              <w:t>678.831</w:t>
            </w:r>
          </w:p>
        </w:tc>
        <w:tc>
          <w:tcPr>
            <w:tcW w:w="923" w:type="dxa"/>
            <w:noWrap/>
            <w:hideMark/>
          </w:tcPr>
          <w:p w:rsidR="00FF69D7" w:rsidRPr="00CD3CEC" w:rsidRDefault="00FF69D7" w:rsidP="00FF69D7">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D3CEC">
              <w:rPr>
                <w:color w:val="FFFFFF" w:themeColor="background1"/>
                <w:sz w:val="8"/>
                <w:szCs w:val="8"/>
              </w:rPr>
              <w:t>240.307</w:t>
            </w:r>
          </w:p>
        </w:tc>
        <w:tc>
          <w:tcPr>
            <w:tcW w:w="794" w:type="dxa"/>
            <w:noWrap/>
            <w:hideMark/>
          </w:tcPr>
          <w:p w:rsidR="00FF69D7" w:rsidRPr="00CD3CEC" w:rsidRDefault="00FF69D7" w:rsidP="00FF69D7">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D3CEC">
              <w:rPr>
                <w:color w:val="FFFFFF" w:themeColor="background1"/>
                <w:sz w:val="8"/>
                <w:szCs w:val="8"/>
              </w:rPr>
              <w:t>38.994</w:t>
            </w:r>
          </w:p>
        </w:tc>
      </w:tr>
      <w:tr w:rsidR="00FF69D7" w:rsidRPr="00CD3CEC" w:rsidTr="00FF69D7">
        <w:tc>
          <w:tcPr>
            <w:cnfStyle w:val="001000000000" w:firstRow="0" w:lastRow="0" w:firstColumn="1" w:lastColumn="0" w:oddVBand="0" w:evenVBand="0" w:oddHBand="0" w:evenHBand="0" w:firstRowFirstColumn="0" w:firstRowLastColumn="0" w:lastRowFirstColumn="0" w:lastRowLastColumn="0"/>
            <w:tcW w:w="348" w:type="dxa"/>
            <w:hideMark/>
          </w:tcPr>
          <w:p w:rsidR="00FF69D7" w:rsidRPr="00CD3CEC" w:rsidRDefault="00FF69D7" w:rsidP="00FF69D7">
            <w:pPr>
              <w:pStyle w:val="TableText"/>
              <w:spacing w:before="0" w:after="0" w:line="240" w:lineRule="auto"/>
              <w:ind w:left="57" w:right="57"/>
              <w:rPr>
                <w:color w:val="FFFFFF" w:themeColor="background1"/>
                <w:sz w:val="8"/>
                <w:szCs w:val="8"/>
              </w:rPr>
            </w:pPr>
            <w:r w:rsidRPr="00CD3CEC">
              <w:rPr>
                <w:color w:val="FFFFFF" w:themeColor="background1"/>
                <w:sz w:val="8"/>
                <w:szCs w:val="8"/>
              </w:rPr>
              <w:t>2024</w:t>
            </w:r>
          </w:p>
        </w:tc>
        <w:tc>
          <w:tcPr>
            <w:tcW w:w="826" w:type="dxa"/>
            <w:noWrap/>
            <w:hideMark/>
          </w:tcPr>
          <w:p w:rsidR="00FF69D7" w:rsidRPr="00CD3CEC" w:rsidRDefault="00FF69D7" w:rsidP="00FF69D7">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D3CEC">
              <w:rPr>
                <w:color w:val="FFFFFF" w:themeColor="background1"/>
                <w:sz w:val="8"/>
                <w:szCs w:val="8"/>
              </w:rPr>
              <w:t>684.701</w:t>
            </w:r>
          </w:p>
        </w:tc>
        <w:tc>
          <w:tcPr>
            <w:tcW w:w="923" w:type="dxa"/>
            <w:noWrap/>
            <w:hideMark/>
          </w:tcPr>
          <w:p w:rsidR="00FF69D7" w:rsidRPr="00CD3CEC" w:rsidRDefault="00FF69D7" w:rsidP="00FF69D7">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D3CEC">
              <w:rPr>
                <w:color w:val="FFFFFF" w:themeColor="background1"/>
                <w:sz w:val="8"/>
                <w:szCs w:val="8"/>
              </w:rPr>
              <w:t>243.550</w:t>
            </w:r>
          </w:p>
        </w:tc>
        <w:tc>
          <w:tcPr>
            <w:tcW w:w="794" w:type="dxa"/>
            <w:noWrap/>
            <w:hideMark/>
          </w:tcPr>
          <w:p w:rsidR="00FF69D7" w:rsidRPr="00CD3CEC" w:rsidRDefault="00FF69D7" w:rsidP="00FF69D7">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D3CEC">
              <w:rPr>
                <w:color w:val="FFFFFF" w:themeColor="background1"/>
                <w:sz w:val="8"/>
                <w:szCs w:val="8"/>
              </w:rPr>
              <w:t>39.269</w:t>
            </w:r>
          </w:p>
        </w:tc>
      </w:tr>
      <w:tr w:rsidR="00FF69D7" w:rsidRPr="00CD3CEC" w:rsidTr="00FF69D7">
        <w:tc>
          <w:tcPr>
            <w:cnfStyle w:val="001000000000" w:firstRow="0" w:lastRow="0" w:firstColumn="1" w:lastColumn="0" w:oddVBand="0" w:evenVBand="0" w:oddHBand="0" w:evenHBand="0" w:firstRowFirstColumn="0" w:firstRowLastColumn="0" w:lastRowFirstColumn="0" w:lastRowLastColumn="0"/>
            <w:tcW w:w="348" w:type="dxa"/>
            <w:hideMark/>
          </w:tcPr>
          <w:p w:rsidR="00FF69D7" w:rsidRPr="00CD3CEC" w:rsidRDefault="00FF69D7" w:rsidP="00FF69D7">
            <w:pPr>
              <w:pStyle w:val="TableText"/>
              <w:spacing w:before="0" w:after="0" w:line="240" w:lineRule="auto"/>
              <w:ind w:left="57" w:right="57"/>
              <w:rPr>
                <w:color w:val="FFFFFF" w:themeColor="background1"/>
                <w:sz w:val="8"/>
                <w:szCs w:val="8"/>
              </w:rPr>
            </w:pPr>
            <w:r w:rsidRPr="00CD3CEC">
              <w:rPr>
                <w:color w:val="FFFFFF" w:themeColor="background1"/>
                <w:sz w:val="8"/>
                <w:szCs w:val="8"/>
              </w:rPr>
              <w:t>2025</w:t>
            </w:r>
          </w:p>
        </w:tc>
        <w:tc>
          <w:tcPr>
            <w:tcW w:w="826" w:type="dxa"/>
            <w:noWrap/>
            <w:hideMark/>
          </w:tcPr>
          <w:p w:rsidR="00FF69D7" w:rsidRPr="00CD3CEC" w:rsidRDefault="00FF69D7" w:rsidP="00FF69D7">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D3CEC">
              <w:rPr>
                <w:color w:val="FFFFFF" w:themeColor="background1"/>
                <w:sz w:val="8"/>
                <w:szCs w:val="8"/>
              </w:rPr>
              <w:t>690.626</w:t>
            </w:r>
          </w:p>
        </w:tc>
        <w:tc>
          <w:tcPr>
            <w:tcW w:w="923" w:type="dxa"/>
            <w:noWrap/>
            <w:hideMark/>
          </w:tcPr>
          <w:p w:rsidR="00FF69D7" w:rsidRPr="00CD3CEC" w:rsidRDefault="00FF69D7" w:rsidP="00FF69D7">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D3CEC">
              <w:rPr>
                <w:color w:val="FFFFFF" w:themeColor="background1"/>
                <w:sz w:val="8"/>
                <w:szCs w:val="8"/>
              </w:rPr>
              <w:t>246.853</w:t>
            </w:r>
          </w:p>
        </w:tc>
        <w:tc>
          <w:tcPr>
            <w:tcW w:w="794" w:type="dxa"/>
            <w:noWrap/>
            <w:hideMark/>
          </w:tcPr>
          <w:p w:rsidR="00FF69D7" w:rsidRPr="00CD3CEC" w:rsidRDefault="00FF69D7" w:rsidP="00FF69D7">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D3CEC">
              <w:rPr>
                <w:color w:val="FFFFFF" w:themeColor="background1"/>
                <w:sz w:val="8"/>
                <w:szCs w:val="8"/>
              </w:rPr>
              <w:t>39.533</w:t>
            </w:r>
          </w:p>
        </w:tc>
      </w:tr>
      <w:tr w:rsidR="00FF69D7" w:rsidRPr="00CD3CEC" w:rsidTr="00FF69D7">
        <w:tc>
          <w:tcPr>
            <w:cnfStyle w:val="001000000000" w:firstRow="0" w:lastRow="0" w:firstColumn="1" w:lastColumn="0" w:oddVBand="0" w:evenVBand="0" w:oddHBand="0" w:evenHBand="0" w:firstRowFirstColumn="0" w:firstRowLastColumn="0" w:lastRowFirstColumn="0" w:lastRowLastColumn="0"/>
            <w:tcW w:w="348" w:type="dxa"/>
            <w:hideMark/>
          </w:tcPr>
          <w:p w:rsidR="00FF69D7" w:rsidRPr="00CD3CEC" w:rsidRDefault="00FF69D7" w:rsidP="00FF69D7">
            <w:pPr>
              <w:pStyle w:val="TableText"/>
              <w:spacing w:before="0" w:after="0" w:line="240" w:lineRule="auto"/>
              <w:ind w:left="57" w:right="57"/>
              <w:rPr>
                <w:color w:val="FFFFFF" w:themeColor="background1"/>
                <w:sz w:val="8"/>
                <w:szCs w:val="8"/>
              </w:rPr>
            </w:pPr>
            <w:r w:rsidRPr="00CD3CEC">
              <w:rPr>
                <w:color w:val="FFFFFF" w:themeColor="background1"/>
                <w:sz w:val="8"/>
                <w:szCs w:val="8"/>
              </w:rPr>
              <w:t>2026</w:t>
            </w:r>
          </w:p>
        </w:tc>
        <w:tc>
          <w:tcPr>
            <w:tcW w:w="826" w:type="dxa"/>
            <w:noWrap/>
            <w:hideMark/>
          </w:tcPr>
          <w:p w:rsidR="00FF69D7" w:rsidRPr="00CD3CEC" w:rsidRDefault="00FF69D7" w:rsidP="00FF69D7">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D3CEC">
              <w:rPr>
                <w:color w:val="FFFFFF" w:themeColor="background1"/>
                <w:sz w:val="8"/>
                <w:szCs w:val="8"/>
              </w:rPr>
              <w:t>696.361</w:t>
            </w:r>
          </w:p>
        </w:tc>
        <w:tc>
          <w:tcPr>
            <w:tcW w:w="923" w:type="dxa"/>
            <w:noWrap/>
            <w:hideMark/>
          </w:tcPr>
          <w:p w:rsidR="00FF69D7" w:rsidRPr="00CD3CEC" w:rsidRDefault="00FF69D7" w:rsidP="00FF69D7">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D3CEC">
              <w:rPr>
                <w:color w:val="FFFFFF" w:themeColor="background1"/>
                <w:sz w:val="8"/>
                <w:szCs w:val="8"/>
              </w:rPr>
              <w:t>250.262</w:t>
            </w:r>
          </w:p>
        </w:tc>
        <w:tc>
          <w:tcPr>
            <w:tcW w:w="794" w:type="dxa"/>
            <w:noWrap/>
            <w:hideMark/>
          </w:tcPr>
          <w:p w:rsidR="00FF69D7" w:rsidRPr="00CD3CEC" w:rsidRDefault="00FF69D7" w:rsidP="00FF69D7">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D3CEC">
              <w:rPr>
                <w:color w:val="FFFFFF" w:themeColor="background1"/>
                <w:sz w:val="8"/>
                <w:szCs w:val="8"/>
              </w:rPr>
              <w:t>39.829</w:t>
            </w:r>
          </w:p>
        </w:tc>
      </w:tr>
    </w:tbl>
    <w:p w:rsidR="00590815" w:rsidRPr="002F0D40" w:rsidRDefault="00590815" w:rsidP="00781074">
      <w:pPr>
        <w:pStyle w:val="Source"/>
        <w:spacing w:before="2520"/>
      </w:pPr>
      <w:r w:rsidRPr="002F0D40">
        <w:t xml:space="preserve">Source: </w:t>
      </w:r>
      <w:r w:rsidR="0090440F" w:rsidRPr="002F0D40">
        <w:t>PBO analysis of Department of Education and Training data</w:t>
      </w:r>
      <w:r w:rsidRPr="002F0D40">
        <w:t>.</w:t>
      </w:r>
    </w:p>
    <w:p w:rsidR="00590815" w:rsidRDefault="00590815" w:rsidP="002F0D40">
      <w:pPr>
        <w:pStyle w:val="Heading2"/>
      </w:pPr>
      <w:bookmarkStart w:id="40" w:name="_Toc445304408"/>
      <w:bookmarkStart w:id="41" w:name="_Toc445304434"/>
      <w:bookmarkStart w:id="42" w:name="_Toc445901362"/>
      <w:bookmarkStart w:id="43" w:name="_Toc447617961"/>
      <w:bookmarkStart w:id="44" w:name="_Toc447617991"/>
      <w:r>
        <w:lastRenderedPageBreak/>
        <w:t>Recent policy reform measures</w:t>
      </w:r>
      <w:bookmarkEnd w:id="40"/>
      <w:bookmarkEnd w:id="41"/>
      <w:bookmarkEnd w:id="42"/>
      <w:bookmarkEnd w:id="43"/>
      <w:bookmarkEnd w:id="44"/>
    </w:p>
    <w:p w:rsidR="00590815" w:rsidRDefault="00590815" w:rsidP="002F0D40">
      <w:pPr>
        <w:pStyle w:val="BodyText"/>
        <w:keepNext/>
        <w:keepLines/>
      </w:pPr>
      <w:r>
        <w:t xml:space="preserve">The </w:t>
      </w:r>
      <w:r w:rsidRPr="00006652">
        <w:t>2014</w:t>
      </w:r>
      <w:r>
        <w:t>–</w:t>
      </w:r>
      <w:r w:rsidRPr="00006652">
        <w:t>15 Budget</w:t>
      </w:r>
      <w:r>
        <w:t xml:space="preserve"> included a package of</w:t>
      </w:r>
      <w:r w:rsidRPr="00006652">
        <w:t xml:space="preserve"> </w:t>
      </w:r>
      <w:r>
        <w:t xml:space="preserve">higher education reform </w:t>
      </w:r>
      <w:r w:rsidRPr="00006652">
        <w:t>measures</w:t>
      </w:r>
      <w:r>
        <w:t>.  The then Minister for Education, the Hon Christopher Pyne MP, explained the package as follows:</w:t>
      </w:r>
    </w:p>
    <w:p w:rsidR="00590815" w:rsidRPr="00450C29" w:rsidRDefault="00590815" w:rsidP="00006383">
      <w:pPr>
        <w:pStyle w:val="Quote"/>
      </w:pPr>
      <w:r w:rsidRPr="00450C29">
        <w:t>‘By rebalancing the Commonwealth’s contribution towards course fees for new students with a reduction of 20 per cent on average, with effect from 1 January 2016, and allowing universities to determine the fees they charge, the Commonwealth will be able to sustainably meet the growth in students undertaking study, and will spread the opportunity of a higher education to more students.’</w:t>
      </w:r>
      <w:r w:rsidRPr="00A574EA">
        <w:rPr>
          <w:rStyle w:val="FootnoteReference"/>
        </w:rPr>
        <w:footnoteReference w:id="6"/>
      </w:r>
    </w:p>
    <w:p w:rsidR="00590815" w:rsidRDefault="00590815" w:rsidP="00450C29">
      <w:pPr>
        <w:pStyle w:val="BodyText"/>
      </w:pPr>
      <w:r w:rsidRPr="0032561F">
        <w:t>The 2014–15 Budget reforms were designed to decrease direct funding to universities, but allow universities to set their own</w:t>
      </w:r>
      <w:r w:rsidR="001F6E91">
        <w:t xml:space="preserve"> course</w:t>
      </w:r>
      <w:r w:rsidRPr="0032561F">
        <w:t xml:space="preserve"> fees</w:t>
      </w:r>
      <w:r w:rsidR="001F6E91">
        <w:t>.</w:t>
      </w:r>
      <w:r w:rsidRPr="0032561F">
        <w:t xml:space="preserve">  The reforms recognised that the lower direct subsidies from the Government would mean that student contributions would rise.  Under the reform package, higher student contributions could be expected to see an expansion in the HELP loan portfolio in the form of larger HELP loans</w:t>
      </w:r>
      <w:r w:rsidR="001F6E91">
        <w:t>.</w:t>
      </w:r>
    </w:p>
    <w:p w:rsidR="00590815" w:rsidRDefault="00590815" w:rsidP="00B03B06">
      <w:pPr>
        <w:pStyle w:val="BodyText"/>
      </w:pPr>
      <w:r>
        <w:t xml:space="preserve">On 1 October 2015 the Minister for Education and Training, Senator the Hon Simon Birmingham, announced that implementation of </w:t>
      </w:r>
      <w:r w:rsidR="00896EB0">
        <w:t xml:space="preserve">elements of </w:t>
      </w:r>
      <w:r>
        <w:t>the package of higher education reforms would be delayed until at least 2017 to allow the Government to undertake further consultations.</w:t>
      </w:r>
      <w:r w:rsidRPr="00A574EA">
        <w:rPr>
          <w:rStyle w:val="FootnoteReference"/>
        </w:rPr>
        <w:footnoteReference w:id="7"/>
      </w:r>
      <w:r>
        <w:t xml:space="preserve">  As at March 2016, a number of elements of the 2014–15 Budget higher education reform package remain unlegislated.</w:t>
      </w:r>
    </w:p>
    <w:p w:rsidR="00590815" w:rsidRDefault="00590815" w:rsidP="00B03B06">
      <w:pPr>
        <w:pStyle w:val="BodyText"/>
      </w:pPr>
      <w:r w:rsidRPr="00EE010C">
        <w:t>A summary of major higher education policy measures announced by the Government from 2013</w:t>
      </w:r>
      <w:r>
        <w:t>–</w:t>
      </w:r>
      <w:r w:rsidRPr="00EE010C">
        <w:t>14 to 2015</w:t>
      </w:r>
      <w:r>
        <w:t>–</w:t>
      </w:r>
      <w:r w:rsidRPr="00EE010C">
        <w:t>16 is at</w:t>
      </w:r>
      <w:r w:rsidR="004143FE">
        <w:t xml:space="preserve"> </w:t>
      </w:r>
      <w:r w:rsidR="00A574EA">
        <w:fldChar w:fldCharType="begin"/>
      </w:r>
      <w:r w:rsidR="00A574EA">
        <w:instrText xml:space="preserve"> REF _Ref447616267 \r \h </w:instrText>
      </w:r>
      <w:r w:rsidR="00A574EA">
        <w:fldChar w:fldCharType="separate"/>
      </w:r>
      <w:r w:rsidR="00CA5C2D">
        <w:t>Appendix B</w:t>
      </w:r>
      <w:r w:rsidR="00A574EA">
        <w:fldChar w:fldCharType="end"/>
      </w:r>
      <w:r w:rsidR="00A574EA">
        <w:t>.</w:t>
      </w:r>
    </w:p>
    <w:p w:rsidR="00B03B06" w:rsidRDefault="00B03B06" w:rsidP="00450C29">
      <w:pPr>
        <w:pStyle w:val="BodyText"/>
      </w:pPr>
    </w:p>
    <w:p w:rsidR="00590815" w:rsidRDefault="00590815" w:rsidP="00450C29">
      <w:pPr>
        <w:pStyle w:val="BodyText"/>
        <w:rPr>
          <w:bCs/>
        </w:rPr>
        <w:sectPr w:rsidR="00590815" w:rsidSect="00124AEE">
          <w:headerReference w:type="even" r:id="rId32"/>
          <w:headerReference w:type="default" r:id="rId33"/>
          <w:footerReference w:type="even" r:id="rId34"/>
          <w:footerReference w:type="default" r:id="rId35"/>
          <w:headerReference w:type="first" r:id="rId36"/>
          <w:pgSz w:w="11906" w:h="16838" w:code="9"/>
          <w:pgMar w:top="1361" w:right="1797" w:bottom="1474" w:left="1797" w:header="284" w:footer="454" w:gutter="0"/>
          <w:pgNumType w:start="1"/>
          <w:cols w:space="708"/>
          <w:docGrid w:linePitch="360"/>
        </w:sectPr>
      </w:pPr>
    </w:p>
    <w:p w:rsidR="00590815" w:rsidRDefault="00590815" w:rsidP="00590815">
      <w:pPr>
        <w:pStyle w:val="Heading1"/>
      </w:pPr>
      <w:bookmarkStart w:id="45" w:name="_Toc445304409"/>
      <w:bookmarkStart w:id="46" w:name="_Toc445304435"/>
      <w:bookmarkStart w:id="47" w:name="_Toc445901363"/>
      <w:bookmarkStart w:id="48" w:name="_Toc447617962"/>
      <w:bookmarkStart w:id="49" w:name="_Toc447617992"/>
      <w:r>
        <w:lastRenderedPageBreak/>
        <w:t>Budget impact of HELP</w:t>
      </w:r>
      <w:bookmarkEnd w:id="45"/>
      <w:bookmarkEnd w:id="46"/>
      <w:bookmarkEnd w:id="47"/>
      <w:bookmarkEnd w:id="48"/>
      <w:bookmarkEnd w:id="49"/>
    </w:p>
    <w:p w:rsidR="00590815" w:rsidRDefault="00590815" w:rsidP="00590815">
      <w:pPr>
        <w:pStyle w:val="Heading2"/>
      </w:pPr>
      <w:bookmarkStart w:id="50" w:name="_Toc445214124"/>
      <w:bookmarkStart w:id="51" w:name="_Toc445272993"/>
      <w:bookmarkStart w:id="52" w:name="_Toc445304410"/>
      <w:bookmarkStart w:id="53" w:name="_Toc445304436"/>
      <w:bookmarkStart w:id="54" w:name="_Toc445901364"/>
      <w:bookmarkStart w:id="55" w:name="_Toc447617963"/>
      <w:bookmarkStart w:id="56" w:name="_Toc447617993"/>
      <w:r>
        <w:t>Size of loan portfolio</w:t>
      </w:r>
      <w:bookmarkEnd w:id="50"/>
      <w:bookmarkEnd w:id="51"/>
      <w:bookmarkEnd w:id="52"/>
      <w:bookmarkEnd w:id="53"/>
      <w:bookmarkEnd w:id="54"/>
      <w:bookmarkEnd w:id="55"/>
      <w:bookmarkEnd w:id="56"/>
    </w:p>
    <w:p w:rsidR="00590815" w:rsidRDefault="00590815" w:rsidP="00590815">
      <w:pPr>
        <w:pStyle w:val="BodyText"/>
      </w:pPr>
      <w:r>
        <w:t>The HELP loan portfolio is a large and growing debt-funded financial asset on the Government’s balance sheet that involves costs to the Government.  The size of the HELP loan portfolio can be characterised in two different ways:</w:t>
      </w:r>
    </w:p>
    <w:p w:rsidR="00590815" w:rsidRDefault="00590815" w:rsidP="00590815">
      <w:pPr>
        <w:pStyle w:val="ListBullet"/>
      </w:pPr>
      <w:r>
        <w:rPr>
          <w:b/>
        </w:rPr>
        <w:t>N</w:t>
      </w:r>
      <w:r w:rsidRPr="0031037A">
        <w:rPr>
          <w:b/>
        </w:rPr>
        <w:t>ominal value:</w:t>
      </w:r>
      <w:r w:rsidRPr="0031037A">
        <w:t xml:space="preserve"> </w:t>
      </w:r>
      <w:r>
        <w:t xml:space="preserve"> T</w:t>
      </w:r>
      <w:r w:rsidRPr="0031037A">
        <w:t xml:space="preserve">he total </w:t>
      </w:r>
      <w:r>
        <w:t>face value of the stock of outstanding HELP loans is known as its nominal value.</w:t>
      </w:r>
      <w:r w:rsidRPr="0031037A">
        <w:t xml:space="preserve"> </w:t>
      </w:r>
      <w:r>
        <w:t xml:space="preserve"> The nominal value of the HELP loan portfolio increases with the issuing of new loans and with annual CPI indexation of existing loans.  The nominal value declines as loans are repaid.</w:t>
      </w:r>
    </w:p>
    <w:p w:rsidR="00590815" w:rsidRDefault="00590815" w:rsidP="00590815">
      <w:pPr>
        <w:pStyle w:val="ListBullet"/>
      </w:pPr>
      <w:r w:rsidRPr="0031037A">
        <w:rPr>
          <w:b/>
        </w:rPr>
        <w:t>Fair value:</w:t>
      </w:r>
      <w:r>
        <w:t xml:space="preserve">  The fair value of a financial asset is the transaction price at which it could be bought or sold at market.  However, due to the fact that a market does not exist for the HELP loan portfolio or its constituent HELP loans, its fair value </w:t>
      </w:r>
      <w:r w:rsidR="00896EB0">
        <w:t xml:space="preserve">to the Government </w:t>
      </w:r>
      <w:r>
        <w:t xml:space="preserve">must be estimated.  This is done by estimating the </w:t>
      </w:r>
      <w:r w:rsidR="00280543">
        <w:t xml:space="preserve">net present </w:t>
      </w:r>
      <w:r>
        <w:t>value of the future cash flows associated with all loans in the HELP loan portfolio</w:t>
      </w:r>
      <w:r w:rsidRPr="0031037A">
        <w:t xml:space="preserve">.  </w:t>
      </w:r>
      <w:r>
        <w:t xml:space="preserve">The estimation depends on projected borrower behaviour and assumptions regarding future differences between the market interest rates on </w:t>
      </w:r>
      <w:r w:rsidR="00D3619A">
        <w:t xml:space="preserve">Commonwealth Government Securities </w:t>
      </w:r>
      <w:r>
        <w:t>and the concessional interest rate charged on loans</w:t>
      </w:r>
      <w:r w:rsidRPr="0031037A">
        <w:t>.</w:t>
      </w:r>
    </w:p>
    <w:p w:rsidR="00590815" w:rsidRDefault="00590815" w:rsidP="00590815">
      <w:pPr>
        <w:pStyle w:val="BodyText"/>
      </w:pPr>
      <w:r>
        <w:t>The difference between the nominal and fair value</w:t>
      </w:r>
      <w:r w:rsidR="00280543">
        <w:t>s</w:t>
      </w:r>
      <w:r>
        <w:t xml:space="preserve"> of the HELP loan portfolio </w:t>
      </w:r>
      <w:r w:rsidR="00B67CC7">
        <w:t xml:space="preserve">represents </w:t>
      </w:r>
      <w:r>
        <w:t>the total write-down of the value of the portfolio</w:t>
      </w:r>
      <w:r w:rsidR="00B67CC7">
        <w:t xml:space="preserve"> as reflected in the Government’s balance sheet.</w:t>
      </w:r>
      <w:r w:rsidR="00137F9A" w:rsidRPr="00137F9A">
        <w:rPr>
          <w:noProof/>
          <w:lang w:eastAsia="en-AU"/>
        </w:rPr>
        <w:t xml:space="preserve"> </w:t>
      </w:r>
    </w:p>
    <w:p w:rsidR="00590815" w:rsidRDefault="00590815" w:rsidP="00590815">
      <w:pPr>
        <w:pStyle w:val="Caption"/>
        <w:keepLines/>
      </w:pPr>
      <w:bookmarkStart w:id="57" w:name="_Ref445304829"/>
      <w:r w:rsidRPr="00590815">
        <w:t xml:space="preserve">Figure </w:t>
      </w:r>
      <w:fldSimple w:instr=" STYLEREF 1 \s ">
        <w:r w:rsidR="00CA5C2D">
          <w:rPr>
            <w:noProof/>
          </w:rPr>
          <w:t>2</w:t>
        </w:r>
      </w:fldSimple>
      <w:r w:rsidRPr="00590815">
        <w:t>–</w:t>
      </w:r>
      <w:fldSimple w:instr=" SEQ Figure \* ARABIC \s 1 ">
        <w:r w:rsidR="00CA5C2D">
          <w:rPr>
            <w:noProof/>
          </w:rPr>
          <w:t>1</w:t>
        </w:r>
      </w:fldSimple>
      <w:bookmarkEnd w:id="57"/>
      <w:r w:rsidRPr="00590815">
        <w:t xml:space="preserve">: </w:t>
      </w:r>
      <w:r>
        <w:t>HELP loan portfolio</w:t>
      </w:r>
    </w:p>
    <w:tbl>
      <w:tblPr>
        <w:tblStyle w:val="TableGrid"/>
        <w:tblW w:w="1888" w:type="dxa"/>
        <w:tblLook w:val="0680" w:firstRow="0" w:lastRow="0" w:firstColumn="1" w:lastColumn="0" w:noHBand="1" w:noVBand="1"/>
      </w:tblPr>
      <w:tblGrid>
        <w:gridCol w:w="656"/>
        <w:gridCol w:w="640"/>
        <w:gridCol w:w="640"/>
      </w:tblGrid>
      <w:tr w:rsidR="006B424B" w:rsidRPr="005E2A7E" w:rsidTr="006B424B">
        <w:tc>
          <w:tcPr>
            <w:cnfStyle w:val="001000000000" w:firstRow="0" w:lastRow="0" w:firstColumn="1" w:lastColumn="0" w:oddVBand="0" w:evenVBand="0" w:oddHBand="0" w:evenHBand="0" w:firstRowFirstColumn="0" w:firstRowLastColumn="0" w:lastRowFirstColumn="0" w:lastRowLastColumn="0"/>
            <w:tcW w:w="640" w:type="dxa"/>
            <w:noWrap/>
            <w:hideMark/>
          </w:tcPr>
          <w:p w:rsidR="006B424B" w:rsidRPr="005E2A7E" w:rsidRDefault="00137F9A" w:rsidP="006B424B">
            <w:pPr>
              <w:pStyle w:val="TableText"/>
              <w:spacing w:before="0" w:after="0" w:line="240" w:lineRule="auto"/>
              <w:ind w:left="57" w:right="57"/>
              <w:rPr>
                <w:color w:val="FFFFFF" w:themeColor="background1"/>
                <w:sz w:val="8"/>
                <w:szCs w:val="8"/>
              </w:rPr>
            </w:pPr>
            <w:r>
              <w:rPr>
                <w:noProof/>
              </w:rPr>
              <w:drawing>
                <wp:anchor distT="0" distB="0" distL="114300" distR="114300" simplePos="0" relativeHeight="251670528" behindDoc="0" locked="0" layoutInCell="1" allowOverlap="1" wp14:anchorId="3AEF14B1" wp14:editId="00F99349">
                  <wp:simplePos x="0" y="0"/>
                  <wp:positionH relativeFrom="column">
                    <wp:posOffset>-26035</wp:posOffset>
                  </wp:positionH>
                  <wp:positionV relativeFrom="paragraph">
                    <wp:posOffset>-3810</wp:posOffset>
                  </wp:positionV>
                  <wp:extent cx="5267325" cy="2714625"/>
                  <wp:effectExtent l="0" t="0" r="9525" b="9525"/>
                  <wp:wrapNone/>
                  <wp:docPr id="7" name="Picture 7" descr="Decorative&#10;"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extLst>
                              <a:ext uri="{28A0092B-C50C-407E-A947-70E740481C1C}">
                                <a14:useLocalDpi xmlns:a14="http://schemas.microsoft.com/office/drawing/2010/main" val="0"/>
                              </a:ext>
                            </a:extLst>
                          </a:blip>
                          <a:stretch>
                            <a:fillRect/>
                          </a:stretch>
                        </pic:blipFill>
                        <pic:spPr>
                          <a:xfrm>
                            <a:off x="0" y="0"/>
                            <a:ext cx="5267325" cy="2714625"/>
                          </a:xfrm>
                          <a:prstGeom prst="rect">
                            <a:avLst/>
                          </a:prstGeom>
                        </pic:spPr>
                      </pic:pic>
                    </a:graphicData>
                  </a:graphic>
                  <wp14:sizeRelH relativeFrom="page">
                    <wp14:pctWidth>0</wp14:pctWidth>
                  </wp14:sizeRelH>
                  <wp14:sizeRelV relativeFrom="page">
                    <wp14:pctHeight>0</wp14:pctHeight>
                  </wp14:sizeRelV>
                </wp:anchor>
              </w:drawing>
            </w:r>
            <w:r w:rsidR="006B424B" w:rsidRPr="005E2A7E">
              <w:rPr>
                <w:color w:val="FFFFFF" w:themeColor="background1"/>
                <w:sz w:val="8"/>
                <w:szCs w:val="8"/>
              </w:rPr>
              <w:t>Year</w:t>
            </w:r>
          </w:p>
        </w:tc>
        <w:tc>
          <w:tcPr>
            <w:tcW w:w="624" w:type="dxa"/>
            <w:hideMark/>
          </w:tcPr>
          <w:p w:rsidR="006B424B" w:rsidRPr="005E2A7E" w:rsidRDefault="006B424B" w:rsidP="006B424B">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E2A7E">
              <w:rPr>
                <w:color w:val="FFFFFF" w:themeColor="background1"/>
                <w:sz w:val="8"/>
                <w:szCs w:val="8"/>
              </w:rPr>
              <w:t>Nominal value</w:t>
            </w:r>
          </w:p>
        </w:tc>
        <w:tc>
          <w:tcPr>
            <w:tcW w:w="624" w:type="dxa"/>
            <w:hideMark/>
          </w:tcPr>
          <w:p w:rsidR="006B424B" w:rsidRPr="005E2A7E" w:rsidRDefault="006B424B" w:rsidP="006B424B">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E2A7E">
              <w:rPr>
                <w:color w:val="FFFFFF" w:themeColor="background1"/>
                <w:sz w:val="8"/>
                <w:szCs w:val="8"/>
              </w:rPr>
              <w:t>Fair value</w:t>
            </w:r>
          </w:p>
        </w:tc>
      </w:tr>
      <w:tr w:rsidR="006B424B" w:rsidRPr="005E2A7E" w:rsidTr="006B424B">
        <w:tc>
          <w:tcPr>
            <w:cnfStyle w:val="001000000000" w:firstRow="0" w:lastRow="0" w:firstColumn="1" w:lastColumn="0" w:oddVBand="0" w:evenVBand="0" w:oddHBand="0" w:evenHBand="0" w:firstRowFirstColumn="0" w:firstRowLastColumn="0" w:lastRowFirstColumn="0" w:lastRowLastColumn="0"/>
            <w:tcW w:w="640" w:type="dxa"/>
            <w:noWrap/>
            <w:hideMark/>
          </w:tcPr>
          <w:p w:rsidR="006B424B" w:rsidRPr="005E2A7E" w:rsidRDefault="006B424B" w:rsidP="006B424B">
            <w:pPr>
              <w:pStyle w:val="TableText"/>
              <w:spacing w:before="0" w:after="0" w:line="240" w:lineRule="auto"/>
              <w:ind w:left="57" w:right="57"/>
              <w:rPr>
                <w:color w:val="FFFFFF" w:themeColor="background1"/>
                <w:sz w:val="8"/>
                <w:szCs w:val="8"/>
              </w:rPr>
            </w:pPr>
            <w:r w:rsidRPr="005E2A7E">
              <w:rPr>
                <w:color w:val="FFFFFF" w:themeColor="background1"/>
                <w:sz w:val="8"/>
                <w:szCs w:val="8"/>
              </w:rPr>
              <w:t>2010–11</w:t>
            </w:r>
          </w:p>
        </w:tc>
        <w:tc>
          <w:tcPr>
            <w:tcW w:w="624" w:type="dxa"/>
            <w:noWrap/>
            <w:hideMark/>
          </w:tcPr>
          <w:p w:rsidR="006B424B" w:rsidRPr="005E2A7E" w:rsidRDefault="006B424B" w:rsidP="006B424B">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E2A7E">
              <w:rPr>
                <w:color w:val="FFFFFF" w:themeColor="background1"/>
                <w:sz w:val="8"/>
                <w:szCs w:val="8"/>
              </w:rPr>
              <w:t>23.1</w:t>
            </w:r>
          </w:p>
        </w:tc>
        <w:tc>
          <w:tcPr>
            <w:tcW w:w="624" w:type="dxa"/>
            <w:noWrap/>
            <w:hideMark/>
          </w:tcPr>
          <w:p w:rsidR="006B424B" w:rsidRPr="005E2A7E" w:rsidRDefault="006B424B" w:rsidP="006B424B">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E2A7E">
              <w:rPr>
                <w:color w:val="FFFFFF" w:themeColor="background1"/>
                <w:sz w:val="8"/>
                <w:szCs w:val="8"/>
              </w:rPr>
              <w:t>15.6</w:t>
            </w:r>
          </w:p>
        </w:tc>
      </w:tr>
      <w:tr w:rsidR="006B424B" w:rsidRPr="005E2A7E" w:rsidTr="006B424B">
        <w:tc>
          <w:tcPr>
            <w:cnfStyle w:val="001000000000" w:firstRow="0" w:lastRow="0" w:firstColumn="1" w:lastColumn="0" w:oddVBand="0" w:evenVBand="0" w:oddHBand="0" w:evenHBand="0" w:firstRowFirstColumn="0" w:firstRowLastColumn="0" w:lastRowFirstColumn="0" w:lastRowLastColumn="0"/>
            <w:tcW w:w="640" w:type="dxa"/>
            <w:noWrap/>
            <w:hideMark/>
          </w:tcPr>
          <w:p w:rsidR="006B424B" w:rsidRPr="005E2A7E" w:rsidRDefault="006B424B" w:rsidP="006B424B">
            <w:pPr>
              <w:pStyle w:val="TableText"/>
              <w:spacing w:before="0" w:after="0" w:line="240" w:lineRule="auto"/>
              <w:ind w:left="57" w:right="57"/>
              <w:rPr>
                <w:color w:val="FFFFFF" w:themeColor="background1"/>
                <w:sz w:val="8"/>
                <w:szCs w:val="8"/>
              </w:rPr>
            </w:pPr>
            <w:r w:rsidRPr="005E2A7E">
              <w:rPr>
                <w:color w:val="FFFFFF" w:themeColor="background1"/>
                <w:sz w:val="8"/>
                <w:szCs w:val="8"/>
              </w:rPr>
              <w:t>2011–12</w:t>
            </w:r>
          </w:p>
        </w:tc>
        <w:tc>
          <w:tcPr>
            <w:tcW w:w="624" w:type="dxa"/>
            <w:noWrap/>
            <w:hideMark/>
          </w:tcPr>
          <w:p w:rsidR="006B424B" w:rsidRPr="005E2A7E" w:rsidRDefault="006B424B" w:rsidP="006B424B">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E2A7E">
              <w:rPr>
                <w:color w:val="FFFFFF" w:themeColor="background1"/>
                <w:sz w:val="8"/>
                <w:szCs w:val="8"/>
              </w:rPr>
              <w:t>26.4</w:t>
            </w:r>
          </w:p>
        </w:tc>
        <w:tc>
          <w:tcPr>
            <w:tcW w:w="624" w:type="dxa"/>
            <w:noWrap/>
            <w:hideMark/>
          </w:tcPr>
          <w:p w:rsidR="006B424B" w:rsidRPr="005E2A7E" w:rsidRDefault="006B424B" w:rsidP="006B424B">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E2A7E">
              <w:rPr>
                <w:color w:val="FFFFFF" w:themeColor="background1"/>
                <w:sz w:val="8"/>
                <w:szCs w:val="8"/>
              </w:rPr>
              <w:t>19.4</w:t>
            </w:r>
          </w:p>
        </w:tc>
      </w:tr>
      <w:tr w:rsidR="006B424B" w:rsidRPr="005E2A7E" w:rsidTr="006B424B">
        <w:tc>
          <w:tcPr>
            <w:cnfStyle w:val="001000000000" w:firstRow="0" w:lastRow="0" w:firstColumn="1" w:lastColumn="0" w:oddVBand="0" w:evenVBand="0" w:oddHBand="0" w:evenHBand="0" w:firstRowFirstColumn="0" w:firstRowLastColumn="0" w:lastRowFirstColumn="0" w:lastRowLastColumn="0"/>
            <w:tcW w:w="640" w:type="dxa"/>
            <w:noWrap/>
            <w:hideMark/>
          </w:tcPr>
          <w:p w:rsidR="006B424B" w:rsidRPr="005E2A7E" w:rsidRDefault="006B424B" w:rsidP="006B424B">
            <w:pPr>
              <w:pStyle w:val="TableText"/>
              <w:spacing w:before="0" w:after="0" w:line="240" w:lineRule="auto"/>
              <w:ind w:left="57" w:right="57"/>
              <w:rPr>
                <w:color w:val="FFFFFF" w:themeColor="background1"/>
                <w:sz w:val="8"/>
                <w:szCs w:val="8"/>
              </w:rPr>
            </w:pPr>
            <w:r w:rsidRPr="005E2A7E">
              <w:rPr>
                <w:color w:val="FFFFFF" w:themeColor="background1"/>
                <w:sz w:val="8"/>
                <w:szCs w:val="8"/>
              </w:rPr>
              <w:t>2012–13</w:t>
            </w:r>
          </w:p>
        </w:tc>
        <w:tc>
          <w:tcPr>
            <w:tcW w:w="624" w:type="dxa"/>
            <w:noWrap/>
            <w:hideMark/>
          </w:tcPr>
          <w:p w:rsidR="006B424B" w:rsidRPr="005E2A7E" w:rsidRDefault="006B424B" w:rsidP="006B424B">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E2A7E">
              <w:rPr>
                <w:color w:val="FFFFFF" w:themeColor="background1"/>
                <w:sz w:val="8"/>
                <w:szCs w:val="8"/>
              </w:rPr>
              <w:t>30.3</w:t>
            </w:r>
          </w:p>
        </w:tc>
        <w:tc>
          <w:tcPr>
            <w:tcW w:w="624" w:type="dxa"/>
            <w:noWrap/>
            <w:hideMark/>
          </w:tcPr>
          <w:p w:rsidR="006B424B" w:rsidRPr="005E2A7E" w:rsidRDefault="006B424B" w:rsidP="006B424B">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E2A7E">
              <w:rPr>
                <w:color w:val="FFFFFF" w:themeColor="background1"/>
                <w:sz w:val="8"/>
                <w:szCs w:val="8"/>
              </w:rPr>
              <w:t>21.7</w:t>
            </w:r>
          </w:p>
        </w:tc>
      </w:tr>
      <w:tr w:rsidR="006B424B" w:rsidRPr="005E2A7E" w:rsidTr="006B424B">
        <w:tc>
          <w:tcPr>
            <w:cnfStyle w:val="001000000000" w:firstRow="0" w:lastRow="0" w:firstColumn="1" w:lastColumn="0" w:oddVBand="0" w:evenVBand="0" w:oddHBand="0" w:evenHBand="0" w:firstRowFirstColumn="0" w:firstRowLastColumn="0" w:lastRowFirstColumn="0" w:lastRowLastColumn="0"/>
            <w:tcW w:w="640" w:type="dxa"/>
            <w:noWrap/>
            <w:hideMark/>
          </w:tcPr>
          <w:p w:rsidR="006B424B" w:rsidRPr="005E2A7E" w:rsidRDefault="006B424B" w:rsidP="006B424B">
            <w:pPr>
              <w:pStyle w:val="TableText"/>
              <w:spacing w:before="0" w:after="0" w:line="240" w:lineRule="auto"/>
              <w:ind w:left="57" w:right="57"/>
              <w:rPr>
                <w:color w:val="FFFFFF" w:themeColor="background1"/>
                <w:sz w:val="8"/>
                <w:szCs w:val="8"/>
              </w:rPr>
            </w:pPr>
            <w:r w:rsidRPr="005E2A7E">
              <w:rPr>
                <w:color w:val="FFFFFF" w:themeColor="background1"/>
                <w:sz w:val="8"/>
                <w:szCs w:val="8"/>
              </w:rPr>
              <w:t>2013–14</w:t>
            </w:r>
          </w:p>
        </w:tc>
        <w:tc>
          <w:tcPr>
            <w:tcW w:w="624" w:type="dxa"/>
            <w:noWrap/>
            <w:hideMark/>
          </w:tcPr>
          <w:p w:rsidR="006B424B" w:rsidRPr="005E2A7E" w:rsidRDefault="006B424B" w:rsidP="006B424B">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E2A7E">
              <w:rPr>
                <w:color w:val="FFFFFF" w:themeColor="background1"/>
                <w:sz w:val="8"/>
                <w:szCs w:val="8"/>
              </w:rPr>
              <w:t>33.8</w:t>
            </w:r>
          </w:p>
        </w:tc>
        <w:tc>
          <w:tcPr>
            <w:tcW w:w="624" w:type="dxa"/>
            <w:noWrap/>
            <w:hideMark/>
          </w:tcPr>
          <w:p w:rsidR="006B424B" w:rsidRPr="005E2A7E" w:rsidRDefault="006B424B" w:rsidP="006B424B">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E2A7E">
              <w:rPr>
                <w:color w:val="FFFFFF" w:themeColor="background1"/>
                <w:sz w:val="8"/>
                <w:szCs w:val="8"/>
              </w:rPr>
              <w:t>25.1</w:t>
            </w:r>
          </w:p>
        </w:tc>
      </w:tr>
      <w:tr w:rsidR="006B424B" w:rsidRPr="005E2A7E" w:rsidTr="006B424B">
        <w:tc>
          <w:tcPr>
            <w:cnfStyle w:val="001000000000" w:firstRow="0" w:lastRow="0" w:firstColumn="1" w:lastColumn="0" w:oddVBand="0" w:evenVBand="0" w:oddHBand="0" w:evenHBand="0" w:firstRowFirstColumn="0" w:firstRowLastColumn="0" w:lastRowFirstColumn="0" w:lastRowLastColumn="0"/>
            <w:tcW w:w="640" w:type="dxa"/>
            <w:noWrap/>
            <w:hideMark/>
          </w:tcPr>
          <w:p w:rsidR="006B424B" w:rsidRPr="005E2A7E" w:rsidRDefault="006B424B" w:rsidP="006B424B">
            <w:pPr>
              <w:pStyle w:val="TableText"/>
              <w:spacing w:before="0" w:after="0" w:line="240" w:lineRule="auto"/>
              <w:ind w:left="57" w:right="57"/>
              <w:rPr>
                <w:color w:val="FFFFFF" w:themeColor="background1"/>
                <w:sz w:val="8"/>
                <w:szCs w:val="8"/>
              </w:rPr>
            </w:pPr>
            <w:r w:rsidRPr="005E2A7E">
              <w:rPr>
                <w:color w:val="FFFFFF" w:themeColor="background1"/>
                <w:sz w:val="8"/>
                <w:szCs w:val="8"/>
              </w:rPr>
              <w:t>2014–15</w:t>
            </w:r>
          </w:p>
        </w:tc>
        <w:tc>
          <w:tcPr>
            <w:tcW w:w="624" w:type="dxa"/>
            <w:noWrap/>
            <w:hideMark/>
          </w:tcPr>
          <w:p w:rsidR="006B424B" w:rsidRPr="005E2A7E" w:rsidRDefault="006B424B" w:rsidP="006B424B">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E2A7E">
              <w:rPr>
                <w:color w:val="FFFFFF" w:themeColor="background1"/>
                <w:sz w:val="8"/>
                <w:szCs w:val="8"/>
              </w:rPr>
              <w:t>42.3</w:t>
            </w:r>
          </w:p>
        </w:tc>
        <w:tc>
          <w:tcPr>
            <w:tcW w:w="624" w:type="dxa"/>
            <w:noWrap/>
            <w:hideMark/>
          </w:tcPr>
          <w:p w:rsidR="006B424B" w:rsidRPr="005E2A7E" w:rsidRDefault="006B424B" w:rsidP="006B424B">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E2A7E">
              <w:rPr>
                <w:color w:val="FFFFFF" w:themeColor="background1"/>
                <w:sz w:val="8"/>
                <w:szCs w:val="8"/>
              </w:rPr>
              <w:t>30.4</w:t>
            </w:r>
          </w:p>
        </w:tc>
      </w:tr>
      <w:tr w:rsidR="006B424B" w:rsidRPr="005E2A7E" w:rsidTr="006B424B">
        <w:tc>
          <w:tcPr>
            <w:cnfStyle w:val="001000000000" w:firstRow="0" w:lastRow="0" w:firstColumn="1" w:lastColumn="0" w:oddVBand="0" w:evenVBand="0" w:oddHBand="0" w:evenHBand="0" w:firstRowFirstColumn="0" w:firstRowLastColumn="0" w:lastRowFirstColumn="0" w:lastRowLastColumn="0"/>
            <w:tcW w:w="640" w:type="dxa"/>
            <w:noWrap/>
            <w:hideMark/>
          </w:tcPr>
          <w:p w:rsidR="006B424B" w:rsidRPr="005E2A7E" w:rsidRDefault="006B424B" w:rsidP="006B424B">
            <w:pPr>
              <w:pStyle w:val="TableText"/>
              <w:spacing w:before="0" w:after="0" w:line="240" w:lineRule="auto"/>
              <w:ind w:left="57" w:right="57"/>
              <w:rPr>
                <w:color w:val="FFFFFF" w:themeColor="background1"/>
                <w:sz w:val="8"/>
                <w:szCs w:val="8"/>
              </w:rPr>
            </w:pPr>
            <w:r w:rsidRPr="005E2A7E">
              <w:rPr>
                <w:color w:val="FFFFFF" w:themeColor="background1"/>
                <w:sz w:val="8"/>
                <w:szCs w:val="8"/>
              </w:rPr>
              <w:t>2015–16</w:t>
            </w:r>
          </w:p>
        </w:tc>
        <w:tc>
          <w:tcPr>
            <w:tcW w:w="624" w:type="dxa"/>
            <w:noWrap/>
            <w:hideMark/>
          </w:tcPr>
          <w:p w:rsidR="006B424B" w:rsidRPr="005E2A7E" w:rsidRDefault="006B424B" w:rsidP="006B424B">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E2A7E">
              <w:rPr>
                <w:color w:val="FFFFFF" w:themeColor="background1"/>
                <w:sz w:val="8"/>
                <w:szCs w:val="8"/>
              </w:rPr>
              <w:t>51.2</w:t>
            </w:r>
          </w:p>
        </w:tc>
        <w:tc>
          <w:tcPr>
            <w:tcW w:w="624" w:type="dxa"/>
            <w:noWrap/>
            <w:hideMark/>
          </w:tcPr>
          <w:p w:rsidR="006B424B" w:rsidRPr="005E2A7E" w:rsidRDefault="006B424B" w:rsidP="006B424B">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E2A7E">
              <w:rPr>
                <w:color w:val="FFFFFF" w:themeColor="background1"/>
                <w:sz w:val="8"/>
                <w:szCs w:val="8"/>
              </w:rPr>
              <w:t>37.0</w:t>
            </w:r>
          </w:p>
        </w:tc>
      </w:tr>
      <w:tr w:rsidR="006B424B" w:rsidRPr="005E2A7E" w:rsidTr="006B424B">
        <w:tc>
          <w:tcPr>
            <w:cnfStyle w:val="001000000000" w:firstRow="0" w:lastRow="0" w:firstColumn="1" w:lastColumn="0" w:oddVBand="0" w:evenVBand="0" w:oddHBand="0" w:evenHBand="0" w:firstRowFirstColumn="0" w:firstRowLastColumn="0" w:lastRowFirstColumn="0" w:lastRowLastColumn="0"/>
            <w:tcW w:w="640" w:type="dxa"/>
            <w:noWrap/>
            <w:hideMark/>
          </w:tcPr>
          <w:p w:rsidR="006B424B" w:rsidRPr="005E2A7E" w:rsidRDefault="006B424B" w:rsidP="006B424B">
            <w:pPr>
              <w:pStyle w:val="TableText"/>
              <w:spacing w:before="0" w:after="0" w:line="240" w:lineRule="auto"/>
              <w:ind w:left="57" w:right="57"/>
              <w:rPr>
                <w:color w:val="FFFFFF" w:themeColor="background1"/>
                <w:sz w:val="8"/>
                <w:szCs w:val="8"/>
              </w:rPr>
            </w:pPr>
            <w:r w:rsidRPr="005E2A7E">
              <w:rPr>
                <w:color w:val="FFFFFF" w:themeColor="background1"/>
                <w:sz w:val="8"/>
                <w:szCs w:val="8"/>
              </w:rPr>
              <w:t>2016–17</w:t>
            </w:r>
          </w:p>
        </w:tc>
        <w:tc>
          <w:tcPr>
            <w:tcW w:w="624" w:type="dxa"/>
            <w:noWrap/>
            <w:hideMark/>
          </w:tcPr>
          <w:p w:rsidR="006B424B" w:rsidRPr="005E2A7E" w:rsidRDefault="006B424B" w:rsidP="006B424B">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E2A7E">
              <w:rPr>
                <w:color w:val="FFFFFF" w:themeColor="background1"/>
                <w:sz w:val="8"/>
                <w:szCs w:val="8"/>
              </w:rPr>
              <w:t>60.8</w:t>
            </w:r>
          </w:p>
        </w:tc>
        <w:tc>
          <w:tcPr>
            <w:tcW w:w="624" w:type="dxa"/>
            <w:noWrap/>
            <w:hideMark/>
          </w:tcPr>
          <w:p w:rsidR="006B424B" w:rsidRPr="005E2A7E" w:rsidRDefault="006B424B" w:rsidP="006B424B">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E2A7E">
              <w:rPr>
                <w:color w:val="FFFFFF" w:themeColor="background1"/>
                <w:sz w:val="8"/>
                <w:szCs w:val="8"/>
              </w:rPr>
              <w:t>43.6</w:t>
            </w:r>
          </w:p>
        </w:tc>
      </w:tr>
      <w:tr w:rsidR="006B424B" w:rsidRPr="005E2A7E" w:rsidTr="006B424B">
        <w:tc>
          <w:tcPr>
            <w:cnfStyle w:val="001000000000" w:firstRow="0" w:lastRow="0" w:firstColumn="1" w:lastColumn="0" w:oddVBand="0" w:evenVBand="0" w:oddHBand="0" w:evenHBand="0" w:firstRowFirstColumn="0" w:firstRowLastColumn="0" w:lastRowFirstColumn="0" w:lastRowLastColumn="0"/>
            <w:tcW w:w="640" w:type="dxa"/>
            <w:noWrap/>
            <w:hideMark/>
          </w:tcPr>
          <w:p w:rsidR="006B424B" w:rsidRPr="005E2A7E" w:rsidRDefault="006B424B" w:rsidP="006B424B">
            <w:pPr>
              <w:pStyle w:val="TableText"/>
              <w:spacing w:before="0" w:after="0" w:line="240" w:lineRule="auto"/>
              <w:ind w:left="57" w:right="57"/>
              <w:rPr>
                <w:color w:val="FFFFFF" w:themeColor="background1"/>
                <w:sz w:val="8"/>
                <w:szCs w:val="8"/>
              </w:rPr>
            </w:pPr>
            <w:r w:rsidRPr="005E2A7E">
              <w:rPr>
                <w:color w:val="FFFFFF" w:themeColor="background1"/>
                <w:sz w:val="8"/>
                <w:szCs w:val="8"/>
              </w:rPr>
              <w:t>2017–18</w:t>
            </w:r>
          </w:p>
        </w:tc>
        <w:tc>
          <w:tcPr>
            <w:tcW w:w="624" w:type="dxa"/>
            <w:noWrap/>
            <w:hideMark/>
          </w:tcPr>
          <w:p w:rsidR="006B424B" w:rsidRPr="005E2A7E" w:rsidRDefault="006B424B" w:rsidP="006B424B">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E2A7E">
              <w:rPr>
                <w:color w:val="FFFFFF" w:themeColor="background1"/>
                <w:sz w:val="8"/>
                <w:szCs w:val="8"/>
              </w:rPr>
              <w:t>71.6</w:t>
            </w:r>
          </w:p>
        </w:tc>
        <w:tc>
          <w:tcPr>
            <w:tcW w:w="624" w:type="dxa"/>
            <w:noWrap/>
            <w:hideMark/>
          </w:tcPr>
          <w:p w:rsidR="006B424B" w:rsidRPr="005E2A7E" w:rsidRDefault="006B424B" w:rsidP="006B424B">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E2A7E">
              <w:rPr>
                <w:color w:val="FFFFFF" w:themeColor="background1"/>
                <w:sz w:val="8"/>
                <w:szCs w:val="8"/>
              </w:rPr>
              <w:t>50.8</w:t>
            </w:r>
          </w:p>
        </w:tc>
      </w:tr>
      <w:tr w:rsidR="006B424B" w:rsidRPr="005E2A7E" w:rsidTr="006B424B">
        <w:tc>
          <w:tcPr>
            <w:cnfStyle w:val="001000000000" w:firstRow="0" w:lastRow="0" w:firstColumn="1" w:lastColumn="0" w:oddVBand="0" w:evenVBand="0" w:oddHBand="0" w:evenHBand="0" w:firstRowFirstColumn="0" w:firstRowLastColumn="0" w:lastRowFirstColumn="0" w:lastRowLastColumn="0"/>
            <w:tcW w:w="640" w:type="dxa"/>
            <w:noWrap/>
            <w:hideMark/>
          </w:tcPr>
          <w:p w:rsidR="006B424B" w:rsidRPr="005E2A7E" w:rsidRDefault="006B424B" w:rsidP="006B424B">
            <w:pPr>
              <w:pStyle w:val="TableText"/>
              <w:spacing w:before="0" w:after="0" w:line="240" w:lineRule="auto"/>
              <w:ind w:left="57" w:right="57"/>
              <w:rPr>
                <w:color w:val="FFFFFF" w:themeColor="background1"/>
                <w:sz w:val="8"/>
                <w:szCs w:val="8"/>
              </w:rPr>
            </w:pPr>
            <w:r w:rsidRPr="005E2A7E">
              <w:rPr>
                <w:color w:val="FFFFFF" w:themeColor="background1"/>
                <w:sz w:val="8"/>
                <w:szCs w:val="8"/>
              </w:rPr>
              <w:t>2018–19</w:t>
            </w:r>
          </w:p>
        </w:tc>
        <w:tc>
          <w:tcPr>
            <w:tcW w:w="624" w:type="dxa"/>
            <w:noWrap/>
            <w:hideMark/>
          </w:tcPr>
          <w:p w:rsidR="006B424B" w:rsidRPr="005E2A7E" w:rsidRDefault="006B424B" w:rsidP="006B424B">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E2A7E">
              <w:rPr>
                <w:color w:val="FFFFFF" w:themeColor="background1"/>
                <w:sz w:val="8"/>
                <w:szCs w:val="8"/>
              </w:rPr>
              <w:t>83.3</w:t>
            </w:r>
          </w:p>
        </w:tc>
        <w:tc>
          <w:tcPr>
            <w:tcW w:w="624" w:type="dxa"/>
            <w:noWrap/>
            <w:hideMark/>
          </w:tcPr>
          <w:p w:rsidR="006B424B" w:rsidRPr="005E2A7E" w:rsidRDefault="006B424B" w:rsidP="006B424B">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E2A7E">
              <w:rPr>
                <w:color w:val="FFFFFF" w:themeColor="background1"/>
                <w:sz w:val="8"/>
                <w:szCs w:val="8"/>
              </w:rPr>
              <w:t>58.9</w:t>
            </w:r>
          </w:p>
        </w:tc>
      </w:tr>
      <w:tr w:rsidR="006B424B" w:rsidRPr="005E2A7E" w:rsidTr="006B424B">
        <w:tc>
          <w:tcPr>
            <w:cnfStyle w:val="001000000000" w:firstRow="0" w:lastRow="0" w:firstColumn="1" w:lastColumn="0" w:oddVBand="0" w:evenVBand="0" w:oddHBand="0" w:evenHBand="0" w:firstRowFirstColumn="0" w:firstRowLastColumn="0" w:lastRowFirstColumn="0" w:lastRowLastColumn="0"/>
            <w:tcW w:w="640" w:type="dxa"/>
            <w:noWrap/>
            <w:hideMark/>
          </w:tcPr>
          <w:p w:rsidR="006B424B" w:rsidRPr="005E2A7E" w:rsidRDefault="006B424B" w:rsidP="006B424B">
            <w:pPr>
              <w:pStyle w:val="TableText"/>
              <w:spacing w:before="0" w:after="0" w:line="240" w:lineRule="auto"/>
              <w:ind w:left="57" w:right="57"/>
              <w:rPr>
                <w:color w:val="FFFFFF" w:themeColor="background1"/>
                <w:sz w:val="8"/>
                <w:szCs w:val="8"/>
              </w:rPr>
            </w:pPr>
            <w:r w:rsidRPr="005E2A7E">
              <w:rPr>
                <w:color w:val="FFFFFF" w:themeColor="background1"/>
                <w:sz w:val="8"/>
                <w:szCs w:val="8"/>
              </w:rPr>
              <w:t>2019–20</w:t>
            </w:r>
          </w:p>
        </w:tc>
        <w:tc>
          <w:tcPr>
            <w:tcW w:w="624" w:type="dxa"/>
            <w:noWrap/>
            <w:hideMark/>
          </w:tcPr>
          <w:p w:rsidR="006B424B" w:rsidRPr="005E2A7E" w:rsidRDefault="006B424B" w:rsidP="006B424B">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E2A7E">
              <w:rPr>
                <w:color w:val="FFFFFF" w:themeColor="background1"/>
                <w:sz w:val="8"/>
                <w:szCs w:val="8"/>
              </w:rPr>
              <w:t>95.9</w:t>
            </w:r>
          </w:p>
        </w:tc>
        <w:tc>
          <w:tcPr>
            <w:tcW w:w="624" w:type="dxa"/>
            <w:noWrap/>
            <w:hideMark/>
          </w:tcPr>
          <w:p w:rsidR="006B424B" w:rsidRPr="005E2A7E" w:rsidRDefault="006B424B" w:rsidP="006B424B">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E2A7E">
              <w:rPr>
                <w:color w:val="FFFFFF" w:themeColor="background1"/>
                <w:sz w:val="8"/>
                <w:szCs w:val="8"/>
              </w:rPr>
              <w:t>67.7</w:t>
            </w:r>
          </w:p>
        </w:tc>
      </w:tr>
      <w:tr w:rsidR="006B424B" w:rsidRPr="005E2A7E" w:rsidTr="006B424B">
        <w:tc>
          <w:tcPr>
            <w:cnfStyle w:val="001000000000" w:firstRow="0" w:lastRow="0" w:firstColumn="1" w:lastColumn="0" w:oddVBand="0" w:evenVBand="0" w:oddHBand="0" w:evenHBand="0" w:firstRowFirstColumn="0" w:firstRowLastColumn="0" w:lastRowFirstColumn="0" w:lastRowLastColumn="0"/>
            <w:tcW w:w="640" w:type="dxa"/>
            <w:noWrap/>
            <w:hideMark/>
          </w:tcPr>
          <w:p w:rsidR="006B424B" w:rsidRPr="005E2A7E" w:rsidRDefault="006B424B" w:rsidP="006B424B">
            <w:pPr>
              <w:pStyle w:val="TableText"/>
              <w:spacing w:before="0" w:after="0" w:line="240" w:lineRule="auto"/>
              <w:ind w:left="57" w:right="57"/>
              <w:rPr>
                <w:color w:val="FFFFFF" w:themeColor="background1"/>
                <w:sz w:val="8"/>
                <w:szCs w:val="8"/>
              </w:rPr>
            </w:pPr>
            <w:r w:rsidRPr="005E2A7E">
              <w:rPr>
                <w:color w:val="FFFFFF" w:themeColor="background1"/>
                <w:sz w:val="8"/>
                <w:szCs w:val="8"/>
              </w:rPr>
              <w:t>2020–21</w:t>
            </w:r>
          </w:p>
        </w:tc>
        <w:tc>
          <w:tcPr>
            <w:tcW w:w="624" w:type="dxa"/>
            <w:noWrap/>
            <w:hideMark/>
          </w:tcPr>
          <w:p w:rsidR="006B424B" w:rsidRPr="005E2A7E" w:rsidRDefault="006B424B" w:rsidP="006B424B">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E2A7E">
              <w:rPr>
                <w:color w:val="FFFFFF" w:themeColor="background1"/>
                <w:sz w:val="8"/>
                <w:szCs w:val="8"/>
              </w:rPr>
              <w:t>109.5</w:t>
            </w:r>
          </w:p>
        </w:tc>
        <w:tc>
          <w:tcPr>
            <w:tcW w:w="624" w:type="dxa"/>
            <w:noWrap/>
            <w:hideMark/>
          </w:tcPr>
          <w:p w:rsidR="006B424B" w:rsidRPr="005E2A7E" w:rsidRDefault="006B424B" w:rsidP="006B424B">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E2A7E">
              <w:rPr>
                <w:color w:val="FFFFFF" w:themeColor="background1"/>
                <w:sz w:val="8"/>
                <w:szCs w:val="8"/>
              </w:rPr>
              <w:t>77.1</w:t>
            </w:r>
          </w:p>
        </w:tc>
      </w:tr>
      <w:tr w:rsidR="006B424B" w:rsidRPr="005E2A7E" w:rsidTr="006B424B">
        <w:tc>
          <w:tcPr>
            <w:cnfStyle w:val="001000000000" w:firstRow="0" w:lastRow="0" w:firstColumn="1" w:lastColumn="0" w:oddVBand="0" w:evenVBand="0" w:oddHBand="0" w:evenHBand="0" w:firstRowFirstColumn="0" w:firstRowLastColumn="0" w:lastRowFirstColumn="0" w:lastRowLastColumn="0"/>
            <w:tcW w:w="640" w:type="dxa"/>
            <w:noWrap/>
            <w:hideMark/>
          </w:tcPr>
          <w:p w:rsidR="006B424B" w:rsidRPr="005E2A7E" w:rsidRDefault="006B424B" w:rsidP="006B424B">
            <w:pPr>
              <w:pStyle w:val="TableText"/>
              <w:spacing w:before="0" w:after="0" w:line="240" w:lineRule="auto"/>
              <w:ind w:left="57" w:right="57"/>
              <w:rPr>
                <w:color w:val="FFFFFF" w:themeColor="background1"/>
                <w:sz w:val="8"/>
                <w:szCs w:val="8"/>
              </w:rPr>
            </w:pPr>
            <w:r w:rsidRPr="005E2A7E">
              <w:rPr>
                <w:color w:val="FFFFFF" w:themeColor="background1"/>
                <w:sz w:val="8"/>
                <w:szCs w:val="8"/>
              </w:rPr>
              <w:t>2021–22</w:t>
            </w:r>
          </w:p>
        </w:tc>
        <w:tc>
          <w:tcPr>
            <w:tcW w:w="624" w:type="dxa"/>
            <w:noWrap/>
            <w:hideMark/>
          </w:tcPr>
          <w:p w:rsidR="006B424B" w:rsidRPr="005E2A7E" w:rsidRDefault="006B424B" w:rsidP="006B424B">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E2A7E">
              <w:rPr>
                <w:color w:val="FFFFFF" w:themeColor="background1"/>
                <w:sz w:val="8"/>
                <w:szCs w:val="8"/>
              </w:rPr>
              <w:t>123.7</w:t>
            </w:r>
          </w:p>
        </w:tc>
        <w:tc>
          <w:tcPr>
            <w:tcW w:w="624" w:type="dxa"/>
            <w:noWrap/>
            <w:hideMark/>
          </w:tcPr>
          <w:p w:rsidR="006B424B" w:rsidRPr="005E2A7E" w:rsidRDefault="006B424B" w:rsidP="006B424B">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E2A7E">
              <w:rPr>
                <w:color w:val="FFFFFF" w:themeColor="background1"/>
                <w:sz w:val="8"/>
                <w:szCs w:val="8"/>
              </w:rPr>
              <w:t>87.3</w:t>
            </w:r>
          </w:p>
        </w:tc>
      </w:tr>
      <w:tr w:rsidR="006B424B" w:rsidRPr="005E2A7E" w:rsidTr="006B424B">
        <w:tc>
          <w:tcPr>
            <w:cnfStyle w:val="001000000000" w:firstRow="0" w:lastRow="0" w:firstColumn="1" w:lastColumn="0" w:oddVBand="0" w:evenVBand="0" w:oddHBand="0" w:evenHBand="0" w:firstRowFirstColumn="0" w:firstRowLastColumn="0" w:lastRowFirstColumn="0" w:lastRowLastColumn="0"/>
            <w:tcW w:w="640" w:type="dxa"/>
            <w:noWrap/>
            <w:hideMark/>
          </w:tcPr>
          <w:p w:rsidR="006B424B" w:rsidRPr="005E2A7E" w:rsidRDefault="006B424B" w:rsidP="006B424B">
            <w:pPr>
              <w:pStyle w:val="TableText"/>
              <w:spacing w:before="0" w:after="0" w:line="240" w:lineRule="auto"/>
              <w:ind w:left="57" w:right="57"/>
              <w:rPr>
                <w:color w:val="FFFFFF" w:themeColor="background1"/>
                <w:sz w:val="8"/>
                <w:szCs w:val="8"/>
              </w:rPr>
            </w:pPr>
            <w:r w:rsidRPr="005E2A7E">
              <w:rPr>
                <w:color w:val="FFFFFF" w:themeColor="background1"/>
                <w:sz w:val="8"/>
                <w:szCs w:val="8"/>
              </w:rPr>
              <w:t>2022–23</w:t>
            </w:r>
          </w:p>
        </w:tc>
        <w:tc>
          <w:tcPr>
            <w:tcW w:w="624" w:type="dxa"/>
            <w:noWrap/>
            <w:hideMark/>
          </w:tcPr>
          <w:p w:rsidR="006B424B" w:rsidRPr="005E2A7E" w:rsidRDefault="006B424B" w:rsidP="006B424B">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E2A7E">
              <w:rPr>
                <w:color w:val="FFFFFF" w:themeColor="background1"/>
                <w:sz w:val="8"/>
                <w:szCs w:val="8"/>
              </w:rPr>
              <w:t>138.5</w:t>
            </w:r>
          </w:p>
        </w:tc>
        <w:tc>
          <w:tcPr>
            <w:tcW w:w="624" w:type="dxa"/>
            <w:noWrap/>
            <w:hideMark/>
          </w:tcPr>
          <w:p w:rsidR="006B424B" w:rsidRPr="005E2A7E" w:rsidRDefault="006B424B" w:rsidP="006B424B">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E2A7E">
              <w:rPr>
                <w:color w:val="FFFFFF" w:themeColor="background1"/>
                <w:sz w:val="8"/>
                <w:szCs w:val="8"/>
              </w:rPr>
              <w:t>98.1</w:t>
            </w:r>
          </w:p>
        </w:tc>
      </w:tr>
      <w:tr w:rsidR="006B424B" w:rsidRPr="005E2A7E" w:rsidTr="006B424B">
        <w:tc>
          <w:tcPr>
            <w:cnfStyle w:val="001000000000" w:firstRow="0" w:lastRow="0" w:firstColumn="1" w:lastColumn="0" w:oddVBand="0" w:evenVBand="0" w:oddHBand="0" w:evenHBand="0" w:firstRowFirstColumn="0" w:firstRowLastColumn="0" w:lastRowFirstColumn="0" w:lastRowLastColumn="0"/>
            <w:tcW w:w="640" w:type="dxa"/>
            <w:noWrap/>
            <w:hideMark/>
          </w:tcPr>
          <w:p w:rsidR="006B424B" w:rsidRPr="005E2A7E" w:rsidRDefault="006B424B" w:rsidP="006B424B">
            <w:pPr>
              <w:pStyle w:val="TableText"/>
              <w:spacing w:before="0" w:after="0" w:line="240" w:lineRule="auto"/>
              <w:ind w:left="57" w:right="57"/>
              <w:rPr>
                <w:color w:val="FFFFFF" w:themeColor="background1"/>
                <w:sz w:val="8"/>
                <w:szCs w:val="8"/>
              </w:rPr>
            </w:pPr>
            <w:r w:rsidRPr="005E2A7E">
              <w:rPr>
                <w:color w:val="FFFFFF" w:themeColor="background1"/>
                <w:sz w:val="8"/>
                <w:szCs w:val="8"/>
              </w:rPr>
              <w:t>2023–24</w:t>
            </w:r>
          </w:p>
        </w:tc>
        <w:tc>
          <w:tcPr>
            <w:tcW w:w="624" w:type="dxa"/>
            <w:noWrap/>
            <w:hideMark/>
          </w:tcPr>
          <w:p w:rsidR="006B424B" w:rsidRPr="005E2A7E" w:rsidRDefault="006B424B" w:rsidP="006B424B">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E2A7E">
              <w:rPr>
                <w:color w:val="FFFFFF" w:themeColor="background1"/>
                <w:sz w:val="8"/>
                <w:szCs w:val="8"/>
              </w:rPr>
              <w:t>153.7</w:t>
            </w:r>
          </w:p>
        </w:tc>
        <w:tc>
          <w:tcPr>
            <w:tcW w:w="624" w:type="dxa"/>
            <w:noWrap/>
            <w:hideMark/>
          </w:tcPr>
          <w:p w:rsidR="006B424B" w:rsidRPr="005E2A7E" w:rsidRDefault="006B424B" w:rsidP="006B424B">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E2A7E">
              <w:rPr>
                <w:color w:val="FFFFFF" w:themeColor="background1"/>
                <w:sz w:val="8"/>
                <w:szCs w:val="8"/>
              </w:rPr>
              <w:t>109.4</w:t>
            </w:r>
          </w:p>
        </w:tc>
      </w:tr>
      <w:tr w:rsidR="006B424B" w:rsidRPr="005E2A7E" w:rsidTr="006B424B">
        <w:tc>
          <w:tcPr>
            <w:cnfStyle w:val="001000000000" w:firstRow="0" w:lastRow="0" w:firstColumn="1" w:lastColumn="0" w:oddVBand="0" w:evenVBand="0" w:oddHBand="0" w:evenHBand="0" w:firstRowFirstColumn="0" w:firstRowLastColumn="0" w:lastRowFirstColumn="0" w:lastRowLastColumn="0"/>
            <w:tcW w:w="640" w:type="dxa"/>
            <w:noWrap/>
            <w:hideMark/>
          </w:tcPr>
          <w:p w:rsidR="006B424B" w:rsidRPr="005E2A7E" w:rsidRDefault="006B424B" w:rsidP="006B424B">
            <w:pPr>
              <w:pStyle w:val="TableText"/>
              <w:spacing w:before="0" w:after="0" w:line="240" w:lineRule="auto"/>
              <w:ind w:left="57" w:right="57"/>
              <w:rPr>
                <w:color w:val="FFFFFF" w:themeColor="background1"/>
                <w:sz w:val="8"/>
                <w:szCs w:val="8"/>
              </w:rPr>
            </w:pPr>
            <w:r w:rsidRPr="005E2A7E">
              <w:rPr>
                <w:color w:val="FFFFFF" w:themeColor="background1"/>
                <w:sz w:val="8"/>
                <w:szCs w:val="8"/>
              </w:rPr>
              <w:t>2024–25</w:t>
            </w:r>
          </w:p>
        </w:tc>
        <w:tc>
          <w:tcPr>
            <w:tcW w:w="624" w:type="dxa"/>
            <w:noWrap/>
            <w:hideMark/>
          </w:tcPr>
          <w:p w:rsidR="006B424B" w:rsidRPr="005E2A7E" w:rsidRDefault="006B424B" w:rsidP="006B424B">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E2A7E">
              <w:rPr>
                <w:color w:val="FFFFFF" w:themeColor="background1"/>
                <w:sz w:val="8"/>
                <w:szCs w:val="8"/>
              </w:rPr>
              <w:t>169.3</w:t>
            </w:r>
          </w:p>
        </w:tc>
        <w:tc>
          <w:tcPr>
            <w:tcW w:w="624" w:type="dxa"/>
            <w:noWrap/>
            <w:hideMark/>
          </w:tcPr>
          <w:p w:rsidR="006B424B" w:rsidRPr="005E2A7E" w:rsidRDefault="006B424B" w:rsidP="006B424B">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E2A7E">
              <w:rPr>
                <w:color w:val="FFFFFF" w:themeColor="background1"/>
                <w:sz w:val="8"/>
                <w:szCs w:val="8"/>
              </w:rPr>
              <w:t>121.1</w:t>
            </w:r>
          </w:p>
        </w:tc>
      </w:tr>
      <w:tr w:rsidR="006B424B" w:rsidRPr="005E2A7E" w:rsidTr="006B424B">
        <w:tc>
          <w:tcPr>
            <w:cnfStyle w:val="001000000000" w:firstRow="0" w:lastRow="0" w:firstColumn="1" w:lastColumn="0" w:oddVBand="0" w:evenVBand="0" w:oddHBand="0" w:evenHBand="0" w:firstRowFirstColumn="0" w:firstRowLastColumn="0" w:lastRowFirstColumn="0" w:lastRowLastColumn="0"/>
            <w:tcW w:w="640" w:type="dxa"/>
            <w:noWrap/>
            <w:hideMark/>
          </w:tcPr>
          <w:p w:rsidR="006B424B" w:rsidRPr="005E2A7E" w:rsidRDefault="006B424B" w:rsidP="006B424B">
            <w:pPr>
              <w:pStyle w:val="TableText"/>
              <w:spacing w:before="0" w:after="0" w:line="240" w:lineRule="auto"/>
              <w:ind w:left="57" w:right="57"/>
              <w:rPr>
                <w:color w:val="FFFFFF" w:themeColor="background1"/>
                <w:sz w:val="8"/>
                <w:szCs w:val="8"/>
              </w:rPr>
            </w:pPr>
            <w:r w:rsidRPr="005E2A7E">
              <w:rPr>
                <w:color w:val="FFFFFF" w:themeColor="background1"/>
                <w:sz w:val="8"/>
                <w:szCs w:val="8"/>
              </w:rPr>
              <w:t>2025-26</w:t>
            </w:r>
          </w:p>
        </w:tc>
        <w:tc>
          <w:tcPr>
            <w:tcW w:w="624" w:type="dxa"/>
            <w:noWrap/>
            <w:hideMark/>
          </w:tcPr>
          <w:p w:rsidR="006B424B" w:rsidRPr="005E2A7E" w:rsidRDefault="006B424B" w:rsidP="006B424B">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E2A7E">
              <w:rPr>
                <w:color w:val="FFFFFF" w:themeColor="background1"/>
                <w:sz w:val="8"/>
                <w:szCs w:val="8"/>
              </w:rPr>
              <w:t>185.2</w:t>
            </w:r>
          </w:p>
        </w:tc>
        <w:tc>
          <w:tcPr>
            <w:tcW w:w="624" w:type="dxa"/>
            <w:noWrap/>
            <w:hideMark/>
          </w:tcPr>
          <w:p w:rsidR="006B424B" w:rsidRPr="005E2A7E" w:rsidRDefault="006B424B" w:rsidP="006B424B">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E2A7E">
              <w:rPr>
                <w:color w:val="FFFFFF" w:themeColor="background1"/>
                <w:sz w:val="8"/>
                <w:szCs w:val="8"/>
              </w:rPr>
              <w:t>133.0</w:t>
            </w:r>
          </w:p>
        </w:tc>
      </w:tr>
    </w:tbl>
    <w:p w:rsidR="00590815" w:rsidRPr="00764F97" w:rsidRDefault="00590815" w:rsidP="00196523">
      <w:pPr>
        <w:pStyle w:val="Source"/>
        <w:spacing w:before="2640"/>
      </w:pPr>
      <w:r w:rsidRPr="00764F97">
        <w:t xml:space="preserve">Source: </w:t>
      </w:r>
      <w:r w:rsidR="0090440F" w:rsidRPr="00764F97">
        <w:t>PBO analysis of Department of Education and Training data</w:t>
      </w:r>
      <w:r w:rsidRPr="00764F97">
        <w:t>.</w:t>
      </w:r>
    </w:p>
    <w:p w:rsidR="00991131" w:rsidRDefault="00590815" w:rsidP="00450C29">
      <w:pPr>
        <w:pStyle w:val="BodyText17ptAbove"/>
        <w:keepNext/>
        <w:keepLines/>
      </w:pPr>
      <w:r>
        <w:lastRenderedPageBreak/>
        <w:t>From inception until</w:t>
      </w:r>
      <w:r w:rsidR="00090B5A">
        <w:t xml:space="preserve"> </w:t>
      </w:r>
      <w:r w:rsidR="00287726">
        <w:t>2014–15</w:t>
      </w:r>
      <w:r>
        <w:t xml:space="preserve">, the nominal value of the HELP loan portfolio has grown at a rate of </w:t>
      </w:r>
      <w:r w:rsidRPr="00745930">
        <w:t>22.</w:t>
      </w:r>
      <w:r w:rsidR="00745930" w:rsidRPr="00745930">
        <w:t>5</w:t>
      </w:r>
      <w:r>
        <w:t xml:space="preserve"> per cent annually to </w:t>
      </w:r>
      <w:r w:rsidR="00287726">
        <w:t>$42.3</w:t>
      </w:r>
      <w:r>
        <w:t xml:space="preserve"> billion.  Over the same period, the fair value of the HELP loan portfolio has grown at a rate of </w:t>
      </w:r>
      <w:r w:rsidR="00287726">
        <w:t>21.3</w:t>
      </w:r>
      <w:r>
        <w:t xml:space="preserve"> per cent annually to </w:t>
      </w:r>
      <w:r w:rsidR="00287726">
        <w:t>$30.4</w:t>
      </w:r>
      <w:r>
        <w:t xml:space="preserve"> billion.  </w:t>
      </w:r>
      <w:r w:rsidR="005725D6">
        <w:t xml:space="preserve">In other words, </w:t>
      </w:r>
      <w:r>
        <w:t>as at 30 June 201</w:t>
      </w:r>
      <w:r w:rsidR="00772249">
        <w:t>5</w:t>
      </w:r>
      <w:r w:rsidR="005725D6">
        <w:t>,</w:t>
      </w:r>
      <w:r>
        <w:t xml:space="preserve"> </w:t>
      </w:r>
      <w:r w:rsidR="005725D6">
        <w:t xml:space="preserve">the value of the HELP loan portfolio has been written down by </w:t>
      </w:r>
      <w:r w:rsidR="00287726">
        <w:t>$11.9</w:t>
      </w:r>
      <w:r w:rsidR="0093055D">
        <w:t> </w:t>
      </w:r>
      <w:r>
        <w:t>billion</w:t>
      </w:r>
      <w:r w:rsidR="005725D6">
        <w:t>.</w:t>
      </w:r>
    </w:p>
    <w:p w:rsidR="002D2B34" w:rsidRDefault="00EA11D3" w:rsidP="00590815">
      <w:pPr>
        <w:pStyle w:val="BodyText"/>
      </w:pPr>
      <w:r>
        <w:t xml:space="preserve">The size of the HELP portfolio </w:t>
      </w:r>
      <w:r w:rsidR="00BF7A02">
        <w:t>grew</w:t>
      </w:r>
      <w:r>
        <w:t xml:space="preserve"> strongly over the past decade </w:t>
      </w:r>
      <w:r w:rsidR="002D2B34">
        <w:t>largely driven by increasing number</w:t>
      </w:r>
      <w:r w:rsidR="00BF7A02">
        <w:t xml:space="preserve">s of </w:t>
      </w:r>
      <w:r w:rsidR="002D2B34">
        <w:t>student</w:t>
      </w:r>
      <w:r w:rsidR="00BF7A02">
        <w:t>s</w:t>
      </w:r>
      <w:r w:rsidR="002D2B34">
        <w:t xml:space="preserve"> taking out HELP loans.  This reflected policy decisions to introduce a demand driven funding system for university education and to provide HELP</w:t>
      </w:r>
      <w:r w:rsidR="0062623C">
        <w:t xml:space="preserve"> </w:t>
      </w:r>
      <w:r w:rsidR="002D2B34">
        <w:t>loans for vocational education and training.</w:t>
      </w:r>
    </w:p>
    <w:p w:rsidR="00D43895" w:rsidRDefault="00590815" w:rsidP="00590815">
      <w:pPr>
        <w:pStyle w:val="BodyText"/>
      </w:pPr>
      <w:r>
        <w:t xml:space="preserve">The </w:t>
      </w:r>
      <w:r w:rsidR="00A74892">
        <w:t>size</w:t>
      </w:r>
      <w:r>
        <w:t xml:space="preserve"> of the HELP loan portfolio </w:t>
      </w:r>
      <w:r w:rsidR="00A74892">
        <w:t>is</w:t>
      </w:r>
      <w:r>
        <w:t xml:space="preserve"> projected to </w:t>
      </w:r>
      <w:r w:rsidR="00991131">
        <w:t>grow rapidly</w:t>
      </w:r>
      <w:r>
        <w:t xml:space="preserve"> through to 2025–26 </w:t>
      </w:r>
      <w:r w:rsidR="00764F97">
        <w:br/>
      </w:r>
      <w:r>
        <w:t>(</w:t>
      </w:r>
      <w:r w:rsidR="00113212">
        <w:fldChar w:fldCharType="begin"/>
      </w:r>
      <w:r w:rsidR="00113212">
        <w:instrText xml:space="preserve"> REF _Ref445304829 \h </w:instrText>
      </w:r>
      <w:r w:rsidR="00113212">
        <w:fldChar w:fldCharType="separate"/>
      </w:r>
      <w:r w:rsidR="00CA5C2D" w:rsidRPr="00590815">
        <w:t xml:space="preserve">Figure </w:t>
      </w:r>
      <w:r w:rsidR="00CA5C2D">
        <w:rPr>
          <w:noProof/>
        </w:rPr>
        <w:t>2</w:t>
      </w:r>
      <w:r w:rsidR="00CA5C2D" w:rsidRPr="00590815">
        <w:t>–</w:t>
      </w:r>
      <w:r w:rsidR="00CA5C2D">
        <w:rPr>
          <w:noProof/>
        </w:rPr>
        <w:t>1</w:t>
      </w:r>
      <w:r w:rsidR="00113212">
        <w:fldChar w:fldCharType="end"/>
      </w:r>
      <w:r>
        <w:t xml:space="preserve">), driven </w:t>
      </w:r>
      <w:r w:rsidR="002D2B34">
        <w:t xml:space="preserve">mainly by projected increases in student </w:t>
      </w:r>
      <w:r w:rsidR="00D43895">
        <w:t>fees</w:t>
      </w:r>
      <w:r w:rsidR="002D2B34">
        <w:t xml:space="preserve"> from 2017 due to the announced higher education reforms.  The PBO projections assume that universities will </w:t>
      </w:r>
      <w:r w:rsidR="00D43895">
        <w:t xml:space="preserve">increase their fees to recover the reductions in subsidies under the </w:t>
      </w:r>
      <w:r w:rsidR="00772249">
        <w:t>Commonwealth Grant Scheme</w:t>
      </w:r>
      <w:r w:rsidR="00D43895">
        <w:t>.  This will require an average increase in fees of 40 per cent for student</w:t>
      </w:r>
      <w:r w:rsidR="00BF7A02">
        <w:t>s</w:t>
      </w:r>
      <w:r w:rsidR="00D43895">
        <w:t xml:space="preserve"> affected by the changes.</w:t>
      </w:r>
      <w:r w:rsidR="00BF7A02">
        <w:t xml:space="preserve"> </w:t>
      </w:r>
      <w:r w:rsidR="00C46881">
        <w:t xml:space="preserve"> Beyond this increase, the PBO has used an indicative assumption that universities will increase their student fees by 2 per cent annually in real terms.</w:t>
      </w:r>
    </w:p>
    <w:p w:rsidR="00590815" w:rsidRDefault="00590815" w:rsidP="00557CE8">
      <w:pPr>
        <w:pStyle w:val="BodyText"/>
        <w:keepNext/>
        <w:keepLines/>
      </w:pPr>
      <w:r>
        <w:t xml:space="preserve">By 30 June 2026, the nominal value of the HELP loan portfolio is </w:t>
      </w:r>
      <w:r w:rsidR="008A2FB5">
        <w:t>projected</w:t>
      </w:r>
      <w:r>
        <w:t xml:space="preserve"> to be </w:t>
      </w:r>
      <w:r w:rsidR="00E05E35">
        <w:t>$1</w:t>
      </w:r>
      <w:r w:rsidR="00F45396">
        <w:t>85.2</w:t>
      </w:r>
      <w:r w:rsidR="00764F97">
        <w:t> </w:t>
      </w:r>
      <w:r>
        <w:t xml:space="preserve">billion, and the fair value of the HELP loan portfolio is </w:t>
      </w:r>
      <w:r w:rsidR="008A2FB5">
        <w:t>projected</w:t>
      </w:r>
      <w:r>
        <w:t xml:space="preserve"> to be </w:t>
      </w:r>
      <w:r w:rsidR="00E05E35">
        <w:t>$13</w:t>
      </w:r>
      <w:r w:rsidR="0062623C">
        <w:t>3</w:t>
      </w:r>
      <w:r w:rsidR="00F45396">
        <w:t>.0</w:t>
      </w:r>
      <w:r w:rsidR="00423536">
        <w:t> </w:t>
      </w:r>
      <w:r>
        <w:t xml:space="preserve">billion, meaning that the write-down </w:t>
      </w:r>
      <w:r w:rsidR="00A74892">
        <w:t xml:space="preserve">in the value of the HELP loan portfolio </w:t>
      </w:r>
      <w:r w:rsidR="0093055D">
        <w:t>is projected to</w:t>
      </w:r>
      <w:r>
        <w:t xml:space="preserve"> increase to </w:t>
      </w:r>
      <w:r w:rsidR="00E531FC">
        <w:t>$52.2</w:t>
      </w:r>
      <w:r w:rsidR="00764F97">
        <w:t> </w:t>
      </w:r>
      <w:r>
        <w:t>billion.</w:t>
      </w:r>
    </w:p>
    <w:p w:rsidR="00590815" w:rsidRDefault="00590815" w:rsidP="00590815">
      <w:pPr>
        <w:pStyle w:val="BodyText"/>
      </w:pPr>
      <w:r w:rsidRPr="0032561F">
        <w:t>The</w:t>
      </w:r>
      <w:r w:rsidR="00B67CC7">
        <w:t xml:space="preserve"> projected</w:t>
      </w:r>
      <w:r w:rsidRPr="0032561F">
        <w:t xml:space="preserve"> increase of </w:t>
      </w:r>
      <w:r w:rsidR="00E531FC">
        <w:t>$</w:t>
      </w:r>
      <w:r w:rsidR="00287726">
        <w:t>40</w:t>
      </w:r>
      <w:r w:rsidR="00E531FC">
        <w:t>.3</w:t>
      </w:r>
      <w:r w:rsidRPr="0032561F">
        <w:t xml:space="preserve"> billion in the write-down </w:t>
      </w:r>
      <w:r w:rsidR="00B67CC7">
        <w:t xml:space="preserve">of the HELP portfolio </w:t>
      </w:r>
      <w:r w:rsidRPr="0032561F">
        <w:t xml:space="preserve">from </w:t>
      </w:r>
      <w:r w:rsidR="00E05E35">
        <w:t>$1</w:t>
      </w:r>
      <w:r w:rsidR="00772249">
        <w:t>1</w:t>
      </w:r>
      <w:r w:rsidR="00E05E35">
        <w:t>.9 </w:t>
      </w:r>
      <w:r w:rsidRPr="0032561F">
        <w:t>billion as at 30 June 201</w:t>
      </w:r>
      <w:r w:rsidR="00772249">
        <w:t>5</w:t>
      </w:r>
      <w:r w:rsidRPr="0032561F">
        <w:t xml:space="preserve"> to </w:t>
      </w:r>
      <w:r w:rsidR="00E531FC">
        <w:t>$</w:t>
      </w:r>
      <w:r w:rsidR="00A9716E">
        <w:t>52.2</w:t>
      </w:r>
      <w:r w:rsidRPr="0032561F">
        <w:t xml:space="preserve"> billion as at 30 June 2026 reflects the costs </w:t>
      </w:r>
      <w:r w:rsidR="0093055D">
        <w:t xml:space="preserve">to the Government </w:t>
      </w:r>
      <w:r w:rsidRPr="0032561F">
        <w:t>of new loans issued over this period</w:t>
      </w:r>
      <w:r>
        <w:t>.</w:t>
      </w:r>
    </w:p>
    <w:p w:rsidR="00590815" w:rsidRDefault="00590815" w:rsidP="00B2693C">
      <w:pPr>
        <w:pStyle w:val="Heading2"/>
      </w:pPr>
      <w:bookmarkStart w:id="58" w:name="_Toc445304411"/>
      <w:bookmarkStart w:id="59" w:name="_Toc445304437"/>
      <w:bookmarkStart w:id="60" w:name="_Toc445901365"/>
      <w:bookmarkStart w:id="61" w:name="_Toc447617964"/>
      <w:bookmarkStart w:id="62" w:name="_Toc447617994"/>
      <w:r>
        <w:t>Cost of HELP</w:t>
      </w:r>
      <w:bookmarkEnd w:id="58"/>
      <w:bookmarkEnd w:id="59"/>
      <w:bookmarkEnd w:id="60"/>
      <w:bookmarkEnd w:id="61"/>
      <w:bookmarkEnd w:id="62"/>
    </w:p>
    <w:p w:rsidR="00590815" w:rsidRPr="00866F74" w:rsidRDefault="00590815" w:rsidP="00B2693C">
      <w:pPr>
        <w:pStyle w:val="BodyText"/>
        <w:keepNext/>
        <w:keepLines/>
      </w:pPr>
      <w:r>
        <w:t xml:space="preserve">The costs of </w:t>
      </w:r>
      <w:r w:rsidR="00642440">
        <w:t>HELP</w:t>
      </w:r>
      <w:r>
        <w:t xml:space="preserve"> ar</w:t>
      </w:r>
      <w:r w:rsidR="00B2693C">
        <w:t>e comprised of two components:</w:t>
      </w:r>
    </w:p>
    <w:p w:rsidR="00590815" w:rsidRPr="000920B3" w:rsidRDefault="00590815" w:rsidP="00590815">
      <w:pPr>
        <w:pStyle w:val="ListBullet"/>
      </w:pPr>
      <w:r w:rsidRPr="001B4923">
        <w:rPr>
          <w:b/>
        </w:rPr>
        <w:t>Doubtful debt costs</w:t>
      </w:r>
      <w:r w:rsidRPr="00EE010C">
        <w:t xml:space="preserve"> </w:t>
      </w:r>
      <w:r w:rsidRPr="00583064">
        <w:t>are the estimated proportion</w:t>
      </w:r>
      <w:r>
        <w:t xml:space="preserve"> of new loans made each year that are not expected to be repaid </w:t>
      </w:r>
      <w:r w:rsidRPr="00EE010C">
        <w:t>due to the borrower’s taxable income never rising above the income-contingent repayment threshold, or</w:t>
      </w:r>
      <w:r>
        <w:t xml:space="preserve"> irrecoverable repayments due to</w:t>
      </w:r>
      <w:r w:rsidRPr="00EE010C">
        <w:t xml:space="preserve"> the borrower</w:t>
      </w:r>
      <w:r>
        <w:t xml:space="preserve"> permanently</w:t>
      </w:r>
      <w:r w:rsidRPr="00EE010C">
        <w:t xml:space="preserve"> moving overseas.  </w:t>
      </w:r>
      <w:r w:rsidRPr="0062623C">
        <w:t xml:space="preserve">Doubtful debt costs are </w:t>
      </w:r>
      <w:r w:rsidR="00562452" w:rsidRPr="0062623C">
        <w:t xml:space="preserve">estimated to be </w:t>
      </w:r>
      <w:r w:rsidR="0062623C" w:rsidRPr="0062623C">
        <w:t>19.0</w:t>
      </w:r>
      <w:r w:rsidRPr="0062623C">
        <w:t> per cent o</w:t>
      </w:r>
      <w:r w:rsidR="00423536" w:rsidRPr="002A7D43">
        <w:t xml:space="preserve">f </w:t>
      </w:r>
      <w:r w:rsidR="00423536" w:rsidRPr="0062623C">
        <w:t>new loans issued in 2015–16.</w:t>
      </w:r>
    </w:p>
    <w:p w:rsidR="00590815" w:rsidRDefault="00590815" w:rsidP="00590815">
      <w:pPr>
        <w:pStyle w:val="ListBullet"/>
      </w:pPr>
      <w:r w:rsidRPr="00A068CC">
        <w:rPr>
          <w:b/>
        </w:rPr>
        <w:t>Concessional interest rate costs</w:t>
      </w:r>
      <w:r>
        <w:t xml:space="preserve"> arise from HELP loans being indexed at the CPI inflation rate, which is typically lower than the yields on </w:t>
      </w:r>
      <w:r w:rsidR="004052C0">
        <w:t xml:space="preserve">Commonwealth Government Securities </w:t>
      </w:r>
      <w:r>
        <w:t>that determine the Government’s borrowing c</w:t>
      </w:r>
      <w:r w:rsidR="00423536">
        <w:t>osts to finance the programme.</w:t>
      </w:r>
    </w:p>
    <w:p w:rsidR="00590815" w:rsidRDefault="00423536" w:rsidP="00CB5396">
      <w:pPr>
        <w:pStyle w:val="BodyText"/>
        <w:keepNext/>
        <w:keepLines/>
      </w:pPr>
      <w:r>
        <w:lastRenderedPageBreak/>
        <w:fldChar w:fldCharType="begin"/>
      </w:r>
      <w:r>
        <w:instrText xml:space="preserve"> REF _Ref445304853 \h </w:instrText>
      </w:r>
      <w:r>
        <w:fldChar w:fldCharType="separate"/>
      </w:r>
      <w:r w:rsidR="00CA5C2D" w:rsidRPr="00590815">
        <w:t xml:space="preserve">Figure </w:t>
      </w:r>
      <w:r w:rsidR="00CA5C2D">
        <w:rPr>
          <w:noProof/>
        </w:rPr>
        <w:t>2</w:t>
      </w:r>
      <w:r w:rsidR="00CA5C2D" w:rsidRPr="00590815">
        <w:t>–</w:t>
      </w:r>
      <w:r w:rsidR="00CA5C2D">
        <w:rPr>
          <w:noProof/>
        </w:rPr>
        <w:t>2</w:t>
      </w:r>
      <w:r>
        <w:fldChar w:fldCharType="end"/>
      </w:r>
      <w:r w:rsidR="002618BA">
        <w:t xml:space="preserve"> </w:t>
      </w:r>
      <w:r w:rsidR="00590815">
        <w:t>presents the doubtful debt costs and concessional interest rate costs of new loans issued in a given year.  Each bar represents the expected lifetime cost to the Government of the loans.</w:t>
      </w:r>
      <w:r w:rsidR="00590815" w:rsidRPr="00A574EA">
        <w:rPr>
          <w:rStyle w:val="FootnoteReference"/>
        </w:rPr>
        <w:footnoteReference w:id="8"/>
      </w:r>
      <w:r w:rsidR="005B0210" w:rsidRPr="005B0210">
        <w:rPr>
          <w:noProof/>
          <w:lang w:eastAsia="en-AU"/>
        </w:rPr>
        <w:t xml:space="preserve"> </w:t>
      </w:r>
    </w:p>
    <w:p w:rsidR="00590815" w:rsidRDefault="00590815" w:rsidP="00590815">
      <w:pPr>
        <w:pStyle w:val="Caption"/>
      </w:pPr>
      <w:bookmarkStart w:id="63" w:name="_Ref445304853"/>
      <w:r w:rsidRPr="00590815">
        <w:t xml:space="preserve">Figure </w:t>
      </w:r>
      <w:fldSimple w:instr=" STYLEREF 1 \s ">
        <w:r w:rsidR="00CA5C2D">
          <w:rPr>
            <w:noProof/>
          </w:rPr>
          <w:t>2</w:t>
        </w:r>
      </w:fldSimple>
      <w:r w:rsidRPr="00590815">
        <w:t>–</w:t>
      </w:r>
      <w:fldSimple w:instr=" SEQ Figure \* ARABIC \s 1 ">
        <w:r w:rsidR="00CA5C2D">
          <w:rPr>
            <w:noProof/>
          </w:rPr>
          <w:t>2</w:t>
        </w:r>
      </w:fldSimple>
      <w:bookmarkEnd w:id="63"/>
      <w:r w:rsidRPr="00590815">
        <w:t xml:space="preserve">: </w:t>
      </w:r>
      <w:r>
        <w:t>Expected total lifetime costs of new HELP loans</w:t>
      </w:r>
    </w:p>
    <w:tbl>
      <w:tblPr>
        <w:tblStyle w:val="TableGrid"/>
        <w:tblW w:w="5000" w:type="pct"/>
        <w:tblLook w:val="0680" w:firstRow="0" w:lastRow="0" w:firstColumn="1" w:lastColumn="0" w:noHBand="1" w:noVBand="1"/>
      </w:tblPr>
      <w:tblGrid>
        <w:gridCol w:w="1196"/>
        <w:gridCol w:w="437"/>
        <w:gridCol w:w="455"/>
        <w:gridCol w:w="455"/>
        <w:gridCol w:w="490"/>
        <w:gridCol w:w="490"/>
        <w:gridCol w:w="490"/>
        <w:gridCol w:w="490"/>
        <w:gridCol w:w="490"/>
        <w:gridCol w:w="417"/>
        <w:gridCol w:w="417"/>
        <w:gridCol w:w="417"/>
        <w:gridCol w:w="417"/>
        <w:gridCol w:w="417"/>
        <w:gridCol w:w="417"/>
        <w:gridCol w:w="417"/>
        <w:gridCol w:w="401"/>
      </w:tblGrid>
      <w:tr w:rsidR="008B2A58" w:rsidRPr="001F5857" w:rsidTr="00DC7D30">
        <w:tc>
          <w:tcPr>
            <w:cnfStyle w:val="001000000000" w:firstRow="0" w:lastRow="0" w:firstColumn="1" w:lastColumn="0" w:oddVBand="0" w:evenVBand="0" w:oddHBand="0" w:evenHBand="0" w:firstRowFirstColumn="0" w:firstRowLastColumn="0" w:lastRowFirstColumn="0" w:lastRowLastColumn="0"/>
            <w:tcW w:w="719" w:type="pct"/>
            <w:noWrap/>
            <w:hideMark/>
          </w:tcPr>
          <w:p w:rsidR="00DC7D30" w:rsidRPr="001F5857" w:rsidRDefault="005B0210" w:rsidP="008B2A58">
            <w:pPr>
              <w:pStyle w:val="TableText"/>
              <w:spacing w:before="0" w:after="0" w:line="240" w:lineRule="auto"/>
              <w:ind w:left="57" w:right="57"/>
              <w:rPr>
                <w:color w:val="FFFFFF" w:themeColor="background1"/>
                <w:sz w:val="8"/>
                <w:szCs w:val="8"/>
              </w:rPr>
            </w:pPr>
            <w:r>
              <w:rPr>
                <w:noProof/>
              </w:rPr>
              <w:drawing>
                <wp:anchor distT="0" distB="0" distL="114300" distR="114300" simplePos="0" relativeHeight="251671552" behindDoc="0" locked="0" layoutInCell="1" allowOverlap="1" wp14:anchorId="55B0144F" wp14:editId="5F08095E">
                  <wp:simplePos x="0" y="0"/>
                  <wp:positionH relativeFrom="column">
                    <wp:posOffset>-26035</wp:posOffset>
                  </wp:positionH>
                  <wp:positionV relativeFrom="paragraph">
                    <wp:posOffset>-3810</wp:posOffset>
                  </wp:positionV>
                  <wp:extent cx="5238750" cy="2705100"/>
                  <wp:effectExtent l="0" t="0" r="0" b="0"/>
                  <wp:wrapNone/>
                  <wp:docPr id="11" name="Picture 11" descr="Decorative"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extLst>
                              <a:ext uri="{28A0092B-C50C-407E-A947-70E740481C1C}">
                                <a14:useLocalDpi xmlns:a14="http://schemas.microsoft.com/office/drawing/2010/main" val="0"/>
                              </a:ext>
                            </a:extLst>
                          </a:blip>
                          <a:stretch>
                            <a:fillRect/>
                          </a:stretch>
                        </pic:blipFill>
                        <pic:spPr>
                          <a:xfrm>
                            <a:off x="0" y="0"/>
                            <a:ext cx="5238750" cy="2705100"/>
                          </a:xfrm>
                          <a:prstGeom prst="rect">
                            <a:avLst/>
                          </a:prstGeom>
                        </pic:spPr>
                      </pic:pic>
                    </a:graphicData>
                  </a:graphic>
                  <wp14:sizeRelH relativeFrom="page">
                    <wp14:pctWidth>0</wp14:pctWidth>
                  </wp14:sizeRelH>
                  <wp14:sizeRelV relativeFrom="page">
                    <wp14:pctHeight>0</wp14:pctHeight>
                  </wp14:sizeRelV>
                </wp:anchor>
              </w:drawing>
            </w:r>
          </w:p>
        </w:tc>
        <w:tc>
          <w:tcPr>
            <w:tcW w:w="262" w:type="pct"/>
            <w:noWrap/>
            <w:hideMark/>
          </w:tcPr>
          <w:p w:rsidR="00DC7D30" w:rsidRPr="001F5857" w:rsidRDefault="00DC7D30" w:rsidP="008B2A58">
            <w:pPr>
              <w:pStyle w:val="TableTextCentred"/>
              <w:spacing w:before="0" w:after="0" w:line="240" w:lineRule="auto"/>
              <w:ind w:left="57" w:right="57"/>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1F5857">
              <w:rPr>
                <w:color w:val="FFFFFF" w:themeColor="background1"/>
                <w:sz w:val="8"/>
                <w:szCs w:val="8"/>
              </w:rPr>
              <w:t>2010–11</w:t>
            </w:r>
          </w:p>
        </w:tc>
        <w:tc>
          <w:tcPr>
            <w:tcW w:w="273" w:type="pct"/>
            <w:noWrap/>
            <w:hideMark/>
          </w:tcPr>
          <w:p w:rsidR="00DC7D30" w:rsidRPr="001F5857" w:rsidRDefault="00DC7D30" w:rsidP="008B2A58">
            <w:pPr>
              <w:pStyle w:val="TableTextCentred"/>
              <w:spacing w:before="0" w:after="0" w:line="240" w:lineRule="auto"/>
              <w:ind w:left="57" w:right="57"/>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1F5857">
              <w:rPr>
                <w:color w:val="FFFFFF" w:themeColor="background1"/>
                <w:sz w:val="8"/>
                <w:szCs w:val="8"/>
              </w:rPr>
              <w:t>2011–12</w:t>
            </w:r>
          </w:p>
        </w:tc>
        <w:tc>
          <w:tcPr>
            <w:tcW w:w="273" w:type="pct"/>
            <w:noWrap/>
            <w:hideMark/>
          </w:tcPr>
          <w:p w:rsidR="00DC7D30" w:rsidRPr="001F5857" w:rsidRDefault="00DC7D30" w:rsidP="008B2A58">
            <w:pPr>
              <w:pStyle w:val="TableTextCentred"/>
              <w:spacing w:before="0" w:after="0" w:line="240" w:lineRule="auto"/>
              <w:ind w:left="57" w:right="57"/>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1F5857">
              <w:rPr>
                <w:color w:val="FFFFFF" w:themeColor="background1"/>
                <w:sz w:val="8"/>
                <w:szCs w:val="8"/>
              </w:rPr>
              <w:t>2012–13</w:t>
            </w:r>
          </w:p>
        </w:tc>
        <w:tc>
          <w:tcPr>
            <w:tcW w:w="295" w:type="pct"/>
            <w:noWrap/>
            <w:hideMark/>
          </w:tcPr>
          <w:p w:rsidR="00DC7D30" w:rsidRPr="001F5857" w:rsidRDefault="00DC7D30" w:rsidP="008B2A58">
            <w:pPr>
              <w:pStyle w:val="TableTextCentred"/>
              <w:spacing w:before="0" w:after="0" w:line="240" w:lineRule="auto"/>
              <w:ind w:left="57" w:right="57"/>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1F5857">
              <w:rPr>
                <w:color w:val="FFFFFF" w:themeColor="background1"/>
                <w:sz w:val="8"/>
                <w:szCs w:val="8"/>
              </w:rPr>
              <w:t>2013–14</w:t>
            </w:r>
          </w:p>
        </w:tc>
        <w:tc>
          <w:tcPr>
            <w:tcW w:w="295" w:type="pct"/>
            <w:noWrap/>
            <w:hideMark/>
          </w:tcPr>
          <w:p w:rsidR="00DC7D30" w:rsidRPr="001F5857" w:rsidRDefault="00DC7D30" w:rsidP="008B2A58">
            <w:pPr>
              <w:pStyle w:val="TableTextCentred"/>
              <w:spacing w:before="0" w:after="0" w:line="240" w:lineRule="auto"/>
              <w:ind w:left="57" w:right="57"/>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1F5857">
              <w:rPr>
                <w:color w:val="FFFFFF" w:themeColor="background1"/>
                <w:sz w:val="8"/>
                <w:szCs w:val="8"/>
              </w:rPr>
              <w:t>2014–15</w:t>
            </w:r>
          </w:p>
        </w:tc>
        <w:tc>
          <w:tcPr>
            <w:tcW w:w="295" w:type="pct"/>
            <w:noWrap/>
            <w:hideMark/>
          </w:tcPr>
          <w:p w:rsidR="00DC7D30" w:rsidRPr="001F5857" w:rsidRDefault="00DC7D30" w:rsidP="008B2A58">
            <w:pPr>
              <w:pStyle w:val="TableTextCentred"/>
              <w:spacing w:before="0" w:after="0" w:line="240" w:lineRule="auto"/>
              <w:ind w:left="57" w:right="57"/>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1F5857">
              <w:rPr>
                <w:color w:val="FFFFFF" w:themeColor="background1"/>
                <w:sz w:val="8"/>
                <w:szCs w:val="8"/>
              </w:rPr>
              <w:t>2015–16</w:t>
            </w:r>
          </w:p>
        </w:tc>
        <w:tc>
          <w:tcPr>
            <w:tcW w:w="295" w:type="pct"/>
            <w:noWrap/>
            <w:hideMark/>
          </w:tcPr>
          <w:p w:rsidR="00DC7D30" w:rsidRPr="001F5857" w:rsidRDefault="00DC7D30" w:rsidP="008B2A58">
            <w:pPr>
              <w:pStyle w:val="TableTextCentred"/>
              <w:spacing w:before="0" w:after="0" w:line="240" w:lineRule="auto"/>
              <w:ind w:left="57" w:right="57"/>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1F5857">
              <w:rPr>
                <w:color w:val="FFFFFF" w:themeColor="background1"/>
                <w:sz w:val="8"/>
                <w:szCs w:val="8"/>
              </w:rPr>
              <w:t>2016–17</w:t>
            </w:r>
          </w:p>
        </w:tc>
        <w:tc>
          <w:tcPr>
            <w:tcW w:w="295" w:type="pct"/>
            <w:noWrap/>
            <w:hideMark/>
          </w:tcPr>
          <w:p w:rsidR="00DC7D30" w:rsidRPr="001F5857" w:rsidRDefault="00DC7D30" w:rsidP="008B2A58">
            <w:pPr>
              <w:pStyle w:val="TableTextCentred"/>
              <w:spacing w:before="0" w:after="0" w:line="240" w:lineRule="auto"/>
              <w:ind w:left="57" w:right="57"/>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1F5857">
              <w:rPr>
                <w:color w:val="FFFFFF" w:themeColor="background1"/>
                <w:sz w:val="8"/>
                <w:szCs w:val="8"/>
              </w:rPr>
              <w:t>2017–18</w:t>
            </w:r>
          </w:p>
        </w:tc>
        <w:tc>
          <w:tcPr>
            <w:tcW w:w="251" w:type="pct"/>
            <w:noWrap/>
            <w:hideMark/>
          </w:tcPr>
          <w:p w:rsidR="00DC7D30" w:rsidRPr="001F5857" w:rsidRDefault="00DC7D30" w:rsidP="008B2A58">
            <w:pPr>
              <w:pStyle w:val="TableTextCentred"/>
              <w:spacing w:before="0" w:after="0" w:line="240" w:lineRule="auto"/>
              <w:ind w:left="57" w:right="57"/>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1F5857">
              <w:rPr>
                <w:color w:val="FFFFFF" w:themeColor="background1"/>
                <w:sz w:val="8"/>
                <w:szCs w:val="8"/>
              </w:rPr>
              <w:t>2018–19</w:t>
            </w:r>
          </w:p>
        </w:tc>
        <w:tc>
          <w:tcPr>
            <w:tcW w:w="251" w:type="pct"/>
            <w:noWrap/>
            <w:hideMark/>
          </w:tcPr>
          <w:p w:rsidR="00DC7D30" w:rsidRPr="001F5857" w:rsidRDefault="00DC7D30" w:rsidP="008B2A58">
            <w:pPr>
              <w:pStyle w:val="TableTextCentred"/>
              <w:spacing w:before="0" w:after="0" w:line="240" w:lineRule="auto"/>
              <w:ind w:left="57" w:right="57"/>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1F5857">
              <w:rPr>
                <w:color w:val="FFFFFF" w:themeColor="background1"/>
                <w:sz w:val="8"/>
                <w:szCs w:val="8"/>
              </w:rPr>
              <w:t>2019–20</w:t>
            </w:r>
          </w:p>
        </w:tc>
        <w:tc>
          <w:tcPr>
            <w:tcW w:w="251" w:type="pct"/>
            <w:noWrap/>
            <w:hideMark/>
          </w:tcPr>
          <w:p w:rsidR="00DC7D30" w:rsidRPr="001F5857" w:rsidRDefault="00DC7D30" w:rsidP="008B2A58">
            <w:pPr>
              <w:pStyle w:val="TableTextCentred"/>
              <w:spacing w:before="0" w:after="0" w:line="240" w:lineRule="auto"/>
              <w:ind w:left="57" w:right="57"/>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1F5857">
              <w:rPr>
                <w:color w:val="FFFFFF" w:themeColor="background1"/>
                <w:sz w:val="8"/>
                <w:szCs w:val="8"/>
              </w:rPr>
              <w:t>2020–21</w:t>
            </w:r>
          </w:p>
        </w:tc>
        <w:tc>
          <w:tcPr>
            <w:tcW w:w="251" w:type="pct"/>
            <w:noWrap/>
            <w:hideMark/>
          </w:tcPr>
          <w:p w:rsidR="00DC7D30" w:rsidRPr="001F5857" w:rsidRDefault="00DC7D30" w:rsidP="008B2A58">
            <w:pPr>
              <w:pStyle w:val="TableTextCentred"/>
              <w:spacing w:before="0" w:after="0" w:line="240" w:lineRule="auto"/>
              <w:ind w:left="57" w:right="57"/>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1F5857">
              <w:rPr>
                <w:color w:val="FFFFFF" w:themeColor="background1"/>
                <w:sz w:val="8"/>
                <w:szCs w:val="8"/>
              </w:rPr>
              <w:t>2021–22</w:t>
            </w:r>
          </w:p>
        </w:tc>
        <w:tc>
          <w:tcPr>
            <w:tcW w:w="251" w:type="pct"/>
            <w:noWrap/>
            <w:hideMark/>
          </w:tcPr>
          <w:p w:rsidR="00DC7D30" w:rsidRPr="001F5857" w:rsidRDefault="00DC7D30" w:rsidP="008B2A58">
            <w:pPr>
              <w:pStyle w:val="TableTextCentred"/>
              <w:spacing w:before="0" w:after="0" w:line="240" w:lineRule="auto"/>
              <w:ind w:left="57" w:right="57"/>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1F5857">
              <w:rPr>
                <w:color w:val="FFFFFF" w:themeColor="background1"/>
                <w:sz w:val="8"/>
                <w:szCs w:val="8"/>
              </w:rPr>
              <w:t>2022–23</w:t>
            </w:r>
          </w:p>
        </w:tc>
        <w:tc>
          <w:tcPr>
            <w:tcW w:w="251" w:type="pct"/>
            <w:noWrap/>
            <w:hideMark/>
          </w:tcPr>
          <w:p w:rsidR="00DC7D30" w:rsidRPr="001F5857" w:rsidRDefault="00DC7D30" w:rsidP="008B2A58">
            <w:pPr>
              <w:pStyle w:val="TableTextCentred"/>
              <w:spacing w:before="0" w:after="0" w:line="240" w:lineRule="auto"/>
              <w:ind w:left="57" w:right="57"/>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1F5857">
              <w:rPr>
                <w:color w:val="FFFFFF" w:themeColor="background1"/>
                <w:sz w:val="8"/>
                <w:szCs w:val="8"/>
              </w:rPr>
              <w:t>2023–24</w:t>
            </w:r>
          </w:p>
        </w:tc>
        <w:tc>
          <w:tcPr>
            <w:tcW w:w="251" w:type="pct"/>
            <w:noWrap/>
            <w:hideMark/>
          </w:tcPr>
          <w:p w:rsidR="00DC7D30" w:rsidRPr="001F5857" w:rsidRDefault="00DC7D30" w:rsidP="008B2A58">
            <w:pPr>
              <w:pStyle w:val="TableTextCentred"/>
              <w:spacing w:before="0" w:after="0" w:line="240" w:lineRule="auto"/>
              <w:ind w:left="57" w:right="57"/>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1F5857">
              <w:rPr>
                <w:color w:val="FFFFFF" w:themeColor="background1"/>
                <w:sz w:val="8"/>
                <w:szCs w:val="8"/>
              </w:rPr>
              <w:t>2024–25</w:t>
            </w:r>
          </w:p>
        </w:tc>
        <w:tc>
          <w:tcPr>
            <w:tcW w:w="241" w:type="pct"/>
            <w:noWrap/>
            <w:hideMark/>
          </w:tcPr>
          <w:p w:rsidR="00DC7D30" w:rsidRPr="001F5857" w:rsidRDefault="00DC7D30" w:rsidP="008B2A58">
            <w:pPr>
              <w:pStyle w:val="TableTextCentred"/>
              <w:spacing w:before="0" w:after="0" w:line="240" w:lineRule="auto"/>
              <w:ind w:left="57" w:right="57"/>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1F5857">
              <w:rPr>
                <w:color w:val="FFFFFF" w:themeColor="background1"/>
                <w:sz w:val="8"/>
                <w:szCs w:val="8"/>
              </w:rPr>
              <w:t>2025–26</w:t>
            </w:r>
          </w:p>
        </w:tc>
      </w:tr>
      <w:tr w:rsidR="008B2A58" w:rsidRPr="001F5857" w:rsidTr="00DC7D30">
        <w:tc>
          <w:tcPr>
            <w:cnfStyle w:val="001000000000" w:firstRow="0" w:lastRow="0" w:firstColumn="1" w:lastColumn="0" w:oddVBand="0" w:evenVBand="0" w:oddHBand="0" w:evenHBand="0" w:firstRowFirstColumn="0" w:firstRowLastColumn="0" w:lastRowFirstColumn="0" w:lastRowLastColumn="0"/>
            <w:tcW w:w="719" w:type="pct"/>
            <w:noWrap/>
            <w:hideMark/>
          </w:tcPr>
          <w:p w:rsidR="00DC7D30" w:rsidRPr="001F5857" w:rsidRDefault="00DC7D30" w:rsidP="008B2A58">
            <w:pPr>
              <w:pStyle w:val="TableText"/>
              <w:spacing w:before="0" w:after="0" w:line="240" w:lineRule="auto"/>
              <w:ind w:left="57" w:right="57"/>
              <w:rPr>
                <w:color w:val="FFFFFF" w:themeColor="background1"/>
                <w:sz w:val="8"/>
                <w:szCs w:val="8"/>
              </w:rPr>
            </w:pPr>
            <w:r w:rsidRPr="001F5857">
              <w:rPr>
                <w:color w:val="FFFFFF" w:themeColor="background1"/>
                <w:sz w:val="8"/>
                <w:szCs w:val="8"/>
              </w:rPr>
              <w:t>Doubtful debt cost</w:t>
            </w:r>
          </w:p>
        </w:tc>
        <w:tc>
          <w:tcPr>
            <w:tcW w:w="262" w:type="pct"/>
            <w:noWrap/>
            <w:hideMark/>
          </w:tcPr>
          <w:p w:rsidR="00DC7D30" w:rsidRPr="001F5857" w:rsidRDefault="00DC7D30" w:rsidP="008B2A58">
            <w:pPr>
              <w:pStyle w:val="TableTextCentred"/>
              <w:spacing w:before="0" w:after="0" w:line="240" w:lineRule="auto"/>
              <w:ind w:left="57" w:right="57"/>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1F5857">
              <w:rPr>
                <w:color w:val="FFFFFF" w:themeColor="background1"/>
                <w:sz w:val="8"/>
                <w:szCs w:val="8"/>
              </w:rPr>
              <w:t>0.6025</w:t>
            </w:r>
          </w:p>
        </w:tc>
        <w:tc>
          <w:tcPr>
            <w:tcW w:w="273" w:type="pct"/>
            <w:noWrap/>
            <w:hideMark/>
          </w:tcPr>
          <w:p w:rsidR="00DC7D30" w:rsidRPr="001F5857" w:rsidRDefault="008B2A58" w:rsidP="008B2A58">
            <w:pPr>
              <w:pStyle w:val="TableTextCentred"/>
              <w:spacing w:before="0" w:after="0" w:line="240" w:lineRule="auto"/>
              <w:ind w:left="57" w:right="57"/>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1F5857">
              <w:rPr>
                <w:color w:val="FFFFFF" w:themeColor="background1"/>
                <w:sz w:val="8"/>
                <w:szCs w:val="8"/>
              </w:rPr>
              <w:t>0.7495</w:t>
            </w:r>
          </w:p>
        </w:tc>
        <w:tc>
          <w:tcPr>
            <w:tcW w:w="273" w:type="pct"/>
            <w:noWrap/>
            <w:hideMark/>
          </w:tcPr>
          <w:p w:rsidR="00DC7D30" w:rsidRPr="001F5857" w:rsidRDefault="00DC7D30" w:rsidP="008B2A58">
            <w:pPr>
              <w:pStyle w:val="TableTextCentred"/>
              <w:spacing w:before="0" w:after="0" w:line="240" w:lineRule="auto"/>
              <w:ind w:left="57" w:right="57"/>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1F5857">
              <w:rPr>
                <w:color w:val="FFFFFF" w:themeColor="background1"/>
                <w:sz w:val="8"/>
                <w:szCs w:val="8"/>
              </w:rPr>
              <w:t>0.9023</w:t>
            </w:r>
          </w:p>
        </w:tc>
        <w:tc>
          <w:tcPr>
            <w:tcW w:w="295" w:type="pct"/>
            <w:noWrap/>
            <w:hideMark/>
          </w:tcPr>
          <w:p w:rsidR="00DC7D30" w:rsidRPr="001F5857" w:rsidRDefault="00DC7D30" w:rsidP="008B2A58">
            <w:pPr>
              <w:pStyle w:val="TableTextCentred"/>
              <w:spacing w:before="0" w:after="0" w:line="240" w:lineRule="auto"/>
              <w:ind w:left="57" w:right="57"/>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1F5857">
              <w:rPr>
                <w:color w:val="FFFFFF" w:themeColor="background1"/>
                <w:sz w:val="8"/>
                <w:szCs w:val="8"/>
              </w:rPr>
              <w:t>1.1551</w:t>
            </w:r>
          </w:p>
        </w:tc>
        <w:tc>
          <w:tcPr>
            <w:tcW w:w="295" w:type="pct"/>
            <w:noWrap/>
            <w:hideMark/>
          </w:tcPr>
          <w:p w:rsidR="00DC7D30" w:rsidRPr="001F5857" w:rsidRDefault="00DC7D30" w:rsidP="008B2A58">
            <w:pPr>
              <w:pStyle w:val="TableTextCentred"/>
              <w:spacing w:before="0" w:after="0" w:line="240" w:lineRule="auto"/>
              <w:ind w:left="57" w:right="57"/>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1F5857">
              <w:rPr>
                <w:color w:val="FFFFFF" w:themeColor="background1"/>
                <w:sz w:val="8"/>
                <w:szCs w:val="8"/>
              </w:rPr>
              <w:t>1.6329</w:t>
            </w:r>
          </w:p>
        </w:tc>
        <w:tc>
          <w:tcPr>
            <w:tcW w:w="295" w:type="pct"/>
            <w:noWrap/>
            <w:hideMark/>
          </w:tcPr>
          <w:p w:rsidR="00DC7D30" w:rsidRPr="001F5857" w:rsidRDefault="008B2A58" w:rsidP="008B2A58">
            <w:pPr>
              <w:pStyle w:val="TableTextCentred"/>
              <w:spacing w:before="0" w:after="0" w:line="240" w:lineRule="auto"/>
              <w:ind w:left="57" w:right="57"/>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1F5857">
              <w:rPr>
                <w:color w:val="FFFFFF" w:themeColor="background1"/>
                <w:sz w:val="8"/>
                <w:szCs w:val="8"/>
              </w:rPr>
              <w:t>1.9118</w:t>
            </w:r>
          </w:p>
        </w:tc>
        <w:tc>
          <w:tcPr>
            <w:tcW w:w="295" w:type="pct"/>
            <w:noWrap/>
            <w:hideMark/>
          </w:tcPr>
          <w:p w:rsidR="00DC7D30" w:rsidRPr="001F5857" w:rsidRDefault="00DC7D30" w:rsidP="008B2A58">
            <w:pPr>
              <w:pStyle w:val="TableTextCentred"/>
              <w:spacing w:before="0" w:after="0" w:line="240" w:lineRule="auto"/>
              <w:ind w:left="57" w:right="57"/>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1F5857">
              <w:rPr>
                <w:color w:val="FFFFFF" w:themeColor="background1"/>
                <w:sz w:val="8"/>
                <w:szCs w:val="8"/>
              </w:rPr>
              <w:t>2.1121</w:t>
            </w:r>
          </w:p>
        </w:tc>
        <w:tc>
          <w:tcPr>
            <w:tcW w:w="295" w:type="pct"/>
            <w:noWrap/>
            <w:hideMark/>
          </w:tcPr>
          <w:p w:rsidR="00DC7D30" w:rsidRPr="001F5857" w:rsidRDefault="008B2A58" w:rsidP="008B2A58">
            <w:pPr>
              <w:pStyle w:val="TableTextCentred"/>
              <w:spacing w:before="0" w:after="0" w:line="240" w:lineRule="auto"/>
              <w:ind w:left="57" w:right="57"/>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1F5857">
              <w:rPr>
                <w:color w:val="FFFFFF" w:themeColor="background1"/>
                <w:sz w:val="8"/>
                <w:szCs w:val="8"/>
              </w:rPr>
              <w:t>2.4101</w:t>
            </w:r>
          </w:p>
        </w:tc>
        <w:tc>
          <w:tcPr>
            <w:tcW w:w="251" w:type="pct"/>
            <w:noWrap/>
            <w:hideMark/>
          </w:tcPr>
          <w:p w:rsidR="00DC7D30" w:rsidRPr="001F5857" w:rsidRDefault="00DC7D30" w:rsidP="008B2A58">
            <w:pPr>
              <w:pStyle w:val="TableTextCentred"/>
              <w:spacing w:before="0" w:after="0" w:line="240" w:lineRule="auto"/>
              <w:ind w:left="57" w:right="57"/>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1F5857">
              <w:rPr>
                <w:color w:val="FFFFFF" w:themeColor="background1"/>
                <w:sz w:val="8"/>
                <w:szCs w:val="8"/>
              </w:rPr>
              <w:t>2.6279</w:t>
            </w:r>
          </w:p>
        </w:tc>
        <w:tc>
          <w:tcPr>
            <w:tcW w:w="251" w:type="pct"/>
            <w:noWrap/>
            <w:hideMark/>
          </w:tcPr>
          <w:p w:rsidR="00DC7D30" w:rsidRPr="001F5857" w:rsidRDefault="008B2A58" w:rsidP="008B2A58">
            <w:pPr>
              <w:pStyle w:val="TableTextCentred"/>
              <w:spacing w:before="0" w:after="0" w:line="240" w:lineRule="auto"/>
              <w:ind w:left="57" w:right="57"/>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1F5857">
              <w:rPr>
                <w:color w:val="FFFFFF" w:themeColor="background1"/>
                <w:sz w:val="8"/>
                <w:szCs w:val="8"/>
              </w:rPr>
              <w:t>2.8169</w:t>
            </w:r>
          </w:p>
        </w:tc>
        <w:tc>
          <w:tcPr>
            <w:tcW w:w="251" w:type="pct"/>
            <w:noWrap/>
            <w:hideMark/>
          </w:tcPr>
          <w:p w:rsidR="00DC7D30" w:rsidRPr="001F5857" w:rsidRDefault="00DC7D30" w:rsidP="008B2A58">
            <w:pPr>
              <w:pStyle w:val="TableTextCentred"/>
              <w:spacing w:before="0" w:after="0" w:line="240" w:lineRule="auto"/>
              <w:ind w:left="57" w:right="57"/>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1F5857">
              <w:rPr>
                <w:color w:val="FFFFFF" w:themeColor="background1"/>
                <w:sz w:val="8"/>
                <w:szCs w:val="8"/>
              </w:rPr>
              <w:t>3.1221</w:t>
            </w:r>
          </w:p>
        </w:tc>
        <w:tc>
          <w:tcPr>
            <w:tcW w:w="251" w:type="pct"/>
            <w:noWrap/>
            <w:hideMark/>
          </w:tcPr>
          <w:p w:rsidR="00DC7D30" w:rsidRPr="001F5857" w:rsidRDefault="008B2A58" w:rsidP="008B2A58">
            <w:pPr>
              <w:pStyle w:val="TableTextCentred"/>
              <w:spacing w:before="0" w:after="0" w:line="240" w:lineRule="auto"/>
              <w:ind w:left="57" w:right="57"/>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1F5857">
              <w:rPr>
                <w:color w:val="FFFFFF" w:themeColor="background1"/>
                <w:sz w:val="8"/>
                <w:szCs w:val="8"/>
              </w:rPr>
              <w:t>3.3083</w:t>
            </w:r>
          </w:p>
        </w:tc>
        <w:tc>
          <w:tcPr>
            <w:tcW w:w="251" w:type="pct"/>
            <w:noWrap/>
            <w:hideMark/>
          </w:tcPr>
          <w:p w:rsidR="00DC7D30" w:rsidRPr="001F5857" w:rsidRDefault="00DC7D30" w:rsidP="008B2A58">
            <w:pPr>
              <w:pStyle w:val="TableTextCentred"/>
              <w:spacing w:before="0" w:after="0" w:line="240" w:lineRule="auto"/>
              <w:ind w:left="57" w:right="57"/>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1F5857">
              <w:rPr>
                <w:color w:val="FFFFFF" w:themeColor="background1"/>
                <w:sz w:val="8"/>
                <w:szCs w:val="8"/>
              </w:rPr>
              <w:t>3.4763</w:t>
            </w:r>
          </w:p>
        </w:tc>
        <w:tc>
          <w:tcPr>
            <w:tcW w:w="251" w:type="pct"/>
            <w:noWrap/>
            <w:hideMark/>
          </w:tcPr>
          <w:p w:rsidR="00DC7D30" w:rsidRPr="001F5857" w:rsidRDefault="008B2A58" w:rsidP="008B2A58">
            <w:pPr>
              <w:pStyle w:val="TableTextCentred"/>
              <w:spacing w:before="0" w:after="0" w:line="240" w:lineRule="auto"/>
              <w:ind w:left="57" w:right="57"/>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1F5857">
              <w:rPr>
                <w:color w:val="FFFFFF" w:themeColor="background1"/>
                <w:sz w:val="8"/>
                <w:szCs w:val="8"/>
              </w:rPr>
              <w:t>3.6517</w:t>
            </w:r>
          </w:p>
        </w:tc>
        <w:tc>
          <w:tcPr>
            <w:tcW w:w="251" w:type="pct"/>
            <w:noWrap/>
            <w:hideMark/>
          </w:tcPr>
          <w:p w:rsidR="00DC7D30" w:rsidRPr="001F5857" w:rsidRDefault="00DC7D30" w:rsidP="008B2A58">
            <w:pPr>
              <w:pStyle w:val="TableTextCentred"/>
              <w:spacing w:before="0" w:after="0" w:line="240" w:lineRule="auto"/>
              <w:ind w:left="57" w:right="57"/>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1F5857">
              <w:rPr>
                <w:color w:val="FFFFFF" w:themeColor="background1"/>
                <w:sz w:val="8"/>
                <w:szCs w:val="8"/>
              </w:rPr>
              <w:t>3.8331</w:t>
            </w:r>
          </w:p>
        </w:tc>
        <w:tc>
          <w:tcPr>
            <w:tcW w:w="241" w:type="pct"/>
            <w:noWrap/>
            <w:hideMark/>
          </w:tcPr>
          <w:p w:rsidR="00DC7D30" w:rsidRPr="001F5857" w:rsidRDefault="00DC7D30" w:rsidP="008B2A58">
            <w:pPr>
              <w:pStyle w:val="TableTextCentred"/>
              <w:spacing w:before="0" w:after="0" w:line="240" w:lineRule="auto"/>
              <w:ind w:left="57" w:right="57"/>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1F5857">
              <w:rPr>
                <w:color w:val="FFFFFF" w:themeColor="background1"/>
                <w:sz w:val="8"/>
                <w:szCs w:val="8"/>
              </w:rPr>
              <w:t>4.0198</w:t>
            </w:r>
          </w:p>
        </w:tc>
      </w:tr>
      <w:tr w:rsidR="008B2A58" w:rsidRPr="001F5857" w:rsidTr="00DC7D30">
        <w:tc>
          <w:tcPr>
            <w:cnfStyle w:val="001000000000" w:firstRow="0" w:lastRow="0" w:firstColumn="1" w:lastColumn="0" w:oddVBand="0" w:evenVBand="0" w:oddHBand="0" w:evenHBand="0" w:firstRowFirstColumn="0" w:firstRowLastColumn="0" w:lastRowFirstColumn="0" w:lastRowLastColumn="0"/>
            <w:tcW w:w="719" w:type="pct"/>
            <w:noWrap/>
            <w:hideMark/>
          </w:tcPr>
          <w:p w:rsidR="00DC7D30" w:rsidRPr="001F5857" w:rsidRDefault="00DC7D30" w:rsidP="008B2A58">
            <w:pPr>
              <w:pStyle w:val="TableText"/>
              <w:spacing w:before="0" w:after="0" w:line="240" w:lineRule="auto"/>
              <w:ind w:left="57" w:right="57"/>
              <w:rPr>
                <w:color w:val="FFFFFF" w:themeColor="background1"/>
                <w:sz w:val="8"/>
                <w:szCs w:val="8"/>
              </w:rPr>
            </w:pPr>
            <w:r w:rsidRPr="001F5857">
              <w:rPr>
                <w:color w:val="FFFFFF" w:themeColor="background1"/>
                <w:sz w:val="8"/>
                <w:szCs w:val="8"/>
              </w:rPr>
              <w:t>Concessional interest rate cost</w:t>
            </w:r>
          </w:p>
        </w:tc>
        <w:tc>
          <w:tcPr>
            <w:tcW w:w="262" w:type="pct"/>
            <w:noWrap/>
            <w:hideMark/>
          </w:tcPr>
          <w:p w:rsidR="00DC7D30" w:rsidRPr="001F5857" w:rsidRDefault="00DC7D30" w:rsidP="008B2A58">
            <w:pPr>
              <w:pStyle w:val="TableTextCentred"/>
              <w:spacing w:before="0" w:after="0" w:line="240" w:lineRule="auto"/>
              <w:ind w:left="57" w:right="57"/>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1F5857">
              <w:rPr>
                <w:color w:val="FFFFFF" w:themeColor="background1"/>
                <w:sz w:val="8"/>
                <w:szCs w:val="8"/>
              </w:rPr>
              <w:t>0.5947</w:t>
            </w:r>
          </w:p>
        </w:tc>
        <w:tc>
          <w:tcPr>
            <w:tcW w:w="273" w:type="pct"/>
            <w:noWrap/>
            <w:hideMark/>
          </w:tcPr>
          <w:p w:rsidR="00DC7D30" w:rsidRPr="001F5857" w:rsidRDefault="008B2A58" w:rsidP="008B2A58">
            <w:pPr>
              <w:pStyle w:val="TableTextCentred"/>
              <w:spacing w:before="0" w:after="0" w:line="240" w:lineRule="auto"/>
              <w:ind w:left="57" w:right="57"/>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1F5857">
              <w:rPr>
                <w:color w:val="FFFFFF" w:themeColor="background1"/>
                <w:sz w:val="8"/>
                <w:szCs w:val="8"/>
              </w:rPr>
              <w:t>0.5739</w:t>
            </w:r>
          </w:p>
        </w:tc>
        <w:tc>
          <w:tcPr>
            <w:tcW w:w="273" w:type="pct"/>
            <w:noWrap/>
            <w:hideMark/>
          </w:tcPr>
          <w:p w:rsidR="00DC7D30" w:rsidRPr="001F5857" w:rsidRDefault="00DC7D30" w:rsidP="008B2A58">
            <w:pPr>
              <w:pStyle w:val="TableTextCentred"/>
              <w:spacing w:before="0" w:after="0" w:line="240" w:lineRule="auto"/>
              <w:ind w:left="57" w:right="57"/>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1F5857">
              <w:rPr>
                <w:color w:val="FFFFFF" w:themeColor="background1"/>
                <w:sz w:val="8"/>
                <w:szCs w:val="8"/>
              </w:rPr>
              <w:t>0.1050</w:t>
            </w:r>
          </w:p>
        </w:tc>
        <w:tc>
          <w:tcPr>
            <w:tcW w:w="295" w:type="pct"/>
            <w:noWrap/>
            <w:hideMark/>
          </w:tcPr>
          <w:p w:rsidR="00DC7D30" w:rsidRPr="001F5857" w:rsidRDefault="008B2A58" w:rsidP="008B2A58">
            <w:pPr>
              <w:pStyle w:val="TableTextCentred"/>
              <w:spacing w:before="0" w:after="0" w:line="240" w:lineRule="auto"/>
              <w:ind w:left="57" w:right="57"/>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1F5857">
              <w:rPr>
                <w:color w:val="FFFFFF" w:themeColor="background1"/>
                <w:sz w:val="8"/>
                <w:szCs w:val="8"/>
              </w:rPr>
              <w:t>0.6351</w:t>
            </w:r>
          </w:p>
        </w:tc>
        <w:tc>
          <w:tcPr>
            <w:tcW w:w="295" w:type="pct"/>
            <w:noWrap/>
            <w:hideMark/>
          </w:tcPr>
          <w:p w:rsidR="00DC7D30" w:rsidRPr="001F5857" w:rsidRDefault="008B2A58" w:rsidP="008B2A58">
            <w:pPr>
              <w:pStyle w:val="TableTextCentred"/>
              <w:spacing w:before="0" w:after="0" w:line="240" w:lineRule="auto"/>
              <w:ind w:left="57" w:right="57"/>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1F5857">
              <w:rPr>
                <w:color w:val="FFFFFF" w:themeColor="background1"/>
                <w:sz w:val="8"/>
                <w:szCs w:val="8"/>
              </w:rPr>
              <w:t>0.8668</w:t>
            </w:r>
          </w:p>
        </w:tc>
        <w:tc>
          <w:tcPr>
            <w:tcW w:w="295" w:type="pct"/>
            <w:noWrap/>
            <w:hideMark/>
          </w:tcPr>
          <w:p w:rsidR="00DC7D30" w:rsidRPr="001F5857" w:rsidRDefault="00DC7D30" w:rsidP="008B2A58">
            <w:pPr>
              <w:pStyle w:val="TableTextCentred"/>
              <w:spacing w:before="0" w:after="0" w:line="240" w:lineRule="auto"/>
              <w:ind w:left="57" w:right="57"/>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1F5857">
              <w:rPr>
                <w:color w:val="FFFFFF" w:themeColor="background1"/>
                <w:sz w:val="8"/>
                <w:szCs w:val="8"/>
              </w:rPr>
              <w:t>0.9515</w:t>
            </w:r>
          </w:p>
        </w:tc>
        <w:tc>
          <w:tcPr>
            <w:tcW w:w="295" w:type="pct"/>
            <w:noWrap/>
            <w:hideMark/>
          </w:tcPr>
          <w:p w:rsidR="00DC7D30" w:rsidRPr="001F5857" w:rsidRDefault="008B2A58" w:rsidP="008B2A58">
            <w:pPr>
              <w:pStyle w:val="TableTextCentred"/>
              <w:spacing w:before="0" w:after="0" w:line="240" w:lineRule="auto"/>
              <w:ind w:left="57" w:right="57"/>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1F5857">
              <w:rPr>
                <w:color w:val="FFFFFF" w:themeColor="background1"/>
                <w:sz w:val="8"/>
                <w:szCs w:val="8"/>
              </w:rPr>
              <w:t>1.0696</w:t>
            </w:r>
          </w:p>
        </w:tc>
        <w:tc>
          <w:tcPr>
            <w:tcW w:w="295" w:type="pct"/>
            <w:noWrap/>
            <w:hideMark/>
          </w:tcPr>
          <w:p w:rsidR="00DC7D30" w:rsidRPr="001F5857" w:rsidRDefault="008B2A58" w:rsidP="008B2A58">
            <w:pPr>
              <w:pStyle w:val="TableTextCentred"/>
              <w:spacing w:before="0" w:after="0" w:line="240" w:lineRule="auto"/>
              <w:ind w:left="57" w:right="57"/>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1F5857">
              <w:rPr>
                <w:color w:val="FFFFFF" w:themeColor="background1"/>
                <w:sz w:val="8"/>
                <w:szCs w:val="8"/>
              </w:rPr>
              <w:t>1.296</w:t>
            </w:r>
            <w:r w:rsidR="00DC7D30" w:rsidRPr="001F5857">
              <w:rPr>
                <w:color w:val="FFFFFF" w:themeColor="background1"/>
                <w:sz w:val="8"/>
                <w:szCs w:val="8"/>
              </w:rPr>
              <w:t xml:space="preserve"> </w:t>
            </w:r>
          </w:p>
        </w:tc>
        <w:tc>
          <w:tcPr>
            <w:tcW w:w="251" w:type="pct"/>
            <w:noWrap/>
            <w:hideMark/>
          </w:tcPr>
          <w:p w:rsidR="00DC7D30" w:rsidRPr="001F5857" w:rsidRDefault="008B2A58" w:rsidP="008B2A58">
            <w:pPr>
              <w:pStyle w:val="TableTextCentred"/>
              <w:spacing w:before="0" w:after="0" w:line="240" w:lineRule="auto"/>
              <w:ind w:left="57" w:right="57"/>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1F5857">
              <w:rPr>
                <w:color w:val="FFFFFF" w:themeColor="background1"/>
                <w:sz w:val="8"/>
                <w:szCs w:val="8"/>
              </w:rPr>
              <w:t>1.4856</w:t>
            </w:r>
          </w:p>
        </w:tc>
        <w:tc>
          <w:tcPr>
            <w:tcW w:w="251" w:type="pct"/>
            <w:noWrap/>
            <w:hideMark/>
          </w:tcPr>
          <w:p w:rsidR="00DC7D30" w:rsidRPr="001F5857" w:rsidRDefault="00DC7D30" w:rsidP="008B2A58">
            <w:pPr>
              <w:pStyle w:val="TableTextCentred"/>
              <w:spacing w:before="0" w:after="0" w:line="240" w:lineRule="auto"/>
              <w:ind w:left="57" w:right="57"/>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1F5857">
              <w:rPr>
                <w:color w:val="FFFFFF" w:themeColor="background1"/>
                <w:sz w:val="8"/>
                <w:szCs w:val="8"/>
              </w:rPr>
              <w:t>1.6705</w:t>
            </w:r>
          </w:p>
        </w:tc>
        <w:tc>
          <w:tcPr>
            <w:tcW w:w="251" w:type="pct"/>
            <w:noWrap/>
            <w:hideMark/>
          </w:tcPr>
          <w:p w:rsidR="00DC7D30" w:rsidRPr="001F5857" w:rsidRDefault="008B2A58" w:rsidP="008B2A58">
            <w:pPr>
              <w:pStyle w:val="TableTextCentred"/>
              <w:spacing w:before="0" w:after="0" w:line="240" w:lineRule="auto"/>
              <w:ind w:left="57" w:right="57"/>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1F5857">
              <w:rPr>
                <w:color w:val="FFFFFF" w:themeColor="background1"/>
                <w:sz w:val="8"/>
                <w:szCs w:val="8"/>
              </w:rPr>
              <w:t>1.8736</w:t>
            </w:r>
          </w:p>
        </w:tc>
        <w:tc>
          <w:tcPr>
            <w:tcW w:w="251" w:type="pct"/>
            <w:noWrap/>
            <w:hideMark/>
          </w:tcPr>
          <w:p w:rsidR="00DC7D30" w:rsidRPr="001F5857" w:rsidRDefault="00DC7D30" w:rsidP="008B2A58">
            <w:pPr>
              <w:pStyle w:val="TableTextCentred"/>
              <w:spacing w:before="0" w:after="0" w:line="240" w:lineRule="auto"/>
              <w:ind w:left="57" w:right="57"/>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1F5857">
              <w:rPr>
                <w:color w:val="FFFFFF" w:themeColor="background1"/>
                <w:sz w:val="8"/>
                <w:szCs w:val="8"/>
              </w:rPr>
              <w:t>1.9853</w:t>
            </w:r>
          </w:p>
        </w:tc>
        <w:tc>
          <w:tcPr>
            <w:tcW w:w="251" w:type="pct"/>
            <w:noWrap/>
            <w:hideMark/>
          </w:tcPr>
          <w:p w:rsidR="00DC7D30" w:rsidRPr="001F5857" w:rsidRDefault="008B2A58" w:rsidP="008B2A58">
            <w:pPr>
              <w:pStyle w:val="TableTextCentred"/>
              <w:spacing w:before="0" w:after="0" w:line="240" w:lineRule="auto"/>
              <w:ind w:left="57" w:right="57"/>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1F5857">
              <w:rPr>
                <w:color w:val="FFFFFF" w:themeColor="background1"/>
                <w:sz w:val="8"/>
                <w:szCs w:val="8"/>
              </w:rPr>
              <w:t>2.0862</w:t>
            </w:r>
          </w:p>
        </w:tc>
        <w:tc>
          <w:tcPr>
            <w:tcW w:w="251" w:type="pct"/>
            <w:noWrap/>
            <w:hideMark/>
          </w:tcPr>
          <w:p w:rsidR="00DC7D30" w:rsidRPr="001F5857" w:rsidRDefault="00DC7D30" w:rsidP="008B2A58">
            <w:pPr>
              <w:pStyle w:val="TableTextCentred"/>
              <w:spacing w:before="0" w:after="0" w:line="240" w:lineRule="auto"/>
              <w:ind w:left="57" w:right="57"/>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1F5857">
              <w:rPr>
                <w:color w:val="FFFFFF" w:themeColor="background1"/>
                <w:sz w:val="8"/>
                <w:szCs w:val="8"/>
              </w:rPr>
              <w:t>2.1914</w:t>
            </w:r>
          </w:p>
        </w:tc>
        <w:tc>
          <w:tcPr>
            <w:tcW w:w="251" w:type="pct"/>
            <w:noWrap/>
            <w:hideMark/>
          </w:tcPr>
          <w:p w:rsidR="00DC7D30" w:rsidRPr="001F5857" w:rsidRDefault="008B2A58" w:rsidP="008B2A58">
            <w:pPr>
              <w:pStyle w:val="TableTextCentred"/>
              <w:spacing w:before="0" w:after="0" w:line="240" w:lineRule="auto"/>
              <w:ind w:left="57" w:right="57"/>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1F5857">
              <w:rPr>
                <w:color w:val="FFFFFF" w:themeColor="background1"/>
                <w:sz w:val="8"/>
                <w:szCs w:val="8"/>
              </w:rPr>
              <w:t>2.3003</w:t>
            </w:r>
          </w:p>
        </w:tc>
        <w:tc>
          <w:tcPr>
            <w:tcW w:w="241" w:type="pct"/>
            <w:noWrap/>
            <w:hideMark/>
          </w:tcPr>
          <w:p w:rsidR="00DC7D30" w:rsidRPr="001F5857" w:rsidRDefault="00DC7D30" w:rsidP="008B2A58">
            <w:pPr>
              <w:pStyle w:val="TableTextCentred"/>
              <w:spacing w:before="0" w:after="0" w:line="240" w:lineRule="auto"/>
              <w:ind w:left="57" w:right="57"/>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1F5857">
              <w:rPr>
                <w:color w:val="FFFFFF" w:themeColor="background1"/>
                <w:sz w:val="8"/>
                <w:szCs w:val="8"/>
              </w:rPr>
              <w:t>2.4123</w:t>
            </w:r>
          </w:p>
        </w:tc>
      </w:tr>
    </w:tbl>
    <w:p w:rsidR="00590815" w:rsidRDefault="00590815" w:rsidP="00196523">
      <w:pPr>
        <w:pStyle w:val="Source"/>
        <w:spacing w:before="3960"/>
      </w:pPr>
      <w:r>
        <w:t xml:space="preserve">Source: </w:t>
      </w:r>
      <w:r w:rsidR="0090440F" w:rsidRPr="0090440F">
        <w:t>PBO analysis of Department of Education and Training data</w:t>
      </w:r>
      <w:r>
        <w:t>.</w:t>
      </w:r>
    </w:p>
    <w:p w:rsidR="00590815" w:rsidRDefault="004059E1" w:rsidP="00450C29">
      <w:pPr>
        <w:pStyle w:val="BodyText17ptAbove"/>
      </w:pPr>
      <w:r>
        <w:t>The costs of new HELP loans</w:t>
      </w:r>
      <w:r w:rsidR="00590815">
        <w:t xml:space="preserve"> are projected to grow significantly over the medium</w:t>
      </w:r>
      <w:r w:rsidR="0093055D">
        <w:t xml:space="preserve"> </w:t>
      </w:r>
      <w:r w:rsidR="00590815">
        <w:t>term</w:t>
      </w:r>
      <w:r w:rsidR="000272C0">
        <w:t xml:space="preserve"> in line with the projected increase in the value of new loans</w:t>
      </w:r>
      <w:r w:rsidR="00590815">
        <w:t xml:space="preserve">.  Doubtful debt costs </w:t>
      </w:r>
      <w:r>
        <w:t xml:space="preserve">associated with new loans </w:t>
      </w:r>
      <w:r w:rsidR="00590815">
        <w:t xml:space="preserve">are </w:t>
      </w:r>
      <w:r w:rsidR="00590815" w:rsidRPr="00583064">
        <w:t>projected to increase from $</w:t>
      </w:r>
      <w:r w:rsidR="00E05E35">
        <w:t>1.</w:t>
      </w:r>
      <w:r w:rsidR="0062623C">
        <w:t>9</w:t>
      </w:r>
      <w:r w:rsidR="00590815">
        <w:t> </w:t>
      </w:r>
      <w:r w:rsidR="00590815" w:rsidRPr="00583064">
        <w:t xml:space="preserve">billion </w:t>
      </w:r>
      <w:r w:rsidR="00590815">
        <w:t>in 2015</w:t>
      </w:r>
      <w:r w:rsidR="00EC68C2">
        <w:t>–</w:t>
      </w:r>
      <w:r w:rsidR="00590815">
        <w:t xml:space="preserve">16 </w:t>
      </w:r>
      <w:r w:rsidR="00590815" w:rsidRPr="00583064">
        <w:t>to $</w:t>
      </w:r>
      <w:r w:rsidR="00F45396">
        <w:t>4.0</w:t>
      </w:r>
      <w:r w:rsidR="00590815" w:rsidRPr="00583064">
        <w:t> billion in 2025</w:t>
      </w:r>
      <w:r w:rsidR="00590815">
        <w:t>–</w:t>
      </w:r>
      <w:r w:rsidR="00590815" w:rsidRPr="00583064">
        <w:t>26.</w:t>
      </w:r>
      <w:r w:rsidR="00590815">
        <w:t xml:space="preserve"> </w:t>
      </w:r>
      <w:r w:rsidR="00DF7868">
        <w:t xml:space="preserve"> </w:t>
      </w:r>
      <w:r w:rsidR="00590815">
        <w:t>C</w:t>
      </w:r>
      <w:r w:rsidR="00590815" w:rsidRPr="00A068CC">
        <w:t xml:space="preserve">oncessional interest rate costs </w:t>
      </w:r>
      <w:r>
        <w:t>for</w:t>
      </w:r>
      <w:r w:rsidRPr="00A068CC">
        <w:t xml:space="preserve"> </w:t>
      </w:r>
      <w:r w:rsidR="00590815" w:rsidRPr="00A068CC">
        <w:t xml:space="preserve">new loans </w:t>
      </w:r>
      <w:r w:rsidR="00A74892">
        <w:t>are projected to</w:t>
      </w:r>
      <w:r w:rsidR="00590815">
        <w:t xml:space="preserve"> increase from around </w:t>
      </w:r>
      <w:r w:rsidR="00764F97">
        <w:t>$1.0 </w:t>
      </w:r>
      <w:r w:rsidR="00590815" w:rsidRPr="00A068CC">
        <w:t>billion</w:t>
      </w:r>
      <w:r w:rsidR="00590815">
        <w:t xml:space="preserve"> in 2015</w:t>
      </w:r>
      <w:r w:rsidR="00EC68C2">
        <w:t>–</w:t>
      </w:r>
      <w:r w:rsidR="00590815">
        <w:t>16 to $2.</w:t>
      </w:r>
      <w:r w:rsidR="00F45396">
        <w:t>4</w:t>
      </w:r>
      <w:r w:rsidR="00590815">
        <w:t xml:space="preserve"> billion in </w:t>
      </w:r>
      <w:r w:rsidR="004F486B">
        <w:t>2025</w:t>
      </w:r>
      <w:r w:rsidR="00EC68C2">
        <w:t>–</w:t>
      </w:r>
      <w:r w:rsidR="00590815">
        <w:t>26.</w:t>
      </w:r>
    </w:p>
    <w:p w:rsidR="00590815" w:rsidRDefault="00590815" w:rsidP="00590815">
      <w:pPr>
        <w:pStyle w:val="BodyText"/>
      </w:pPr>
      <w:r>
        <w:t xml:space="preserve">Rising </w:t>
      </w:r>
      <w:r w:rsidR="0093055D">
        <w:t xml:space="preserve">projected </w:t>
      </w:r>
      <w:r>
        <w:t>costs are reflected in the widening gap between the nominal and fair value</w:t>
      </w:r>
      <w:r w:rsidR="00A74892">
        <w:t>s</w:t>
      </w:r>
      <w:r>
        <w:t xml:space="preserve"> of the HELP loan portfolio over the medium term as shown in</w:t>
      </w:r>
      <w:r w:rsidR="002618BA">
        <w:t xml:space="preserve"> </w:t>
      </w:r>
      <w:r w:rsidR="0044457F">
        <w:fldChar w:fldCharType="begin"/>
      </w:r>
      <w:r w:rsidR="0044457F">
        <w:instrText xml:space="preserve"> REF _Ref445304829 \h </w:instrText>
      </w:r>
      <w:r w:rsidR="0044457F">
        <w:fldChar w:fldCharType="separate"/>
      </w:r>
      <w:r w:rsidR="00CA5C2D" w:rsidRPr="00590815">
        <w:t xml:space="preserve">Figure </w:t>
      </w:r>
      <w:r w:rsidR="00CA5C2D">
        <w:rPr>
          <w:noProof/>
        </w:rPr>
        <w:t>2</w:t>
      </w:r>
      <w:r w:rsidR="00CA5C2D" w:rsidRPr="00590815">
        <w:t>–</w:t>
      </w:r>
      <w:r w:rsidR="00CA5C2D">
        <w:rPr>
          <w:noProof/>
        </w:rPr>
        <w:t>1</w:t>
      </w:r>
      <w:r w:rsidR="0044457F">
        <w:fldChar w:fldCharType="end"/>
      </w:r>
      <w:r>
        <w:t>.  T</w:t>
      </w:r>
      <w:r w:rsidRPr="00E76869">
        <w:t>he</w:t>
      </w:r>
      <w:r>
        <w:t xml:space="preserve"> </w:t>
      </w:r>
      <w:r w:rsidRPr="00E76869">
        <w:t xml:space="preserve">difference </w:t>
      </w:r>
      <w:r w:rsidR="00A74892">
        <w:t xml:space="preserve">of </w:t>
      </w:r>
      <w:r w:rsidR="00A9716E">
        <w:t>$52.2</w:t>
      </w:r>
      <w:r w:rsidR="0044457F">
        <w:t> </w:t>
      </w:r>
      <w:r w:rsidR="00A74892">
        <w:t xml:space="preserve">billion </w:t>
      </w:r>
      <w:r w:rsidRPr="00E76869">
        <w:t xml:space="preserve">between the </w:t>
      </w:r>
      <w:r w:rsidR="00A74892">
        <w:t>projected</w:t>
      </w:r>
      <w:r w:rsidR="00A74892" w:rsidRPr="00E76869">
        <w:t xml:space="preserve"> </w:t>
      </w:r>
      <w:r w:rsidRPr="00E76869">
        <w:t>nominal and fair values of the HELP loan portfolio as at 30</w:t>
      </w:r>
      <w:r>
        <w:t> </w:t>
      </w:r>
      <w:r w:rsidRPr="00E76869">
        <w:t>June</w:t>
      </w:r>
      <w:r w:rsidR="0044457F">
        <w:t> </w:t>
      </w:r>
      <w:r w:rsidRPr="00E76869">
        <w:t>2026</w:t>
      </w:r>
      <w:r>
        <w:t xml:space="preserve"> </w:t>
      </w:r>
      <w:r w:rsidR="00A74892">
        <w:t xml:space="preserve">represents the </w:t>
      </w:r>
      <w:r w:rsidRPr="00E76869">
        <w:t xml:space="preserve">doubtful debts and </w:t>
      </w:r>
      <w:r>
        <w:t xml:space="preserve">concessional </w:t>
      </w:r>
      <w:r w:rsidRPr="00E76869">
        <w:t>interest</w:t>
      </w:r>
      <w:r>
        <w:t xml:space="preserve"> rate costs</w:t>
      </w:r>
      <w:r w:rsidRPr="00E76869">
        <w:t xml:space="preserve"> on </w:t>
      </w:r>
      <w:r>
        <w:t xml:space="preserve">outstanding loans.  </w:t>
      </w:r>
      <w:r w:rsidR="00A74892">
        <w:t xml:space="preserve">It </w:t>
      </w:r>
      <w:r>
        <w:t xml:space="preserve">is the cumulative effect of the doubtful debt and concessional interest costs shown in </w:t>
      </w:r>
      <w:r w:rsidR="0044457F">
        <w:fldChar w:fldCharType="begin"/>
      </w:r>
      <w:r w:rsidR="0044457F">
        <w:instrText xml:space="preserve"> REF _Ref445304853 \h </w:instrText>
      </w:r>
      <w:r w:rsidR="0044457F">
        <w:fldChar w:fldCharType="separate"/>
      </w:r>
      <w:r w:rsidR="00CA5C2D" w:rsidRPr="00590815">
        <w:t xml:space="preserve">Figure </w:t>
      </w:r>
      <w:r w:rsidR="00CA5C2D">
        <w:rPr>
          <w:noProof/>
        </w:rPr>
        <w:t>2</w:t>
      </w:r>
      <w:r w:rsidR="00CA5C2D" w:rsidRPr="00590815">
        <w:t>–</w:t>
      </w:r>
      <w:r w:rsidR="00CA5C2D">
        <w:rPr>
          <w:noProof/>
        </w:rPr>
        <w:t>2</w:t>
      </w:r>
      <w:r w:rsidR="0044457F">
        <w:fldChar w:fldCharType="end"/>
      </w:r>
      <w:r w:rsidR="0044457F">
        <w:t xml:space="preserve"> </w:t>
      </w:r>
      <w:r>
        <w:t>for th</w:t>
      </w:r>
      <w:r w:rsidR="00991131">
        <w:t>ose</w:t>
      </w:r>
      <w:r w:rsidR="00F805BC">
        <w:t xml:space="preserve"> loans </w:t>
      </w:r>
      <w:r w:rsidR="00642440">
        <w:t>that remain</w:t>
      </w:r>
      <w:r w:rsidR="00F805BC">
        <w:t xml:space="preserve"> outstanding.</w:t>
      </w:r>
    </w:p>
    <w:p w:rsidR="00590815" w:rsidRDefault="00590815" w:rsidP="00590815">
      <w:pPr>
        <w:pStyle w:val="Heading2"/>
      </w:pPr>
      <w:bookmarkStart w:id="64" w:name="_Toc445304412"/>
      <w:bookmarkStart w:id="65" w:name="_Toc445304438"/>
      <w:bookmarkStart w:id="66" w:name="_Toc445901366"/>
      <w:bookmarkStart w:id="67" w:name="_Toc447617965"/>
      <w:bookmarkStart w:id="68" w:name="_Toc447617995"/>
      <w:r>
        <w:lastRenderedPageBreak/>
        <w:t>Reporting on HELP</w:t>
      </w:r>
      <w:bookmarkEnd w:id="64"/>
      <w:bookmarkEnd w:id="65"/>
      <w:bookmarkEnd w:id="66"/>
      <w:bookmarkEnd w:id="67"/>
      <w:bookmarkEnd w:id="68"/>
    </w:p>
    <w:p w:rsidR="00590815" w:rsidRDefault="00590815" w:rsidP="00590815">
      <w:pPr>
        <w:pStyle w:val="Heading3"/>
      </w:pPr>
      <w:bookmarkStart w:id="69" w:name="_Toc445304413"/>
      <w:r>
        <w:t>Budget financial statements</w:t>
      </w:r>
      <w:bookmarkEnd w:id="69"/>
    </w:p>
    <w:p w:rsidR="00590815" w:rsidRPr="00280064" w:rsidRDefault="00590815" w:rsidP="00590815">
      <w:pPr>
        <w:pStyle w:val="BodyText"/>
      </w:pPr>
      <w:r w:rsidRPr="00280064">
        <w:t xml:space="preserve">The Budget financial statements present the impact of all Government programmes on the </w:t>
      </w:r>
      <w:r>
        <w:t xml:space="preserve">balance sheet and the </w:t>
      </w:r>
      <w:r w:rsidRPr="00280064">
        <w:t>budget balances</w:t>
      </w:r>
      <w:r w:rsidR="00991131">
        <w:t xml:space="preserve"> </w:t>
      </w:r>
      <w:r w:rsidR="000A3E9A">
        <w:t>(</w:t>
      </w:r>
      <w:r w:rsidR="00991131" w:rsidRPr="00280064">
        <w:t>the fiscal, headline cash and underlying cash balances)</w:t>
      </w:r>
      <w:r w:rsidRPr="00280064">
        <w:t>.</w:t>
      </w:r>
    </w:p>
    <w:p w:rsidR="00590815" w:rsidRPr="00280064" w:rsidRDefault="00590815" w:rsidP="00590815">
      <w:pPr>
        <w:pStyle w:val="BodyText"/>
      </w:pPr>
      <w:r w:rsidRPr="00280064">
        <w:t xml:space="preserve">The financial impacts of HELP are included in the </w:t>
      </w:r>
      <w:r w:rsidR="00991131">
        <w:t>underlying and headline cash balances</w:t>
      </w:r>
      <w:r w:rsidRPr="00280064">
        <w:t xml:space="preserve"> in each fiscal update and the Final Budget Outcome, in accordance with the relevant accounting standards</w:t>
      </w:r>
      <w:r w:rsidRPr="00280064">
        <w:rPr>
          <w:i/>
        </w:rPr>
        <w:t>.</w:t>
      </w:r>
      <w:r w:rsidRPr="00A574EA">
        <w:rPr>
          <w:rStyle w:val="FootnoteReference"/>
        </w:rPr>
        <w:footnoteReference w:id="9"/>
      </w:r>
    </w:p>
    <w:p w:rsidR="00590815" w:rsidRDefault="00590815" w:rsidP="00590815">
      <w:pPr>
        <w:pStyle w:val="BodyText"/>
      </w:pPr>
      <w:r w:rsidRPr="00280064">
        <w:t xml:space="preserve">However, the budget papers do not separately identify the impact of HELP on the </w:t>
      </w:r>
      <w:r w:rsidR="00991131">
        <w:t>underlying and headline cash balances</w:t>
      </w:r>
      <w:r w:rsidRPr="00280064">
        <w:t xml:space="preserve">.  It is also not possible to quantify the impact of HELP on the </w:t>
      </w:r>
      <w:r w:rsidR="00C149BB">
        <w:t>budget</w:t>
      </w:r>
      <w:r w:rsidR="00CE7FD8">
        <w:t xml:space="preserve"> balances</w:t>
      </w:r>
      <w:r w:rsidRPr="00280064">
        <w:t xml:space="preserve"> from </w:t>
      </w:r>
      <w:r>
        <w:t xml:space="preserve">any other </w:t>
      </w:r>
      <w:r w:rsidRPr="00280064">
        <w:t>publicly available information.</w:t>
      </w:r>
      <w:r w:rsidRPr="00A574EA">
        <w:rPr>
          <w:rStyle w:val="FootnoteReference"/>
        </w:rPr>
        <w:footnoteReference w:id="10"/>
      </w:r>
    </w:p>
    <w:p w:rsidR="002B6BC9" w:rsidRDefault="00590815" w:rsidP="00590815">
      <w:pPr>
        <w:pStyle w:val="BodyText"/>
      </w:pPr>
      <w:r w:rsidRPr="0032561F">
        <w:t>Although doubtful debt</w:t>
      </w:r>
      <w:r w:rsidR="00DF54E1">
        <w:t>s</w:t>
      </w:r>
      <w:r w:rsidRPr="0032561F">
        <w:t xml:space="preserve"> are one of the key costs associated with HELP, they are not classified as an expense under </w:t>
      </w:r>
      <w:r w:rsidR="00DF7868">
        <w:t xml:space="preserve">Australian Accounting Standard: </w:t>
      </w:r>
      <w:r w:rsidRPr="0032561F">
        <w:rPr>
          <w:i/>
        </w:rPr>
        <w:t>AASB 1049 Whole of Government and General Government Sector Financial Reporting</w:t>
      </w:r>
      <w:r w:rsidRPr="0032561F">
        <w:t>.  As a result, doubtful debt costs are not included in the fiscal balance.  These costs are included as Other Economic Flows in the operating result and are reflected in the Australian Government’s balance sheet.</w:t>
      </w:r>
      <w:r w:rsidR="00F94D1C" w:rsidRPr="00A574EA">
        <w:rPr>
          <w:rStyle w:val="FootnoteReference"/>
        </w:rPr>
        <w:footnoteReference w:id="11"/>
      </w:r>
      <w:r w:rsidRPr="0032561F">
        <w:t xml:space="preserve">  As the fiscal balance does not include doubtful debt costs, it does not present the full impact of HELP on the budget.</w:t>
      </w:r>
    </w:p>
    <w:p w:rsidR="00C149BB" w:rsidRDefault="00C149BB" w:rsidP="00590815">
      <w:pPr>
        <w:pStyle w:val="BodyText"/>
      </w:pPr>
      <w:r>
        <w:t>The underlying cash balance</w:t>
      </w:r>
      <w:r w:rsidR="002B6BC9">
        <w:t xml:space="preserve"> includes the impact of all costs, including indirectly the impact of doubtful debt costs.  However, as noted above, the underlying cash balance impact of HELP is not separately identified in the budget papers.</w:t>
      </w:r>
    </w:p>
    <w:p w:rsidR="00590815" w:rsidRDefault="00590815" w:rsidP="00590815">
      <w:pPr>
        <w:pStyle w:val="Heading3"/>
      </w:pPr>
      <w:bookmarkStart w:id="70" w:name="_Toc445304414"/>
      <w:r>
        <w:t>Budget measures</w:t>
      </w:r>
      <w:bookmarkEnd w:id="70"/>
    </w:p>
    <w:p w:rsidR="00590815" w:rsidRPr="00280064" w:rsidRDefault="00590815" w:rsidP="00590815">
      <w:pPr>
        <w:pStyle w:val="BodyText"/>
      </w:pPr>
      <w:r w:rsidRPr="00280064">
        <w:t xml:space="preserve">The estimated costs of budget measures relating to HELP are published as part of the Government’s reporting of policy measures in Budget Paper No. 2 and the relevant section of other fiscal updates.  However, the published impact of HELP measures </w:t>
      </w:r>
      <w:r w:rsidR="00E632E6">
        <w:t xml:space="preserve">is </w:t>
      </w:r>
      <w:r>
        <w:t xml:space="preserve">presented on a fiscal balance basis and </w:t>
      </w:r>
      <w:r w:rsidRPr="00280064">
        <w:t>do</w:t>
      </w:r>
      <w:r w:rsidR="00E632E6">
        <w:t>es</w:t>
      </w:r>
      <w:r w:rsidRPr="00280064">
        <w:t xml:space="preserve"> not include doubtful debt costs.</w:t>
      </w:r>
      <w:r>
        <w:t xml:space="preserve"> </w:t>
      </w:r>
      <w:r w:rsidRPr="00280064">
        <w:t xml:space="preserve"> </w:t>
      </w:r>
      <w:r w:rsidR="00DF54E1">
        <w:t xml:space="preserve">Neither does the </w:t>
      </w:r>
      <w:r w:rsidR="00DF7868">
        <w:t xml:space="preserve">published </w:t>
      </w:r>
      <w:r>
        <w:t xml:space="preserve">impact </w:t>
      </w:r>
      <w:r w:rsidR="00DF54E1">
        <w:t xml:space="preserve">of individual HELP budget measures </w:t>
      </w:r>
      <w:r>
        <w:t xml:space="preserve">include the </w:t>
      </w:r>
      <w:r w:rsidR="00DF54E1">
        <w:t xml:space="preserve">associated </w:t>
      </w:r>
      <w:r>
        <w:t>public debt interest cost</w:t>
      </w:r>
      <w:r w:rsidR="00DF54E1">
        <w:t>s</w:t>
      </w:r>
      <w:r w:rsidR="00764F97">
        <w:t>,</w:t>
      </w:r>
      <w:r w:rsidR="00DF54E1">
        <w:t xml:space="preserve"> </w:t>
      </w:r>
      <w:r>
        <w:t xml:space="preserve">which </w:t>
      </w:r>
      <w:r w:rsidR="00DF54E1">
        <w:t xml:space="preserve">are </w:t>
      </w:r>
      <w:r>
        <w:t xml:space="preserve">accounted for </w:t>
      </w:r>
      <w:r w:rsidR="00DF54E1">
        <w:t xml:space="preserve">globally </w:t>
      </w:r>
      <w:r>
        <w:t xml:space="preserve">in the budget papers.  </w:t>
      </w:r>
      <w:r w:rsidRPr="00280064">
        <w:t>As a result, the</w:t>
      </w:r>
      <w:r>
        <w:t xml:space="preserve"> published cost of these measures </w:t>
      </w:r>
      <w:r w:rsidRPr="00280064">
        <w:t>only provide</w:t>
      </w:r>
      <w:r>
        <w:t>s</w:t>
      </w:r>
      <w:r w:rsidRPr="00280064">
        <w:t xml:space="preserve"> a partial picture of the budget impact of </w:t>
      </w:r>
      <w:r w:rsidR="00BF7A02">
        <w:t xml:space="preserve">HELP </w:t>
      </w:r>
      <w:r w:rsidRPr="00280064">
        <w:t>policy decisions.</w:t>
      </w:r>
    </w:p>
    <w:p w:rsidR="00590815" w:rsidRPr="00280064" w:rsidRDefault="00590815" w:rsidP="00590815">
      <w:pPr>
        <w:pStyle w:val="BodyText"/>
      </w:pPr>
      <w:r w:rsidRPr="00280064">
        <w:lastRenderedPageBreak/>
        <w:t>The introduction of the demand driven approach to higher education funding and expansion of VET</w:t>
      </w:r>
      <w:r w:rsidR="00764F97">
        <w:t> </w:t>
      </w:r>
      <w:r w:rsidRPr="00280064">
        <w:t>FEE-HELP has significantly increased the size and cost of the HELP programme.  Recently announced policy decisions are also likely to increase the size of HELP loans to university students.  However, the lack of information on the impact of HELP loans on the budget and the incomplete costs presented in budget measures relating to HELP has meant that the financial consequences of these policy changes are not transparent</w:t>
      </w:r>
      <w:r>
        <w:t xml:space="preserve"> and therefore not well understood.</w:t>
      </w:r>
    </w:p>
    <w:p w:rsidR="00590815" w:rsidRDefault="00590815" w:rsidP="00590815">
      <w:pPr>
        <w:pStyle w:val="BodyText"/>
      </w:pPr>
      <w:r>
        <w:t>T</w:t>
      </w:r>
      <w:r w:rsidRPr="00280064">
        <w:t xml:space="preserve">he following sections of the report outline the PBO’s </w:t>
      </w:r>
      <w:r>
        <w:t>projections</w:t>
      </w:r>
      <w:r w:rsidRPr="00280064">
        <w:t xml:space="preserve"> of the </w:t>
      </w:r>
      <w:r>
        <w:t xml:space="preserve">annual cash flows of the </w:t>
      </w:r>
      <w:r w:rsidRPr="00280064">
        <w:t xml:space="preserve">HELP </w:t>
      </w:r>
      <w:r>
        <w:t>program</w:t>
      </w:r>
      <w:r w:rsidR="0093055D">
        <w:t>me</w:t>
      </w:r>
      <w:r>
        <w:t xml:space="preserve"> and the impact of HELP on the </w:t>
      </w:r>
      <w:r w:rsidRPr="00280064">
        <w:t>underlying cash balance over the period to 2025</w:t>
      </w:r>
      <w:r>
        <w:t>–</w:t>
      </w:r>
      <w:r w:rsidRPr="00280064">
        <w:t>26.</w:t>
      </w:r>
    </w:p>
    <w:p w:rsidR="00590815" w:rsidRPr="0032561F" w:rsidRDefault="00590815" w:rsidP="00590815">
      <w:pPr>
        <w:pStyle w:val="BodyText"/>
      </w:pPr>
      <w:r w:rsidRPr="0032561F">
        <w:t>The PBO projections provide the full annual impact of the entire HELP portfolio (comprising new and existing loans), reflecting all substantive costs and receipts of the programme.</w:t>
      </w:r>
    </w:p>
    <w:p w:rsidR="00590815" w:rsidRDefault="00590815" w:rsidP="00590815">
      <w:pPr>
        <w:pStyle w:val="Heading2"/>
      </w:pPr>
      <w:bookmarkStart w:id="71" w:name="_Toc445304415"/>
      <w:bookmarkStart w:id="72" w:name="_Toc445304439"/>
      <w:bookmarkStart w:id="73" w:name="_Toc445901367"/>
      <w:bookmarkStart w:id="74" w:name="_Toc447617966"/>
      <w:bookmarkStart w:id="75" w:name="_Toc447617996"/>
      <w:r>
        <w:t>Net annual cash flows</w:t>
      </w:r>
      <w:bookmarkEnd w:id="71"/>
      <w:bookmarkEnd w:id="72"/>
      <w:bookmarkEnd w:id="73"/>
      <w:bookmarkEnd w:id="74"/>
      <w:bookmarkEnd w:id="75"/>
    </w:p>
    <w:p w:rsidR="00F51BF0" w:rsidRPr="00F51BF0" w:rsidRDefault="00764F97" w:rsidP="00F51BF0">
      <w:pPr>
        <w:pStyle w:val="BodyText"/>
      </w:pPr>
      <w:r>
        <w:fldChar w:fldCharType="begin"/>
      </w:r>
      <w:r>
        <w:instrText xml:space="preserve"> REF _Ref445304908 \h </w:instrText>
      </w:r>
      <w:r>
        <w:fldChar w:fldCharType="separate"/>
      </w:r>
      <w:r w:rsidR="00CA5C2D" w:rsidRPr="00590815">
        <w:t xml:space="preserve">Figure </w:t>
      </w:r>
      <w:r w:rsidR="00CA5C2D">
        <w:rPr>
          <w:noProof/>
        </w:rPr>
        <w:t>2</w:t>
      </w:r>
      <w:r w:rsidR="00CA5C2D" w:rsidRPr="00590815">
        <w:t>–</w:t>
      </w:r>
      <w:r w:rsidR="00CA5C2D">
        <w:rPr>
          <w:noProof/>
        </w:rPr>
        <w:t>3</w:t>
      </w:r>
      <w:r>
        <w:fldChar w:fldCharType="end"/>
      </w:r>
      <w:r w:rsidR="002618BA">
        <w:t xml:space="preserve"> </w:t>
      </w:r>
      <w:r w:rsidR="00F51BF0" w:rsidRPr="00F51BF0">
        <w:t>shows the PBO’s estimates of the annual cash flows relating to HELP loans.</w:t>
      </w:r>
    </w:p>
    <w:p w:rsidR="00F51BF0" w:rsidRPr="00F51BF0" w:rsidRDefault="00F51BF0" w:rsidP="00F51BF0">
      <w:pPr>
        <w:pStyle w:val="BodyText"/>
      </w:pPr>
      <w:r w:rsidRPr="00F51BF0">
        <w:t>The repayments of principal and interest by HELP loan borrowers are recorded as cash receipts.  New loans issued and public debt interest costs are recorded as payments.  The difference between receipts and payments is the annual impact on the headline cash balance.</w:t>
      </w:r>
    </w:p>
    <w:p w:rsidR="00F51BF0" w:rsidRPr="00F51BF0" w:rsidRDefault="00F51BF0" w:rsidP="00F51BF0">
      <w:pPr>
        <w:pStyle w:val="BodyText"/>
      </w:pPr>
      <w:r w:rsidRPr="00F51BF0">
        <w:t>Doubtful debt costs are not directly accounted for in these annual cash flows.  However, they have a significant indirect impact through lower principal and interest repayments from borrowers.  These lower repayments result in higher public debt interest costs for the Government as the debt used to finance the HELP loans needs to be serviced even if borrow</w:t>
      </w:r>
      <w:r w:rsidR="00F805BC">
        <w:t>ers are not making repayments.</w:t>
      </w:r>
      <w:r w:rsidR="0044546A" w:rsidRPr="0044546A">
        <w:rPr>
          <w:noProof/>
          <w:lang w:eastAsia="en-AU"/>
        </w:rPr>
        <w:t xml:space="preserve"> </w:t>
      </w:r>
    </w:p>
    <w:p w:rsidR="00590815" w:rsidRDefault="0044546A" w:rsidP="00617EEA">
      <w:pPr>
        <w:pStyle w:val="Caption"/>
        <w:keepNext w:val="0"/>
        <w:keepLines/>
      </w:pPr>
      <w:bookmarkStart w:id="76" w:name="_Ref445304908"/>
      <w:r>
        <w:rPr>
          <w:noProof/>
          <w:lang w:eastAsia="en-AU"/>
        </w:rPr>
        <w:drawing>
          <wp:anchor distT="0" distB="0" distL="114300" distR="114300" simplePos="0" relativeHeight="251672576" behindDoc="0" locked="0" layoutInCell="1" allowOverlap="1" wp14:anchorId="3C89EE27" wp14:editId="12822038">
            <wp:simplePos x="0" y="0"/>
            <wp:positionH relativeFrom="column">
              <wp:posOffset>-25400</wp:posOffset>
            </wp:positionH>
            <wp:positionV relativeFrom="paragraph">
              <wp:posOffset>396240</wp:posOffset>
            </wp:positionV>
            <wp:extent cx="5257800" cy="3248025"/>
            <wp:effectExtent l="0" t="0" r="0" b="9525"/>
            <wp:wrapNone/>
            <wp:docPr id="16" name="Picture 16" descr="Decorative"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extLst>
                        <a:ext uri="{28A0092B-C50C-407E-A947-70E740481C1C}">
                          <a14:useLocalDpi xmlns:a14="http://schemas.microsoft.com/office/drawing/2010/main" val="0"/>
                        </a:ext>
                      </a:extLst>
                    </a:blip>
                    <a:stretch>
                      <a:fillRect/>
                    </a:stretch>
                  </pic:blipFill>
                  <pic:spPr>
                    <a:xfrm>
                      <a:off x="0" y="0"/>
                      <a:ext cx="5257800" cy="3248025"/>
                    </a:xfrm>
                    <a:prstGeom prst="rect">
                      <a:avLst/>
                    </a:prstGeom>
                  </pic:spPr>
                </pic:pic>
              </a:graphicData>
            </a:graphic>
            <wp14:sizeRelH relativeFrom="page">
              <wp14:pctWidth>0</wp14:pctWidth>
            </wp14:sizeRelH>
            <wp14:sizeRelV relativeFrom="page">
              <wp14:pctHeight>0</wp14:pctHeight>
            </wp14:sizeRelV>
          </wp:anchor>
        </w:drawing>
      </w:r>
      <w:r w:rsidR="00590815" w:rsidRPr="00590815">
        <w:t xml:space="preserve">Figure </w:t>
      </w:r>
      <w:fldSimple w:instr=" STYLEREF 1 \s ">
        <w:r w:rsidR="00CA5C2D">
          <w:rPr>
            <w:noProof/>
          </w:rPr>
          <w:t>2</w:t>
        </w:r>
      </w:fldSimple>
      <w:r w:rsidR="00590815" w:rsidRPr="00590815">
        <w:t>–</w:t>
      </w:r>
      <w:fldSimple w:instr=" SEQ Figure \* ARABIC \s 1 ">
        <w:r w:rsidR="00CA5C2D">
          <w:rPr>
            <w:noProof/>
          </w:rPr>
          <w:t>3</w:t>
        </w:r>
      </w:fldSimple>
      <w:bookmarkEnd w:id="76"/>
      <w:r w:rsidR="00590815" w:rsidRPr="00590815">
        <w:t xml:space="preserve">: </w:t>
      </w:r>
      <w:r w:rsidR="00590815">
        <w:t>HELP loan portfolio — annual cash flows</w:t>
      </w:r>
    </w:p>
    <w:tbl>
      <w:tblPr>
        <w:tblStyle w:val="TableGrid"/>
        <w:tblW w:w="5000" w:type="pct"/>
        <w:tblLook w:val="0680" w:firstRow="0" w:lastRow="0" w:firstColumn="1" w:lastColumn="0" w:noHBand="1" w:noVBand="1"/>
      </w:tblPr>
      <w:tblGrid>
        <w:gridCol w:w="1384"/>
        <w:gridCol w:w="444"/>
        <w:gridCol w:w="409"/>
        <w:gridCol w:w="409"/>
        <w:gridCol w:w="409"/>
        <w:gridCol w:w="409"/>
        <w:gridCol w:w="409"/>
        <w:gridCol w:w="444"/>
        <w:gridCol w:w="444"/>
        <w:gridCol w:w="444"/>
        <w:gridCol w:w="444"/>
        <w:gridCol w:w="444"/>
        <w:gridCol w:w="444"/>
        <w:gridCol w:w="444"/>
        <w:gridCol w:w="444"/>
        <w:gridCol w:w="444"/>
        <w:gridCol w:w="444"/>
      </w:tblGrid>
      <w:tr w:rsidR="00391C24" w:rsidRPr="00B5233D" w:rsidTr="00391C24">
        <w:tc>
          <w:tcPr>
            <w:cnfStyle w:val="001000000000" w:firstRow="0" w:lastRow="0" w:firstColumn="1" w:lastColumn="0" w:oddVBand="0" w:evenVBand="0" w:oddHBand="0" w:evenHBand="0" w:firstRowFirstColumn="0" w:firstRowLastColumn="0" w:lastRowFirstColumn="0" w:lastRowLastColumn="0"/>
            <w:tcW w:w="832" w:type="pct"/>
            <w:noWrap/>
            <w:hideMark/>
          </w:tcPr>
          <w:p w:rsidR="00391C24" w:rsidRPr="00B5233D" w:rsidRDefault="00391C24" w:rsidP="00617EEA">
            <w:pPr>
              <w:pStyle w:val="TableText"/>
              <w:keepLines/>
              <w:spacing w:before="0" w:after="0" w:line="240" w:lineRule="auto"/>
              <w:ind w:left="57" w:right="57"/>
              <w:rPr>
                <w:color w:val="FFFFFF" w:themeColor="background1"/>
                <w:sz w:val="8"/>
                <w:szCs w:val="8"/>
              </w:rPr>
            </w:pP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2010–11</w:t>
            </w:r>
          </w:p>
        </w:tc>
        <w:tc>
          <w:tcPr>
            <w:tcW w:w="246"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2011–12</w:t>
            </w:r>
          </w:p>
        </w:tc>
        <w:tc>
          <w:tcPr>
            <w:tcW w:w="246"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2012–13</w:t>
            </w:r>
          </w:p>
        </w:tc>
        <w:tc>
          <w:tcPr>
            <w:tcW w:w="246"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2013–14</w:t>
            </w:r>
          </w:p>
        </w:tc>
        <w:tc>
          <w:tcPr>
            <w:tcW w:w="246"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2014–15</w:t>
            </w:r>
          </w:p>
        </w:tc>
        <w:tc>
          <w:tcPr>
            <w:tcW w:w="246"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2015–16</w:t>
            </w: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2016–17</w:t>
            </w: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2017–18</w:t>
            </w: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2018–19</w:t>
            </w: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2019–20</w:t>
            </w: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2020–21</w:t>
            </w: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2021–22</w:t>
            </w: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2022–23</w:t>
            </w: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2023–24</w:t>
            </w: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2024–25</w:t>
            </w: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2025–26</w:t>
            </w:r>
          </w:p>
        </w:tc>
      </w:tr>
      <w:tr w:rsidR="00391C24" w:rsidRPr="00B5233D" w:rsidTr="00391C24">
        <w:tc>
          <w:tcPr>
            <w:cnfStyle w:val="001000000000" w:firstRow="0" w:lastRow="0" w:firstColumn="1" w:lastColumn="0" w:oddVBand="0" w:evenVBand="0" w:oddHBand="0" w:evenHBand="0" w:firstRowFirstColumn="0" w:firstRowLastColumn="0" w:lastRowFirstColumn="0" w:lastRowLastColumn="0"/>
            <w:tcW w:w="832" w:type="pct"/>
            <w:noWrap/>
            <w:hideMark/>
          </w:tcPr>
          <w:p w:rsidR="00391C24" w:rsidRPr="00B5233D" w:rsidRDefault="00391C24" w:rsidP="00617EEA">
            <w:pPr>
              <w:pStyle w:val="TableText"/>
              <w:keepLines/>
              <w:spacing w:before="0" w:after="0" w:line="240" w:lineRule="auto"/>
              <w:ind w:left="57" w:right="57"/>
              <w:rPr>
                <w:color w:val="FFFFFF" w:themeColor="background1"/>
                <w:sz w:val="8"/>
                <w:szCs w:val="8"/>
              </w:rPr>
            </w:pPr>
            <w:r w:rsidRPr="00B5233D">
              <w:rPr>
                <w:color w:val="FFFFFF" w:themeColor="background1"/>
                <w:sz w:val="8"/>
                <w:szCs w:val="8"/>
              </w:rPr>
              <w:t>Interest receipts</w:t>
            </w: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0.356</w:t>
            </w:r>
          </w:p>
        </w:tc>
        <w:tc>
          <w:tcPr>
            <w:tcW w:w="246"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0.387</w:t>
            </w:r>
          </w:p>
        </w:tc>
        <w:tc>
          <w:tcPr>
            <w:tcW w:w="246"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0.390</w:t>
            </w:r>
          </w:p>
        </w:tc>
        <w:tc>
          <w:tcPr>
            <w:tcW w:w="246"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0.456</w:t>
            </w:r>
          </w:p>
        </w:tc>
        <w:tc>
          <w:tcPr>
            <w:tcW w:w="246"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0.556</w:t>
            </w:r>
          </w:p>
        </w:tc>
        <w:tc>
          <w:tcPr>
            <w:tcW w:w="246"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0.533</w:t>
            </w: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0.572</w:t>
            </w: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0.601</w:t>
            </w: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0.665</w:t>
            </w: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0.734</w:t>
            </w: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0.848</w:t>
            </w: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0.958</w:t>
            </w: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1.112</w:t>
            </w: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1.281</w:t>
            </w: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1.494</w:t>
            </w: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1.749</w:t>
            </w:r>
          </w:p>
        </w:tc>
      </w:tr>
      <w:tr w:rsidR="00391C24" w:rsidRPr="00B5233D" w:rsidTr="00391C24">
        <w:tc>
          <w:tcPr>
            <w:cnfStyle w:val="001000000000" w:firstRow="0" w:lastRow="0" w:firstColumn="1" w:lastColumn="0" w:oddVBand="0" w:evenVBand="0" w:oddHBand="0" w:evenHBand="0" w:firstRowFirstColumn="0" w:firstRowLastColumn="0" w:lastRowFirstColumn="0" w:lastRowLastColumn="0"/>
            <w:tcW w:w="832" w:type="pct"/>
            <w:noWrap/>
            <w:hideMark/>
          </w:tcPr>
          <w:p w:rsidR="00391C24" w:rsidRPr="00B5233D" w:rsidRDefault="00391C24" w:rsidP="00617EEA">
            <w:pPr>
              <w:pStyle w:val="TableText"/>
              <w:keepLines/>
              <w:spacing w:before="0" w:after="0" w:line="240" w:lineRule="auto"/>
              <w:ind w:left="57" w:right="57"/>
              <w:rPr>
                <w:color w:val="FFFFFF" w:themeColor="background1"/>
                <w:sz w:val="8"/>
                <w:szCs w:val="8"/>
              </w:rPr>
            </w:pPr>
            <w:r w:rsidRPr="00B5233D">
              <w:rPr>
                <w:color w:val="FFFFFF" w:themeColor="background1"/>
                <w:sz w:val="8"/>
                <w:szCs w:val="8"/>
              </w:rPr>
              <w:t>Principal receipts</w:t>
            </w: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1.308</w:t>
            </w:r>
          </w:p>
        </w:tc>
        <w:tc>
          <w:tcPr>
            <w:tcW w:w="246"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1.421</w:t>
            </w:r>
          </w:p>
        </w:tc>
        <w:tc>
          <w:tcPr>
            <w:tcW w:w="246"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1.431</w:t>
            </w:r>
          </w:p>
        </w:tc>
        <w:tc>
          <w:tcPr>
            <w:tcW w:w="246"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1.433</w:t>
            </w:r>
          </w:p>
        </w:tc>
        <w:tc>
          <w:tcPr>
            <w:tcW w:w="246"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1.450</w:t>
            </w:r>
          </w:p>
        </w:tc>
        <w:tc>
          <w:tcPr>
            <w:tcW w:w="246"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1.385</w:t>
            </w: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1.492</w:t>
            </w: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1.559</w:t>
            </w: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1.824</w:t>
            </w: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2.026</w:t>
            </w: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2.259</w:t>
            </w: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2.592</w:t>
            </w: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3.022</w:t>
            </w: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3.545</w:t>
            </w: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4.156</w:t>
            </w: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4.879</w:t>
            </w:r>
          </w:p>
        </w:tc>
      </w:tr>
      <w:tr w:rsidR="00391C24" w:rsidRPr="00B5233D" w:rsidTr="00391C24">
        <w:tc>
          <w:tcPr>
            <w:cnfStyle w:val="001000000000" w:firstRow="0" w:lastRow="0" w:firstColumn="1" w:lastColumn="0" w:oddVBand="0" w:evenVBand="0" w:oddHBand="0" w:evenHBand="0" w:firstRowFirstColumn="0" w:firstRowLastColumn="0" w:lastRowFirstColumn="0" w:lastRowLastColumn="0"/>
            <w:tcW w:w="832" w:type="pct"/>
            <w:noWrap/>
            <w:hideMark/>
          </w:tcPr>
          <w:p w:rsidR="00391C24" w:rsidRPr="00B5233D" w:rsidRDefault="00391C24" w:rsidP="00617EEA">
            <w:pPr>
              <w:pStyle w:val="TableText"/>
              <w:keepLines/>
              <w:spacing w:before="0" w:after="0" w:line="240" w:lineRule="auto"/>
              <w:ind w:left="57" w:right="57"/>
              <w:rPr>
                <w:color w:val="FFFFFF" w:themeColor="background1"/>
                <w:sz w:val="8"/>
                <w:szCs w:val="8"/>
              </w:rPr>
            </w:pPr>
            <w:r w:rsidRPr="00B5233D">
              <w:rPr>
                <w:color w:val="FFFFFF" w:themeColor="background1"/>
                <w:sz w:val="8"/>
                <w:szCs w:val="8"/>
              </w:rPr>
              <w:t>New loan issuance</w:t>
            </w: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-3.611</w:t>
            </w:r>
          </w:p>
        </w:tc>
        <w:tc>
          <w:tcPr>
            <w:tcW w:w="246"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-4.189</w:t>
            </w:r>
          </w:p>
        </w:tc>
        <w:tc>
          <w:tcPr>
            <w:tcW w:w="246"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-5.120</w:t>
            </w:r>
          </w:p>
        </w:tc>
        <w:tc>
          <w:tcPr>
            <w:tcW w:w="246"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-6.494</w:t>
            </w:r>
          </w:p>
        </w:tc>
        <w:tc>
          <w:tcPr>
            <w:tcW w:w="246"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-8.216</w:t>
            </w:r>
          </w:p>
        </w:tc>
        <w:tc>
          <w:tcPr>
            <w:tcW w:w="246"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-9.300</w:t>
            </w: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-10.178</w:t>
            </w: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-11.477</w:t>
            </w: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-12.514</w:t>
            </w: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-13.414</w:t>
            </w: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-14.329</w:t>
            </w: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-15.184</w:t>
            </w: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-15.955</w:t>
            </w: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-16.760</w:t>
            </w: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-17.593</w:t>
            </w: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-18.450</w:t>
            </w:r>
          </w:p>
        </w:tc>
      </w:tr>
      <w:tr w:rsidR="00391C24" w:rsidRPr="00B5233D" w:rsidTr="00391C24">
        <w:tc>
          <w:tcPr>
            <w:cnfStyle w:val="001000000000" w:firstRow="0" w:lastRow="0" w:firstColumn="1" w:lastColumn="0" w:oddVBand="0" w:evenVBand="0" w:oddHBand="0" w:evenHBand="0" w:firstRowFirstColumn="0" w:firstRowLastColumn="0" w:lastRowFirstColumn="0" w:lastRowLastColumn="0"/>
            <w:tcW w:w="832" w:type="pct"/>
            <w:noWrap/>
            <w:hideMark/>
          </w:tcPr>
          <w:p w:rsidR="00391C24" w:rsidRPr="00B5233D" w:rsidRDefault="00391C24" w:rsidP="00617EEA">
            <w:pPr>
              <w:pStyle w:val="TableText"/>
              <w:keepLines/>
              <w:spacing w:before="0" w:after="0" w:line="240" w:lineRule="auto"/>
              <w:ind w:left="57" w:right="57"/>
              <w:rPr>
                <w:color w:val="FFFFFF" w:themeColor="background1"/>
                <w:sz w:val="8"/>
                <w:szCs w:val="8"/>
              </w:rPr>
            </w:pPr>
            <w:r w:rsidRPr="00B5233D">
              <w:rPr>
                <w:color w:val="FFFFFF" w:themeColor="background1"/>
                <w:sz w:val="8"/>
                <w:szCs w:val="8"/>
              </w:rPr>
              <w:t>Public debt interest</w:t>
            </w: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-1.490</w:t>
            </w:r>
          </w:p>
        </w:tc>
        <w:tc>
          <w:tcPr>
            <w:tcW w:w="246"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-0.978</w:t>
            </w:r>
          </w:p>
        </w:tc>
        <w:tc>
          <w:tcPr>
            <w:tcW w:w="246"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-1.298</w:t>
            </w:r>
          </w:p>
        </w:tc>
        <w:tc>
          <w:tcPr>
            <w:tcW w:w="246"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-1.518</w:t>
            </w:r>
          </w:p>
        </w:tc>
        <w:tc>
          <w:tcPr>
            <w:tcW w:w="246"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-1.421</w:t>
            </w:r>
          </w:p>
        </w:tc>
        <w:tc>
          <w:tcPr>
            <w:tcW w:w="246"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-2.249</w:t>
            </w: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-2.664</w:t>
            </w: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-3.120</w:t>
            </w: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-4.092</w:t>
            </w: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-5.148</w:t>
            </w: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-6.280</w:t>
            </w: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-7.495</w:t>
            </w: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-8.776</w:t>
            </w: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-10.128</w:t>
            </w: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-11.509</w:t>
            </w: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-12.844</w:t>
            </w:r>
          </w:p>
        </w:tc>
      </w:tr>
      <w:tr w:rsidR="00391C24" w:rsidRPr="00B5233D" w:rsidTr="00391C24">
        <w:tc>
          <w:tcPr>
            <w:cnfStyle w:val="001000000000" w:firstRow="0" w:lastRow="0" w:firstColumn="1" w:lastColumn="0" w:oddVBand="0" w:evenVBand="0" w:oddHBand="0" w:evenHBand="0" w:firstRowFirstColumn="0" w:firstRowLastColumn="0" w:lastRowFirstColumn="0" w:lastRowLastColumn="0"/>
            <w:tcW w:w="832" w:type="pct"/>
            <w:noWrap/>
            <w:hideMark/>
          </w:tcPr>
          <w:p w:rsidR="00391C24" w:rsidRPr="00B5233D" w:rsidRDefault="00391C24" w:rsidP="00617EEA">
            <w:pPr>
              <w:pStyle w:val="TableText"/>
              <w:keepLines/>
              <w:spacing w:before="0" w:after="0" w:line="240" w:lineRule="auto"/>
              <w:ind w:left="57" w:right="57"/>
              <w:rPr>
                <w:color w:val="FFFFFF" w:themeColor="background1"/>
                <w:sz w:val="8"/>
                <w:szCs w:val="8"/>
              </w:rPr>
            </w:pPr>
            <w:r w:rsidRPr="00B5233D">
              <w:rPr>
                <w:color w:val="FFFFFF" w:themeColor="background1"/>
                <w:sz w:val="8"/>
                <w:szCs w:val="8"/>
              </w:rPr>
              <w:t>Headline cash balance impact</w:t>
            </w: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-3.436</w:t>
            </w:r>
          </w:p>
        </w:tc>
        <w:tc>
          <w:tcPr>
            <w:tcW w:w="246"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-3.359</w:t>
            </w:r>
          </w:p>
        </w:tc>
        <w:tc>
          <w:tcPr>
            <w:tcW w:w="246"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-4.597</w:t>
            </w:r>
          </w:p>
        </w:tc>
        <w:tc>
          <w:tcPr>
            <w:tcW w:w="246"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-6.123</w:t>
            </w:r>
          </w:p>
        </w:tc>
        <w:tc>
          <w:tcPr>
            <w:tcW w:w="246"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-7.630</w:t>
            </w:r>
          </w:p>
        </w:tc>
        <w:tc>
          <w:tcPr>
            <w:tcW w:w="246"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-9.632</w:t>
            </w: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-10.778</w:t>
            </w: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-12.437</w:t>
            </w: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-14.117</w:t>
            </w: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-15.802</w:t>
            </w: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-17.502</w:t>
            </w: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-19.129</w:t>
            </w: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-20.597</w:t>
            </w: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-22.062</w:t>
            </w: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-23.452</w:t>
            </w:r>
          </w:p>
        </w:tc>
        <w:tc>
          <w:tcPr>
            <w:tcW w:w="267" w:type="pct"/>
            <w:noWrap/>
            <w:hideMark/>
          </w:tcPr>
          <w:p w:rsidR="00391C24" w:rsidRPr="00B5233D" w:rsidRDefault="00391C24" w:rsidP="00617EEA">
            <w:pPr>
              <w:pStyle w:val="TableTextCentred"/>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B5233D">
              <w:rPr>
                <w:color w:val="FFFFFF" w:themeColor="background1"/>
                <w:sz w:val="8"/>
                <w:szCs w:val="8"/>
              </w:rPr>
              <w:t>-24.665</w:t>
            </w:r>
          </w:p>
        </w:tc>
      </w:tr>
    </w:tbl>
    <w:p w:rsidR="00590815" w:rsidRPr="00100588" w:rsidRDefault="00590815" w:rsidP="001F5A18">
      <w:pPr>
        <w:pStyle w:val="Source"/>
        <w:keepLines/>
        <w:spacing w:before="4520"/>
      </w:pPr>
      <w:r w:rsidRPr="00100588">
        <w:t xml:space="preserve">Source: </w:t>
      </w:r>
      <w:r w:rsidR="0090440F" w:rsidRPr="00100588">
        <w:t>PBO analysis of Department of Education and Training data</w:t>
      </w:r>
      <w:r w:rsidRPr="00100588">
        <w:t>.</w:t>
      </w:r>
    </w:p>
    <w:p w:rsidR="00F51BF0" w:rsidRDefault="00F51BF0" w:rsidP="00450C29">
      <w:pPr>
        <w:pStyle w:val="BodyText17ptAbove"/>
      </w:pPr>
      <w:r>
        <w:lastRenderedPageBreak/>
        <w:t>Given the projected growth in HELP loans, t</w:t>
      </w:r>
      <w:r w:rsidRPr="00EE010C">
        <w:t>he issuing of new loans far outpaces principal and interest receipts</w:t>
      </w:r>
      <w:r>
        <w:t xml:space="preserve"> over the period to 2025–26</w:t>
      </w:r>
      <w:r w:rsidRPr="00EE010C">
        <w:t xml:space="preserve">.  </w:t>
      </w:r>
      <w:r>
        <w:t xml:space="preserve">This results in a rapidly growing public debt interest cost which </w:t>
      </w:r>
      <w:r w:rsidR="00F94D1C">
        <w:t>is projected by the PBO to increase</w:t>
      </w:r>
      <w:r>
        <w:t xml:space="preserve"> from </w:t>
      </w:r>
      <w:r w:rsidR="00A9716E">
        <w:t>$2.2</w:t>
      </w:r>
      <w:r w:rsidR="00100588">
        <w:t> </w:t>
      </w:r>
      <w:r w:rsidR="00CE7FD8">
        <w:t>billion in 2015–16 to</w:t>
      </w:r>
      <w:r w:rsidR="00642440">
        <w:t xml:space="preserve"> </w:t>
      </w:r>
      <w:r w:rsidR="00A9716E">
        <w:t>$12.8</w:t>
      </w:r>
      <w:r w:rsidR="00DF7868">
        <w:t> b</w:t>
      </w:r>
      <w:r>
        <w:t>illion in 2025–26.  T</w:t>
      </w:r>
      <w:r w:rsidRPr="00EE010C">
        <w:t xml:space="preserve">he </w:t>
      </w:r>
      <w:r w:rsidR="00BF7A02">
        <w:t xml:space="preserve">negative impact of HELP on the </w:t>
      </w:r>
      <w:r>
        <w:t xml:space="preserve">headline cash balance </w:t>
      </w:r>
      <w:r w:rsidRPr="00EE010C">
        <w:t xml:space="preserve">is projected by the PBO to increase from </w:t>
      </w:r>
      <w:r w:rsidR="00A9716E">
        <w:t>$9.6</w:t>
      </w:r>
      <w:r w:rsidRPr="00EE010C">
        <w:t xml:space="preserve"> billion in 2015</w:t>
      </w:r>
      <w:r>
        <w:t>–</w:t>
      </w:r>
      <w:r w:rsidRPr="00EE010C">
        <w:t xml:space="preserve">16 to </w:t>
      </w:r>
      <w:r w:rsidR="00A9716E">
        <w:t>$24.7</w:t>
      </w:r>
      <w:r w:rsidRPr="00EE010C">
        <w:t xml:space="preserve"> billion by 2025</w:t>
      </w:r>
      <w:r>
        <w:t>–</w:t>
      </w:r>
      <w:r w:rsidRPr="00EE010C">
        <w:t>26.</w:t>
      </w:r>
    </w:p>
    <w:p w:rsidR="00F51BF0" w:rsidRDefault="00F51BF0" w:rsidP="00F51BF0">
      <w:pPr>
        <w:pStyle w:val="Heading2"/>
      </w:pPr>
      <w:bookmarkStart w:id="77" w:name="_Toc445272997"/>
      <w:bookmarkStart w:id="78" w:name="_Toc445304416"/>
      <w:bookmarkStart w:id="79" w:name="_Toc445304440"/>
      <w:bookmarkStart w:id="80" w:name="_Toc445901368"/>
      <w:bookmarkStart w:id="81" w:name="_Toc447617967"/>
      <w:bookmarkStart w:id="82" w:name="_Toc447617997"/>
      <w:r>
        <w:t>Underlying cash balance impact</w:t>
      </w:r>
      <w:bookmarkEnd w:id="77"/>
      <w:bookmarkEnd w:id="78"/>
      <w:bookmarkEnd w:id="79"/>
      <w:bookmarkEnd w:id="80"/>
      <w:bookmarkEnd w:id="81"/>
      <w:bookmarkEnd w:id="82"/>
    </w:p>
    <w:p w:rsidR="00F51BF0" w:rsidRDefault="00C85433" w:rsidP="00F51BF0">
      <w:pPr>
        <w:pStyle w:val="BodyText"/>
      </w:pPr>
      <w:r>
        <w:t>T</w:t>
      </w:r>
      <w:r w:rsidR="00F94D1C">
        <w:t xml:space="preserve">he </w:t>
      </w:r>
      <w:r w:rsidR="00F51BF0">
        <w:t xml:space="preserve">underlying cash balance does not include the </w:t>
      </w:r>
      <w:r w:rsidR="00DF54E1">
        <w:t xml:space="preserve">cash flows associated with the </w:t>
      </w:r>
      <w:r w:rsidR="00F51BF0">
        <w:t>issuing</w:t>
      </w:r>
      <w:r w:rsidR="00F94D1C">
        <w:t xml:space="preserve"> of</w:t>
      </w:r>
      <w:r w:rsidR="00F51BF0">
        <w:t xml:space="preserve"> new loans and the receipt of </w:t>
      </w:r>
      <w:r w:rsidR="00DF54E1">
        <w:t xml:space="preserve">loan </w:t>
      </w:r>
      <w:r w:rsidR="00F51BF0">
        <w:t>repayments as these transactions only involve the exchange of one financial asset for another.</w:t>
      </w:r>
    </w:p>
    <w:p w:rsidR="00F51BF0" w:rsidRDefault="00F51BF0" w:rsidP="00F51BF0">
      <w:pPr>
        <w:pStyle w:val="BodyText"/>
      </w:pPr>
      <w:r w:rsidRPr="00A1599A">
        <w:t xml:space="preserve">For HELP loans, the underlying cash balance impact </w:t>
      </w:r>
      <w:r w:rsidR="00BF7A02">
        <w:t>comprises</w:t>
      </w:r>
      <w:r w:rsidR="00BF7A02" w:rsidRPr="00A1599A">
        <w:t xml:space="preserve"> </w:t>
      </w:r>
      <w:r w:rsidR="00630441" w:rsidRPr="00A1599A">
        <w:t>the shortfall in annual</w:t>
      </w:r>
      <w:r w:rsidRPr="00A1599A">
        <w:t xml:space="preserve"> interest receipts </w:t>
      </w:r>
      <w:r w:rsidR="00630441" w:rsidRPr="00A1599A">
        <w:t>relative to annual</w:t>
      </w:r>
      <w:r w:rsidRPr="00A1599A">
        <w:t xml:space="preserve"> public debt interest payments (</w:t>
      </w:r>
      <w:r w:rsidR="0044457F">
        <w:fldChar w:fldCharType="begin"/>
      </w:r>
      <w:r w:rsidR="0044457F">
        <w:instrText xml:space="preserve"> REF _Ref445901155 \h </w:instrText>
      </w:r>
      <w:r w:rsidR="0044457F">
        <w:fldChar w:fldCharType="separate"/>
      </w:r>
      <w:r w:rsidR="00CA5C2D" w:rsidRPr="00F51BF0">
        <w:t xml:space="preserve">Figure </w:t>
      </w:r>
      <w:r w:rsidR="00CA5C2D">
        <w:rPr>
          <w:noProof/>
        </w:rPr>
        <w:t>2</w:t>
      </w:r>
      <w:r w:rsidR="00CA5C2D" w:rsidRPr="00F51BF0">
        <w:t>–</w:t>
      </w:r>
      <w:r w:rsidR="00CA5C2D">
        <w:rPr>
          <w:noProof/>
        </w:rPr>
        <w:t>4</w:t>
      </w:r>
      <w:r w:rsidR="0044457F">
        <w:fldChar w:fldCharType="end"/>
      </w:r>
      <w:r w:rsidRPr="00A1599A">
        <w:t>).</w:t>
      </w:r>
      <w:r w:rsidR="00630441" w:rsidRPr="00A1599A">
        <w:t xml:space="preserve">  As such, the underlying cash balance impact reflects the concessional interest rate costs of the HELP loan portfolio.</w:t>
      </w:r>
    </w:p>
    <w:p w:rsidR="00630441" w:rsidRDefault="00630441" w:rsidP="00630441">
      <w:pPr>
        <w:pStyle w:val="BodyText"/>
      </w:pPr>
      <w:bookmarkStart w:id="83" w:name="_Ref445303710"/>
      <w:r>
        <w:t>As discussed in the preceding section, d</w:t>
      </w:r>
      <w:r w:rsidRPr="00D63990">
        <w:t xml:space="preserve">oubtful debt costs are not </w:t>
      </w:r>
      <w:r>
        <w:t xml:space="preserve">directly accounted for in the cash flows relating to HELP and are not </w:t>
      </w:r>
      <w:r w:rsidRPr="00D63990">
        <w:t xml:space="preserve">separately accounted for in the </w:t>
      </w:r>
      <w:r>
        <w:t>underlying</w:t>
      </w:r>
      <w:r w:rsidRPr="00D63990">
        <w:t xml:space="preserve"> cash balance</w:t>
      </w:r>
      <w:r>
        <w:t>.  However, doubtful debts have a significant</w:t>
      </w:r>
      <w:r w:rsidRPr="00D63990">
        <w:t xml:space="preserve"> indirect impact through lower interest repayments from borrowers and higher public debt interest costs for the Government as</w:t>
      </w:r>
      <w:r>
        <w:t xml:space="preserve"> it finances</w:t>
      </w:r>
      <w:r w:rsidRPr="00D63990">
        <w:t xml:space="preserve"> the </w:t>
      </w:r>
      <w:r>
        <w:t>outstanding loans</w:t>
      </w:r>
      <w:r w:rsidR="00100588">
        <w:t>,</w:t>
      </w:r>
      <w:r>
        <w:t xml:space="preserve"> including those that are unlikely to be repaid.</w:t>
      </w:r>
      <w:r w:rsidR="004A41D2" w:rsidRPr="004A41D2">
        <w:rPr>
          <w:noProof/>
          <w:lang w:eastAsia="en-AU"/>
        </w:rPr>
        <w:t xml:space="preserve"> </w:t>
      </w:r>
    </w:p>
    <w:p w:rsidR="00590815" w:rsidRDefault="004A41D2" w:rsidP="00F51BF0">
      <w:pPr>
        <w:pStyle w:val="Caption"/>
      </w:pPr>
      <w:bookmarkStart w:id="84" w:name="_Ref445901155"/>
      <w:r>
        <w:rPr>
          <w:noProof/>
          <w:lang w:eastAsia="en-AU"/>
        </w:rPr>
        <w:drawing>
          <wp:anchor distT="0" distB="0" distL="114300" distR="114300" simplePos="0" relativeHeight="251673600" behindDoc="0" locked="0" layoutInCell="1" allowOverlap="1" wp14:anchorId="788DAEAF" wp14:editId="6E7362F6">
            <wp:simplePos x="0" y="0"/>
            <wp:positionH relativeFrom="column">
              <wp:posOffset>-14605</wp:posOffset>
            </wp:positionH>
            <wp:positionV relativeFrom="paragraph">
              <wp:posOffset>397510</wp:posOffset>
            </wp:positionV>
            <wp:extent cx="5238750" cy="2762250"/>
            <wp:effectExtent l="0" t="0" r="0" b="0"/>
            <wp:wrapNone/>
            <wp:docPr id="17" name="Picture 17" descr="Decorative&#10;"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extLst>
                        <a:ext uri="{28A0092B-C50C-407E-A947-70E740481C1C}">
                          <a14:useLocalDpi xmlns:a14="http://schemas.microsoft.com/office/drawing/2010/main" val="0"/>
                        </a:ext>
                      </a:extLst>
                    </a:blip>
                    <a:stretch>
                      <a:fillRect/>
                    </a:stretch>
                  </pic:blipFill>
                  <pic:spPr>
                    <a:xfrm>
                      <a:off x="0" y="0"/>
                      <a:ext cx="5238750" cy="2762250"/>
                    </a:xfrm>
                    <a:prstGeom prst="rect">
                      <a:avLst/>
                    </a:prstGeom>
                  </pic:spPr>
                </pic:pic>
              </a:graphicData>
            </a:graphic>
            <wp14:sizeRelH relativeFrom="page">
              <wp14:pctWidth>0</wp14:pctWidth>
            </wp14:sizeRelH>
            <wp14:sizeRelV relativeFrom="page">
              <wp14:pctHeight>0</wp14:pctHeight>
            </wp14:sizeRelV>
          </wp:anchor>
        </w:drawing>
      </w:r>
      <w:r w:rsidR="00F51BF0" w:rsidRPr="00F51BF0">
        <w:t xml:space="preserve">Figure </w:t>
      </w:r>
      <w:fldSimple w:instr=" STYLEREF 1 \s ">
        <w:r w:rsidR="00CA5C2D">
          <w:rPr>
            <w:noProof/>
          </w:rPr>
          <w:t>2</w:t>
        </w:r>
      </w:fldSimple>
      <w:r w:rsidR="00F51BF0" w:rsidRPr="00F51BF0">
        <w:t>–</w:t>
      </w:r>
      <w:fldSimple w:instr=" SEQ Figure \* ARABIC \s 1 ">
        <w:r w:rsidR="00CA5C2D">
          <w:rPr>
            <w:noProof/>
          </w:rPr>
          <w:t>4</w:t>
        </w:r>
      </w:fldSimple>
      <w:bookmarkEnd w:id="83"/>
      <w:bookmarkEnd w:id="84"/>
      <w:r w:rsidR="00F51BF0" w:rsidRPr="00F51BF0">
        <w:t xml:space="preserve">: </w:t>
      </w:r>
      <w:r w:rsidR="00F51BF0">
        <w:t>HELP loan portfolio – underlying cash balance impact</w:t>
      </w:r>
    </w:p>
    <w:tbl>
      <w:tblPr>
        <w:tblStyle w:val="TableGrid"/>
        <w:tblW w:w="5000" w:type="pct"/>
        <w:tblLook w:val="0680" w:firstRow="0" w:lastRow="0" w:firstColumn="1" w:lastColumn="0" w:noHBand="1" w:noVBand="1"/>
      </w:tblPr>
      <w:tblGrid>
        <w:gridCol w:w="1384"/>
        <w:gridCol w:w="444"/>
        <w:gridCol w:w="409"/>
        <w:gridCol w:w="409"/>
        <w:gridCol w:w="409"/>
        <w:gridCol w:w="409"/>
        <w:gridCol w:w="409"/>
        <w:gridCol w:w="444"/>
        <w:gridCol w:w="444"/>
        <w:gridCol w:w="444"/>
        <w:gridCol w:w="444"/>
        <w:gridCol w:w="444"/>
        <w:gridCol w:w="444"/>
        <w:gridCol w:w="444"/>
        <w:gridCol w:w="444"/>
        <w:gridCol w:w="444"/>
        <w:gridCol w:w="444"/>
      </w:tblGrid>
      <w:tr w:rsidR="00231D74" w:rsidRPr="00231D74" w:rsidTr="0064108E">
        <w:tc>
          <w:tcPr>
            <w:cnfStyle w:val="001000000000" w:firstRow="0" w:lastRow="0" w:firstColumn="1" w:lastColumn="0" w:oddVBand="0" w:evenVBand="0" w:oddHBand="0" w:evenHBand="0" w:firstRowFirstColumn="0" w:firstRowLastColumn="0" w:lastRowFirstColumn="0" w:lastRowLastColumn="0"/>
            <w:tcW w:w="832" w:type="pct"/>
            <w:noWrap/>
            <w:hideMark/>
          </w:tcPr>
          <w:p w:rsidR="00550586" w:rsidRPr="00231D74" w:rsidRDefault="00550586" w:rsidP="0064108E">
            <w:pPr>
              <w:pStyle w:val="TableText"/>
              <w:spacing w:before="0" w:after="0" w:line="240" w:lineRule="auto"/>
              <w:ind w:left="57" w:right="57"/>
              <w:rPr>
                <w:color w:val="FFFFFF" w:themeColor="background1"/>
                <w:sz w:val="8"/>
                <w:szCs w:val="8"/>
              </w:rPr>
            </w:pPr>
          </w:p>
        </w:tc>
        <w:tc>
          <w:tcPr>
            <w:tcW w:w="267" w:type="pct"/>
            <w:noWrap/>
            <w:hideMark/>
          </w:tcPr>
          <w:p w:rsidR="00550586" w:rsidRPr="00231D74" w:rsidRDefault="00550586" w:rsidP="0064108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231D74">
              <w:rPr>
                <w:color w:val="FFFFFF" w:themeColor="background1"/>
                <w:sz w:val="8"/>
                <w:szCs w:val="8"/>
              </w:rPr>
              <w:t>2010–11</w:t>
            </w:r>
          </w:p>
        </w:tc>
        <w:tc>
          <w:tcPr>
            <w:tcW w:w="246" w:type="pct"/>
            <w:noWrap/>
            <w:hideMark/>
          </w:tcPr>
          <w:p w:rsidR="00550586" w:rsidRPr="00231D74" w:rsidRDefault="00550586" w:rsidP="0064108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231D74">
              <w:rPr>
                <w:color w:val="FFFFFF" w:themeColor="background1"/>
                <w:sz w:val="8"/>
                <w:szCs w:val="8"/>
              </w:rPr>
              <w:t>2011–12</w:t>
            </w:r>
          </w:p>
        </w:tc>
        <w:tc>
          <w:tcPr>
            <w:tcW w:w="246" w:type="pct"/>
            <w:noWrap/>
            <w:hideMark/>
          </w:tcPr>
          <w:p w:rsidR="00550586" w:rsidRPr="00231D74" w:rsidRDefault="00550586" w:rsidP="0064108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231D74">
              <w:rPr>
                <w:color w:val="FFFFFF" w:themeColor="background1"/>
                <w:sz w:val="8"/>
                <w:szCs w:val="8"/>
              </w:rPr>
              <w:t>2012–13</w:t>
            </w:r>
          </w:p>
        </w:tc>
        <w:tc>
          <w:tcPr>
            <w:tcW w:w="246" w:type="pct"/>
            <w:noWrap/>
            <w:hideMark/>
          </w:tcPr>
          <w:p w:rsidR="00550586" w:rsidRPr="00231D74" w:rsidRDefault="00550586" w:rsidP="0064108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231D74">
              <w:rPr>
                <w:color w:val="FFFFFF" w:themeColor="background1"/>
                <w:sz w:val="8"/>
                <w:szCs w:val="8"/>
              </w:rPr>
              <w:t>2013–14</w:t>
            </w:r>
          </w:p>
        </w:tc>
        <w:tc>
          <w:tcPr>
            <w:tcW w:w="246" w:type="pct"/>
            <w:noWrap/>
            <w:hideMark/>
          </w:tcPr>
          <w:p w:rsidR="00550586" w:rsidRPr="00231D74" w:rsidRDefault="00550586" w:rsidP="0064108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231D74">
              <w:rPr>
                <w:color w:val="FFFFFF" w:themeColor="background1"/>
                <w:sz w:val="8"/>
                <w:szCs w:val="8"/>
              </w:rPr>
              <w:t>2014–15</w:t>
            </w:r>
          </w:p>
        </w:tc>
        <w:tc>
          <w:tcPr>
            <w:tcW w:w="246" w:type="pct"/>
            <w:noWrap/>
            <w:hideMark/>
          </w:tcPr>
          <w:p w:rsidR="00550586" w:rsidRPr="00231D74" w:rsidRDefault="00550586" w:rsidP="0064108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231D74">
              <w:rPr>
                <w:color w:val="FFFFFF" w:themeColor="background1"/>
                <w:sz w:val="8"/>
                <w:szCs w:val="8"/>
              </w:rPr>
              <w:t>2015–16</w:t>
            </w:r>
          </w:p>
        </w:tc>
        <w:tc>
          <w:tcPr>
            <w:tcW w:w="267" w:type="pct"/>
            <w:noWrap/>
            <w:hideMark/>
          </w:tcPr>
          <w:p w:rsidR="00550586" w:rsidRPr="00231D74" w:rsidRDefault="00550586" w:rsidP="0064108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231D74">
              <w:rPr>
                <w:color w:val="FFFFFF" w:themeColor="background1"/>
                <w:sz w:val="8"/>
                <w:szCs w:val="8"/>
              </w:rPr>
              <w:t>2016–17</w:t>
            </w:r>
          </w:p>
        </w:tc>
        <w:tc>
          <w:tcPr>
            <w:tcW w:w="267" w:type="pct"/>
            <w:noWrap/>
            <w:hideMark/>
          </w:tcPr>
          <w:p w:rsidR="00550586" w:rsidRPr="00231D74" w:rsidRDefault="00550586" w:rsidP="0064108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231D74">
              <w:rPr>
                <w:color w:val="FFFFFF" w:themeColor="background1"/>
                <w:sz w:val="8"/>
                <w:szCs w:val="8"/>
              </w:rPr>
              <w:t>2017–18</w:t>
            </w:r>
          </w:p>
        </w:tc>
        <w:tc>
          <w:tcPr>
            <w:tcW w:w="267" w:type="pct"/>
            <w:noWrap/>
            <w:hideMark/>
          </w:tcPr>
          <w:p w:rsidR="00550586" w:rsidRPr="00231D74" w:rsidRDefault="00550586" w:rsidP="0064108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231D74">
              <w:rPr>
                <w:color w:val="FFFFFF" w:themeColor="background1"/>
                <w:sz w:val="8"/>
                <w:szCs w:val="8"/>
              </w:rPr>
              <w:t>2018–19</w:t>
            </w:r>
          </w:p>
        </w:tc>
        <w:tc>
          <w:tcPr>
            <w:tcW w:w="267" w:type="pct"/>
            <w:noWrap/>
            <w:hideMark/>
          </w:tcPr>
          <w:p w:rsidR="00550586" w:rsidRPr="00231D74" w:rsidRDefault="00550586" w:rsidP="0064108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231D74">
              <w:rPr>
                <w:color w:val="FFFFFF" w:themeColor="background1"/>
                <w:sz w:val="8"/>
                <w:szCs w:val="8"/>
              </w:rPr>
              <w:t>2019–20</w:t>
            </w:r>
          </w:p>
        </w:tc>
        <w:tc>
          <w:tcPr>
            <w:tcW w:w="267" w:type="pct"/>
            <w:noWrap/>
            <w:hideMark/>
          </w:tcPr>
          <w:p w:rsidR="00550586" w:rsidRPr="00231D74" w:rsidRDefault="00550586" w:rsidP="0064108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231D74">
              <w:rPr>
                <w:color w:val="FFFFFF" w:themeColor="background1"/>
                <w:sz w:val="8"/>
                <w:szCs w:val="8"/>
              </w:rPr>
              <w:t>2020–21</w:t>
            </w:r>
          </w:p>
        </w:tc>
        <w:tc>
          <w:tcPr>
            <w:tcW w:w="267" w:type="pct"/>
            <w:noWrap/>
            <w:hideMark/>
          </w:tcPr>
          <w:p w:rsidR="00550586" w:rsidRPr="00231D74" w:rsidRDefault="00550586" w:rsidP="0064108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231D74">
              <w:rPr>
                <w:color w:val="FFFFFF" w:themeColor="background1"/>
                <w:sz w:val="8"/>
                <w:szCs w:val="8"/>
              </w:rPr>
              <w:t>2021–22</w:t>
            </w:r>
          </w:p>
        </w:tc>
        <w:tc>
          <w:tcPr>
            <w:tcW w:w="267" w:type="pct"/>
            <w:noWrap/>
            <w:hideMark/>
          </w:tcPr>
          <w:p w:rsidR="00550586" w:rsidRPr="00231D74" w:rsidRDefault="00550586" w:rsidP="0064108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231D74">
              <w:rPr>
                <w:color w:val="FFFFFF" w:themeColor="background1"/>
                <w:sz w:val="8"/>
                <w:szCs w:val="8"/>
              </w:rPr>
              <w:t>2022–23</w:t>
            </w:r>
          </w:p>
        </w:tc>
        <w:tc>
          <w:tcPr>
            <w:tcW w:w="267" w:type="pct"/>
            <w:noWrap/>
            <w:hideMark/>
          </w:tcPr>
          <w:p w:rsidR="00550586" w:rsidRPr="00231D74" w:rsidRDefault="00550586" w:rsidP="0064108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231D74">
              <w:rPr>
                <w:color w:val="FFFFFF" w:themeColor="background1"/>
                <w:sz w:val="8"/>
                <w:szCs w:val="8"/>
              </w:rPr>
              <w:t>2023–24</w:t>
            </w:r>
          </w:p>
        </w:tc>
        <w:tc>
          <w:tcPr>
            <w:tcW w:w="267" w:type="pct"/>
            <w:noWrap/>
            <w:hideMark/>
          </w:tcPr>
          <w:p w:rsidR="00550586" w:rsidRPr="00231D74" w:rsidRDefault="00550586" w:rsidP="0064108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231D74">
              <w:rPr>
                <w:color w:val="FFFFFF" w:themeColor="background1"/>
                <w:sz w:val="8"/>
                <w:szCs w:val="8"/>
              </w:rPr>
              <w:t>2024–25</w:t>
            </w:r>
          </w:p>
        </w:tc>
        <w:tc>
          <w:tcPr>
            <w:tcW w:w="267" w:type="pct"/>
            <w:noWrap/>
            <w:hideMark/>
          </w:tcPr>
          <w:p w:rsidR="00550586" w:rsidRPr="00231D74" w:rsidRDefault="00550586" w:rsidP="0064108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231D74">
              <w:rPr>
                <w:color w:val="FFFFFF" w:themeColor="background1"/>
                <w:sz w:val="8"/>
                <w:szCs w:val="8"/>
              </w:rPr>
              <w:t>2025–26</w:t>
            </w:r>
          </w:p>
        </w:tc>
      </w:tr>
      <w:tr w:rsidR="00231D74" w:rsidRPr="00231D74" w:rsidTr="0064108E">
        <w:tc>
          <w:tcPr>
            <w:cnfStyle w:val="001000000000" w:firstRow="0" w:lastRow="0" w:firstColumn="1" w:lastColumn="0" w:oddVBand="0" w:evenVBand="0" w:oddHBand="0" w:evenHBand="0" w:firstRowFirstColumn="0" w:firstRowLastColumn="0" w:lastRowFirstColumn="0" w:lastRowLastColumn="0"/>
            <w:tcW w:w="832" w:type="pct"/>
            <w:noWrap/>
            <w:hideMark/>
          </w:tcPr>
          <w:p w:rsidR="00550586" w:rsidRPr="00231D74" w:rsidRDefault="00550586" w:rsidP="0064108E">
            <w:pPr>
              <w:pStyle w:val="TableText"/>
              <w:spacing w:before="0" w:after="0" w:line="240" w:lineRule="auto"/>
              <w:ind w:left="57" w:right="57"/>
              <w:rPr>
                <w:color w:val="FFFFFF" w:themeColor="background1"/>
                <w:sz w:val="8"/>
                <w:szCs w:val="8"/>
              </w:rPr>
            </w:pPr>
            <w:r w:rsidRPr="00231D74">
              <w:rPr>
                <w:color w:val="FFFFFF" w:themeColor="background1"/>
                <w:sz w:val="8"/>
                <w:szCs w:val="8"/>
              </w:rPr>
              <w:t>Interest receipts</w:t>
            </w:r>
          </w:p>
        </w:tc>
        <w:tc>
          <w:tcPr>
            <w:tcW w:w="267" w:type="pct"/>
            <w:noWrap/>
            <w:hideMark/>
          </w:tcPr>
          <w:p w:rsidR="00550586" w:rsidRPr="00231D74" w:rsidRDefault="00550586" w:rsidP="0064108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231D74">
              <w:rPr>
                <w:color w:val="FFFFFF" w:themeColor="background1"/>
                <w:sz w:val="8"/>
                <w:szCs w:val="8"/>
              </w:rPr>
              <w:t>0.356</w:t>
            </w:r>
          </w:p>
        </w:tc>
        <w:tc>
          <w:tcPr>
            <w:tcW w:w="246" w:type="pct"/>
            <w:noWrap/>
            <w:hideMark/>
          </w:tcPr>
          <w:p w:rsidR="00550586" w:rsidRPr="00231D74" w:rsidRDefault="00550586" w:rsidP="0064108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231D74">
              <w:rPr>
                <w:color w:val="FFFFFF" w:themeColor="background1"/>
                <w:sz w:val="8"/>
                <w:szCs w:val="8"/>
              </w:rPr>
              <w:t>0.387</w:t>
            </w:r>
          </w:p>
        </w:tc>
        <w:tc>
          <w:tcPr>
            <w:tcW w:w="246" w:type="pct"/>
            <w:noWrap/>
            <w:hideMark/>
          </w:tcPr>
          <w:p w:rsidR="00550586" w:rsidRPr="00231D74" w:rsidRDefault="00550586" w:rsidP="0064108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231D74">
              <w:rPr>
                <w:color w:val="FFFFFF" w:themeColor="background1"/>
                <w:sz w:val="8"/>
                <w:szCs w:val="8"/>
              </w:rPr>
              <w:t>0.390</w:t>
            </w:r>
          </w:p>
        </w:tc>
        <w:tc>
          <w:tcPr>
            <w:tcW w:w="246" w:type="pct"/>
            <w:noWrap/>
            <w:hideMark/>
          </w:tcPr>
          <w:p w:rsidR="00550586" w:rsidRPr="00231D74" w:rsidRDefault="00550586" w:rsidP="0064108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231D74">
              <w:rPr>
                <w:color w:val="FFFFFF" w:themeColor="background1"/>
                <w:sz w:val="8"/>
                <w:szCs w:val="8"/>
              </w:rPr>
              <w:t>0.456</w:t>
            </w:r>
          </w:p>
        </w:tc>
        <w:tc>
          <w:tcPr>
            <w:tcW w:w="246" w:type="pct"/>
            <w:noWrap/>
            <w:hideMark/>
          </w:tcPr>
          <w:p w:rsidR="00550586" w:rsidRPr="00231D74" w:rsidRDefault="00550586" w:rsidP="0064108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231D74">
              <w:rPr>
                <w:color w:val="FFFFFF" w:themeColor="background1"/>
                <w:sz w:val="8"/>
                <w:szCs w:val="8"/>
              </w:rPr>
              <w:t>0.556</w:t>
            </w:r>
          </w:p>
        </w:tc>
        <w:tc>
          <w:tcPr>
            <w:tcW w:w="246" w:type="pct"/>
            <w:noWrap/>
            <w:hideMark/>
          </w:tcPr>
          <w:p w:rsidR="00550586" w:rsidRPr="00231D74" w:rsidRDefault="00550586" w:rsidP="0064108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231D74">
              <w:rPr>
                <w:color w:val="FFFFFF" w:themeColor="background1"/>
                <w:sz w:val="8"/>
                <w:szCs w:val="8"/>
              </w:rPr>
              <w:t>0.533</w:t>
            </w:r>
          </w:p>
        </w:tc>
        <w:tc>
          <w:tcPr>
            <w:tcW w:w="267" w:type="pct"/>
            <w:noWrap/>
            <w:hideMark/>
          </w:tcPr>
          <w:p w:rsidR="00550586" w:rsidRPr="00231D74" w:rsidRDefault="00550586" w:rsidP="0064108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231D74">
              <w:rPr>
                <w:color w:val="FFFFFF" w:themeColor="background1"/>
                <w:sz w:val="8"/>
                <w:szCs w:val="8"/>
              </w:rPr>
              <w:t>0.572</w:t>
            </w:r>
          </w:p>
        </w:tc>
        <w:tc>
          <w:tcPr>
            <w:tcW w:w="267" w:type="pct"/>
            <w:noWrap/>
            <w:hideMark/>
          </w:tcPr>
          <w:p w:rsidR="00550586" w:rsidRPr="00231D74" w:rsidRDefault="00550586" w:rsidP="0064108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231D74">
              <w:rPr>
                <w:color w:val="FFFFFF" w:themeColor="background1"/>
                <w:sz w:val="8"/>
                <w:szCs w:val="8"/>
              </w:rPr>
              <w:t>0.601</w:t>
            </w:r>
          </w:p>
        </w:tc>
        <w:tc>
          <w:tcPr>
            <w:tcW w:w="267" w:type="pct"/>
            <w:noWrap/>
            <w:hideMark/>
          </w:tcPr>
          <w:p w:rsidR="00550586" w:rsidRPr="00231D74" w:rsidRDefault="00550586" w:rsidP="0064108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231D74">
              <w:rPr>
                <w:color w:val="FFFFFF" w:themeColor="background1"/>
                <w:sz w:val="8"/>
                <w:szCs w:val="8"/>
              </w:rPr>
              <w:t>0.665</w:t>
            </w:r>
          </w:p>
        </w:tc>
        <w:tc>
          <w:tcPr>
            <w:tcW w:w="267" w:type="pct"/>
            <w:noWrap/>
            <w:hideMark/>
          </w:tcPr>
          <w:p w:rsidR="00550586" w:rsidRPr="00231D74" w:rsidRDefault="00550586" w:rsidP="0064108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231D74">
              <w:rPr>
                <w:color w:val="FFFFFF" w:themeColor="background1"/>
                <w:sz w:val="8"/>
                <w:szCs w:val="8"/>
              </w:rPr>
              <w:t>0.734</w:t>
            </w:r>
          </w:p>
        </w:tc>
        <w:tc>
          <w:tcPr>
            <w:tcW w:w="267" w:type="pct"/>
            <w:noWrap/>
            <w:hideMark/>
          </w:tcPr>
          <w:p w:rsidR="00550586" w:rsidRPr="00231D74" w:rsidRDefault="00550586" w:rsidP="0064108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231D74">
              <w:rPr>
                <w:color w:val="FFFFFF" w:themeColor="background1"/>
                <w:sz w:val="8"/>
                <w:szCs w:val="8"/>
              </w:rPr>
              <w:t>0.848</w:t>
            </w:r>
          </w:p>
        </w:tc>
        <w:tc>
          <w:tcPr>
            <w:tcW w:w="267" w:type="pct"/>
            <w:noWrap/>
            <w:hideMark/>
          </w:tcPr>
          <w:p w:rsidR="00550586" w:rsidRPr="00231D74" w:rsidRDefault="00550586" w:rsidP="0064108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231D74">
              <w:rPr>
                <w:color w:val="FFFFFF" w:themeColor="background1"/>
                <w:sz w:val="8"/>
                <w:szCs w:val="8"/>
              </w:rPr>
              <w:t>0.958</w:t>
            </w:r>
          </w:p>
        </w:tc>
        <w:tc>
          <w:tcPr>
            <w:tcW w:w="267" w:type="pct"/>
            <w:noWrap/>
            <w:hideMark/>
          </w:tcPr>
          <w:p w:rsidR="00550586" w:rsidRPr="00231D74" w:rsidRDefault="00550586" w:rsidP="0064108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231D74">
              <w:rPr>
                <w:color w:val="FFFFFF" w:themeColor="background1"/>
                <w:sz w:val="8"/>
                <w:szCs w:val="8"/>
              </w:rPr>
              <w:t>1.112</w:t>
            </w:r>
          </w:p>
        </w:tc>
        <w:tc>
          <w:tcPr>
            <w:tcW w:w="267" w:type="pct"/>
            <w:noWrap/>
            <w:hideMark/>
          </w:tcPr>
          <w:p w:rsidR="00550586" w:rsidRPr="00231D74" w:rsidRDefault="00550586" w:rsidP="0064108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231D74">
              <w:rPr>
                <w:color w:val="FFFFFF" w:themeColor="background1"/>
                <w:sz w:val="8"/>
                <w:szCs w:val="8"/>
              </w:rPr>
              <w:t>1.281</w:t>
            </w:r>
          </w:p>
        </w:tc>
        <w:tc>
          <w:tcPr>
            <w:tcW w:w="267" w:type="pct"/>
            <w:noWrap/>
            <w:hideMark/>
          </w:tcPr>
          <w:p w:rsidR="00550586" w:rsidRPr="00231D74" w:rsidRDefault="00550586" w:rsidP="0064108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231D74">
              <w:rPr>
                <w:color w:val="FFFFFF" w:themeColor="background1"/>
                <w:sz w:val="8"/>
                <w:szCs w:val="8"/>
              </w:rPr>
              <w:t>1.494</w:t>
            </w:r>
          </w:p>
        </w:tc>
        <w:tc>
          <w:tcPr>
            <w:tcW w:w="267" w:type="pct"/>
            <w:noWrap/>
            <w:hideMark/>
          </w:tcPr>
          <w:p w:rsidR="00550586" w:rsidRPr="00231D74" w:rsidRDefault="00550586" w:rsidP="0064108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231D74">
              <w:rPr>
                <w:color w:val="FFFFFF" w:themeColor="background1"/>
                <w:sz w:val="8"/>
                <w:szCs w:val="8"/>
              </w:rPr>
              <w:t>1.749</w:t>
            </w:r>
          </w:p>
        </w:tc>
      </w:tr>
      <w:tr w:rsidR="00231D74" w:rsidRPr="00231D74" w:rsidTr="0064108E">
        <w:tc>
          <w:tcPr>
            <w:cnfStyle w:val="001000000000" w:firstRow="0" w:lastRow="0" w:firstColumn="1" w:lastColumn="0" w:oddVBand="0" w:evenVBand="0" w:oddHBand="0" w:evenHBand="0" w:firstRowFirstColumn="0" w:firstRowLastColumn="0" w:lastRowFirstColumn="0" w:lastRowLastColumn="0"/>
            <w:tcW w:w="832" w:type="pct"/>
            <w:noWrap/>
            <w:hideMark/>
          </w:tcPr>
          <w:p w:rsidR="00550586" w:rsidRPr="00231D74" w:rsidRDefault="00550586" w:rsidP="0064108E">
            <w:pPr>
              <w:pStyle w:val="TableText"/>
              <w:spacing w:before="0" w:after="0" w:line="240" w:lineRule="auto"/>
              <w:ind w:left="57" w:right="57"/>
              <w:rPr>
                <w:color w:val="FFFFFF" w:themeColor="background1"/>
                <w:sz w:val="8"/>
                <w:szCs w:val="8"/>
              </w:rPr>
            </w:pPr>
            <w:r w:rsidRPr="00231D74">
              <w:rPr>
                <w:color w:val="FFFFFF" w:themeColor="background1"/>
                <w:sz w:val="8"/>
                <w:szCs w:val="8"/>
              </w:rPr>
              <w:t>Public debt interest</w:t>
            </w:r>
          </w:p>
        </w:tc>
        <w:tc>
          <w:tcPr>
            <w:tcW w:w="267" w:type="pct"/>
            <w:noWrap/>
            <w:hideMark/>
          </w:tcPr>
          <w:p w:rsidR="00550586" w:rsidRPr="00231D74" w:rsidRDefault="00550586" w:rsidP="0064108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231D74">
              <w:rPr>
                <w:color w:val="FFFFFF" w:themeColor="background1"/>
                <w:sz w:val="8"/>
                <w:szCs w:val="8"/>
              </w:rPr>
              <w:t>-1.490</w:t>
            </w:r>
          </w:p>
        </w:tc>
        <w:tc>
          <w:tcPr>
            <w:tcW w:w="246" w:type="pct"/>
            <w:noWrap/>
            <w:hideMark/>
          </w:tcPr>
          <w:p w:rsidR="00550586" w:rsidRPr="00231D74" w:rsidRDefault="00550586" w:rsidP="0064108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231D74">
              <w:rPr>
                <w:color w:val="FFFFFF" w:themeColor="background1"/>
                <w:sz w:val="8"/>
                <w:szCs w:val="8"/>
              </w:rPr>
              <w:t>-0.978</w:t>
            </w:r>
          </w:p>
        </w:tc>
        <w:tc>
          <w:tcPr>
            <w:tcW w:w="246" w:type="pct"/>
            <w:noWrap/>
            <w:hideMark/>
          </w:tcPr>
          <w:p w:rsidR="00550586" w:rsidRPr="00231D74" w:rsidRDefault="00550586" w:rsidP="0064108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231D74">
              <w:rPr>
                <w:color w:val="FFFFFF" w:themeColor="background1"/>
                <w:sz w:val="8"/>
                <w:szCs w:val="8"/>
              </w:rPr>
              <w:t>-1.298</w:t>
            </w:r>
          </w:p>
        </w:tc>
        <w:tc>
          <w:tcPr>
            <w:tcW w:w="246" w:type="pct"/>
            <w:noWrap/>
            <w:hideMark/>
          </w:tcPr>
          <w:p w:rsidR="00550586" w:rsidRPr="00231D74" w:rsidRDefault="00550586" w:rsidP="0064108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231D74">
              <w:rPr>
                <w:color w:val="FFFFFF" w:themeColor="background1"/>
                <w:sz w:val="8"/>
                <w:szCs w:val="8"/>
              </w:rPr>
              <w:t>-1.518</w:t>
            </w:r>
          </w:p>
        </w:tc>
        <w:tc>
          <w:tcPr>
            <w:tcW w:w="246" w:type="pct"/>
            <w:noWrap/>
            <w:hideMark/>
          </w:tcPr>
          <w:p w:rsidR="00550586" w:rsidRPr="00231D74" w:rsidRDefault="00550586" w:rsidP="0064108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231D74">
              <w:rPr>
                <w:color w:val="FFFFFF" w:themeColor="background1"/>
                <w:sz w:val="8"/>
                <w:szCs w:val="8"/>
              </w:rPr>
              <w:t>-1.421</w:t>
            </w:r>
          </w:p>
        </w:tc>
        <w:tc>
          <w:tcPr>
            <w:tcW w:w="246" w:type="pct"/>
            <w:noWrap/>
            <w:hideMark/>
          </w:tcPr>
          <w:p w:rsidR="00550586" w:rsidRPr="00231D74" w:rsidRDefault="00550586" w:rsidP="0064108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231D74">
              <w:rPr>
                <w:color w:val="FFFFFF" w:themeColor="background1"/>
                <w:sz w:val="8"/>
                <w:szCs w:val="8"/>
              </w:rPr>
              <w:t>-2.249</w:t>
            </w:r>
          </w:p>
        </w:tc>
        <w:tc>
          <w:tcPr>
            <w:tcW w:w="267" w:type="pct"/>
            <w:noWrap/>
            <w:hideMark/>
          </w:tcPr>
          <w:p w:rsidR="00550586" w:rsidRPr="00231D74" w:rsidRDefault="00550586" w:rsidP="0064108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231D74">
              <w:rPr>
                <w:color w:val="FFFFFF" w:themeColor="background1"/>
                <w:sz w:val="8"/>
                <w:szCs w:val="8"/>
              </w:rPr>
              <w:t>-2.664</w:t>
            </w:r>
          </w:p>
        </w:tc>
        <w:tc>
          <w:tcPr>
            <w:tcW w:w="267" w:type="pct"/>
            <w:noWrap/>
            <w:hideMark/>
          </w:tcPr>
          <w:p w:rsidR="00550586" w:rsidRPr="00231D74" w:rsidRDefault="00550586" w:rsidP="0064108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231D74">
              <w:rPr>
                <w:color w:val="FFFFFF" w:themeColor="background1"/>
                <w:sz w:val="8"/>
                <w:szCs w:val="8"/>
              </w:rPr>
              <w:t>-3.120</w:t>
            </w:r>
          </w:p>
        </w:tc>
        <w:tc>
          <w:tcPr>
            <w:tcW w:w="267" w:type="pct"/>
            <w:noWrap/>
            <w:hideMark/>
          </w:tcPr>
          <w:p w:rsidR="00550586" w:rsidRPr="00231D74" w:rsidRDefault="00550586" w:rsidP="0064108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231D74">
              <w:rPr>
                <w:color w:val="FFFFFF" w:themeColor="background1"/>
                <w:sz w:val="8"/>
                <w:szCs w:val="8"/>
              </w:rPr>
              <w:t>-4.092</w:t>
            </w:r>
          </w:p>
        </w:tc>
        <w:tc>
          <w:tcPr>
            <w:tcW w:w="267" w:type="pct"/>
            <w:noWrap/>
            <w:hideMark/>
          </w:tcPr>
          <w:p w:rsidR="00550586" w:rsidRPr="00231D74" w:rsidRDefault="00550586" w:rsidP="0064108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231D74">
              <w:rPr>
                <w:color w:val="FFFFFF" w:themeColor="background1"/>
                <w:sz w:val="8"/>
                <w:szCs w:val="8"/>
              </w:rPr>
              <w:t>-5.148</w:t>
            </w:r>
          </w:p>
        </w:tc>
        <w:tc>
          <w:tcPr>
            <w:tcW w:w="267" w:type="pct"/>
            <w:noWrap/>
            <w:hideMark/>
          </w:tcPr>
          <w:p w:rsidR="00550586" w:rsidRPr="00231D74" w:rsidRDefault="00550586" w:rsidP="0064108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231D74">
              <w:rPr>
                <w:color w:val="FFFFFF" w:themeColor="background1"/>
                <w:sz w:val="8"/>
                <w:szCs w:val="8"/>
              </w:rPr>
              <w:t>-6.280</w:t>
            </w:r>
          </w:p>
        </w:tc>
        <w:tc>
          <w:tcPr>
            <w:tcW w:w="267" w:type="pct"/>
            <w:noWrap/>
            <w:hideMark/>
          </w:tcPr>
          <w:p w:rsidR="00550586" w:rsidRPr="00231D74" w:rsidRDefault="00550586" w:rsidP="0064108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231D74">
              <w:rPr>
                <w:color w:val="FFFFFF" w:themeColor="background1"/>
                <w:sz w:val="8"/>
                <w:szCs w:val="8"/>
              </w:rPr>
              <w:t>-7.495</w:t>
            </w:r>
          </w:p>
        </w:tc>
        <w:tc>
          <w:tcPr>
            <w:tcW w:w="267" w:type="pct"/>
            <w:noWrap/>
            <w:hideMark/>
          </w:tcPr>
          <w:p w:rsidR="00550586" w:rsidRPr="00231D74" w:rsidRDefault="00550586" w:rsidP="0064108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231D74">
              <w:rPr>
                <w:color w:val="FFFFFF" w:themeColor="background1"/>
                <w:sz w:val="8"/>
                <w:szCs w:val="8"/>
              </w:rPr>
              <w:t>-8.776</w:t>
            </w:r>
          </w:p>
        </w:tc>
        <w:tc>
          <w:tcPr>
            <w:tcW w:w="267" w:type="pct"/>
            <w:noWrap/>
            <w:hideMark/>
          </w:tcPr>
          <w:p w:rsidR="00550586" w:rsidRPr="00231D74" w:rsidRDefault="00550586" w:rsidP="0064108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231D74">
              <w:rPr>
                <w:color w:val="FFFFFF" w:themeColor="background1"/>
                <w:sz w:val="8"/>
                <w:szCs w:val="8"/>
              </w:rPr>
              <w:t>-10.128</w:t>
            </w:r>
          </w:p>
        </w:tc>
        <w:tc>
          <w:tcPr>
            <w:tcW w:w="267" w:type="pct"/>
            <w:noWrap/>
            <w:hideMark/>
          </w:tcPr>
          <w:p w:rsidR="00550586" w:rsidRPr="00231D74" w:rsidRDefault="00550586" w:rsidP="0064108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231D74">
              <w:rPr>
                <w:color w:val="FFFFFF" w:themeColor="background1"/>
                <w:sz w:val="8"/>
                <w:szCs w:val="8"/>
              </w:rPr>
              <w:t>-11.509</w:t>
            </w:r>
          </w:p>
        </w:tc>
        <w:tc>
          <w:tcPr>
            <w:tcW w:w="267" w:type="pct"/>
            <w:noWrap/>
            <w:hideMark/>
          </w:tcPr>
          <w:p w:rsidR="00550586" w:rsidRPr="00231D74" w:rsidRDefault="00550586" w:rsidP="0064108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231D74">
              <w:rPr>
                <w:color w:val="FFFFFF" w:themeColor="background1"/>
                <w:sz w:val="8"/>
                <w:szCs w:val="8"/>
              </w:rPr>
              <w:t>-12.844</w:t>
            </w:r>
          </w:p>
        </w:tc>
      </w:tr>
      <w:tr w:rsidR="00231D74" w:rsidRPr="00231D74" w:rsidTr="0064108E">
        <w:tc>
          <w:tcPr>
            <w:cnfStyle w:val="001000000000" w:firstRow="0" w:lastRow="0" w:firstColumn="1" w:lastColumn="0" w:oddVBand="0" w:evenVBand="0" w:oddHBand="0" w:evenHBand="0" w:firstRowFirstColumn="0" w:firstRowLastColumn="0" w:lastRowFirstColumn="0" w:lastRowLastColumn="0"/>
            <w:tcW w:w="832" w:type="pct"/>
            <w:noWrap/>
            <w:hideMark/>
          </w:tcPr>
          <w:p w:rsidR="00550586" w:rsidRPr="00231D74" w:rsidRDefault="00550586" w:rsidP="0064108E">
            <w:pPr>
              <w:pStyle w:val="TableText"/>
              <w:spacing w:before="0" w:after="0" w:line="240" w:lineRule="auto"/>
              <w:ind w:left="57" w:right="57"/>
              <w:rPr>
                <w:color w:val="FFFFFF" w:themeColor="background1"/>
                <w:sz w:val="8"/>
                <w:szCs w:val="8"/>
              </w:rPr>
            </w:pPr>
            <w:r w:rsidRPr="00231D74">
              <w:rPr>
                <w:color w:val="FFFFFF" w:themeColor="background1"/>
                <w:sz w:val="8"/>
                <w:szCs w:val="8"/>
              </w:rPr>
              <w:t>Underlying cash balance impact</w:t>
            </w:r>
          </w:p>
        </w:tc>
        <w:tc>
          <w:tcPr>
            <w:tcW w:w="267" w:type="pct"/>
            <w:noWrap/>
            <w:hideMark/>
          </w:tcPr>
          <w:p w:rsidR="00550586" w:rsidRPr="00231D74" w:rsidRDefault="00550586" w:rsidP="0064108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231D74">
              <w:rPr>
                <w:color w:val="FFFFFF" w:themeColor="background1"/>
                <w:sz w:val="8"/>
                <w:szCs w:val="8"/>
              </w:rPr>
              <w:t>-1.133</w:t>
            </w:r>
          </w:p>
        </w:tc>
        <w:tc>
          <w:tcPr>
            <w:tcW w:w="246" w:type="pct"/>
            <w:noWrap/>
            <w:hideMark/>
          </w:tcPr>
          <w:p w:rsidR="00550586" w:rsidRPr="00231D74" w:rsidRDefault="00550586" w:rsidP="0064108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231D74">
              <w:rPr>
                <w:color w:val="FFFFFF" w:themeColor="background1"/>
                <w:sz w:val="8"/>
                <w:szCs w:val="8"/>
              </w:rPr>
              <w:t>-0.591</w:t>
            </w:r>
          </w:p>
        </w:tc>
        <w:tc>
          <w:tcPr>
            <w:tcW w:w="246" w:type="pct"/>
            <w:noWrap/>
            <w:hideMark/>
          </w:tcPr>
          <w:p w:rsidR="00550586" w:rsidRPr="00231D74" w:rsidRDefault="00550586" w:rsidP="0064108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231D74">
              <w:rPr>
                <w:color w:val="FFFFFF" w:themeColor="background1"/>
                <w:sz w:val="8"/>
                <w:szCs w:val="8"/>
              </w:rPr>
              <w:t>-0.908</w:t>
            </w:r>
          </w:p>
        </w:tc>
        <w:tc>
          <w:tcPr>
            <w:tcW w:w="246" w:type="pct"/>
            <w:noWrap/>
            <w:hideMark/>
          </w:tcPr>
          <w:p w:rsidR="00550586" w:rsidRPr="00231D74" w:rsidRDefault="00550586" w:rsidP="0064108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231D74">
              <w:rPr>
                <w:color w:val="FFFFFF" w:themeColor="background1"/>
                <w:sz w:val="8"/>
                <w:szCs w:val="8"/>
              </w:rPr>
              <w:t>-1.063</w:t>
            </w:r>
          </w:p>
        </w:tc>
        <w:tc>
          <w:tcPr>
            <w:tcW w:w="246" w:type="pct"/>
            <w:noWrap/>
            <w:hideMark/>
          </w:tcPr>
          <w:p w:rsidR="00550586" w:rsidRPr="00231D74" w:rsidRDefault="00550586" w:rsidP="0064108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231D74">
              <w:rPr>
                <w:color w:val="FFFFFF" w:themeColor="background1"/>
                <w:sz w:val="8"/>
                <w:szCs w:val="8"/>
              </w:rPr>
              <w:t>-0.865</w:t>
            </w:r>
          </w:p>
        </w:tc>
        <w:tc>
          <w:tcPr>
            <w:tcW w:w="246" w:type="pct"/>
            <w:noWrap/>
            <w:hideMark/>
          </w:tcPr>
          <w:p w:rsidR="00550586" w:rsidRPr="00231D74" w:rsidRDefault="00550586" w:rsidP="0064108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231D74">
              <w:rPr>
                <w:color w:val="FFFFFF" w:themeColor="background1"/>
                <w:sz w:val="8"/>
                <w:szCs w:val="8"/>
              </w:rPr>
              <w:t>-1.717</w:t>
            </w:r>
          </w:p>
        </w:tc>
        <w:tc>
          <w:tcPr>
            <w:tcW w:w="267" w:type="pct"/>
            <w:noWrap/>
            <w:hideMark/>
          </w:tcPr>
          <w:p w:rsidR="00550586" w:rsidRPr="00231D74" w:rsidRDefault="00550586" w:rsidP="0064108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231D74">
              <w:rPr>
                <w:color w:val="FFFFFF" w:themeColor="background1"/>
                <w:sz w:val="8"/>
                <w:szCs w:val="8"/>
              </w:rPr>
              <w:t>-2.092</w:t>
            </w:r>
          </w:p>
        </w:tc>
        <w:tc>
          <w:tcPr>
            <w:tcW w:w="267" w:type="pct"/>
            <w:noWrap/>
            <w:hideMark/>
          </w:tcPr>
          <w:p w:rsidR="00550586" w:rsidRPr="00231D74" w:rsidRDefault="00550586" w:rsidP="0064108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231D74">
              <w:rPr>
                <w:color w:val="FFFFFF" w:themeColor="background1"/>
                <w:sz w:val="8"/>
                <w:szCs w:val="8"/>
              </w:rPr>
              <w:t>-2.519</w:t>
            </w:r>
          </w:p>
        </w:tc>
        <w:tc>
          <w:tcPr>
            <w:tcW w:w="267" w:type="pct"/>
            <w:noWrap/>
            <w:hideMark/>
          </w:tcPr>
          <w:p w:rsidR="00550586" w:rsidRPr="00231D74" w:rsidRDefault="00550586" w:rsidP="0064108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231D74">
              <w:rPr>
                <w:color w:val="FFFFFF" w:themeColor="background1"/>
                <w:sz w:val="8"/>
                <w:szCs w:val="8"/>
              </w:rPr>
              <w:t>-3.427</w:t>
            </w:r>
          </w:p>
        </w:tc>
        <w:tc>
          <w:tcPr>
            <w:tcW w:w="267" w:type="pct"/>
            <w:noWrap/>
            <w:hideMark/>
          </w:tcPr>
          <w:p w:rsidR="00550586" w:rsidRPr="00231D74" w:rsidRDefault="00550586" w:rsidP="0064108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231D74">
              <w:rPr>
                <w:color w:val="FFFFFF" w:themeColor="background1"/>
                <w:sz w:val="8"/>
                <w:szCs w:val="8"/>
              </w:rPr>
              <w:t>-4.414</w:t>
            </w:r>
          </w:p>
        </w:tc>
        <w:tc>
          <w:tcPr>
            <w:tcW w:w="267" w:type="pct"/>
            <w:noWrap/>
            <w:hideMark/>
          </w:tcPr>
          <w:p w:rsidR="00550586" w:rsidRPr="00231D74" w:rsidRDefault="00550586" w:rsidP="0064108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231D74">
              <w:rPr>
                <w:color w:val="FFFFFF" w:themeColor="background1"/>
                <w:sz w:val="8"/>
                <w:szCs w:val="8"/>
              </w:rPr>
              <w:t>-5.432</w:t>
            </w:r>
          </w:p>
        </w:tc>
        <w:tc>
          <w:tcPr>
            <w:tcW w:w="267" w:type="pct"/>
            <w:noWrap/>
            <w:hideMark/>
          </w:tcPr>
          <w:p w:rsidR="00550586" w:rsidRPr="00231D74" w:rsidRDefault="00550586" w:rsidP="0064108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231D74">
              <w:rPr>
                <w:color w:val="FFFFFF" w:themeColor="background1"/>
                <w:sz w:val="8"/>
                <w:szCs w:val="8"/>
              </w:rPr>
              <w:t>-6.537</w:t>
            </w:r>
          </w:p>
        </w:tc>
        <w:tc>
          <w:tcPr>
            <w:tcW w:w="267" w:type="pct"/>
            <w:noWrap/>
            <w:hideMark/>
          </w:tcPr>
          <w:p w:rsidR="00550586" w:rsidRPr="00231D74" w:rsidRDefault="00550586" w:rsidP="0064108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231D74">
              <w:rPr>
                <w:color w:val="FFFFFF" w:themeColor="background1"/>
                <w:sz w:val="8"/>
                <w:szCs w:val="8"/>
              </w:rPr>
              <w:t>-7.664</w:t>
            </w:r>
          </w:p>
        </w:tc>
        <w:tc>
          <w:tcPr>
            <w:tcW w:w="267" w:type="pct"/>
            <w:noWrap/>
            <w:hideMark/>
          </w:tcPr>
          <w:p w:rsidR="00550586" w:rsidRPr="00231D74" w:rsidRDefault="00550586" w:rsidP="0064108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231D74">
              <w:rPr>
                <w:color w:val="FFFFFF" w:themeColor="background1"/>
                <w:sz w:val="8"/>
                <w:szCs w:val="8"/>
              </w:rPr>
              <w:t>-8.847</w:t>
            </w:r>
          </w:p>
        </w:tc>
        <w:tc>
          <w:tcPr>
            <w:tcW w:w="267" w:type="pct"/>
            <w:noWrap/>
            <w:hideMark/>
          </w:tcPr>
          <w:p w:rsidR="00550586" w:rsidRPr="00231D74" w:rsidRDefault="00550586" w:rsidP="0064108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231D74">
              <w:rPr>
                <w:color w:val="FFFFFF" w:themeColor="background1"/>
                <w:sz w:val="8"/>
                <w:szCs w:val="8"/>
              </w:rPr>
              <w:t>-10.015</w:t>
            </w:r>
          </w:p>
        </w:tc>
        <w:tc>
          <w:tcPr>
            <w:tcW w:w="267" w:type="pct"/>
            <w:noWrap/>
            <w:hideMark/>
          </w:tcPr>
          <w:p w:rsidR="00550586" w:rsidRPr="00231D74" w:rsidRDefault="00550586" w:rsidP="0064108E">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231D74">
              <w:rPr>
                <w:color w:val="FFFFFF" w:themeColor="background1"/>
                <w:sz w:val="8"/>
                <w:szCs w:val="8"/>
              </w:rPr>
              <w:t>-11.095</w:t>
            </w:r>
          </w:p>
        </w:tc>
      </w:tr>
    </w:tbl>
    <w:p w:rsidR="00F51BF0" w:rsidRDefault="00F51BF0" w:rsidP="00832BC9">
      <w:pPr>
        <w:pStyle w:val="Source"/>
        <w:spacing w:before="3960"/>
      </w:pPr>
      <w:r>
        <w:t xml:space="preserve">Source: </w:t>
      </w:r>
      <w:r w:rsidR="0090440F" w:rsidRPr="0090440F">
        <w:t>PBO analysis of Department of Education and Training data</w:t>
      </w:r>
      <w:r>
        <w:t>.</w:t>
      </w:r>
    </w:p>
    <w:p w:rsidR="00F51BF0" w:rsidRPr="00450C29" w:rsidRDefault="00F51BF0" w:rsidP="001F5A18">
      <w:pPr>
        <w:pStyle w:val="BodyText17ptAbove"/>
      </w:pPr>
      <w:r>
        <w:t>T</w:t>
      </w:r>
      <w:r w:rsidRPr="00EE010C">
        <w:t xml:space="preserve">he </w:t>
      </w:r>
      <w:r>
        <w:t xml:space="preserve">PBO projects that the </w:t>
      </w:r>
      <w:r w:rsidR="0068758F">
        <w:t xml:space="preserve">annual cost of the </w:t>
      </w:r>
      <w:r w:rsidRPr="00EE010C">
        <w:t xml:space="preserve">HELP loan </w:t>
      </w:r>
      <w:r>
        <w:t xml:space="preserve">portfolio on an underlying cash balance basis </w:t>
      </w:r>
      <w:r w:rsidR="0068758F">
        <w:t xml:space="preserve">will </w:t>
      </w:r>
      <w:proofErr w:type="gramStart"/>
      <w:r w:rsidR="0068758F">
        <w:t>rise</w:t>
      </w:r>
      <w:proofErr w:type="gramEnd"/>
      <w:r w:rsidR="0068758F">
        <w:t xml:space="preserve"> </w:t>
      </w:r>
      <w:r w:rsidRPr="00EE010C">
        <w:t xml:space="preserve">from </w:t>
      </w:r>
      <w:r w:rsidR="00A9716E">
        <w:t>$1.7</w:t>
      </w:r>
      <w:r w:rsidRPr="00EE010C">
        <w:t xml:space="preserve"> billion in 2015</w:t>
      </w:r>
      <w:r>
        <w:t>–</w:t>
      </w:r>
      <w:r w:rsidRPr="00EE010C">
        <w:t xml:space="preserve">16 to </w:t>
      </w:r>
      <w:r w:rsidR="00A9716E">
        <w:t>$11.1</w:t>
      </w:r>
      <w:r>
        <w:t> b</w:t>
      </w:r>
      <w:r w:rsidRPr="00EE010C">
        <w:t>illion by 2025</w:t>
      </w:r>
      <w:r>
        <w:t>–</w:t>
      </w:r>
      <w:r w:rsidRPr="00EE010C">
        <w:t>26</w:t>
      </w:r>
      <w:r>
        <w:t xml:space="preserve"> (</w:t>
      </w:r>
      <w:r w:rsidR="007407D3">
        <w:fldChar w:fldCharType="begin"/>
      </w:r>
      <w:r w:rsidR="007407D3">
        <w:instrText xml:space="preserve"> REF _Ref445303679 \h </w:instrText>
      </w:r>
      <w:r w:rsidR="007407D3">
        <w:fldChar w:fldCharType="separate"/>
      </w:r>
      <w:r w:rsidR="00CA5C2D" w:rsidRPr="00F51BF0">
        <w:t xml:space="preserve">Figure </w:t>
      </w:r>
      <w:r w:rsidR="00CA5C2D">
        <w:rPr>
          <w:noProof/>
        </w:rPr>
        <w:t>2</w:t>
      </w:r>
      <w:r w:rsidR="00CA5C2D" w:rsidRPr="00F51BF0">
        <w:t>–</w:t>
      </w:r>
      <w:r w:rsidR="00CA5C2D">
        <w:rPr>
          <w:noProof/>
        </w:rPr>
        <w:t>5</w:t>
      </w:r>
      <w:r w:rsidR="007407D3">
        <w:fldChar w:fldCharType="end"/>
      </w:r>
      <w:r>
        <w:t>)</w:t>
      </w:r>
      <w:r w:rsidRPr="00EE010C">
        <w:t>.</w:t>
      </w:r>
    </w:p>
    <w:p w:rsidR="00F51BF0" w:rsidRDefault="00F51BF0" w:rsidP="001F5A18">
      <w:pPr>
        <w:pStyle w:val="Caption"/>
        <w:keepLines/>
      </w:pPr>
      <w:bookmarkStart w:id="85" w:name="_Ref445303679"/>
      <w:r w:rsidRPr="00F51BF0">
        <w:lastRenderedPageBreak/>
        <w:t xml:space="preserve">Figure </w:t>
      </w:r>
      <w:fldSimple w:instr=" STYLEREF 1 \s ">
        <w:r w:rsidR="00CA5C2D">
          <w:rPr>
            <w:noProof/>
          </w:rPr>
          <w:t>2</w:t>
        </w:r>
      </w:fldSimple>
      <w:r w:rsidRPr="00F51BF0">
        <w:t>–</w:t>
      </w:r>
      <w:fldSimple w:instr=" SEQ Figure \* ARABIC \s 1 ">
        <w:r w:rsidR="00CA5C2D">
          <w:rPr>
            <w:noProof/>
          </w:rPr>
          <w:t>5</w:t>
        </w:r>
      </w:fldSimple>
      <w:bookmarkEnd w:id="85"/>
      <w:r w:rsidRPr="00F51BF0">
        <w:t xml:space="preserve">: </w:t>
      </w:r>
      <w:r>
        <w:t>HELP loan portfolio – annual cost on an underlying cash balance basis</w:t>
      </w:r>
    </w:p>
    <w:tbl>
      <w:tblPr>
        <w:tblStyle w:val="TableGrid"/>
        <w:tblW w:w="5000" w:type="pct"/>
        <w:tblLook w:val="0680" w:firstRow="0" w:lastRow="0" w:firstColumn="1" w:lastColumn="0" w:noHBand="1" w:noVBand="1"/>
      </w:tblPr>
      <w:tblGrid>
        <w:gridCol w:w="1381"/>
        <w:gridCol w:w="444"/>
        <w:gridCol w:w="409"/>
        <w:gridCol w:w="409"/>
        <w:gridCol w:w="409"/>
        <w:gridCol w:w="409"/>
        <w:gridCol w:w="409"/>
        <w:gridCol w:w="444"/>
        <w:gridCol w:w="444"/>
        <w:gridCol w:w="444"/>
        <w:gridCol w:w="444"/>
        <w:gridCol w:w="444"/>
        <w:gridCol w:w="444"/>
        <w:gridCol w:w="444"/>
        <w:gridCol w:w="444"/>
        <w:gridCol w:w="447"/>
        <w:gridCol w:w="444"/>
      </w:tblGrid>
      <w:tr w:rsidR="00FB1634" w:rsidRPr="00FB1634" w:rsidTr="00BC0582">
        <w:tc>
          <w:tcPr>
            <w:cnfStyle w:val="001000000000" w:firstRow="0" w:lastRow="0" w:firstColumn="1" w:lastColumn="0" w:oddVBand="0" w:evenVBand="0" w:oddHBand="0" w:evenHBand="0" w:firstRowFirstColumn="0" w:firstRowLastColumn="0" w:lastRowFirstColumn="0" w:lastRowLastColumn="0"/>
            <w:tcW w:w="831" w:type="pct"/>
            <w:noWrap/>
            <w:hideMark/>
          </w:tcPr>
          <w:p w:rsidR="005B0027" w:rsidRPr="00FB1634" w:rsidRDefault="00FB1634" w:rsidP="001F5A18">
            <w:pPr>
              <w:pStyle w:val="TableText"/>
              <w:keepNext/>
              <w:keepLines/>
              <w:spacing w:before="0" w:after="0" w:line="240" w:lineRule="auto"/>
              <w:ind w:left="57" w:right="57"/>
              <w:rPr>
                <w:color w:val="FFFFFF" w:themeColor="background1"/>
                <w:sz w:val="8"/>
                <w:szCs w:val="8"/>
              </w:rPr>
            </w:pPr>
            <w:r>
              <w:rPr>
                <w:noProof/>
              </w:rPr>
              <w:drawing>
                <wp:anchor distT="0" distB="0" distL="114300" distR="114300" simplePos="0" relativeHeight="251665408" behindDoc="0" locked="0" layoutInCell="1" allowOverlap="1" wp14:anchorId="3497B0F0" wp14:editId="3A6BC00E">
                  <wp:simplePos x="0" y="0"/>
                  <wp:positionH relativeFrom="column">
                    <wp:posOffset>1270</wp:posOffset>
                  </wp:positionH>
                  <wp:positionV relativeFrom="paragraph">
                    <wp:posOffset>8255</wp:posOffset>
                  </wp:positionV>
                  <wp:extent cx="5269865" cy="2529205"/>
                  <wp:effectExtent l="0" t="0" r="6985" b="4445"/>
                  <wp:wrapNone/>
                  <wp:docPr id="36" name="Picture 36" descr="Decorative&#10;"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28">
                            <a:extLst>
                              <a:ext uri="{28A0092B-C50C-407E-A947-70E740481C1C}">
                                <a14:useLocalDpi xmlns:a14="http://schemas.microsoft.com/office/drawing/2010/main" val="0"/>
                              </a:ext>
                            </a:extLst>
                          </a:blip>
                          <a:srcRect b="8151"/>
                          <a:stretch/>
                        </pic:blipFill>
                        <pic:spPr bwMode="auto">
                          <a:xfrm>
                            <a:off x="0" y="0"/>
                            <a:ext cx="5269865" cy="25292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67" w:type="pct"/>
            <w:noWrap/>
            <w:hideMark/>
          </w:tcPr>
          <w:p w:rsidR="005B0027" w:rsidRPr="00FB1634" w:rsidRDefault="005B0027" w:rsidP="001F5A18">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FB1634">
              <w:rPr>
                <w:color w:val="FFFFFF" w:themeColor="background1"/>
                <w:sz w:val="8"/>
                <w:szCs w:val="8"/>
              </w:rPr>
              <w:t>2010–11</w:t>
            </w:r>
          </w:p>
        </w:tc>
        <w:tc>
          <w:tcPr>
            <w:tcW w:w="246" w:type="pct"/>
            <w:noWrap/>
            <w:hideMark/>
          </w:tcPr>
          <w:p w:rsidR="005B0027" w:rsidRPr="00FB1634" w:rsidRDefault="005B0027" w:rsidP="001F5A18">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FB1634">
              <w:rPr>
                <w:color w:val="FFFFFF" w:themeColor="background1"/>
                <w:sz w:val="8"/>
                <w:szCs w:val="8"/>
              </w:rPr>
              <w:t>2011–12</w:t>
            </w:r>
          </w:p>
        </w:tc>
        <w:tc>
          <w:tcPr>
            <w:tcW w:w="246" w:type="pct"/>
            <w:noWrap/>
            <w:hideMark/>
          </w:tcPr>
          <w:p w:rsidR="005B0027" w:rsidRPr="00FB1634" w:rsidRDefault="005B0027" w:rsidP="001F5A18">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FB1634">
              <w:rPr>
                <w:color w:val="FFFFFF" w:themeColor="background1"/>
                <w:sz w:val="8"/>
                <w:szCs w:val="8"/>
              </w:rPr>
              <w:t>2012–13</w:t>
            </w:r>
          </w:p>
        </w:tc>
        <w:tc>
          <w:tcPr>
            <w:tcW w:w="246" w:type="pct"/>
            <w:noWrap/>
            <w:hideMark/>
          </w:tcPr>
          <w:p w:rsidR="005B0027" w:rsidRPr="00FB1634" w:rsidRDefault="005B0027" w:rsidP="001F5A18">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FB1634">
              <w:rPr>
                <w:color w:val="FFFFFF" w:themeColor="background1"/>
                <w:sz w:val="8"/>
                <w:szCs w:val="8"/>
              </w:rPr>
              <w:t>2013–14</w:t>
            </w:r>
          </w:p>
        </w:tc>
        <w:tc>
          <w:tcPr>
            <w:tcW w:w="246" w:type="pct"/>
            <w:noWrap/>
            <w:hideMark/>
          </w:tcPr>
          <w:p w:rsidR="005B0027" w:rsidRPr="00FB1634" w:rsidRDefault="005B0027" w:rsidP="001F5A18">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FB1634">
              <w:rPr>
                <w:color w:val="FFFFFF" w:themeColor="background1"/>
                <w:sz w:val="8"/>
                <w:szCs w:val="8"/>
              </w:rPr>
              <w:t>2014–15</w:t>
            </w:r>
          </w:p>
        </w:tc>
        <w:tc>
          <w:tcPr>
            <w:tcW w:w="246" w:type="pct"/>
            <w:noWrap/>
            <w:hideMark/>
          </w:tcPr>
          <w:p w:rsidR="005B0027" w:rsidRPr="00FB1634" w:rsidRDefault="005B0027" w:rsidP="001F5A18">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FB1634">
              <w:rPr>
                <w:color w:val="FFFFFF" w:themeColor="background1"/>
                <w:sz w:val="8"/>
                <w:szCs w:val="8"/>
              </w:rPr>
              <w:t>2015–16</w:t>
            </w:r>
          </w:p>
        </w:tc>
        <w:tc>
          <w:tcPr>
            <w:tcW w:w="267" w:type="pct"/>
            <w:noWrap/>
            <w:hideMark/>
          </w:tcPr>
          <w:p w:rsidR="005B0027" w:rsidRPr="00FB1634" w:rsidRDefault="005B0027" w:rsidP="001F5A18">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FB1634">
              <w:rPr>
                <w:color w:val="FFFFFF" w:themeColor="background1"/>
                <w:sz w:val="8"/>
                <w:szCs w:val="8"/>
              </w:rPr>
              <w:t>2016–17</w:t>
            </w:r>
          </w:p>
        </w:tc>
        <w:tc>
          <w:tcPr>
            <w:tcW w:w="267" w:type="pct"/>
            <w:noWrap/>
            <w:hideMark/>
          </w:tcPr>
          <w:p w:rsidR="005B0027" w:rsidRPr="00FB1634" w:rsidRDefault="005B0027" w:rsidP="001F5A18">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FB1634">
              <w:rPr>
                <w:color w:val="FFFFFF" w:themeColor="background1"/>
                <w:sz w:val="8"/>
                <w:szCs w:val="8"/>
              </w:rPr>
              <w:t>2017–18</w:t>
            </w:r>
          </w:p>
        </w:tc>
        <w:tc>
          <w:tcPr>
            <w:tcW w:w="267" w:type="pct"/>
            <w:noWrap/>
            <w:hideMark/>
          </w:tcPr>
          <w:p w:rsidR="005B0027" w:rsidRPr="00FB1634" w:rsidRDefault="005B0027" w:rsidP="001F5A18">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FB1634">
              <w:rPr>
                <w:color w:val="FFFFFF" w:themeColor="background1"/>
                <w:sz w:val="8"/>
                <w:szCs w:val="8"/>
              </w:rPr>
              <w:t>2018–19</w:t>
            </w:r>
          </w:p>
        </w:tc>
        <w:tc>
          <w:tcPr>
            <w:tcW w:w="267" w:type="pct"/>
            <w:noWrap/>
            <w:hideMark/>
          </w:tcPr>
          <w:p w:rsidR="005B0027" w:rsidRPr="00FB1634" w:rsidRDefault="005B0027" w:rsidP="001F5A18">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FB1634">
              <w:rPr>
                <w:color w:val="FFFFFF" w:themeColor="background1"/>
                <w:sz w:val="8"/>
                <w:szCs w:val="8"/>
              </w:rPr>
              <w:t>2019–20</w:t>
            </w:r>
          </w:p>
        </w:tc>
        <w:tc>
          <w:tcPr>
            <w:tcW w:w="267" w:type="pct"/>
            <w:noWrap/>
            <w:hideMark/>
          </w:tcPr>
          <w:p w:rsidR="005B0027" w:rsidRPr="00FB1634" w:rsidRDefault="005B0027" w:rsidP="001F5A18">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FB1634">
              <w:rPr>
                <w:color w:val="FFFFFF" w:themeColor="background1"/>
                <w:sz w:val="8"/>
                <w:szCs w:val="8"/>
              </w:rPr>
              <w:t>2020–21</w:t>
            </w:r>
          </w:p>
        </w:tc>
        <w:tc>
          <w:tcPr>
            <w:tcW w:w="267" w:type="pct"/>
            <w:noWrap/>
            <w:hideMark/>
          </w:tcPr>
          <w:p w:rsidR="005B0027" w:rsidRPr="00FB1634" w:rsidRDefault="005B0027" w:rsidP="001F5A18">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FB1634">
              <w:rPr>
                <w:color w:val="FFFFFF" w:themeColor="background1"/>
                <w:sz w:val="8"/>
                <w:szCs w:val="8"/>
              </w:rPr>
              <w:t>2021–22</w:t>
            </w:r>
          </w:p>
        </w:tc>
        <w:tc>
          <w:tcPr>
            <w:tcW w:w="267" w:type="pct"/>
            <w:noWrap/>
            <w:hideMark/>
          </w:tcPr>
          <w:p w:rsidR="005B0027" w:rsidRPr="00FB1634" w:rsidRDefault="005B0027" w:rsidP="001F5A18">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FB1634">
              <w:rPr>
                <w:color w:val="FFFFFF" w:themeColor="background1"/>
                <w:sz w:val="8"/>
                <w:szCs w:val="8"/>
              </w:rPr>
              <w:t>2022–23</w:t>
            </w:r>
          </w:p>
        </w:tc>
        <w:tc>
          <w:tcPr>
            <w:tcW w:w="267" w:type="pct"/>
            <w:noWrap/>
            <w:hideMark/>
          </w:tcPr>
          <w:p w:rsidR="005B0027" w:rsidRPr="00FB1634" w:rsidRDefault="005B0027" w:rsidP="001F5A18">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FB1634">
              <w:rPr>
                <w:color w:val="FFFFFF" w:themeColor="background1"/>
                <w:sz w:val="8"/>
                <w:szCs w:val="8"/>
              </w:rPr>
              <w:t>2023–24</w:t>
            </w:r>
          </w:p>
        </w:tc>
        <w:tc>
          <w:tcPr>
            <w:tcW w:w="269" w:type="pct"/>
            <w:noWrap/>
            <w:hideMark/>
          </w:tcPr>
          <w:p w:rsidR="005B0027" w:rsidRPr="00FB1634" w:rsidRDefault="005B0027" w:rsidP="001F5A18">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FB1634">
              <w:rPr>
                <w:color w:val="FFFFFF" w:themeColor="background1"/>
                <w:sz w:val="8"/>
                <w:szCs w:val="8"/>
              </w:rPr>
              <w:t>2024–25</w:t>
            </w:r>
          </w:p>
        </w:tc>
        <w:tc>
          <w:tcPr>
            <w:tcW w:w="269" w:type="pct"/>
            <w:noWrap/>
            <w:hideMark/>
          </w:tcPr>
          <w:p w:rsidR="005B0027" w:rsidRPr="00FB1634" w:rsidRDefault="005B0027" w:rsidP="001F5A18">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FB1634">
              <w:rPr>
                <w:color w:val="FFFFFF" w:themeColor="background1"/>
                <w:sz w:val="8"/>
                <w:szCs w:val="8"/>
              </w:rPr>
              <w:t>2025–26</w:t>
            </w:r>
          </w:p>
        </w:tc>
      </w:tr>
      <w:tr w:rsidR="00FB1634" w:rsidRPr="00FB1634" w:rsidTr="00BC0582">
        <w:tc>
          <w:tcPr>
            <w:cnfStyle w:val="001000000000" w:firstRow="0" w:lastRow="0" w:firstColumn="1" w:lastColumn="0" w:oddVBand="0" w:evenVBand="0" w:oddHBand="0" w:evenHBand="0" w:firstRowFirstColumn="0" w:firstRowLastColumn="0" w:lastRowFirstColumn="0" w:lastRowLastColumn="0"/>
            <w:tcW w:w="831" w:type="pct"/>
            <w:noWrap/>
            <w:hideMark/>
          </w:tcPr>
          <w:p w:rsidR="005B0027" w:rsidRPr="00FB1634" w:rsidRDefault="005B0027" w:rsidP="001F5A18">
            <w:pPr>
              <w:pStyle w:val="TableText"/>
              <w:keepNext/>
              <w:keepLines/>
              <w:spacing w:before="0" w:after="0" w:line="240" w:lineRule="auto"/>
              <w:ind w:left="57" w:right="57"/>
              <w:rPr>
                <w:color w:val="FFFFFF" w:themeColor="background1"/>
                <w:sz w:val="8"/>
                <w:szCs w:val="8"/>
              </w:rPr>
            </w:pPr>
            <w:r w:rsidRPr="00FB1634">
              <w:rPr>
                <w:color w:val="FFFFFF" w:themeColor="background1"/>
                <w:sz w:val="8"/>
                <w:szCs w:val="8"/>
              </w:rPr>
              <w:t>Annual net cash cost</w:t>
            </w:r>
          </w:p>
        </w:tc>
        <w:tc>
          <w:tcPr>
            <w:tcW w:w="267" w:type="pct"/>
            <w:noWrap/>
            <w:hideMark/>
          </w:tcPr>
          <w:p w:rsidR="005B0027" w:rsidRPr="00FB1634" w:rsidRDefault="005B0027" w:rsidP="001F5A18">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FB1634">
              <w:rPr>
                <w:color w:val="FFFFFF" w:themeColor="background1"/>
                <w:sz w:val="8"/>
                <w:szCs w:val="8"/>
              </w:rPr>
              <w:t>1.133</w:t>
            </w:r>
          </w:p>
        </w:tc>
        <w:tc>
          <w:tcPr>
            <w:tcW w:w="246" w:type="pct"/>
            <w:noWrap/>
            <w:hideMark/>
          </w:tcPr>
          <w:p w:rsidR="005B0027" w:rsidRPr="00FB1634" w:rsidRDefault="005B0027" w:rsidP="001F5A18">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FB1634">
              <w:rPr>
                <w:color w:val="FFFFFF" w:themeColor="background1"/>
                <w:sz w:val="8"/>
                <w:szCs w:val="8"/>
              </w:rPr>
              <w:t>0.591</w:t>
            </w:r>
          </w:p>
        </w:tc>
        <w:tc>
          <w:tcPr>
            <w:tcW w:w="246" w:type="pct"/>
            <w:noWrap/>
            <w:hideMark/>
          </w:tcPr>
          <w:p w:rsidR="005B0027" w:rsidRPr="00FB1634" w:rsidRDefault="005B0027" w:rsidP="001F5A18">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FB1634">
              <w:rPr>
                <w:color w:val="FFFFFF" w:themeColor="background1"/>
                <w:sz w:val="8"/>
                <w:szCs w:val="8"/>
              </w:rPr>
              <w:t>0.908</w:t>
            </w:r>
          </w:p>
        </w:tc>
        <w:tc>
          <w:tcPr>
            <w:tcW w:w="246" w:type="pct"/>
            <w:noWrap/>
            <w:hideMark/>
          </w:tcPr>
          <w:p w:rsidR="005B0027" w:rsidRPr="00FB1634" w:rsidRDefault="005B0027" w:rsidP="001F5A18">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FB1634">
              <w:rPr>
                <w:color w:val="FFFFFF" w:themeColor="background1"/>
                <w:sz w:val="8"/>
                <w:szCs w:val="8"/>
              </w:rPr>
              <w:t>1.063</w:t>
            </w:r>
          </w:p>
        </w:tc>
        <w:tc>
          <w:tcPr>
            <w:tcW w:w="246" w:type="pct"/>
            <w:noWrap/>
            <w:hideMark/>
          </w:tcPr>
          <w:p w:rsidR="005B0027" w:rsidRPr="00FB1634" w:rsidRDefault="005B0027" w:rsidP="001F5A18">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FB1634">
              <w:rPr>
                <w:color w:val="FFFFFF" w:themeColor="background1"/>
                <w:sz w:val="8"/>
                <w:szCs w:val="8"/>
              </w:rPr>
              <w:t>0.865</w:t>
            </w:r>
          </w:p>
        </w:tc>
        <w:tc>
          <w:tcPr>
            <w:tcW w:w="246" w:type="pct"/>
            <w:noWrap/>
            <w:hideMark/>
          </w:tcPr>
          <w:p w:rsidR="005B0027" w:rsidRPr="00FB1634" w:rsidRDefault="005B0027" w:rsidP="001F5A18">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FB1634">
              <w:rPr>
                <w:color w:val="FFFFFF" w:themeColor="background1"/>
                <w:sz w:val="8"/>
                <w:szCs w:val="8"/>
              </w:rPr>
              <w:t>1.717</w:t>
            </w:r>
          </w:p>
        </w:tc>
        <w:tc>
          <w:tcPr>
            <w:tcW w:w="267" w:type="pct"/>
            <w:noWrap/>
            <w:hideMark/>
          </w:tcPr>
          <w:p w:rsidR="005B0027" w:rsidRPr="00FB1634" w:rsidRDefault="005B0027" w:rsidP="001F5A18">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FB1634">
              <w:rPr>
                <w:color w:val="FFFFFF" w:themeColor="background1"/>
                <w:sz w:val="8"/>
                <w:szCs w:val="8"/>
              </w:rPr>
              <w:t>2.092</w:t>
            </w:r>
          </w:p>
        </w:tc>
        <w:tc>
          <w:tcPr>
            <w:tcW w:w="267" w:type="pct"/>
            <w:noWrap/>
            <w:hideMark/>
          </w:tcPr>
          <w:p w:rsidR="005B0027" w:rsidRPr="00FB1634" w:rsidRDefault="005B0027" w:rsidP="001F5A18">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FB1634">
              <w:rPr>
                <w:color w:val="FFFFFF" w:themeColor="background1"/>
                <w:sz w:val="8"/>
                <w:szCs w:val="8"/>
              </w:rPr>
              <w:t>2.519</w:t>
            </w:r>
          </w:p>
        </w:tc>
        <w:tc>
          <w:tcPr>
            <w:tcW w:w="267" w:type="pct"/>
            <w:noWrap/>
            <w:hideMark/>
          </w:tcPr>
          <w:p w:rsidR="005B0027" w:rsidRPr="00FB1634" w:rsidRDefault="005B0027" w:rsidP="001F5A18">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FB1634">
              <w:rPr>
                <w:color w:val="FFFFFF" w:themeColor="background1"/>
                <w:sz w:val="8"/>
                <w:szCs w:val="8"/>
              </w:rPr>
              <w:t>3.427</w:t>
            </w:r>
          </w:p>
        </w:tc>
        <w:tc>
          <w:tcPr>
            <w:tcW w:w="267" w:type="pct"/>
            <w:noWrap/>
            <w:hideMark/>
          </w:tcPr>
          <w:p w:rsidR="005B0027" w:rsidRPr="00FB1634" w:rsidRDefault="005B0027" w:rsidP="001F5A18">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FB1634">
              <w:rPr>
                <w:color w:val="FFFFFF" w:themeColor="background1"/>
                <w:sz w:val="8"/>
                <w:szCs w:val="8"/>
              </w:rPr>
              <w:t>4.414</w:t>
            </w:r>
          </w:p>
        </w:tc>
        <w:tc>
          <w:tcPr>
            <w:tcW w:w="267" w:type="pct"/>
            <w:noWrap/>
            <w:hideMark/>
          </w:tcPr>
          <w:p w:rsidR="005B0027" w:rsidRPr="00FB1634" w:rsidRDefault="005B0027" w:rsidP="001F5A18">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FB1634">
              <w:rPr>
                <w:color w:val="FFFFFF" w:themeColor="background1"/>
                <w:sz w:val="8"/>
                <w:szCs w:val="8"/>
              </w:rPr>
              <w:t>5.432</w:t>
            </w:r>
          </w:p>
        </w:tc>
        <w:tc>
          <w:tcPr>
            <w:tcW w:w="267" w:type="pct"/>
            <w:noWrap/>
            <w:hideMark/>
          </w:tcPr>
          <w:p w:rsidR="005B0027" w:rsidRPr="00FB1634" w:rsidRDefault="005B0027" w:rsidP="001F5A18">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FB1634">
              <w:rPr>
                <w:color w:val="FFFFFF" w:themeColor="background1"/>
                <w:sz w:val="8"/>
                <w:szCs w:val="8"/>
              </w:rPr>
              <w:t>6.537</w:t>
            </w:r>
          </w:p>
        </w:tc>
        <w:tc>
          <w:tcPr>
            <w:tcW w:w="267" w:type="pct"/>
            <w:noWrap/>
            <w:hideMark/>
          </w:tcPr>
          <w:p w:rsidR="005B0027" w:rsidRPr="00FB1634" w:rsidRDefault="005B0027" w:rsidP="001F5A18">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FB1634">
              <w:rPr>
                <w:color w:val="FFFFFF" w:themeColor="background1"/>
                <w:sz w:val="8"/>
                <w:szCs w:val="8"/>
              </w:rPr>
              <w:t>7.664</w:t>
            </w:r>
          </w:p>
        </w:tc>
        <w:tc>
          <w:tcPr>
            <w:tcW w:w="267" w:type="pct"/>
            <w:noWrap/>
            <w:hideMark/>
          </w:tcPr>
          <w:p w:rsidR="005B0027" w:rsidRPr="00FB1634" w:rsidRDefault="005B0027" w:rsidP="001F5A18">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FB1634">
              <w:rPr>
                <w:color w:val="FFFFFF" w:themeColor="background1"/>
                <w:sz w:val="8"/>
                <w:szCs w:val="8"/>
              </w:rPr>
              <w:t>8.847</w:t>
            </w:r>
          </w:p>
        </w:tc>
        <w:tc>
          <w:tcPr>
            <w:tcW w:w="269" w:type="pct"/>
            <w:noWrap/>
            <w:hideMark/>
          </w:tcPr>
          <w:p w:rsidR="005B0027" w:rsidRPr="00FB1634" w:rsidRDefault="005B0027" w:rsidP="001F5A18">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FB1634">
              <w:rPr>
                <w:color w:val="FFFFFF" w:themeColor="background1"/>
                <w:sz w:val="8"/>
                <w:szCs w:val="8"/>
              </w:rPr>
              <w:t>10.015</w:t>
            </w:r>
          </w:p>
        </w:tc>
        <w:tc>
          <w:tcPr>
            <w:tcW w:w="269" w:type="pct"/>
            <w:noWrap/>
            <w:hideMark/>
          </w:tcPr>
          <w:p w:rsidR="005B0027" w:rsidRPr="00FB1634" w:rsidRDefault="005B0027" w:rsidP="001F5A18">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FB1634">
              <w:rPr>
                <w:color w:val="FFFFFF" w:themeColor="background1"/>
                <w:sz w:val="8"/>
                <w:szCs w:val="8"/>
              </w:rPr>
              <w:t>11.095</w:t>
            </w:r>
          </w:p>
        </w:tc>
      </w:tr>
    </w:tbl>
    <w:p w:rsidR="00F51BF0" w:rsidRDefault="00F51BF0" w:rsidP="001F5A18">
      <w:pPr>
        <w:pStyle w:val="Source"/>
        <w:keepNext/>
        <w:keepLines/>
        <w:spacing w:before="3840"/>
      </w:pPr>
      <w:r>
        <w:t xml:space="preserve">Source: </w:t>
      </w:r>
      <w:r w:rsidR="0090440F" w:rsidRPr="0090440F">
        <w:t>PBO analysis of Department of Education and Training data</w:t>
      </w:r>
      <w:r>
        <w:t>.</w:t>
      </w:r>
    </w:p>
    <w:p w:rsidR="00F51BF0" w:rsidRDefault="00F51BF0" w:rsidP="00450C29">
      <w:pPr>
        <w:pStyle w:val="BodyText17ptAbove"/>
      </w:pPr>
      <w:r w:rsidRPr="0032561F">
        <w:t>Relative to the presentation of costs in</w:t>
      </w:r>
      <w:r w:rsidR="002618BA">
        <w:t xml:space="preserve"> </w:t>
      </w:r>
      <w:r w:rsidR="00100588">
        <w:fldChar w:fldCharType="begin"/>
      </w:r>
      <w:r w:rsidR="00100588">
        <w:instrText xml:space="preserve"> REF _Ref445304853 \h </w:instrText>
      </w:r>
      <w:r w:rsidR="00100588">
        <w:fldChar w:fldCharType="separate"/>
      </w:r>
      <w:r w:rsidR="00CA5C2D" w:rsidRPr="00590815">
        <w:t xml:space="preserve">Figure </w:t>
      </w:r>
      <w:r w:rsidR="00CA5C2D">
        <w:rPr>
          <w:noProof/>
        </w:rPr>
        <w:t>2</w:t>
      </w:r>
      <w:r w:rsidR="00CA5C2D" w:rsidRPr="00590815">
        <w:t>–</w:t>
      </w:r>
      <w:r w:rsidR="00CA5C2D">
        <w:rPr>
          <w:noProof/>
        </w:rPr>
        <w:t>2</w:t>
      </w:r>
      <w:r w:rsidR="00100588">
        <w:fldChar w:fldCharType="end"/>
      </w:r>
      <w:r w:rsidRPr="0032561F">
        <w:t xml:space="preserve">, which showed the expected </w:t>
      </w:r>
      <w:r w:rsidRPr="00CE7FD8">
        <w:rPr>
          <w:u w:val="single"/>
        </w:rPr>
        <w:t>lifetime</w:t>
      </w:r>
      <w:r w:rsidRPr="0032561F">
        <w:t xml:space="preserve"> costs of new loans issued in a given year, the PBO’s estimates of the impact of HELP on the underlying cash balance identifies the </w:t>
      </w:r>
      <w:r w:rsidRPr="0032561F">
        <w:rPr>
          <w:u w:val="single"/>
        </w:rPr>
        <w:t>annual</w:t>
      </w:r>
      <w:r w:rsidRPr="0032561F">
        <w:t xml:space="preserve"> costs of the</w:t>
      </w:r>
      <w:r w:rsidR="00F02F15">
        <w:t xml:space="preserve"> entire</w:t>
      </w:r>
      <w:r w:rsidRPr="0032561F">
        <w:t xml:space="preserve"> HELP loan portfolio</w:t>
      </w:r>
      <w:r w:rsidR="00630441">
        <w:t>.</w:t>
      </w:r>
    </w:p>
    <w:tbl>
      <w:tblPr>
        <w:tblStyle w:val="PullOutBoxTable"/>
        <w:tblW w:w="5000" w:type="pct"/>
        <w:tblLook w:val="0600" w:firstRow="0" w:lastRow="0" w:firstColumn="0" w:lastColumn="0" w:noHBand="1" w:noVBand="1"/>
      </w:tblPr>
      <w:tblGrid>
        <w:gridCol w:w="8323"/>
      </w:tblGrid>
      <w:tr w:rsidR="007407D3" w:rsidTr="007407D3">
        <w:tc>
          <w:tcPr>
            <w:tcW w:w="5000" w:type="pct"/>
          </w:tcPr>
          <w:p w:rsidR="007407D3" w:rsidRDefault="00A93D52" w:rsidP="00A93D52">
            <w:pPr>
              <w:pStyle w:val="Heading4"/>
              <w:ind w:left="227"/>
              <w:outlineLvl w:val="3"/>
            </w:pPr>
            <w:r>
              <w:lastRenderedPageBreak/>
              <w:t>Sensitivity of underlying cash balance impact to student fee assumptions</w:t>
            </w:r>
          </w:p>
          <w:p w:rsidR="00642440" w:rsidRDefault="00642440" w:rsidP="00A93D52">
            <w:pPr>
              <w:pStyle w:val="PullOutBoxBodyText"/>
            </w:pPr>
            <w:r>
              <w:t>There is significant uncertainty in relation to the course fees that will be set by universities under the deregulated approach announced by the Government.</w:t>
            </w:r>
          </w:p>
          <w:p w:rsidR="00A93D52" w:rsidRDefault="00642440" w:rsidP="00642440">
            <w:pPr>
              <w:pStyle w:val="PullOutBoxBodyText"/>
            </w:pPr>
            <w:r>
              <w:t xml:space="preserve">PBO projections assume that universities will increase their course fees to recover cuts in subsidies under the </w:t>
            </w:r>
            <w:r w:rsidR="00772249">
              <w:t>Commonwealth Grant Scheme</w:t>
            </w:r>
            <w:r>
              <w:t xml:space="preserve">.  In addition, the PBO has made an indicative assumption that </w:t>
            </w:r>
            <w:r w:rsidR="00A93D52">
              <w:t>universities will increase their students’ fees by 2</w:t>
            </w:r>
            <w:r w:rsidR="00100588">
              <w:t> </w:t>
            </w:r>
            <w:r w:rsidR="00A93D52">
              <w:t>per</w:t>
            </w:r>
            <w:r w:rsidR="00100588">
              <w:t> </w:t>
            </w:r>
            <w:r w:rsidR="00A93D52">
              <w:t xml:space="preserve">cent </w:t>
            </w:r>
            <w:r w:rsidR="0068758F">
              <w:t xml:space="preserve">in real terms </w:t>
            </w:r>
            <w:r w:rsidR="00A93D52">
              <w:t xml:space="preserve">each year from 2018, over and above recouping cuts in the </w:t>
            </w:r>
            <w:r w:rsidR="00772249">
              <w:t>Commonwealth Grant Scheme</w:t>
            </w:r>
            <w:r w:rsidR="00A93D52">
              <w:t>.</w:t>
            </w:r>
          </w:p>
          <w:p w:rsidR="007407D3" w:rsidRDefault="00A93D52" w:rsidP="00A93D52">
            <w:pPr>
              <w:pStyle w:val="PullOutBoxBodyText"/>
            </w:pPr>
            <w:r>
              <w:t>The impact on the underlying cash balance of two alternative student fee scenarios are included to analyse the sensitivity of this assump</w:t>
            </w:r>
            <w:bookmarkStart w:id="86" w:name="_GoBack"/>
            <w:bookmarkEnd w:id="86"/>
            <w:r>
              <w:t>tion:</w:t>
            </w:r>
          </w:p>
          <w:p w:rsidR="00A93D52" w:rsidRPr="00A93D52" w:rsidRDefault="00A93D52" w:rsidP="00A93D52">
            <w:pPr>
              <w:pStyle w:val="PullOutBoxNumber"/>
            </w:pPr>
            <w:r w:rsidRPr="00A93D52">
              <w:t xml:space="preserve">Universities only increase their fees to recoup cuts in the </w:t>
            </w:r>
            <w:r w:rsidR="00772249">
              <w:t>Commonwealth Grant Scheme</w:t>
            </w:r>
            <w:r>
              <w:t>,</w:t>
            </w:r>
            <w:r w:rsidRPr="00A93D52">
              <w:t xml:space="preserve"> and</w:t>
            </w:r>
          </w:p>
          <w:p w:rsidR="00A93D52" w:rsidRPr="00A93D52" w:rsidRDefault="00A93D52" w:rsidP="00A93D52">
            <w:pPr>
              <w:pStyle w:val="PullOutBoxNumber"/>
            </w:pPr>
            <w:r w:rsidRPr="00A93D52">
              <w:t>Universities increase their students</w:t>
            </w:r>
            <w:r>
              <w:t>’</w:t>
            </w:r>
            <w:r w:rsidRPr="00A93D52">
              <w:t xml:space="preserve"> fees by 4 per cent each year from 2018, over and above recouping cuts in the </w:t>
            </w:r>
            <w:r w:rsidR="00772249">
              <w:t>Commonwealth Grant Scheme</w:t>
            </w:r>
            <w:r w:rsidRPr="00A93D52">
              <w:t>.</w:t>
            </w:r>
          </w:p>
          <w:p w:rsidR="00917BA4" w:rsidRDefault="00917BA4" w:rsidP="00A93D52">
            <w:pPr>
              <w:pStyle w:val="PullOutBoxBodyText"/>
            </w:pPr>
            <w:r>
              <w:t xml:space="preserve">The impact of the scenarios on the </w:t>
            </w:r>
            <w:r w:rsidR="0031206C">
              <w:t>underlying</w:t>
            </w:r>
            <w:r>
              <w:t xml:space="preserve"> cash </w:t>
            </w:r>
            <w:r w:rsidR="0031206C">
              <w:t>balance</w:t>
            </w:r>
            <w:r>
              <w:t xml:space="preserve"> in 2025</w:t>
            </w:r>
            <w:r w:rsidR="00100588">
              <w:t>–</w:t>
            </w:r>
            <w:r>
              <w:t xml:space="preserve">26 is shown in the </w:t>
            </w:r>
            <w:r w:rsidR="0031206C">
              <w:t>following</w:t>
            </w:r>
            <w:r>
              <w:t xml:space="preserve"> </w:t>
            </w:r>
            <w:r w:rsidR="0031206C">
              <w:t>table</w:t>
            </w:r>
            <w:r>
              <w:t>.</w:t>
            </w:r>
          </w:p>
          <w:tbl>
            <w:tblPr>
              <w:tblStyle w:val="TableGrid"/>
              <w:tblW w:w="3567" w:type="pct"/>
              <w:tblInd w:w="284" w:type="dxa"/>
              <w:tblBorders>
                <w:top w:val="single" w:sz="4" w:space="0" w:color="auto"/>
                <w:left w:val="single" w:sz="4" w:space="0" w:color="auto"/>
                <w:bottom w:val="single" w:sz="4" w:space="0" w:color="auto"/>
                <w:right w:val="single" w:sz="4" w:space="0" w:color="auto"/>
              </w:tblBorders>
              <w:tblLook w:val="06A0" w:firstRow="1" w:lastRow="0" w:firstColumn="1" w:lastColumn="0" w:noHBand="1" w:noVBand="1"/>
            </w:tblPr>
            <w:tblGrid>
              <w:gridCol w:w="2961"/>
              <w:gridCol w:w="2962"/>
            </w:tblGrid>
            <w:tr w:rsidR="00A574EA" w:rsidRPr="00A574EA" w:rsidTr="003B4CFC">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2500" w:type="pct"/>
                  <w:tcBorders>
                    <w:top w:val="none" w:sz="0" w:space="0" w:color="auto"/>
                    <w:left w:val="none" w:sz="0" w:space="0" w:color="auto"/>
                    <w:bottom w:val="single" w:sz="4" w:space="0" w:color="auto"/>
                    <w:right w:val="none" w:sz="0" w:space="0" w:color="auto"/>
                    <w:tl2br w:val="none" w:sz="0" w:space="0" w:color="auto"/>
                    <w:tr2bl w:val="none" w:sz="0" w:space="0" w:color="auto"/>
                  </w:tcBorders>
                </w:tcPr>
                <w:p w:rsidR="00A574EA" w:rsidRPr="00A574EA" w:rsidRDefault="00A574EA" w:rsidP="00A574EA">
                  <w:pPr>
                    <w:pStyle w:val="TableHeading"/>
                    <w:rPr>
                      <w:sz w:val="18"/>
                      <w:szCs w:val="18"/>
                    </w:rPr>
                  </w:pPr>
                  <w:r w:rsidRPr="00A574EA">
                    <w:rPr>
                      <w:sz w:val="18"/>
                      <w:szCs w:val="18"/>
                    </w:rPr>
                    <w:t>Real annual increase in student fees (above recouping cuts in subsidy)</w:t>
                  </w:r>
                </w:p>
              </w:tc>
              <w:tc>
                <w:tcPr>
                  <w:tcW w:w="2500" w:type="pct"/>
                  <w:tcBorders>
                    <w:top w:val="none" w:sz="0" w:space="0" w:color="auto"/>
                    <w:left w:val="none" w:sz="0" w:space="0" w:color="auto"/>
                    <w:bottom w:val="single" w:sz="4" w:space="0" w:color="auto"/>
                    <w:right w:val="none" w:sz="0" w:space="0" w:color="auto"/>
                    <w:tl2br w:val="none" w:sz="0" w:space="0" w:color="auto"/>
                    <w:tr2bl w:val="none" w:sz="0" w:space="0" w:color="auto"/>
                  </w:tcBorders>
                </w:tcPr>
                <w:p w:rsidR="00A574EA" w:rsidRPr="00A574EA" w:rsidRDefault="00A574EA" w:rsidP="000E3824">
                  <w:pPr>
                    <w:pStyle w:val="TableHeadingCentred"/>
                    <w:jc w:val="left"/>
                    <w:cnfStyle w:val="100000000000" w:firstRow="1" w:lastRow="0" w:firstColumn="0" w:lastColumn="0" w:oddVBand="0" w:evenVBand="0" w:oddHBand="0" w:evenHBand="0" w:firstRowFirstColumn="0" w:firstRowLastColumn="0" w:lastRowFirstColumn="0" w:lastRowLastColumn="0"/>
                    <w:rPr>
                      <w:sz w:val="18"/>
                      <w:szCs w:val="18"/>
                    </w:rPr>
                  </w:pPr>
                  <w:r w:rsidRPr="00A574EA">
                    <w:rPr>
                      <w:sz w:val="18"/>
                      <w:szCs w:val="18"/>
                    </w:rPr>
                    <w:t>Total underlying cash balance cost of HELP in 20</w:t>
                  </w:r>
                  <w:r w:rsidR="000E3824">
                    <w:rPr>
                      <w:sz w:val="18"/>
                      <w:szCs w:val="18"/>
                    </w:rPr>
                    <w:t>25–26</w:t>
                  </w:r>
                </w:p>
              </w:tc>
            </w:tr>
            <w:tr w:rsidR="00A574EA" w:rsidRPr="00A574EA" w:rsidTr="003B4CFC">
              <w:trPr>
                <w:cantSplit/>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bottom w:val="single" w:sz="4" w:space="0" w:color="auto"/>
                    <w:right w:val="single" w:sz="4" w:space="0" w:color="auto"/>
                  </w:tcBorders>
                  <w:shd w:val="clear" w:color="auto" w:fill="FFFFFF" w:themeFill="background1"/>
                </w:tcPr>
                <w:p w:rsidR="00A574EA" w:rsidRPr="00A574EA" w:rsidRDefault="00A574EA" w:rsidP="00A574EA">
                  <w:pPr>
                    <w:pStyle w:val="TableText"/>
                    <w:rPr>
                      <w:sz w:val="18"/>
                      <w:szCs w:val="18"/>
                    </w:rPr>
                  </w:pPr>
                  <w:r>
                    <w:rPr>
                      <w:sz w:val="18"/>
                      <w:szCs w:val="18"/>
                    </w:rPr>
                    <w:t>0 per cent</w:t>
                  </w:r>
                </w:p>
              </w:tc>
              <w:tc>
                <w:tcPr>
                  <w:tcW w:w="2500" w:type="pct"/>
                  <w:tcBorders>
                    <w:top w:val="single" w:sz="4" w:space="0" w:color="auto"/>
                    <w:left w:val="single" w:sz="4" w:space="0" w:color="auto"/>
                    <w:bottom w:val="single" w:sz="4" w:space="0" w:color="auto"/>
                  </w:tcBorders>
                  <w:shd w:val="clear" w:color="auto" w:fill="FFFFFF" w:themeFill="background1"/>
                </w:tcPr>
                <w:p w:rsidR="00A574EA" w:rsidRPr="00A574EA" w:rsidRDefault="00A574EA" w:rsidP="00F02F15">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A574EA">
                    <w:rPr>
                      <w:sz w:val="18"/>
                      <w:szCs w:val="18"/>
                    </w:rPr>
                    <w:t>$10.</w:t>
                  </w:r>
                  <w:r w:rsidR="00F02F15">
                    <w:rPr>
                      <w:sz w:val="18"/>
                      <w:szCs w:val="18"/>
                    </w:rPr>
                    <w:t>7</w:t>
                  </w:r>
                  <w:r w:rsidRPr="00A574EA">
                    <w:rPr>
                      <w:sz w:val="18"/>
                      <w:szCs w:val="18"/>
                    </w:rPr>
                    <w:t xml:space="preserve"> billion</w:t>
                  </w:r>
                </w:p>
              </w:tc>
            </w:tr>
            <w:tr w:rsidR="00A574EA" w:rsidRPr="00A574EA" w:rsidTr="003B4CFC">
              <w:trPr>
                <w:cantSplit/>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bottom w:val="single" w:sz="4" w:space="0" w:color="auto"/>
                    <w:right w:val="single" w:sz="4" w:space="0" w:color="auto"/>
                  </w:tcBorders>
                  <w:shd w:val="clear" w:color="auto" w:fill="FFFFFF" w:themeFill="background1"/>
                </w:tcPr>
                <w:p w:rsidR="00A574EA" w:rsidRPr="00A574EA" w:rsidRDefault="00A574EA" w:rsidP="00A574EA">
                  <w:pPr>
                    <w:pStyle w:val="TableText"/>
                    <w:rPr>
                      <w:sz w:val="18"/>
                      <w:szCs w:val="18"/>
                    </w:rPr>
                  </w:pPr>
                  <w:r>
                    <w:rPr>
                      <w:sz w:val="18"/>
                      <w:szCs w:val="18"/>
                    </w:rPr>
                    <w:t>2 per cent</w:t>
                  </w:r>
                </w:p>
              </w:tc>
              <w:tc>
                <w:tcPr>
                  <w:tcW w:w="2500" w:type="pct"/>
                  <w:tcBorders>
                    <w:top w:val="single" w:sz="4" w:space="0" w:color="auto"/>
                    <w:left w:val="single" w:sz="4" w:space="0" w:color="auto"/>
                    <w:bottom w:val="single" w:sz="4" w:space="0" w:color="auto"/>
                  </w:tcBorders>
                  <w:shd w:val="clear" w:color="auto" w:fill="FFFFFF" w:themeFill="background1"/>
                </w:tcPr>
                <w:p w:rsidR="00A574EA" w:rsidRPr="00A574EA" w:rsidRDefault="00A574EA" w:rsidP="00A574EA">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A574EA">
                    <w:rPr>
                      <w:sz w:val="18"/>
                      <w:szCs w:val="18"/>
                    </w:rPr>
                    <w:t>$11.1 billion</w:t>
                  </w:r>
                </w:p>
              </w:tc>
            </w:tr>
            <w:tr w:rsidR="00A574EA" w:rsidRPr="00A574EA" w:rsidTr="003B4CFC">
              <w:trPr>
                <w:cantSplit/>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bottom w:val="single" w:sz="4" w:space="0" w:color="auto"/>
                    <w:right w:val="single" w:sz="4" w:space="0" w:color="auto"/>
                  </w:tcBorders>
                  <w:shd w:val="clear" w:color="auto" w:fill="FFFFFF" w:themeFill="background1"/>
                </w:tcPr>
                <w:p w:rsidR="00A574EA" w:rsidRPr="00A574EA" w:rsidRDefault="00A574EA" w:rsidP="00A574EA">
                  <w:pPr>
                    <w:pStyle w:val="TableText"/>
                    <w:rPr>
                      <w:sz w:val="18"/>
                      <w:szCs w:val="18"/>
                    </w:rPr>
                  </w:pPr>
                  <w:r>
                    <w:rPr>
                      <w:sz w:val="18"/>
                      <w:szCs w:val="18"/>
                    </w:rPr>
                    <w:t>4 per cent</w:t>
                  </w:r>
                </w:p>
              </w:tc>
              <w:tc>
                <w:tcPr>
                  <w:tcW w:w="2500" w:type="pct"/>
                  <w:tcBorders>
                    <w:top w:val="single" w:sz="4" w:space="0" w:color="auto"/>
                    <w:left w:val="single" w:sz="4" w:space="0" w:color="auto"/>
                  </w:tcBorders>
                  <w:shd w:val="clear" w:color="auto" w:fill="FFFFFF" w:themeFill="background1"/>
                </w:tcPr>
                <w:p w:rsidR="00A574EA" w:rsidRPr="00A574EA" w:rsidRDefault="00A574EA" w:rsidP="00F02F15">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A574EA">
                    <w:rPr>
                      <w:sz w:val="18"/>
                      <w:szCs w:val="18"/>
                    </w:rPr>
                    <w:t>$11.</w:t>
                  </w:r>
                  <w:r w:rsidR="00F02F15">
                    <w:rPr>
                      <w:sz w:val="18"/>
                      <w:szCs w:val="18"/>
                    </w:rPr>
                    <w:t>5</w:t>
                  </w:r>
                  <w:r w:rsidRPr="00A574EA">
                    <w:rPr>
                      <w:sz w:val="18"/>
                      <w:szCs w:val="18"/>
                    </w:rPr>
                    <w:t xml:space="preserve"> billion</w:t>
                  </w:r>
                </w:p>
              </w:tc>
            </w:tr>
          </w:tbl>
          <w:p w:rsidR="0082199A" w:rsidRDefault="00A93D52" w:rsidP="00F02F15">
            <w:pPr>
              <w:pStyle w:val="PullOutBoxBodyText"/>
            </w:pPr>
            <w:r>
              <w:t>This suggests that, over the medium term, the underlying cash balance impact of HELP is not highly sensitive to moderate increases</w:t>
            </w:r>
            <w:r w:rsidR="0068758F">
              <w:t xml:space="preserve"> in</w:t>
            </w:r>
            <w:r>
              <w:t xml:space="preserve"> student fees over and above recouping cuts in the </w:t>
            </w:r>
            <w:r w:rsidR="00772249">
              <w:t>Commonwealth Grant Scheme</w:t>
            </w:r>
            <w:r>
              <w:t xml:space="preserve">.  Instead, the main driver of the cost of HELP </w:t>
            </w:r>
            <w:r w:rsidR="00F02F15">
              <w:t>is</w:t>
            </w:r>
            <w:r w:rsidR="00416504">
              <w:t xml:space="preserve"> </w:t>
            </w:r>
            <w:r>
              <w:t xml:space="preserve">the assumption that universities will pass through cuts in subsidies under the </w:t>
            </w:r>
            <w:r w:rsidR="00772249">
              <w:t>Commonwealth Grant Scheme</w:t>
            </w:r>
            <w:r>
              <w:t xml:space="preserve"> to students.</w:t>
            </w:r>
          </w:p>
        </w:tc>
      </w:tr>
    </w:tbl>
    <w:p w:rsidR="00C85433" w:rsidRDefault="00C85433" w:rsidP="00CE7FD8">
      <w:pPr>
        <w:pStyle w:val="Heading2"/>
      </w:pPr>
      <w:bookmarkStart w:id="87" w:name="ReturnHere"/>
      <w:bookmarkStart w:id="88" w:name="_Toc445901369"/>
      <w:bookmarkStart w:id="89" w:name="_Toc447617968"/>
      <w:bookmarkStart w:id="90" w:name="_Toc447617998"/>
      <w:bookmarkEnd w:id="87"/>
      <w:r>
        <w:t>Impact of HELP on net debt</w:t>
      </w:r>
      <w:bookmarkEnd w:id="88"/>
      <w:bookmarkEnd w:id="89"/>
      <w:bookmarkEnd w:id="90"/>
    </w:p>
    <w:p w:rsidR="00870B03" w:rsidRDefault="006C49D9" w:rsidP="00F51BF0">
      <w:pPr>
        <w:pStyle w:val="BodyText"/>
      </w:pPr>
      <w:r>
        <w:t>The HELP loan portfolio</w:t>
      </w:r>
      <w:r w:rsidR="00276CCF">
        <w:t>,</w:t>
      </w:r>
      <w:r>
        <w:t xml:space="preserve"> and the </w:t>
      </w:r>
      <w:r w:rsidR="004052C0">
        <w:t xml:space="preserve">Commonwealth Government Securities </w:t>
      </w:r>
      <w:r>
        <w:t>used to finance the portfolio</w:t>
      </w:r>
      <w:r w:rsidR="00276CCF">
        <w:t>,</w:t>
      </w:r>
      <w:r>
        <w:t xml:space="preserve"> both form part of the net debt of the Australian Government.  </w:t>
      </w:r>
      <w:r w:rsidR="00276CCF">
        <w:t xml:space="preserve">The issuing of HELP loans creates both an asset for the Government (the loan owed to the Government) and a liability (the </w:t>
      </w:r>
      <w:r w:rsidR="004052C0">
        <w:t xml:space="preserve">Commonwealth Government Securities </w:t>
      </w:r>
      <w:r w:rsidR="00D25E7A">
        <w:t xml:space="preserve">issued </w:t>
      </w:r>
      <w:r w:rsidR="00C44AE6">
        <w:t>to finance the loan).</w:t>
      </w:r>
    </w:p>
    <w:p w:rsidR="00150117" w:rsidRDefault="00630441" w:rsidP="00F51BF0">
      <w:pPr>
        <w:pStyle w:val="BodyText"/>
      </w:pPr>
      <w:r>
        <w:t>N</w:t>
      </w:r>
      <w:r w:rsidR="00150117">
        <w:t xml:space="preserve">ew </w:t>
      </w:r>
      <w:r w:rsidR="005B5EC1">
        <w:t xml:space="preserve">HELP </w:t>
      </w:r>
      <w:r w:rsidR="00150117">
        <w:t>loans will increase the Government’s net debt</w:t>
      </w:r>
      <w:r w:rsidR="00276CCF">
        <w:t xml:space="preserve"> by the difference between the</w:t>
      </w:r>
      <w:r w:rsidR="005B5EC1">
        <w:t>ir</w:t>
      </w:r>
      <w:r w:rsidR="00276CCF">
        <w:t xml:space="preserve"> nominal and fair value</w:t>
      </w:r>
      <w:r w:rsidR="00D75398">
        <w:t xml:space="preserve">.  </w:t>
      </w:r>
      <w:r>
        <w:t>This is because</w:t>
      </w:r>
      <w:r w:rsidR="00D75398">
        <w:t xml:space="preserve"> </w:t>
      </w:r>
      <w:r w:rsidR="00150117">
        <w:t>HELP loan asset</w:t>
      </w:r>
      <w:r w:rsidR="00D75398">
        <w:t>s</w:t>
      </w:r>
      <w:r w:rsidR="00150117">
        <w:t xml:space="preserve"> </w:t>
      </w:r>
      <w:r w:rsidR="00D75398">
        <w:t>are</w:t>
      </w:r>
      <w:r w:rsidR="00150117">
        <w:t xml:space="preserve"> recognised</w:t>
      </w:r>
      <w:r w:rsidR="00D75398">
        <w:t xml:space="preserve"> on the Government’s balance sheet</w:t>
      </w:r>
      <w:r w:rsidR="00150117">
        <w:t xml:space="preserve"> at a lower value</w:t>
      </w:r>
      <w:r>
        <w:t xml:space="preserve"> (the fair value) relative to</w:t>
      </w:r>
      <w:r w:rsidR="00150117">
        <w:t xml:space="preserve"> </w:t>
      </w:r>
      <w:r w:rsidR="00D75398">
        <w:t>their</w:t>
      </w:r>
      <w:r w:rsidR="00150117">
        <w:t xml:space="preserve"> corresponding </w:t>
      </w:r>
      <w:r w:rsidR="004052C0">
        <w:t xml:space="preserve">Commonwealth Government Securities </w:t>
      </w:r>
      <w:r w:rsidR="00150117">
        <w:t>liabilit</w:t>
      </w:r>
      <w:r w:rsidR="00D75398">
        <w:t>ies.</w:t>
      </w:r>
    </w:p>
    <w:p w:rsidR="00D75398" w:rsidRDefault="006C49D9" w:rsidP="00100588">
      <w:pPr>
        <w:pStyle w:val="BodyText"/>
        <w:keepNext/>
        <w:keepLines/>
      </w:pPr>
      <w:r>
        <w:lastRenderedPageBreak/>
        <w:t xml:space="preserve">Net debt is projected by the Government to peak </w:t>
      </w:r>
      <w:r w:rsidR="005B5EC1">
        <w:t>at $</w:t>
      </w:r>
      <w:r w:rsidR="004567DE">
        <w:t>346.6</w:t>
      </w:r>
      <w:r w:rsidR="005B5EC1">
        <w:t xml:space="preserve"> billion </w:t>
      </w:r>
      <w:r>
        <w:t>in 2018</w:t>
      </w:r>
      <w:r w:rsidR="00BB6920">
        <w:t>–</w:t>
      </w:r>
      <w:r>
        <w:t>19</w:t>
      </w:r>
      <w:r w:rsidR="004759E0">
        <w:t xml:space="preserve"> and decline to $</w:t>
      </w:r>
      <w:r w:rsidR="004567DE">
        <w:t>262.7</w:t>
      </w:r>
      <w:r w:rsidR="00BB6920">
        <w:t> </w:t>
      </w:r>
      <w:r w:rsidR="004759E0">
        <w:t>billion in 2025</w:t>
      </w:r>
      <w:r w:rsidR="00BB6920">
        <w:t>–</w:t>
      </w:r>
      <w:r w:rsidR="004759E0">
        <w:t>26.</w:t>
      </w:r>
      <w:r>
        <w:t xml:space="preserve">  </w:t>
      </w:r>
      <w:r w:rsidR="00276CCF">
        <w:t>W</w:t>
      </w:r>
      <w:r w:rsidR="00150117">
        <w:t xml:space="preserve">ith the </w:t>
      </w:r>
      <w:r w:rsidR="005B5EC1">
        <w:t xml:space="preserve">projected </w:t>
      </w:r>
      <w:r w:rsidR="00150117">
        <w:t>expansion of the HELP loan portfolio</w:t>
      </w:r>
      <w:r w:rsidR="005B5EC1">
        <w:t xml:space="preserve">, the component of net debt attributable to the HELP loan portfolio is projected to </w:t>
      </w:r>
      <w:r w:rsidR="004759E0">
        <w:t xml:space="preserve">rise from </w:t>
      </w:r>
      <w:r w:rsidR="00A9716E">
        <w:t>$13.4</w:t>
      </w:r>
      <w:r w:rsidR="004567DE">
        <w:t> </w:t>
      </w:r>
      <w:r w:rsidR="007366EB">
        <w:t>billion in 2015–</w:t>
      </w:r>
      <w:r w:rsidR="004759E0">
        <w:t xml:space="preserve">16 to </w:t>
      </w:r>
      <w:r w:rsidR="00A9716E">
        <w:t>$48.1</w:t>
      </w:r>
      <w:r w:rsidR="007366EB">
        <w:t xml:space="preserve"> billion in 2025–</w:t>
      </w:r>
      <w:r w:rsidR="004759E0">
        <w:t xml:space="preserve">26. </w:t>
      </w:r>
      <w:r w:rsidR="00215B1D">
        <w:t xml:space="preserve"> </w:t>
      </w:r>
      <w:r w:rsidR="004759E0">
        <w:t xml:space="preserve">This means that </w:t>
      </w:r>
      <w:r w:rsidR="00276CCF">
        <w:t xml:space="preserve">the proportion of total Australian Government </w:t>
      </w:r>
      <w:r w:rsidR="00150117">
        <w:t xml:space="preserve">net debt </w:t>
      </w:r>
      <w:r w:rsidR="00276CCF">
        <w:t xml:space="preserve">that is </w:t>
      </w:r>
      <w:r w:rsidR="00150117">
        <w:t>attributable to</w:t>
      </w:r>
      <w:r w:rsidR="004759E0">
        <w:t xml:space="preserve"> the</w:t>
      </w:r>
      <w:r w:rsidR="00150117">
        <w:t xml:space="preserve"> HELP</w:t>
      </w:r>
      <w:r w:rsidR="00CD3B7D">
        <w:t xml:space="preserve"> </w:t>
      </w:r>
      <w:r w:rsidR="004759E0">
        <w:t xml:space="preserve">loan portfolio </w:t>
      </w:r>
      <w:r w:rsidR="00CD3B7D">
        <w:t>is projected by the PB</w:t>
      </w:r>
      <w:r w:rsidR="003F1D00">
        <w:t>O</w:t>
      </w:r>
      <w:r w:rsidR="00CD3B7D">
        <w:t xml:space="preserve"> to</w:t>
      </w:r>
      <w:r w:rsidR="00150117">
        <w:t xml:space="preserve"> </w:t>
      </w:r>
      <w:r w:rsidR="004759E0">
        <w:t>continue its upward trajectory</w:t>
      </w:r>
      <w:r w:rsidR="00630441">
        <w:t>,</w:t>
      </w:r>
      <w:r w:rsidR="004759E0">
        <w:t xml:space="preserve"> rising </w:t>
      </w:r>
      <w:r w:rsidR="00150117">
        <w:t xml:space="preserve">from </w:t>
      </w:r>
      <w:r w:rsidR="00A9716E">
        <w:t>4.8</w:t>
      </w:r>
      <w:r w:rsidR="00100588">
        <w:t> </w:t>
      </w:r>
      <w:r w:rsidR="00150117">
        <w:t>per</w:t>
      </w:r>
      <w:r w:rsidR="00100588">
        <w:t> </w:t>
      </w:r>
      <w:r w:rsidR="00150117">
        <w:t>cent in 2015</w:t>
      </w:r>
      <w:r w:rsidR="007366EB">
        <w:t>–</w:t>
      </w:r>
      <w:r w:rsidR="00150117">
        <w:t xml:space="preserve">16 to </w:t>
      </w:r>
      <w:r w:rsidR="00A9716E">
        <w:t>18.3</w:t>
      </w:r>
      <w:r w:rsidR="007366EB">
        <w:t> per </w:t>
      </w:r>
      <w:r w:rsidR="00150117">
        <w:t>cent in 2025</w:t>
      </w:r>
      <w:r w:rsidR="007366EB">
        <w:t>–</w:t>
      </w:r>
      <w:r w:rsidR="00150117">
        <w:t>26 (</w:t>
      </w:r>
      <w:r w:rsidR="007366EB">
        <w:fldChar w:fldCharType="begin"/>
      </w:r>
      <w:r w:rsidR="007366EB">
        <w:instrText xml:space="preserve"> REF _Ref445796487 \h </w:instrText>
      </w:r>
      <w:r w:rsidR="007366EB">
        <w:fldChar w:fldCharType="separate"/>
      </w:r>
      <w:r w:rsidR="00CA5C2D" w:rsidRPr="00F51BF0">
        <w:t xml:space="preserve">Figure </w:t>
      </w:r>
      <w:r w:rsidR="00CA5C2D">
        <w:rPr>
          <w:noProof/>
        </w:rPr>
        <w:t>2</w:t>
      </w:r>
      <w:r w:rsidR="00CA5C2D" w:rsidRPr="00F51BF0">
        <w:t>–</w:t>
      </w:r>
      <w:r w:rsidR="00CA5C2D">
        <w:rPr>
          <w:noProof/>
        </w:rPr>
        <w:t>6</w:t>
      </w:r>
      <w:r w:rsidR="007366EB">
        <w:fldChar w:fldCharType="end"/>
      </w:r>
      <w:r w:rsidR="00150117">
        <w:t>).</w:t>
      </w:r>
    </w:p>
    <w:p w:rsidR="00A30F25" w:rsidRDefault="00A30F25" w:rsidP="00A30F25">
      <w:pPr>
        <w:pStyle w:val="Caption"/>
      </w:pPr>
      <w:bookmarkStart w:id="91" w:name="_Ref445796487"/>
      <w:bookmarkStart w:id="92" w:name="_Ref445885692"/>
      <w:r w:rsidRPr="00F51BF0">
        <w:t xml:space="preserve">Figure </w:t>
      </w:r>
      <w:fldSimple w:instr=" STYLEREF 1 \s ">
        <w:r w:rsidR="00CA5C2D">
          <w:rPr>
            <w:noProof/>
          </w:rPr>
          <w:t>2</w:t>
        </w:r>
      </w:fldSimple>
      <w:r w:rsidRPr="00F51BF0">
        <w:t>–</w:t>
      </w:r>
      <w:fldSimple w:instr=" SEQ Figure \* ARABIC \s 1 ">
        <w:r w:rsidR="00CA5C2D">
          <w:rPr>
            <w:noProof/>
          </w:rPr>
          <w:t>6</w:t>
        </w:r>
      </w:fldSimple>
      <w:bookmarkEnd w:id="91"/>
      <w:r w:rsidRPr="00F51BF0">
        <w:t xml:space="preserve">: </w:t>
      </w:r>
      <w:r>
        <w:t xml:space="preserve">HELP loan portfolio – </w:t>
      </w:r>
      <w:r w:rsidR="004D6F55">
        <w:t>impact on net debt</w:t>
      </w:r>
      <w:bookmarkEnd w:id="92"/>
    </w:p>
    <w:tbl>
      <w:tblPr>
        <w:tblStyle w:val="TableGrid"/>
        <w:tblW w:w="2648" w:type="dxa"/>
        <w:tblLook w:val="0680" w:firstRow="0" w:lastRow="0" w:firstColumn="1" w:lastColumn="0" w:noHBand="1" w:noVBand="1"/>
      </w:tblPr>
      <w:tblGrid>
        <w:gridCol w:w="534"/>
        <w:gridCol w:w="955"/>
        <w:gridCol w:w="1207"/>
      </w:tblGrid>
      <w:tr w:rsidR="005B0027" w:rsidRPr="00B82051" w:rsidTr="00BC0582">
        <w:tc>
          <w:tcPr>
            <w:cnfStyle w:val="001000000000" w:firstRow="0" w:lastRow="0" w:firstColumn="1" w:lastColumn="0" w:oddVBand="0" w:evenVBand="0" w:oddHBand="0" w:evenHBand="0" w:firstRowFirstColumn="0" w:firstRowLastColumn="0" w:lastRowFirstColumn="0" w:lastRowLastColumn="0"/>
            <w:tcW w:w="518" w:type="dxa"/>
            <w:noWrap/>
            <w:hideMark/>
          </w:tcPr>
          <w:p w:rsidR="005B0027" w:rsidRPr="00B82051" w:rsidRDefault="00B82051" w:rsidP="00BC0582">
            <w:pPr>
              <w:pStyle w:val="TableText"/>
              <w:spacing w:before="0" w:after="0" w:line="240" w:lineRule="auto"/>
              <w:ind w:left="57" w:right="57"/>
              <w:jc w:val="both"/>
              <w:rPr>
                <w:color w:val="FFFFFF" w:themeColor="background1"/>
                <w:sz w:val="8"/>
                <w:szCs w:val="16"/>
              </w:rPr>
            </w:pPr>
            <w:r>
              <w:rPr>
                <w:noProof/>
              </w:rPr>
              <w:drawing>
                <wp:anchor distT="0" distB="0" distL="114300" distR="114300" simplePos="0" relativeHeight="251667456" behindDoc="0" locked="0" layoutInCell="1" allowOverlap="1" wp14:anchorId="195D488C" wp14:editId="2AB4EBEB">
                  <wp:simplePos x="0" y="0"/>
                  <wp:positionH relativeFrom="column">
                    <wp:posOffset>3175</wp:posOffset>
                  </wp:positionH>
                  <wp:positionV relativeFrom="paragraph">
                    <wp:posOffset>8890</wp:posOffset>
                  </wp:positionV>
                  <wp:extent cx="5322570" cy="2749550"/>
                  <wp:effectExtent l="0" t="0" r="0" b="0"/>
                  <wp:wrapNone/>
                  <wp:docPr id="38" name="Picture 38" descr="Decorative&#10;"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22570" cy="2749550"/>
                          </a:xfrm>
                          <a:prstGeom prst="rect">
                            <a:avLst/>
                          </a:prstGeom>
                          <a:noFill/>
                        </pic:spPr>
                      </pic:pic>
                    </a:graphicData>
                  </a:graphic>
                  <wp14:sizeRelH relativeFrom="page">
                    <wp14:pctWidth>0</wp14:pctWidth>
                  </wp14:sizeRelH>
                  <wp14:sizeRelV relativeFrom="page">
                    <wp14:pctHeight>0</wp14:pctHeight>
                  </wp14:sizeRelV>
                </wp:anchor>
              </w:drawing>
            </w:r>
            <w:r w:rsidR="005B0027" w:rsidRPr="00B82051">
              <w:rPr>
                <w:color w:val="FFFFFF" w:themeColor="background1"/>
                <w:sz w:val="8"/>
                <w:szCs w:val="16"/>
              </w:rPr>
              <w:t>Year</w:t>
            </w:r>
          </w:p>
        </w:tc>
        <w:tc>
          <w:tcPr>
            <w:tcW w:w="939" w:type="dxa"/>
            <w:hideMark/>
          </w:tcPr>
          <w:p w:rsidR="005B0027" w:rsidRPr="00B82051" w:rsidRDefault="005B0027" w:rsidP="00BC0582">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B82051">
              <w:rPr>
                <w:color w:val="FFFFFF" w:themeColor="background1"/>
                <w:sz w:val="8"/>
                <w:szCs w:val="16"/>
              </w:rPr>
              <w:t>Net debt impact of HELP</w:t>
            </w:r>
          </w:p>
        </w:tc>
        <w:tc>
          <w:tcPr>
            <w:tcW w:w="1191" w:type="dxa"/>
            <w:hideMark/>
          </w:tcPr>
          <w:p w:rsidR="005B0027" w:rsidRPr="00B82051" w:rsidRDefault="005B0027" w:rsidP="00BC0582">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B82051">
              <w:rPr>
                <w:color w:val="FFFFFF" w:themeColor="background1"/>
                <w:sz w:val="8"/>
                <w:szCs w:val="16"/>
              </w:rPr>
              <w:t>Net debt not attributable to HELP</w:t>
            </w:r>
          </w:p>
        </w:tc>
      </w:tr>
      <w:tr w:rsidR="005B0027" w:rsidRPr="00B82051" w:rsidTr="00BC0582">
        <w:tc>
          <w:tcPr>
            <w:cnfStyle w:val="001000000000" w:firstRow="0" w:lastRow="0" w:firstColumn="1" w:lastColumn="0" w:oddVBand="0" w:evenVBand="0" w:oddHBand="0" w:evenHBand="0" w:firstRowFirstColumn="0" w:firstRowLastColumn="0" w:lastRowFirstColumn="0" w:lastRowLastColumn="0"/>
            <w:tcW w:w="518" w:type="dxa"/>
            <w:noWrap/>
            <w:hideMark/>
          </w:tcPr>
          <w:p w:rsidR="005B0027" w:rsidRPr="00B82051" w:rsidRDefault="005B0027" w:rsidP="00BC0582">
            <w:pPr>
              <w:pStyle w:val="TableText"/>
              <w:spacing w:before="0" w:after="0" w:line="240" w:lineRule="auto"/>
              <w:ind w:left="57" w:right="57"/>
              <w:jc w:val="both"/>
              <w:rPr>
                <w:color w:val="FFFFFF" w:themeColor="background1"/>
                <w:sz w:val="8"/>
                <w:szCs w:val="16"/>
              </w:rPr>
            </w:pPr>
            <w:r w:rsidRPr="00B82051">
              <w:rPr>
                <w:color w:val="FFFFFF" w:themeColor="background1"/>
                <w:sz w:val="8"/>
                <w:szCs w:val="16"/>
              </w:rPr>
              <w:t>2010–11</w:t>
            </w:r>
          </w:p>
        </w:tc>
        <w:tc>
          <w:tcPr>
            <w:tcW w:w="939" w:type="dxa"/>
            <w:noWrap/>
            <w:hideMark/>
          </w:tcPr>
          <w:p w:rsidR="005B0027" w:rsidRPr="00B82051" w:rsidRDefault="005B0027" w:rsidP="00BC0582">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B82051">
              <w:rPr>
                <w:color w:val="FFFFFF" w:themeColor="background1"/>
                <w:sz w:val="8"/>
                <w:szCs w:val="16"/>
              </w:rPr>
              <w:t>6.9</w:t>
            </w:r>
          </w:p>
        </w:tc>
        <w:tc>
          <w:tcPr>
            <w:tcW w:w="1191" w:type="dxa"/>
            <w:noWrap/>
            <w:hideMark/>
          </w:tcPr>
          <w:p w:rsidR="005B0027" w:rsidRPr="00B82051" w:rsidRDefault="005B0027" w:rsidP="00BC0582">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B82051">
              <w:rPr>
                <w:color w:val="FFFFFF" w:themeColor="background1"/>
                <w:sz w:val="8"/>
                <w:szCs w:val="16"/>
              </w:rPr>
              <w:t>77.66</w:t>
            </w:r>
          </w:p>
        </w:tc>
      </w:tr>
      <w:tr w:rsidR="005B0027" w:rsidRPr="00B82051" w:rsidTr="00BC0582">
        <w:tc>
          <w:tcPr>
            <w:cnfStyle w:val="001000000000" w:firstRow="0" w:lastRow="0" w:firstColumn="1" w:lastColumn="0" w:oddVBand="0" w:evenVBand="0" w:oddHBand="0" w:evenHBand="0" w:firstRowFirstColumn="0" w:firstRowLastColumn="0" w:lastRowFirstColumn="0" w:lastRowLastColumn="0"/>
            <w:tcW w:w="518" w:type="dxa"/>
            <w:noWrap/>
            <w:hideMark/>
          </w:tcPr>
          <w:p w:rsidR="005B0027" w:rsidRPr="00B82051" w:rsidRDefault="005B0027" w:rsidP="00BC0582">
            <w:pPr>
              <w:pStyle w:val="TableText"/>
              <w:spacing w:before="0" w:after="0" w:line="240" w:lineRule="auto"/>
              <w:ind w:left="57" w:right="57"/>
              <w:jc w:val="both"/>
              <w:rPr>
                <w:color w:val="FFFFFF" w:themeColor="background1"/>
                <w:sz w:val="8"/>
                <w:szCs w:val="16"/>
              </w:rPr>
            </w:pPr>
            <w:r w:rsidRPr="00B82051">
              <w:rPr>
                <w:color w:val="FFFFFF" w:themeColor="background1"/>
                <w:sz w:val="8"/>
                <w:szCs w:val="16"/>
              </w:rPr>
              <w:t>2011–12</w:t>
            </w:r>
          </w:p>
        </w:tc>
        <w:tc>
          <w:tcPr>
            <w:tcW w:w="939" w:type="dxa"/>
            <w:noWrap/>
            <w:hideMark/>
          </w:tcPr>
          <w:p w:rsidR="005B0027" w:rsidRPr="00B82051" w:rsidRDefault="005B0027" w:rsidP="00BC0582">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B82051">
              <w:rPr>
                <w:color w:val="FFFFFF" w:themeColor="background1"/>
                <w:sz w:val="8"/>
                <w:szCs w:val="16"/>
              </w:rPr>
              <w:t>6.3</w:t>
            </w:r>
          </w:p>
        </w:tc>
        <w:tc>
          <w:tcPr>
            <w:tcW w:w="1191" w:type="dxa"/>
            <w:noWrap/>
            <w:hideMark/>
          </w:tcPr>
          <w:p w:rsidR="005B0027" w:rsidRPr="00B82051" w:rsidRDefault="005B0027" w:rsidP="00BC0582">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B82051">
              <w:rPr>
                <w:color w:val="FFFFFF" w:themeColor="background1"/>
                <w:sz w:val="8"/>
                <w:szCs w:val="16"/>
              </w:rPr>
              <w:t>141.02</w:t>
            </w:r>
          </w:p>
        </w:tc>
      </w:tr>
      <w:tr w:rsidR="005B0027" w:rsidRPr="00B82051" w:rsidTr="00BC0582">
        <w:tc>
          <w:tcPr>
            <w:cnfStyle w:val="001000000000" w:firstRow="0" w:lastRow="0" w:firstColumn="1" w:lastColumn="0" w:oddVBand="0" w:evenVBand="0" w:oddHBand="0" w:evenHBand="0" w:firstRowFirstColumn="0" w:firstRowLastColumn="0" w:lastRowFirstColumn="0" w:lastRowLastColumn="0"/>
            <w:tcW w:w="518" w:type="dxa"/>
            <w:noWrap/>
            <w:hideMark/>
          </w:tcPr>
          <w:p w:rsidR="005B0027" w:rsidRPr="00B82051" w:rsidRDefault="005B0027" w:rsidP="00BC0582">
            <w:pPr>
              <w:pStyle w:val="TableText"/>
              <w:spacing w:before="0" w:after="0" w:line="240" w:lineRule="auto"/>
              <w:ind w:left="57" w:right="57"/>
              <w:jc w:val="both"/>
              <w:rPr>
                <w:color w:val="FFFFFF" w:themeColor="background1"/>
                <w:sz w:val="8"/>
                <w:szCs w:val="16"/>
              </w:rPr>
            </w:pPr>
            <w:r w:rsidRPr="00B82051">
              <w:rPr>
                <w:color w:val="FFFFFF" w:themeColor="background1"/>
                <w:sz w:val="8"/>
                <w:szCs w:val="16"/>
              </w:rPr>
              <w:t>2012–13</w:t>
            </w:r>
          </w:p>
        </w:tc>
        <w:tc>
          <w:tcPr>
            <w:tcW w:w="939" w:type="dxa"/>
            <w:noWrap/>
            <w:hideMark/>
          </w:tcPr>
          <w:p w:rsidR="005B0027" w:rsidRPr="00B82051" w:rsidRDefault="005B0027" w:rsidP="00BC0582">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B82051">
              <w:rPr>
                <w:color w:val="FFFFFF" w:themeColor="background1"/>
                <w:sz w:val="8"/>
                <w:szCs w:val="16"/>
              </w:rPr>
              <w:t>8.1</w:t>
            </w:r>
          </w:p>
        </w:tc>
        <w:tc>
          <w:tcPr>
            <w:tcW w:w="1191" w:type="dxa"/>
            <w:noWrap/>
            <w:hideMark/>
          </w:tcPr>
          <w:p w:rsidR="005B0027" w:rsidRPr="00B82051" w:rsidRDefault="005B0027" w:rsidP="00BC0582">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B82051">
              <w:rPr>
                <w:color w:val="FFFFFF" w:themeColor="background1"/>
                <w:sz w:val="8"/>
                <w:szCs w:val="16"/>
              </w:rPr>
              <w:t>144.88</w:t>
            </w:r>
          </w:p>
        </w:tc>
      </w:tr>
      <w:tr w:rsidR="005B0027" w:rsidRPr="00B82051" w:rsidTr="00BC0582">
        <w:tc>
          <w:tcPr>
            <w:cnfStyle w:val="001000000000" w:firstRow="0" w:lastRow="0" w:firstColumn="1" w:lastColumn="0" w:oddVBand="0" w:evenVBand="0" w:oddHBand="0" w:evenHBand="0" w:firstRowFirstColumn="0" w:firstRowLastColumn="0" w:lastRowFirstColumn="0" w:lastRowLastColumn="0"/>
            <w:tcW w:w="518" w:type="dxa"/>
            <w:noWrap/>
            <w:hideMark/>
          </w:tcPr>
          <w:p w:rsidR="005B0027" w:rsidRPr="00B82051" w:rsidRDefault="005B0027" w:rsidP="00BC0582">
            <w:pPr>
              <w:pStyle w:val="TableText"/>
              <w:spacing w:before="0" w:after="0" w:line="240" w:lineRule="auto"/>
              <w:ind w:left="57" w:right="57"/>
              <w:jc w:val="both"/>
              <w:rPr>
                <w:color w:val="FFFFFF" w:themeColor="background1"/>
                <w:sz w:val="8"/>
                <w:szCs w:val="16"/>
              </w:rPr>
            </w:pPr>
            <w:r w:rsidRPr="00B82051">
              <w:rPr>
                <w:color w:val="FFFFFF" w:themeColor="background1"/>
                <w:sz w:val="8"/>
                <w:szCs w:val="16"/>
              </w:rPr>
              <w:t>2013–14</w:t>
            </w:r>
          </w:p>
        </w:tc>
        <w:tc>
          <w:tcPr>
            <w:tcW w:w="939" w:type="dxa"/>
            <w:noWrap/>
            <w:hideMark/>
          </w:tcPr>
          <w:p w:rsidR="005B0027" w:rsidRPr="00B82051" w:rsidRDefault="005B0027" w:rsidP="00BC0582">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B82051">
              <w:rPr>
                <w:color w:val="FFFFFF" w:themeColor="background1"/>
                <w:sz w:val="8"/>
                <w:szCs w:val="16"/>
              </w:rPr>
              <w:t>7.9</w:t>
            </w:r>
          </w:p>
        </w:tc>
        <w:tc>
          <w:tcPr>
            <w:tcW w:w="1191" w:type="dxa"/>
            <w:noWrap/>
            <w:hideMark/>
          </w:tcPr>
          <w:p w:rsidR="005B0027" w:rsidRPr="00B82051" w:rsidRDefault="005B0027" w:rsidP="00BC0582">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B82051">
              <w:rPr>
                <w:color w:val="FFFFFF" w:themeColor="background1"/>
                <w:sz w:val="8"/>
                <w:szCs w:val="16"/>
              </w:rPr>
              <w:t>194.60</w:t>
            </w:r>
          </w:p>
        </w:tc>
      </w:tr>
      <w:tr w:rsidR="005B0027" w:rsidRPr="00B82051" w:rsidTr="00BC0582">
        <w:tc>
          <w:tcPr>
            <w:cnfStyle w:val="001000000000" w:firstRow="0" w:lastRow="0" w:firstColumn="1" w:lastColumn="0" w:oddVBand="0" w:evenVBand="0" w:oddHBand="0" w:evenHBand="0" w:firstRowFirstColumn="0" w:firstRowLastColumn="0" w:lastRowFirstColumn="0" w:lastRowLastColumn="0"/>
            <w:tcW w:w="518" w:type="dxa"/>
            <w:noWrap/>
            <w:hideMark/>
          </w:tcPr>
          <w:p w:rsidR="005B0027" w:rsidRPr="00B82051" w:rsidRDefault="005B0027" w:rsidP="00BC0582">
            <w:pPr>
              <w:pStyle w:val="TableText"/>
              <w:spacing w:before="0" w:after="0" w:line="240" w:lineRule="auto"/>
              <w:ind w:left="57" w:right="57"/>
              <w:jc w:val="both"/>
              <w:rPr>
                <w:color w:val="FFFFFF" w:themeColor="background1"/>
                <w:sz w:val="8"/>
                <w:szCs w:val="16"/>
              </w:rPr>
            </w:pPr>
            <w:r w:rsidRPr="00B82051">
              <w:rPr>
                <w:color w:val="FFFFFF" w:themeColor="background1"/>
                <w:sz w:val="8"/>
                <w:szCs w:val="16"/>
              </w:rPr>
              <w:t>2014–15</w:t>
            </w:r>
          </w:p>
        </w:tc>
        <w:tc>
          <w:tcPr>
            <w:tcW w:w="939" w:type="dxa"/>
            <w:noWrap/>
            <w:hideMark/>
          </w:tcPr>
          <w:p w:rsidR="005B0027" w:rsidRPr="00B82051" w:rsidRDefault="005B0027" w:rsidP="00BC0582">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B82051">
              <w:rPr>
                <w:color w:val="FFFFFF" w:themeColor="background1"/>
                <w:sz w:val="8"/>
                <w:szCs w:val="16"/>
              </w:rPr>
              <w:t>11.1</w:t>
            </w:r>
          </w:p>
        </w:tc>
        <w:tc>
          <w:tcPr>
            <w:tcW w:w="1191" w:type="dxa"/>
            <w:noWrap/>
            <w:hideMark/>
          </w:tcPr>
          <w:p w:rsidR="005B0027" w:rsidRPr="00B82051" w:rsidRDefault="005B0027" w:rsidP="00BC0582">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B82051">
              <w:rPr>
                <w:color w:val="FFFFFF" w:themeColor="background1"/>
                <w:sz w:val="8"/>
                <w:szCs w:val="16"/>
              </w:rPr>
              <w:t>227.58</w:t>
            </w:r>
          </w:p>
        </w:tc>
      </w:tr>
      <w:tr w:rsidR="005B0027" w:rsidRPr="00B82051" w:rsidTr="00BC0582">
        <w:tc>
          <w:tcPr>
            <w:cnfStyle w:val="001000000000" w:firstRow="0" w:lastRow="0" w:firstColumn="1" w:lastColumn="0" w:oddVBand="0" w:evenVBand="0" w:oddHBand="0" w:evenHBand="0" w:firstRowFirstColumn="0" w:firstRowLastColumn="0" w:lastRowFirstColumn="0" w:lastRowLastColumn="0"/>
            <w:tcW w:w="518" w:type="dxa"/>
            <w:noWrap/>
            <w:hideMark/>
          </w:tcPr>
          <w:p w:rsidR="005B0027" w:rsidRPr="00B82051" w:rsidRDefault="005B0027" w:rsidP="00BC0582">
            <w:pPr>
              <w:pStyle w:val="TableText"/>
              <w:spacing w:before="0" w:after="0" w:line="240" w:lineRule="auto"/>
              <w:ind w:left="57" w:right="57"/>
              <w:jc w:val="both"/>
              <w:rPr>
                <w:color w:val="FFFFFF" w:themeColor="background1"/>
                <w:sz w:val="8"/>
                <w:szCs w:val="16"/>
              </w:rPr>
            </w:pPr>
            <w:r w:rsidRPr="00B82051">
              <w:rPr>
                <w:color w:val="FFFFFF" w:themeColor="background1"/>
                <w:sz w:val="8"/>
                <w:szCs w:val="16"/>
              </w:rPr>
              <w:t>2015–16</w:t>
            </w:r>
          </w:p>
        </w:tc>
        <w:tc>
          <w:tcPr>
            <w:tcW w:w="939" w:type="dxa"/>
            <w:noWrap/>
            <w:hideMark/>
          </w:tcPr>
          <w:p w:rsidR="005B0027" w:rsidRPr="00B82051" w:rsidRDefault="005B0027" w:rsidP="00BC0582">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B82051">
              <w:rPr>
                <w:color w:val="FFFFFF" w:themeColor="background1"/>
                <w:sz w:val="8"/>
                <w:szCs w:val="16"/>
              </w:rPr>
              <w:t>13.4</w:t>
            </w:r>
          </w:p>
        </w:tc>
        <w:tc>
          <w:tcPr>
            <w:tcW w:w="1191" w:type="dxa"/>
            <w:noWrap/>
            <w:hideMark/>
          </w:tcPr>
          <w:p w:rsidR="005B0027" w:rsidRPr="00B82051" w:rsidRDefault="005B0027" w:rsidP="00BC0582">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B82051">
              <w:rPr>
                <w:color w:val="FFFFFF" w:themeColor="background1"/>
                <w:sz w:val="8"/>
                <w:szCs w:val="16"/>
              </w:rPr>
              <w:t>265.33</w:t>
            </w:r>
          </w:p>
        </w:tc>
      </w:tr>
      <w:tr w:rsidR="005B0027" w:rsidRPr="00B82051" w:rsidTr="00BC0582">
        <w:tc>
          <w:tcPr>
            <w:cnfStyle w:val="001000000000" w:firstRow="0" w:lastRow="0" w:firstColumn="1" w:lastColumn="0" w:oddVBand="0" w:evenVBand="0" w:oddHBand="0" w:evenHBand="0" w:firstRowFirstColumn="0" w:firstRowLastColumn="0" w:lastRowFirstColumn="0" w:lastRowLastColumn="0"/>
            <w:tcW w:w="518" w:type="dxa"/>
            <w:noWrap/>
            <w:hideMark/>
          </w:tcPr>
          <w:p w:rsidR="005B0027" w:rsidRPr="00B82051" w:rsidRDefault="005B0027" w:rsidP="00BC0582">
            <w:pPr>
              <w:pStyle w:val="TableText"/>
              <w:spacing w:before="0" w:after="0" w:line="240" w:lineRule="auto"/>
              <w:ind w:left="57" w:right="57"/>
              <w:jc w:val="both"/>
              <w:rPr>
                <w:color w:val="FFFFFF" w:themeColor="background1"/>
                <w:sz w:val="8"/>
                <w:szCs w:val="16"/>
              </w:rPr>
            </w:pPr>
            <w:r w:rsidRPr="00B82051">
              <w:rPr>
                <w:color w:val="FFFFFF" w:themeColor="background1"/>
                <w:sz w:val="8"/>
                <w:szCs w:val="16"/>
              </w:rPr>
              <w:t>2016–17</w:t>
            </w:r>
          </w:p>
        </w:tc>
        <w:tc>
          <w:tcPr>
            <w:tcW w:w="939" w:type="dxa"/>
            <w:noWrap/>
            <w:hideMark/>
          </w:tcPr>
          <w:p w:rsidR="005B0027" w:rsidRPr="00B82051" w:rsidRDefault="005B0027" w:rsidP="00BC0582">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B82051">
              <w:rPr>
                <w:color w:val="FFFFFF" w:themeColor="background1"/>
                <w:sz w:val="8"/>
                <w:szCs w:val="16"/>
              </w:rPr>
              <w:t>16.1</w:t>
            </w:r>
          </w:p>
        </w:tc>
        <w:tc>
          <w:tcPr>
            <w:tcW w:w="1191" w:type="dxa"/>
            <w:noWrap/>
            <w:hideMark/>
          </w:tcPr>
          <w:p w:rsidR="005B0027" w:rsidRPr="00B82051" w:rsidRDefault="005B0027" w:rsidP="00BC0582">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B82051">
              <w:rPr>
                <w:color w:val="FFFFFF" w:themeColor="background1"/>
                <w:sz w:val="8"/>
                <w:szCs w:val="16"/>
              </w:rPr>
              <w:t>300.43</w:t>
            </w:r>
          </w:p>
        </w:tc>
      </w:tr>
      <w:tr w:rsidR="005B0027" w:rsidRPr="00B82051" w:rsidTr="00BC0582">
        <w:tc>
          <w:tcPr>
            <w:cnfStyle w:val="001000000000" w:firstRow="0" w:lastRow="0" w:firstColumn="1" w:lastColumn="0" w:oddVBand="0" w:evenVBand="0" w:oddHBand="0" w:evenHBand="0" w:firstRowFirstColumn="0" w:firstRowLastColumn="0" w:lastRowFirstColumn="0" w:lastRowLastColumn="0"/>
            <w:tcW w:w="518" w:type="dxa"/>
            <w:noWrap/>
            <w:hideMark/>
          </w:tcPr>
          <w:p w:rsidR="005B0027" w:rsidRPr="00B82051" w:rsidRDefault="005B0027" w:rsidP="00BC0582">
            <w:pPr>
              <w:pStyle w:val="TableText"/>
              <w:spacing w:before="0" w:after="0" w:line="240" w:lineRule="auto"/>
              <w:ind w:left="57" w:right="57"/>
              <w:jc w:val="both"/>
              <w:rPr>
                <w:color w:val="FFFFFF" w:themeColor="background1"/>
                <w:sz w:val="8"/>
                <w:szCs w:val="16"/>
              </w:rPr>
            </w:pPr>
            <w:r w:rsidRPr="00B82051">
              <w:rPr>
                <w:color w:val="FFFFFF" w:themeColor="background1"/>
                <w:sz w:val="8"/>
                <w:szCs w:val="16"/>
              </w:rPr>
              <w:t>2017–18</w:t>
            </w:r>
          </w:p>
        </w:tc>
        <w:tc>
          <w:tcPr>
            <w:tcW w:w="939" w:type="dxa"/>
            <w:noWrap/>
            <w:hideMark/>
          </w:tcPr>
          <w:p w:rsidR="005B0027" w:rsidRPr="00B82051" w:rsidRDefault="005B0027" w:rsidP="00BC0582">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B82051">
              <w:rPr>
                <w:color w:val="FFFFFF" w:themeColor="background1"/>
                <w:sz w:val="8"/>
                <w:szCs w:val="16"/>
              </w:rPr>
              <w:t>19.3</w:t>
            </w:r>
          </w:p>
        </w:tc>
        <w:tc>
          <w:tcPr>
            <w:tcW w:w="1191" w:type="dxa"/>
            <w:noWrap/>
            <w:hideMark/>
          </w:tcPr>
          <w:p w:rsidR="005B0027" w:rsidRPr="00B82051" w:rsidRDefault="005B0027" w:rsidP="00BC0582">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B82051">
              <w:rPr>
                <w:color w:val="FFFFFF" w:themeColor="background1"/>
                <w:sz w:val="8"/>
                <w:szCs w:val="16"/>
              </w:rPr>
              <w:t>317.10</w:t>
            </w:r>
          </w:p>
        </w:tc>
      </w:tr>
      <w:tr w:rsidR="005B0027" w:rsidRPr="00B82051" w:rsidTr="00BC0582">
        <w:tc>
          <w:tcPr>
            <w:cnfStyle w:val="001000000000" w:firstRow="0" w:lastRow="0" w:firstColumn="1" w:lastColumn="0" w:oddVBand="0" w:evenVBand="0" w:oddHBand="0" w:evenHBand="0" w:firstRowFirstColumn="0" w:firstRowLastColumn="0" w:lastRowFirstColumn="0" w:lastRowLastColumn="0"/>
            <w:tcW w:w="518" w:type="dxa"/>
            <w:noWrap/>
            <w:hideMark/>
          </w:tcPr>
          <w:p w:rsidR="005B0027" w:rsidRPr="00B82051" w:rsidRDefault="005B0027" w:rsidP="00BC0582">
            <w:pPr>
              <w:pStyle w:val="TableText"/>
              <w:spacing w:before="0" w:after="0" w:line="240" w:lineRule="auto"/>
              <w:ind w:left="57" w:right="57"/>
              <w:jc w:val="both"/>
              <w:rPr>
                <w:color w:val="FFFFFF" w:themeColor="background1"/>
                <w:sz w:val="8"/>
                <w:szCs w:val="16"/>
              </w:rPr>
            </w:pPr>
            <w:r w:rsidRPr="00B82051">
              <w:rPr>
                <w:color w:val="FFFFFF" w:themeColor="background1"/>
                <w:sz w:val="8"/>
                <w:szCs w:val="16"/>
              </w:rPr>
              <w:t>2018–19</w:t>
            </w:r>
          </w:p>
        </w:tc>
        <w:tc>
          <w:tcPr>
            <w:tcW w:w="939" w:type="dxa"/>
            <w:noWrap/>
            <w:hideMark/>
          </w:tcPr>
          <w:p w:rsidR="005B0027" w:rsidRPr="00B82051" w:rsidRDefault="005B0027" w:rsidP="00BC0582">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B82051">
              <w:rPr>
                <w:color w:val="FFFFFF" w:themeColor="background1"/>
                <w:sz w:val="8"/>
                <w:szCs w:val="16"/>
              </w:rPr>
              <w:t>22.7</w:t>
            </w:r>
          </w:p>
        </w:tc>
        <w:tc>
          <w:tcPr>
            <w:tcW w:w="1191" w:type="dxa"/>
            <w:noWrap/>
            <w:hideMark/>
          </w:tcPr>
          <w:p w:rsidR="005B0027" w:rsidRPr="00B82051" w:rsidRDefault="005B0027" w:rsidP="00BC0582">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B82051">
              <w:rPr>
                <w:color w:val="FFFFFF" w:themeColor="background1"/>
                <w:sz w:val="8"/>
                <w:szCs w:val="16"/>
              </w:rPr>
              <w:t>323.86</w:t>
            </w:r>
          </w:p>
        </w:tc>
      </w:tr>
      <w:tr w:rsidR="005B0027" w:rsidRPr="00B82051" w:rsidTr="00BC0582">
        <w:tc>
          <w:tcPr>
            <w:cnfStyle w:val="001000000000" w:firstRow="0" w:lastRow="0" w:firstColumn="1" w:lastColumn="0" w:oddVBand="0" w:evenVBand="0" w:oddHBand="0" w:evenHBand="0" w:firstRowFirstColumn="0" w:firstRowLastColumn="0" w:lastRowFirstColumn="0" w:lastRowLastColumn="0"/>
            <w:tcW w:w="518" w:type="dxa"/>
            <w:noWrap/>
            <w:hideMark/>
          </w:tcPr>
          <w:p w:rsidR="005B0027" w:rsidRPr="00B82051" w:rsidRDefault="005B0027" w:rsidP="00BC0582">
            <w:pPr>
              <w:pStyle w:val="TableText"/>
              <w:spacing w:before="0" w:after="0" w:line="240" w:lineRule="auto"/>
              <w:ind w:left="57" w:right="57"/>
              <w:jc w:val="both"/>
              <w:rPr>
                <w:color w:val="FFFFFF" w:themeColor="background1"/>
                <w:sz w:val="8"/>
                <w:szCs w:val="16"/>
              </w:rPr>
            </w:pPr>
            <w:r w:rsidRPr="00B82051">
              <w:rPr>
                <w:color w:val="FFFFFF" w:themeColor="background1"/>
                <w:sz w:val="8"/>
                <w:szCs w:val="16"/>
              </w:rPr>
              <w:t>2019–20</w:t>
            </w:r>
          </w:p>
        </w:tc>
        <w:tc>
          <w:tcPr>
            <w:tcW w:w="939" w:type="dxa"/>
            <w:noWrap/>
            <w:hideMark/>
          </w:tcPr>
          <w:p w:rsidR="005B0027" w:rsidRPr="00B82051" w:rsidRDefault="005B0027" w:rsidP="00BC0582">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B82051">
              <w:rPr>
                <w:color w:val="FFFFFF" w:themeColor="background1"/>
                <w:sz w:val="8"/>
                <w:szCs w:val="16"/>
              </w:rPr>
              <w:t>26.2</w:t>
            </w:r>
          </w:p>
        </w:tc>
        <w:tc>
          <w:tcPr>
            <w:tcW w:w="1191" w:type="dxa"/>
            <w:noWrap/>
            <w:hideMark/>
          </w:tcPr>
          <w:p w:rsidR="005B0027" w:rsidRPr="00B82051" w:rsidRDefault="005B0027" w:rsidP="00BC0582">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B82051">
              <w:rPr>
                <w:color w:val="FFFFFF" w:themeColor="background1"/>
                <w:sz w:val="8"/>
                <w:szCs w:val="16"/>
              </w:rPr>
              <w:t>315.18</w:t>
            </w:r>
          </w:p>
        </w:tc>
      </w:tr>
      <w:tr w:rsidR="005B0027" w:rsidRPr="00B82051" w:rsidTr="00BC0582">
        <w:tc>
          <w:tcPr>
            <w:cnfStyle w:val="001000000000" w:firstRow="0" w:lastRow="0" w:firstColumn="1" w:lastColumn="0" w:oddVBand="0" w:evenVBand="0" w:oddHBand="0" w:evenHBand="0" w:firstRowFirstColumn="0" w:firstRowLastColumn="0" w:lastRowFirstColumn="0" w:lastRowLastColumn="0"/>
            <w:tcW w:w="518" w:type="dxa"/>
            <w:noWrap/>
            <w:hideMark/>
          </w:tcPr>
          <w:p w:rsidR="005B0027" w:rsidRPr="00B82051" w:rsidRDefault="005B0027" w:rsidP="00BC0582">
            <w:pPr>
              <w:pStyle w:val="TableText"/>
              <w:spacing w:before="0" w:after="0" w:line="240" w:lineRule="auto"/>
              <w:ind w:left="57" w:right="57"/>
              <w:jc w:val="both"/>
              <w:rPr>
                <w:color w:val="FFFFFF" w:themeColor="background1"/>
                <w:sz w:val="8"/>
                <w:szCs w:val="16"/>
              </w:rPr>
            </w:pPr>
            <w:r w:rsidRPr="00B82051">
              <w:rPr>
                <w:color w:val="FFFFFF" w:themeColor="background1"/>
                <w:sz w:val="8"/>
                <w:szCs w:val="16"/>
              </w:rPr>
              <w:t>2020–21</w:t>
            </w:r>
          </w:p>
        </w:tc>
        <w:tc>
          <w:tcPr>
            <w:tcW w:w="939" w:type="dxa"/>
            <w:noWrap/>
            <w:hideMark/>
          </w:tcPr>
          <w:p w:rsidR="005B0027" w:rsidRPr="00B82051" w:rsidRDefault="005B0027" w:rsidP="00BC0582">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B82051">
              <w:rPr>
                <w:color w:val="FFFFFF" w:themeColor="background1"/>
                <w:sz w:val="8"/>
                <w:szCs w:val="16"/>
              </w:rPr>
              <w:t>30.0</w:t>
            </w:r>
          </w:p>
        </w:tc>
        <w:tc>
          <w:tcPr>
            <w:tcW w:w="1191" w:type="dxa"/>
            <w:noWrap/>
            <w:hideMark/>
          </w:tcPr>
          <w:p w:rsidR="005B0027" w:rsidRPr="00B82051" w:rsidRDefault="005B0027" w:rsidP="00BC0582">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B82051">
              <w:rPr>
                <w:color w:val="FFFFFF" w:themeColor="background1"/>
                <w:sz w:val="8"/>
                <w:szCs w:val="16"/>
              </w:rPr>
              <w:t>277.83</w:t>
            </w:r>
          </w:p>
        </w:tc>
      </w:tr>
      <w:tr w:rsidR="005B0027" w:rsidRPr="00B82051" w:rsidTr="00BC0582">
        <w:tc>
          <w:tcPr>
            <w:cnfStyle w:val="001000000000" w:firstRow="0" w:lastRow="0" w:firstColumn="1" w:lastColumn="0" w:oddVBand="0" w:evenVBand="0" w:oddHBand="0" w:evenHBand="0" w:firstRowFirstColumn="0" w:firstRowLastColumn="0" w:lastRowFirstColumn="0" w:lastRowLastColumn="0"/>
            <w:tcW w:w="518" w:type="dxa"/>
            <w:noWrap/>
            <w:hideMark/>
          </w:tcPr>
          <w:p w:rsidR="005B0027" w:rsidRPr="00B82051" w:rsidRDefault="005B0027" w:rsidP="00BC0582">
            <w:pPr>
              <w:pStyle w:val="TableText"/>
              <w:spacing w:before="0" w:after="0" w:line="240" w:lineRule="auto"/>
              <w:ind w:left="57" w:right="57"/>
              <w:jc w:val="both"/>
              <w:rPr>
                <w:color w:val="FFFFFF" w:themeColor="background1"/>
                <w:sz w:val="8"/>
                <w:szCs w:val="16"/>
              </w:rPr>
            </w:pPr>
            <w:r w:rsidRPr="00B82051">
              <w:rPr>
                <w:color w:val="FFFFFF" w:themeColor="background1"/>
                <w:sz w:val="8"/>
                <w:szCs w:val="16"/>
              </w:rPr>
              <w:t>2021–22</w:t>
            </w:r>
          </w:p>
        </w:tc>
        <w:tc>
          <w:tcPr>
            <w:tcW w:w="939" w:type="dxa"/>
            <w:noWrap/>
            <w:hideMark/>
          </w:tcPr>
          <w:p w:rsidR="005B0027" w:rsidRPr="00B82051" w:rsidRDefault="005B0027" w:rsidP="00BC0582">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B82051">
              <w:rPr>
                <w:color w:val="FFFFFF" w:themeColor="background1"/>
                <w:sz w:val="8"/>
                <w:szCs w:val="16"/>
              </w:rPr>
              <w:t>33.7</w:t>
            </w:r>
          </w:p>
        </w:tc>
        <w:tc>
          <w:tcPr>
            <w:tcW w:w="1191" w:type="dxa"/>
            <w:noWrap/>
            <w:hideMark/>
          </w:tcPr>
          <w:p w:rsidR="005B0027" w:rsidRPr="00B82051" w:rsidRDefault="005B0027" w:rsidP="00BC0582">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B82051">
              <w:rPr>
                <w:color w:val="FFFFFF" w:themeColor="background1"/>
                <w:sz w:val="8"/>
                <w:szCs w:val="16"/>
              </w:rPr>
              <w:t>254.50</w:t>
            </w:r>
          </w:p>
        </w:tc>
      </w:tr>
      <w:tr w:rsidR="005B0027" w:rsidRPr="00B82051" w:rsidTr="00BC0582">
        <w:tc>
          <w:tcPr>
            <w:cnfStyle w:val="001000000000" w:firstRow="0" w:lastRow="0" w:firstColumn="1" w:lastColumn="0" w:oddVBand="0" w:evenVBand="0" w:oddHBand="0" w:evenHBand="0" w:firstRowFirstColumn="0" w:firstRowLastColumn="0" w:lastRowFirstColumn="0" w:lastRowLastColumn="0"/>
            <w:tcW w:w="518" w:type="dxa"/>
            <w:noWrap/>
            <w:hideMark/>
          </w:tcPr>
          <w:p w:rsidR="005B0027" w:rsidRPr="00B82051" w:rsidRDefault="005B0027" w:rsidP="00BC0582">
            <w:pPr>
              <w:pStyle w:val="TableText"/>
              <w:spacing w:before="0" w:after="0" w:line="240" w:lineRule="auto"/>
              <w:ind w:left="57" w:right="57"/>
              <w:jc w:val="both"/>
              <w:rPr>
                <w:color w:val="FFFFFF" w:themeColor="background1"/>
                <w:sz w:val="8"/>
                <w:szCs w:val="16"/>
              </w:rPr>
            </w:pPr>
            <w:r w:rsidRPr="00B82051">
              <w:rPr>
                <w:color w:val="FFFFFF" w:themeColor="background1"/>
                <w:sz w:val="8"/>
                <w:szCs w:val="16"/>
              </w:rPr>
              <w:t>2022–23</w:t>
            </w:r>
          </w:p>
        </w:tc>
        <w:tc>
          <w:tcPr>
            <w:tcW w:w="939" w:type="dxa"/>
            <w:noWrap/>
            <w:hideMark/>
          </w:tcPr>
          <w:p w:rsidR="005B0027" w:rsidRPr="00B82051" w:rsidRDefault="005B0027" w:rsidP="00BC0582">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B82051">
              <w:rPr>
                <w:color w:val="FFFFFF" w:themeColor="background1"/>
                <w:sz w:val="8"/>
                <w:szCs w:val="16"/>
              </w:rPr>
              <w:t>37.4</w:t>
            </w:r>
          </w:p>
        </w:tc>
        <w:tc>
          <w:tcPr>
            <w:tcW w:w="1191" w:type="dxa"/>
            <w:noWrap/>
            <w:hideMark/>
          </w:tcPr>
          <w:p w:rsidR="005B0027" w:rsidRPr="00B82051" w:rsidRDefault="005B0027" w:rsidP="00BC0582">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B82051">
              <w:rPr>
                <w:color w:val="FFFFFF" w:themeColor="background1"/>
                <w:sz w:val="8"/>
                <w:szCs w:val="16"/>
              </w:rPr>
              <w:t>239.18</w:t>
            </w:r>
          </w:p>
        </w:tc>
      </w:tr>
      <w:tr w:rsidR="005B0027" w:rsidRPr="00B82051" w:rsidTr="00BC0582">
        <w:tc>
          <w:tcPr>
            <w:cnfStyle w:val="001000000000" w:firstRow="0" w:lastRow="0" w:firstColumn="1" w:lastColumn="0" w:oddVBand="0" w:evenVBand="0" w:oddHBand="0" w:evenHBand="0" w:firstRowFirstColumn="0" w:firstRowLastColumn="0" w:lastRowFirstColumn="0" w:lastRowLastColumn="0"/>
            <w:tcW w:w="518" w:type="dxa"/>
            <w:noWrap/>
            <w:hideMark/>
          </w:tcPr>
          <w:p w:rsidR="005B0027" w:rsidRPr="00B82051" w:rsidRDefault="005B0027" w:rsidP="00BC0582">
            <w:pPr>
              <w:pStyle w:val="TableText"/>
              <w:spacing w:before="0" w:after="0" w:line="240" w:lineRule="auto"/>
              <w:ind w:left="57" w:right="57"/>
              <w:jc w:val="both"/>
              <w:rPr>
                <w:color w:val="FFFFFF" w:themeColor="background1"/>
                <w:sz w:val="8"/>
                <w:szCs w:val="16"/>
              </w:rPr>
            </w:pPr>
            <w:r w:rsidRPr="00B82051">
              <w:rPr>
                <w:color w:val="FFFFFF" w:themeColor="background1"/>
                <w:sz w:val="8"/>
                <w:szCs w:val="16"/>
              </w:rPr>
              <w:t>2023–24</w:t>
            </w:r>
          </w:p>
        </w:tc>
        <w:tc>
          <w:tcPr>
            <w:tcW w:w="939" w:type="dxa"/>
            <w:noWrap/>
            <w:hideMark/>
          </w:tcPr>
          <w:p w:rsidR="005B0027" w:rsidRPr="00B82051" w:rsidRDefault="005B0027" w:rsidP="00BC0582">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B82051">
              <w:rPr>
                <w:color w:val="FFFFFF" w:themeColor="background1"/>
                <w:sz w:val="8"/>
                <w:szCs w:val="16"/>
              </w:rPr>
              <w:t>41.0</w:t>
            </w:r>
          </w:p>
        </w:tc>
        <w:tc>
          <w:tcPr>
            <w:tcW w:w="1191" w:type="dxa"/>
            <w:noWrap/>
            <w:hideMark/>
          </w:tcPr>
          <w:p w:rsidR="005B0027" w:rsidRPr="00B82051" w:rsidRDefault="005B0027" w:rsidP="00BC0582">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B82051">
              <w:rPr>
                <w:color w:val="FFFFFF" w:themeColor="background1"/>
                <w:sz w:val="8"/>
                <w:szCs w:val="16"/>
              </w:rPr>
              <w:t>228.98</w:t>
            </w:r>
          </w:p>
        </w:tc>
      </w:tr>
      <w:tr w:rsidR="005B0027" w:rsidRPr="00B82051" w:rsidTr="00BC0582">
        <w:tc>
          <w:tcPr>
            <w:cnfStyle w:val="001000000000" w:firstRow="0" w:lastRow="0" w:firstColumn="1" w:lastColumn="0" w:oddVBand="0" w:evenVBand="0" w:oddHBand="0" w:evenHBand="0" w:firstRowFirstColumn="0" w:firstRowLastColumn="0" w:lastRowFirstColumn="0" w:lastRowLastColumn="0"/>
            <w:tcW w:w="518" w:type="dxa"/>
            <w:noWrap/>
            <w:hideMark/>
          </w:tcPr>
          <w:p w:rsidR="005B0027" w:rsidRPr="00B82051" w:rsidRDefault="005B0027" w:rsidP="00BC0582">
            <w:pPr>
              <w:pStyle w:val="TableText"/>
              <w:spacing w:before="0" w:after="0" w:line="240" w:lineRule="auto"/>
              <w:ind w:left="57" w:right="57"/>
              <w:jc w:val="both"/>
              <w:rPr>
                <w:color w:val="FFFFFF" w:themeColor="background1"/>
                <w:sz w:val="8"/>
                <w:szCs w:val="16"/>
              </w:rPr>
            </w:pPr>
            <w:r w:rsidRPr="00B82051">
              <w:rPr>
                <w:color w:val="FFFFFF" w:themeColor="background1"/>
                <w:sz w:val="8"/>
                <w:szCs w:val="16"/>
              </w:rPr>
              <w:t>2024–25</w:t>
            </w:r>
          </w:p>
        </w:tc>
        <w:tc>
          <w:tcPr>
            <w:tcW w:w="939" w:type="dxa"/>
            <w:noWrap/>
            <w:hideMark/>
          </w:tcPr>
          <w:p w:rsidR="005B0027" w:rsidRPr="00B82051" w:rsidRDefault="005B0027" w:rsidP="00BC0582">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B82051">
              <w:rPr>
                <w:color w:val="FFFFFF" w:themeColor="background1"/>
                <w:sz w:val="8"/>
                <w:szCs w:val="16"/>
              </w:rPr>
              <w:t>44.6</w:t>
            </w:r>
          </w:p>
        </w:tc>
        <w:tc>
          <w:tcPr>
            <w:tcW w:w="1191" w:type="dxa"/>
            <w:noWrap/>
            <w:hideMark/>
          </w:tcPr>
          <w:p w:rsidR="005B0027" w:rsidRPr="00B82051" w:rsidRDefault="005B0027" w:rsidP="00BC0582">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B82051">
              <w:rPr>
                <w:color w:val="FFFFFF" w:themeColor="background1"/>
                <w:sz w:val="8"/>
                <w:szCs w:val="16"/>
              </w:rPr>
              <w:t>221.40</w:t>
            </w:r>
          </w:p>
        </w:tc>
      </w:tr>
      <w:tr w:rsidR="00B82051" w:rsidRPr="00B82051" w:rsidTr="00BC0582">
        <w:tc>
          <w:tcPr>
            <w:cnfStyle w:val="001000000000" w:firstRow="0" w:lastRow="0" w:firstColumn="1" w:lastColumn="0" w:oddVBand="0" w:evenVBand="0" w:oddHBand="0" w:evenHBand="0" w:firstRowFirstColumn="0" w:firstRowLastColumn="0" w:lastRowFirstColumn="0" w:lastRowLastColumn="0"/>
            <w:tcW w:w="518" w:type="dxa"/>
            <w:noWrap/>
            <w:hideMark/>
          </w:tcPr>
          <w:p w:rsidR="005B0027" w:rsidRPr="00B82051" w:rsidRDefault="005B0027" w:rsidP="00BC0582">
            <w:pPr>
              <w:pStyle w:val="TableText"/>
              <w:spacing w:before="0" w:after="0" w:line="240" w:lineRule="auto"/>
              <w:ind w:left="57" w:right="57"/>
              <w:jc w:val="both"/>
              <w:rPr>
                <w:color w:val="FFFFFF" w:themeColor="background1"/>
                <w:sz w:val="8"/>
                <w:szCs w:val="16"/>
              </w:rPr>
            </w:pPr>
            <w:r w:rsidRPr="00B82051">
              <w:rPr>
                <w:color w:val="FFFFFF" w:themeColor="background1"/>
                <w:sz w:val="8"/>
                <w:szCs w:val="16"/>
              </w:rPr>
              <w:t>2025–26</w:t>
            </w:r>
          </w:p>
        </w:tc>
        <w:tc>
          <w:tcPr>
            <w:tcW w:w="939" w:type="dxa"/>
            <w:noWrap/>
            <w:hideMark/>
          </w:tcPr>
          <w:p w:rsidR="005B0027" w:rsidRPr="00B82051" w:rsidRDefault="005B0027" w:rsidP="00BC0582">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B82051">
              <w:rPr>
                <w:color w:val="FFFFFF" w:themeColor="background1"/>
                <w:sz w:val="8"/>
                <w:szCs w:val="16"/>
              </w:rPr>
              <w:t>48.1</w:t>
            </w:r>
          </w:p>
        </w:tc>
        <w:tc>
          <w:tcPr>
            <w:tcW w:w="1191" w:type="dxa"/>
            <w:noWrap/>
            <w:hideMark/>
          </w:tcPr>
          <w:p w:rsidR="005B0027" w:rsidRPr="00B82051" w:rsidRDefault="005B0027" w:rsidP="00BC0582">
            <w:pPr>
              <w:pStyle w:val="TableTextCentred"/>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16"/>
              </w:rPr>
            </w:pPr>
            <w:r w:rsidRPr="00B82051">
              <w:rPr>
                <w:color w:val="FFFFFF" w:themeColor="background1"/>
                <w:sz w:val="8"/>
                <w:szCs w:val="16"/>
              </w:rPr>
              <w:t>214.56</w:t>
            </w:r>
          </w:p>
        </w:tc>
      </w:tr>
    </w:tbl>
    <w:p w:rsidR="00D75398" w:rsidRDefault="00D75398" w:rsidP="00505C89">
      <w:pPr>
        <w:pStyle w:val="Source"/>
        <w:spacing w:before="2640"/>
      </w:pPr>
      <w:r>
        <w:t xml:space="preserve">Source: </w:t>
      </w:r>
      <w:r w:rsidR="004567DE">
        <w:t>2015</w:t>
      </w:r>
      <w:r w:rsidR="00502E1C">
        <w:t>–</w:t>
      </w:r>
      <w:r w:rsidR="004567DE">
        <w:t>16 MYEFO</w:t>
      </w:r>
      <w:r w:rsidR="004759E0">
        <w:t xml:space="preserve"> and </w:t>
      </w:r>
      <w:r>
        <w:t>PBO analysis.</w:t>
      </w:r>
    </w:p>
    <w:p w:rsidR="002E51E7" w:rsidRDefault="00276CCF" w:rsidP="00450C29">
      <w:pPr>
        <w:pStyle w:val="BodyText17ptAbove"/>
      </w:pPr>
      <w:r>
        <w:t xml:space="preserve">As discussed previously, the public debt interest expenses </w:t>
      </w:r>
      <w:r w:rsidR="004759E0">
        <w:t xml:space="preserve">associated with the HELP loan portfolio </w:t>
      </w:r>
      <w:r>
        <w:t xml:space="preserve">are projected by the PBO to grow strongly as the value of outstanding loans increases.  </w:t>
      </w:r>
      <w:r w:rsidR="00A1599A">
        <w:t xml:space="preserve">The component of public debt interest attributable to the HELP loan portfolio is projected to rise from </w:t>
      </w:r>
      <w:r w:rsidR="00A9716E">
        <w:t>$2.2</w:t>
      </w:r>
      <w:r w:rsidR="00A1599A">
        <w:t> billion in 2015</w:t>
      </w:r>
      <w:r w:rsidR="007366EB">
        <w:t>–</w:t>
      </w:r>
      <w:r w:rsidR="00A1599A">
        <w:t xml:space="preserve">16 to </w:t>
      </w:r>
      <w:r w:rsidR="00A9716E">
        <w:t>$12.8</w:t>
      </w:r>
      <w:r w:rsidR="00A1599A">
        <w:t xml:space="preserve"> billion in 2025</w:t>
      </w:r>
      <w:r w:rsidR="007366EB">
        <w:t>–</w:t>
      </w:r>
      <w:r w:rsidR="00A1599A">
        <w:t xml:space="preserve">26.  </w:t>
      </w:r>
      <w:r>
        <w:t>The public debt interest payments associated with financing the HELP loan portfolio as a proportion of the Australian Government’s</w:t>
      </w:r>
      <w:r w:rsidR="00F02F15">
        <w:t xml:space="preserve"> total</w:t>
      </w:r>
      <w:r>
        <w:t xml:space="preserve"> public debt interest payments is projected by the PBO to </w:t>
      </w:r>
      <w:proofErr w:type="gramStart"/>
      <w:r>
        <w:t>rise</w:t>
      </w:r>
      <w:proofErr w:type="gramEnd"/>
      <w:r>
        <w:t xml:space="preserve"> from </w:t>
      </w:r>
      <w:r w:rsidR="00A9716E">
        <w:t>15.4</w:t>
      </w:r>
      <w:r w:rsidR="007366EB">
        <w:t> </w:t>
      </w:r>
      <w:r>
        <w:t>per</w:t>
      </w:r>
      <w:r w:rsidR="007366EB">
        <w:t> </w:t>
      </w:r>
      <w:r>
        <w:t>cent in 2015</w:t>
      </w:r>
      <w:r w:rsidR="007366EB">
        <w:t>–</w:t>
      </w:r>
      <w:r>
        <w:t xml:space="preserve">16 to </w:t>
      </w:r>
      <w:r w:rsidR="00A9716E">
        <w:t>46.3</w:t>
      </w:r>
      <w:r>
        <w:t xml:space="preserve"> per cent in 2025</w:t>
      </w:r>
      <w:r w:rsidR="007366EB">
        <w:t>–</w:t>
      </w:r>
      <w:r>
        <w:t>26 (</w:t>
      </w:r>
      <w:r w:rsidR="00054E67">
        <w:fldChar w:fldCharType="begin"/>
      </w:r>
      <w:r w:rsidR="00054E67">
        <w:instrText xml:space="preserve"> REF _Ref445796918 \h </w:instrText>
      </w:r>
      <w:r w:rsidR="00054E67">
        <w:fldChar w:fldCharType="separate"/>
      </w:r>
      <w:r w:rsidR="00CA5C2D" w:rsidRPr="00F51BF0">
        <w:t xml:space="preserve">Figure </w:t>
      </w:r>
      <w:r w:rsidR="00CA5C2D">
        <w:rPr>
          <w:noProof/>
        </w:rPr>
        <w:t>2</w:t>
      </w:r>
      <w:r w:rsidR="00CA5C2D" w:rsidRPr="00F51BF0">
        <w:t>–</w:t>
      </w:r>
      <w:r w:rsidR="00CA5C2D">
        <w:rPr>
          <w:noProof/>
        </w:rPr>
        <w:t>7</w:t>
      </w:r>
      <w:r w:rsidR="00054E67">
        <w:fldChar w:fldCharType="end"/>
      </w:r>
      <w:r>
        <w:t>)</w:t>
      </w:r>
      <w:r w:rsidR="00054E67">
        <w:t>.</w:t>
      </w:r>
    </w:p>
    <w:p w:rsidR="00150117" w:rsidRDefault="002274E2" w:rsidP="002E51E7">
      <w:pPr>
        <w:pStyle w:val="Caption"/>
        <w:keepLines/>
      </w:pPr>
      <w:bookmarkStart w:id="93" w:name="_Ref445796918"/>
      <w:r>
        <w:rPr>
          <w:noProof/>
          <w:lang w:eastAsia="en-AU"/>
        </w:rPr>
        <w:lastRenderedPageBreak/>
        <w:drawing>
          <wp:anchor distT="0" distB="0" distL="114300" distR="114300" simplePos="0" relativeHeight="251679744" behindDoc="0" locked="0" layoutInCell="1" allowOverlap="1" wp14:anchorId="535DBE75" wp14:editId="4E6062F3">
            <wp:simplePos x="0" y="0"/>
            <wp:positionH relativeFrom="column">
              <wp:posOffset>-12065</wp:posOffset>
            </wp:positionH>
            <wp:positionV relativeFrom="paragraph">
              <wp:posOffset>257175</wp:posOffset>
            </wp:positionV>
            <wp:extent cx="5279390" cy="2749550"/>
            <wp:effectExtent l="0" t="0" r="0" b="0"/>
            <wp:wrapNone/>
            <wp:docPr id="19" name="Picture 19" descr="Decorative"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79390" cy="2749550"/>
                    </a:xfrm>
                    <a:prstGeom prst="rect">
                      <a:avLst/>
                    </a:prstGeom>
                    <a:noFill/>
                  </pic:spPr>
                </pic:pic>
              </a:graphicData>
            </a:graphic>
            <wp14:sizeRelH relativeFrom="page">
              <wp14:pctWidth>0</wp14:pctWidth>
            </wp14:sizeRelH>
            <wp14:sizeRelV relativeFrom="page">
              <wp14:pctHeight>0</wp14:pctHeight>
            </wp14:sizeRelV>
          </wp:anchor>
        </w:drawing>
      </w:r>
      <w:r w:rsidR="00150117" w:rsidRPr="00F51BF0">
        <w:t xml:space="preserve">Figure </w:t>
      </w:r>
      <w:fldSimple w:instr=" STYLEREF 1 \s ">
        <w:r w:rsidR="00CA5C2D">
          <w:rPr>
            <w:noProof/>
          </w:rPr>
          <w:t>2</w:t>
        </w:r>
      </w:fldSimple>
      <w:r w:rsidR="00150117" w:rsidRPr="00F51BF0">
        <w:t>–</w:t>
      </w:r>
      <w:fldSimple w:instr=" SEQ Figure \* ARABIC \s 1 ">
        <w:r w:rsidR="00CA5C2D">
          <w:rPr>
            <w:noProof/>
          </w:rPr>
          <w:t>7</w:t>
        </w:r>
      </w:fldSimple>
      <w:bookmarkEnd w:id="93"/>
      <w:r w:rsidR="00150117" w:rsidRPr="00F51BF0">
        <w:t xml:space="preserve">: </w:t>
      </w:r>
      <w:r w:rsidR="00150117">
        <w:t>HELP loan portfolio – impact on public debt interest</w:t>
      </w:r>
    </w:p>
    <w:tbl>
      <w:tblPr>
        <w:tblStyle w:val="TableGrid"/>
        <w:tblW w:w="5000" w:type="pct"/>
        <w:tblLook w:val="0680" w:firstRow="0" w:lastRow="0" w:firstColumn="1" w:lastColumn="0" w:noHBand="1" w:noVBand="1"/>
      </w:tblPr>
      <w:tblGrid>
        <w:gridCol w:w="1554"/>
        <w:gridCol w:w="429"/>
        <w:gridCol w:w="398"/>
        <w:gridCol w:w="398"/>
        <w:gridCol w:w="398"/>
        <w:gridCol w:w="398"/>
        <w:gridCol w:w="398"/>
        <w:gridCol w:w="434"/>
        <w:gridCol w:w="434"/>
        <w:gridCol w:w="434"/>
        <w:gridCol w:w="434"/>
        <w:gridCol w:w="434"/>
        <w:gridCol w:w="434"/>
        <w:gridCol w:w="434"/>
        <w:gridCol w:w="434"/>
        <w:gridCol w:w="434"/>
        <w:gridCol w:w="434"/>
      </w:tblGrid>
      <w:tr w:rsidR="00557B3E" w:rsidRPr="00557B3E" w:rsidTr="00BC0582">
        <w:tc>
          <w:tcPr>
            <w:cnfStyle w:val="001000000000" w:firstRow="0" w:lastRow="0" w:firstColumn="1" w:lastColumn="0" w:oddVBand="0" w:evenVBand="0" w:oddHBand="0" w:evenHBand="0" w:firstRowFirstColumn="0" w:firstRowLastColumn="0" w:lastRowFirstColumn="0" w:lastRowLastColumn="0"/>
            <w:tcW w:w="860" w:type="pct"/>
            <w:noWrap/>
            <w:hideMark/>
          </w:tcPr>
          <w:p w:rsidR="005B0027" w:rsidRPr="00557B3E" w:rsidRDefault="005B0027" w:rsidP="002E51E7">
            <w:pPr>
              <w:pStyle w:val="TableText"/>
              <w:keepNext/>
              <w:keepLines/>
              <w:spacing w:before="0" w:after="0" w:line="240" w:lineRule="auto"/>
              <w:ind w:left="57" w:right="57"/>
              <w:rPr>
                <w:color w:val="FFFFFF" w:themeColor="background1"/>
                <w:sz w:val="8"/>
                <w:szCs w:val="8"/>
              </w:rPr>
            </w:pPr>
          </w:p>
        </w:tc>
        <w:tc>
          <w:tcPr>
            <w:tcW w:w="263" w:type="pct"/>
            <w:noWrap/>
            <w:hideMark/>
          </w:tcPr>
          <w:p w:rsidR="005B0027" w:rsidRPr="00557B3E" w:rsidRDefault="005B0027" w:rsidP="002E51E7">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57B3E">
              <w:rPr>
                <w:color w:val="FFFFFF" w:themeColor="background1"/>
                <w:sz w:val="8"/>
                <w:szCs w:val="8"/>
              </w:rPr>
              <w:t>2010–11</w:t>
            </w:r>
          </w:p>
        </w:tc>
        <w:tc>
          <w:tcPr>
            <w:tcW w:w="242" w:type="pct"/>
            <w:noWrap/>
            <w:hideMark/>
          </w:tcPr>
          <w:p w:rsidR="005B0027" w:rsidRPr="00557B3E" w:rsidRDefault="005B0027" w:rsidP="002E51E7">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57B3E">
              <w:rPr>
                <w:color w:val="FFFFFF" w:themeColor="background1"/>
                <w:sz w:val="8"/>
                <w:szCs w:val="8"/>
              </w:rPr>
              <w:t>2011–12</w:t>
            </w:r>
          </w:p>
        </w:tc>
        <w:tc>
          <w:tcPr>
            <w:tcW w:w="245" w:type="pct"/>
            <w:noWrap/>
            <w:hideMark/>
          </w:tcPr>
          <w:p w:rsidR="005B0027" w:rsidRPr="00557B3E" w:rsidRDefault="005B0027" w:rsidP="002E51E7">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57B3E">
              <w:rPr>
                <w:color w:val="FFFFFF" w:themeColor="background1"/>
                <w:sz w:val="8"/>
                <w:szCs w:val="8"/>
              </w:rPr>
              <w:t>2012–13</w:t>
            </w:r>
          </w:p>
        </w:tc>
        <w:tc>
          <w:tcPr>
            <w:tcW w:w="245" w:type="pct"/>
            <w:noWrap/>
            <w:hideMark/>
          </w:tcPr>
          <w:p w:rsidR="005B0027" w:rsidRPr="00557B3E" w:rsidRDefault="005B0027" w:rsidP="002E51E7">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57B3E">
              <w:rPr>
                <w:color w:val="FFFFFF" w:themeColor="background1"/>
                <w:sz w:val="8"/>
                <w:szCs w:val="8"/>
              </w:rPr>
              <w:t>2013–14</w:t>
            </w:r>
          </w:p>
        </w:tc>
        <w:tc>
          <w:tcPr>
            <w:tcW w:w="245" w:type="pct"/>
            <w:noWrap/>
            <w:hideMark/>
          </w:tcPr>
          <w:p w:rsidR="005B0027" w:rsidRPr="00557B3E" w:rsidRDefault="005B0027" w:rsidP="002E51E7">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57B3E">
              <w:rPr>
                <w:color w:val="FFFFFF" w:themeColor="background1"/>
                <w:sz w:val="8"/>
                <w:szCs w:val="8"/>
              </w:rPr>
              <w:t>2014–15</w:t>
            </w:r>
          </w:p>
        </w:tc>
        <w:tc>
          <w:tcPr>
            <w:tcW w:w="245" w:type="pct"/>
            <w:noWrap/>
            <w:hideMark/>
          </w:tcPr>
          <w:p w:rsidR="005B0027" w:rsidRPr="00557B3E" w:rsidRDefault="005B0027" w:rsidP="002E51E7">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57B3E">
              <w:rPr>
                <w:color w:val="FFFFFF" w:themeColor="background1"/>
                <w:sz w:val="8"/>
                <w:szCs w:val="8"/>
              </w:rPr>
              <w:t>2015–16</w:t>
            </w:r>
          </w:p>
        </w:tc>
        <w:tc>
          <w:tcPr>
            <w:tcW w:w="265" w:type="pct"/>
            <w:noWrap/>
            <w:hideMark/>
          </w:tcPr>
          <w:p w:rsidR="005B0027" w:rsidRPr="00557B3E" w:rsidRDefault="005B0027" w:rsidP="002E51E7">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57B3E">
              <w:rPr>
                <w:color w:val="FFFFFF" w:themeColor="background1"/>
                <w:sz w:val="8"/>
                <w:szCs w:val="8"/>
              </w:rPr>
              <w:t>2016–17</w:t>
            </w:r>
          </w:p>
        </w:tc>
        <w:tc>
          <w:tcPr>
            <w:tcW w:w="265" w:type="pct"/>
            <w:noWrap/>
            <w:hideMark/>
          </w:tcPr>
          <w:p w:rsidR="005B0027" w:rsidRPr="00557B3E" w:rsidRDefault="005B0027" w:rsidP="002E51E7">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57B3E">
              <w:rPr>
                <w:color w:val="FFFFFF" w:themeColor="background1"/>
                <w:sz w:val="8"/>
                <w:szCs w:val="8"/>
              </w:rPr>
              <w:t>2017–18</w:t>
            </w:r>
          </w:p>
        </w:tc>
        <w:tc>
          <w:tcPr>
            <w:tcW w:w="265" w:type="pct"/>
            <w:noWrap/>
            <w:hideMark/>
          </w:tcPr>
          <w:p w:rsidR="005B0027" w:rsidRPr="00557B3E" w:rsidRDefault="005B0027" w:rsidP="002E51E7">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57B3E">
              <w:rPr>
                <w:color w:val="FFFFFF" w:themeColor="background1"/>
                <w:sz w:val="8"/>
                <w:szCs w:val="8"/>
              </w:rPr>
              <w:t>2018–19</w:t>
            </w:r>
          </w:p>
        </w:tc>
        <w:tc>
          <w:tcPr>
            <w:tcW w:w="265" w:type="pct"/>
            <w:noWrap/>
            <w:hideMark/>
          </w:tcPr>
          <w:p w:rsidR="005B0027" w:rsidRPr="00557B3E" w:rsidRDefault="005B0027" w:rsidP="002E51E7">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57B3E">
              <w:rPr>
                <w:color w:val="FFFFFF" w:themeColor="background1"/>
                <w:sz w:val="8"/>
                <w:szCs w:val="8"/>
              </w:rPr>
              <w:t>2019–20</w:t>
            </w:r>
          </w:p>
        </w:tc>
        <w:tc>
          <w:tcPr>
            <w:tcW w:w="265" w:type="pct"/>
            <w:noWrap/>
            <w:hideMark/>
          </w:tcPr>
          <w:p w:rsidR="005B0027" w:rsidRPr="00557B3E" w:rsidRDefault="005B0027" w:rsidP="002E51E7">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57B3E">
              <w:rPr>
                <w:color w:val="FFFFFF" w:themeColor="background1"/>
                <w:sz w:val="8"/>
                <w:szCs w:val="8"/>
              </w:rPr>
              <w:t>2020–21</w:t>
            </w:r>
          </w:p>
        </w:tc>
        <w:tc>
          <w:tcPr>
            <w:tcW w:w="265" w:type="pct"/>
            <w:noWrap/>
            <w:hideMark/>
          </w:tcPr>
          <w:p w:rsidR="005B0027" w:rsidRPr="00557B3E" w:rsidRDefault="005B0027" w:rsidP="002E51E7">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57B3E">
              <w:rPr>
                <w:color w:val="FFFFFF" w:themeColor="background1"/>
                <w:sz w:val="8"/>
                <w:szCs w:val="8"/>
              </w:rPr>
              <w:t>2021–22</w:t>
            </w:r>
          </w:p>
        </w:tc>
        <w:tc>
          <w:tcPr>
            <w:tcW w:w="265" w:type="pct"/>
            <w:noWrap/>
            <w:hideMark/>
          </w:tcPr>
          <w:p w:rsidR="005B0027" w:rsidRPr="00557B3E" w:rsidRDefault="005B0027" w:rsidP="002E51E7">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57B3E">
              <w:rPr>
                <w:color w:val="FFFFFF" w:themeColor="background1"/>
                <w:sz w:val="8"/>
                <w:szCs w:val="8"/>
              </w:rPr>
              <w:t>2022–23</w:t>
            </w:r>
          </w:p>
        </w:tc>
        <w:tc>
          <w:tcPr>
            <w:tcW w:w="265" w:type="pct"/>
            <w:noWrap/>
            <w:hideMark/>
          </w:tcPr>
          <w:p w:rsidR="005B0027" w:rsidRPr="00557B3E" w:rsidRDefault="005B0027" w:rsidP="002E51E7">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57B3E">
              <w:rPr>
                <w:color w:val="FFFFFF" w:themeColor="background1"/>
                <w:sz w:val="8"/>
                <w:szCs w:val="8"/>
              </w:rPr>
              <w:t>2023–24</w:t>
            </w:r>
          </w:p>
        </w:tc>
        <w:tc>
          <w:tcPr>
            <w:tcW w:w="265" w:type="pct"/>
            <w:noWrap/>
            <w:hideMark/>
          </w:tcPr>
          <w:p w:rsidR="005B0027" w:rsidRPr="00557B3E" w:rsidRDefault="005B0027" w:rsidP="002E51E7">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57B3E">
              <w:rPr>
                <w:color w:val="FFFFFF" w:themeColor="background1"/>
                <w:sz w:val="8"/>
                <w:szCs w:val="8"/>
              </w:rPr>
              <w:t>2024–25</w:t>
            </w:r>
          </w:p>
        </w:tc>
        <w:tc>
          <w:tcPr>
            <w:tcW w:w="265" w:type="pct"/>
            <w:noWrap/>
            <w:hideMark/>
          </w:tcPr>
          <w:p w:rsidR="005B0027" w:rsidRPr="00557B3E" w:rsidRDefault="005B0027" w:rsidP="002E51E7">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57B3E">
              <w:rPr>
                <w:color w:val="FFFFFF" w:themeColor="background1"/>
                <w:sz w:val="8"/>
                <w:szCs w:val="8"/>
              </w:rPr>
              <w:t>2025–26</w:t>
            </w:r>
          </w:p>
        </w:tc>
      </w:tr>
      <w:tr w:rsidR="00557B3E" w:rsidRPr="00557B3E" w:rsidTr="00BC0582">
        <w:tc>
          <w:tcPr>
            <w:cnfStyle w:val="001000000000" w:firstRow="0" w:lastRow="0" w:firstColumn="1" w:lastColumn="0" w:oddVBand="0" w:evenVBand="0" w:oddHBand="0" w:evenHBand="0" w:firstRowFirstColumn="0" w:firstRowLastColumn="0" w:lastRowFirstColumn="0" w:lastRowLastColumn="0"/>
            <w:tcW w:w="860" w:type="pct"/>
            <w:noWrap/>
            <w:hideMark/>
          </w:tcPr>
          <w:p w:rsidR="005B0027" w:rsidRPr="00557B3E" w:rsidRDefault="005B0027" w:rsidP="002E51E7">
            <w:pPr>
              <w:pStyle w:val="TableText"/>
              <w:keepNext/>
              <w:keepLines/>
              <w:spacing w:before="0" w:after="0" w:line="240" w:lineRule="auto"/>
              <w:ind w:left="57" w:right="57"/>
              <w:rPr>
                <w:color w:val="FFFFFF" w:themeColor="background1"/>
                <w:sz w:val="8"/>
                <w:szCs w:val="8"/>
              </w:rPr>
            </w:pPr>
            <w:r w:rsidRPr="00557B3E">
              <w:rPr>
                <w:color w:val="FFFFFF" w:themeColor="background1"/>
                <w:sz w:val="8"/>
                <w:szCs w:val="8"/>
              </w:rPr>
              <w:t>Public debt interest not attributable to HELP</w:t>
            </w:r>
          </w:p>
        </w:tc>
        <w:tc>
          <w:tcPr>
            <w:tcW w:w="263" w:type="pct"/>
            <w:noWrap/>
            <w:hideMark/>
          </w:tcPr>
          <w:p w:rsidR="005B0027" w:rsidRPr="00557B3E" w:rsidRDefault="005B0027" w:rsidP="002E51E7">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57B3E">
              <w:rPr>
                <w:color w:val="FFFFFF" w:themeColor="background1"/>
                <w:sz w:val="8"/>
                <w:szCs w:val="8"/>
              </w:rPr>
              <w:t>8.06</w:t>
            </w:r>
          </w:p>
        </w:tc>
        <w:tc>
          <w:tcPr>
            <w:tcW w:w="242" w:type="pct"/>
            <w:noWrap/>
            <w:hideMark/>
          </w:tcPr>
          <w:p w:rsidR="005B0027" w:rsidRPr="00557B3E" w:rsidRDefault="005B0027" w:rsidP="002E51E7">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57B3E">
              <w:rPr>
                <w:color w:val="FFFFFF" w:themeColor="background1"/>
                <w:sz w:val="8"/>
                <w:szCs w:val="8"/>
              </w:rPr>
              <w:t>9.90</w:t>
            </w:r>
          </w:p>
        </w:tc>
        <w:tc>
          <w:tcPr>
            <w:tcW w:w="245" w:type="pct"/>
            <w:noWrap/>
            <w:hideMark/>
          </w:tcPr>
          <w:p w:rsidR="005B0027" w:rsidRPr="00557B3E" w:rsidRDefault="005B0027" w:rsidP="002E51E7">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57B3E">
              <w:rPr>
                <w:color w:val="FFFFFF" w:themeColor="background1"/>
                <w:sz w:val="8"/>
                <w:szCs w:val="8"/>
              </w:rPr>
              <w:t>10.55</w:t>
            </w:r>
          </w:p>
        </w:tc>
        <w:tc>
          <w:tcPr>
            <w:tcW w:w="245" w:type="pct"/>
            <w:noWrap/>
            <w:hideMark/>
          </w:tcPr>
          <w:p w:rsidR="005B0027" w:rsidRPr="00557B3E" w:rsidRDefault="005B0027" w:rsidP="002E51E7">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57B3E">
              <w:rPr>
                <w:color w:val="FFFFFF" w:themeColor="background1"/>
                <w:sz w:val="8"/>
                <w:szCs w:val="8"/>
              </w:rPr>
              <w:t>12.45</w:t>
            </w:r>
          </w:p>
        </w:tc>
        <w:tc>
          <w:tcPr>
            <w:tcW w:w="245" w:type="pct"/>
            <w:noWrap/>
            <w:hideMark/>
          </w:tcPr>
          <w:p w:rsidR="005B0027" w:rsidRPr="00557B3E" w:rsidRDefault="005B0027" w:rsidP="002E51E7">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57B3E">
              <w:rPr>
                <w:color w:val="FFFFFF" w:themeColor="background1"/>
                <w:sz w:val="8"/>
                <w:szCs w:val="8"/>
              </w:rPr>
              <w:t>12.50</w:t>
            </w:r>
          </w:p>
        </w:tc>
        <w:tc>
          <w:tcPr>
            <w:tcW w:w="245" w:type="pct"/>
            <w:noWrap/>
            <w:hideMark/>
          </w:tcPr>
          <w:p w:rsidR="005B0027" w:rsidRPr="00557B3E" w:rsidRDefault="005B0027" w:rsidP="002E51E7">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57B3E">
              <w:rPr>
                <w:color w:val="FFFFFF" w:themeColor="background1"/>
                <w:sz w:val="8"/>
                <w:szCs w:val="8"/>
              </w:rPr>
              <w:t>12.37</w:t>
            </w:r>
          </w:p>
        </w:tc>
        <w:tc>
          <w:tcPr>
            <w:tcW w:w="265" w:type="pct"/>
            <w:noWrap/>
            <w:hideMark/>
          </w:tcPr>
          <w:p w:rsidR="005B0027" w:rsidRPr="00557B3E" w:rsidRDefault="005B0027" w:rsidP="002E51E7">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57B3E">
              <w:rPr>
                <w:color w:val="FFFFFF" w:themeColor="background1"/>
                <w:sz w:val="8"/>
                <w:szCs w:val="8"/>
              </w:rPr>
              <w:t>12.84</w:t>
            </w:r>
          </w:p>
        </w:tc>
        <w:tc>
          <w:tcPr>
            <w:tcW w:w="265" w:type="pct"/>
            <w:noWrap/>
            <w:hideMark/>
          </w:tcPr>
          <w:p w:rsidR="005B0027" w:rsidRPr="00557B3E" w:rsidRDefault="005B0027" w:rsidP="002E51E7">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57B3E">
              <w:rPr>
                <w:color w:val="FFFFFF" w:themeColor="background1"/>
                <w:sz w:val="8"/>
                <w:szCs w:val="8"/>
              </w:rPr>
              <w:t>13.25</w:t>
            </w:r>
          </w:p>
        </w:tc>
        <w:tc>
          <w:tcPr>
            <w:tcW w:w="265" w:type="pct"/>
            <w:noWrap/>
            <w:hideMark/>
          </w:tcPr>
          <w:p w:rsidR="005B0027" w:rsidRPr="00557B3E" w:rsidRDefault="005B0027" w:rsidP="002E51E7">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57B3E">
              <w:rPr>
                <w:color w:val="FFFFFF" w:themeColor="background1"/>
                <w:sz w:val="8"/>
                <w:szCs w:val="8"/>
              </w:rPr>
              <w:t>13.66</w:t>
            </w:r>
          </w:p>
        </w:tc>
        <w:tc>
          <w:tcPr>
            <w:tcW w:w="265" w:type="pct"/>
            <w:noWrap/>
            <w:hideMark/>
          </w:tcPr>
          <w:p w:rsidR="005B0027" w:rsidRPr="00557B3E" w:rsidRDefault="005B0027" w:rsidP="002E51E7">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57B3E">
              <w:rPr>
                <w:color w:val="FFFFFF" w:themeColor="background1"/>
                <w:sz w:val="8"/>
                <w:szCs w:val="8"/>
              </w:rPr>
              <w:t>13.28</w:t>
            </w:r>
          </w:p>
        </w:tc>
        <w:tc>
          <w:tcPr>
            <w:tcW w:w="265" w:type="pct"/>
            <w:noWrap/>
            <w:hideMark/>
          </w:tcPr>
          <w:p w:rsidR="005B0027" w:rsidRPr="00557B3E" w:rsidRDefault="005B0027" w:rsidP="002E51E7">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57B3E">
              <w:rPr>
                <w:color w:val="FFFFFF" w:themeColor="background1"/>
                <w:sz w:val="8"/>
                <w:szCs w:val="8"/>
              </w:rPr>
              <w:t>12.87</w:t>
            </w:r>
          </w:p>
        </w:tc>
        <w:tc>
          <w:tcPr>
            <w:tcW w:w="265" w:type="pct"/>
            <w:noWrap/>
            <w:hideMark/>
          </w:tcPr>
          <w:p w:rsidR="005B0027" w:rsidRPr="00557B3E" w:rsidRDefault="005B0027" w:rsidP="002E51E7">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57B3E">
              <w:rPr>
                <w:color w:val="FFFFFF" w:themeColor="background1"/>
                <w:sz w:val="8"/>
                <w:szCs w:val="8"/>
              </w:rPr>
              <w:t>12.63</w:t>
            </w:r>
          </w:p>
        </w:tc>
        <w:tc>
          <w:tcPr>
            <w:tcW w:w="265" w:type="pct"/>
            <w:noWrap/>
            <w:hideMark/>
          </w:tcPr>
          <w:p w:rsidR="005B0027" w:rsidRPr="00557B3E" w:rsidRDefault="005B0027" w:rsidP="002E51E7">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57B3E">
              <w:rPr>
                <w:color w:val="FFFFFF" w:themeColor="background1"/>
                <w:sz w:val="8"/>
                <w:szCs w:val="8"/>
              </w:rPr>
              <w:t>13.09</w:t>
            </w:r>
          </w:p>
        </w:tc>
        <w:tc>
          <w:tcPr>
            <w:tcW w:w="265" w:type="pct"/>
            <w:noWrap/>
            <w:hideMark/>
          </w:tcPr>
          <w:p w:rsidR="005B0027" w:rsidRPr="00557B3E" w:rsidRDefault="005B0027" w:rsidP="002E51E7">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57B3E">
              <w:rPr>
                <w:color w:val="FFFFFF" w:themeColor="background1"/>
                <w:sz w:val="8"/>
                <w:szCs w:val="8"/>
              </w:rPr>
              <w:t>13.37</w:t>
            </w:r>
          </w:p>
        </w:tc>
        <w:tc>
          <w:tcPr>
            <w:tcW w:w="265" w:type="pct"/>
            <w:noWrap/>
            <w:hideMark/>
          </w:tcPr>
          <w:p w:rsidR="005B0027" w:rsidRPr="00557B3E" w:rsidRDefault="005B0027" w:rsidP="002E51E7">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57B3E">
              <w:rPr>
                <w:color w:val="FFFFFF" w:themeColor="background1"/>
                <w:sz w:val="8"/>
                <w:szCs w:val="8"/>
              </w:rPr>
              <w:t>13.88</w:t>
            </w:r>
          </w:p>
        </w:tc>
        <w:tc>
          <w:tcPr>
            <w:tcW w:w="265" w:type="pct"/>
            <w:noWrap/>
            <w:hideMark/>
          </w:tcPr>
          <w:p w:rsidR="005B0027" w:rsidRPr="00557B3E" w:rsidRDefault="005B0027" w:rsidP="002E51E7">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57B3E">
              <w:rPr>
                <w:color w:val="FFFFFF" w:themeColor="background1"/>
                <w:sz w:val="8"/>
                <w:szCs w:val="8"/>
              </w:rPr>
              <w:t>14.88</w:t>
            </w:r>
          </w:p>
        </w:tc>
      </w:tr>
      <w:tr w:rsidR="00557B3E" w:rsidRPr="00557B3E" w:rsidTr="00BC0582">
        <w:tc>
          <w:tcPr>
            <w:cnfStyle w:val="001000000000" w:firstRow="0" w:lastRow="0" w:firstColumn="1" w:lastColumn="0" w:oddVBand="0" w:evenVBand="0" w:oddHBand="0" w:evenHBand="0" w:firstRowFirstColumn="0" w:firstRowLastColumn="0" w:lastRowFirstColumn="0" w:lastRowLastColumn="0"/>
            <w:tcW w:w="860" w:type="pct"/>
            <w:noWrap/>
            <w:hideMark/>
          </w:tcPr>
          <w:p w:rsidR="005B0027" w:rsidRPr="00557B3E" w:rsidRDefault="005B0027" w:rsidP="002E51E7">
            <w:pPr>
              <w:pStyle w:val="TableText"/>
              <w:keepNext/>
              <w:keepLines/>
              <w:spacing w:before="0" w:after="0" w:line="240" w:lineRule="auto"/>
              <w:ind w:left="57" w:right="57"/>
              <w:rPr>
                <w:color w:val="FFFFFF" w:themeColor="background1"/>
                <w:sz w:val="8"/>
                <w:szCs w:val="8"/>
              </w:rPr>
            </w:pPr>
            <w:r w:rsidRPr="00557B3E">
              <w:rPr>
                <w:color w:val="FFFFFF" w:themeColor="background1"/>
                <w:sz w:val="8"/>
                <w:szCs w:val="8"/>
              </w:rPr>
              <w:t>Public debt interest impact of HELP</w:t>
            </w:r>
          </w:p>
        </w:tc>
        <w:tc>
          <w:tcPr>
            <w:tcW w:w="263" w:type="pct"/>
            <w:noWrap/>
            <w:hideMark/>
          </w:tcPr>
          <w:p w:rsidR="005B0027" w:rsidRPr="00557B3E" w:rsidRDefault="005B0027" w:rsidP="002E51E7">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57B3E">
              <w:rPr>
                <w:color w:val="FFFFFF" w:themeColor="background1"/>
                <w:sz w:val="8"/>
                <w:szCs w:val="8"/>
              </w:rPr>
              <w:t>1.49</w:t>
            </w:r>
          </w:p>
        </w:tc>
        <w:tc>
          <w:tcPr>
            <w:tcW w:w="242" w:type="pct"/>
            <w:noWrap/>
            <w:hideMark/>
          </w:tcPr>
          <w:p w:rsidR="005B0027" w:rsidRPr="00557B3E" w:rsidRDefault="005B0027" w:rsidP="002E51E7">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57B3E">
              <w:rPr>
                <w:color w:val="FFFFFF" w:themeColor="background1"/>
                <w:sz w:val="8"/>
                <w:szCs w:val="8"/>
              </w:rPr>
              <w:t>0.98</w:t>
            </w:r>
          </w:p>
        </w:tc>
        <w:tc>
          <w:tcPr>
            <w:tcW w:w="245" w:type="pct"/>
            <w:noWrap/>
            <w:hideMark/>
          </w:tcPr>
          <w:p w:rsidR="005B0027" w:rsidRPr="00557B3E" w:rsidRDefault="005B0027" w:rsidP="002E51E7">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57B3E">
              <w:rPr>
                <w:color w:val="FFFFFF" w:themeColor="background1"/>
                <w:sz w:val="8"/>
                <w:szCs w:val="8"/>
              </w:rPr>
              <w:t>1.30</w:t>
            </w:r>
          </w:p>
        </w:tc>
        <w:tc>
          <w:tcPr>
            <w:tcW w:w="245" w:type="pct"/>
            <w:noWrap/>
            <w:hideMark/>
          </w:tcPr>
          <w:p w:rsidR="005B0027" w:rsidRPr="00557B3E" w:rsidRDefault="005B0027" w:rsidP="002E51E7">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57B3E">
              <w:rPr>
                <w:color w:val="FFFFFF" w:themeColor="background1"/>
                <w:sz w:val="8"/>
                <w:szCs w:val="8"/>
              </w:rPr>
              <w:t>1.52</w:t>
            </w:r>
          </w:p>
        </w:tc>
        <w:tc>
          <w:tcPr>
            <w:tcW w:w="245" w:type="pct"/>
            <w:noWrap/>
            <w:hideMark/>
          </w:tcPr>
          <w:p w:rsidR="005B0027" w:rsidRPr="00557B3E" w:rsidRDefault="005B0027" w:rsidP="002E51E7">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57B3E">
              <w:rPr>
                <w:color w:val="FFFFFF" w:themeColor="background1"/>
                <w:sz w:val="8"/>
                <w:szCs w:val="8"/>
              </w:rPr>
              <w:t>1.42</w:t>
            </w:r>
          </w:p>
        </w:tc>
        <w:tc>
          <w:tcPr>
            <w:tcW w:w="245" w:type="pct"/>
            <w:noWrap/>
            <w:hideMark/>
          </w:tcPr>
          <w:p w:rsidR="005B0027" w:rsidRPr="00557B3E" w:rsidRDefault="005B0027" w:rsidP="002E51E7">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57B3E">
              <w:rPr>
                <w:color w:val="FFFFFF" w:themeColor="background1"/>
                <w:sz w:val="8"/>
                <w:szCs w:val="8"/>
              </w:rPr>
              <w:t>2.25</w:t>
            </w:r>
          </w:p>
        </w:tc>
        <w:tc>
          <w:tcPr>
            <w:tcW w:w="265" w:type="pct"/>
            <w:noWrap/>
            <w:hideMark/>
          </w:tcPr>
          <w:p w:rsidR="005B0027" w:rsidRPr="00557B3E" w:rsidRDefault="005B0027" w:rsidP="002E51E7">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57B3E">
              <w:rPr>
                <w:color w:val="FFFFFF" w:themeColor="background1"/>
                <w:sz w:val="8"/>
                <w:szCs w:val="8"/>
              </w:rPr>
              <w:t>2.66</w:t>
            </w:r>
          </w:p>
        </w:tc>
        <w:tc>
          <w:tcPr>
            <w:tcW w:w="265" w:type="pct"/>
            <w:noWrap/>
            <w:hideMark/>
          </w:tcPr>
          <w:p w:rsidR="005B0027" w:rsidRPr="00557B3E" w:rsidRDefault="005B0027" w:rsidP="002E51E7">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57B3E">
              <w:rPr>
                <w:color w:val="FFFFFF" w:themeColor="background1"/>
                <w:sz w:val="8"/>
                <w:szCs w:val="8"/>
              </w:rPr>
              <w:t>3.12</w:t>
            </w:r>
          </w:p>
        </w:tc>
        <w:tc>
          <w:tcPr>
            <w:tcW w:w="265" w:type="pct"/>
            <w:noWrap/>
            <w:hideMark/>
          </w:tcPr>
          <w:p w:rsidR="005B0027" w:rsidRPr="00557B3E" w:rsidRDefault="005B0027" w:rsidP="002E51E7">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57B3E">
              <w:rPr>
                <w:color w:val="FFFFFF" w:themeColor="background1"/>
                <w:sz w:val="8"/>
                <w:szCs w:val="8"/>
              </w:rPr>
              <w:t>4.09</w:t>
            </w:r>
          </w:p>
        </w:tc>
        <w:tc>
          <w:tcPr>
            <w:tcW w:w="265" w:type="pct"/>
            <w:noWrap/>
            <w:hideMark/>
          </w:tcPr>
          <w:p w:rsidR="005B0027" w:rsidRPr="00557B3E" w:rsidRDefault="005B0027" w:rsidP="002E51E7">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57B3E">
              <w:rPr>
                <w:color w:val="FFFFFF" w:themeColor="background1"/>
                <w:sz w:val="8"/>
                <w:szCs w:val="8"/>
              </w:rPr>
              <w:t>5.15</w:t>
            </w:r>
          </w:p>
        </w:tc>
        <w:tc>
          <w:tcPr>
            <w:tcW w:w="265" w:type="pct"/>
            <w:noWrap/>
            <w:hideMark/>
          </w:tcPr>
          <w:p w:rsidR="005B0027" w:rsidRPr="00557B3E" w:rsidRDefault="005B0027" w:rsidP="002E51E7">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57B3E">
              <w:rPr>
                <w:color w:val="FFFFFF" w:themeColor="background1"/>
                <w:sz w:val="8"/>
                <w:szCs w:val="8"/>
              </w:rPr>
              <w:t>6.28</w:t>
            </w:r>
          </w:p>
        </w:tc>
        <w:tc>
          <w:tcPr>
            <w:tcW w:w="265" w:type="pct"/>
            <w:noWrap/>
            <w:hideMark/>
          </w:tcPr>
          <w:p w:rsidR="005B0027" w:rsidRPr="00557B3E" w:rsidRDefault="005B0027" w:rsidP="002E51E7">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57B3E">
              <w:rPr>
                <w:color w:val="FFFFFF" w:themeColor="background1"/>
                <w:sz w:val="8"/>
                <w:szCs w:val="8"/>
              </w:rPr>
              <w:t>7.49</w:t>
            </w:r>
          </w:p>
        </w:tc>
        <w:tc>
          <w:tcPr>
            <w:tcW w:w="265" w:type="pct"/>
            <w:noWrap/>
            <w:hideMark/>
          </w:tcPr>
          <w:p w:rsidR="005B0027" w:rsidRPr="00557B3E" w:rsidRDefault="005B0027" w:rsidP="002E51E7">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57B3E">
              <w:rPr>
                <w:color w:val="FFFFFF" w:themeColor="background1"/>
                <w:sz w:val="8"/>
                <w:szCs w:val="8"/>
              </w:rPr>
              <w:t>8.78</w:t>
            </w:r>
          </w:p>
        </w:tc>
        <w:tc>
          <w:tcPr>
            <w:tcW w:w="265" w:type="pct"/>
            <w:noWrap/>
            <w:hideMark/>
          </w:tcPr>
          <w:p w:rsidR="005B0027" w:rsidRPr="00557B3E" w:rsidRDefault="005B0027" w:rsidP="002E51E7">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57B3E">
              <w:rPr>
                <w:color w:val="FFFFFF" w:themeColor="background1"/>
                <w:sz w:val="8"/>
                <w:szCs w:val="8"/>
              </w:rPr>
              <w:t>10.13</w:t>
            </w:r>
          </w:p>
        </w:tc>
        <w:tc>
          <w:tcPr>
            <w:tcW w:w="265" w:type="pct"/>
            <w:noWrap/>
            <w:hideMark/>
          </w:tcPr>
          <w:p w:rsidR="005B0027" w:rsidRPr="00557B3E" w:rsidRDefault="005B0027" w:rsidP="002E51E7">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57B3E">
              <w:rPr>
                <w:color w:val="FFFFFF" w:themeColor="background1"/>
                <w:sz w:val="8"/>
                <w:szCs w:val="8"/>
              </w:rPr>
              <w:t>11.51</w:t>
            </w:r>
          </w:p>
        </w:tc>
        <w:tc>
          <w:tcPr>
            <w:tcW w:w="265" w:type="pct"/>
            <w:noWrap/>
            <w:hideMark/>
          </w:tcPr>
          <w:p w:rsidR="005B0027" w:rsidRPr="00557B3E" w:rsidRDefault="005B0027" w:rsidP="002E51E7">
            <w:pPr>
              <w:pStyle w:val="TableTextCentred"/>
              <w:keepNext/>
              <w:keepLines/>
              <w:spacing w:before="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57B3E">
              <w:rPr>
                <w:color w:val="FFFFFF" w:themeColor="background1"/>
                <w:sz w:val="8"/>
                <w:szCs w:val="8"/>
              </w:rPr>
              <w:t>12.84</w:t>
            </w:r>
          </w:p>
        </w:tc>
      </w:tr>
    </w:tbl>
    <w:p w:rsidR="00D75398" w:rsidRDefault="00D75398" w:rsidP="00216320">
      <w:pPr>
        <w:pStyle w:val="Source"/>
        <w:keepNext/>
        <w:keepLines/>
        <w:spacing w:before="3960"/>
      </w:pPr>
      <w:r>
        <w:t xml:space="preserve">Source: </w:t>
      </w:r>
      <w:r w:rsidR="004567DE">
        <w:t>2015</w:t>
      </w:r>
      <w:r w:rsidR="00502E1C">
        <w:t>–</w:t>
      </w:r>
      <w:r w:rsidR="004567DE">
        <w:t>16 MYEFO</w:t>
      </w:r>
      <w:r w:rsidR="004759E0">
        <w:t xml:space="preserve"> </w:t>
      </w:r>
      <w:r w:rsidR="00EB62CA">
        <w:t xml:space="preserve">and </w:t>
      </w:r>
      <w:r>
        <w:t>PBO analysis.</w:t>
      </w:r>
    </w:p>
    <w:p w:rsidR="002E3FEC" w:rsidRPr="0013688A" w:rsidRDefault="009211BA" w:rsidP="002E51E7">
      <w:pPr>
        <w:pStyle w:val="BodyText17ptAbove"/>
        <w:keepNext/>
        <w:keepLines/>
      </w:pPr>
      <w:r>
        <w:t xml:space="preserve">The public debt interest cost of funding the HELP loan portfolio is calculated on the stock of </w:t>
      </w:r>
      <w:r w:rsidR="004052C0">
        <w:t xml:space="preserve">Commonwealth Government Securities </w:t>
      </w:r>
      <w:r>
        <w:t xml:space="preserve">liabilities that have been issued to finance the HELP loan portfolio.  This stock of </w:t>
      </w:r>
      <w:r w:rsidR="004052C0" w:rsidRPr="004052C0">
        <w:t>Commonwealth Government Securities</w:t>
      </w:r>
      <w:r w:rsidR="004052C0" w:rsidRPr="004052C0" w:rsidDel="004052C0">
        <w:t xml:space="preserve"> </w:t>
      </w:r>
      <w:r>
        <w:t>liabilities is greater than the net debt impact of HELP</w:t>
      </w:r>
      <w:r w:rsidR="0008317E">
        <w:t>,</w:t>
      </w:r>
      <w:r>
        <w:t xml:space="preserve"> which is reduced by the value of the HELP loan portfolio.</w:t>
      </w:r>
    </w:p>
    <w:p w:rsidR="002E3FEC" w:rsidRDefault="002E3FEC"/>
    <w:p w:rsidR="0008317E" w:rsidRDefault="0008317E">
      <w:pPr>
        <w:sectPr w:rsidR="0008317E" w:rsidSect="00124AEE">
          <w:headerReference w:type="even" r:id="rId41"/>
          <w:headerReference w:type="default" r:id="rId42"/>
          <w:footerReference w:type="even" r:id="rId43"/>
          <w:footerReference w:type="default" r:id="rId44"/>
          <w:headerReference w:type="first" r:id="rId45"/>
          <w:footerReference w:type="first" r:id="rId46"/>
          <w:pgSz w:w="11907" w:h="16839" w:code="9"/>
          <w:pgMar w:top="1361" w:right="1797" w:bottom="1474" w:left="1797" w:header="283" w:footer="454" w:gutter="0"/>
          <w:cols w:space="708"/>
          <w:docGrid w:linePitch="360"/>
        </w:sectPr>
      </w:pPr>
    </w:p>
    <w:p w:rsidR="0008317E" w:rsidRDefault="0008317E" w:rsidP="001D1B2A">
      <w:pPr>
        <w:pStyle w:val="Heading8"/>
        <w:ind w:left="0"/>
      </w:pPr>
      <w:r>
        <w:lastRenderedPageBreak/>
        <w:t xml:space="preserve"> </w:t>
      </w:r>
      <w:bookmarkStart w:id="94" w:name="_Ref447616243"/>
      <w:bookmarkStart w:id="95" w:name="_Toc447618000"/>
      <w:r>
        <w:t xml:space="preserve">– Methodology and key technical </w:t>
      </w:r>
      <w:proofErr w:type="gramStart"/>
      <w:r>
        <w:t>assumptions</w:t>
      </w:r>
      <w:bookmarkEnd w:id="94"/>
      <w:bookmarkEnd w:id="95"/>
      <w:proofErr w:type="gramEnd"/>
    </w:p>
    <w:tbl>
      <w:tblPr>
        <w:tblStyle w:val="TableGrid"/>
        <w:tblW w:w="0" w:type="auto"/>
        <w:tblInd w:w="5" w:type="dxa"/>
        <w:tblLook w:val="04A0" w:firstRow="1" w:lastRow="0" w:firstColumn="1" w:lastColumn="0" w:noHBand="0" w:noVBand="1"/>
      </w:tblPr>
      <w:tblGrid>
        <w:gridCol w:w="3256"/>
        <w:gridCol w:w="5052"/>
      </w:tblGrid>
      <w:tr w:rsidR="000C1994" w:rsidRPr="00502E1C" w:rsidTr="0008317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256" w:type="dxa"/>
            <w:tcBorders>
              <w:top w:val="single" w:sz="4" w:space="0" w:color="auto"/>
              <w:left w:val="single" w:sz="4" w:space="0" w:color="auto"/>
              <w:bottom w:val="single" w:sz="4" w:space="0" w:color="auto"/>
              <w:right w:val="none" w:sz="0" w:space="0" w:color="auto"/>
            </w:tcBorders>
          </w:tcPr>
          <w:p w:rsidR="000C1994" w:rsidRPr="008F2103" w:rsidRDefault="00F74DE1" w:rsidP="00502E1C">
            <w:pPr>
              <w:pStyle w:val="TableHeading"/>
              <w:rPr>
                <w:sz w:val="18"/>
                <w:szCs w:val="18"/>
              </w:rPr>
            </w:pPr>
            <w:r w:rsidRPr="008F2103">
              <w:rPr>
                <w:sz w:val="18"/>
                <w:szCs w:val="18"/>
              </w:rPr>
              <w:t>Category</w:t>
            </w:r>
          </w:p>
        </w:tc>
        <w:tc>
          <w:tcPr>
            <w:tcW w:w="5052" w:type="dxa"/>
            <w:tcBorders>
              <w:top w:val="single" w:sz="4" w:space="0" w:color="auto"/>
              <w:left w:val="none" w:sz="0" w:space="0" w:color="auto"/>
              <w:bottom w:val="single" w:sz="4" w:space="0" w:color="auto"/>
              <w:right w:val="single" w:sz="4" w:space="0" w:color="auto"/>
            </w:tcBorders>
          </w:tcPr>
          <w:p w:rsidR="000C1994" w:rsidRPr="008F2103" w:rsidRDefault="000C1994" w:rsidP="004B77FE">
            <w:pPr>
              <w:pStyle w:val="TableHeading"/>
              <w:jc w:val="left"/>
              <w:cnfStyle w:val="100000000000" w:firstRow="1" w:lastRow="0" w:firstColumn="0" w:lastColumn="0" w:oddVBand="0" w:evenVBand="0" w:oddHBand="0" w:evenHBand="0" w:firstRowFirstColumn="0" w:firstRowLastColumn="0" w:lastRowFirstColumn="0" w:lastRowLastColumn="0"/>
              <w:rPr>
                <w:sz w:val="18"/>
                <w:szCs w:val="18"/>
              </w:rPr>
            </w:pPr>
            <w:r w:rsidRPr="008F2103">
              <w:rPr>
                <w:sz w:val="18"/>
                <w:szCs w:val="18"/>
              </w:rPr>
              <w:t>Description</w:t>
            </w:r>
          </w:p>
        </w:tc>
      </w:tr>
      <w:tr w:rsidR="000C1994" w:rsidRPr="004B77FE" w:rsidTr="000831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left w:val="single" w:sz="4" w:space="0" w:color="auto"/>
              <w:bottom w:val="single" w:sz="4" w:space="0" w:color="auto"/>
              <w:right w:val="none" w:sz="0" w:space="0" w:color="auto"/>
            </w:tcBorders>
            <w:vAlign w:val="top"/>
          </w:tcPr>
          <w:p w:rsidR="000C1994" w:rsidRPr="008F2103" w:rsidRDefault="000C1994" w:rsidP="004B77FE">
            <w:pPr>
              <w:pStyle w:val="TableText"/>
              <w:rPr>
                <w:sz w:val="18"/>
                <w:szCs w:val="18"/>
              </w:rPr>
            </w:pPr>
            <w:r w:rsidRPr="008F2103">
              <w:rPr>
                <w:sz w:val="18"/>
                <w:szCs w:val="18"/>
              </w:rPr>
              <w:t xml:space="preserve">New </w:t>
            </w:r>
            <w:r w:rsidR="00D33043" w:rsidRPr="008F2103">
              <w:rPr>
                <w:sz w:val="18"/>
                <w:szCs w:val="18"/>
              </w:rPr>
              <w:t xml:space="preserve">HELP </w:t>
            </w:r>
            <w:r w:rsidRPr="008F2103">
              <w:rPr>
                <w:sz w:val="18"/>
                <w:szCs w:val="18"/>
              </w:rPr>
              <w:t>loans</w:t>
            </w:r>
          </w:p>
        </w:tc>
        <w:tc>
          <w:tcPr>
            <w:tcW w:w="5052" w:type="dxa"/>
            <w:tcBorders>
              <w:top w:val="single" w:sz="4" w:space="0" w:color="auto"/>
              <w:left w:val="none" w:sz="0" w:space="0" w:color="auto"/>
              <w:bottom w:val="single" w:sz="4" w:space="0" w:color="auto"/>
              <w:right w:val="single" w:sz="4" w:space="0" w:color="auto"/>
            </w:tcBorders>
          </w:tcPr>
          <w:p w:rsidR="000C1994" w:rsidRPr="008F2103" w:rsidRDefault="000C1994" w:rsidP="004B77FE">
            <w:pPr>
              <w:pStyle w:val="TableText"/>
              <w:cnfStyle w:val="000000100000" w:firstRow="0" w:lastRow="0" w:firstColumn="0" w:lastColumn="0" w:oddVBand="0" w:evenVBand="0" w:oddHBand="1" w:evenHBand="0" w:firstRowFirstColumn="0" w:firstRowLastColumn="0" w:lastRowFirstColumn="0" w:lastRowLastColumn="0"/>
              <w:rPr>
                <w:sz w:val="18"/>
                <w:szCs w:val="18"/>
              </w:rPr>
            </w:pPr>
            <w:r w:rsidRPr="008F2103">
              <w:rPr>
                <w:sz w:val="18"/>
                <w:szCs w:val="18"/>
              </w:rPr>
              <w:t>New loans issued are equal to student fees (total course fee less government subsidy) multiplied by the number of students</w:t>
            </w:r>
            <w:r w:rsidR="006B13BE" w:rsidRPr="008F2103">
              <w:rPr>
                <w:sz w:val="18"/>
                <w:szCs w:val="18"/>
              </w:rPr>
              <w:t xml:space="preserve"> electing to defer their fees</w:t>
            </w:r>
            <w:r w:rsidRPr="008F2103">
              <w:rPr>
                <w:sz w:val="18"/>
                <w:szCs w:val="18"/>
              </w:rPr>
              <w:t>.</w:t>
            </w:r>
          </w:p>
        </w:tc>
      </w:tr>
      <w:tr w:rsidR="000C1994" w:rsidTr="0008317E">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left w:val="single" w:sz="4" w:space="0" w:color="auto"/>
              <w:bottom w:val="single" w:sz="4" w:space="0" w:color="auto"/>
            </w:tcBorders>
            <w:vAlign w:val="top"/>
          </w:tcPr>
          <w:p w:rsidR="000C1994" w:rsidRPr="008F2103" w:rsidRDefault="000C1994" w:rsidP="0008317E">
            <w:pPr>
              <w:pStyle w:val="TableText"/>
              <w:rPr>
                <w:sz w:val="18"/>
                <w:szCs w:val="18"/>
              </w:rPr>
            </w:pPr>
            <w:r w:rsidRPr="008F2103">
              <w:rPr>
                <w:sz w:val="18"/>
                <w:szCs w:val="18"/>
              </w:rPr>
              <w:t xml:space="preserve">Commonwealth Grant Scheme </w:t>
            </w:r>
          </w:p>
        </w:tc>
        <w:tc>
          <w:tcPr>
            <w:tcW w:w="5052" w:type="dxa"/>
            <w:tcBorders>
              <w:top w:val="single" w:sz="4" w:space="0" w:color="auto"/>
              <w:bottom w:val="single" w:sz="4" w:space="0" w:color="auto"/>
              <w:right w:val="single" w:sz="4" w:space="0" w:color="auto"/>
            </w:tcBorders>
          </w:tcPr>
          <w:p w:rsidR="000C1994" w:rsidRPr="008F2103" w:rsidRDefault="00FA1A03" w:rsidP="00502E1C">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8F2103">
              <w:rPr>
                <w:sz w:val="18"/>
                <w:szCs w:val="18"/>
              </w:rPr>
              <w:t xml:space="preserve">The </w:t>
            </w:r>
            <w:r w:rsidR="00616432" w:rsidRPr="008F2103">
              <w:rPr>
                <w:sz w:val="18"/>
                <w:szCs w:val="18"/>
              </w:rPr>
              <w:t xml:space="preserve">Government’s announced changes </w:t>
            </w:r>
            <w:r w:rsidRPr="008F2103">
              <w:rPr>
                <w:sz w:val="18"/>
                <w:szCs w:val="18"/>
              </w:rPr>
              <w:t xml:space="preserve">to the </w:t>
            </w:r>
            <w:r w:rsidR="00772249">
              <w:rPr>
                <w:sz w:val="18"/>
                <w:szCs w:val="18"/>
              </w:rPr>
              <w:t>Commonwealth Grant Scheme</w:t>
            </w:r>
            <w:r w:rsidR="00616432" w:rsidRPr="008F2103">
              <w:rPr>
                <w:sz w:val="18"/>
                <w:szCs w:val="18"/>
              </w:rPr>
              <w:t xml:space="preserve"> are assumed to be implemented as follows</w:t>
            </w:r>
            <w:r w:rsidRPr="008F2103">
              <w:rPr>
                <w:sz w:val="18"/>
                <w:szCs w:val="18"/>
              </w:rPr>
              <w:t>:</w:t>
            </w:r>
          </w:p>
          <w:p w:rsidR="00FA1A03" w:rsidRPr="008F2103" w:rsidRDefault="00616432" w:rsidP="00502E1C">
            <w:pPr>
              <w:pStyle w:val="TableTextBullet"/>
              <w:cnfStyle w:val="000000000000" w:firstRow="0" w:lastRow="0" w:firstColumn="0" w:lastColumn="0" w:oddVBand="0" w:evenVBand="0" w:oddHBand="0" w:evenHBand="0" w:firstRowFirstColumn="0" w:firstRowLastColumn="0" w:lastRowFirstColumn="0" w:lastRowLastColumn="0"/>
              <w:rPr>
                <w:sz w:val="18"/>
                <w:szCs w:val="18"/>
              </w:rPr>
            </w:pPr>
            <w:r w:rsidRPr="008F2103">
              <w:rPr>
                <w:sz w:val="18"/>
                <w:szCs w:val="18"/>
              </w:rPr>
              <w:t>Grants are i</w:t>
            </w:r>
            <w:r w:rsidR="00FA1A03" w:rsidRPr="008F2103">
              <w:rPr>
                <w:sz w:val="18"/>
                <w:szCs w:val="18"/>
              </w:rPr>
              <w:t xml:space="preserve">ndexed by changes in the </w:t>
            </w:r>
            <w:r w:rsidR="0008317E" w:rsidRPr="008F2103">
              <w:rPr>
                <w:sz w:val="18"/>
                <w:szCs w:val="18"/>
              </w:rPr>
              <w:t>CPI</w:t>
            </w:r>
            <w:r w:rsidR="00FA1A03" w:rsidRPr="008F2103">
              <w:rPr>
                <w:sz w:val="18"/>
                <w:szCs w:val="18"/>
              </w:rPr>
              <w:t xml:space="preserve"> from the 2017 calendar year (indexed to the Higher Education Growth Index prior to this)</w:t>
            </w:r>
          </w:p>
          <w:p w:rsidR="00FA1A03" w:rsidRPr="008F2103" w:rsidRDefault="00616432" w:rsidP="00502E1C">
            <w:pPr>
              <w:pStyle w:val="TableTextBullet"/>
              <w:cnfStyle w:val="000000000000" w:firstRow="0" w:lastRow="0" w:firstColumn="0" w:lastColumn="0" w:oddVBand="0" w:evenVBand="0" w:oddHBand="0" w:evenHBand="0" w:firstRowFirstColumn="0" w:firstRowLastColumn="0" w:lastRowFirstColumn="0" w:lastRowLastColumn="0"/>
              <w:rPr>
                <w:sz w:val="18"/>
                <w:szCs w:val="18"/>
              </w:rPr>
            </w:pPr>
            <w:r w:rsidRPr="008F2103">
              <w:rPr>
                <w:sz w:val="18"/>
                <w:szCs w:val="18"/>
              </w:rPr>
              <w:t xml:space="preserve">A </w:t>
            </w:r>
            <w:r w:rsidR="00FA1A03" w:rsidRPr="008F2103">
              <w:rPr>
                <w:sz w:val="18"/>
                <w:szCs w:val="18"/>
              </w:rPr>
              <w:t xml:space="preserve">2 per cent efficiency dividend </w:t>
            </w:r>
            <w:r w:rsidRPr="008F2103">
              <w:rPr>
                <w:sz w:val="18"/>
                <w:szCs w:val="18"/>
              </w:rPr>
              <w:t xml:space="preserve">is </w:t>
            </w:r>
            <w:r w:rsidR="00FA1A03" w:rsidRPr="008F2103">
              <w:rPr>
                <w:sz w:val="18"/>
                <w:szCs w:val="18"/>
              </w:rPr>
              <w:t>applied in the 2017 calendar year</w:t>
            </w:r>
          </w:p>
          <w:p w:rsidR="00FA1A03" w:rsidRPr="008F2103" w:rsidRDefault="00616432" w:rsidP="00502E1C">
            <w:pPr>
              <w:pStyle w:val="TableTextBullet"/>
              <w:cnfStyle w:val="000000000000" w:firstRow="0" w:lastRow="0" w:firstColumn="0" w:lastColumn="0" w:oddVBand="0" w:evenVBand="0" w:oddHBand="0" w:evenHBand="0" w:firstRowFirstColumn="0" w:firstRowLastColumn="0" w:lastRowFirstColumn="0" w:lastRowLastColumn="0"/>
              <w:rPr>
                <w:sz w:val="18"/>
                <w:szCs w:val="18"/>
              </w:rPr>
            </w:pPr>
            <w:r w:rsidRPr="008F2103">
              <w:rPr>
                <w:sz w:val="18"/>
                <w:szCs w:val="18"/>
              </w:rPr>
              <w:t xml:space="preserve">A </w:t>
            </w:r>
            <w:r w:rsidR="00FA1A03" w:rsidRPr="008F2103">
              <w:rPr>
                <w:sz w:val="18"/>
                <w:szCs w:val="18"/>
              </w:rPr>
              <w:t xml:space="preserve">1.25 per cent efficiency dividend </w:t>
            </w:r>
            <w:r w:rsidRPr="008F2103">
              <w:rPr>
                <w:sz w:val="18"/>
                <w:szCs w:val="18"/>
              </w:rPr>
              <w:t xml:space="preserve">is </w:t>
            </w:r>
            <w:r w:rsidR="00FA1A03" w:rsidRPr="008F2103">
              <w:rPr>
                <w:sz w:val="18"/>
                <w:szCs w:val="18"/>
              </w:rPr>
              <w:t>applied in the 2018 calendar year</w:t>
            </w:r>
            <w:r w:rsidR="0008317E" w:rsidRPr="008F2103">
              <w:rPr>
                <w:sz w:val="18"/>
                <w:szCs w:val="18"/>
              </w:rPr>
              <w:t>,</w:t>
            </w:r>
            <w:r w:rsidR="00FA1A03" w:rsidRPr="008F2103">
              <w:rPr>
                <w:sz w:val="18"/>
                <w:szCs w:val="18"/>
              </w:rPr>
              <w:t xml:space="preserve"> and</w:t>
            </w:r>
          </w:p>
          <w:p w:rsidR="00FA1A03" w:rsidRPr="008F2103" w:rsidRDefault="0007513A" w:rsidP="00D43895">
            <w:pPr>
              <w:pStyle w:val="TableTextBullet"/>
              <w:cnfStyle w:val="000000000000" w:firstRow="0" w:lastRow="0" w:firstColumn="0" w:lastColumn="0" w:oddVBand="0" w:evenVBand="0" w:oddHBand="0" w:evenHBand="0" w:firstRowFirstColumn="0" w:firstRowLastColumn="0" w:lastRowFirstColumn="0" w:lastRowLastColumn="0"/>
              <w:rPr>
                <w:sz w:val="18"/>
                <w:szCs w:val="18"/>
              </w:rPr>
            </w:pPr>
            <w:r w:rsidRPr="008F2103">
              <w:rPr>
                <w:sz w:val="18"/>
                <w:szCs w:val="18"/>
              </w:rPr>
              <w:t xml:space="preserve">A 20 per cent </w:t>
            </w:r>
            <w:r w:rsidR="00D43895" w:rsidRPr="008F2103">
              <w:rPr>
                <w:sz w:val="18"/>
                <w:szCs w:val="18"/>
              </w:rPr>
              <w:t>reduction</w:t>
            </w:r>
            <w:r w:rsidRPr="008F2103">
              <w:rPr>
                <w:sz w:val="18"/>
                <w:szCs w:val="18"/>
              </w:rPr>
              <w:t xml:space="preserve"> in Commonwealth Grant Scheme subsidies to new students</w:t>
            </w:r>
            <w:r w:rsidR="0082199A" w:rsidRPr="008F2103">
              <w:rPr>
                <w:sz w:val="18"/>
                <w:szCs w:val="18"/>
              </w:rPr>
              <w:t xml:space="preserve"> is</w:t>
            </w:r>
            <w:r w:rsidRPr="008F2103">
              <w:rPr>
                <w:sz w:val="18"/>
                <w:szCs w:val="18"/>
              </w:rPr>
              <w:t xml:space="preserve"> p</w:t>
            </w:r>
            <w:r w:rsidR="00FA1A03" w:rsidRPr="008F2103">
              <w:rPr>
                <w:sz w:val="18"/>
                <w:szCs w:val="18"/>
              </w:rPr>
              <w:t>has</w:t>
            </w:r>
            <w:r w:rsidRPr="008F2103">
              <w:rPr>
                <w:sz w:val="18"/>
                <w:szCs w:val="18"/>
              </w:rPr>
              <w:t>ed</w:t>
            </w:r>
            <w:r w:rsidR="00FA1A03" w:rsidRPr="008F2103">
              <w:rPr>
                <w:sz w:val="18"/>
                <w:szCs w:val="18"/>
              </w:rPr>
              <w:t xml:space="preserve"> in over a three year period starting in </w:t>
            </w:r>
            <w:r w:rsidR="00D33043" w:rsidRPr="008F2103">
              <w:rPr>
                <w:sz w:val="18"/>
                <w:szCs w:val="18"/>
              </w:rPr>
              <w:t xml:space="preserve">the </w:t>
            </w:r>
            <w:r w:rsidR="00FA1A03" w:rsidRPr="008F2103">
              <w:rPr>
                <w:sz w:val="18"/>
                <w:szCs w:val="18"/>
              </w:rPr>
              <w:t>2017</w:t>
            </w:r>
            <w:r w:rsidRPr="008F2103">
              <w:rPr>
                <w:sz w:val="18"/>
                <w:szCs w:val="18"/>
              </w:rPr>
              <w:t xml:space="preserve"> calendar year</w:t>
            </w:r>
            <w:r w:rsidR="00FA1A03" w:rsidRPr="008F2103">
              <w:rPr>
                <w:sz w:val="18"/>
                <w:szCs w:val="18"/>
              </w:rPr>
              <w:t>.</w:t>
            </w:r>
            <w:r w:rsidRPr="008F2103">
              <w:rPr>
                <w:sz w:val="18"/>
                <w:szCs w:val="18"/>
              </w:rPr>
              <w:t xml:space="preserve">  The phasing accounts for the grandfathering of existing students.</w:t>
            </w:r>
          </w:p>
        </w:tc>
      </w:tr>
      <w:tr w:rsidR="000C1994" w:rsidTr="000831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left w:val="single" w:sz="4" w:space="0" w:color="auto"/>
              <w:bottom w:val="single" w:sz="4" w:space="0" w:color="auto"/>
              <w:right w:val="none" w:sz="0" w:space="0" w:color="auto"/>
            </w:tcBorders>
            <w:vAlign w:val="top"/>
          </w:tcPr>
          <w:p w:rsidR="000C1994" w:rsidRPr="008F2103" w:rsidRDefault="000C1994" w:rsidP="0008317E">
            <w:pPr>
              <w:pStyle w:val="TableText"/>
              <w:rPr>
                <w:sz w:val="18"/>
                <w:szCs w:val="18"/>
              </w:rPr>
            </w:pPr>
            <w:r w:rsidRPr="008F2103">
              <w:rPr>
                <w:sz w:val="18"/>
                <w:szCs w:val="18"/>
              </w:rPr>
              <w:t>University student fees</w:t>
            </w:r>
          </w:p>
        </w:tc>
        <w:tc>
          <w:tcPr>
            <w:tcW w:w="5052" w:type="dxa"/>
            <w:tcBorders>
              <w:top w:val="single" w:sz="4" w:space="0" w:color="auto"/>
              <w:left w:val="none" w:sz="0" w:space="0" w:color="auto"/>
              <w:bottom w:val="single" w:sz="4" w:space="0" w:color="auto"/>
              <w:right w:val="single" w:sz="4" w:space="0" w:color="auto"/>
            </w:tcBorders>
          </w:tcPr>
          <w:p w:rsidR="000C1994" w:rsidRPr="008F2103" w:rsidRDefault="000C1994" w:rsidP="00502E1C">
            <w:pPr>
              <w:pStyle w:val="TableText"/>
              <w:cnfStyle w:val="000000100000" w:firstRow="0" w:lastRow="0" w:firstColumn="0" w:lastColumn="0" w:oddVBand="0" w:evenVBand="0" w:oddHBand="1" w:evenHBand="0" w:firstRowFirstColumn="0" w:firstRowLastColumn="0" w:lastRowFirstColumn="0" w:lastRowLastColumn="0"/>
              <w:rPr>
                <w:sz w:val="18"/>
                <w:szCs w:val="18"/>
              </w:rPr>
            </w:pPr>
            <w:r w:rsidRPr="008F2103">
              <w:rPr>
                <w:sz w:val="18"/>
                <w:szCs w:val="18"/>
              </w:rPr>
              <w:t xml:space="preserve">It is assumed that universities will immediately increase student fees </w:t>
            </w:r>
            <w:r w:rsidR="00834D30" w:rsidRPr="008F2103">
              <w:rPr>
                <w:sz w:val="18"/>
                <w:szCs w:val="18"/>
              </w:rPr>
              <w:t>from</w:t>
            </w:r>
            <w:r w:rsidRPr="008F2103">
              <w:rPr>
                <w:sz w:val="18"/>
                <w:szCs w:val="18"/>
              </w:rPr>
              <w:t xml:space="preserve"> 2017</w:t>
            </w:r>
            <w:r w:rsidR="00834D30" w:rsidRPr="008F2103">
              <w:rPr>
                <w:sz w:val="18"/>
                <w:szCs w:val="18"/>
              </w:rPr>
              <w:t xml:space="preserve"> </w:t>
            </w:r>
            <w:r w:rsidRPr="008F2103">
              <w:rPr>
                <w:sz w:val="18"/>
                <w:szCs w:val="18"/>
              </w:rPr>
              <w:t xml:space="preserve">to </w:t>
            </w:r>
            <w:r w:rsidR="00DD77ED" w:rsidRPr="008F2103">
              <w:rPr>
                <w:sz w:val="18"/>
                <w:szCs w:val="18"/>
              </w:rPr>
              <w:t xml:space="preserve">fully </w:t>
            </w:r>
            <w:r w:rsidRPr="008F2103">
              <w:rPr>
                <w:sz w:val="18"/>
                <w:szCs w:val="18"/>
              </w:rPr>
              <w:t xml:space="preserve">recoup </w:t>
            </w:r>
            <w:r w:rsidR="00D43895" w:rsidRPr="008F2103">
              <w:rPr>
                <w:sz w:val="18"/>
                <w:szCs w:val="18"/>
              </w:rPr>
              <w:t>the lost revenue from reduced subsidies under the</w:t>
            </w:r>
            <w:r w:rsidRPr="008F2103">
              <w:rPr>
                <w:sz w:val="18"/>
                <w:szCs w:val="18"/>
              </w:rPr>
              <w:t xml:space="preserve"> </w:t>
            </w:r>
            <w:r w:rsidR="00772249">
              <w:rPr>
                <w:sz w:val="18"/>
                <w:szCs w:val="18"/>
              </w:rPr>
              <w:t>Commonwealth Grant Scheme</w:t>
            </w:r>
            <w:r w:rsidRPr="008F2103">
              <w:rPr>
                <w:sz w:val="18"/>
                <w:szCs w:val="18"/>
              </w:rPr>
              <w:t>.</w:t>
            </w:r>
          </w:p>
          <w:p w:rsidR="000C1994" w:rsidRPr="008F2103" w:rsidRDefault="0082199A" w:rsidP="00502E1C">
            <w:pPr>
              <w:pStyle w:val="TableText"/>
              <w:cnfStyle w:val="000000100000" w:firstRow="0" w:lastRow="0" w:firstColumn="0" w:lastColumn="0" w:oddVBand="0" w:evenVBand="0" w:oddHBand="1" w:evenHBand="0" w:firstRowFirstColumn="0" w:firstRowLastColumn="0" w:lastRowFirstColumn="0" w:lastRowLastColumn="0"/>
              <w:rPr>
                <w:sz w:val="18"/>
                <w:szCs w:val="18"/>
              </w:rPr>
            </w:pPr>
            <w:r w:rsidRPr="008F2103">
              <w:rPr>
                <w:sz w:val="18"/>
                <w:szCs w:val="18"/>
              </w:rPr>
              <w:t>It is likely that in a deregulated market, universities will further increase fees.</w:t>
            </w:r>
            <w:r w:rsidR="00917BA4" w:rsidRPr="008F2103">
              <w:rPr>
                <w:sz w:val="18"/>
                <w:szCs w:val="18"/>
              </w:rPr>
              <w:t xml:space="preserve">  </w:t>
            </w:r>
            <w:r w:rsidR="00834D30" w:rsidRPr="008F2103">
              <w:rPr>
                <w:sz w:val="18"/>
                <w:szCs w:val="18"/>
              </w:rPr>
              <w:t xml:space="preserve">The PBO has </w:t>
            </w:r>
            <w:r w:rsidRPr="008F2103">
              <w:rPr>
                <w:sz w:val="18"/>
                <w:szCs w:val="18"/>
              </w:rPr>
              <w:t>used an indicative assumption that</w:t>
            </w:r>
            <w:r w:rsidR="00834D30" w:rsidRPr="008F2103">
              <w:rPr>
                <w:sz w:val="18"/>
                <w:szCs w:val="18"/>
              </w:rPr>
              <w:t xml:space="preserve"> universities will increase student fees by 2 per cent each year </w:t>
            </w:r>
            <w:r w:rsidRPr="008F2103">
              <w:rPr>
                <w:sz w:val="18"/>
                <w:szCs w:val="18"/>
              </w:rPr>
              <w:t xml:space="preserve">in real terms </w:t>
            </w:r>
            <w:r w:rsidR="00834D30" w:rsidRPr="008F2103">
              <w:rPr>
                <w:sz w:val="18"/>
                <w:szCs w:val="18"/>
              </w:rPr>
              <w:t xml:space="preserve">from 2018, over and above recouping cuts in the </w:t>
            </w:r>
            <w:r w:rsidR="00772249">
              <w:rPr>
                <w:sz w:val="18"/>
                <w:szCs w:val="18"/>
              </w:rPr>
              <w:t>Commonwealth Grant Scheme</w:t>
            </w:r>
            <w:r w:rsidR="00834D30" w:rsidRPr="008F2103">
              <w:rPr>
                <w:sz w:val="18"/>
                <w:szCs w:val="18"/>
              </w:rPr>
              <w:t>.</w:t>
            </w:r>
          </w:p>
          <w:p w:rsidR="00F74DE1" w:rsidRPr="008F2103" w:rsidRDefault="00F74DE1" w:rsidP="0082199A">
            <w:pPr>
              <w:pStyle w:val="TableText"/>
              <w:cnfStyle w:val="000000100000" w:firstRow="0" w:lastRow="0" w:firstColumn="0" w:lastColumn="0" w:oddVBand="0" w:evenVBand="0" w:oddHBand="1" w:evenHBand="0" w:firstRowFirstColumn="0" w:firstRowLastColumn="0" w:lastRowFirstColumn="0" w:lastRowLastColumn="0"/>
              <w:rPr>
                <w:sz w:val="18"/>
                <w:szCs w:val="18"/>
              </w:rPr>
            </w:pPr>
            <w:r w:rsidRPr="008F2103">
              <w:rPr>
                <w:sz w:val="18"/>
                <w:szCs w:val="18"/>
              </w:rPr>
              <w:t xml:space="preserve">Under this methodology, in 2026 the average annual student fee for a full-time university student in a Commonwealth Supported Place is projected to be </w:t>
            </w:r>
            <w:r w:rsidR="006B13BE" w:rsidRPr="008F2103">
              <w:rPr>
                <w:sz w:val="18"/>
                <w:szCs w:val="18"/>
              </w:rPr>
              <w:t>$1</w:t>
            </w:r>
            <w:r w:rsidR="0082199A" w:rsidRPr="008F2103">
              <w:rPr>
                <w:sz w:val="18"/>
                <w:szCs w:val="18"/>
              </w:rPr>
              <w:t>6</w:t>
            </w:r>
            <w:r w:rsidR="006B13BE" w:rsidRPr="008F2103">
              <w:rPr>
                <w:sz w:val="18"/>
                <w:szCs w:val="18"/>
              </w:rPr>
              <w:t>,</w:t>
            </w:r>
            <w:r w:rsidR="0082199A" w:rsidRPr="008F2103">
              <w:rPr>
                <w:sz w:val="18"/>
                <w:szCs w:val="18"/>
              </w:rPr>
              <w:t>836</w:t>
            </w:r>
            <w:r w:rsidRPr="008F2103">
              <w:rPr>
                <w:sz w:val="18"/>
                <w:szCs w:val="18"/>
              </w:rPr>
              <w:t xml:space="preserve"> of the total annual course fee of</w:t>
            </w:r>
            <w:r w:rsidR="006B13BE" w:rsidRPr="008F2103">
              <w:rPr>
                <w:sz w:val="18"/>
                <w:szCs w:val="18"/>
              </w:rPr>
              <w:t xml:space="preserve"> $2</w:t>
            </w:r>
            <w:r w:rsidR="0082199A" w:rsidRPr="008F2103">
              <w:rPr>
                <w:sz w:val="18"/>
                <w:szCs w:val="18"/>
              </w:rPr>
              <w:t>7</w:t>
            </w:r>
            <w:r w:rsidR="006B13BE" w:rsidRPr="008F2103">
              <w:rPr>
                <w:sz w:val="18"/>
                <w:szCs w:val="18"/>
              </w:rPr>
              <w:t>,</w:t>
            </w:r>
            <w:r w:rsidR="0082199A" w:rsidRPr="008F2103">
              <w:rPr>
                <w:sz w:val="18"/>
                <w:szCs w:val="18"/>
              </w:rPr>
              <w:t>770</w:t>
            </w:r>
            <w:r w:rsidRPr="008F2103">
              <w:rPr>
                <w:sz w:val="18"/>
                <w:szCs w:val="18"/>
              </w:rPr>
              <w:t>.</w:t>
            </w:r>
          </w:p>
        </w:tc>
      </w:tr>
      <w:tr w:rsidR="000C1994" w:rsidTr="0008317E">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left w:val="single" w:sz="4" w:space="0" w:color="auto"/>
              <w:bottom w:val="single" w:sz="4" w:space="0" w:color="auto"/>
            </w:tcBorders>
            <w:vAlign w:val="top"/>
          </w:tcPr>
          <w:p w:rsidR="000C1994" w:rsidRPr="008F2103" w:rsidRDefault="000C1994" w:rsidP="0008317E">
            <w:pPr>
              <w:pStyle w:val="TableText"/>
              <w:rPr>
                <w:sz w:val="18"/>
                <w:szCs w:val="18"/>
              </w:rPr>
            </w:pPr>
            <w:r w:rsidRPr="008F2103">
              <w:rPr>
                <w:sz w:val="18"/>
                <w:szCs w:val="18"/>
              </w:rPr>
              <w:t>Numbers of students</w:t>
            </w:r>
          </w:p>
        </w:tc>
        <w:tc>
          <w:tcPr>
            <w:tcW w:w="5052" w:type="dxa"/>
            <w:tcBorders>
              <w:top w:val="single" w:sz="4" w:space="0" w:color="auto"/>
              <w:bottom w:val="single" w:sz="4" w:space="0" w:color="auto"/>
              <w:right w:val="single" w:sz="4" w:space="0" w:color="auto"/>
            </w:tcBorders>
          </w:tcPr>
          <w:p w:rsidR="004C59C8" w:rsidRPr="008F2103" w:rsidRDefault="004C59C8" w:rsidP="00502E1C">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8F2103">
              <w:rPr>
                <w:sz w:val="18"/>
                <w:szCs w:val="18"/>
              </w:rPr>
              <w:t>HECS-HELP student numbers are assumed to grow in line with growth in the 15 to 34 year old population cohort.</w:t>
            </w:r>
          </w:p>
          <w:p w:rsidR="004C59C8" w:rsidRPr="008F2103" w:rsidRDefault="004C59C8" w:rsidP="00502E1C">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8F2103">
              <w:rPr>
                <w:sz w:val="18"/>
                <w:szCs w:val="18"/>
              </w:rPr>
              <w:t>VET-FEE HELP and FEE-HELP student numbers are assumed to grow in line with total population growth.</w:t>
            </w:r>
          </w:p>
          <w:p w:rsidR="000C1994" w:rsidRPr="008F2103" w:rsidRDefault="004C59C8" w:rsidP="00287726">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8F2103">
              <w:rPr>
                <w:sz w:val="18"/>
                <w:szCs w:val="18"/>
              </w:rPr>
              <w:t xml:space="preserve">Student numbers are on an </w:t>
            </w:r>
            <w:r w:rsidRPr="00287726">
              <w:rPr>
                <w:sz w:val="18"/>
                <w:szCs w:val="18"/>
              </w:rPr>
              <w:t>EFTSL basis</w:t>
            </w:r>
            <w:r w:rsidRPr="008F2103">
              <w:rPr>
                <w:sz w:val="18"/>
                <w:szCs w:val="18"/>
              </w:rPr>
              <w:t>.</w:t>
            </w:r>
          </w:p>
        </w:tc>
      </w:tr>
      <w:tr w:rsidR="000C1994" w:rsidTr="000831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left w:val="single" w:sz="4" w:space="0" w:color="auto"/>
              <w:bottom w:val="single" w:sz="4" w:space="0" w:color="auto"/>
              <w:right w:val="none" w:sz="0" w:space="0" w:color="auto"/>
            </w:tcBorders>
            <w:vAlign w:val="top"/>
          </w:tcPr>
          <w:p w:rsidR="000C1994" w:rsidRPr="008F2103" w:rsidRDefault="000C1994" w:rsidP="0008317E">
            <w:pPr>
              <w:pStyle w:val="TableText"/>
              <w:keepNext/>
              <w:keepLines/>
              <w:rPr>
                <w:sz w:val="18"/>
                <w:szCs w:val="18"/>
              </w:rPr>
            </w:pPr>
            <w:r w:rsidRPr="008F2103">
              <w:rPr>
                <w:sz w:val="18"/>
                <w:szCs w:val="18"/>
              </w:rPr>
              <w:lastRenderedPageBreak/>
              <w:t>Nominal value of the HELP portfolio</w:t>
            </w:r>
          </w:p>
        </w:tc>
        <w:tc>
          <w:tcPr>
            <w:tcW w:w="5052" w:type="dxa"/>
            <w:tcBorders>
              <w:top w:val="single" w:sz="4" w:space="0" w:color="auto"/>
              <w:left w:val="none" w:sz="0" w:space="0" w:color="auto"/>
              <w:bottom w:val="single" w:sz="4" w:space="0" w:color="auto"/>
              <w:right w:val="single" w:sz="4" w:space="0" w:color="auto"/>
            </w:tcBorders>
          </w:tcPr>
          <w:p w:rsidR="000C1994" w:rsidRPr="008F2103" w:rsidRDefault="000C1994" w:rsidP="0008317E">
            <w:pPr>
              <w:pStyle w:val="TableText"/>
              <w:keepNext/>
              <w:keepLines/>
              <w:cnfStyle w:val="000000100000" w:firstRow="0" w:lastRow="0" w:firstColumn="0" w:lastColumn="0" w:oddVBand="0" w:evenVBand="0" w:oddHBand="1" w:evenHBand="0" w:firstRowFirstColumn="0" w:firstRowLastColumn="0" w:lastRowFirstColumn="0" w:lastRowLastColumn="0"/>
              <w:rPr>
                <w:sz w:val="18"/>
                <w:szCs w:val="18"/>
              </w:rPr>
            </w:pPr>
            <w:r w:rsidRPr="008F2103">
              <w:rPr>
                <w:sz w:val="18"/>
                <w:szCs w:val="18"/>
              </w:rPr>
              <w:t>The annual change in the nominal value of the HELP portfolio is calculated by taking the previous year end nominal value, adding new loans issued and interest indexation, then subtracting principal repayments and write-offs.</w:t>
            </w:r>
          </w:p>
        </w:tc>
      </w:tr>
      <w:tr w:rsidR="000C1994" w:rsidTr="0008317E">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left w:val="single" w:sz="4" w:space="0" w:color="auto"/>
              <w:bottom w:val="single" w:sz="4" w:space="0" w:color="auto"/>
            </w:tcBorders>
            <w:vAlign w:val="top"/>
          </w:tcPr>
          <w:p w:rsidR="000C1994" w:rsidRPr="008F2103" w:rsidRDefault="000C1994" w:rsidP="008F2103">
            <w:pPr>
              <w:pStyle w:val="TableText"/>
              <w:keepNext/>
              <w:keepLines/>
              <w:rPr>
                <w:sz w:val="18"/>
                <w:szCs w:val="18"/>
              </w:rPr>
            </w:pPr>
            <w:r w:rsidRPr="008F2103">
              <w:rPr>
                <w:sz w:val="18"/>
                <w:szCs w:val="18"/>
              </w:rPr>
              <w:t>Indexation</w:t>
            </w:r>
          </w:p>
        </w:tc>
        <w:tc>
          <w:tcPr>
            <w:tcW w:w="5052" w:type="dxa"/>
            <w:tcBorders>
              <w:top w:val="single" w:sz="4" w:space="0" w:color="auto"/>
              <w:bottom w:val="single" w:sz="4" w:space="0" w:color="auto"/>
              <w:right w:val="single" w:sz="4" w:space="0" w:color="auto"/>
            </w:tcBorders>
            <w:vAlign w:val="top"/>
          </w:tcPr>
          <w:p w:rsidR="000C1994" w:rsidRPr="008F2103" w:rsidRDefault="0082199A" w:rsidP="008F2103">
            <w:pPr>
              <w:pStyle w:val="TableText"/>
              <w:keepNext/>
              <w:keepLines/>
              <w:cnfStyle w:val="000000000000" w:firstRow="0" w:lastRow="0" w:firstColumn="0" w:lastColumn="0" w:oddVBand="0" w:evenVBand="0" w:oddHBand="0" w:evenHBand="0" w:firstRowFirstColumn="0" w:firstRowLastColumn="0" w:lastRowFirstColumn="0" w:lastRowLastColumn="0"/>
              <w:rPr>
                <w:sz w:val="18"/>
                <w:szCs w:val="18"/>
              </w:rPr>
            </w:pPr>
            <w:r w:rsidRPr="008F2103">
              <w:rPr>
                <w:sz w:val="18"/>
                <w:szCs w:val="18"/>
              </w:rPr>
              <w:t xml:space="preserve">Annual </w:t>
            </w:r>
            <w:r w:rsidR="006B13BE" w:rsidRPr="008F2103">
              <w:rPr>
                <w:sz w:val="18"/>
                <w:szCs w:val="18"/>
              </w:rPr>
              <w:t>CPI inflation</w:t>
            </w:r>
            <w:r w:rsidR="000C1994" w:rsidRPr="008F2103">
              <w:rPr>
                <w:sz w:val="18"/>
                <w:szCs w:val="18"/>
              </w:rPr>
              <w:t xml:space="preserve"> is assumed</w:t>
            </w:r>
            <w:r w:rsidR="006B13BE" w:rsidRPr="008F2103">
              <w:rPr>
                <w:sz w:val="18"/>
                <w:szCs w:val="18"/>
              </w:rPr>
              <w:t xml:space="preserve"> </w:t>
            </w:r>
            <w:r w:rsidR="00D66BE7" w:rsidRPr="008F2103">
              <w:rPr>
                <w:sz w:val="18"/>
                <w:szCs w:val="18"/>
              </w:rPr>
              <w:t xml:space="preserve">to </w:t>
            </w:r>
            <w:r w:rsidR="006B13BE" w:rsidRPr="008F2103">
              <w:rPr>
                <w:sz w:val="18"/>
                <w:szCs w:val="18"/>
              </w:rPr>
              <w:t>rise from 1.7 per cent</w:t>
            </w:r>
            <w:r w:rsidR="000C1994" w:rsidRPr="008F2103">
              <w:rPr>
                <w:sz w:val="18"/>
                <w:szCs w:val="18"/>
              </w:rPr>
              <w:t xml:space="preserve"> </w:t>
            </w:r>
            <w:r w:rsidR="00D66BE7" w:rsidRPr="008F2103">
              <w:rPr>
                <w:sz w:val="18"/>
                <w:szCs w:val="18"/>
              </w:rPr>
              <w:t xml:space="preserve">in December 2015 </w:t>
            </w:r>
            <w:r w:rsidR="000C1994" w:rsidRPr="008F2103">
              <w:rPr>
                <w:sz w:val="18"/>
                <w:szCs w:val="18"/>
              </w:rPr>
              <w:t xml:space="preserve">to be 2.5 per cent from </w:t>
            </w:r>
            <w:r w:rsidR="006B13BE" w:rsidRPr="008F2103">
              <w:rPr>
                <w:sz w:val="18"/>
                <w:szCs w:val="18"/>
              </w:rPr>
              <w:t>2019 onwards</w:t>
            </w:r>
            <w:r w:rsidR="000C1994" w:rsidRPr="008F2103">
              <w:rPr>
                <w:sz w:val="18"/>
                <w:szCs w:val="18"/>
              </w:rPr>
              <w:t xml:space="preserve">, consistent with the </w:t>
            </w:r>
            <w:r w:rsidR="0030303F" w:rsidRPr="008F2103">
              <w:rPr>
                <w:sz w:val="18"/>
                <w:szCs w:val="18"/>
              </w:rPr>
              <w:t>2015–</w:t>
            </w:r>
            <w:r w:rsidR="00D66BE7" w:rsidRPr="008F2103">
              <w:rPr>
                <w:sz w:val="18"/>
                <w:szCs w:val="18"/>
              </w:rPr>
              <w:t>16 MYEFO</w:t>
            </w:r>
            <w:r w:rsidR="000C1994" w:rsidRPr="008F2103">
              <w:rPr>
                <w:sz w:val="18"/>
                <w:szCs w:val="18"/>
              </w:rPr>
              <w:t>.</w:t>
            </w:r>
          </w:p>
        </w:tc>
      </w:tr>
      <w:tr w:rsidR="000C1994" w:rsidTr="000831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left w:val="single" w:sz="4" w:space="0" w:color="auto"/>
              <w:bottom w:val="single" w:sz="4" w:space="0" w:color="auto"/>
              <w:right w:val="none" w:sz="0" w:space="0" w:color="auto"/>
            </w:tcBorders>
            <w:vAlign w:val="top"/>
          </w:tcPr>
          <w:p w:rsidR="000C1994" w:rsidRPr="008F2103" w:rsidRDefault="000C1994" w:rsidP="0008317E">
            <w:pPr>
              <w:pStyle w:val="TableText"/>
              <w:rPr>
                <w:sz w:val="18"/>
                <w:szCs w:val="18"/>
              </w:rPr>
            </w:pPr>
            <w:r w:rsidRPr="008F2103">
              <w:rPr>
                <w:sz w:val="18"/>
                <w:szCs w:val="18"/>
              </w:rPr>
              <w:t>Repayments</w:t>
            </w:r>
          </w:p>
        </w:tc>
        <w:tc>
          <w:tcPr>
            <w:tcW w:w="5052" w:type="dxa"/>
            <w:tcBorders>
              <w:top w:val="single" w:sz="4" w:space="0" w:color="auto"/>
              <w:left w:val="none" w:sz="0" w:space="0" w:color="auto"/>
              <w:bottom w:val="single" w:sz="4" w:space="0" w:color="auto"/>
              <w:right w:val="single" w:sz="4" w:space="0" w:color="auto"/>
            </w:tcBorders>
          </w:tcPr>
          <w:p w:rsidR="000C1994" w:rsidRPr="008F2103" w:rsidRDefault="000C1994" w:rsidP="00502E1C">
            <w:pPr>
              <w:pStyle w:val="TableText"/>
              <w:cnfStyle w:val="000000100000" w:firstRow="0" w:lastRow="0" w:firstColumn="0" w:lastColumn="0" w:oddVBand="0" w:evenVBand="0" w:oddHBand="1" w:evenHBand="0" w:firstRowFirstColumn="0" w:firstRowLastColumn="0" w:lastRowFirstColumn="0" w:lastRowLastColumn="0"/>
              <w:rPr>
                <w:sz w:val="18"/>
                <w:szCs w:val="18"/>
              </w:rPr>
            </w:pPr>
            <w:r w:rsidRPr="008F2103">
              <w:rPr>
                <w:sz w:val="18"/>
                <w:szCs w:val="18"/>
              </w:rPr>
              <w:t>Repayments are projected based on past repayment behaviour assuming the repayment of new loans over a nine year period</w:t>
            </w:r>
            <w:r w:rsidR="006B13BE" w:rsidRPr="008F2103">
              <w:rPr>
                <w:sz w:val="18"/>
                <w:szCs w:val="18"/>
              </w:rPr>
              <w:t xml:space="preserve"> and adjusting for debts not expected to be repaid</w:t>
            </w:r>
            <w:r w:rsidRPr="008F2103">
              <w:rPr>
                <w:sz w:val="18"/>
                <w:szCs w:val="18"/>
              </w:rPr>
              <w:t>.</w:t>
            </w:r>
          </w:p>
          <w:p w:rsidR="000C1994" w:rsidRPr="008F2103" w:rsidRDefault="0030303F" w:rsidP="0030303F">
            <w:pPr>
              <w:pStyle w:val="TableText"/>
              <w:cnfStyle w:val="000000100000" w:firstRow="0" w:lastRow="0" w:firstColumn="0" w:lastColumn="0" w:oddVBand="0" w:evenVBand="0" w:oddHBand="1" w:evenHBand="0" w:firstRowFirstColumn="0" w:firstRowLastColumn="0" w:lastRowFirstColumn="0" w:lastRowLastColumn="0"/>
              <w:rPr>
                <w:sz w:val="18"/>
                <w:szCs w:val="18"/>
              </w:rPr>
            </w:pPr>
            <w:r w:rsidRPr="008F2103">
              <w:rPr>
                <w:sz w:val="18"/>
                <w:szCs w:val="18"/>
              </w:rPr>
              <w:t>Seventy-three</w:t>
            </w:r>
            <w:r w:rsidR="00D66BE7" w:rsidRPr="008F2103">
              <w:rPr>
                <w:sz w:val="18"/>
                <w:szCs w:val="18"/>
              </w:rPr>
              <w:t xml:space="preserve"> per cent of total annual cash repayments are assumed to be principal receipts, with the remaining 27 per cent assumed to be interest receipts.</w:t>
            </w:r>
          </w:p>
        </w:tc>
      </w:tr>
      <w:tr w:rsidR="000C1994" w:rsidTr="0008317E">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left w:val="single" w:sz="4" w:space="0" w:color="auto"/>
              <w:bottom w:val="single" w:sz="4" w:space="0" w:color="auto"/>
            </w:tcBorders>
            <w:vAlign w:val="top"/>
          </w:tcPr>
          <w:p w:rsidR="000C1994" w:rsidRPr="008F2103" w:rsidRDefault="000C1994" w:rsidP="0008317E">
            <w:pPr>
              <w:pStyle w:val="TableText"/>
              <w:rPr>
                <w:sz w:val="18"/>
                <w:szCs w:val="18"/>
              </w:rPr>
            </w:pPr>
            <w:r w:rsidRPr="008F2103">
              <w:rPr>
                <w:sz w:val="18"/>
                <w:szCs w:val="18"/>
              </w:rPr>
              <w:t>Fair value</w:t>
            </w:r>
          </w:p>
        </w:tc>
        <w:tc>
          <w:tcPr>
            <w:tcW w:w="5052" w:type="dxa"/>
            <w:tcBorders>
              <w:top w:val="single" w:sz="4" w:space="0" w:color="auto"/>
              <w:bottom w:val="single" w:sz="4" w:space="0" w:color="auto"/>
              <w:right w:val="single" w:sz="4" w:space="0" w:color="auto"/>
            </w:tcBorders>
          </w:tcPr>
          <w:p w:rsidR="000C1994" w:rsidRPr="008F2103" w:rsidRDefault="000C1994" w:rsidP="00502E1C">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8F2103">
              <w:rPr>
                <w:sz w:val="18"/>
                <w:szCs w:val="18"/>
              </w:rPr>
              <w:t>The fair value of the HELP portfolio is calculated by taking the net present value of all repayments</w:t>
            </w:r>
            <w:r w:rsidR="006A6EF1" w:rsidRPr="008F2103">
              <w:rPr>
                <w:sz w:val="18"/>
                <w:szCs w:val="18"/>
              </w:rPr>
              <w:t xml:space="preserve"> using discount rates inferred from the Commonwealth Government Securi</w:t>
            </w:r>
            <w:r w:rsidR="0030303F" w:rsidRPr="008F2103">
              <w:rPr>
                <w:sz w:val="18"/>
                <w:szCs w:val="18"/>
              </w:rPr>
              <w:t>ties yield curve from mid-2015.</w:t>
            </w:r>
          </w:p>
          <w:p w:rsidR="000C1994" w:rsidRPr="008F2103" w:rsidRDefault="000C1994" w:rsidP="00540F79">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8F2103">
              <w:rPr>
                <w:sz w:val="18"/>
                <w:szCs w:val="18"/>
              </w:rPr>
              <w:t>Doubtful debts are assumed to be</w:t>
            </w:r>
            <w:r w:rsidR="002A7D43" w:rsidRPr="008F2103">
              <w:rPr>
                <w:sz w:val="18"/>
                <w:szCs w:val="18"/>
              </w:rPr>
              <w:t xml:space="preserve"> 19 per cent of the value of new loans in 2015</w:t>
            </w:r>
            <w:r w:rsidR="0030303F" w:rsidRPr="008F2103">
              <w:rPr>
                <w:sz w:val="18"/>
                <w:szCs w:val="18"/>
              </w:rPr>
              <w:t>–</w:t>
            </w:r>
            <w:r w:rsidR="002A7D43" w:rsidRPr="008F2103">
              <w:rPr>
                <w:sz w:val="18"/>
                <w:szCs w:val="18"/>
              </w:rPr>
              <w:t>16.  This is assumed to rise to 20</w:t>
            </w:r>
            <w:r w:rsidR="0030303F" w:rsidRPr="008F2103">
              <w:rPr>
                <w:sz w:val="18"/>
                <w:szCs w:val="18"/>
              </w:rPr>
              <w:t> </w:t>
            </w:r>
            <w:r w:rsidR="002A7D43" w:rsidRPr="008F2103">
              <w:rPr>
                <w:sz w:val="18"/>
                <w:szCs w:val="18"/>
              </w:rPr>
              <w:t>per</w:t>
            </w:r>
            <w:r w:rsidR="0030303F" w:rsidRPr="008F2103">
              <w:rPr>
                <w:sz w:val="18"/>
                <w:szCs w:val="18"/>
              </w:rPr>
              <w:t> </w:t>
            </w:r>
            <w:r w:rsidR="002A7D43" w:rsidRPr="008F2103">
              <w:rPr>
                <w:sz w:val="18"/>
                <w:szCs w:val="18"/>
              </w:rPr>
              <w:t xml:space="preserve">cent in </w:t>
            </w:r>
            <w:r w:rsidR="00540F79">
              <w:rPr>
                <w:sz w:val="18"/>
                <w:szCs w:val="18"/>
              </w:rPr>
              <w:br/>
            </w:r>
            <w:r w:rsidR="002A7D43" w:rsidRPr="008F2103">
              <w:rPr>
                <w:sz w:val="18"/>
                <w:szCs w:val="18"/>
              </w:rPr>
              <w:t>2016</w:t>
            </w:r>
            <w:r w:rsidR="0030303F" w:rsidRPr="008F2103">
              <w:rPr>
                <w:sz w:val="18"/>
                <w:szCs w:val="18"/>
              </w:rPr>
              <w:t>–</w:t>
            </w:r>
            <w:r w:rsidR="002A7D43" w:rsidRPr="008F2103">
              <w:rPr>
                <w:sz w:val="18"/>
                <w:szCs w:val="18"/>
              </w:rPr>
              <w:t>17, 21 per cent in 2017</w:t>
            </w:r>
            <w:r w:rsidR="0030303F" w:rsidRPr="008F2103">
              <w:rPr>
                <w:sz w:val="18"/>
                <w:szCs w:val="18"/>
              </w:rPr>
              <w:t>–</w:t>
            </w:r>
            <w:r w:rsidR="002A7D43" w:rsidRPr="008F2103">
              <w:rPr>
                <w:sz w:val="18"/>
                <w:szCs w:val="18"/>
              </w:rPr>
              <w:t>18, 2018</w:t>
            </w:r>
            <w:r w:rsidR="0030303F" w:rsidRPr="008F2103">
              <w:rPr>
                <w:sz w:val="18"/>
                <w:szCs w:val="18"/>
              </w:rPr>
              <w:t>–</w:t>
            </w:r>
            <w:r w:rsidR="002A7D43" w:rsidRPr="008F2103">
              <w:rPr>
                <w:sz w:val="18"/>
                <w:szCs w:val="18"/>
              </w:rPr>
              <w:t>19 and 2019</w:t>
            </w:r>
            <w:r w:rsidR="0030303F" w:rsidRPr="008F2103">
              <w:rPr>
                <w:sz w:val="18"/>
                <w:szCs w:val="18"/>
              </w:rPr>
              <w:t>–</w:t>
            </w:r>
            <w:r w:rsidR="002A7D43" w:rsidRPr="008F2103">
              <w:rPr>
                <w:sz w:val="18"/>
                <w:szCs w:val="18"/>
              </w:rPr>
              <w:t>20, and</w:t>
            </w:r>
            <w:r w:rsidRPr="008F2103">
              <w:rPr>
                <w:sz w:val="18"/>
                <w:szCs w:val="18"/>
              </w:rPr>
              <w:t xml:space="preserve"> </w:t>
            </w:r>
            <w:r w:rsidR="006A6EF1" w:rsidRPr="008F2103">
              <w:rPr>
                <w:sz w:val="18"/>
                <w:szCs w:val="18"/>
              </w:rPr>
              <w:t>22</w:t>
            </w:r>
            <w:r w:rsidR="00540F79">
              <w:rPr>
                <w:sz w:val="18"/>
                <w:szCs w:val="18"/>
              </w:rPr>
              <w:t> </w:t>
            </w:r>
            <w:r w:rsidRPr="008F2103">
              <w:rPr>
                <w:sz w:val="18"/>
                <w:szCs w:val="18"/>
              </w:rPr>
              <w:t>per</w:t>
            </w:r>
            <w:r w:rsidR="00540F79">
              <w:rPr>
                <w:sz w:val="18"/>
                <w:szCs w:val="18"/>
              </w:rPr>
              <w:t> </w:t>
            </w:r>
            <w:r w:rsidRPr="008F2103">
              <w:rPr>
                <w:sz w:val="18"/>
                <w:szCs w:val="18"/>
              </w:rPr>
              <w:t xml:space="preserve">cent </w:t>
            </w:r>
            <w:r w:rsidR="002A7D43" w:rsidRPr="008F2103">
              <w:rPr>
                <w:sz w:val="18"/>
                <w:szCs w:val="18"/>
              </w:rPr>
              <w:t>thereafter</w:t>
            </w:r>
            <w:r w:rsidRPr="008F2103">
              <w:rPr>
                <w:sz w:val="18"/>
                <w:szCs w:val="18"/>
              </w:rPr>
              <w:t>.</w:t>
            </w:r>
            <w:r w:rsidR="002A7D43" w:rsidRPr="008F2103">
              <w:rPr>
                <w:sz w:val="18"/>
                <w:szCs w:val="18"/>
              </w:rPr>
              <w:t xml:space="preserve">  The forward estimates are consistent with the doubtful debt figures cited in the 2015</w:t>
            </w:r>
            <w:r w:rsidR="0030303F" w:rsidRPr="008F2103">
              <w:rPr>
                <w:sz w:val="18"/>
                <w:szCs w:val="18"/>
              </w:rPr>
              <w:t>–</w:t>
            </w:r>
            <w:r w:rsidR="002A7D43" w:rsidRPr="008F2103">
              <w:rPr>
                <w:sz w:val="18"/>
                <w:szCs w:val="18"/>
              </w:rPr>
              <w:t>16 Department of Education and Training Portfolio Budget Statement at p. 50.</w:t>
            </w:r>
          </w:p>
        </w:tc>
      </w:tr>
      <w:tr w:rsidR="000C1994" w:rsidTr="000831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left w:val="single" w:sz="4" w:space="0" w:color="auto"/>
              <w:bottom w:val="single" w:sz="4" w:space="0" w:color="auto"/>
              <w:right w:val="none" w:sz="0" w:space="0" w:color="auto"/>
            </w:tcBorders>
            <w:vAlign w:val="top"/>
          </w:tcPr>
          <w:p w:rsidR="000C1994" w:rsidRPr="008F2103" w:rsidRDefault="000C1994" w:rsidP="0008317E">
            <w:pPr>
              <w:pStyle w:val="TableText"/>
              <w:rPr>
                <w:sz w:val="18"/>
                <w:szCs w:val="18"/>
              </w:rPr>
            </w:pPr>
            <w:r w:rsidRPr="008F2103">
              <w:rPr>
                <w:sz w:val="18"/>
                <w:szCs w:val="18"/>
              </w:rPr>
              <w:t>Public debt interest</w:t>
            </w:r>
          </w:p>
        </w:tc>
        <w:tc>
          <w:tcPr>
            <w:tcW w:w="5052" w:type="dxa"/>
            <w:tcBorders>
              <w:top w:val="single" w:sz="4" w:space="0" w:color="auto"/>
              <w:left w:val="none" w:sz="0" w:space="0" w:color="auto"/>
              <w:bottom w:val="single" w:sz="4" w:space="0" w:color="auto"/>
              <w:right w:val="single" w:sz="4" w:space="0" w:color="auto"/>
            </w:tcBorders>
          </w:tcPr>
          <w:p w:rsidR="000C1994" w:rsidRPr="008F2103" w:rsidRDefault="000C1994" w:rsidP="00502E1C">
            <w:pPr>
              <w:pStyle w:val="TableText"/>
              <w:cnfStyle w:val="000000100000" w:firstRow="0" w:lastRow="0" w:firstColumn="0" w:lastColumn="0" w:oddVBand="0" w:evenVBand="0" w:oddHBand="1" w:evenHBand="0" w:firstRowFirstColumn="0" w:firstRowLastColumn="0" w:lastRowFirstColumn="0" w:lastRowLastColumn="0"/>
              <w:rPr>
                <w:sz w:val="18"/>
                <w:szCs w:val="18"/>
              </w:rPr>
            </w:pPr>
            <w:r w:rsidRPr="008F2103">
              <w:rPr>
                <w:sz w:val="18"/>
                <w:szCs w:val="18"/>
              </w:rPr>
              <w:t>The public debt interest of financing the HELP portfolio is calculated by assuming that annual net issuanc</w:t>
            </w:r>
            <w:r w:rsidR="00772249">
              <w:rPr>
                <w:sz w:val="18"/>
                <w:szCs w:val="18"/>
              </w:rPr>
              <w:t>e is financed exclusively by 10-</w:t>
            </w:r>
            <w:r w:rsidRPr="008F2103">
              <w:rPr>
                <w:sz w:val="18"/>
                <w:szCs w:val="18"/>
              </w:rPr>
              <w:t>year Commonwealth Government Securities.</w:t>
            </w:r>
          </w:p>
        </w:tc>
      </w:tr>
      <w:tr w:rsidR="000C1994" w:rsidTr="0008317E">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left w:val="single" w:sz="4" w:space="0" w:color="auto"/>
              <w:bottom w:val="single" w:sz="4" w:space="0" w:color="auto"/>
            </w:tcBorders>
            <w:vAlign w:val="top"/>
          </w:tcPr>
          <w:p w:rsidR="000C1994" w:rsidRPr="008F2103" w:rsidRDefault="000C1994" w:rsidP="0008317E">
            <w:pPr>
              <w:pStyle w:val="TableText"/>
              <w:rPr>
                <w:sz w:val="18"/>
                <w:szCs w:val="18"/>
              </w:rPr>
            </w:pPr>
            <w:r w:rsidRPr="008F2103">
              <w:rPr>
                <w:sz w:val="18"/>
                <w:szCs w:val="18"/>
              </w:rPr>
              <w:t>Bond yields on Commonwealth Government Securities</w:t>
            </w:r>
          </w:p>
        </w:tc>
        <w:tc>
          <w:tcPr>
            <w:tcW w:w="5052" w:type="dxa"/>
            <w:tcBorders>
              <w:top w:val="single" w:sz="4" w:space="0" w:color="auto"/>
              <w:bottom w:val="single" w:sz="4" w:space="0" w:color="auto"/>
              <w:right w:val="single" w:sz="4" w:space="0" w:color="auto"/>
            </w:tcBorders>
          </w:tcPr>
          <w:p w:rsidR="000C1994" w:rsidRPr="008F2103" w:rsidRDefault="006A6EF1" w:rsidP="004A7F27">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8F2103">
              <w:rPr>
                <w:sz w:val="18"/>
                <w:szCs w:val="18"/>
              </w:rPr>
              <w:t>For the purpose of calculating public debt interest payments associated with the HELP loan portfolio, 10</w:t>
            </w:r>
            <w:r w:rsidR="00772249">
              <w:rPr>
                <w:sz w:val="18"/>
                <w:szCs w:val="18"/>
              </w:rPr>
              <w:t>-</w:t>
            </w:r>
            <w:r w:rsidRPr="008F2103">
              <w:rPr>
                <w:sz w:val="18"/>
                <w:szCs w:val="18"/>
              </w:rPr>
              <w:t>year</w:t>
            </w:r>
            <w:r w:rsidR="000C1994" w:rsidRPr="008F2103">
              <w:rPr>
                <w:sz w:val="18"/>
                <w:szCs w:val="18"/>
              </w:rPr>
              <w:t xml:space="preserve"> bond yields on Commonwealth Government Securities are assumed to converge to 6 per cent in 2024</w:t>
            </w:r>
            <w:r w:rsidR="0030303F" w:rsidRPr="008F2103">
              <w:rPr>
                <w:sz w:val="18"/>
                <w:szCs w:val="18"/>
              </w:rPr>
              <w:t>–</w:t>
            </w:r>
            <w:r w:rsidR="000C1994" w:rsidRPr="008F2103">
              <w:rPr>
                <w:sz w:val="18"/>
                <w:szCs w:val="18"/>
              </w:rPr>
              <w:t>25 (rising fro</w:t>
            </w:r>
            <w:r w:rsidR="00540F79">
              <w:rPr>
                <w:sz w:val="18"/>
                <w:szCs w:val="18"/>
              </w:rPr>
              <w:t>m around 3 </w:t>
            </w:r>
            <w:r w:rsidR="000C1994" w:rsidRPr="008F2103">
              <w:rPr>
                <w:sz w:val="18"/>
                <w:szCs w:val="18"/>
              </w:rPr>
              <w:t>per</w:t>
            </w:r>
            <w:r w:rsidR="00540F79">
              <w:rPr>
                <w:sz w:val="18"/>
                <w:szCs w:val="18"/>
              </w:rPr>
              <w:t> </w:t>
            </w:r>
            <w:r w:rsidR="000C1994" w:rsidRPr="008F2103">
              <w:rPr>
                <w:sz w:val="18"/>
                <w:szCs w:val="18"/>
              </w:rPr>
              <w:t xml:space="preserve">cent), consistent with </w:t>
            </w:r>
            <w:r w:rsidRPr="008F2103">
              <w:rPr>
                <w:sz w:val="18"/>
                <w:szCs w:val="18"/>
              </w:rPr>
              <w:t xml:space="preserve">the </w:t>
            </w:r>
            <w:r w:rsidR="000C1994" w:rsidRPr="008F2103">
              <w:rPr>
                <w:sz w:val="18"/>
                <w:szCs w:val="18"/>
              </w:rPr>
              <w:t xml:space="preserve">assumption in </w:t>
            </w:r>
            <w:r w:rsidR="00696B63" w:rsidRPr="008F2103">
              <w:rPr>
                <w:sz w:val="18"/>
                <w:szCs w:val="18"/>
              </w:rPr>
              <w:t xml:space="preserve">the </w:t>
            </w:r>
            <w:r w:rsidR="000C1994" w:rsidRPr="008F2103">
              <w:rPr>
                <w:sz w:val="18"/>
                <w:szCs w:val="18"/>
              </w:rPr>
              <w:t>2015</w:t>
            </w:r>
            <w:r w:rsidR="0030303F" w:rsidRPr="008F2103">
              <w:rPr>
                <w:sz w:val="18"/>
                <w:szCs w:val="18"/>
              </w:rPr>
              <w:t>–</w:t>
            </w:r>
            <w:r w:rsidR="000C1994" w:rsidRPr="008F2103">
              <w:rPr>
                <w:sz w:val="18"/>
                <w:szCs w:val="18"/>
              </w:rPr>
              <w:t>16 MYEFO.</w:t>
            </w:r>
          </w:p>
        </w:tc>
      </w:tr>
    </w:tbl>
    <w:p w:rsidR="000C1994" w:rsidRDefault="000C1994" w:rsidP="000C1994">
      <w:pPr>
        <w:pStyle w:val="ListBullet"/>
        <w:numPr>
          <w:ilvl w:val="0"/>
          <w:numId w:val="0"/>
        </w:numPr>
        <w:ind w:left="454" w:hanging="454"/>
      </w:pPr>
    </w:p>
    <w:p w:rsidR="002E3FEC" w:rsidRDefault="002E3FEC" w:rsidP="000C1994">
      <w:pPr>
        <w:pStyle w:val="ListBullet"/>
        <w:numPr>
          <w:ilvl w:val="0"/>
          <w:numId w:val="0"/>
        </w:numPr>
        <w:ind w:left="454" w:hanging="454"/>
        <w:sectPr w:rsidR="002E3FEC" w:rsidSect="002E3FEC">
          <w:headerReference w:type="even" r:id="rId47"/>
          <w:headerReference w:type="default" r:id="rId48"/>
          <w:footerReference w:type="even" r:id="rId49"/>
          <w:footerReference w:type="default" r:id="rId50"/>
          <w:headerReference w:type="first" r:id="rId51"/>
          <w:footerReference w:type="first" r:id="rId52"/>
          <w:pgSz w:w="11907" w:h="16839" w:code="9"/>
          <w:pgMar w:top="1361" w:right="1797" w:bottom="1474" w:left="1797" w:header="283" w:footer="454" w:gutter="0"/>
          <w:cols w:space="708"/>
          <w:docGrid w:linePitch="360"/>
        </w:sectPr>
      </w:pPr>
    </w:p>
    <w:p w:rsidR="004B77FE" w:rsidRDefault="004B77FE" w:rsidP="001D1B2A">
      <w:pPr>
        <w:pStyle w:val="Heading8"/>
        <w:ind w:left="0"/>
      </w:pPr>
      <w:bookmarkStart w:id="96" w:name="_Ref445363179"/>
      <w:bookmarkStart w:id="97" w:name="_Toc447204545"/>
      <w:r>
        <w:lastRenderedPageBreak/>
        <w:t xml:space="preserve"> </w:t>
      </w:r>
      <w:bookmarkStart w:id="98" w:name="_Ref447616267"/>
      <w:bookmarkStart w:id="99" w:name="_Toc447618001"/>
      <w:r>
        <w:t>– Higher education policy reform measures, 2013–14 to 2014–15</w:t>
      </w:r>
      <w:bookmarkEnd w:id="98"/>
      <w:bookmarkEnd w:id="99"/>
    </w:p>
    <w:bookmarkEnd w:id="96"/>
    <w:bookmarkEnd w:id="97"/>
    <w:p w:rsidR="00BE7D66" w:rsidRPr="004B77FE" w:rsidRDefault="004A7F27" w:rsidP="004B77FE">
      <w:pPr>
        <w:pStyle w:val="Heading9"/>
      </w:pPr>
      <w:r>
        <w:t>L</w:t>
      </w:r>
      <w:r w:rsidR="00BE7D66" w:rsidRPr="004B77FE">
        <w:t xml:space="preserve">egislated </w:t>
      </w:r>
      <w:r>
        <w:t xml:space="preserve">or otherwise implemented </w:t>
      </w:r>
      <w:r w:rsidR="00BE7D66" w:rsidRPr="004B77FE">
        <w:t>measures</w:t>
      </w:r>
    </w:p>
    <w:tbl>
      <w:tblPr>
        <w:tblStyle w:val="TableGrid"/>
        <w:tblW w:w="5006" w:type="pct"/>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58"/>
        <w:gridCol w:w="5775"/>
      </w:tblGrid>
      <w:tr w:rsidR="00BE7D66" w:rsidRPr="008F2103" w:rsidTr="00BC058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35" w:type="pct"/>
            <w:tcBorders>
              <w:top w:val="none" w:sz="0" w:space="0" w:color="auto"/>
              <w:left w:val="none" w:sz="0" w:space="0" w:color="auto"/>
              <w:bottom w:val="none" w:sz="0" w:space="0" w:color="auto"/>
              <w:right w:val="single" w:sz="4" w:space="0" w:color="auto"/>
              <w:tl2br w:val="none" w:sz="0" w:space="0" w:color="auto"/>
              <w:tr2bl w:val="none" w:sz="0" w:space="0" w:color="auto"/>
            </w:tcBorders>
          </w:tcPr>
          <w:p w:rsidR="00BE7D66" w:rsidRPr="008F2103" w:rsidRDefault="00BE7D66" w:rsidP="004B77FE">
            <w:pPr>
              <w:pStyle w:val="TableHeading"/>
              <w:rPr>
                <w:sz w:val="18"/>
                <w:szCs w:val="18"/>
              </w:rPr>
            </w:pPr>
            <w:r w:rsidRPr="008F2103">
              <w:rPr>
                <w:sz w:val="18"/>
                <w:szCs w:val="18"/>
              </w:rPr>
              <w:t xml:space="preserve">HECS-HELP Discount and </w:t>
            </w:r>
            <w:r w:rsidR="004B77FE" w:rsidRPr="008F2103">
              <w:rPr>
                <w:sz w:val="18"/>
                <w:szCs w:val="18"/>
              </w:rPr>
              <w:t>Voluntary HELP Repayment Bonus —</w:t>
            </w:r>
            <w:r w:rsidRPr="008F2103">
              <w:rPr>
                <w:sz w:val="18"/>
                <w:szCs w:val="18"/>
              </w:rPr>
              <w:t xml:space="preserve"> ending discounting</w:t>
            </w:r>
          </w:p>
        </w:tc>
        <w:tc>
          <w:tcPr>
            <w:tcW w:w="3465" w:type="pct"/>
            <w:tcBorders>
              <w:top w:val="single" w:sz="4" w:space="0" w:color="auto"/>
              <w:left w:val="single" w:sz="4" w:space="0" w:color="auto"/>
              <w:bottom w:val="single" w:sz="4" w:space="0" w:color="auto"/>
              <w:right w:val="none" w:sz="0" w:space="0" w:color="auto"/>
              <w:tl2br w:val="none" w:sz="0" w:space="0" w:color="auto"/>
              <w:tr2bl w:val="none" w:sz="0" w:space="0" w:color="auto"/>
            </w:tcBorders>
            <w:shd w:val="clear" w:color="auto" w:fill="D7DDE9" w:themeFill="accent3"/>
          </w:tcPr>
          <w:p w:rsidR="00BE7D66" w:rsidRPr="008F2103" w:rsidRDefault="00BE7D66" w:rsidP="004B77FE">
            <w:pPr>
              <w:pStyle w:val="TableText"/>
              <w:jc w:val="left"/>
              <w:cnfStyle w:val="100000000000" w:firstRow="1" w:lastRow="0" w:firstColumn="0" w:lastColumn="0" w:oddVBand="0" w:evenVBand="0" w:oddHBand="0" w:evenHBand="0" w:firstRowFirstColumn="0" w:firstRowLastColumn="0" w:lastRowFirstColumn="0" w:lastRowLastColumn="0"/>
              <w:rPr>
                <w:color w:val="auto"/>
                <w:sz w:val="18"/>
                <w:szCs w:val="18"/>
              </w:rPr>
            </w:pPr>
            <w:r w:rsidRPr="008F2103">
              <w:rPr>
                <w:color w:val="auto"/>
                <w:sz w:val="18"/>
                <w:szCs w:val="18"/>
              </w:rPr>
              <w:t>This 2013–14 Budget measure removed the 10 per cent discount on up</w:t>
            </w:r>
            <w:r w:rsidR="004B77FE" w:rsidRPr="008F2103">
              <w:rPr>
                <w:color w:val="auto"/>
                <w:sz w:val="18"/>
                <w:szCs w:val="18"/>
              </w:rPr>
              <w:noBreakHyphen/>
            </w:r>
            <w:r w:rsidRPr="008F2103">
              <w:rPr>
                <w:color w:val="auto"/>
                <w:sz w:val="18"/>
                <w:szCs w:val="18"/>
              </w:rPr>
              <w:t>front student contributions and the 5 per cent discount on voluntary payments over $500.</w:t>
            </w:r>
          </w:p>
        </w:tc>
      </w:tr>
      <w:tr w:rsidR="00BE7D66" w:rsidRPr="008F2103" w:rsidTr="00BC05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5" w:type="pct"/>
            <w:tcBorders>
              <w:top w:val="none" w:sz="0" w:space="0" w:color="auto"/>
              <w:left w:val="none" w:sz="0" w:space="0" w:color="auto"/>
              <w:bottom w:val="none" w:sz="0" w:space="0" w:color="auto"/>
              <w:right w:val="single" w:sz="4" w:space="0" w:color="auto"/>
              <w:tl2br w:val="none" w:sz="0" w:space="0" w:color="auto"/>
              <w:tr2bl w:val="none" w:sz="0" w:space="0" w:color="auto"/>
            </w:tcBorders>
            <w:shd w:val="clear" w:color="auto" w:fill="2B3B5F" w:themeFill="text2"/>
            <w:vAlign w:val="top"/>
          </w:tcPr>
          <w:p w:rsidR="00BE7D66" w:rsidRPr="008F2103" w:rsidRDefault="004B77FE" w:rsidP="004B77FE">
            <w:pPr>
              <w:pStyle w:val="TableHeading"/>
              <w:rPr>
                <w:sz w:val="18"/>
                <w:szCs w:val="18"/>
              </w:rPr>
            </w:pPr>
            <w:r w:rsidRPr="008F2103">
              <w:rPr>
                <w:sz w:val="18"/>
                <w:szCs w:val="18"/>
              </w:rPr>
              <w:t>Student Start-up Scholarships —</w:t>
            </w:r>
            <w:r w:rsidR="00BE7D66" w:rsidRPr="008F2103">
              <w:rPr>
                <w:sz w:val="18"/>
                <w:szCs w:val="18"/>
              </w:rPr>
              <w:t xml:space="preserve"> conversion to </w:t>
            </w:r>
            <w:r w:rsidRPr="008F2103">
              <w:rPr>
                <w:sz w:val="18"/>
                <w:szCs w:val="18"/>
              </w:rPr>
              <w:t>i</w:t>
            </w:r>
            <w:r w:rsidR="00BE7D66" w:rsidRPr="008F2103">
              <w:rPr>
                <w:sz w:val="18"/>
                <w:szCs w:val="18"/>
              </w:rPr>
              <w:t xml:space="preserve">ncome </w:t>
            </w:r>
            <w:r w:rsidRPr="008F2103">
              <w:rPr>
                <w:sz w:val="18"/>
                <w:szCs w:val="18"/>
              </w:rPr>
              <w:t>c</w:t>
            </w:r>
            <w:r w:rsidR="00BE7D66" w:rsidRPr="008F2103">
              <w:rPr>
                <w:sz w:val="18"/>
                <w:szCs w:val="18"/>
              </w:rPr>
              <w:t xml:space="preserve">ontingent </w:t>
            </w:r>
            <w:r w:rsidRPr="008F2103">
              <w:rPr>
                <w:sz w:val="18"/>
                <w:szCs w:val="18"/>
              </w:rPr>
              <w:t>l</w:t>
            </w:r>
            <w:r w:rsidR="00BE7D66" w:rsidRPr="008F2103">
              <w:rPr>
                <w:sz w:val="18"/>
                <w:szCs w:val="18"/>
              </w:rPr>
              <w:t>oans</w:t>
            </w:r>
          </w:p>
        </w:tc>
        <w:tc>
          <w:tcPr>
            <w:tcW w:w="3465" w:type="pct"/>
            <w:tcBorders>
              <w:top w:val="single" w:sz="4" w:space="0" w:color="auto"/>
              <w:left w:val="single" w:sz="4" w:space="0" w:color="auto"/>
              <w:bottom w:val="single" w:sz="4" w:space="0" w:color="auto"/>
              <w:right w:val="none" w:sz="0" w:space="0" w:color="auto"/>
              <w:tl2br w:val="none" w:sz="0" w:space="0" w:color="auto"/>
              <w:tr2bl w:val="none" w:sz="0" w:space="0" w:color="auto"/>
            </w:tcBorders>
            <w:shd w:val="clear" w:color="auto" w:fill="auto"/>
            <w:vAlign w:val="top"/>
          </w:tcPr>
          <w:p w:rsidR="00BE7D66" w:rsidRPr="008F2103" w:rsidRDefault="00BE7D66" w:rsidP="004B77FE">
            <w:pPr>
              <w:pStyle w:val="TableText"/>
              <w:cnfStyle w:val="000000100000" w:firstRow="0" w:lastRow="0" w:firstColumn="0" w:lastColumn="0" w:oddVBand="0" w:evenVBand="0" w:oddHBand="1" w:evenHBand="0" w:firstRowFirstColumn="0" w:firstRowLastColumn="0" w:lastRowFirstColumn="0" w:lastRowLastColumn="0"/>
              <w:rPr>
                <w:sz w:val="18"/>
                <w:szCs w:val="18"/>
              </w:rPr>
            </w:pPr>
            <w:r w:rsidRPr="008F2103">
              <w:rPr>
                <w:sz w:val="18"/>
                <w:szCs w:val="18"/>
              </w:rPr>
              <w:t>This 2013–14 Budget measure converted student start-up scholarships to income contingent loans, similar to HELP.  Student start-up scholarships were designed to assist with the upfront cost of study for eligible higher education students.</w:t>
            </w:r>
          </w:p>
        </w:tc>
      </w:tr>
      <w:tr w:rsidR="00BE7D66" w:rsidRPr="008F2103" w:rsidTr="004F07A3">
        <w:tc>
          <w:tcPr>
            <w:cnfStyle w:val="001000000000" w:firstRow="0" w:lastRow="0" w:firstColumn="1" w:lastColumn="0" w:oddVBand="0" w:evenVBand="0" w:oddHBand="0" w:evenHBand="0" w:firstRowFirstColumn="0" w:firstRowLastColumn="0" w:lastRowFirstColumn="0" w:lastRowLastColumn="0"/>
            <w:tcW w:w="1535" w:type="pct"/>
            <w:tcBorders>
              <w:right w:val="single" w:sz="4" w:space="0" w:color="auto"/>
            </w:tcBorders>
            <w:shd w:val="clear" w:color="auto" w:fill="2B3B5F" w:themeFill="text2"/>
            <w:vAlign w:val="top"/>
          </w:tcPr>
          <w:p w:rsidR="00BE7D66" w:rsidRPr="008F2103" w:rsidRDefault="004B77FE" w:rsidP="004B77FE">
            <w:pPr>
              <w:pStyle w:val="TableHeading"/>
              <w:rPr>
                <w:sz w:val="18"/>
                <w:szCs w:val="18"/>
                <w:highlight w:val="yellow"/>
              </w:rPr>
            </w:pPr>
            <w:r w:rsidRPr="008F2103">
              <w:rPr>
                <w:sz w:val="18"/>
                <w:szCs w:val="18"/>
              </w:rPr>
              <w:t>HELP</w:t>
            </w:r>
            <w:r w:rsidR="00BE7D66" w:rsidRPr="008F2103">
              <w:rPr>
                <w:sz w:val="18"/>
                <w:szCs w:val="18"/>
              </w:rPr>
              <w:t xml:space="preserve"> — recovery of repayments from overseas debtors</w:t>
            </w:r>
          </w:p>
        </w:tc>
        <w:tc>
          <w:tcPr>
            <w:tcW w:w="3465" w:type="pct"/>
            <w:tcBorders>
              <w:top w:val="single" w:sz="4" w:space="0" w:color="auto"/>
              <w:left w:val="single" w:sz="4" w:space="0" w:color="auto"/>
              <w:bottom w:val="single" w:sz="4" w:space="0" w:color="auto"/>
            </w:tcBorders>
            <w:shd w:val="clear" w:color="auto" w:fill="D7DDE9" w:themeFill="accent3"/>
            <w:vAlign w:val="top"/>
          </w:tcPr>
          <w:p w:rsidR="00BE7D66" w:rsidRPr="008F2103" w:rsidRDefault="00BE7D66" w:rsidP="004B77FE">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8F2103">
              <w:rPr>
                <w:sz w:val="18"/>
                <w:szCs w:val="18"/>
              </w:rPr>
              <w:t>This 2015</w:t>
            </w:r>
            <w:r w:rsidR="004B77FE" w:rsidRPr="008F2103">
              <w:rPr>
                <w:sz w:val="18"/>
                <w:szCs w:val="18"/>
              </w:rPr>
              <w:t>–</w:t>
            </w:r>
            <w:r w:rsidRPr="008F2103">
              <w:rPr>
                <w:sz w:val="18"/>
                <w:szCs w:val="18"/>
              </w:rPr>
              <w:t>16 Budget measure extends the HELP repayment framework to debtors residing overseas.  From 2016</w:t>
            </w:r>
            <w:r w:rsidR="004B77FE" w:rsidRPr="008F2103">
              <w:rPr>
                <w:sz w:val="18"/>
                <w:szCs w:val="18"/>
              </w:rPr>
              <w:t>–</w:t>
            </w:r>
            <w:r w:rsidRPr="008F2103">
              <w:rPr>
                <w:sz w:val="18"/>
                <w:szCs w:val="18"/>
              </w:rPr>
              <w:t>17, HELP debtors residing overseas for six months or more will be required to make repayments of their HELP debt if their worldwide income exceeds the minimum repayment threshold at the same repayment rates as debtors in Australia.</w:t>
            </w:r>
          </w:p>
        </w:tc>
      </w:tr>
      <w:tr w:rsidR="00BE7D66" w:rsidRPr="008F2103" w:rsidTr="00BC05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5" w:type="pct"/>
            <w:tcBorders>
              <w:top w:val="none" w:sz="0" w:space="0" w:color="auto"/>
              <w:left w:val="none" w:sz="0" w:space="0" w:color="auto"/>
              <w:bottom w:val="none" w:sz="0" w:space="0" w:color="auto"/>
              <w:right w:val="single" w:sz="4" w:space="0" w:color="auto"/>
              <w:tl2br w:val="none" w:sz="0" w:space="0" w:color="auto"/>
              <w:tr2bl w:val="none" w:sz="0" w:space="0" w:color="auto"/>
            </w:tcBorders>
            <w:shd w:val="clear" w:color="auto" w:fill="2B3B5F" w:themeFill="text2"/>
            <w:vAlign w:val="top"/>
          </w:tcPr>
          <w:p w:rsidR="00BE7D66" w:rsidRPr="008F2103" w:rsidRDefault="004B77FE" w:rsidP="004B77FE">
            <w:pPr>
              <w:pStyle w:val="TableHeading"/>
              <w:rPr>
                <w:sz w:val="18"/>
                <w:szCs w:val="18"/>
              </w:rPr>
            </w:pPr>
            <w:r w:rsidRPr="008F2103">
              <w:rPr>
                <w:sz w:val="18"/>
                <w:szCs w:val="18"/>
              </w:rPr>
              <w:t>HELP</w:t>
            </w:r>
            <w:r w:rsidR="00BE7D66" w:rsidRPr="008F2103">
              <w:rPr>
                <w:sz w:val="18"/>
                <w:szCs w:val="18"/>
              </w:rPr>
              <w:t xml:space="preserve"> — strengthened compliance</w:t>
            </w:r>
          </w:p>
        </w:tc>
        <w:tc>
          <w:tcPr>
            <w:tcW w:w="3465" w:type="pct"/>
            <w:tcBorders>
              <w:top w:val="single" w:sz="4" w:space="0" w:color="auto"/>
              <w:left w:val="single" w:sz="4" w:space="0" w:color="auto"/>
              <w:bottom w:val="single" w:sz="4" w:space="0" w:color="auto"/>
              <w:right w:val="none" w:sz="0" w:space="0" w:color="auto"/>
              <w:tl2br w:val="none" w:sz="0" w:space="0" w:color="auto"/>
              <w:tr2bl w:val="none" w:sz="0" w:space="0" w:color="auto"/>
            </w:tcBorders>
            <w:shd w:val="clear" w:color="auto" w:fill="auto"/>
            <w:vAlign w:val="top"/>
          </w:tcPr>
          <w:p w:rsidR="00BE7D66" w:rsidRPr="008F2103" w:rsidRDefault="00BE7D66" w:rsidP="004B77FE">
            <w:pPr>
              <w:pStyle w:val="TableText"/>
              <w:cnfStyle w:val="000000100000" w:firstRow="0" w:lastRow="0" w:firstColumn="0" w:lastColumn="0" w:oddVBand="0" w:evenVBand="0" w:oddHBand="1" w:evenHBand="0" w:firstRowFirstColumn="0" w:firstRowLastColumn="0" w:lastRowFirstColumn="0" w:lastRowLastColumn="0"/>
              <w:rPr>
                <w:sz w:val="18"/>
                <w:szCs w:val="18"/>
              </w:rPr>
            </w:pPr>
            <w:r w:rsidRPr="008F2103">
              <w:rPr>
                <w:sz w:val="18"/>
                <w:szCs w:val="18"/>
              </w:rPr>
              <w:t>This 2015</w:t>
            </w:r>
            <w:r w:rsidR="004B77FE" w:rsidRPr="008F2103">
              <w:rPr>
                <w:sz w:val="18"/>
                <w:szCs w:val="18"/>
              </w:rPr>
              <w:t>–</w:t>
            </w:r>
            <w:r w:rsidRPr="008F2103">
              <w:rPr>
                <w:sz w:val="18"/>
                <w:szCs w:val="18"/>
              </w:rPr>
              <w:t>16 MYEFO measure provided $3.8 million over four years from 2015</w:t>
            </w:r>
            <w:r w:rsidR="004B77FE" w:rsidRPr="008F2103">
              <w:rPr>
                <w:sz w:val="18"/>
                <w:szCs w:val="18"/>
              </w:rPr>
              <w:t>–</w:t>
            </w:r>
            <w:r w:rsidRPr="008F2103">
              <w:rPr>
                <w:sz w:val="18"/>
                <w:szCs w:val="18"/>
              </w:rPr>
              <w:t>16 to strengthen the compliance and enforcement arrangements for the recovery of HELP debts from Australians living overseas, including through the use of data matching with international agencies to identify debtors working overseas, registration of debtors who do not register voluntarily and financial penalties for non-compliance.</w:t>
            </w:r>
          </w:p>
        </w:tc>
      </w:tr>
      <w:tr w:rsidR="00BC0582" w:rsidTr="004F07A3">
        <w:tblPrEx>
          <w:tblLook w:val="0480" w:firstRow="0"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1535" w:type="pct"/>
            <w:tcBorders>
              <w:right w:val="single" w:sz="4" w:space="0" w:color="auto"/>
            </w:tcBorders>
            <w:shd w:val="clear" w:color="auto" w:fill="2B3B5F" w:themeFill="text2"/>
            <w:vAlign w:val="top"/>
          </w:tcPr>
          <w:p w:rsidR="00BC0582" w:rsidRPr="008F2103" w:rsidRDefault="00BC0582" w:rsidP="00BC0582">
            <w:pPr>
              <w:pStyle w:val="TableHeading"/>
              <w:rPr>
                <w:sz w:val="18"/>
                <w:szCs w:val="18"/>
                <w:highlight w:val="yellow"/>
              </w:rPr>
            </w:pPr>
            <w:r w:rsidRPr="008F2103">
              <w:rPr>
                <w:sz w:val="18"/>
                <w:szCs w:val="18"/>
              </w:rPr>
              <w:t>VET FEE-HELP — strengthened compliance</w:t>
            </w:r>
          </w:p>
        </w:tc>
        <w:tc>
          <w:tcPr>
            <w:tcW w:w="3465" w:type="pct"/>
            <w:tcBorders>
              <w:top w:val="single" w:sz="4" w:space="0" w:color="auto"/>
              <w:left w:val="single" w:sz="4" w:space="0" w:color="auto"/>
              <w:bottom w:val="single" w:sz="4" w:space="0" w:color="auto"/>
            </w:tcBorders>
            <w:shd w:val="clear" w:color="auto" w:fill="D7DDE9" w:themeFill="accent3"/>
            <w:vAlign w:val="top"/>
          </w:tcPr>
          <w:p w:rsidR="00BC0582" w:rsidRPr="008F2103" w:rsidRDefault="00BC0582" w:rsidP="00BC0582">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8F2103">
              <w:rPr>
                <w:sz w:val="18"/>
                <w:szCs w:val="18"/>
              </w:rPr>
              <w:t>This 2015-16 MYEFO measure strengthened the compliance regime for the VET FEE-HELP scheme from 1 January 2016 by:</w:t>
            </w:r>
          </w:p>
          <w:p w:rsidR="00BC0582" w:rsidRPr="008F2103" w:rsidRDefault="00BC0582" w:rsidP="00BC0582">
            <w:pPr>
              <w:pStyle w:val="TableTextBullet"/>
              <w:cnfStyle w:val="000000000000" w:firstRow="0" w:lastRow="0" w:firstColumn="0" w:lastColumn="0" w:oddVBand="0" w:evenVBand="0" w:oddHBand="0" w:evenHBand="0" w:firstRowFirstColumn="0" w:firstRowLastColumn="0" w:lastRowFirstColumn="0" w:lastRowLastColumn="0"/>
              <w:rPr>
                <w:sz w:val="18"/>
                <w:szCs w:val="18"/>
              </w:rPr>
            </w:pPr>
            <w:r w:rsidRPr="008F2103">
              <w:rPr>
                <w:sz w:val="18"/>
                <w:szCs w:val="18"/>
              </w:rPr>
              <w:t>freezing the total value of VET FEE-HELP loans for all existing accredited training providers at 2015 levels</w:t>
            </w:r>
          </w:p>
          <w:p w:rsidR="00BC0582" w:rsidRPr="008F2103" w:rsidRDefault="00BC0582" w:rsidP="00BC0582">
            <w:pPr>
              <w:pStyle w:val="TableTextBullet"/>
              <w:cnfStyle w:val="000000000000" w:firstRow="0" w:lastRow="0" w:firstColumn="0" w:lastColumn="0" w:oddVBand="0" w:evenVBand="0" w:oddHBand="0" w:evenHBand="0" w:firstRowFirstColumn="0" w:firstRowLastColumn="0" w:lastRowFirstColumn="0" w:lastRowLastColumn="0"/>
              <w:rPr>
                <w:sz w:val="18"/>
                <w:szCs w:val="18"/>
              </w:rPr>
            </w:pPr>
            <w:r w:rsidRPr="008F2103">
              <w:rPr>
                <w:sz w:val="18"/>
                <w:szCs w:val="18"/>
              </w:rPr>
              <w:t>pausing approval of any new VET FEE-HELP providers, with some limited exceptions, until 2017</w:t>
            </w:r>
          </w:p>
          <w:p w:rsidR="00BC0582" w:rsidRPr="008F2103" w:rsidRDefault="00BC0582" w:rsidP="00BC0582">
            <w:pPr>
              <w:pStyle w:val="TableTextBullet"/>
              <w:cnfStyle w:val="000000000000" w:firstRow="0" w:lastRow="0" w:firstColumn="0" w:lastColumn="0" w:oddVBand="0" w:evenVBand="0" w:oddHBand="0" w:evenHBand="0" w:firstRowFirstColumn="0" w:firstRowLastColumn="0" w:lastRowFirstColumn="0" w:lastRowLastColumn="0"/>
              <w:rPr>
                <w:sz w:val="18"/>
                <w:szCs w:val="18"/>
              </w:rPr>
            </w:pPr>
            <w:r w:rsidRPr="008F2103">
              <w:rPr>
                <w:sz w:val="18"/>
                <w:szCs w:val="18"/>
              </w:rPr>
              <w:t>introducing stronger reporting requirements and moving to payment in arrears for certain VET FEE-HELP providers</w:t>
            </w:r>
            <w:r>
              <w:rPr>
                <w:sz w:val="18"/>
                <w:szCs w:val="18"/>
              </w:rPr>
              <w:t>,</w:t>
            </w:r>
            <w:r w:rsidRPr="008F2103">
              <w:rPr>
                <w:sz w:val="18"/>
                <w:szCs w:val="18"/>
              </w:rPr>
              <w:t xml:space="preserve"> and</w:t>
            </w:r>
          </w:p>
          <w:p w:rsidR="00BC0582" w:rsidRPr="008F2103" w:rsidRDefault="00BC0582" w:rsidP="00BC0582">
            <w:pPr>
              <w:pStyle w:val="TableTextBullet"/>
              <w:cnfStyle w:val="000000000000" w:firstRow="0" w:lastRow="0" w:firstColumn="0" w:lastColumn="0" w:oddVBand="0" w:evenVBand="0" w:oddHBand="0" w:evenHBand="0" w:firstRowFirstColumn="0" w:firstRowLastColumn="0" w:lastRowFirstColumn="0" w:lastRowLastColumn="0"/>
              <w:rPr>
                <w:sz w:val="18"/>
                <w:szCs w:val="18"/>
              </w:rPr>
            </w:pPr>
            <w:proofErr w:type="gramStart"/>
            <w:r w:rsidRPr="008F2103">
              <w:rPr>
                <w:sz w:val="18"/>
                <w:szCs w:val="18"/>
              </w:rPr>
              <w:t>pausing</w:t>
            </w:r>
            <w:proofErr w:type="gramEnd"/>
            <w:r w:rsidRPr="008F2103">
              <w:rPr>
                <w:sz w:val="18"/>
                <w:szCs w:val="18"/>
              </w:rPr>
              <w:t xml:space="preserve"> VET FEE-HELP payments for new enrolments to providers where there are concerns about performance.</w:t>
            </w:r>
          </w:p>
        </w:tc>
      </w:tr>
    </w:tbl>
    <w:p w:rsidR="00BC0582" w:rsidRDefault="00BC0582">
      <w:pPr>
        <w:rPr>
          <w:rFonts w:cs="Times New Roman"/>
          <w:spacing w:val="-1"/>
        </w:rPr>
      </w:pPr>
      <w:r>
        <w:br w:type="page"/>
      </w:r>
    </w:p>
    <w:p w:rsidR="00BE7D66" w:rsidRPr="004B77FE" w:rsidRDefault="00BE7D66" w:rsidP="004B77FE">
      <w:pPr>
        <w:pStyle w:val="Heading9"/>
      </w:pPr>
      <w:r w:rsidRPr="004B77FE">
        <w:lastRenderedPageBreak/>
        <w:t>Unlegislated measures</w:t>
      </w:r>
    </w:p>
    <w:tbl>
      <w:tblPr>
        <w:tblStyle w:val="TableGrid"/>
        <w:tblW w:w="5000" w:type="pct"/>
        <w:tblBorders>
          <w:top w:val="single" w:sz="4" w:space="0" w:color="auto"/>
          <w:left w:val="single" w:sz="4" w:space="0" w:color="auto"/>
          <w:bottom w:val="single" w:sz="4" w:space="0" w:color="auto"/>
          <w:right w:val="single" w:sz="4" w:space="0" w:color="auto"/>
        </w:tblBorders>
        <w:tblLook w:val="0480" w:firstRow="0" w:lastRow="0" w:firstColumn="1" w:lastColumn="0" w:noHBand="0" w:noVBand="1"/>
      </w:tblPr>
      <w:tblGrid>
        <w:gridCol w:w="2555"/>
        <w:gridCol w:w="5768"/>
      </w:tblGrid>
      <w:tr w:rsidR="00A6133C" w:rsidTr="0023468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35" w:type="pct"/>
            <w:tcBorders>
              <w:top w:val="none" w:sz="0" w:space="0" w:color="auto"/>
              <w:left w:val="none" w:sz="0" w:space="0" w:color="auto"/>
              <w:bottom w:val="none" w:sz="0" w:space="0" w:color="auto"/>
              <w:right w:val="single" w:sz="4" w:space="0" w:color="auto"/>
              <w:tl2br w:val="none" w:sz="0" w:space="0" w:color="auto"/>
              <w:tr2bl w:val="none" w:sz="0" w:space="0" w:color="auto"/>
            </w:tcBorders>
            <w:shd w:val="clear" w:color="auto" w:fill="2B3B5F" w:themeFill="text2"/>
            <w:vAlign w:val="top"/>
          </w:tcPr>
          <w:p w:rsidR="00A6133C" w:rsidRPr="008F2103" w:rsidRDefault="00A6133C" w:rsidP="000E63B0">
            <w:pPr>
              <w:pStyle w:val="TableHeading"/>
              <w:rPr>
                <w:i/>
                <w:sz w:val="18"/>
                <w:szCs w:val="18"/>
              </w:rPr>
            </w:pPr>
            <w:r w:rsidRPr="008F2103">
              <w:rPr>
                <w:i/>
                <w:sz w:val="18"/>
                <w:szCs w:val="18"/>
              </w:rPr>
              <w:t xml:space="preserve">Higher Education Support Act 2003 — </w:t>
            </w:r>
            <w:r w:rsidR="000E63B0" w:rsidRPr="000E63B0">
              <w:rPr>
                <w:sz w:val="18"/>
                <w:szCs w:val="18"/>
              </w:rPr>
              <w:t>e</w:t>
            </w:r>
            <w:r w:rsidRPr="008F2103">
              <w:rPr>
                <w:sz w:val="18"/>
                <w:szCs w:val="18"/>
              </w:rPr>
              <w:t xml:space="preserve">fficiency </w:t>
            </w:r>
            <w:r w:rsidR="000E63B0">
              <w:rPr>
                <w:sz w:val="18"/>
                <w:szCs w:val="18"/>
              </w:rPr>
              <w:t>d</w:t>
            </w:r>
            <w:r w:rsidRPr="008F2103">
              <w:rPr>
                <w:sz w:val="18"/>
                <w:szCs w:val="18"/>
              </w:rPr>
              <w:t>ividend</w:t>
            </w:r>
          </w:p>
        </w:tc>
        <w:tc>
          <w:tcPr>
            <w:tcW w:w="3465" w:type="pct"/>
            <w:tcBorders>
              <w:top w:val="single" w:sz="4" w:space="0" w:color="auto"/>
              <w:left w:val="single" w:sz="4" w:space="0" w:color="auto"/>
              <w:bottom w:val="single" w:sz="4" w:space="0" w:color="auto"/>
              <w:right w:val="none" w:sz="0" w:space="0" w:color="auto"/>
              <w:tl2br w:val="none" w:sz="0" w:space="0" w:color="auto"/>
              <w:tr2bl w:val="none" w:sz="0" w:space="0" w:color="auto"/>
            </w:tcBorders>
            <w:vAlign w:val="top"/>
          </w:tcPr>
          <w:p w:rsidR="00A6133C" w:rsidRPr="008F2103" w:rsidRDefault="00A6133C" w:rsidP="00234687">
            <w:pPr>
              <w:pStyle w:val="TableText"/>
              <w:cnfStyle w:val="000000100000" w:firstRow="0" w:lastRow="0" w:firstColumn="0" w:lastColumn="0" w:oddVBand="0" w:evenVBand="0" w:oddHBand="1" w:evenHBand="0" w:firstRowFirstColumn="0" w:firstRowLastColumn="0" w:lastRowFirstColumn="0" w:lastRowLastColumn="0"/>
              <w:rPr>
                <w:sz w:val="18"/>
                <w:szCs w:val="18"/>
              </w:rPr>
            </w:pPr>
            <w:r w:rsidRPr="008F2103">
              <w:rPr>
                <w:sz w:val="18"/>
                <w:szCs w:val="18"/>
              </w:rPr>
              <w:t xml:space="preserve">This 2013–14 Budget measure would apply an efficiency dividend of 2 per cent in the first year and 1.25 per cent in the next year on grants provided under the </w:t>
            </w:r>
            <w:r w:rsidRPr="008F2103">
              <w:rPr>
                <w:i/>
                <w:sz w:val="18"/>
                <w:szCs w:val="18"/>
              </w:rPr>
              <w:t>Higher Education Support Act 2003</w:t>
            </w:r>
            <w:r w:rsidRPr="008F2103">
              <w:rPr>
                <w:sz w:val="18"/>
                <w:szCs w:val="18"/>
              </w:rPr>
              <w:t xml:space="preserve">, including the </w:t>
            </w:r>
            <w:r>
              <w:rPr>
                <w:sz w:val="18"/>
                <w:szCs w:val="18"/>
              </w:rPr>
              <w:t>Commonwealth Grant Scheme</w:t>
            </w:r>
            <w:r w:rsidRPr="008F2103">
              <w:rPr>
                <w:sz w:val="18"/>
                <w:szCs w:val="18"/>
              </w:rPr>
              <w:t>.  This measure remains unlegislated as at March 2016.</w:t>
            </w:r>
          </w:p>
        </w:tc>
      </w:tr>
      <w:tr w:rsidR="00BE7D66" w:rsidTr="008F2103">
        <w:trPr>
          <w:cantSplit/>
        </w:trPr>
        <w:tc>
          <w:tcPr>
            <w:cnfStyle w:val="001000000000" w:firstRow="0" w:lastRow="0" w:firstColumn="1" w:lastColumn="0" w:oddVBand="0" w:evenVBand="0" w:oddHBand="0" w:evenHBand="0" w:firstRowFirstColumn="0" w:firstRowLastColumn="0" w:lastRowFirstColumn="0" w:lastRowLastColumn="0"/>
            <w:tcW w:w="1535" w:type="pct"/>
            <w:tcBorders>
              <w:right w:val="single" w:sz="4" w:space="0" w:color="auto"/>
            </w:tcBorders>
            <w:shd w:val="clear" w:color="auto" w:fill="2B3B5F" w:themeFill="text2"/>
            <w:vAlign w:val="top"/>
          </w:tcPr>
          <w:p w:rsidR="00BE7D66" w:rsidRPr="008F2103" w:rsidRDefault="00BE7D66" w:rsidP="004B77FE">
            <w:pPr>
              <w:pStyle w:val="TableHeading"/>
              <w:rPr>
                <w:sz w:val="18"/>
                <w:szCs w:val="18"/>
              </w:rPr>
            </w:pPr>
            <w:r w:rsidRPr="008F2103">
              <w:rPr>
                <w:sz w:val="18"/>
                <w:szCs w:val="18"/>
              </w:rPr>
              <w:t>Expanding opportunity — expansion of the demand driven system and sharing the cost fairly</w:t>
            </w:r>
          </w:p>
        </w:tc>
        <w:tc>
          <w:tcPr>
            <w:tcW w:w="3465" w:type="pct"/>
            <w:tcBorders>
              <w:top w:val="single" w:sz="4" w:space="0" w:color="auto"/>
              <w:left w:val="single" w:sz="4" w:space="0" w:color="auto"/>
              <w:bottom w:val="single" w:sz="4" w:space="0" w:color="auto"/>
            </w:tcBorders>
            <w:vAlign w:val="top"/>
          </w:tcPr>
          <w:p w:rsidR="00BE7D66" w:rsidRPr="008F2103" w:rsidRDefault="00BE7D66" w:rsidP="004B77FE">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8F2103">
              <w:rPr>
                <w:sz w:val="18"/>
                <w:szCs w:val="18"/>
              </w:rPr>
              <w:t>The centrepiece of the higher educati</w:t>
            </w:r>
            <w:r w:rsidR="004B77FE" w:rsidRPr="008F2103">
              <w:rPr>
                <w:sz w:val="18"/>
                <w:szCs w:val="18"/>
              </w:rPr>
              <w:t xml:space="preserve">on reform package, this </w:t>
            </w:r>
            <w:r w:rsidR="004B77FE" w:rsidRPr="008F2103">
              <w:rPr>
                <w:sz w:val="18"/>
                <w:szCs w:val="18"/>
              </w:rPr>
              <w:br/>
              <w:t>2014–15 </w:t>
            </w:r>
            <w:r w:rsidRPr="008F2103">
              <w:rPr>
                <w:sz w:val="18"/>
                <w:szCs w:val="18"/>
              </w:rPr>
              <w:t>Budget measure would have three main effects.  It would:</w:t>
            </w:r>
          </w:p>
          <w:p w:rsidR="00BE7D66" w:rsidRPr="008F2103" w:rsidRDefault="00BE7D66" w:rsidP="004B77FE">
            <w:pPr>
              <w:pStyle w:val="TableTextBullet"/>
              <w:cnfStyle w:val="000000000000" w:firstRow="0" w:lastRow="0" w:firstColumn="0" w:lastColumn="0" w:oddVBand="0" w:evenVBand="0" w:oddHBand="0" w:evenHBand="0" w:firstRowFirstColumn="0" w:firstRowLastColumn="0" w:lastRowFirstColumn="0" w:lastRowLastColumn="0"/>
              <w:rPr>
                <w:sz w:val="18"/>
                <w:szCs w:val="18"/>
              </w:rPr>
            </w:pPr>
            <w:r w:rsidRPr="008F2103">
              <w:rPr>
                <w:sz w:val="18"/>
                <w:szCs w:val="18"/>
              </w:rPr>
              <w:t xml:space="preserve">Extend the </w:t>
            </w:r>
            <w:r w:rsidR="00772249">
              <w:rPr>
                <w:sz w:val="18"/>
                <w:szCs w:val="18"/>
              </w:rPr>
              <w:t>Commonwealth Grant Scheme</w:t>
            </w:r>
            <w:r w:rsidRPr="008F2103">
              <w:rPr>
                <w:sz w:val="18"/>
                <w:szCs w:val="18"/>
              </w:rPr>
              <w:t xml:space="preserve"> to higher education courses at the diploma, advanced diploma, associate degree and bachelor degree level for accredited courses with registe</w:t>
            </w:r>
            <w:r w:rsidR="004B77FE" w:rsidRPr="008F2103">
              <w:rPr>
                <w:sz w:val="18"/>
                <w:szCs w:val="18"/>
              </w:rPr>
              <w:t>red higher education providers</w:t>
            </w:r>
          </w:p>
          <w:p w:rsidR="00BE7D66" w:rsidRPr="008F2103" w:rsidRDefault="00BE7D66" w:rsidP="004B77FE">
            <w:pPr>
              <w:pStyle w:val="TableTextBullet"/>
              <w:cnfStyle w:val="000000000000" w:firstRow="0" w:lastRow="0" w:firstColumn="0" w:lastColumn="0" w:oddVBand="0" w:evenVBand="0" w:oddHBand="0" w:evenHBand="0" w:firstRowFirstColumn="0" w:firstRowLastColumn="0" w:lastRowFirstColumn="0" w:lastRowLastColumn="0"/>
              <w:rPr>
                <w:sz w:val="18"/>
                <w:szCs w:val="18"/>
              </w:rPr>
            </w:pPr>
            <w:r w:rsidRPr="008F2103">
              <w:rPr>
                <w:sz w:val="18"/>
                <w:szCs w:val="18"/>
              </w:rPr>
              <w:t xml:space="preserve">Alter the funding arrangements under the </w:t>
            </w:r>
            <w:r w:rsidR="00772249">
              <w:rPr>
                <w:sz w:val="18"/>
                <w:szCs w:val="18"/>
              </w:rPr>
              <w:t>Commonwealth Grant Scheme</w:t>
            </w:r>
            <w:r w:rsidRPr="008F2103">
              <w:rPr>
                <w:sz w:val="18"/>
                <w:szCs w:val="18"/>
              </w:rPr>
              <w:t>, with some courses receiving lower subsidies, with final arrangements to be determined following a review by the Minister for Education</w:t>
            </w:r>
            <w:r w:rsidR="008F2103" w:rsidRPr="008F2103">
              <w:rPr>
                <w:sz w:val="18"/>
                <w:szCs w:val="18"/>
              </w:rPr>
              <w:t>,</w:t>
            </w:r>
            <w:r w:rsidRPr="008F2103">
              <w:rPr>
                <w:sz w:val="18"/>
                <w:szCs w:val="18"/>
              </w:rPr>
              <w:t xml:space="preserve"> and</w:t>
            </w:r>
          </w:p>
          <w:p w:rsidR="00BE7D66" w:rsidRPr="008F2103" w:rsidRDefault="00BE7D66" w:rsidP="004B77FE">
            <w:pPr>
              <w:pStyle w:val="TableTextBullet"/>
              <w:cnfStyle w:val="000000000000" w:firstRow="0" w:lastRow="0" w:firstColumn="0" w:lastColumn="0" w:oddVBand="0" w:evenVBand="0" w:oddHBand="0" w:evenHBand="0" w:firstRowFirstColumn="0" w:firstRowLastColumn="0" w:lastRowFirstColumn="0" w:lastRowLastColumn="0"/>
              <w:rPr>
                <w:sz w:val="18"/>
                <w:szCs w:val="18"/>
              </w:rPr>
            </w:pPr>
            <w:r w:rsidRPr="008F2103">
              <w:rPr>
                <w:sz w:val="18"/>
                <w:szCs w:val="18"/>
              </w:rPr>
              <w:t>Give higher education providers responsibility for setting their own course fees for new students accepting an offer to commence a course.  Specifically, caps on student contributions that higher education providers are able to charge would be removed for these new students.  Grandfathering arrangements would be put in place for existing students.</w:t>
            </w:r>
          </w:p>
          <w:p w:rsidR="00BE7D66" w:rsidRPr="008F2103" w:rsidRDefault="00BE7D66" w:rsidP="004B77FE">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8F2103">
              <w:rPr>
                <w:sz w:val="18"/>
                <w:szCs w:val="18"/>
              </w:rPr>
              <w:t>This measure remains unlegislated as at March 2016.</w:t>
            </w:r>
          </w:p>
        </w:tc>
      </w:tr>
      <w:tr w:rsidR="00BE7D66" w:rsidTr="008F210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35" w:type="pct"/>
            <w:tcBorders>
              <w:right w:val="single" w:sz="4" w:space="0" w:color="auto"/>
            </w:tcBorders>
            <w:shd w:val="clear" w:color="auto" w:fill="2B3B5F" w:themeFill="text2"/>
            <w:vAlign w:val="top"/>
          </w:tcPr>
          <w:p w:rsidR="00BE7D66" w:rsidRPr="008F2103" w:rsidRDefault="00BE7D66" w:rsidP="004B77FE">
            <w:pPr>
              <w:pStyle w:val="TableHeading"/>
              <w:rPr>
                <w:sz w:val="18"/>
                <w:szCs w:val="18"/>
              </w:rPr>
            </w:pPr>
            <w:r w:rsidRPr="008F2103">
              <w:rPr>
                <w:sz w:val="18"/>
                <w:szCs w:val="18"/>
              </w:rPr>
              <w:t>Expanding opportunity — Higher Education Indexation — revised arrangements</w:t>
            </w:r>
          </w:p>
        </w:tc>
        <w:tc>
          <w:tcPr>
            <w:tcW w:w="3465" w:type="pct"/>
            <w:tcBorders>
              <w:top w:val="single" w:sz="4" w:space="0" w:color="auto"/>
              <w:left w:val="single" w:sz="4" w:space="0" w:color="auto"/>
              <w:bottom w:val="single" w:sz="4" w:space="0" w:color="auto"/>
            </w:tcBorders>
            <w:vAlign w:val="top"/>
          </w:tcPr>
          <w:p w:rsidR="00BE7D66" w:rsidRPr="008F2103" w:rsidRDefault="00BE7D66" w:rsidP="004B77FE">
            <w:pPr>
              <w:pStyle w:val="TableText"/>
              <w:cnfStyle w:val="000000100000" w:firstRow="0" w:lastRow="0" w:firstColumn="0" w:lastColumn="0" w:oddVBand="0" w:evenVBand="0" w:oddHBand="1" w:evenHBand="0" w:firstRowFirstColumn="0" w:firstRowLastColumn="0" w:lastRowFirstColumn="0" w:lastRowLastColumn="0"/>
              <w:rPr>
                <w:sz w:val="18"/>
                <w:szCs w:val="18"/>
              </w:rPr>
            </w:pPr>
            <w:r w:rsidRPr="008F2103">
              <w:rPr>
                <w:sz w:val="18"/>
                <w:szCs w:val="18"/>
              </w:rPr>
              <w:t>This 2014–15 Budget measure would index higher education grants to CPI rather than the Higher Education Grants Index (HEGI).   It remains unlegislated as at March 2016.</w:t>
            </w:r>
          </w:p>
        </w:tc>
      </w:tr>
      <w:tr w:rsidR="00BE7D66" w:rsidTr="008F2103">
        <w:trPr>
          <w:cantSplit/>
        </w:trPr>
        <w:tc>
          <w:tcPr>
            <w:cnfStyle w:val="001000000000" w:firstRow="0" w:lastRow="0" w:firstColumn="1" w:lastColumn="0" w:oddVBand="0" w:evenVBand="0" w:oddHBand="0" w:evenHBand="0" w:firstRowFirstColumn="0" w:firstRowLastColumn="0" w:lastRowFirstColumn="0" w:lastRowLastColumn="0"/>
            <w:tcW w:w="1535" w:type="pct"/>
            <w:tcBorders>
              <w:right w:val="single" w:sz="4" w:space="0" w:color="auto"/>
            </w:tcBorders>
            <w:shd w:val="clear" w:color="auto" w:fill="2B3B5F" w:themeFill="text2"/>
            <w:vAlign w:val="top"/>
          </w:tcPr>
          <w:p w:rsidR="00BE7D66" w:rsidRPr="008F2103" w:rsidRDefault="00BE7D66" w:rsidP="004B77FE">
            <w:pPr>
              <w:pStyle w:val="TableHeading"/>
              <w:rPr>
                <w:sz w:val="18"/>
                <w:szCs w:val="18"/>
              </w:rPr>
            </w:pPr>
            <w:r w:rsidRPr="008F2103">
              <w:rPr>
                <w:sz w:val="18"/>
                <w:szCs w:val="18"/>
              </w:rPr>
              <w:t>A Sustainable Higher Education Loan Programme — repayment thresholds and indexation</w:t>
            </w:r>
          </w:p>
        </w:tc>
        <w:tc>
          <w:tcPr>
            <w:tcW w:w="3465" w:type="pct"/>
            <w:tcBorders>
              <w:top w:val="single" w:sz="4" w:space="0" w:color="auto"/>
              <w:left w:val="single" w:sz="4" w:space="0" w:color="auto"/>
              <w:bottom w:val="single" w:sz="4" w:space="0" w:color="auto"/>
            </w:tcBorders>
            <w:vAlign w:val="top"/>
          </w:tcPr>
          <w:p w:rsidR="00BE7D66" w:rsidRPr="008F2103" w:rsidRDefault="00BE7D66" w:rsidP="00A6133C">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8F2103">
              <w:rPr>
                <w:sz w:val="18"/>
                <w:szCs w:val="18"/>
              </w:rPr>
              <w:t>This 2014–15 Budget measure would establish a new minimum threshold for the repayment of HELP debts, set at 90 per cent of the minimum threshold that would</w:t>
            </w:r>
            <w:r w:rsidR="00A6133C">
              <w:rPr>
                <w:sz w:val="18"/>
                <w:szCs w:val="18"/>
              </w:rPr>
              <w:t xml:space="preserve"> otherwise have applied in 2016–</w:t>
            </w:r>
            <w:r w:rsidRPr="008F2103">
              <w:rPr>
                <w:sz w:val="18"/>
                <w:szCs w:val="18"/>
              </w:rPr>
              <w:t>17. The new minimum threshold was estimated to be $50,638 in 2016</w:t>
            </w:r>
            <w:r w:rsidR="00A6133C">
              <w:rPr>
                <w:sz w:val="18"/>
                <w:szCs w:val="18"/>
              </w:rPr>
              <w:t>–</w:t>
            </w:r>
            <w:r w:rsidRPr="008F2103">
              <w:rPr>
                <w:sz w:val="18"/>
                <w:szCs w:val="18"/>
              </w:rPr>
              <w:t xml:space="preserve">17. </w:t>
            </w:r>
            <w:r w:rsidR="00540F79">
              <w:rPr>
                <w:sz w:val="18"/>
                <w:szCs w:val="18"/>
              </w:rPr>
              <w:t xml:space="preserve"> </w:t>
            </w:r>
            <w:r w:rsidRPr="008F2103">
              <w:rPr>
                <w:sz w:val="18"/>
                <w:szCs w:val="18"/>
              </w:rPr>
              <w:t>A new repayment rate of 2 per cent of repayment income would be applied to debtors with incomes above the new minimum threshold.  This measure remains unlegislated as at March 2016.</w:t>
            </w:r>
          </w:p>
        </w:tc>
      </w:tr>
      <w:tr w:rsidR="00BE7D66" w:rsidTr="008F210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35" w:type="pct"/>
            <w:tcBorders>
              <w:top w:val="none" w:sz="0" w:space="0" w:color="auto"/>
              <w:left w:val="none" w:sz="0" w:space="0" w:color="auto"/>
              <w:bottom w:val="none" w:sz="0" w:space="0" w:color="auto"/>
              <w:right w:val="single" w:sz="4" w:space="0" w:color="auto"/>
              <w:tl2br w:val="none" w:sz="0" w:space="0" w:color="auto"/>
              <w:tr2bl w:val="none" w:sz="0" w:space="0" w:color="auto"/>
            </w:tcBorders>
            <w:shd w:val="clear" w:color="auto" w:fill="2B3B5F" w:themeFill="text2"/>
            <w:vAlign w:val="top"/>
          </w:tcPr>
          <w:p w:rsidR="00BE7D66" w:rsidRPr="008F2103" w:rsidRDefault="00BE7D66" w:rsidP="004B77FE">
            <w:pPr>
              <w:pStyle w:val="TableHeading"/>
              <w:rPr>
                <w:sz w:val="18"/>
                <w:szCs w:val="18"/>
              </w:rPr>
            </w:pPr>
            <w:r w:rsidRPr="008F2103">
              <w:rPr>
                <w:sz w:val="18"/>
                <w:szCs w:val="18"/>
              </w:rPr>
              <w:t>A Sustainable Higher Education System — Research Training Scheme — student contributions</w:t>
            </w:r>
          </w:p>
        </w:tc>
        <w:tc>
          <w:tcPr>
            <w:tcW w:w="3465" w:type="pct"/>
            <w:tcBorders>
              <w:top w:val="single" w:sz="4" w:space="0" w:color="auto"/>
              <w:left w:val="single" w:sz="4" w:space="0" w:color="auto"/>
              <w:bottom w:val="single" w:sz="4" w:space="0" w:color="auto"/>
              <w:right w:val="none" w:sz="0" w:space="0" w:color="auto"/>
              <w:tl2br w:val="none" w:sz="0" w:space="0" w:color="auto"/>
              <w:tr2bl w:val="none" w:sz="0" w:space="0" w:color="auto"/>
            </w:tcBorders>
            <w:vAlign w:val="top"/>
          </w:tcPr>
          <w:p w:rsidR="00BE7D66" w:rsidRPr="008F2103" w:rsidRDefault="00BE7D66" w:rsidP="004B77FE">
            <w:pPr>
              <w:pStyle w:val="TableText"/>
              <w:cnfStyle w:val="000000100000" w:firstRow="0" w:lastRow="0" w:firstColumn="0" w:lastColumn="0" w:oddVBand="0" w:evenVBand="0" w:oddHBand="1" w:evenHBand="0" w:firstRowFirstColumn="0" w:firstRowLastColumn="0" w:lastRowFirstColumn="0" w:lastRowLastColumn="0"/>
              <w:rPr>
                <w:sz w:val="18"/>
                <w:szCs w:val="18"/>
              </w:rPr>
            </w:pPr>
            <w:r w:rsidRPr="008F2103">
              <w:rPr>
                <w:sz w:val="18"/>
                <w:szCs w:val="18"/>
              </w:rPr>
              <w:t>This 2014–15 Budget measure would implement a 10 per cent reduction in Research Training Scheme funding to institutions and allow students to defer their contributions to the Scheme deferrable through HELP loans.  The loan component of this measure has not been legislated as at March 2016.</w:t>
            </w:r>
          </w:p>
        </w:tc>
      </w:tr>
      <w:tr w:rsidR="00BE7D66" w:rsidTr="008F2103">
        <w:trPr>
          <w:cantSplit/>
        </w:trPr>
        <w:tc>
          <w:tcPr>
            <w:cnfStyle w:val="001000000000" w:firstRow="0" w:lastRow="0" w:firstColumn="1" w:lastColumn="0" w:oddVBand="0" w:evenVBand="0" w:oddHBand="0" w:evenHBand="0" w:firstRowFirstColumn="0" w:firstRowLastColumn="0" w:lastRowFirstColumn="0" w:lastRowLastColumn="0"/>
            <w:tcW w:w="1535" w:type="pct"/>
            <w:tcBorders>
              <w:right w:val="single" w:sz="4" w:space="0" w:color="auto"/>
            </w:tcBorders>
            <w:shd w:val="clear" w:color="auto" w:fill="2B3B5F" w:themeFill="text2"/>
            <w:vAlign w:val="top"/>
          </w:tcPr>
          <w:p w:rsidR="00BE7D66" w:rsidRPr="008F2103" w:rsidRDefault="00BE7D66" w:rsidP="004B77FE">
            <w:pPr>
              <w:pStyle w:val="TableHeading"/>
              <w:rPr>
                <w:sz w:val="18"/>
                <w:szCs w:val="18"/>
              </w:rPr>
            </w:pPr>
            <w:r w:rsidRPr="008F2103">
              <w:rPr>
                <w:sz w:val="18"/>
                <w:szCs w:val="18"/>
              </w:rPr>
              <w:t>Expanding opportunity — FEE-HELP and VET FEE-HELP loan fee cessation</w:t>
            </w:r>
          </w:p>
        </w:tc>
        <w:tc>
          <w:tcPr>
            <w:tcW w:w="3465" w:type="pct"/>
            <w:tcBorders>
              <w:top w:val="single" w:sz="4" w:space="0" w:color="auto"/>
              <w:left w:val="single" w:sz="4" w:space="0" w:color="auto"/>
              <w:bottom w:val="single" w:sz="4" w:space="0" w:color="auto"/>
            </w:tcBorders>
            <w:vAlign w:val="top"/>
          </w:tcPr>
          <w:p w:rsidR="00BE7D66" w:rsidRPr="008F2103" w:rsidRDefault="00BE7D66" w:rsidP="00A6133C">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8F2103">
              <w:rPr>
                <w:sz w:val="18"/>
                <w:szCs w:val="18"/>
              </w:rPr>
              <w:t>This 2014–15 Budget measure would remove the 25 per cent loan fee applied to FEE</w:t>
            </w:r>
            <w:r w:rsidRPr="008F2103">
              <w:rPr>
                <w:rFonts w:ascii="MS Gothic" w:eastAsia="MS Gothic" w:hAnsi="MS Gothic" w:cs="MS Gothic" w:hint="eastAsia"/>
                <w:sz w:val="18"/>
                <w:szCs w:val="18"/>
              </w:rPr>
              <w:t>‑</w:t>
            </w:r>
            <w:r w:rsidRPr="008F2103">
              <w:rPr>
                <w:sz w:val="18"/>
                <w:szCs w:val="18"/>
              </w:rPr>
              <w:t>HELP loans for fee</w:t>
            </w:r>
            <w:r w:rsidRPr="008F2103">
              <w:rPr>
                <w:rFonts w:ascii="MS Gothic" w:eastAsia="MS Gothic" w:hAnsi="MS Gothic" w:cs="MS Gothic" w:hint="eastAsia"/>
                <w:sz w:val="18"/>
                <w:szCs w:val="18"/>
              </w:rPr>
              <w:t>‑</w:t>
            </w:r>
            <w:r w:rsidRPr="008F2103">
              <w:rPr>
                <w:sz w:val="18"/>
                <w:szCs w:val="18"/>
              </w:rPr>
              <w:t>paying undergraduate courses and 20 per cent loan fee applied to VET FEE</w:t>
            </w:r>
            <w:r w:rsidRPr="008F2103">
              <w:rPr>
                <w:rFonts w:ascii="MS Gothic" w:eastAsia="MS Gothic" w:hAnsi="MS Gothic" w:cs="MS Gothic" w:hint="eastAsia"/>
                <w:sz w:val="18"/>
                <w:szCs w:val="18"/>
              </w:rPr>
              <w:t>‑</w:t>
            </w:r>
            <w:r w:rsidRPr="008F2103">
              <w:rPr>
                <w:sz w:val="18"/>
                <w:szCs w:val="18"/>
              </w:rPr>
              <w:t>HELP loans for eligible full fee</w:t>
            </w:r>
            <w:r w:rsidRPr="008F2103">
              <w:rPr>
                <w:rFonts w:ascii="MS Gothic" w:eastAsia="MS Gothic" w:hAnsi="MS Gothic" w:cs="MS Gothic" w:hint="eastAsia"/>
                <w:sz w:val="18"/>
                <w:szCs w:val="18"/>
              </w:rPr>
              <w:t>‑</w:t>
            </w:r>
            <w:r w:rsidRPr="008F2103">
              <w:rPr>
                <w:sz w:val="18"/>
                <w:szCs w:val="18"/>
              </w:rPr>
              <w:t>paying students in higher level vocational</w:t>
            </w:r>
            <w:r w:rsidR="00A6133C">
              <w:rPr>
                <w:sz w:val="18"/>
                <w:szCs w:val="18"/>
              </w:rPr>
              <w:t xml:space="preserve"> education and training courses</w:t>
            </w:r>
            <w:r w:rsidRPr="008F2103">
              <w:rPr>
                <w:sz w:val="18"/>
                <w:szCs w:val="18"/>
              </w:rPr>
              <w:t xml:space="preserve">.  </w:t>
            </w:r>
            <w:r w:rsidR="00A6133C">
              <w:rPr>
                <w:sz w:val="18"/>
                <w:szCs w:val="18"/>
              </w:rPr>
              <w:t>This measure</w:t>
            </w:r>
            <w:r w:rsidRPr="008F2103">
              <w:rPr>
                <w:sz w:val="18"/>
                <w:szCs w:val="18"/>
              </w:rPr>
              <w:t xml:space="preserve"> remains unlegislated as at March 2016.</w:t>
            </w:r>
          </w:p>
        </w:tc>
      </w:tr>
      <w:tr w:rsidR="00BE7D66" w:rsidTr="008F210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35" w:type="pct"/>
            <w:tcBorders>
              <w:top w:val="none" w:sz="0" w:space="0" w:color="auto"/>
              <w:left w:val="none" w:sz="0" w:space="0" w:color="auto"/>
              <w:bottom w:val="none" w:sz="0" w:space="0" w:color="auto"/>
              <w:right w:val="single" w:sz="4" w:space="0" w:color="auto"/>
              <w:tl2br w:val="none" w:sz="0" w:space="0" w:color="auto"/>
              <w:tr2bl w:val="none" w:sz="0" w:space="0" w:color="auto"/>
            </w:tcBorders>
            <w:shd w:val="clear" w:color="auto" w:fill="2B3B5F" w:themeFill="text2"/>
            <w:vAlign w:val="top"/>
          </w:tcPr>
          <w:p w:rsidR="00BE7D66" w:rsidRPr="008F2103" w:rsidRDefault="00BE7D66" w:rsidP="004B77FE">
            <w:pPr>
              <w:pStyle w:val="TableHeading"/>
              <w:rPr>
                <w:sz w:val="18"/>
                <w:szCs w:val="18"/>
                <w:highlight w:val="yellow"/>
              </w:rPr>
            </w:pPr>
            <w:r w:rsidRPr="008F2103">
              <w:rPr>
                <w:sz w:val="18"/>
                <w:szCs w:val="18"/>
              </w:rPr>
              <w:lastRenderedPageBreak/>
              <w:t>Higher Education Reforms — amendments</w:t>
            </w:r>
          </w:p>
        </w:tc>
        <w:tc>
          <w:tcPr>
            <w:tcW w:w="3465" w:type="pct"/>
            <w:tcBorders>
              <w:top w:val="single" w:sz="4" w:space="0" w:color="auto"/>
              <w:left w:val="single" w:sz="4" w:space="0" w:color="auto"/>
              <w:bottom w:val="single" w:sz="4" w:space="0" w:color="auto"/>
              <w:right w:val="none" w:sz="0" w:space="0" w:color="auto"/>
              <w:tl2br w:val="none" w:sz="0" w:space="0" w:color="auto"/>
              <w:tr2bl w:val="none" w:sz="0" w:space="0" w:color="auto"/>
            </w:tcBorders>
            <w:vAlign w:val="top"/>
          </w:tcPr>
          <w:p w:rsidR="00BE7D66" w:rsidRPr="008F2103" w:rsidRDefault="00BE7D66" w:rsidP="004B77FE">
            <w:pPr>
              <w:pStyle w:val="TableText"/>
              <w:cnfStyle w:val="000000100000" w:firstRow="0" w:lastRow="0" w:firstColumn="0" w:lastColumn="0" w:oddVBand="0" w:evenVBand="0" w:oddHBand="1" w:evenHBand="0" w:firstRowFirstColumn="0" w:firstRowLastColumn="0" w:lastRowFirstColumn="0" w:lastRowLastColumn="0"/>
              <w:rPr>
                <w:sz w:val="18"/>
                <w:szCs w:val="18"/>
              </w:rPr>
            </w:pPr>
            <w:r w:rsidRPr="008F2103">
              <w:rPr>
                <w:sz w:val="18"/>
                <w:szCs w:val="18"/>
              </w:rPr>
              <w:t>This 2014</w:t>
            </w:r>
            <w:r w:rsidR="00CD4E50">
              <w:rPr>
                <w:sz w:val="18"/>
                <w:szCs w:val="18"/>
              </w:rPr>
              <w:t>–</w:t>
            </w:r>
            <w:r w:rsidRPr="008F2103">
              <w:rPr>
                <w:sz w:val="18"/>
                <w:szCs w:val="18"/>
              </w:rPr>
              <w:t>15 MYEFO measure would make changes to higher education funding, including by:</w:t>
            </w:r>
          </w:p>
          <w:p w:rsidR="00BE7D66" w:rsidRPr="008F2103" w:rsidRDefault="00BE7D66" w:rsidP="004B77FE">
            <w:pPr>
              <w:pStyle w:val="TableTextBullet"/>
              <w:cnfStyle w:val="000000100000" w:firstRow="0" w:lastRow="0" w:firstColumn="0" w:lastColumn="0" w:oddVBand="0" w:evenVBand="0" w:oddHBand="1" w:evenHBand="0" w:firstRowFirstColumn="0" w:firstRowLastColumn="0" w:lastRowFirstColumn="0" w:lastRowLastColumn="0"/>
              <w:rPr>
                <w:sz w:val="18"/>
                <w:szCs w:val="18"/>
              </w:rPr>
            </w:pPr>
            <w:r w:rsidRPr="008F2103">
              <w:rPr>
                <w:sz w:val="18"/>
                <w:szCs w:val="18"/>
              </w:rPr>
              <w:t>pausing indexation on HELP debts for people who earn below the minimum HELP repayment threshold and have primary care of a child under five years of age</w:t>
            </w:r>
            <w:r w:rsidR="00540F79">
              <w:rPr>
                <w:sz w:val="18"/>
                <w:szCs w:val="18"/>
              </w:rPr>
              <w:t>,</w:t>
            </w:r>
            <w:r w:rsidR="00540F79" w:rsidRPr="008F2103">
              <w:rPr>
                <w:sz w:val="18"/>
                <w:szCs w:val="18"/>
              </w:rPr>
              <w:t xml:space="preserve"> </w:t>
            </w:r>
            <w:r w:rsidRPr="008F2103">
              <w:rPr>
                <w:sz w:val="18"/>
                <w:szCs w:val="18"/>
              </w:rPr>
              <w:t>and</w:t>
            </w:r>
          </w:p>
          <w:p w:rsidR="00BE7D66" w:rsidRDefault="00BE7D66" w:rsidP="004B77FE">
            <w:pPr>
              <w:pStyle w:val="TableTextBullet"/>
              <w:cnfStyle w:val="000000100000" w:firstRow="0" w:lastRow="0" w:firstColumn="0" w:lastColumn="0" w:oddVBand="0" w:evenVBand="0" w:oddHBand="1" w:evenHBand="0" w:firstRowFirstColumn="0" w:firstRowLastColumn="0" w:lastRowFirstColumn="0" w:lastRowLastColumn="0"/>
              <w:rPr>
                <w:sz w:val="18"/>
                <w:szCs w:val="18"/>
              </w:rPr>
            </w:pPr>
            <w:proofErr w:type="gramStart"/>
            <w:r w:rsidRPr="008F2103">
              <w:rPr>
                <w:sz w:val="18"/>
                <w:szCs w:val="18"/>
              </w:rPr>
              <w:t>amending</w:t>
            </w:r>
            <w:proofErr w:type="gramEnd"/>
            <w:r w:rsidRPr="008F2103">
              <w:rPr>
                <w:sz w:val="18"/>
                <w:szCs w:val="18"/>
              </w:rPr>
              <w:t xml:space="preserve"> the Commonwealth Grant Scheme subsidies for non-university higher education providers and for sub-bachelor courses delivered by universities.</w:t>
            </w:r>
          </w:p>
          <w:p w:rsidR="007D25C1" w:rsidRPr="007D25C1" w:rsidRDefault="007D25C1" w:rsidP="007D25C1">
            <w:pPr>
              <w:pStyle w:val="TableTex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This measure remains unlegislated as at March 2016.</w:t>
            </w:r>
          </w:p>
        </w:tc>
      </w:tr>
      <w:tr w:rsidR="00BE7D66" w:rsidTr="008F2103">
        <w:trPr>
          <w:cantSplit/>
        </w:trPr>
        <w:tc>
          <w:tcPr>
            <w:cnfStyle w:val="001000000000" w:firstRow="0" w:lastRow="0" w:firstColumn="1" w:lastColumn="0" w:oddVBand="0" w:evenVBand="0" w:oddHBand="0" w:evenHBand="0" w:firstRowFirstColumn="0" w:firstRowLastColumn="0" w:lastRowFirstColumn="0" w:lastRowLastColumn="0"/>
            <w:tcW w:w="1535" w:type="pct"/>
            <w:tcBorders>
              <w:right w:val="single" w:sz="4" w:space="0" w:color="auto"/>
            </w:tcBorders>
            <w:shd w:val="clear" w:color="auto" w:fill="2B3B5F" w:themeFill="text2"/>
            <w:vAlign w:val="top"/>
          </w:tcPr>
          <w:p w:rsidR="00BE7D66" w:rsidRPr="008F2103" w:rsidRDefault="00BE7D66" w:rsidP="004B77FE">
            <w:pPr>
              <w:pStyle w:val="TableHeading"/>
              <w:rPr>
                <w:sz w:val="18"/>
                <w:szCs w:val="18"/>
                <w:highlight w:val="yellow"/>
              </w:rPr>
            </w:pPr>
            <w:r w:rsidRPr="008F2103">
              <w:rPr>
                <w:sz w:val="18"/>
                <w:szCs w:val="18"/>
              </w:rPr>
              <w:t>Higher Education Reform — delay</w:t>
            </w:r>
          </w:p>
        </w:tc>
        <w:tc>
          <w:tcPr>
            <w:tcW w:w="3465" w:type="pct"/>
            <w:tcBorders>
              <w:top w:val="single" w:sz="4" w:space="0" w:color="auto"/>
              <w:left w:val="single" w:sz="4" w:space="0" w:color="auto"/>
              <w:bottom w:val="single" w:sz="4" w:space="0" w:color="auto"/>
            </w:tcBorders>
            <w:vAlign w:val="top"/>
          </w:tcPr>
          <w:p w:rsidR="00BE7D66" w:rsidRPr="008F2103" w:rsidRDefault="00BE7D66" w:rsidP="00CD4E50">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8F2103">
              <w:rPr>
                <w:sz w:val="18"/>
                <w:szCs w:val="18"/>
              </w:rPr>
              <w:t>This 2015</w:t>
            </w:r>
            <w:r w:rsidR="00CD4E50">
              <w:rPr>
                <w:sz w:val="18"/>
                <w:szCs w:val="18"/>
              </w:rPr>
              <w:t>–</w:t>
            </w:r>
            <w:r w:rsidRPr="008F2103">
              <w:rPr>
                <w:sz w:val="18"/>
                <w:szCs w:val="18"/>
              </w:rPr>
              <w:t>16 MYEFO measure announced that the Government would delay the implementation of the Higher Educatio</w:t>
            </w:r>
            <w:r w:rsidR="00CD4E50">
              <w:rPr>
                <w:sz w:val="18"/>
                <w:szCs w:val="18"/>
              </w:rPr>
              <w:t>n reforms announced in the 2014–</w:t>
            </w:r>
            <w:r w:rsidRPr="008F2103">
              <w:rPr>
                <w:sz w:val="18"/>
                <w:szCs w:val="18"/>
              </w:rPr>
              <w:t>15 Budget and the 2014</w:t>
            </w:r>
            <w:r w:rsidR="00CD4E50">
              <w:rPr>
                <w:sz w:val="18"/>
                <w:szCs w:val="18"/>
              </w:rPr>
              <w:t>–</w:t>
            </w:r>
            <w:r w:rsidRPr="008F2103">
              <w:rPr>
                <w:sz w:val="18"/>
                <w:szCs w:val="18"/>
              </w:rPr>
              <w:t>15 MYEFO by one year to undertake further consultation and that higher education funding arrangements for 2016 would be in line with legislated arrangements.</w:t>
            </w:r>
          </w:p>
        </w:tc>
      </w:tr>
    </w:tbl>
    <w:p w:rsidR="00F51BF0" w:rsidRDefault="00F51BF0" w:rsidP="00A5365E">
      <w:pPr>
        <w:pStyle w:val="BodyText"/>
        <w:spacing w:before="0" w:after="0"/>
        <w:sectPr w:rsidR="00F51BF0" w:rsidSect="002E3FEC">
          <w:headerReference w:type="even" r:id="rId53"/>
          <w:headerReference w:type="default" r:id="rId54"/>
          <w:footerReference w:type="even" r:id="rId55"/>
          <w:footerReference w:type="default" r:id="rId56"/>
          <w:headerReference w:type="first" r:id="rId57"/>
          <w:footerReference w:type="first" r:id="rId58"/>
          <w:pgSz w:w="11907" w:h="16839" w:code="9"/>
          <w:pgMar w:top="1361" w:right="1797" w:bottom="1474" w:left="1797" w:header="283" w:footer="454" w:gutter="0"/>
          <w:cols w:space="708"/>
          <w:docGrid w:linePitch="360"/>
        </w:sectPr>
      </w:pPr>
    </w:p>
    <w:p w:rsidR="00F51BF0" w:rsidRDefault="00F51BF0" w:rsidP="009661A3">
      <w:pPr>
        <w:pStyle w:val="Heading1NoNumbering"/>
      </w:pPr>
      <w:bookmarkStart w:id="100" w:name="_Toc445901371"/>
      <w:bookmarkStart w:id="101" w:name="_Toc447617969"/>
      <w:bookmarkStart w:id="102" w:name="_Toc447617999"/>
      <w:r>
        <w:lastRenderedPageBreak/>
        <w:t>References</w:t>
      </w:r>
      <w:bookmarkEnd w:id="100"/>
      <w:bookmarkEnd w:id="101"/>
      <w:bookmarkEnd w:id="102"/>
    </w:p>
    <w:p w:rsidR="00CC2CC8" w:rsidRDefault="00CC2CC8" w:rsidP="00CC2CC8">
      <w:pPr>
        <w:pStyle w:val="BodyText"/>
      </w:pPr>
      <w:proofErr w:type="gramStart"/>
      <w:r>
        <w:t>Australian Government 2015, 2015–16 Mid-Year Economic and Fiscal Outlook, Commonwealth of Australia, Canberra.</w:t>
      </w:r>
      <w:proofErr w:type="gramEnd"/>
    </w:p>
    <w:p w:rsidR="00CC2CC8" w:rsidRDefault="00CC2CC8" w:rsidP="00CC2CC8">
      <w:pPr>
        <w:pStyle w:val="BodyText"/>
      </w:pPr>
      <w:r>
        <w:t xml:space="preserve">Birmingham, S (Minister for Education and Training) 2015, Keynote Address presented at the Times Higher Education World Academic Summit, Melbourne, 1 October, available at </w:t>
      </w:r>
      <w:hyperlink r:id="rId59" w:history="1">
        <w:r w:rsidRPr="00CC2CC8">
          <w:rPr>
            <w:rStyle w:val="Hyperlink"/>
            <w:u w:val="none"/>
          </w:rPr>
          <w:t>http://ministers.education.gov.au/birmingham/keynote-address-times-higher-education-world-academic-summit</w:t>
        </w:r>
      </w:hyperlink>
    </w:p>
    <w:p w:rsidR="00F51BF0" w:rsidRDefault="00F51BF0" w:rsidP="00F51BF0">
      <w:pPr>
        <w:pStyle w:val="BodyText"/>
      </w:pPr>
      <w:proofErr w:type="gramStart"/>
      <w:r>
        <w:t>Department of Education and Training 2014, Higher Education Report 2011–13, DET, Canberra.</w:t>
      </w:r>
      <w:proofErr w:type="gramEnd"/>
    </w:p>
    <w:p w:rsidR="00F51BF0" w:rsidRPr="003A4124" w:rsidRDefault="00F51BF0" w:rsidP="00F51BF0">
      <w:pPr>
        <w:pStyle w:val="BodyText"/>
      </w:pPr>
      <w:r>
        <w:t xml:space="preserve">Higgins, T &amp; Sinning, M 2013, </w:t>
      </w:r>
      <w:r>
        <w:rPr>
          <w:i/>
        </w:rPr>
        <w:t xml:space="preserve">Modelling Income Dynamics for Public Policy Design: An Application to Income Contingent Student Loans, </w:t>
      </w:r>
      <w:r w:rsidRPr="003A4124">
        <w:t>IZA DP No. 7556</w:t>
      </w:r>
      <w:r>
        <w:t>, Institute for the Study of Labour, Bonn.</w:t>
      </w:r>
    </w:p>
    <w:p w:rsidR="00F51BF0" w:rsidRPr="00D17940" w:rsidRDefault="00F51BF0" w:rsidP="00F51BF0">
      <w:pPr>
        <w:pStyle w:val="BodyText"/>
      </w:pPr>
      <w:r>
        <w:t xml:space="preserve">Higgins, T &amp; Chapman, B 2015, </w:t>
      </w:r>
      <w:r w:rsidRPr="00D17940">
        <w:rPr>
          <w:i/>
        </w:rPr>
        <w:t>Feasibil</w:t>
      </w:r>
      <w:r>
        <w:rPr>
          <w:i/>
        </w:rPr>
        <w:t>ity and design of a tertiary education entitlement in Australia: Modelling and costing a universal income contingent loan</w:t>
      </w:r>
      <w:r w:rsidRPr="00D17940">
        <w:t>, commissioned report</w:t>
      </w:r>
      <w:r>
        <w:t xml:space="preserve"> to the Mitchell Institute for Health and Education Policy, Melbourne.</w:t>
      </w:r>
    </w:p>
    <w:p w:rsidR="00F51BF0" w:rsidRDefault="00F51BF0" w:rsidP="00F51BF0">
      <w:pPr>
        <w:pStyle w:val="BodyText"/>
      </w:pPr>
      <w:r>
        <w:t xml:space="preserve">Norton, </w:t>
      </w:r>
      <w:proofErr w:type="gramStart"/>
      <w:r>
        <w:t>A</w:t>
      </w:r>
      <w:proofErr w:type="gramEnd"/>
      <w:r>
        <w:t xml:space="preserve"> 2014, </w:t>
      </w:r>
      <w:r w:rsidRPr="00D17940">
        <w:rPr>
          <w:i/>
        </w:rPr>
        <w:t>Doubtful Debt: The Rising Cost of Student Loans</w:t>
      </w:r>
      <w:r>
        <w:t>, Report No. 2014–7, Grattan Institute, Melbourne.</w:t>
      </w:r>
    </w:p>
    <w:p w:rsidR="00F51BF0" w:rsidRDefault="00F51BF0" w:rsidP="00F51BF0">
      <w:pPr>
        <w:pStyle w:val="BodyText"/>
      </w:pPr>
      <w:r>
        <w:t xml:space="preserve">O’Neill, M &amp; </w:t>
      </w:r>
      <w:proofErr w:type="spellStart"/>
      <w:r>
        <w:t>Antcliff</w:t>
      </w:r>
      <w:proofErr w:type="spellEnd"/>
      <w:r>
        <w:t xml:space="preserve">, S 2009, ‘The Higher Education Loan Programme (HELP/HECS): Microsimulation Modelling of Individual Repayment Prospects’, </w:t>
      </w:r>
      <w:r w:rsidRPr="00D17940">
        <w:rPr>
          <w:i/>
        </w:rPr>
        <w:t>Proceedings of the Biennial Convention of the Institute of Actuaries of Australia</w:t>
      </w:r>
      <w:r>
        <w:t>, Sydney.</w:t>
      </w:r>
    </w:p>
    <w:p w:rsidR="000255D1" w:rsidRDefault="000255D1" w:rsidP="00F51BF0">
      <w:pPr>
        <w:pStyle w:val="BodyText"/>
      </w:pPr>
      <w:r>
        <w:t xml:space="preserve">Pyne, C (Minister for Education) 2014, ‘Building a world-class higher education system’, media release, 13 May, available at </w:t>
      </w:r>
      <w:hyperlink r:id="rId60" w:history="1">
        <w:r w:rsidRPr="000255D1">
          <w:rPr>
            <w:rStyle w:val="Hyperlink"/>
            <w:u w:val="none"/>
          </w:rPr>
          <w:t>http://ministers.education.gov.au/pyne/building-world-class-higher-education-system</w:t>
        </w:r>
      </w:hyperlink>
      <w:r>
        <w:t>.</w:t>
      </w:r>
    </w:p>
    <w:p w:rsidR="006F5E96" w:rsidRDefault="006F5E96" w:rsidP="00F51BF0">
      <w:pPr>
        <w:pStyle w:val="BodyText"/>
        <w:rPr>
          <w:b/>
        </w:rPr>
        <w:sectPr w:rsidR="006F5E96" w:rsidSect="00F51BF0">
          <w:headerReference w:type="even" r:id="rId61"/>
          <w:headerReference w:type="default" r:id="rId62"/>
          <w:footerReference w:type="even" r:id="rId63"/>
          <w:footerReference w:type="default" r:id="rId64"/>
          <w:headerReference w:type="first" r:id="rId65"/>
          <w:footerReference w:type="first" r:id="rId66"/>
          <w:pgSz w:w="11907" w:h="16839" w:code="9"/>
          <w:pgMar w:top="1361" w:right="1797" w:bottom="1474" w:left="1797" w:header="283" w:footer="454" w:gutter="0"/>
          <w:cols w:space="708"/>
          <w:docGrid w:linePitch="360"/>
        </w:sectPr>
      </w:pPr>
    </w:p>
    <w:p w:rsidR="006F5E96" w:rsidRDefault="006F5E96" w:rsidP="00F51BF0">
      <w:pPr>
        <w:pStyle w:val="BodyText"/>
        <w:rPr>
          <w:b/>
        </w:rPr>
        <w:sectPr w:rsidR="006F5E96" w:rsidSect="006F5E96">
          <w:headerReference w:type="even" r:id="rId67"/>
          <w:footerReference w:type="even" r:id="rId68"/>
          <w:type w:val="evenPage"/>
          <w:pgSz w:w="11907" w:h="16839" w:code="9"/>
          <w:pgMar w:top="1361" w:right="1797" w:bottom="1474" w:left="1797" w:header="283" w:footer="454" w:gutter="0"/>
          <w:cols w:space="708"/>
          <w:docGrid w:linePitch="360"/>
        </w:sectPr>
      </w:pPr>
    </w:p>
    <w:p w:rsidR="00494D97" w:rsidRPr="00F51BF0" w:rsidRDefault="007B1A04" w:rsidP="00F51BF0">
      <w:pPr>
        <w:pStyle w:val="BodyText"/>
        <w:rPr>
          <w:b/>
        </w:rPr>
      </w:pPr>
      <w:r w:rsidRPr="007B1A04">
        <w:rPr>
          <w:b/>
          <w:noProof/>
          <w:lang w:eastAsia="en-AU"/>
        </w:rPr>
        <w:lastRenderedPageBreak/>
        <w:drawing>
          <wp:anchor distT="0" distB="0" distL="114300" distR="114300" simplePos="0" relativeHeight="251675648" behindDoc="0" locked="0" layoutInCell="1" allowOverlap="1" wp14:anchorId="48B07B1A" wp14:editId="356F6F8F">
            <wp:simplePos x="0" y="0"/>
            <wp:positionH relativeFrom="column">
              <wp:posOffset>-1141095</wp:posOffset>
            </wp:positionH>
            <wp:positionV relativeFrom="paragraph">
              <wp:posOffset>-854710</wp:posOffset>
            </wp:positionV>
            <wp:extent cx="7562850" cy="10686415"/>
            <wp:effectExtent l="0" t="0" r="0" b="635"/>
            <wp:wrapNone/>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Picture 24"/>
                    <pic:cNvPicPr preferRelativeResize="0">
                      <a:picLocks/>
                    </pic:cNvPicPr>
                  </pic:nvPicPr>
                  <pic:blipFill>
                    <a:blip r:embed="rId69" cstate="print">
                      <a:extLst>
                        <a:ext uri="{28A0092B-C50C-407E-A947-70E740481C1C}">
                          <a14:useLocalDpi xmlns:a14="http://schemas.microsoft.com/office/drawing/2010/main" val="0"/>
                        </a:ext>
                      </a:extLst>
                    </a:blip>
                    <a:stretch>
                      <a:fillRect/>
                    </a:stretch>
                  </pic:blipFill>
                  <pic:spPr>
                    <a:xfrm>
                      <a:off x="0" y="0"/>
                      <a:ext cx="7562850" cy="10686415"/>
                    </a:xfrm>
                    <a:prstGeom prst="rect">
                      <a:avLst/>
                    </a:prstGeom>
                  </pic:spPr>
                </pic:pic>
              </a:graphicData>
            </a:graphic>
          </wp:anchor>
        </w:drawing>
      </w:r>
      <w:r w:rsidRPr="007B1A04">
        <w:rPr>
          <w:b/>
          <w:noProof/>
          <w:lang w:eastAsia="en-AU"/>
        </w:rPr>
        <mc:AlternateContent>
          <mc:Choice Requires="wps">
            <w:drawing>
              <wp:anchor distT="0" distB="0" distL="114300" distR="114300" simplePos="0" relativeHeight="251676672" behindDoc="0" locked="0" layoutInCell="1" allowOverlap="1" wp14:anchorId="34581CDB" wp14:editId="3357C1BF">
                <wp:simplePos x="0" y="0"/>
                <wp:positionH relativeFrom="column">
                  <wp:posOffset>1378585</wp:posOffset>
                </wp:positionH>
                <wp:positionV relativeFrom="paragraph">
                  <wp:posOffset>7907655</wp:posOffset>
                </wp:positionV>
                <wp:extent cx="2519680" cy="608330"/>
                <wp:effectExtent l="0" t="0" r="0" b="127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608330"/>
                        </a:xfrm>
                        <a:prstGeom prst="rect">
                          <a:avLst/>
                        </a:prstGeom>
                        <a:noFill/>
                        <a:ln w="9525">
                          <a:noFill/>
                          <a:miter lim="800000"/>
                          <a:headEnd/>
                          <a:tailEnd/>
                        </a:ln>
                      </wps:spPr>
                      <wps:txbx>
                        <w:txbxContent>
                          <w:p w:rsidR="002F42D3" w:rsidRPr="0061135C" w:rsidRDefault="00A749E2" w:rsidP="007B1A04">
                            <w:pPr>
                              <w:pStyle w:val="xBackPageWebAddress"/>
                              <w:jc w:val="center"/>
                            </w:pPr>
                            <w:hyperlink r:id="rId70" w:history="1">
                              <w:r w:rsidR="002F42D3" w:rsidRPr="0061135C">
                                <w:t>www.pbo.gov.au</w:t>
                              </w:r>
                            </w:hyperlink>
                          </w:p>
                        </w:txbxContent>
                      </wps:txbx>
                      <wps:bodyPr rot="0" vert="horz" wrap="square" lIns="91440" tIns="45720" rIns="91440" bIns="45720" anchor="b" anchorCtr="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8.55pt;margin-top:622.65pt;width:198.4pt;height:47.9pt;z-index:25167667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" filled="f" stroked="f">
                <v:textbox>
                  <w:txbxContent>
                    <w:p w:rsidR="002F42D3" w:rsidRPr="0061135C" w:rsidRDefault="002F42D3" w:rsidP="007B1A04">
                      <w:pPr>
                        <w:pStyle w:val="xBackPageWebAddress"/>
                        <w:jc w:val="center"/>
                      </w:pPr>
                      <w:hyperlink r:id="rId71" w:history="1">
                        <w:r w:rsidRPr="0061135C">
                          <w:t>www.pbo.gov.au</w:t>
                        </w:r>
                      </w:hyperlink>
                    </w:p>
                  </w:txbxContent>
                </v:textbox>
              </v:shape>
            </w:pict>
          </mc:Fallback>
        </mc:AlternateContent>
      </w:r>
    </w:p>
    <w:sectPr w:rsidR="00494D97" w:rsidRPr="00F51BF0" w:rsidSect="006F5E96">
      <w:headerReference w:type="default" r:id="rId72"/>
      <w:footerReference w:type="default" r:id="rId73"/>
      <w:type w:val="oddPage"/>
      <w:pgSz w:w="11907" w:h="16839" w:code="9"/>
      <w:pgMar w:top="1361" w:right="1797" w:bottom="1474" w:left="1797" w:header="283"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2D3" w:rsidRDefault="002F42D3" w:rsidP="00A20802">
      <w:pPr>
        <w:spacing w:line="240" w:lineRule="auto"/>
      </w:pPr>
      <w:r>
        <w:separator/>
      </w:r>
    </w:p>
    <w:p w:rsidR="002F42D3" w:rsidRDefault="002F42D3"/>
  </w:endnote>
  <w:endnote w:type="continuationSeparator" w:id="0">
    <w:p w:rsidR="002F42D3" w:rsidRDefault="002F42D3" w:rsidP="00A20802">
      <w:pPr>
        <w:spacing w:line="240" w:lineRule="auto"/>
      </w:pPr>
      <w:r>
        <w:continuationSeparator/>
      </w:r>
    </w:p>
    <w:p w:rsidR="002F42D3" w:rsidRDefault="002F42D3"/>
  </w:endnote>
  <w:endnote w:type="continuationNotice" w:id="1">
    <w:p w:rsidR="002F42D3" w:rsidRDefault="002F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2D3" w:rsidRDefault="002F42D3">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2F42D3" w:rsidRPr="00EB388E" w:rsidTr="002E3FEC">
      <w:trPr>
        <w:trHeight w:val="340"/>
      </w:trPr>
      <w:tc>
        <w:tcPr>
          <w:tcW w:w="567" w:type="dxa"/>
          <w:tcBorders>
            <w:right w:val="single" w:sz="4" w:space="0" w:color="788184" w:themeColor="background2"/>
          </w:tcBorders>
          <w:vAlign w:val="center"/>
        </w:tcPr>
        <w:p w:rsidR="002F42D3" w:rsidRPr="00CB70DF" w:rsidRDefault="002F42D3" w:rsidP="002E3FEC">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A749E2">
            <w:rPr>
              <w:noProof/>
            </w:rPr>
            <w:t>16</w:t>
          </w:r>
          <w:r w:rsidRPr="00EB388E">
            <w:fldChar w:fldCharType="end"/>
          </w:r>
        </w:p>
      </w:tc>
      <w:tc>
        <w:tcPr>
          <w:tcW w:w="8164" w:type="dxa"/>
          <w:tcBorders>
            <w:left w:val="single" w:sz="4" w:space="0" w:color="788184" w:themeColor="background2"/>
          </w:tcBorders>
          <w:vAlign w:val="center"/>
        </w:tcPr>
        <w:p w:rsidR="002F42D3" w:rsidRPr="00CB70DF" w:rsidRDefault="000E3824" w:rsidP="002E3FEC">
          <w:pPr>
            <w:pStyle w:val="FooterLeft"/>
            <w:framePr w:wrap="auto" w:vAnchor="margin" w:hAnchor="text" w:yAlign="inline"/>
          </w:pPr>
          <w:fldSimple w:instr=" STYLEREF  Title  \* MERGEFORMAT ">
            <w:r w:rsidR="00A749E2">
              <w:rPr>
                <w:noProof/>
              </w:rPr>
              <w:t>Higher Education Loan Programme</w:t>
            </w:r>
          </w:fldSimple>
        </w:p>
      </w:tc>
    </w:tr>
    <w:tr w:rsidR="002F42D3" w:rsidRPr="00EB388E" w:rsidTr="002E3FEC">
      <w:trPr>
        <w:trHeight w:hRule="exact" w:val="403"/>
      </w:trPr>
      <w:tc>
        <w:tcPr>
          <w:tcW w:w="567" w:type="dxa"/>
          <w:tcMar>
            <w:bottom w:w="284" w:type="dxa"/>
          </w:tcMar>
        </w:tcPr>
        <w:p w:rsidR="002F42D3" w:rsidRPr="00EB388E" w:rsidRDefault="002F42D3" w:rsidP="002E3FEC">
          <w:pPr>
            <w:pStyle w:val="FooterRightPageNumber"/>
          </w:pPr>
        </w:p>
      </w:tc>
      <w:tc>
        <w:tcPr>
          <w:tcW w:w="8164" w:type="dxa"/>
          <w:tcMar>
            <w:bottom w:w="284" w:type="dxa"/>
          </w:tcMar>
        </w:tcPr>
        <w:p w:rsidR="002F42D3" w:rsidRPr="00090E70" w:rsidRDefault="002F42D3" w:rsidP="002E3FEC"/>
      </w:tc>
    </w:tr>
  </w:tbl>
  <w:p w:rsidR="002F42D3" w:rsidRDefault="002F42D3">
    <w:pPr>
      <w:pStyle w:val="Footer"/>
    </w:pPr>
  </w:p>
  <w:p w:rsidR="002F42D3" w:rsidRPr="004816D7" w:rsidRDefault="002F42D3" w:rsidP="004816D7">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2F42D3" w:rsidRPr="00EB388E" w:rsidTr="002E3FEC">
      <w:trPr>
        <w:trHeight w:val="340"/>
      </w:trPr>
      <w:tc>
        <w:tcPr>
          <w:tcW w:w="8164" w:type="dxa"/>
          <w:tcBorders>
            <w:right w:val="single" w:sz="4" w:space="0" w:color="788184" w:themeColor="background2"/>
          </w:tcBorders>
          <w:vAlign w:val="center"/>
        </w:tcPr>
        <w:p w:rsidR="002F42D3" w:rsidRPr="00CB70DF" w:rsidRDefault="000E3824" w:rsidP="00037B2B">
          <w:pPr>
            <w:pStyle w:val="FooterLeft"/>
            <w:framePr w:wrap="auto" w:vAnchor="margin" w:hAnchor="text" w:yAlign="inline"/>
            <w:ind w:right="397"/>
            <w:jc w:val="right"/>
          </w:pPr>
          <w:fldSimple w:instr=" STYLEREF  Title  \* MERGEFORMAT ">
            <w:r w:rsidR="00A749E2">
              <w:rPr>
                <w:noProof/>
              </w:rPr>
              <w:t>Higher Education Loan Programme</w:t>
            </w:r>
          </w:fldSimple>
        </w:p>
      </w:tc>
      <w:tc>
        <w:tcPr>
          <w:tcW w:w="567" w:type="dxa"/>
          <w:tcBorders>
            <w:left w:val="single" w:sz="4" w:space="0" w:color="788184" w:themeColor="background2"/>
          </w:tcBorders>
          <w:vAlign w:val="center"/>
        </w:tcPr>
        <w:p w:rsidR="002F42D3" w:rsidRPr="00CB70DF" w:rsidRDefault="002F42D3" w:rsidP="00037B2B">
          <w:pPr>
            <w:pStyle w:val="FooterRightPageNumber"/>
          </w:pPr>
          <w:r w:rsidRPr="00EB388E">
            <w:fldChar w:fldCharType="begin"/>
          </w:r>
          <w:r w:rsidRPr="00EB388E">
            <w:instrText xml:space="preserve"> PAGE   \* MERGEFORMAT </w:instrText>
          </w:r>
          <w:r w:rsidRPr="00EB388E">
            <w:fldChar w:fldCharType="separate"/>
          </w:r>
          <w:r w:rsidR="00A749E2">
            <w:t>15</w:t>
          </w:r>
          <w:r w:rsidRPr="00EB388E">
            <w:fldChar w:fldCharType="end"/>
          </w:r>
        </w:p>
      </w:tc>
    </w:tr>
    <w:tr w:rsidR="002F42D3" w:rsidRPr="00EB388E" w:rsidTr="002E3FEC">
      <w:trPr>
        <w:trHeight w:hRule="exact" w:val="403"/>
      </w:trPr>
      <w:tc>
        <w:tcPr>
          <w:tcW w:w="8164" w:type="dxa"/>
        </w:tcPr>
        <w:p w:rsidR="002F42D3" w:rsidRPr="00090E70" w:rsidRDefault="002F42D3" w:rsidP="002E3FEC"/>
      </w:tc>
      <w:tc>
        <w:tcPr>
          <w:tcW w:w="567" w:type="dxa"/>
          <w:tcMar>
            <w:bottom w:w="284" w:type="dxa"/>
          </w:tcMar>
        </w:tcPr>
        <w:p w:rsidR="002F42D3" w:rsidRPr="00090E70" w:rsidRDefault="002F42D3" w:rsidP="002E3FEC"/>
      </w:tc>
    </w:tr>
  </w:tbl>
  <w:p w:rsidR="002F42D3" w:rsidRDefault="002F42D3">
    <w:pPr>
      <w:pStyle w:val="Footer"/>
    </w:pPr>
  </w:p>
  <w:p w:rsidR="002F42D3" w:rsidRPr="004816D7" w:rsidRDefault="002F42D3" w:rsidP="005060D9">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2D3" w:rsidRDefault="002F42D3">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2F42D3" w:rsidRPr="00EB388E" w:rsidTr="002E3FEC">
      <w:trPr>
        <w:trHeight w:val="340"/>
      </w:trPr>
      <w:tc>
        <w:tcPr>
          <w:tcW w:w="567" w:type="dxa"/>
          <w:tcBorders>
            <w:right w:val="single" w:sz="4" w:space="0" w:color="788184" w:themeColor="background2"/>
          </w:tcBorders>
          <w:vAlign w:val="center"/>
        </w:tcPr>
        <w:p w:rsidR="002F42D3" w:rsidRPr="00CB70DF" w:rsidRDefault="002F42D3" w:rsidP="002E3FEC">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A749E2">
            <w:rPr>
              <w:noProof/>
            </w:rPr>
            <w:t>18</w:t>
          </w:r>
          <w:r w:rsidRPr="00EB388E">
            <w:fldChar w:fldCharType="end"/>
          </w:r>
        </w:p>
      </w:tc>
      <w:tc>
        <w:tcPr>
          <w:tcW w:w="8164" w:type="dxa"/>
          <w:tcBorders>
            <w:left w:val="single" w:sz="4" w:space="0" w:color="788184" w:themeColor="background2"/>
          </w:tcBorders>
          <w:vAlign w:val="center"/>
        </w:tcPr>
        <w:p w:rsidR="002F42D3" w:rsidRPr="00CB70DF" w:rsidRDefault="000E3824" w:rsidP="002E3FEC">
          <w:pPr>
            <w:pStyle w:val="FooterLeft"/>
            <w:framePr w:wrap="auto" w:vAnchor="margin" w:hAnchor="text" w:yAlign="inline"/>
          </w:pPr>
          <w:fldSimple w:instr=" STYLEREF  Title  \* MERGEFORMAT ">
            <w:r w:rsidR="00A749E2">
              <w:rPr>
                <w:noProof/>
              </w:rPr>
              <w:t>Higher Education Loan Programme</w:t>
            </w:r>
          </w:fldSimple>
        </w:p>
      </w:tc>
    </w:tr>
    <w:tr w:rsidR="002F42D3" w:rsidRPr="00EB388E" w:rsidTr="002E3FEC">
      <w:trPr>
        <w:trHeight w:hRule="exact" w:val="403"/>
      </w:trPr>
      <w:tc>
        <w:tcPr>
          <w:tcW w:w="567" w:type="dxa"/>
          <w:tcMar>
            <w:bottom w:w="284" w:type="dxa"/>
          </w:tcMar>
        </w:tcPr>
        <w:p w:rsidR="002F42D3" w:rsidRPr="00EB388E" w:rsidRDefault="002F42D3" w:rsidP="002E3FEC">
          <w:pPr>
            <w:pStyle w:val="FooterRightPageNumber"/>
          </w:pPr>
        </w:p>
      </w:tc>
      <w:tc>
        <w:tcPr>
          <w:tcW w:w="8164" w:type="dxa"/>
          <w:tcMar>
            <w:bottom w:w="284" w:type="dxa"/>
          </w:tcMar>
        </w:tcPr>
        <w:p w:rsidR="002F42D3" w:rsidRPr="00090E70" w:rsidRDefault="002F42D3" w:rsidP="002E3FEC"/>
      </w:tc>
    </w:tr>
  </w:tbl>
  <w:p w:rsidR="002F42D3" w:rsidRDefault="002F42D3">
    <w:pPr>
      <w:pStyle w:val="Footer"/>
    </w:pPr>
  </w:p>
  <w:p w:rsidR="002F42D3" w:rsidRPr="004816D7" w:rsidRDefault="002F42D3" w:rsidP="004816D7">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2F42D3" w:rsidRPr="00EB388E" w:rsidTr="002E3FEC">
      <w:trPr>
        <w:trHeight w:val="340"/>
      </w:trPr>
      <w:tc>
        <w:tcPr>
          <w:tcW w:w="8164" w:type="dxa"/>
          <w:tcBorders>
            <w:right w:val="single" w:sz="4" w:space="0" w:color="788184" w:themeColor="background2"/>
          </w:tcBorders>
          <w:vAlign w:val="center"/>
        </w:tcPr>
        <w:p w:rsidR="002F42D3" w:rsidRPr="00CB70DF" w:rsidRDefault="000E3824" w:rsidP="00037B2B">
          <w:pPr>
            <w:pStyle w:val="FooterLeft"/>
            <w:framePr w:wrap="auto" w:vAnchor="margin" w:hAnchor="text" w:yAlign="inline"/>
            <w:ind w:right="397"/>
            <w:jc w:val="right"/>
          </w:pPr>
          <w:fldSimple w:instr=" STYLEREF  Title  \* MERGEFORMAT ">
            <w:r w:rsidR="00A749E2">
              <w:rPr>
                <w:noProof/>
              </w:rPr>
              <w:t>Higher Education Loan Programme</w:t>
            </w:r>
          </w:fldSimple>
        </w:p>
      </w:tc>
      <w:tc>
        <w:tcPr>
          <w:tcW w:w="567" w:type="dxa"/>
          <w:tcBorders>
            <w:left w:val="single" w:sz="4" w:space="0" w:color="788184" w:themeColor="background2"/>
          </w:tcBorders>
          <w:vAlign w:val="center"/>
        </w:tcPr>
        <w:p w:rsidR="002F42D3" w:rsidRPr="00CB70DF" w:rsidRDefault="002F42D3" w:rsidP="00037B2B">
          <w:pPr>
            <w:pStyle w:val="FooterRightPageNumber"/>
          </w:pPr>
          <w:r w:rsidRPr="00EB388E">
            <w:fldChar w:fldCharType="begin"/>
          </w:r>
          <w:r w:rsidRPr="00EB388E">
            <w:instrText xml:space="preserve"> PAGE   \* MERGEFORMAT </w:instrText>
          </w:r>
          <w:r w:rsidRPr="00EB388E">
            <w:fldChar w:fldCharType="separate"/>
          </w:r>
          <w:r w:rsidR="00A749E2">
            <w:t>19</w:t>
          </w:r>
          <w:r w:rsidRPr="00EB388E">
            <w:fldChar w:fldCharType="end"/>
          </w:r>
        </w:p>
      </w:tc>
    </w:tr>
    <w:tr w:rsidR="002F42D3" w:rsidRPr="00EB388E" w:rsidTr="002E3FEC">
      <w:trPr>
        <w:trHeight w:hRule="exact" w:val="403"/>
      </w:trPr>
      <w:tc>
        <w:tcPr>
          <w:tcW w:w="8164" w:type="dxa"/>
        </w:tcPr>
        <w:p w:rsidR="002F42D3" w:rsidRPr="00090E70" w:rsidRDefault="002F42D3" w:rsidP="002E3FEC"/>
      </w:tc>
      <w:tc>
        <w:tcPr>
          <w:tcW w:w="567" w:type="dxa"/>
          <w:tcMar>
            <w:bottom w:w="284" w:type="dxa"/>
          </w:tcMar>
        </w:tcPr>
        <w:p w:rsidR="002F42D3" w:rsidRPr="00090E70" w:rsidRDefault="002F42D3" w:rsidP="002E3FEC"/>
      </w:tc>
    </w:tr>
  </w:tbl>
  <w:p w:rsidR="002F42D3" w:rsidRDefault="002F42D3">
    <w:pPr>
      <w:pStyle w:val="Footer"/>
    </w:pPr>
  </w:p>
  <w:p w:rsidR="002F42D3" w:rsidRPr="004816D7" w:rsidRDefault="002F42D3" w:rsidP="005060D9">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2D3" w:rsidRDefault="002F42D3">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2F42D3" w:rsidRPr="00EB388E" w:rsidTr="00F51BF0">
      <w:trPr>
        <w:trHeight w:val="340"/>
      </w:trPr>
      <w:tc>
        <w:tcPr>
          <w:tcW w:w="567" w:type="dxa"/>
          <w:tcBorders>
            <w:right w:val="single" w:sz="4" w:space="0" w:color="788184" w:themeColor="background2"/>
          </w:tcBorders>
          <w:vAlign w:val="center"/>
        </w:tcPr>
        <w:p w:rsidR="002F42D3" w:rsidRPr="00CB70DF" w:rsidRDefault="002F42D3" w:rsidP="00F51BF0">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A749E2">
            <w:rPr>
              <w:noProof/>
            </w:rPr>
            <w:t>20</w:t>
          </w:r>
          <w:r w:rsidRPr="00EB388E">
            <w:fldChar w:fldCharType="end"/>
          </w:r>
        </w:p>
      </w:tc>
      <w:tc>
        <w:tcPr>
          <w:tcW w:w="8164" w:type="dxa"/>
          <w:tcBorders>
            <w:left w:val="single" w:sz="4" w:space="0" w:color="788184" w:themeColor="background2"/>
          </w:tcBorders>
          <w:vAlign w:val="center"/>
        </w:tcPr>
        <w:p w:rsidR="002F42D3" w:rsidRPr="00CB70DF" w:rsidRDefault="000E3824" w:rsidP="00F51BF0">
          <w:pPr>
            <w:pStyle w:val="FooterLeft"/>
            <w:framePr w:wrap="auto" w:vAnchor="margin" w:hAnchor="text" w:yAlign="inline"/>
          </w:pPr>
          <w:fldSimple w:instr=" STYLEREF  Title  \* MERGEFORMAT ">
            <w:r w:rsidR="00A749E2">
              <w:rPr>
                <w:noProof/>
              </w:rPr>
              <w:t>Higher Education Loan Programme</w:t>
            </w:r>
          </w:fldSimple>
        </w:p>
      </w:tc>
    </w:tr>
    <w:tr w:rsidR="002F42D3" w:rsidRPr="00EB388E" w:rsidTr="00F51BF0">
      <w:trPr>
        <w:trHeight w:hRule="exact" w:val="403"/>
      </w:trPr>
      <w:tc>
        <w:tcPr>
          <w:tcW w:w="567" w:type="dxa"/>
          <w:tcMar>
            <w:bottom w:w="284" w:type="dxa"/>
          </w:tcMar>
        </w:tcPr>
        <w:p w:rsidR="002F42D3" w:rsidRPr="00EB388E" w:rsidRDefault="002F42D3" w:rsidP="00F51BF0">
          <w:pPr>
            <w:pStyle w:val="FooterRightPageNumber"/>
          </w:pPr>
        </w:p>
      </w:tc>
      <w:tc>
        <w:tcPr>
          <w:tcW w:w="8164" w:type="dxa"/>
          <w:tcMar>
            <w:bottom w:w="284" w:type="dxa"/>
          </w:tcMar>
        </w:tcPr>
        <w:p w:rsidR="002F42D3" w:rsidRPr="00090E70" w:rsidRDefault="002F42D3" w:rsidP="00F51BF0"/>
      </w:tc>
    </w:tr>
  </w:tbl>
  <w:p w:rsidR="002F42D3" w:rsidRDefault="002F42D3">
    <w:pPr>
      <w:pStyle w:val="Footer"/>
    </w:pPr>
  </w:p>
  <w:p w:rsidR="002F42D3" w:rsidRPr="004816D7" w:rsidRDefault="002F42D3" w:rsidP="0093055D">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2F42D3" w:rsidRPr="00EB388E" w:rsidTr="00F51BF0">
      <w:trPr>
        <w:trHeight w:val="340"/>
      </w:trPr>
      <w:tc>
        <w:tcPr>
          <w:tcW w:w="8164" w:type="dxa"/>
          <w:tcBorders>
            <w:right w:val="single" w:sz="4" w:space="0" w:color="788184" w:themeColor="background2"/>
          </w:tcBorders>
          <w:vAlign w:val="center"/>
        </w:tcPr>
        <w:p w:rsidR="002F42D3" w:rsidRPr="00CB70DF" w:rsidRDefault="002F42D3" w:rsidP="00EC68C2">
          <w:pPr>
            <w:pStyle w:val="FooterRight"/>
            <w:framePr w:wrap="auto" w:vAnchor="margin" w:hAnchor="text" w:xAlign="left" w:yAlign="inline"/>
          </w:pPr>
          <w:r>
            <w:t>References</w:t>
          </w:r>
        </w:p>
      </w:tc>
      <w:tc>
        <w:tcPr>
          <w:tcW w:w="567" w:type="dxa"/>
          <w:tcBorders>
            <w:left w:val="single" w:sz="4" w:space="0" w:color="788184" w:themeColor="background2"/>
          </w:tcBorders>
          <w:vAlign w:val="center"/>
        </w:tcPr>
        <w:p w:rsidR="002F42D3" w:rsidRPr="00CB70DF" w:rsidRDefault="002F42D3" w:rsidP="00F51BF0">
          <w:pPr>
            <w:pStyle w:val="FooterRightPageNumber"/>
          </w:pPr>
          <w:r w:rsidRPr="00EB388E">
            <w:fldChar w:fldCharType="begin"/>
          </w:r>
          <w:r w:rsidRPr="00EB388E">
            <w:instrText xml:space="preserve"> PAGE   \* MERGEFORMAT </w:instrText>
          </w:r>
          <w:r w:rsidRPr="00EB388E">
            <w:fldChar w:fldCharType="separate"/>
          </w:r>
          <w:r w:rsidR="00A749E2">
            <w:t>21</w:t>
          </w:r>
          <w:r w:rsidRPr="00EB388E">
            <w:fldChar w:fldCharType="end"/>
          </w:r>
        </w:p>
      </w:tc>
    </w:tr>
    <w:tr w:rsidR="002F42D3" w:rsidRPr="00EB388E" w:rsidTr="00F51BF0">
      <w:trPr>
        <w:trHeight w:hRule="exact" w:val="403"/>
      </w:trPr>
      <w:tc>
        <w:tcPr>
          <w:tcW w:w="8164" w:type="dxa"/>
        </w:tcPr>
        <w:p w:rsidR="002F42D3" w:rsidRPr="00090E70" w:rsidRDefault="002F42D3" w:rsidP="00F51BF0"/>
      </w:tc>
      <w:tc>
        <w:tcPr>
          <w:tcW w:w="567" w:type="dxa"/>
          <w:tcMar>
            <w:bottom w:w="284" w:type="dxa"/>
          </w:tcMar>
        </w:tcPr>
        <w:p w:rsidR="002F42D3" w:rsidRPr="00090E70" w:rsidRDefault="002F42D3" w:rsidP="00F51BF0"/>
      </w:tc>
    </w:tr>
  </w:tbl>
  <w:p w:rsidR="002F42D3" w:rsidRDefault="002F42D3">
    <w:pPr>
      <w:pStyle w:val="Footer"/>
    </w:pPr>
  </w:p>
  <w:p w:rsidR="002F42D3" w:rsidRPr="004816D7" w:rsidRDefault="002F42D3" w:rsidP="0093055D">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2D3" w:rsidRDefault="002F42D3">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2D3" w:rsidRDefault="002F42D3">
    <w:pPr>
      <w:pStyle w:val="Footer"/>
    </w:pPr>
  </w:p>
  <w:p w:rsidR="002F42D3" w:rsidRPr="004816D7" w:rsidRDefault="002F42D3" w:rsidP="009305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2F42D3" w:rsidRPr="00EB388E" w:rsidTr="00C80200">
      <w:trPr>
        <w:trHeight w:val="340"/>
      </w:trPr>
      <w:tc>
        <w:tcPr>
          <w:tcW w:w="567" w:type="dxa"/>
          <w:tcBorders>
            <w:right w:val="single" w:sz="4" w:space="0" w:color="788184" w:themeColor="background2"/>
          </w:tcBorders>
          <w:vAlign w:val="center"/>
        </w:tcPr>
        <w:p w:rsidR="002F42D3" w:rsidRPr="00CB70DF" w:rsidRDefault="002F42D3" w:rsidP="00C80200">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A749E2">
            <w:rPr>
              <w:noProof/>
            </w:rPr>
            <w:t>vi</w:t>
          </w:r>
          <w:r w:rsidRPr="00EB388E">
            <w:fldChar w:fldCharType="end"/>
          </w:r>
        </w:p>
      </w:tc>
      <w:tc>
        <w:tcPr>
          <w:tcW w:w="8164" w:type="dxa"/>
          <w:tcBorders>
            <w:left w:val="single" w:sz="4" w:space="0" w:color="788184" w:themeColor="background2"/>
          </w:tcBorders>
          <w:vAlign w:val="center"/>
        </w:tcPr>
        <w:p w:rsidR="002F42D3" w:rsidRPr="00CB70DF" w:rsidRDefault="002F42D3" w:rsidP="00C80200">
          <w:pPr>
            <w:pStyle w:val="FooterLeft"/>
            <w:framePr w:wrap="auto" w:vAnchor="margin" w:hAnchor="text" w:yAlign="inline"/>
          </w:pPr>
        </w:p>
      </w:tc>
    </w:tr>
    <w:tr w:rsidR="002F42D3" w:rsidRPr="00EB388E" w:rsidTr="00C80200">
      <w:trPr>
        <w:trHeight w:hRule="exact" w:val="403"/>
      </w:trPr>
      <w:tc>
        <w:tcPr>
          <w:tcW w:w="567" w:type="dxa"/>
          <w:tcMar>
            <w:bottom w:w="284" w:type="dxa"/>
          </w:tcMar>
        </w:tcPr>
        <w:p w:rsidR="002F42D3" w:rsidRPr="00EB388E" w:rsidRDefault="002F42D3" w:rsidP="00C80200">
          <w:pPr>
            <w:pStyle w:val="FooterRightPageNumber"/>
          </w:pPr>
        </w:p>
      </w:tc>
      <w:tc>
        <w:tcPr>
          <w:tcW w:w="8164" w:type="dxa"/>
          <w:tcMar>
            <w:bottom w:w="284" w:type="dxa"/>
          </w:tcMar>
        </w:tcPr>
        <w:p w:rsidR="002F42D3" w:rsidRPr="00090E70" w:rsidRDefault="002F42D3" w:rsidP="00C80200"/>
      </w:tc>
    </w:tr>
  </w:tbl>
  <w:p w:rsidR="002F42D3" w:rsidRDefault="002F42D3">
    <w:pPr>
      <w:pStyle w:val="Footer"/>
    </w:pPr>
  </w:p>
  <w:p w:rsidR="002F42D3" w:rsidRPr="004816D7" w:rsidRDefault="002F42D3" w:rsidP="004816D7">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2D3" w:rsidRDefault="002F42D3">
    <w:pPr>
      <w:pStyle w:val="Footer"/>
    </w:pPr>
  </w:p>
  <w:p w:rsidR="002F42D3" w:rsidRPr="004816D7" w:rsidRDefault="002F42D3" w:rsidP="009305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2F42D3" w:rsidRPr="00EB388E" w:rsidTr="0087390B">
      <w:trPr>
        <w:trHeight w:val="340"/>
      </w:trPr>
      <w:tc>
        <w:tcPr>
          <w:tcW w:w="8164" w:type="dxa"/>
          <w:tcBorders>
            <w:right w:val="single" w:sz="4" w:space="0" w:color="788184" w:themeColor="background2"/>
          </w:tcBorders>
          <w:vAlign w:val="center"/>
        </w:tcPr>
        <w:p w:rsidR="002F42D3" w:rsidRPr="00CB70DF" w:rsidRDefault="002F42D3" w:rsidP="001C48DE">
          <w:pPr>
            <w:pStyle w:val="FooterRight"/>
            <w:framePr w:wrap="auto" w:vAnchor="margin" w:hAnchor="text" w:xAlign="left" w:yAlign="inline"/>
          </w:pPr>
        </w:p>
      </w:tc>
      <w:tc>
        <w:tcPr>
          <w:tcW w:w="567" w:type="dxa"/>
          <w:tcBorders>
            <w:left w:val="single" w:sz="4" w:space="0" w:color="788184" w:themeColor="background2"/>
          </w:tcBorders>
          <w:vAlign w:val="center"/>
        </w:tcPr>
        <w:p w:rsidR="002F42D3" w:rsidRPr="00CB70DF" w:rsidRDefault="002F42D3" w:rsidP="00E915E6">
          <w:pPr>
            <w:pStyle w:val="FooterRightPageNumber"/>
          </w:pPr>
          <w:r w:rsidRPr="00EB388E">
            <w:fldChar w:fldCharType="begin"/>
          </w:r>
          <w:r w:rsidRPr="00EB388E">
            <w:instrText xml:space="preserve"> PAGE   \* MERGEFORMAT </w:instrText>
          </w:r>
          <w:r w:rsidRPr="00EB388E">
            <w:fldChar w:fldCharType="separate"/>
          </w:r>
          <w:r w:rsidR="00A749E2">
            <w:t>iii</w:t>
          </w:r>
          <w:r w:rsidRPr="00EB388E">
            <w:fldChar w:fldCharType="end"/>
          </w:r>
        </w:p>
      </w:tc>
    </w:tr>
    <w:tr w:rsidR="002F42D3" w:rsidRPr="00EB388E" w:rsidTr="004F1297">
      <w:trPr>
        <w:trHeight w:hRule="exact" w:val="403"/>
      </w:trPr>
      <w:tc>
        <w:tcPr>
          <w:tcW w:w="8164" w:type="dxa"/>
        </w:tcPr>
        <w:p w:rsidR="002F42D3" w:rsidRPr="00090E70" w:rsidRDefault="002F42D3" w:rsidP="0087390B"/>
      </w:tc>
      <w:tc>
        <w:tcPr>
          <w:tcW w:w="567" w:type="dxa"/>
          <w:tcMar>
            <w:bottom w:w="284" w:type="dxa"/>
          </w:tcMar>
        </w:tcPr>
        <w:p w:rsidR="002F42D3" w:rsidRPr="00090E70" w:rsidRDefault="002F42D3" w:rsidP="0087390B"/>
      </w:tc>
    </w:tr>
  </w:tbl>
  <w:p w:rsidR="002F42D3" w:rsidRDefault="002F42D3">
    <w:pPr>
      <w:pStyle w:val="Footer"/>
    </w:pPr>
  </w:p>
  <w:p w:rsidR="002F42D3" w:rsidRPr="004816D7" w:rsidRDefault="002F42D3" w:rsidP="004816D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2F42D3" w:rsidRPr="00EB388E" w:rsidTr="0087390B">
      <w:trPr>
        <w:trHeight w:val="340"/>
      </w:trPr>
      <w:tc>
        <w:tcPr>
          <w:tcW w:w="8164" w:type="dxa"/>
          <w:tcBorders>
            <w:right w:val="single" w:sz="4" w:space="0" w:color="788184" w:themeColor="background2"/>
          </w:tcBorders>
          <w:vAlign w:val="center"/>
        </w:tcPr>
        <w:p w:rsidR="002F42D3" w:rsidRPr="00CB70DF" w:rsidRDefault="002F42D3" w:rsidP="001C48DE">
          <w:pPr>
            <w:pStyle w:val="FooterRight"/>
            <w:framePr w:wrap="auto" w:vAnchor="margin" w:hAnchor="text" w:xAlign="left" w:yAlign="inline"/>
          </w:pPr>
        </w:p>
      </w:tc>
      <w:tc>
        <w:tcPr>
          <w:tcW w:w="567" w:type="dxa"/>
          <w:tcBorders>
            <w:left w:val="single" w:sz="4" w:space="0" w:color="788184" w:themeColor="background2"/>
          </w:tcBorders>
          <w:vAlign w:val="center"/>
        </w:tcPr>
        <w:p w:rsidR="002F42D3" w:rsidRPr="00CB70DF" w:rsidRDefault="002F42D3" w:rsidP="00E915E6">
          <w:pPr>
            <w:pStyle w:val="FooterRightPageNumber"/>
          </w:pPr>
          <w:r w:rsidRPr="00EB388E">
            <w:fldChar w:fldCharType="begin"/>
          </w:r>
          <w:r w:rsidRPr="00EB388E">
            <w:instrText xml:space="preserve"> PAGE   \* MERGEFORMAT </w:instrText>
          </w:r>
          <w:r w:rsidRPr="00EB388E">
            <w:fldChar w:fldCharType="separate"/>
          </w:r>
          <w:r w:rsidR="00A749E2">
            <w:t>vii</w:t>
          </w:r>
          <w:r w:rsidRPr="00EB388E">
            <w:fldChar w:fldCharType="end"/>
          </w:r>
        </w:p>
      </w:tc>
    </w:tr>
    <w:tr w:rsidR="002F42D3" w:rsidRPr="00EB388E" w:rsidTr="004F1297">
      <w:trPr>
        <w:trHeight w:hRule="exact" w:val="403"/>
      </w:trPr>
      <w:tc>
        <w:tcPr>
          <w:tcW w:w="8164" w:type="dxa"/>
        </w:tcPr>
        <w:p w:rsidR="002F42D3" w:rsidRPr="00090E70" w:rsidRDefault="002F42D3" w:rsidP="0087390B"/>
      </w:tc>
      <w:tc>
        <w:tcPr>
          <w:tcW w:w="567" w:type="dxa"/>
          <w:tcMar>
            <w:bottom w:w="284" w:type="dxa"/>
          </w:tcMar>
        </w:tcPr>
        <w:p w:rsidR="002F42D3" w:rsidRPr="00090E70" w:rsidRDefault="002F42D3" w:rsidP="0087390B"/>
      </w:tc>
    </w:tr>
  </w:tbl>
  <w:p w:rsidR="002F42D3" w:rsidRDefault="002F42D3">
    <w:pPr>
      <w:pStyle w:val="Footer"/>
    </w:pPr>
  </w:p>
  <w:p w:rsidR="002F42D3" w:rsidRPr="004816D7" w:rsidRDefault="002F42D3" w:rsidP="004816D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2F42D3" w:rsidRPr="00EB388E" w:rsidTr="00C80200">
      <w:trPr>
        <w:trHeight w:val="340"/>
      </w:trPr>
      <w:tc>
        <w:tcPr>
          <w:tcW w:w="567" w:type="dxa"/>
          <w:tcBorders>
            <w:right w:val="single" w:sz="4" w:space="0" w:color="788184" w:themeColor="background2"/>
          </w:tcBorders>
          <w:vAlign w:val="center"/>
        </w:tcPr>
        <w:p w:rsidR="002F42D3" w:rsidRPr="00CB70DF" w:rsidRDefault="002F42D3" w:rsidP="00C80200">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A749E2">
            <w:rPr>
              <w:noProof/>
            </w:rPr>
            <w:t>4</w:t>
          </w:r>
          <w:r w:rsidRPr="00EB388E">
            <w:fldChar w:fldCharType="end"/>
          </w:r>
        </w:p>
      </w:tc>
      <w:tc>
        <w:tcPr>
          <w:tcW w:w="8164" w:type="dxa"/>
          <w:tcBorders>
            <w:left w:val="single" w:sz="4" w:space="0" w:color="788184" w:themeColor="background2"/>
          </w:tcBorders>
          <w:vAlign w:val="center"/>
        </w:tcPr>
        <w:p w:rsidR="002F42D3" w:rsidRPr="00CB70DF" w:rsidRDefault="000E3824" w:rsidP="00C80200">
          <w:pPr>
            <w:pStyle w:val="FooterLeft"/>
            <w:framePr w:wrap="auto" w:vAnchor="margin" w:hAnchor="text" w:yAlign="inline"/>
          </w:pPr>
          <w:fldSimple w:instr=" STYLEREF  Title  \* MERGEFORMAT ">
            <w:r w:rsidR="00A749E2">
              <w:rPr>
                <w:noProof/>
              </w:rPr>
              <w:t>Higher Education Loan Programme</w:t>
            </w:r>
          </w:fldSimple>
        </w:p>
      </w:tc>
    </w:tr>
    <w:tr w:rsidR="002F42D3" w:rsidRPr="00EB388E" w:rsidTr="00C80200">
      <w:trPr>
        <w:trHeight w:hRule="exact" w:val="403"/>
      </w:trPr>
      <w:tc>
        <w:tcPr>
          <w:tcW w:w="567" w:type="dxa"/>
          <w:tcMar>
            <w:bottom w:w="284" w:type="dxa"/>
          </w:tcMar>
        </w:tcPr>
        <w:p w:rsidR="002F42D3" w:rsidRPr="00EB388E" w:rsidRDefault="002F42D3" w:rsidP="00C80200">
          <w:pPr>
            <w:pStyle w:val="FooterRightPageNumber"/>
          </w:pPr>
        </w:p>
      </w:tc>
      <w:tc>
        <w:tcPr>
          <w:tcW w:w="8164" w:type="dxa"/>
          <w:tcMar>
            <w:bottom w:w="284" w:type="dxa"/>
          </w:tcMar>
        </w:tcPr>
        <w:p w:rsidR="002F42D3" w:rsidRPr="00090E70" w:rsidRDefault="002F42D3" w:rsidP="00C80200"/>
      </w:tc>
    </w:tr>
  </w:tbl>
  <w:p w:rsidR="002F42D3" w:rsidRDefault="002F42D3">
    <w:pPr>
      <w:pStyle w:val="Footer"/>
    </w:pPr>
  </w:p>
  <w:p w:rsidR="002F42D3" w:rsidRPr="004816D7" w:rsidRDefault="002F42D3" w:rsidP="004816D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2F42D3" w:rsidRPr="00EB388E" w:rsidTr="0087390B">
      <w:trPr>
        <w:trHeight w:val="340"/>
      </w:trPr>
      <w:tc>
        <w:tcPr>
          <w:tcW w:w="8164" w:type="dxa"/>
          <w:tcBorders>
            <w:right w:val="single" w:sz="4" w:space="0" w:color="788184" w:themeColor="background2"/>
          </w:tcBorders>
          <w:vAlign w:val="center"/>
        </w:tcPr>
        <w:p w:rsidR="002F42D3" w:rsidRPr="00CB70DF" w:rsidRDefault="000E3824" w:rsidP="001C48DE">
          <w:pPr>
            <w:pStyle w:val="FooterRight"/>
            <w:framePr w:wrap="auto" w:vAnchor="margin" w:hAnchor="text" w:xAlign="left" w:yAlign="inline"/>
          </w:pPr>
          <w:fldSimple w:instr=" STYLEREF  &quot;Heading 1&quot;  \* MERGEFORMAT ">
            <w:r w:rsidR="00A749E2">
              <w:rPr>
                <w:noProof/>
              </w:rPr>
              <w:t>What is HELP?</w:t>
            </w:r>
          </w:fldSimple>
        </w:p>
      </w:tc>
      <w:tc>
        <w:tcPr>
          <w:tcW w:w="567" w:type="dxa"/>
          <w:tcBorders>
            <w:left w:val="single" w:sz="4" w:space="0" w:color="788184" w:themeColor="background2"/>
          </w:tcBorders>
          <w:vAlign w:val="center"/>
        </w:tcPr>
        <w:p w:rsidR="002F42D3" w:rsidRPr="00CB70DF" w:rsidRDefault="002F42D3" w:rsidP="00E915E6">
          <w:pPr>
            <w:pStyle w:val="FooterRightPageNumber"/>
          </w:pPr>
          <w:r w:rsidRPr="00EB388E">
            <w:fldChar w:fldCharType="begin"/>
          </w:r>
          <w:r w:rsidRPr="00EB388E">
            <w:instrText xml:space="preserve"> PAGE   \* MERGEFORMAT </w:instrText>
          </w:r>
          <w:r w:rsidRPr="00EB388E">
            <w:fldChar w:fldCharType="separate"/>
          </w:r>
          <w:r w:rsidR="00A749E2">
            <w:t>3</w:t>
          </w:r>
          <w:r w:rsidRPr="00EB388E">
            <w:fldChar w:fldCharType="end"/>
          </w:r>
        </w:p>
      </w:tc>
    </w:tr>
    <w:tr w:rsidR="002F42D3" w:rsidRPr="00EB388E" w:rsidTr="004F1297">
      <w:trPr>
        <w:trHeight w:hRule="exact" w:val="403"/>
      </w:trPr>
      <w:tc>
        <w:tcPr>
          <w:tcW w:w="8164" w:type="dxa"/>
        </w:tcPr>
        <w:p w:rsidR="002F42D3" w:rsidRPr="00090E70" w:rsidRDefault="002F42D3" w:rsidP="0087390B"/>
      </w:tc>
      <w:tc>
        <w:tcPr>
          <w:tcW w:w="567" w:type="dxa"/>
          <w:tcMar>
            <w:bottom w:w="284" w:type="dxa"/>
          </w:tcMar>
        </w:tcPr>
        <w:p w:rsidR="002F42D3" w:rsidRPr="00090E70" w:rsidRDefault="002F42D3" w:rsidP="0087390B"/>
      </w:tc>
    </w:tr>
  </w:tbl>
  <w:p w:rsidR="002F42D3" w:rsidRDefault="002F42D3">
    <w:pPr>
      <w:pStyle w:val="Footer"/>
    </w:pPr>
  </w:p>
  <w:p w:rsidR="002F42D3" w:rsidRPr="004816D7" w:rsidRDefault="002F42D3" w:rsidP="004816D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2F42D3" w:rsidRPr="00EB388E" w:rsidTr="00124AEE">
      <w:trPr>
        <w:trHeight w:val="340"/>
      </w:trPr>
      <w:tc>
        <w:tcPr>
          <w:tcW w:w="567" w:type="dxa"/>
          <w:tcBorders>
            <w:right w:val="single" w:sz="4" w:space="0" w:color="788184" w:themeColor="background2"/>
          </w:tcBorders>
          <w:vAlign w:val="center"/>
        </w:tcPr>
        <w:p w:rsidR="002F42D3" w:rsidRPr="00CB70DF" w:rsidRDefault="002F42D3" w:rsidP="00124AEE">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A749E2">
            <w:rPr>
              <w:noProof/>
            </w:rPr>
            <w:t>14</w:t>
          </w:r>
          <w:r w:rsidRPr="00EB388E">
            <w:fldChar w:fldCharType="end"/>
          </w:r>
        </w:p>
      </w:tc>
      <w:tc>
        <w:tcPr>
          <w:tcW w:w="8164" w:type="dxa"/>
          <w:tcBorders>
            <w:left w:val="single" w:sz="4" w:space="0" w:color="788184" w:themeColor="background2"/>
          </w:tcBorders>
          <w:vAlign w:val="center"/>
        </w:tcPr>
        <w:p w:rsidR="002F42D3" w:rsidRPr="00CB70DF" w:rsidRDefault="000E3824" w:rsidP="00124AEE">
          <w:pPr>
            <w:pStyle w:val="FooterLeft"/>
            <w:framePr w:wrap="auto" w:vAnchor="margin" w:hAnchor="text" w:yAlign="inline"/>
          </w:pPr>
          <w:fldSimple w:instr=" STYLEREF  Title  \* MERGEFORMAT ">
            <w:r w:rsidR="00A749E2">
              <w:rPr>
                <w:noProof/>
              </w:rPr>
              <w:t>Higher Education Loan Programme</w:t>
            </w:r>
          </w:fldSimple>
        </w:p>
      </w:tc>
    </w:tr>
    <w:tr w:rsidR="002F42D3" w:rsidRPr="00EB388E" w:rsidTr="00124AEE">
      <w:trPr>
        <w:trHeight w:hRule="exact" w:val="403"/>
      </w:trPr>
      <w:tc>
        <w:tcPr>
          <w:tcW w:w="567" w:type="dxa"/>
          <w:tcMar>
            <w:bottom w:w="284" w:type="dxa"/>
          </w:tcMar>
        </w:tcPr>
        <w:p w:rsidR="002F42D3" w:rsidRPr="00EB388E" w:rsidRDefault="002F42D3" w:rsidP="00124AEE">
          <w:pPr>
            <w:pStyle w:val="FooterRightPageNumber"/>
          </w:pPr>
        </w:p>
      </w:tc>
      <w:tc>
        <w:tcPr>
          <w:tcW w:w="8164" w:type="dxa"/>
          <w:tcMar>
            <w:bottom w:w="284" w:type="dxa"/>
          </w:tcMar>
        </w:tcPr>
        <w:p w:rsidR="002F42D3" w:rsidRPr="00090E70" w:rsidRDefault="002F42D3" w:rsidP="00124AEE"/>
      </w:tc>
    </w:tr>
  </w:tbl>
  <w:p w:rsidR="002F42D3" w:rsidRDefault="002F42D3">
    <w:pPr>
      <w:pStyle w:val="Footer"/>
    </w:pPr>
  </w:p>
  <w:p w:rsidR="002F42D3" w:rsidRPr="004816D7" w:rsidRDefault="002F42D3" w:rsidP="004816D7">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2F42D3" w:rsidRPr="00EB388E" w:rsidTr="00124AEE">
      <w:trPr>
        <w:trHeight w:val="340"/>
      </w:trPr>
      <w:tc>
        <w:tcPr>
          <w:tcW w:w="8164" w:type="dxa"/>
          <w:tcBorders>
            <w:right w:val="single" w:sz="4" w:space="0" w:color="788184" w:themeColor="background2"/>
          </w:tcBorders>
          <w:vAlign w:val="center"/>
        </w:tcPr>
        <w:p w:rsidR="002F42D3" w:rsidRPr="00CB70DF" w:rsidRDefault="000E3824" w:rsidP="00124AEE">
          <w:pPr>
            <w:pStyle w:val="FooterRight"/>
            <w:framePr w:wrap="auto" w:vAnchor="margin" w:hAnchor="text" w:xAlign="left" w:yAlign="inline"/>
          </w:pPr>
          <w:fldSimple w:instr=" STYLEREF  &quot;Heading 1&quot;  \* MERGEFORMAT ">
            <w:r w:rsidR="00A749E2">
              <w:rPr>
                <w:noProof/>
              </w:rPr>
              <w:t>Budget impact of HELP</w:t>
            </w:r>
          </w:fldSimple>
        </w:p>
      </w:tc>
      <w:tc>
        <w:tcPr>
          <w:tcW w:w="567" w:type="dxa"/>
          <w:tcBorders>
            <w:left w:val="single" w:sz="4" w:space="0" w:color="788184" w:themeColor="background2"/>
          </w:tcBorders>
          <w:vAlign w:val="center"/>
        </w:tcPr>
        <w:p w:rsidR="002F42D3" w:rsidRPr="00CB70DF" w:rsidRDefault="002F42D3" w:rsidP="00124AEE">
          <w:pPr>
            <w:pStyle w:val="FooterRightPageNumber"/>
          </w:pPr>
          <w:r w:rsidRPr="00EB388E">
            <w:fldChar w:fldCharType="begin"/>
          </w:r>
          <w:r w:rsidRPr="00EB388E">
            <w:instrText xml:space="preserve"> PAGE   \* MERGEFORMAT </w:instrText>
          </w:r>
          <w:r w:rsidRPr="00EB388E">
            <w:fldChar w:fldCharType="separate"/>
          </w:r>
          <w:r w:rsidR="00A749E2">
            <w:t>13</w:t>
          </w:r>
          <w:r w:rsidRPr="00EB388E">
            <w:fldChar w:fldCharType="end"/>
          </w:r>
        </w:p>
      </w:tc>
    </w:tr>
    <w:tr w:rsidR="002F42D3" w:rsidRPr="00EB388E" w:rsidTr="00124AEE">
      <w:trPr>
        <w:trHeight w:hRule="exact" w:val="403"/>
      </w:trPr>
      <w:tc>
        <w:tcPr>
          <w:tcW w:w="8164" w:type="dxa"/>
        </w:tcPr>
        <w:p w:rsidR="002F42D3" w:rsidRPr="00090E70" w:rsidRDefault="002F42D3" w:rsidP="00124AEE"/>
      </w:tc>
      <w:tc>
        <w:tcPr>
          <w:tcW w:w="567" w:type="dxa"/>
          <w:tcMar>
            <w:bottom w:w="284" w:type="dxa"/>
          </w:tcMar>
        </w:tcPr>
        <w:p w:rsidR="002F42D3" w:rsidRPr="00090E70" w:rsidRDefault="002F42D3" w:rsidP="00124AEE"/>
      </w:tc>
    </w:tr>
  </w:tbl>
  <w:p w:rsidR="002F42D3" w:rsidRDefault="002F42D3">
    <w:pPr>
      <w:pStyle w:val="Footer"/>
    </w:pPr>
  </w:p>
  <w:p w:rsidR="002F42D3" w:rsidRPr="004816D7" w:rsidRDefault="002F42D3" w:rsidP="00BC0582">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2D3" w:rsidRDefault="002F42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2D3" w:rsidRPr="000557A7" w:rsidRDefault="002F42D3" w:rsidP="008D5A11">
      <w:pPr>
        <w:pBdr>
          <w:top w:val="single" w:sz="4" w:space="1" w:color="auto"/>
        </w:pBdr>
        <w:spacing w:before="240" w:line="60" w:lineRule="exact"/>
        <w:rPr>
          <w:sz w:val="16"/>
          <w:szCs w:val="16"/>
        </w:rPr>
      </w:pPr>
    </w:p>
  </w:footnote>
  <w:footnote w:type="continuationSeparator" w:id="0">
    <w:p w:rsidR="002F42D3" w:rsidRDefault="002F42D3" w:rsidP="00A20802">
      <w:pPr>
        <w:spacing w:line="240" w:lineRule="auto"/>
      </w:pPr>
      <w:r>
        <w:continuationSeparator/>
      </w:r>
    </w:p>
    <w:p w:rsidR="002F42D3" w:rsidRDefault="002F42D3"/>
  </w:footnote>
  <w:footnote w:type="continuationNotice" w:id="1">
    <w:p w:rsidR="002F42D3" w:rsidRDefault="002F42D3">
      <w:pPr>
        <w:spacing w:line="240" w:lineRule="auto"/>
      </w:pPr>
    </w:p>
  </w:footnote>
  <w:footnote w:id="2">
    <w:p w:rsidR="002F42D3" w:rsidRPr="001A7C6F" w:rsidRDefault="002F42D3" w:rsidP="00857267">
      <w:pPr>
        <w:pStyle w:val="FootnoteText"/>
        <w:tabs>
          <w:tab w:val="clear" w:pos="425"/>
          <w:tab w:val="left" w:pos="567"/>
        </w:tabs>
        <w:ind w:left="567" w:hanging="567"/>
      </w:pPr>
      <w:r w:rsidRPr="001A7C6F">
        <w:footnoteRef/>
      </w:r>
      <w:r>
        <w:tab/>
      </w:r>
      <w:r w:rsidRPr="001A7C6F">
        <w:t xml:space="preserve">HELP was originally known as the Higher Education Contribution Scheme (HECS). </w:t>
      </w:r>
      <w:r>
        <w:t xml:space="preserve"> </w:t>
      </w:r>
      <w:r w:rsidRPr="001A7C6F">
        <w:t xml:space="preserve">All debts under HECS and other former loan schemes for higher education tuition costs became HELP </w:t>
      </w:r>
      <w:r>
        <w:t>loans</w:t>
      </w:r>
      <w:r w:rsidRPr="001A7C6F">
        <w:t xml:space="preserve"> in 200</w:t>
      </w:r>
      <w:r>
        <w:t>5</w:t>
      </w:r>
      <w:r w:rsidRPr="001A7C6F">
        <w:t>.</w:t>
      </w:r>
    </w:p>
  </w:footnote>
  <w:footnote w:id="3">
    <w:p w:rsidR="002F42D3" w:rsidRPr="001A7C6F" w:rsidRDefault="002F42D3" w:rsidP="00857267">
      <w:pPr>
        <w:pStyle w:val="FootnoteText"/>
        <w:tabs>
          <w:tab w:val="clear" w:pos="425"/>
          <w:tab w:val="left" w:pos="567"/>
        </w:tabs>
        <w:ind w:left="567" w:hanging="567"/>
      </w:pPr>
      <w:r w:rsidRPr="001A7C6F">
        <w:footnoteRef/>
      </w:r>
      <w:r>
        <w:tab/>
      </w:r>
      <w:r w:rsidRPr="00E743FC">
        <w:t xml:space="preserve">The remaining loan types are OS-HELP and SA-HELP, which together accounted for </w:t>
      </w:r>
      <w:r>
        <w:t>1.9</w:t>
      </w:r>
      <w:r w:rsidRPr="00E743FC">
        <w:t> per cent of HELP loans over the past decade.  OS-HELP</w:t>
      </w:r>
      <w:r>
        <w:t xml:space="preserve"> provides loans</w:t>
      </w:r>
      <w:r w:rsidRPr="00E743FC">
        <w:t xml:space="preserve"> for short periods of overseas study, and SA-HELP for student amenities fees to universities.</w:t>
      </w:r>
    </w:p>
  </w:footnote>
  <w:footnote w:id="4">
    <w:p w:rsidR="002F42D3" w:rsidRDefault="002F42D3" w:rsidP="00857267">
      <w:pPr>
        <w:pStyle w:val="FootnoteText"/>
        <w:tabs>
          <w:tab w:val="clear" w:pos="425"/>
          <w:tab w:val="left" w:pos="567"/>
        </w:tabs>
        <w:ind w:left="567" w:hanging="567"/>
      </w:pPr>
      <w:r>
        <w:rPr>
          <w:rStyle w:val="FootnoteReference"/>
        </w:rPr>
        <w:footnoteRef/>
      </w:r>
      <w:r>
        <w:t xml:space="preserve"> </w:t>
      </w:r>
      <w:r>
        <w:tab/>
        <w:t>These doubtful debts are written off when it is certain that they will not be repaid, mainly due to the death of the borrower.</w:t>
      </w:r>
    </w:p>
  </w:footnote>
  <w:footnote w:id="5">
    <w:p w:rsidR="002F42D3" w:rsidRDefault="002F42D3" w:rsidP="00857267">
      <w:pPr>
        <w:pStyle w:val="FootnoteText"/>
        <w:tabs>
          <w:tab w:val="clear" w:pos="425"/>
          <w:tab w:val="left" w:pos="567"/>
        </w:tabs>
        <w:ind w:left="567" w:hanging="567"/>
      </w:pPr>
      <w:r>
        <w:rPr>
          <w:rStyle w:val="FootnoteReference"/>
        </w:rPr>
        <w:footnoteRef/>
      </w:r>
      <w:r>
        <w:t xml:space="preserve"> </w:t>
      </w:r>
      <w:r>
        <w:tab/>
        <w:t xml:space="preserve">In 2015, the Government legislated </w:t>
      </w:r>
      <w:r>
        <w:rPr>
          <w:lang w:val="en"/>
        </w:rPr>
        <w:t>to create an overseas payment obligation for Australians living overseas with a HELP loan.</w:t>
      </w:r>
    </w:p>
  </w:footnote>
  <w:footnote w:id="6">
    <w:p w:rsidR="002F42D3" w:rsidRPr="00F125E3" w:rsidRDefault="002F42D3" w:rsidP="00857267">
      <w:pPr>
        <w:pStyle w:val="FootnoteText"/>
        <w:tabs>
          <w:tab w:val="clear" w:pos="425"/>
          <w:tab w:val="left" w:pos="567"/>
        </w:tabs>
        <w:ind w:left="567" w:hanging="567"/>
      </w:pPr>
      <w:r w:rsidRPr="00F125E3">
        <w:footnoteRef/>
      </w:r>
      <w:r>
        <w:tab/>
        <w:t>Pyne, C (Minister for Education) 2014, ‘</w:t>
      </w:r>
      <w:r w:rsidRPr="007F760D">
        <w:t>Building a world-class higher education system</w:t>
      </w:r>
      <w:r>
        <w:t>’</w:t>
      </w:r>
      <w:r w:rsidRPr="007F760D">
        <w:t>,</w:t>
      </w:r>
      <w:r>
        <w:t xml:space="preserve"> media release, 13 May, available at </w:t>
      </w:r>
      <w:hyperlink r:id="rId1" w:history="1">
        <w:r w:rsidRPr="007F760D">
          <w:rPr>
            <w:rStyle w:val="Hyperlink"/>
            <w:u w:val="none"/>
          </w:rPr>
          <w:t>http://ministers.education.gov.au/pyne/building-world-class-higher-education-system</w:t>
        </w:r>
      </w:hyperlink>
      <w:r>
        <w:t>.</w:t>
      </w:r>
    </w:p>
  </w:footnote>
  <w:footnote w:id="7">
    <w:p w:rsidR="002F42D3" w:rsidRPr="00E47398" w:rsidRDefault="002F42D3" w:rsidP="00857267">
      <w:pPr>
        <w:pStyle w:val="FootnoteText"/>
        <w:tabs>
          <w:tab w:val="clear" w:pos="425"/>
          <w:tab w:val="left" w:pos="567"/>
        </w:tabs>
        <w:ind w:left="567" w:hanging="567"/>
      </w:pPr>
      <w:r w:rsidRPr="00E47398">
        <w:footnoteRef/>
      </w:r>
      <w:r>
        <w:tab/>
      </w:r>
      <w:proofErr w:type="gramStart"/>
      <w:r>
        <w:t xml:space="preserve">Birmingham, S (Minister for Education and Training) 2015, Keynote Address presented at the Times Higher Education World Academic Summit, Melbourne, 1 October, available at </w:t>
      </w:r>
      <w:hyperlink r:id="rId2" w:history="1">
        <w:r w:rsidRPr="007F760D">
          <w:rPr>
            <w:rStyle w:val="Hyperlink"/>
            <w:u w:val="none"/>
          </w:rPr>
          <w:t>http://ministers.education.gov.au/birmingham/keynote-address-times-higher-education-world-academic-summit</w:t>
        </w:r>
      </w:hyperlink>
      <w:r w:rsidRPr="007F760D">
        <w:t>.</w:t>
      </w:r>
      <w:proofErr w:type="gramEnd"/>
    </w:p>
  </w:footnote>
  <w:footnote w:id="8">
    <w:p w:rsidR="002F42D3" w:rsidRPr="00A358D0" w:rsidRDefault="002F42D3" w:rsidP="00857267">
      <w:pPr>
        <w:pStyle w:val="FootnoteText"/>
        <w:tabs>
          <w:tab w:val="clear" w:pos="425"/>
          <w:tab w:val="left" w:pos="567"/>
        </w:tabs>
        <w:ind w:left="567" w:hanging="567"/>
      </w:pPr>
      <w:r w:rsidRPr="00A358D0">
        <w:footnoteRef/>
      </w:r>
      <w:r>
        <w:tab/>
        <w:t>Total doubtful debt and interest subsidy costs for a new HELP loan are estimated with a present value calculation, which</w:t>
      </w:r>
      <w:r w:rsidRPr="00A358D0">
        <w:t xml:space="preserve"> discounts the projected future cash flows of </w:t>
      </w:r>
      <w:r>
        <w:t>the</w:t>
      </w:r>
      <w:r w:rsidRPr="00A358D0">
        <w:t xml:space="preserve"> loan back to the year the loan</w:t>
      </w:r>
      <w:r>
        <w:t xml:space="preserve"> is issued</w:t>
      </w:r>
      <w:r w:rsidRPr="00A358D0">
        <w:t>.</w:t>
      </w:r>
      <w:r>
        <w:t xml:space="preserve">  These estimates are updated in subsequent years to reflect new information relating to projected repayments, inflation and interest rates.</w:t>
      </w:r>
    </w:p>
  </w:footnote>
  <w:footnote w:id="9">
    <w:p w:rsidR="002F42D3" w:rsidRPr="00D3392D" w:rsidRDefault="002F42D3" w:rsidP="00857267">
      <w:pPr>
        <w:pStyle w:val="FootnoteText"/>
        <w:tabs>
          <w:tab w:val="clear" w:pos="425"/>
          <w:tab w:val="left" w:pos="567"/>
        </w:tabs>
        <w:ind w:left="567" w:hanging="567"/>
      </w:pPr>
      <w:r w:rsidRPr="00D3392D">
        <w:footnoteRef/>
      </w:r>
      <w:r>
        <w:tab/>
        <w:t xml:space="preserve">See the Australian Accounting Standard: </w:t>
      </w:r>
      <w:r>
        <w:rPr>
          <w:i/>
        </w:rPr>
        <w:t>AASB1049 Whole of Government and General Government Sector Financial Reporting</w:t>
      </w:r>
      <w:r>
        <w:t xml:space="preserve">.  </w:t>
      </w:r>
      <w:proofErr w:type="gramStart"/>
      <w:r>
        <w:t xml:space="preserve">Available at </w:t>
      </w:r>
      <w:hyperlink r:id="rId3" w:history="1">
        <w:r>
          <w:rPr>
            <w:rStyle w:val="Hyperlink"/>
          </w:rPr>
          <w:t>http://www.aasb.gov.au/</w:t>
        </w:r>
      </w:hyperlink>
      <w:r>
        <w:t>.</w:t>
      </w:r>
      <w:proofErr w:type="gramEnd"/>
    </w:p>
  </w:footnote>
  <w:footnote w:id="10">
    <w:p w:rsidR="002F42D3" w:rsidRPr="00000DAD" w:rsidRDefault="002F42D3" w:rsidP="00857267">
      <w:pPr>
        <w:pStyle w:val="FootnoteText"/>
        <w:tabs>
          <w:tab w:val="clear" w:pos="425"/>
          <w:tab w:val="left" w:pos="567"/>
        </w:tabs>
        <w:ind w:left="567" w:hanging="567"/>
      </w:pPr>
      <w:r w:rsidRPr="00000DAD">
        <w:footnoteRef/>
      </w:r>
      <w:r>
        <w:tab/>
      </w:r>
      <w:r w:rsidRPr="00000DAD">
        <w:t xml:space="preserve">The financial impacts of HELP are also reflected in the financial statements of the Department of Education and Training, but </w:t>
      </w:r>
      <w:r>
        <w:t xml:space="preserve">do not include public debt interest costs and </w:t>
      </w:r>
      <w:r w:rsidRPr="00000DAD">
        <w:t>are not separately identified from the impacts of other loan programmes administered by the Department.</w:t>
      </w:r>
    </w:p>
  </w:footnote>
  <w:footnote w:id="11">
    <w:p w:rsidR="002F42D3" w:rsidRDefault="002F42D3" w:rsidP="00857267">
      <w:pPr>
        <w:pStyle w:val="FootnoteText"/>
        <w:tabs>
          <w:tab w:val="clear" w:pos="425"/>
          <w:tab w:val="left" w:pos="567"/>
        </w:tabs>
        <w:ind w:left="567" w:hanging="567"/>
      </w:pPr>
      <w:r w:rsidRPr="0032561F">
        <w:rPr>
          <w:rStyle w:val="FootnoteReference"/>
          <w:vertAlign w:val="baseline"/>
        </w:rPr>
        <w:footnoteRef/>
      </w:r>
      <w:r w:rsidRPr="0032561F">
        <w:t xml:space="preserve"> </w:t>
      </w:r>
      <w:r w:rsidRPr="0032561F">
        <w:tab/>
        <w:t xml:space="preserve">Write-downs </w:t>
      </w:r>
      <w:r>
        <w:t>are expensed in fiscal balance terms but are only a small component of</w:t>
      </w:r>
      <w:r w:rsidRPr="0032561F">
        <w:t xml:space="preserve"> doubtful debt costs, as </w:t>
      </w:r>
      <w:r>
        <w:t>they</w:t>
      </w:r>
      <w:r w:rsidRPr="0032561F">
        <w:t xml:space="preserve"> only occur when non</w:t>
      </w:r>
      <w:r>
        <w:t xml:space="preserve"> </w:t>
      </w:r>
      <w:r w:rsidRPr="0032561F">
        <w:t xml:space="preserve">repayment is certain due to the death of a borrower. </w:t>
      </w:r>
      <w:r>
        <w:t xml:space="preserve"> </w:t>
      </w:r>
      <w:r w:rsidRPr="0032561F">
        <w:t>Write-downs are projected to be $5</w:t>
      </w:r>
      <w:r>
        <w:t>4</w:t>
      </w:r>
      <w:r w:rsidRPr="0032561F">
        <w:t xml:space="preserve"> million in </w:t>
      </w:r>
      <w:r>
        <w:t>2025–26</w:t>
      </w:r>
      <w:r w:rsidRPr="0032561F">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2D3" w:rsidRDefault="002F42D3">
    <w:pPr>
      <w:pStyle w:val="Header"/>
    </w:pPr>
    <w:r>
      <w:rPr>
        <w:noProof/>
        <w:lang w:eastAsia="en-AU"/>
      </w:rPr>
      <mc:AlternateContent>
        <mc:Choice Requires="wps">
          <w:drawing>
            <wp:anchor distT="0" distB="0" distL="114300" distR="114300" simplePos="0" relativeHeight="251663360" behindDoc="1" locked="1" layoutInCell="1" allowOverlap="1" wp14:anchorId="417B9665" wp14:editId="3D4565DA">
              <wp:simplePos x="0" y="0"/>
              <wp:positionH relativeFrom="page">
                <wp:align>center</wp:align>
              </wp:positionH>
              <wp:positionV relativeFrom="page">
                <wp:align>center</wp:align>
              </wp:positionV>
              <wp:extent cx="7560000" cy="1796400"/>
              <wp:effectExtent l="0" t="0" r="0" b="0"/>
              <wp:wrapNone/>
              <wp:docPr id="2"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42D3" w:rsidRPr="0001226A" w:rsidRDefault="002F42D3"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7" o:spid="_x0000_s1027" type="#_x0000_t202" style="position:absolute;margin-left:0;margin-top:0;width:595.3pt;height:141.45pt;z-index:-25165312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" filled="f" stroked="f">
              <v:textbox>
                <w:txbxContent>
                  <w:p w:rsidR="002F42D3" w:rsidRPr="0001226A" w:rsidRDefault="002F42D3"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v:textbox>
              <w10:wrap anchorx="page" anchory="page"/>
              <w10:anchorlock/>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2D3" w:rsidRDefault="002F42D3">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2D3" w:rsidRDefault="002F42D3">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2D3" w:rsidRDefault="002F42D3">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2D3" w:rsidRDefault="002F42D3">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2D3" w:rsidRDefault="002F42D3">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2D3" w:rsidRDefault="002F42D3">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2D3" w:rsidRDefault="002F42D3" w:rsidP="00124AEE">
    <w:pPr>
      <w:pStyle w:val="Header"/>
    </w:pPr>
  </w:p>
  <w:p w:rsidR="002F42D3" w:rsidRPr="00124AEE" w:rsidRDefault="002F42D3" w:rsidP="00124AEE">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2D3" w:rsidRDefault="002F42D3" w:rsidP="00124AEE">
    <w:pPr>
      <w:pStyle w:val="Header"/>
    </w:pPr>
  </w:p>
  <w:p w:rsidR="002F42D3" w:rsidRPr="00124AEE" w:rsidRDefault="002F42D3" w:rsidP="00124AEE">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2D3" w:rsidRDefault="002F42D3">
    <w:pPr>
      <w:pStyle w:val="Header"/>
    </w:pPr>
    <w:r>
      <w:rPr>
        <w:noProof/>
        <w:lang w:eastAsia="en-AU"/>
      </w:rPr>
      <w:drawing>
        <wp:anchor distT="0" distB="0" distL="114300" distR="114300" simplePos="0" relativeHeight="251681792" behindDoc="1" locked="0" layoutInCell="1" allowOverlap="1" wp14:anchorId="03BC76C8" wp14:editId="7025820A">
          <wp:simplePos x="0" y="0"/>
          <wp:positionH relativeFrom="page">
            <wp:posOffset>0</wp:posOffset>
          </wp:positionH>
          <wp:positionV relativeFrom="page">
            <wp:posOffset>0</wp:posOffset>
          </wp:positionV>
          <wp:extent cx="7563600" cy="10695600"/>
          <wp:effectExtent l="0" t="0" r="0" b="0"/>
          <wp:wrapNone/>
          <wp:docPr id="9" name="Picture 9" descr="Background image" title="Backgr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56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80768" behindDoc="1" locked="1" layoutInCell="1" allowOverlap="1" wp14:anchorId="69FA99FD" wp14:editId="4DF26F61">
              <wp:simplePos x="0" y="0"/>
              <wp:positionH relativeFrom="page">
                <wp:align>center</wp:align>
              </wp:positionH>
              <wp:positionV relativeFrom="page">
                <wp:align>center</wp:align>
              </wp:positionV>
              <wp:extent cx="7560000" cy="1796400"/>
              <wp:effectExtent l="0" t="0" r="0" b="0"/>
              <wp:wrapNone/>
              <wp:docPr id="18"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42D3" w:rsidRPr="0001226A" w:rsidRDefault="002F42D3"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0;margin-top:0;width:595.3pt;height:141.45pt;z-index:-25163571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O4plB26AgAA&#10;xAUAAA4AAAAAAAAAAAAAAAAALgIAAGRycy9lMm9Eb2MueG1sUEsBAi0AFAAGAAgAAAAhADTFRM7b&#10;AAAABgEAAA8AAAAAAAAAAAAAAAAAFAUAAGRycy9kb3ducmV2LnhtbFBLBQYAAAAABAAEAPMAAAAc&#10;BgAAAAA=&#10;" filled="f" stroked="f">
              <v:textbox>
                <w:txbxContent>
                  <w:p w:rsidR="002F42D3" w:rsidRPr="0001226A" w:rsidRDefault="002F42D3"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v:textbox>
              <w10:wrap anchorx="page" anchory="page"/>
              <w10:anchorlock/>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2D3" w:rsidRDefault="002F42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2D3" w:rsidRDefault="002F42D3">
    <w:pPr>
      <w:pStyle w:val="Header"/>
    </w:pPr>
    <w:r>
      <w:rPr>
        <w:noProof/>
        <w:lang w:eastAsia="en-AU"/>
      </w:rPr>
      <mc:AlternateContent>
        <mc:Choice Requires="wps">
          <w:drawing>
            <wp:anchor distT="0" distB="0" distL="114300" distR="114300" simplePos="0" relativeHeight="251665408" behindDoc="1" locked="1" layoutInCell="1" allowOverlap="1" wp14:anchorId="49F1DDE3" wp14:editId="5EDA22BB">
              <wp:simplePos x="0" y="0"/>
              <wp:positionH relativeFrom="page">
                <wp:align>center</wp:align>
              </wp:positionH>
              <wp:positionV relativeFrom="page">
                <wp:align>center</wp:align>
              </wp:positionV>
              <wp:extent cx="7560000" cy="1796400"/>
              <wp:effectExtent l="0" t="0" r="0" b="0"/>
              <wp:wrapNone/>
              <wp:docPr id="3"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42D3" w:rsidRPr="0001226A" w:rsidRDefault="002F42D3"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0;margin-top:0;width:595.3pt;height:141.45pt;z-index:-25165107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IeAB0W6AgAA&#10;wwUAAA4AAAAAAAAAAAAAAAAALgIAAGRycy9lMm9Eb2MueG1sUEsBAi0AFAAGAAgAAAAhADTFRM7b&#10;AAAABgEAAA8AAAAAAAAAAAAAAAAAFAUAAGRycy9kb3ducmV2LnhtbFBLBQYAAAAABAAEAPMAAAAc&#10;BgAAAAA=&#10;" filled="f" stroked="f">
              <v:textbox>
                <w:txbxContent>
                  <w:p w:rsidR="002F42D3" w:rsidRPr="0001226A" w:rsidRDefault="002F42D3"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v:textbox>
              <w10:wrap anchorx="page" anchory="page"/>
              <w10:anchorlock/>
            </v:shap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2D3" w:rsidRDefault="002F42D3">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2D3" w:rsidRDefault="00A749E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6" type="#_x0000_t136" style="position:absolute;margin-left:0;margin-top:0;width:502.2pt;height:83.7pt;rotation:315;z-index:-251568128;mso-position-horizontal:center;mso-position-horizontal-relative:margin;mso-position-vertical:center;mso-position-vertical-relative:margin" o:allowincell="f" fillcolor="silver" stroked="f">
          <v:fill opacity=".5"/>
          <v:textpath style="font-family:&quot;Calibri&quot;;font-size:1pt" string="DRAFT - CONFIDENTIAL"/>
          <w10:wrap anchorx="margin" anchory="margin"/>
        </v:shape>
      </w:pict>
    </w:r>
    <w:r w:rsidR="002F42D3">
      <w:rPr>
        <w:noProof/>
        <w:lang w:eastAsia="en-AU"/>
      </w:rPr>
      <w:drawing>
        <wp:anchor distT="0" distB="0" distL="114300" distR="114300" simplePos="0" relativeHeight="251747328" behindDoc="1" locked="0" layoutInCell="1" allowOverlap="1" wp14:anchorId="011682C6" wp14:editId="57A38EC4">
          <wp:simplePos x="0" y="0"/>
          <wp:positionH relativeFrom="page">
            <wp:posOffset>0</wp:posOffset>
          </wp:positionH>
          <wp:positionV relativeFrom="page">
            <wp:posOffset>0</wp:posOffset>
          </wp:positionV>
          <wp:extent cx="7563600" cy="10695600"/>
          <wp:effectExtent l="0" t="0" r="0" b="0"/>
          <wp:wrapNone/>
          <wp:docPr id="13" name="Picture 13" descr="Background image" title="Backgr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5600"/>
                  </a:xfrm>
                  <a:prstGeom prst="rect">
                    <a:avLst/>
                  </a:prstGeom>
                </pic:spPr>
              </pic:pic>
            </a:graphicData>
          </a:graphic>
          <wp14:sizeRelH relativeFrom="page">
            <wp14:pctWidth>0</wp14:pctWidth>
          </wp14:sizeRelH>
          <wp14:sizeRelV relativeFrom="page">
            <wp14:pctHeight>0</wp14:pctHeight>
          </wp14:sizeRelV>
        </wp:anchor>
      </w:drawing>
    </w:r>
    <w:r w:rsidR="002F42D3">
      <w:rPr>
        <w:noProof/>
        <w:lang w:eastAsia="en-AU"/>
      </w:rPr>
      <mc:AlternateContent>
        <mc:Choice Requires="wps">
          <w:drawing>
            <wp:anchor distT="0" distB="0" distL="114300" distR="114300" simplePos="0" relativeHeight="251746304" behindDoc="1" locked="1" layoutInCell="1" allowOverlap="1" wp14:anchorId="38A8CED2" wp14:editId="3F131685">
              <wp:simplePos x="0" y="0"/>
              <wp:positionH relativeFrom="page">
                <wp:align>center</wp:align>
              </wp:positionH>
              <wp:positionV relativeFrom="page">
                <wp:align>center</wp:align>
              </wp:positionV>
              <wp:extent cx="7560000" cy="1796400"/>
              <wp:effectExtent l="0" t="0" r="0" b="0"/>
              <wp:wrapNone/>
              <wp:docPr id="12"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42D3" w:rsidRPr="0001226A" w:rsidRDefault="002F42D3"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0;margin-top:0;width:595.3pt;height:141.45pt;z-index:-25157017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NQpNYK6AgAA&#10;xAUAAA4AAAAAAAAAAAAAAAAALgIAAGRycy9lMm9Eb2MueG1sUEsBAi0AFAAGAAgAAAAhADTFRM7b&#10;AAAABgEAAA8AAAAAAAAAAAAAAAAAFAUAAGRycy9kb3ducmV2LnhtbFBLBQYAAAAABAAEAPMAAAAc&#10;BgAAAAA=&#10;" filled="f" stroked="f">
              <v:textbox>
                <w:txbxContent>
                  <w:p w:rsidR="002F42D3" w:rsidRPr="0001226A" w:rsidRDefault="002F42D3"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v:textbox>
              <w10:wrap anchorx="page" anchory="page"/>
              <w10:anchorlock/>
            </v:shape>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2D3" w:rsidRDefault="002F42D3">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2D3" w:rsidRDefault="002F42D3">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2D3" w:rsidRDefault="00A749E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9" type="#_x0000_t136" style="position:absolute;margin-left:0;margin-top:0;width:502.2pt;height:83.7pt;rotation:315;z-index:-251559936;mso-position-horizontal:center;mso-position-horizontal-relative:margin;mso-position-vertical:center;mso-position-vertical-relative:margin" o:allowincell="f" fillcolor="silver" stroked="f">
          <v:fill opacity=".5"/>
          <v:textpath style="font-family:&quot;Calibri&quot;;font-size:1pt" string="DRAFT - CONFIDENTIAL"/>
          <w10:wrap anchorx="margin" anchory="margin"/>
        </v:shape>
      </w:pict>
    </w:r>
    <w:r w:rsidR="002F42D3">
      <w:rPr>
        <w:noProof/>
        <w:lang w:eastAsia="en-AU"/>
      </w:rPr>
      <w:drawing>
        <wp:anchor distT="0" distB="0" distL="114300" distR="114300" simplePos="0" relativeHeight="251755520" behindDoc="1" locked="0" layoutInCell="1" allowOverlap="1" wp14:anchorId="0B5B75B6" wp14:editId="4EBF8EC0">
          <wp:simplePos x="0" y="0"/>
          <wp:positionH relativeFrom="page">
            <wp:posOffset>0</wp:posOffset>
          </wp:positionH>
          <wp:positionV relativeFrom="page">
            <wp:posOffset>0</wp:posOffset>
          </wp:positionV>
          <wp:extent cx="7563600" cy="10695600"/>
          <wp:effectExtent l="0" t="0" r="0" b="0"/>
          <wp:wrapNone/>
          <wp:docPr id="15" name="Picture 15" descr="Background image" title="Backgr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5600"/>
                  </a:xfrm>
                  <a:prstGeom prst="rect">
                    <a:avLst/>
                  </a:prstGeom>
                </pic:spPr>
              </pic:pic>
            </a:graphicData>
          </a:graphic>
          <wp14:sizeRelH relativeFrom="page">
            <wp14:pctWidth>0</wp14:pctWidth>
          </wp14:sizeRelH>
          <wp14:sizeRelV relativeFrom="page">
            <wp14:pctHeight>0</wp14:pctHeight>
          </wp14:sizeRelV>
        </wp:anchor>
      </w:drawing>
    </w:r>
    <w:r w:rsidR="002F42D3">
      <w:rPr>
        <w:noProof/>
        <w:lang w:eastAsia="en-AU"/>
      </w:rPr>
      <mc:AlternateContent>
        <mc:Choice Requires="wps">
          <w:drawing>
            <wp:anchor distT="0" distB="0" distL="114300" distR="114300" simplePos="0" relativeHeight="251754496" behindDoc="1" locked="1" layoutInCell="1" allowOverlap="1" wp14:anchorId="4AFCDB0D" wp14:editId="616C618E">
              <wp:simplePos x="0" y="0"/>
              <wp:positionH relativeFrom="page">
                <wp:align>center</wp:align>
              </wp:positionH>
              <wp:positionV relativeFrom="page">
                <wp:align>center</wp:align>
              </wp:positionV>
              <wp:extent cx="7560000" cy="1796400"/>
              <wp:effectExtent l="0" t="0" r="0" b="0"/>
              <wp:wrapNone/>
              <wp:docPr id="14"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42D3" w:rsidRPr="0001226A" w:rsidRDefault="002F42D3"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0;margin-top:0;width:595.3pt;height:141.45pt;z-index:-25156198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APGl0K6AgAA&#10;xAUAAA4AAAAAAAAAAAAAAAAALgIAAGRycy9lMm9Eb2MueG1sUEsBAi0AFAAGAAgAAAAhADTFRM7b&#10;AAAABgEAAA8AAAAAAAAAAAAAAAAAFAUAAGRycy9kb3ducmV2LnhtbFBLBQYAAAAABAAEAPMAAAAc&#10;BgAAAAA=&#10;" filled="f" stroked="f">
              <v:textbox>
                <w:txbxContent>
                  <w:p w:rsidR="002F42D3" w:rsidRPr="0001226A" w:rsidRDefault="002F42D3"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v:textbox>
              <w10:wrap anchorx="page" anchory="page"/>
              <w10:anchorlock/>
            </v:shape>
          </w:pict>
        </mc:Fallback>
      </mc:AlternateConten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2D3" w:rsidRDefault="002F42D3">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2D3" w:rsidRDefault="002F42D3">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2D3" w:rsidRDefault="002F42D3">
    <w:pPr>
      <w:pStyle w:val="Header"/>
    </w:pPr>
    <w:r>
      <w:rPr>
        <w:noProof/>
        <w:lang w:eastAsia="en-AU"/>
      </w:rPr>
      <w:drawing>
        <wp:anchor distT="0" distB="0" distL="114300" distR="114300" simplePos="0" relativeHeight="251688960" behindDoc="1" locked="0" layoutInCell="1" allowOverlap="1" wp14:anchorId="1BE4B5CA" wp14:editId="301ECB05">
          <wp:simplePos x="0" y="0"/>
          <wp:positionH relativeFrom="page">
            <wp:posOffset>0</wp:posOffset>
          </wp:positionH>
          <wp:positionV relativeFrom="page">
            <wp:posOffset>0</wp:posOffset>
          </wp:positionV>
          <wp:extent cx="7563600" cy="10695600"/>
          <wp:effectExtent l="0" t="0" r="0" b="0"/>
          <wp:wrapNone/>
          <wp:docPr id="23" name="Picture 23" descr="Background image" title="Backgr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56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87936" behindDoc="1" locked="1" layoutInCell="1" allowOverlap="1" wp14:anchorId="285F40FB" wp14:editId="694C9F91">
              <wp:simplePos x="0" y="0"/>
              <wp:positionH relativeFrom="page">
                <wp:align>center</wp:align>
              </wp:positionH>
              <wp:positionV relativeFrom="page">
                <wp:align>center</wp:align>
              </wp:positionV>
              <wp:extent cx="7560000" cy="1796400"/>
              <wp:effectExtent l="0" t="0" r="0" b="0"/>
              <wp:wrapNone/>
              <wp:docPr id="22"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42D3" w:rsidRPr="0001226A" w:rsidRDefault="002F42D3"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0;margin-top:0;width:595.3pt;height:141.45pt;z-index:-25162854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Ow9sjG6AgAA&#10;xAUAAA4AAAAAAAAAAAAAAAAALgIAAGRycy9lMm9Eb2MueG1sUEsBAi0AFAAGAAgAAAAhADTFRM7b&#10;AAAABgEAAA8AAAAAAAAAAAAAAAAAFAUAAGRycy9kb3ducmV2LnhtbFBLBQYAAAAABAAEAPMAAAAc&#10;BgAAAAA=&#10;" filled="f" stroked="f">
              <v:textbox>
                <w:txbxContent>
                  <w:p w:rsidR="002F42D3" w:rsidRPr="0001226A" w:rsidRDefault="002F42D3"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v:textbox>
              <w10:wrap anchorx="page" anchory="page"/>
              <w10:anchorlock/>
            </v:shape>
          </w:pict>
        </mc:Fallback>
      </mc:AlternateConten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2D3" w:rsidRDefault="002F42D3">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2D3" w:rsidRDefault="002F42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2D3" w:rsidRDefault="002F42D3">
    <w:pPr>
      <w:pStyle w:val="Header"/>
    </w:pPr>
    <w:r>
      <w:rPr>
        <w:noProof/>
        <w:lang w:eastAsia="en-AU"/>
      </w:rPr>
      <w:drawing>
        <wp:anchor distT="0" distB="0" distL="114300" distR="114300" simplePos="0" relativeHeight="251674624" behindDoc="1" locked="0" layoutInCell="1" allowOverlap="1" wp14:anchorId="45F1D5BF" wp14:editId="69A1C9F7">
          <wp:simplePos x="0" y="0"/>
          <wp:positionH relativeFrom="page">
            <wp:posOffset>0</wp:posOffset>
          </wp:positionH>
          <wp:positionV relativeFrom="page">
            <wp:posOffset>0</wp:posOffset>
          </wp:positionV>
          <wp:extent cx="7563600" cy="10695600"/>
          <wp:effectExtent l="0" t="0" r="0" b="0"/>
          <wp:wrapNone/>
          <wp:docPr id="10" name="Picture 10" descr="Background image" title="Backgr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56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61312" behindDoc="1" locked="1" layoutInCell="1" allowOverlap="1" wp14:anchorId="7ECDF0CD" wp14:editId="3D9BF424">
              <wp:simplePos x="0" y="0"/>
              <wp:positionH relativeFrom="page">
                <wp:align>center</wp:align>
              </wp:positionH>
              <wp:positionV relativeFrom="page">
                <wp:align>center</wp:align>
              </wp:positionV>
              <wp:extent cx="7560000" cy="1796400"/>
              <wp:effectExtent l="0" t="0" r="0" b="0"/>
              <wp:wrapNone/>
              <wp:docPr id="6"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42D3" w:rsidRPr="0001226A" w:rsidRDefault="002F42D3"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0;margin-top:0;width:595.3pt;height:141.45pt;z-index:-25165516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Gtyw5K6AgAA&#10;wwUAAA4AAAAAAAAAAAAAAAAALgIAAGRycy9lMm9Eb2MueG1sUEsBAi0AFAAGAAgAAAAhADTFRM7b&#10;AAAABgEAAA8AAAAAAAAAAAAAAAAAFAUAAGRycy9kb3ducmV2LnhtbFBLBQYAAAAABAAEAPMAAAAc&#10;BgAAAAA=&#10;" filled="f" stroked="f">
              <v:textbox>
                <w:txbxContent>
                  <w:p w:rsidR="002F42D3" w:rsidRPr="0001226A" w:rsidRDefault="002F42D3"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v:textbox>
              <w10:wrap anchorx="page" anchory="page"/>
              <w10:anchorlock/>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2D3" w:rsidRDefault="002F42D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2D3" w:rsidRDefault="002F42D3">
    <w:pPr>
      <w:pStyle w:val="Header"/>
    </w:pPr>
    <w:r>
      <w:rPr>
        <w:noProof/>
        <w:lang w:eastAsia="en-AU"/>
      </w:rPr>
      <mc:AlternateContent>
        <mc:Choice Requires="wps">
          <w:drawing>
            <wp:anchor distT="0" distB="0" distL="114300" distR="114300" simplePos="0" relativeHeight="251669504" behindDoc="1" locked="1" layoutInCell="1" allowOverlap="1" wp14:anchorId="5CEADF55" wp14:editId="398694B3">
              <wp:simplePos x="0" y="0"/>
              <wp:positionH relativeFrom="page">
                <wp:align>center</wp:align>
              </wp:positionH>
              <wp:positionV relativeFrom="page">
                <wp:align>center</wp:align>
              </wp:positionV>
              <wp:extent cx="7560000" cy="1796400"/>
              <wp:effectExtent l="0" t="0" r="0" b="0"/>
              <wp:wrapNone/>
              <wp:docPr id="5"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42D3" w:rsidRPr="0001226A" w:rsidRDefault="002F42D3"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0;margin-top:0;width:595.3pt;height:141.45pt;z-index:-25164697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" filled="f" stroked="f">
              <v:textbox>
                <w:txbxContent>
                  <w:p w:rsidR="002F42D3" w:rsidRPr="0001226A" w:rsidRDefault="002F42D3"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v:textbox>
              <w10:wrap anchorx="page" anchory="page"/>
              <w10:anchorlock/>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2D3" w:rsidRDefault="002F42D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2D3" w:rsidRDefault="002F42D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2D3" w:rsidRDefault="002F42D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2D3" w:rsidRDefault="002F42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18303A82"/>
    <w:lvl w:ilvl="0">
      <w:start w:val="1"/>
      <w:numFmt w:val="decimal"/>
      <w:lvlText w:val="%1."/>
      <w:lvlJc w:val="left"/>
      <w:pPr>
        <w:tabs>
          <w:tab w:val="num" w:pos="926"/>
        </w:tabs>
        <w:ind w:left="926" w:hanging="360"/>
      </w:pPr>
    </w:lvl>
  </w:abstractNum>
  <w:abstractNum w:abstractNumId="1">
    <w:nsid w:val="FFFFFF7F"/>
    <w:multiLevelType w:val="singleLevel"/>
    <w:tmpl w:val="4EB87814"/>
    <w:lvl w:ilvl="0">
      <w:start w:val="1"/>
      <w:numFmt w:val="decimal"/>
      <w:lvlText w:val="%1."/>
      <w:lvlJc w:val="left"/>
      <w:pPr>
        <w:tabs>
          <w:tab w:val="num" w:pos="643"/>
        </w:tabs>
        <w:ind w:left="643" w:hanging="360"/>
      </w:pPr>
    </w:lvl>
  </w:abstractNum>
  <w:abstractNum w:abstractNumId="2">
    <w:nsid w:val="FFFFFF82"/>
    <w:multiLevelType w:val="singleLevel"/>
    <w:tmpl w:val="37844A86"/>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6E30B580"/>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EFB6BBE4"/>
    <w:lvl w:ilvl="0">
      <w:start w:val="1"/>
      <w:numFmt w:val="decimal"/>
      <w:lvlText w:val="%1."/>
      <w:lvlJc w:val="left"/>
      <w:pPr>
        <w:tabs>
          <w:tab w:val="num" w:pos="360"/>
        </w:tabs>
        <w:ind w:left="360" w:hanging="360"/>
      </w:pPr>
    </w:lvl>
  </w:abstractNum>
  <w:abstractNum w:abstractNumId="5">
    <w:nsid w:val="FFFFFF89"/>
    <w:multiLevelType w:val="singleLevel"/>
    <w:tmpl w:val="01905BD0"/>
    <w:lvl w:ilvl="0">
      <w:start w:val="1"/>
      <w:numFmt w:val="bullet"/>
      <w:lvlText w:val=""/>
      <w:lvlJc w:val="left"/>
      <w:pPr>
        <w:tabs>
          <w:tab w:val="num" w:pos="360"/>
        </w:tabs>
        <w:ind w:left="360" w:hanging="360"/>
      </w:pPr>
      <w:rPr>
        <w:rFonts w:ascii="Symbol" w:hAnsi="Symbol" w:hint="default"/>
      </w:rPr>
    </w:lvl>
  </w:abstractNum>
  <w:abstractNum w:abstractNumId="6">
    <w:nsid w:val="0445728A"/>
    <w:multiLevelType w:val="hybridMultilevel"/>
    <w:tmpl w:val="D45E9152"/>
    <w:name w:val="AppendicesNumbering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68B37FE"/>
    <w:multiLevelType w:val="multilevel"/>
    <w:tmpl w:val="D1A2BED4"/>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8">
    <w:nsid w:val="0D745448"/>
    <w:multiLevelType w:val="multilevel"/>
    <w:tmpl w:val="CABC0242"/>
    <w:name w:val="PBOHeadings"/>
    <w:lvl w:ilvl="0">
      <w:start w:val="1"/>
      <w:numFmt w:val="decimal"/>
      <w:pStyle w:val="Heading1"/>
      <w:lvlText w:val="%1"/>
      <w:lvlJc w:val="left"/>
      <w:pPr>
        <w:ind w:left="765" w:hanging="765"/>
      </w:pPr>
      <w:rPr>
        <w:rFonts w:hint="default"/>
      </w:rPr>
    </w:lvl>
    <w:lvl w:ilvl="1">
      <w:start w:val="1"/>
      <w:numFmt w:val="decimal"/>
      <w:pStyle w:val="Heading2"/>
      <w:lvlText w:val="%1.%2"/>
      <w:lvlJc w:val="left"/>
      <w:pPr>
        <w:ind w:left="765" w:hanging="765"/>
      </w:pPr>
      <w:rPr>
        <w:rFonts w:hint="default"/>
      </w:rPr>
    </w:lvl>
    <w:lvl w:ilvl="2">
      <w:start w:val="1"/>
      <w:numFmt w:val="decimal"/>
      <w:pStyle w:val="Heading3"/>
      <w:lvlText w:val="%1.%2.%3"/>
      <w:lvlJc w:val="left"/>
      <w:pPr>
        <w:ind w:left="765" w:hanging="765"/>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9">
    <w:nsid w:val="0FB2573F"/>
    <w:multiLevelType w:val="multilevel"/>
    <w:tmpl w:val="93FEDA8E"/>
    <w:name w:val="TableFootnotes"/>
    <w:lvl w:ilvl="0">
      <w:start w:val="1"/>
      <w:numFmt w:val="decimal"/>
      <w:pStyle w:val="TableFootnotes"/>
      <w:lvlText w:val="%1"/>
      <w:lvlJc w:val="left"/>
      <w:pPr>
        <w:ind w:left="227" w:hanging="227"/>
      </w:pPr>
      <w:rPr>
        <w:rFonts w:hint="default"/>
        <w:color w:val="788184" w:themeColor="background2"/>
        <w:spacing w:val="0"/>
        <w:sz w:val="20"/>
        <w:vertAlign w:val="superscript"/>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10">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1">
    <w:nsid w:val="22D045EF"/>
    <w:multiLevelType w:val="multilevel"/>
    <w:tmpl w:val="D34CA962"/>
    <w:lvl w:ilvl="0">
      <w:start w:val="1"/>
      <w:numFmt w:val="bullet"/>
      <w:lvlText w:val=""/>
      <w:lvlJc w:val="left"/>
      <w:pPr>
        <w:tabs>
          <w:tab w:val="num" w:pos="340"/>
        </w:tabs>
        <w:ind w:left="340" w:hanging="340"/>
      </w:pPr>
      <w:rPr>
        <w:rFonts w:ascii="Symbol" w:hAnsi="Symbol" w:hint="default"/>
        <w:b w:val="0"/>
        <w:i w:val="0"/>
        <w:color w:val="auto"/>
        <w:position w:val="2"/>
        <w:sz w:val="16"/>
      </w:rPr>
    </w:lvl>
    <w:lvl w:ilvl="1">
      <w:start w:val="1"/>
      <w:numFmt w:val="bullet"/>
      <w:lvlText w:val=""/>
      <w:lvlJc w:val="left"/>
      <w:pPr>
        <w:tabs>
          <w:tab w:val="num" w:pos="851"/>
        </w:tabs>
        <w:ind w:left="851" w:hanging="426"/>
      </w:pPr>
      <w:rPr>
        <w:rFonts w:ascii="Webdings" w:hAnsi="Webdings" w:hint="default"/>
        <w:b w:val="0"/>
        <w:i w:val="0"/>
        <w:color w:val="auto"/>
        <w:position w:val="2"/>
        <w:sz w:val="18"/>
      </w:rPr>
    </w:lvl>
    <w:lvl w:ilvl="2">
      <w:start w:val="1"/>
      <w:numFmt w:val="bullet"/>
      <w:lvlText w:val="–"/>
      <w:lvlJc w:val="left"/>
      <w:pPr>
        <w:tabs>
          <w:tab w:val="num" w:pos="1276"/>
        </w:tabs>
        <w:ind w:left="1276" w:hanging="425"/>
      </w:pPr>
      <w:rPr>
        <w:rFonts w:ascii="Arial" w:hAnsi="Arial" w:hint="default"/>
        <w:b w:val="0"/>
        <w:i w:val="0"/>
        <w:spacing w:val="0"/>
        <w:w w:val="100"/>
        <w:position w:val="4"/>
        <w:sz w:val="20"/>
        <w:szCs w:val="16"/>
      </w:rPr>
    </w:lvl>
    <w:lvl w:ilvl="3">
      <w:start w:val="1"/>
      <w:numFmt w:val="none"/>
      <w:lvlText w:val=""/>
      <w:lvlJc w:val="left"/>
      <w:pPr>
        <w:tabs>
          <w:tab w:val="num" w:pos="1134"/>
        </w:tabs>
        <w:ind w:left="1134" w:hanging="283"/>
      </w:pPr>
      <w:rPr>
        <w:rFonts w:hint="default"/>
      </w:rPr>
    </w:lvl>
    <w:lvl w:ilvl="4">
      <w:start w:val="1"/>
      <w:numFmt w:val="none"/>
      <w:lvlText w:val=""/>
      <w:lvlJc w:val="left"/>
      <w:pPr>
        <w:tabs>
          <w:tab w:val="num" w:pos="1418"/>
        </w:tabs>
        <w:ind w:left="1418" w:hanging="284"/>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2">
    <w:nsid w:val="28BB455C"/>
    <w:multiLevelType w:val="hybridMultilevel"/>
    <w:tmpl w:val="15DAA06A"/>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3">
    <w:nsid w:val="2C72580B"/>
    <w:multiLevelType w:val="multilevel"/>
    <w:tmpl w:val="A1605A0E"/>
    <w:name w:val="PullOutNumbering"/>
    <w:lvl w:ilvl="0">
      <w:start w:val="1"/>
      <w:numFmt w:val="decimal"/>
      <w:pStyle w:val="PullOutBoxNumber"/>
      <w:lvlText w:val="%1"/>
      <w:lvlJc w:val="left"/>
      <w:pPr>
        <w:tabs>
          <w:tab w:val="num" w:pos="624"/>
        </w:tabs>
        <w:ind w:left="624" w:hanging="340"/>
      </w:pPr>
      <w:rPr>
        <w:rFonts w:hint="default"/>
      </w:rPr>
    </w:lvl>
    <w:lvl w:ilvl="1">
      <w:start w:val="1"/>
      <w:numFmt w:val="lowerLetter"/>
      <w:pStyle w:val="PullOutBoxNumber2"/>
      <w:lvlText w:val="%2"/>
      <w:lvlJc w:val="left"/>
      <w:pPr>
        <w:tabs>
          <w:tab w:val="num" w:pos="964"/>
        </w:tabs>
        <w:ind w:left="964" w:hanging="340"/>
      </w:pPr>
      <w:rPr>
        <w:rFonts w:hint="default"/>
        <w:color w:val="auto"/>
      </w:rPr>
    </w:lvl>
    <w:lvl w:ilvl="2">
      <w:start w:val="1"/>
      <w:numFmt w:val="lowerRoman"/>
      <w:pStyle w:val="PullOutBoxNumber3"/>
      <w:lvlText w:val="%3"/>
      <w:lvlJc w:val="left"/>
      <w:pPr>
        <w:tabs>
          <w:tab w:val="num" w:pos="1304"/>
        </w:tabs>
        <w:ind w:left="1304" w:hanging="340"/>
      </w:pPr>
      <w:rPr>
        <w:rFonts w:hint="default"/>
        <w:color w:val="auto"/>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nsid w:val="38723AD4"/>
    <w:multiLevelType w:val="multilevel"/>
    <w:tmpl w:val="CC2400A2"/>
    <w:name w:val="PullOutBullets"/>
    <w:lvl w:ilvl="0">
      <w:start w:val="1"/>
      <w:numFmt w:val="bullet"/>
      <w:pStyle w:val="PullOutBoxBullet"/>
      <w:lvlText w:val="•"/>
      <w:lvlJc w:val="left"/>
      <w:pPr>
        <w:tabs>
          <w:tab w:val="num" w:pos="624"/>
        </w:tabs>
        <w:ind w:left="624" w:hanging="340"/>
      </w:pPr>
      <w:rPr>
        <w:rFonts w:ascii="Calibri" w:hAnsi="Calibri" w:hint="default"/>
        <w:color w:val="auto"/>
        <w:sz w:val="22"/>
      </w:rPr>
    </w:lvl>
    <w:lvl w:ilvl="1">
      <w:start w:val="1"/>
      <w:numFmt w:val="bullet"/>
      <w:pStyle w:val="PullOutBoxBullet2"/>
      <w:lvlText w:val="–"/>
      <w:lvlJc w:val="left"/>
      <w:pPr>
        <w:tabs>
          <w:tab w:val="num" w:pos="964"/>
        </w:tabs>
        <w:ind w:left="964" w:hanging="340"/>
      </w:pPr>
      <w:rPr>
        <w:rFonts w:ascii="Calibri" w:hAnsi="Calibri" w:hint="default"/>
        <w:color w:val="auto"/>
        <w:sz w:val="22"/>
      </w:rPr>
    </w:lvl>
    <w:lvl w:ilvl="2">
      <w:start w:val="1"/>
      <w:numFmt w:val="bullet"/>
      <w:pStyle w:val="PullOutBoxBullet3"/>
      <w:lvlText w:val=""/>
      <w:lvlJc w:val="left"/>
      <w:pPr>
        <w:tabs>
          <w:tab w:val="num" w:pos="1304"/>
        </w:tabs>
        <w:ind w:left="1304" w:hanging="340"/>
      </w:pPr>
      <w:rPr>
        <w:rFonts w:ascii="Wingdings" w:hAnsi="Wingdings" w:hint="default"/>
        <w:color w:val="auto"/>
        <w:position w:val="0"/>
        <w:sz w:val="2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nsid w:val="5D0540A9"/>
    <w:multiLevelType w:val="multilevel"/>
    <w:tmpl w:val="A6326D8C"/>
    <w:name w:val="AppendicesNumbering"/>
    <w:lvl w:ilvl="0">
      <w:start w:val="1"/>
      <w:numFmt w:val="upperLetter"/>
      <w:pStyle w:val="Heading8"/>
      <w:suff w:val="nothing"/>
      <w:lvlText w:val="Appendix %1"/>
      <w:lvlJc w:val="left"/>
      <w:pPr>
        <w:ind w:left="1418" w:firstLine="0"/>
      </w:pPr>
      <w:rPr>
        <w:rFonts w:hint="default"/>
        <w:b w:val="0"/>
        <w:i w:val="0"/>
        <w:sz w:val="40"/>
      </w:rPr>
    </w:lvl>
    <w:lvl w:ilvl="1">
      <w:start w:val="1"/>
      <w:numFmt w:val="decimal"/>
      <w:pStyle w:val="Heading9"/>
      <w:lvlText w:val="%1%2."/>
      <w:lvlJc w:val="left"/>
      <w:pPr>
        <w:tabs>
          <w:tab w:val="num" w:pos="765"/>
        </w:tabs>
        <w:ind w:left="765" w:hanging="765"/>
      </w:pPr>
      <w:rPr>
        <w:rFonts w:hint="default"/>
        <w:sz w:val="26"/>
      </w:rPr>
    </w:lvl>
    <w:lvl w:ilvl="2">
      <w:start w:val="1"/>
      <w:numFmt w:val="decimal"/>
      <w:pStyle w:val="AppendixHeading2"/>
      <w:lvlText w:val="%1%2.%3"/>
      <w:lvlJc w:val="left"/>
      <w:pPr>
        <w:tabs>
          <w:tab w:val="num" w:pos="765"/>
        </w:tabs>
        <w:ind w:left="765" w:hanging="765"/>
      </w:pPr>
      <w:rPr>
        <w:rFonts w:hint="default"/>
      </w:rPr>
    </w:lvl>
    <w:lvl w:ilvl="3">
      <w:start w:val="1"/>
      <w:numFmt w:val="decimal"/>
      <w:pStyle w:val="AppendixHeading3"/>
      <w:lvlText w:val="%1%2.%3.%4"/>
      <w:lvlJc w:val="left"/>
      <w:pPr>
        <w:tabs>
          <w:tab w:val="num" w:pos="765"/>
        </w:tabs>
        <w:ind w:left="765" w:hanging="765"/>
      </w:pPr>
      <w:rPr>
        <w:rFonts w:hint="default"/>
      </w:rPr>
    </w:lvl>
    <w:lvl w:ilvl="4">
      <w:start w:val="1"/>
      <w:numFmt w:val="decimal"/>
      <w:lvlText w:val="%1%2.%3.%4.%5"/>
      <w:lvlJc w:val="left"/>
      <w:pPr>
        <w:tabs>
          <w:tab w:val="num" w:pos="1134"/>
        </w:tabs>
        <w:ind w:left="765" w:hanging="765"/>
      </w:pPr>
      <w:rPr>
        <w:rFonts w:hint="default"/>
      </w:rPr>
    </w:lvl>
    <w:lvl w:ilvl="5">
      <w:start w:val="1"/>
      <w:numFmt w:val="none"/>
      <w:lvlText w:val=""/>
      <w:lvlJc w:val="righ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right"/>
      <w:pPr>
        <w:ind w:left="765" w:hanging="765"/>
      </w:pPr>
      <w:rPr>
        <w:rFonts w:hint="default"/>
      </w:rPr>
    </w:lvl>
  </w:abstractNum>
  <w:abstractNum w:abstractNumId="16">
    <w:nsid w:val="6D1D40AC"/>
    <w:multiLevelType w:val="multilevel"/>
    <w:tmpl w:val="D18C6390"/>
    <w:name w:val="TableNumbering"/>
    <w:lvl w:ilvl="0">
      <w:start w:val="1"/>
      <w:numFmt w:val="decimal"/>
      <w:pStyle w:val="TableTextNumber"/>
      <w:lvlText w:val="%1"/>
      <w:lvlJc w:val="left"/>
      <w:pPr>
        <w:tabs>
          <w:tab w:val="num" w:pos="397"/>
        </w:tabs>
        <w:ind w:left="397" w:hanging="284"/>
      </w:pPr>
      <w:rPr>
        <w:rFonts w:hint="default"/>
      </w:rPr>
    </w:lvl>
    <w:lvl w:ilvl="1">
      <w:start w:val="1"/>
      <w:numFmt w:val="lowerLetter"/>
      <w:pStyle w:val="TableTextNumber2"/>
      <w:lvlText w:val="%2"/>
      <w:lvlJc w:val="left"/>
      <w:pPr>
        <w:tabs>
          <w:tab w:val="num" w:pos="709"/>
        </w:tabs>
        <w:ind w:left="709" w:hanging="283"/>
      </w:pPr>
      <w:rPr>
        <w:rFonts w:hint="default"/>
      </w:rPr>
    </w:lvl>
    <w:lvl w:ilvl="2">
      <w:start w:val="1"/>
      <w:numFmt w:val="lowerRoman"/>
      <w:pStyle w:val="TableTextNumber3"/>
      <w:lvlText w:val="%3"/>
      <w:lvlJc w:val="left"/>
      <w:pPr>
        <w:tabs>
          <w:tab w:val="num" w:pos="964"/>
        </w:tabs>
        <w:ind w:left="964" w:hanging="284"/>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nsid w:val="6D9B169D"/>
    <w:multiLevelType w:val="hybridMultilevel"/>
    <w:tmpl w:val="675A7B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70250B03"/>
    <w:multiLevelType w:val="multilevel"/>
    <w:tmpl w:val="5796740A"/>
    <w:name w:val="QuoteBullets"/>
    <w:lvl w:ilvl="0">
      <w:start w:val="1"/>
      <w:numFmt w:val="bullet"/>
      <w:pStyle w:val="QuoteBullet"/>
      <w:lvlText w:val="•"/>
      <w:lvlJc w:val="left"/>
      <w:pPr>
        <w:tabs>
          <w:tab w:val="num" w:pos="567"/>
        </w:tabs>
        <w:ind w:left="567" w:hanging="283"/>
      </w:pPr>
      <w:rPr>
        <w:rFonts w:ascii="Arial" w:hAnsi="Arial" w:hint="default"/>
        <w:color w:val="auto"/>
        <w:sz w:val="18"/>
      </w:rPr>
    </w:lvl>
    <w:lvl w:ilvl="1">
      <w:start w:val="1"/>
      <w:numFmt w:val="bullet"/>
      <w:pStyle w:val="QuoteBullet2"/>
      <w:lvlText w:val="‒"/>
      <w:lvlJc w:val="left"/>
      <w:pPr>
        <w:tabs>
          <w:tab w:val="num" w:pos="851"/>
        </w:tabs>
        <w:ind w:left="851" w:hanging="284"/>
      </w:pPr>
      <w:rPr>
        <w:rFonts w:ascii="Calibri" w:hAnsi="Calibri" w:hint="default"/>
        <w:color w:val="auto"/>
      </w:rPr>
    </w:lvl>
    <w:lvl w:ilvl="2">
      <w:start w:val="1"/>
      <w:numFmt w:val="bullet"/>
      <w:lvlText w:val="‒"/>
      <w:lvlJc w:val="left"/>
      <w:pPr>
        <w:tabs>
          <w:tab w:val="num" w:pos="1418"/>
        </w:tabs>
        <w:ind w:left="1418" w:hanging="283"/>
      </w:pPr>
      <w:rPr>
        <w:rFonts w:ascii="Calibri" w:hAnsi="Calibri" w:hint="default"/>
        <w:color w:val="2B3B5F"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19">
    <w:nsid w:val="7839021E"/>
    <w:multiLevelType w:val="multilevel"/>
    <w:tmpl w:val="C186E662"/>
    <w:name w:val="ListNumbering"/>
    <w:lvl w:ilvl="0">
      <w:start w:val="1"/>
      <w:numFmt w:val="decimal"/>
      <w:pStyle w:val="ListNumber"/>
      <w:lvlText w:val="%1"/>
      <w:lvlJc w:val="left"/>
      <w:pPr>
        <w:tabs>
          <w:tab w:val="num" w:pos="454"/>
        </w:tabs>
        <w:ind w:left="454" w:hanging="454"/>
      </w:pPr>
      <w:rPr>
        <w:rFonts w:hint="default"/>
        <w:color w:val="auto"/>
        <w:spacing w:val="0"/>
        <w:sz w:val="22"/>
      </w:rPr>
    </w:lvl>
    <w:lvl w:ilvl="1">
      <w:start w:val="1"/>
      <w:numFmt w:val="lowerLetter"/>
      <w:pStyle w:val="ListNumber2"/>
      <w:lvlText w:val="%2"/>
      <w:lvlJc w:val="left"/>
      <w:pPr>
        <w:tabs>
          <w:tab w:val="num" w:pos="907"/>
        </w:tabs>
        <w:ind w:left="907" w:hanging="453"/>
      </w:pPr>
      <w:rPr>
        <w:rFonts w:hint="default"/>
        <w:color w:val="auto"/>
        <w:spacing w:val="0"/>
        <w:sz w:val="22"/>
      </w:rPr>
    </w:lvl>
    <w:lvl w:ilvl="2">
      <w:start w:val="1"/>
      <w:numFmt w:val="lowerRoman"/>
      <w:pStyle w:val="ListNumber3"/>
      <w:lvlText w:val="%3"/>
      <w:lvlJc w:val="left"/>
      <w:pPr>
        <w:tabs>
          <w:tab w:val="num" w:pos="1361"/>
        </w:tabs>
        <w:ind w:left="1361" w:hanging="454"/>
      </w:pPr>
      <w:rPr>
        <w:rFonts w:hint="default"/>
        <w:color w:val="auto"/>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abstractNumId w:val="15"/>
  </w:num>
  <w:num w:numId="2">
    <w:abstractNumId w:val="15"/>
  </w:num>
  <w:num w:numId="3">
    <w:abstractNumId w:val="15"/>
  </w:num>
  <w:num w:numId="4">
    <w:abstractNumId w:val="15"/>
  </w:num>
  <w:num w:numId="5">
    <w:abstractNumId w:val="5"/>
  </w:num>
  <w:num w:numId="6">
    <w:abstractNumId w:val="7"/>
  </w:num>
  <w:num w:numId="7">
    <w:abstractNumId w:val="3"/>
  </w:num>
  <w:num w:numId="8">
    <w:abstractNumId w:val="7"/>
  </w:num>
  <w:num w:numId="9">
    <w:abstractNumId w:val="2"/>
  </w:num>
  <w:num w:numId="10">
    <w:abstractNumId w:val="7"/>
  </w:num>
  <w:num w:numId="11">
    <w:abstractNumId w:val="4"/>
  </w:num>
  <w:num w:numId="12">
    <w:abstractNumId w:val="19"/>
  </w:num>
  <w:num w:numId="13">
    <w:abstractNumId w:val="1"/>
  </w:num>
  <w:num w:numId="14">
    <w:abstractNumId w:val="19"/>
  </w:num>
  <w:num w:numId="15">
    <w:abstractNumId w:val="0"/>
  </w:num>
  <w:num w:numId="16">
    <w:abstractNumId w:val="19"/>
  </w:num>
  <w:num w:numId="17">
    <w:abstractNumId w:val="14"/>
  </w:num>
  <w:num w:numId="18">
    <w:abstractNumId w:val="14"/>
  </w:num>
  <w:num w:numId="19">
    <w:abstractNumId w:val="14"/>
  </w:num>
  <w:num w:numId="20">
    <w:abstractNumId w:val="13"/>
  </w:num>
  <w:num w:numId="21">
    <w:abstractNumId w:val="13"/>
  </w:num>
  <w:num w:numId="22">
    <w:abstractNumId w:val="13"/>
  </w:num>
  <w:num w:numId="23">
    <w:abstractNumId w:val="18"/>
  </w:num>
  <w:num w:numId="24">
    <w:abstractNumId w:val="18"/>
  </w:num>
  <w:num w:numId="25">
    <w:abstractNumId w:val="9"/>
  </w:num>
  <w:num w:numId="26">
    <w:abstractNumId w:val="10"/>
  </w:num>
  <w:num w:numId="27">
    <w:abstractNumId w:val="10"/>
  </w:num>
  <w:num w:numId="28">
    <w:abstractNumId w:val="10"/>
  </w:num>
  <w:num w:numId="29">
    <w:abstractNumId w:val="16"/>
  </w:num>
  <w:num w:numId="30">
    <w:abstractNumId w:val="16"/>
  </w:num>
  <w:num w:numId="31">
    <w:abstractNumId w:val="16"/>
  </w:num>
  <w:num w:numId="32">
    <w:abstractNumId w:val="11"/>
  </w:num>
  <w:num w:numId="33">
    <w:abstractNumId w:val="8"/>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8"/>
  </w:num>
  <w:num w:numId="46">
    <w:abstractNumId w:val="7"/>
  </w:num>
  <w:num w:numId="47">
    <w:abstractNumId w:val="6"/>
  </w:num>
  <w:num w:numId="48">
    <w:abstractNumId w:val="17"/>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defaultTabStop w:val="720"/>
  <w:evenAndOddHeaders/>
  <w:characterSpacingControl w:val="doNotCompress"/>
  <w:hdrShapeDefaults>
    <o:shapedefaults v:ext="edit" spidmax="210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ces" w:val="True"/>
    <w:docVar w:name="AppendixName" w:val="Appendix"/>
    <w:docVar w:name="Disclaimer" w:val="True"/>
    <w:docVar w:name="Foreword" w:val="True"/>
    <w:docVar w:name="Heading1Numbered" w:val="True"/>
    <w:docVar w:name="Heading2Numbered" w:val="True"/>
    <w:docVar w:name="Heading3Numbered" w:val="True"/>
    <w:docVar w:name="IsWordingOverview" w:val="True"/>
    <w:docVar w:name="NumberedBodyText" w:val="False"/>
    <w:docVar w:name="optHeading1OddPage" w:val="False"/>
    <w:docVar w:name="Overview" w:val="True"/>
    <w:docVar w:name="PageSetup" w:val="Double"/>
    <w:docVar w:name="RibbonLabel" w:val="Appendix"/>
    <w:docVar w:name="TOC" w:val="True"/>
    <w:docVar w:name="TOCNew" w:val="False"/>
    <w:docVar w:name="Version" w:val="Version 1"/>
  </w:docVars>
  <w:rsids>
    <w:rsidRoot w:val="00590815"/>
    <w:rsid w:val="0000322C"/>
    <w:rsid w:val="00003CDD"/>
    <w:rsid w:val="0000561F"/>
    <w:rsid w:val="00006383"/>
    <w:rsid w:val="000168A7"/>
    <w:rsid w:val="000235A0"/>
    <w:rsid w:val="000255D1"/>
    <w:rsid w:val="000272C0"/>
    <w:rsid w:val="000278D0"/>
    <w:rsid w:val="00027E62"/>
    <w:rsid w:val="000307C8"/>
    <w:rsid w:val="00030F73"/>
    <w:rsid w:val="0003125D"/>
    <w:rsid w:val="00035ADE"/>
    <w:rsid w:val="00037B2B"/>
    <w:rsid w:val="00042226"/>
    <w:rsid w:val="0004224B"/>
    <w:rsid w:val="000440B0"/>
    <w:rsid w:val="00046226"/>
    <w:rsid w:val="00052156"/>
    <w:rsid w:val="0005330D"/>
    <w:rsid w:val="00054E67"/>
    <w:rsid w:val="000557A7"/>
    <w:rsid w:val="00055805"/>
    <w:rsid w:val="00056CB3"/>
    <w:rsid w:val="00062BCE"/>
    <w:rsid w:val="000634F8"/>
    <w:rsid w:val="00067A28"/>
    <w:rsid w:val="0007260F"/>
    <w:rsid w:val="0007513A"/>
    <w:rsid w:val="000770D1"/>
    <w:rsid w:val="000805D5"/>
    <w:rsid w:val="0008103B"/>
    <w:rsid w:val="0008317E"/>
    <w:rsid w:val="00085F97"/>
    <w:rsid w:val="00090B5A"/>
    <w:rsid w:val="000920B3"/>
    <w:rsid w:val="00092A33"/>
    <w:rsid w:val="00095B3B"/>
    <w:rsid w:val="000A2FEC"/>
    <w:rsid w:val="000A348F"/>
    <w:rsid w:val="000A3E9A"/>
    <w:rsid w:val="000B6942"/>
    <w:rsid w:val="000C09FA"/>
    <w:rsid w:val="000C1994"/>
    <w:rsid w:val="000C37A9"/>
    <w:rsid w:val="000C5583"/>
    <w:rsid w:val="000C6728"/>
    <w:rsid w:val="000C702E"/>
    <w:rsid w:val="000D15E9"/>
    <w:rsid w:val="000D1DAE"/>
    <w:rsid w:val="000D3182"/>
    <w:rsid w:val="000D3890"/>
    <w:rsid w:val="000D45C4"/>
    <w:rsid w:val="000E18F3"/>
    <w:rsid w:val="000E266E"/>
    <w:rsid w:val="000E3824"/>
    <w:rsid w:val="000E63B0"/>
    <w:rsid w:val="000F1515"/>
    <w:rsid w:val="000F16B5"/>
    <w:rsid w:val="000F616E"/>
    <w:rsid w:val="00100588"/>
    <w:rsid w:val="00110D43"/>
    <w:rsid w:val="00113212"/>
    <w:rsid w:val="001159EA"/>
    <w:rsid w:val="00124AEE"/>
    <w:rsid w:val="00125410"/>
    <w:rsid w:val="00130858"/>
    <w:rsid w:val="0013688A"/>
    <w:rsid w:val="00136C26"/>
    <w:rsid w:val="00137F9A"/>
    <w:rsid w:val="0014059F"/>
    <w:rsid w:val="00141551"/>
    <w:rsid w:val="001417CE"/>
    <w:rsid w:val="001430A3"/>
    <w:rsid w:val="0014479F"/>
    <w:rsid w:val="00150117"/>
    <w:rsid w:val="00152967"/>
    <w:rsid w:val="00154DC5"/>
    <w:rsid w:val="00160BC7"/>
    <w:rsid w:val="00160C8D"/>
    <w:rsid w:val="001629C0"/>
    <w:rsid w:val="00165122"/>
    <w:rsid w:val="00165854"/>
    <w:rsid w:val="00166062"/>
    <w:rsid w:val="00172634"/>
    <w:rsid w:val="00173DFD"/>
    <w:rsid w:val="00180FF9"/>
    <w:rsid w:val="00186075"/>
    <w:rsid w:val="00187479"/>
    <w:rsid w:val="00195228"/>
    <w:rsid w:val="00195696"/>
    <w:rsid w:val="00196523"/>
    <w:rsid w:val="00196532"/>
    <w:rsid w:val="001A1EFC"/>
    <w:rsid w:val="001A48EF"/>
    <w:rsid w:val="001A49CC"/>
    <w:rsid w:val="001A5553"/>
    <w:rsid w:val="001A716E"/>
    <w:rsid w:val="001B13D1"/>
    <w:rsid w:val="001B2C65"/>
    <w:rsid w:val="001B7058"/>
    <w:rsid w:val="001C3A4F"/>
    <w:rsid w:val="001C4121"/>
    <w:rsid w:val="001C48DE"/>
    <w:rsid w:val="001D1B2A"/>
    <w:rsid w:val="001D52E3"/>
    <w:rsid w:val="001D576F"/>
    <w:rsid w:val="001D7C29"/>
    <w:rsid w:val="001E0475"/>
    <w:rsid w:val="001F0C9C"/>
    <w:rsid w:val="001F5857"/>
    <w:rsid w:val="001F5A18"/>
    <w:rsid w:val="001F5C90"/>
    <w:rsid w:val="001F6E91"/>
    <w:rsid w:val="001F767C"/>
    <w:rsid w:val="00210FCF"/>
    <w:rsid w:val="00215B1D"/>
    <w:rsid w:val="00216320"/>
    <w:rsid w:val="00222EFF"/>
    <w:rsid w:val="002240D5"/>
    <w:rsid w:val="002261A7"/>
    <w:rsid w:val="00226AEC"/>
    <w:rsid w:val="002274E2"/>
    <w:rsid w:val="00231D74"/>
    <w:rsid w:val="00234687"/>
    <w:rsid w:val="0024361F"/>
    <w:rsid w:val="002545F3"/>
    <w:rsid w:val="002618BA"/>
    <w:rsid w:val="0026344F"/>
    <w:rsid w:val="00265D70"/>
    <w:rsid w:val="00266A17"/>
    <w:rsid w:val="00270372"/>
    <w:rsid w:val="002724B1"/>
    <w:rsid w:val="00275534"/>
    <w:rsid w:val="00276CCF"/>
    <w:rsid w:val="00277075"/>
    <w:rsid w:val="002775D2"/>
    <w:rsid w:val="00280543"/>
    <w:rsid w:val="00281ADD"/>
    <w:rsid w:val="00287726"/>
    <w:rsid w:val="00290712"/>
    <w:rsid w:val="00290C3F"/>
    <w:rsid w:val="00293E0D"/>
    <w:rsid w:val="00293E80"/>
    <w:rsid w:val="00295427"/>
    <w:rsid w:val="002973B0"/>
    <w:rsid w:val="00297C14"/>
    <w:rsid w:val="002A12C1"/>
    <w:rsid w:val="002A1707"/>
    <w:rsid w:val="002A220F"/>
    <w:rsid w:val="002A24F1"/>
    <w:rsid w:val="002A5778"/>
    <w:rsid w:val="002A7D43"/>
    <w:rsid w:val="002B1E84"/>
    <w:rsid w:val="002B2085"/>
    <w:rsid w:val="002B3EC4"/>
    <w:rsid w:val="002B6BC9"/>
    <w:rsid w:val="002C37D5"/>
    <w:rsid w:val="002D04E9"/>
    <w:rsid w:val="002D159A"/>
    <w:rsid w:val="002D1E7F"/>
    <w:rsid w:val="002D1FE6"/>
    <w:rsid w:val="002D2B34"/>
    <w:rsid w:val="002D34DB"/>
    <w:rsid w:val="002D4B11"/>
    <w:rsid w:val="002E0C53"/>
    <w:rsid w:val="002E3FEC"/>
    <w:rsid w:val="002E51E7"/>
    <w:rsid w:val="002E5633"/>
    <w:rsid w:val="002F0D40"/>
    <w:rsid w:val="002F1963"/>
    <w:rsid w:val="002F1CEF"/>
    <w:rsid w:val="002F3DAF"/>
    <w:rsid w:val="002F3E1E"/>
    <w:rsid w:val="002F3E6C"/>
    <w:rsid w:val="002F42D3"/>
    <w:rsid w:val="002F5B6E"/>
    <w:rsid w:val="002F61B5"/>
    <w:rsid w:val="003011F1"/>
    <w:rsid w:val="0030209B"/>
    <w:rsid w:val="0030303F"/>
    <w:rsid w:val="0031206C"/>
    <w:rsid w:val="003127E4"/>
    <w:rsid w:val="00312ADE"/>
    <w:rsid w:val="00313215"/>
    <w:rsid w:val="003174C3"/>
    <w:rsid w:val="0032183F"/>
    <w:rsid w:val="003229E8"/>
    <w:rsid w:val="003235BA"/>
    <w:rsid w:val="00323B4B"/>
    <w:rsid w:val="0032557A"/>
    <w:rsid w:val="003306C5"/>
    <w:rsid w:val="00333960"/>
    <w:rsid w:val="00340778"/>
    <w:rsid w:val="00344D2C"/>
    <w:rsid w:val="003458CE"/>
    <w:rsid w:val="00345A57"/>
    <w:rsid w:val="00346276"/>
    <w:rsid w:val="00346D90"/>
    <w:rsid w:val="00351F62"/>
    <w:rsid w:val="003601F4"/>
    <w:rsid w:val="003671E2"/>
    <w:rsid w:val="0037293C"/>
    <w:rsid w:val="00372AE6"/>
    <w:rsid w:val="003837E1"/>
    <w:rsid w:val="0038584D"/>
    <w:rsid w:val="00391C24"/>
    <w:rsid w:val="0039257F"/>
    <w:rsid w:val="0039286E"/>
    <w:rsid w:val="003931DE"/>
    <w:rsid w:val="00397D1A"/>
    <w:rsid w:val="003A163C"/>
    <w:rsid w:val="003A2B4E"/>
    <w:rsid w:val="003A2FBB"/>
    <w:rsid w:val="003A3799"/>
    <w:rsid w:val="003A3984"/>
    <w:rsid w:val="003A480A"/>
    <w:rsid w:val="003A4913"/>
    <w:rsid w:val="003A54A9"/>
    <w:rsid w:val="003A7083"/>
    <w:rsid w:val="003B2AF0"/>
    <w:rsid w:val="003B38B3"/>
    <w:rsid w:val="003B3A97"/>
    <w:rsid w:val="003B3D44"/>
    <w:rsid w:val="003B4CFC"/>
    <w:rsid w:val="003C665F"/>
    <w:rsid w:val="003C7CC2"/>
    <w:rsid w:val="003D50B6"/>
    <w:rsid w:val="003D7ABB"/>
    <w:rsid w:val="003E05DF"/>
    <w:rsid w:val="003E33BE"/>
    <w:rsid w:val="003E3F0F"/>
    <w:rsid w:val="003E6085"/>
    <w:rsid w:val="003E6CA3"/>
    <w:rsid w:val="003F1D00"/>
    <w:rsid w:val="003F4C96"/>
    <w:rsid w:val="004052C0"/>
    <w:rsid w:val="00405372"/>
    <w:rsid w:val="004059E1"/>
    <w:rsid w:val="00406002"/>
    <w:rsid w:val="00406AD3"/>
    <w:rsid w:val="00411C38"/>
    <w:rsid w:val="00412E42"/>
    <w:rsid w:val="0041303D"/>
    <w:rsid w:val="004143FE"/>
    <w:rsid w:val="00416504"/>
    <w:rsid w:val="0042004E"/>
    <w:rsid w:val="00423536"/>
    <w:rsid w:val="00424B42"/>
    <w:rsid w:val="00426356"/>
    <w:rsid w:val="00426929"/>
    <w:rsid w:val="0043371E"/>
    <w:rsid w:val="00434A30"/>
    <w:rsid w:val="00442C16"/>
    <w:rsid w:val="00443F6F"/>
    <w:rsid w:val="0044457F"/>
    <w:rsid w:val="00444865"/>
    <w:rsid w:val="00444A6A"/>
    <w:rsid w:val="0044546A"/>
    <w:rsid w:val="00446439"/>
    <w:rsid w:val="00450BDA"/>
    <w:rsid w:val="00450C29"/>
    <w:rsid w:val="004517DB"/>
    <w:rsid w:val="00453A3E"/>
    <w:rsid w:val="0045452F"/>
    <w:rsid w:val="004567DE"/>
    <w:rsid w:val="0045766B"/>
    <w:rsid w:val="00474BB7"/>
    <w:rsid w:val="004759E0"/>
    <w:rsid w:val="004816D7"/>
    <w:rsid w:val="0048342E"/>
    <w:rsid w:val="00483FCB"/>
    <w:rsid w:val="00487478"/>
    <w:rsid w:val="0048782D"/>
    <w:rsid w:val="00491C72"/>
    <w:rsid w:val="00494D97"/>
    <w:rsid w:val="00494DC1"/>
    <w:rsid w:val="00497B75"/>
    <w:rsid w:val="004A3F56"/>
    <w:rsid w:val="004A41D2"/>
    <w:rsid w:val="004A5E21"/>
    <w:rsid w:val="004A666A"/>
    <w:rsid w:val="004A7F27"/>
    <w:rsid w:val="004B0AB9"/>
    <w:rsid w:val="004B143F"/>
    <w:rsid w:val="004B3675"/>
    <w:rsid w:val="004B49A0"/>
    <w:rsid w:val="004B77FE"/>
    <w:rsid w:val="004C0069"/>
    <w:rsid w:val="004C59C8"/>
    <w:rsid w:val="004C6306"/>
    <w:rsid w:val="004C6F5E"/>
    <w:rsid w:val="004C7E94"/>
    <w:rsid w:val="004D6F55"/>
    <w:rsid w:val="004D7CF8"/>
    <w:rsid w:val="004D7EDA"/>
    <w:rsid w:val="004E0E49"/>
    <w:rsid w:val="004E197A"/>
    <w:rsid w:val="004E4BA2"/>
    <w:rsid w:val="004E5D52"/>
    <w:rsid w:val="004E661F"/>
    <w:rsid w:val="004F07A3"/>
    <w:rsid w:val="004F07D7"/>
    <w:rsid w:val="004F1297"/>
    <w:rsid w:val="004F16DB"/>
    <w:rsid w:val="004F1EFF"/>
    <w:rsid w:val="004F3C63"/>
    <w:rsid w:val="004F486B"/>
    <w:rsid w:val="004F4D7E"/>
    <w:rsid w:val="004F4E18"/>
    <w:rsid w:val="004F5B16"/>
    <w:rsid w:val="004F5D9D"/>
    <w:rsid w:val="004F68E5"/>
    <w:rsid w:val="004F741B"/>
    <w:rsid w:val="00500650"/>
    <w:rsid w:val="00502E1C"/>
    <w:rsid w:val="00503253"/>
    <w:rsid w:val="00503BB0"/>
    <w:rsid w:val="00503E03"/>
    <w:rsid w:val="00505C89"/>
    <w:rsid w:val="005060D9"/>
    <w:rsid w:val="00512226"/>
    <w:rsid w:val="005147C6"/>
    <w:rsid w:val="005159B1"/>
    <w:rsid w:val="00522502"/>
    <w:rsid w:val="005255A1"/>
    <w:rsid w:val="0052641C"/>
    <w:rsid w:val="005350B5"/>
    <w:rsid w:val="0053795D"/>
    <w:rsid w:val="00537D7C"/>
    <w:rsid w:val="00540F79"/>
    <w:rsid w:val="00544522"/>
    <w:rsid w:val="005468AB"/>
    <w:rsid w:val="005501A0"/>
    <w:rsid w:val="00550586"/>
    <w:rsid w:val="00550831"/>
    <w:rsid w:val="00554273"/>
    <w:rsid w:val="0055773E"/>
    <w:rsid w:val="00557B3E"/>
    <w:rsid w:val="00557CE8"/>
    <w:rsid w:val="00562452"/>
    <w:rsid w:val="005642B6"/>
    <w:rsid w:val="00571D5E"/>
    <w:rsid w:val="005725D6"/>
    <w:rsid w:val="005823D0"/>
    <w:rsid w:val="005901F0"/>
    <w:rsid w:val="00590815"/>
    <w:rsid w:val="00592B1F"/>
    <w:rsid w:val="005948CF"/>
    <w:rsid w:val="00597048"/>
    <w:rsid w:val="005A2748"/>
    <w:rsid w:val="005A443F"/>
    <w:rsid w:val="005B0027"/>
    <w:rsid w:val="005B0210"/>
    <w:rsid w:val="005B58D4"/>
    <w:rsid w:val="005B5EC1"/>
    <w:rsid w:val="005C07B3"/>
    <w:rsid w:val="005C1E95"/>
    <w:rsid w:val="005C284E"/>
    <w:rsid w:val="005C47D4"/>
    <w:rsid w:val="005D51D0"/>
    <w:rsid w:val="005D6F83"/>
    <w:rsid w:val="005D7877"/>
    <w:rsid w:val="005D7CCF"/>
    <w:rsid w:val="005E0960"/>
    <w:rsid w:val="005E2A7E"/>
    <w:rsid w:val="005E58C4"/>
    <w:rsid w:val="005E5D8F"/>
    <w:rsid w:val="005F3AFD"/>
    <w:rsid w:val="005F5A5C"/>
    <w:rsid w:val="005F5CD9"/>
    <w:rsid w:val="005F6956"/>
    <w:rsid w:val="0061135C"/>
    <w:rsid w:val="006136DD"/>
    <w:rsid w:val="006149F0"/>
    <w:rsid w:val="00616432"/>
    <w:rsid w:val="00617C29"/>
    <w:rsid w:val="00617EEA"/>
    <w:rsid w:val="006220A5"/>
    <w:rsid w:val="00622E16"/>
    <w:rsid w:val="00624AC8"/>
    <w:rsid w:val="0062623C"/>
    <w:rsid w:val="00630441"/>
    <w:rsid w:val="00633C60"/>
    <w:rsid w:val="00636D54"/>
    <w:rsid w:val="0064108E"/>
    <w:rsid w:val="0064126D"/>
    <w:rsid w:val="00642440"/>
    <w:rsid w:val="006451B8"/>
    <w:rsid w:val="00645722"/>
    <w:rsid w:val="006504E4"/>
    <w:rsid w:val="00652432"/>
    <w:rsid w:val="00657840"/>
    <w:rsid w:val="0066003C"/>
    <w:rsid w:val="0066041E"/>
    <w:rsid w:val="006646B7"/>
    <w:rsid w:val="00673CCC"/>
    <w:rsid w:val="00674863"/>
    <w:rsid w:val="00675C98"/>
    <w:rsid w:val="00677179"/>
    <w:rsid w:val="00685D8E"/>
    <w:rsid w:val="0068758F"/>
    <w:rsid w:val="0069026B"/>
    <w:rsid w:val="006956EA"/>
    <w:rsid w:val="00696B63"/>
    <w:rsid w:val="006A490C"/>
    <w:rsid w:val="006A6EF1"/>
    <w:rsid w:val="006B13BE"/>
    <w:rsid w:val="006B424B"/>
    <w:rsid w:val="006B4F7D"/>
    <w:rsid w:val="006B5414"/>
    <w:rsid w:val="006C114C"/>
    <w:rsid w:val="006C3864"/>
    <w:rsid w:val="006C49D9"/>
    <w:rsid w:val="006C5383"/>
    <w:rsid w:val="006C5E72"/>
    <w:rsid w:val="006D2AEC"/>
    <w:rsid w:val="006D4C8E"/>
    <w:rsid w:val="006E19D1"/>
    <w:rsid w:val="006E1CBB"/>
    <w:rsid w:val="006F100B"/>
    <w:rsid w:val="006F239A"/>
    <w:rsid w:val="006F2C9D"/>
    <w:rsid w:val="006F5E96"/>
    <w:rsid w:val="0070637D"/>
    <w:rsid w:val="007071DD"/>
    <w:rsid w:val="0070771F"/>
    <w:rsid w:val="00712A14"/>
    <w:rsid w:val="00716C04"/>
    <w:rsid w:val="00717180"/>
    <w:rsid w:val="007179D2"/>
    <w:rsid w:val="00720750"/>
    <w:rsid w:val="0072549C"/>
    <w:rsid w:val="00725A80"/>
    <w:rsid w:val="00733970"/>
    <w:rsid w:val="007366EB"/>
    <w:rsid w:val="00737551"/>
    <w:rsid w:val="007407D3"/>
    <w:rsid w:val="00745930"/>
    <w:rsid w:val="00754AC3"/>
    <w:rsid w:val="00754C58"/>
    <w:rsid w:val="00764F97"/>
    <w:rsid w:val="007714A9"/>
    <w:rsid w:val="00772249"/>
    <w:rsid w:val="00773203"/>
    <w:rsid w:val="00776E78"/>
    <w:rsid w:val="00780D80"/>
    <w:rsid w:val="00781074"/>
    <w:rsid w:val="0078138A"/>
    <w:rsid w:val="00783014"/>
    <w:rsid w:val="007834DC"/>
    <w:rsid w:val="00790575"/>
    <w:rsid w:val="00792FE7"/>
    <w:rsid w:val="00793F75"/>
    <w:rsid w:val="007959D8"/>
    <w:rsid w:val="0079630F"/>
    <w:rsid w:val="007A04C2"/>
    <w:rsid w:val="007B146A"/>
    <w:rsid w:val="007B1A04"/>
    <w:rsid w:val="007B5B04"/>
    <w:rsid w:val="007C0E7C"/>
    <w:rsid w:val="007C0EAA"/>
    <w:rsid w:val="007C44B2"/>
    <w:rsid w:val="007C450C"/>
    <w:rsid w:val="007C6496"/>
    <w:rsid w:val="007C6942"/>
    <w:rsid w:val="007C745E"/>
    <w:rsid w:val="007D06CF"/>
    <w:rsid w:val="007D25C1"/>
    <w:rsid w:val="007E3F8C"/>
    <w:rsid w:val="007F2058"/>
    <w:rsid w:val="007F5DC6"/>
    <w:rsid w:val="007F760D"/>
    <w:rsid w:val="007F7685"/>
    <w:rsid w:val="0080011D"/>
    <w:rsid w:val="00800EA5"/>
    <w:rsid w:val="00801C01"/>
    <w:rsid w:val="008130BB"/>
    <w:rsid w:val="0082199A"/>
    <w:rsid w:val="008237FA"/>
    <w:rsid w:val="00825D37"/>
    <w:rsid w:val="00832BC9"/>
    <w:rsid w:val="00834D30"/>
    <w:rsid w:val="008369B0"/>
    <w:rsid w:val="00844151"/>
    <w:rsid w:val="00850F7F"/>
    <w:rsid w:val="00857267"/>
    <w:rsid w:val="0085732C"/>
    <w:rsid w:val="00860B45"/>
    <w:rsid w:val="00863860"/>
    <w:rsid w:val="008638B5"/>
    <w:rsid w:val="00866E09"/>
    <w:rsid w:val="00870B03"/>
    <w:rsid w:val="008734DB"/>
    <w:rsid w:val="0087390B"/>
    <w:rsid w:val="008745A1"/>
    <w:rsid w:val="008763E2"/>
    <w:rsid w:val="008768E9"/>
    <w:rsid w:val="0087751B"/>
    <w:rsid w:val="00890995"/>
    <w:rsid w:val="008914FB"/>
    <w:rsid w:val="00894C37"/>
    <w:rsid w:val="00896EB0"/>
    <w:rsid w:val="00897E99"/>
    <w:rsid w:val="008A2FB5"/>
    <w:rsid w:val="008A4829"/>
    <w:rsid w:val="008A5D0D"/>
    <w:rsid w:val="008B2384"/>
    <w:rsid w:val="008B2A58"/>
    <w:rsid w:val="008B38D6"/>
    <w:rsid w:val="008B4802"/>
    <w:rsid w:val="008B5CCB"/>
    <w:rsid w:val="008B69E3"/>
    <w:rsid w:val="008C1FD1"/>
    <w:rsid w:val="008C24A8"/>
    <w:rsid w:val="008C35EF"/>
    <w:rsid w:val="008C5996"/>
    <w:rsid w:val="008D5A11"/>
    <w:rsid w:val="008D5E23"/>
    <w:rsid w:val="008E6D59"/>
    <w:rsid w:val="008F1B00"/>
    <w:rsid w:val="008F2103"/>
    <w:rsid w:val="008F5D66"/>
    <w:rsid w:val="009028AA"/>
    <w:rsid w:val="00903E3F"/>
    <w:rsid w:val="0090440F"/>
    <w:rsid w:val="009049C3"/>
    <w:rsid w:val="009057D9"/>
    <w:rsid w:val="00907457"/>
    <w:rsid w:val="0090774A"/>
    <w:rsid w:val="00910D07"/>
    <w:rsid w:val="00914B2F"/>
    <w:rsid w:val="009150E6"/>
    <w:rsid w:val="00917BA4"/>
    <w:rsid w:val="00917F89"/>
    <w:rsid w:val="009211BA"/>
    <w:rsid w:val="00922EE6"/>
    <w:rsid w:val="009255EE"/>
    <w:rsid w:val="00925603"/>
    <w:rsid w:val="00925F76"/>
    <w:rsid w:val="0093055D"/>
    <w:rsid w:val="00932E89"/>
    <w:rsid w:val="0093359D"/>
    <w:rsid w:val="00933F2B"/>
    <w:rsid w:val="00936740"/>
    <w:rsid w:val="00942EEB"/>
    <w:rsid w:val="00943F5C"/>
    <w:rsid w:val="009443D8"/>
    <w:rsid w:val="0094468E"/>
    <w:rsid w:val="00945261"/>
    <w:rsid w:val="009454A7"/>
    <w:rsid w:val="009506A5"/>
    <w:rsid w:val="009541CC"/>
    <w:rsid w:val="00956564"/>
    <w:rsid w:val="00956D5A"/>
    <w:rsid w:val="00961B2C"/>
    <w:rsid w:val="00961DBB"/>
    <w:rsid w:val="0096618E"/>
    <w:rsid w:val="009661A3"/>
    <w:rsid w:val="00973756"/>
    <w:rsid w:val="00981433"/>
    <w:rsid w:val="0098476B"/>
    <w:rsid w:val="00985C07"/>
    <w:rsid w:val="00991131"/>
    <w:rsid w:val="00995B4F"/>
    <w:rsid w:val="00997582"/>
    <w:rsid w:val="009A1420"/>
    <w:rsid w:val="009A19BE"/>
    <w:rsid w:val="009A2C21"/>
    <w:rsid w:val="009A3E58"/>
    <w:rsid w:val="009A51D2"/>
    <w:rsid w:val="009A5F02"/>
    <w:rsid w:val="009A7AB1"/>
    <w:rsid w:val="009B0259"/>
    <w:rsid w:val="009B3AF1"/>
    <w:rsid w:val="009B6C23"/>
    <w:rsid w:val="009C6DAA"/>
    <w:rsid w:val="009D0E74"/>
    <w:rsid w:val="009D1A96"/>
    <w:rsid w:val="009D370B"/>
    <w:rsid w:val="009E152B"/>
    <w:rsid w:val="009E2087"/>
    <w:rsid w:val="009E252B"/>
    <w:rsid w:val="009E3265"/>
    <w:rsid w:val="009E3353"/>
    <w:rsid w:val="009E446D"/>
    <w:rsid w:val="009E7C09"/>
    <w:rsid w:val="009F146D"/>
    <w:rsid w:val="009F4F1E"/>
    <w:rsid w:val="009F565D"/>
    <w:rsid w:val="00A015E4"/>
    <w:rsid w:val="00A05639"/>
    <w:rsid w:val="00A07519"/>
    <w:rsid w:val="00A075BC"/>
    <w:rsid w:val="00A11222"/>
    <w:rsid w:val="00A12C39"/>
    <w:rsid w:val="00A134FB"/>
    <w:rsid w:val="00A1599A"/>
    <w:rsid w:val="00A20802"/>
    <w:rsid w:val="00A25B4F"/>
    <w:rsid w:val="00A30F25"/>
    <w:rsid w:val="00A31751"/>
    <w:rsid w:val="00A32520"/>
    <w:rsid w:val="00A442BF"/>
    <w:rsid w:val="00A462C1"/>
    <w:rsid w:val="00A52FBA"/>
    <w:rsid w:val="00A5365E"/>
    <w:rsid w:val="00A53716"/>
    <w:rsid w:val="00A5629E"/>
    <w:rsid w:val="00A574EA"/>
    <w:rsid w:val="00A6133C"/>
    <w:rsid w:val="00A64832"/>
    <w:rsid w:val="00A67633"/>
    <w:rsid w:val="00A732DB"/>
    <w:rsid w:val="00A74892"/>
    <w:rsid w:val="00A749E2"/>
    <w:rsid w:val="00A85258"/>
    <w:rsid w:val="00A86F04"/>
    <w:rsid w:val="00A93D52"/>
    <w:rsid w:val="00A946C4"/>
    <w:rsid w:val="00A9716E"/>
    <w:rsid w:val="00AA1836"/>
    <w:rsid w:val="00AB47E9"/>
    <w:rsid w:val="00AC01F8"/>
    <w:rsid w:val="00AC059A"/>
    <w:rsid w:val="00AD0308"/>
    <w:rsid w:val="00AD377A"/>
    <w:rsid w:val="00AD67BB"/>
    <w:rsid w:val="00AE1CC1"/>
    <w:rsid w:val="00AE3EA4"/>
    <w:rsid w:val="00AE4305"/>
    <w:rsid w:val="00AF1ACC"/>
    <w:rsid w:val="00AF1B02"/>
    <w:rsid w:val="00AF41E4"/>
    <w:rsid w:val="00AF7CDB"/>
    <w:rsid w:val="00B03B06"/>
    <w:rsid w:val="00B0667A"/>
    <w:rsid w:val="00B06A75"/>
    <w:rsid w:val="00B06BC3"/>
    <w:rsid w:val="00B076D5"/>
    <w:rsid w:val="00B15A0F"/>
    <w:rsid w:val="00B20236"/>
    <w:rsid w:val="00B20937"/>
    <w:rsid w:val="00B220A0"/>
    <w:rsid w:val="00B22B64"/>
    <w:rsid w:val="00B22FEA"/>
    <w:rsid w:val="00B24321"/>
    <w:rsid w:val="00B2693C"/>
    <w:rsid w:val="00B30FEB"/>
    <w:rsid w:val="00B352F3"/>
    <w:rsid w:val="00B40AA3"/>
    <w:rsid w:val="00B44478"/>
    <w:rsid w:val="00B5015D"/>
    <w:rsid w:val="00B5233D"/>
    <w:rsid w:val="00B544E9"/>
    <w:rsid w:val="00B572AD"/>
    <w:rsid w:val="00B6002C"/>
    <w:rsid w:val="00B601CA"/>
    <w:rsid w:val="00B620EE"/>
    <w:rsid w:val="00B67CC7"/>
    <w:rsid w:val="00B67ED5"/>
    <w:rsid w:val="00B709D3"/>
    <w:rsid w:val="00B71078"/>
    <w:rsid w:val="00B82051"/>
    <w:rsid w:val="00B85366"/>
    <w:rsid w:val="00B87F60"/>
    <w:rsid w:val="00B93D3D"/>
    <w:rsid w:val="00B95027"/>
    <w:rsid w:val="00B96A7D"/>
    <w:rsid w:val="00BA0606"/>
    <w:rsid w:val="00BA471F"/>
    <w:rsid w:val="00BB5013"/>
    <w:rsid w:val="00BB528E"/>
    <w:rsid w:val="00BB6920"/>
    <w:rsid w:val="00BC0582"/>
    <w:rsid w:val="00BC2600"/>
    <w:rsid w:val="00BC36F0"/>
    <w:rsid w:val="00BC4FA7"/>
    <w:rsid w:val="00BC5E30"/>
    <w:rsid w:val="00BD02C5"/>
    <w:rsid w:val="00BD068D"/>
    <w:rsid w:val="00BD6C89"/>
    <w:rsid w:val="00BE0D9A"/>
    <w:rsid w:val="00BE1A50"/>
    <w:rsid w:val="00BE2F0D"/>
    <w:rsid w:val="00BE7D66"/>
    <w:rsid w:val="00BF0BD5"/>
    <w:rsid w:val="00BF55F8"/>
    <w:rsid w:val="00BF7A02"/>
    <w:rsid w:val="00C051FD"/>
    <w:rsid w:val="00C06029"/>
    <w:rsid w:val="00C149BB"/>
    <w:rsid w:val="00C20C7D"/>
    <w:rsid w:val="00C20DEF"/>
    <w:rsid w:val="00C24B25"/>
    <w:rsid w:val="00C26C53"/>
    <w:rsid w:val="00C32C2F"/>
    <w:rsid w:val="00C3738A"/>
    <w:rsid w:val="00C4315A"/>
    <w:rsid w:val="00C43F5E"/>
    <w:rsid w:val="00C44074"/>
    <w:rsid w:val="00C44AE6"/>
    <w:rsid w:val="00C4651F"/>
    <w:rsid w:val="00C46881"/>
    <w:rsid w:val="00C50CCF"/>
    <w:rsid w:val="00C51D0B"/>
    <w:rsid w:val="00C52A50"/>
    <w:rsid w:val="00C52D18"/>
    <w:rsid w:val="00C63A77"/>
    <w:rsid w:val="00C642D4"/>
    <w:rsid w:val="00C730F4"/>
    <w:rsid w:val="00C80200"/>
    <w:rsid w:val="00C81245"/>
    <w:rsid w:val="00C8270B"/>
    <w:rsid w:val="00C841A9"/>
    <w:rsid w:val="00C85433"/>
    <w:rsid w:val="00C8728F"/>
    <w:rsid w:val="00C923CE"/>
    <w:rsid w:val="00C97FBC"/>
    <w:rsid w:val="00CA0B7E"/>
    <w:rsid w:val="00CA3032"/>
    <w:rsid w:val="00CA5598"/>
    <w:rsid w:val="00CA5C2D"/>
    <w:rsid w:val="00CA5EF8"/>
    <w:rsid w:val="00CB14BB"/>
    <w:rsid w:val="00CB28A3"/>
    <w:rsid w:val="00CB5396"/>
    <w:rsid w:val="00CC00A0"/>
    <w:rsid w:val="00CC2CC8"/>
    <w:rsid w:val="00CC5455"/>
    <w:rsid w:val="00CC6C06"/>
    <w:rsid w:val="00CD3B7D"/>
    <w:rsid w:val="00CD3CEC"/>
    <w:rsid w:val="00CD4E50"/>
    <w:rsid w:val="00CD5509"/>
    <w:rsid w:val="00CE1EB0"/>
    <w:rsid w:val="00CE3DF2"/>
    <w:rsid w:val="00CE6A9D"/>
    <w:rsid w:val="00CE7FD8"/>
    <w:rsid w:val="00CF0C0F"/>
    <w:rsid w:val="00CF1690"/>
    <w:rsid w:val="00CF1F2A"/>
    <w:rsid w:val="00CF5CE3"/>
    <w:rsid w:val="00CF7412"/>
    <w:rsid w:val="00D030F8"/>
    <w:rsid w:val="00D077B7"/>
    <w:rsid w:val="00D106BE"/>
    <w:rsid w:val="00D12769"/>
    <w:rsid w:val="00D13525"/>
    <w:rsid w:val="00D20297"/>
    <w:rsid w:val="00D20C50"/>
    <w:rsid w:val="00D21E6B"/>
    <w:rsid w:val="00D23634"/>
    <w:rsid w:val="00D25E7A"/>
    <w:rsid w:val="00D33043"/>
    <w:rsid w:val="00D34551"/>
    <w:rsid w:val="00D3619A"/>
    <w:rsid w:val="00D43895"/>
    <w:rsid w:val="00D457D6"/>
    <w:rsid w:val="00D50409"/>
    <w:rsid w:val="00D64CE2"/>
    <w:rsid w:val="00D66BE7"/>
    <w:rsid w:val="00D75398"/>
    <w:rsid w:val="00D7751B"/>
    <w:rsid w:val="00D815DC"/>
    <w:rsid w:val="00D822B5"/>
    <w:rsid w:val="00D83D3C"/>
    <w:rsid w:val="00D86454"/>
    <w:rsid w:val="00D867AE"/>
    <w:rsid w:val="00D87BBB"/>
    <w:rsid w:val="00D87C87"/>
    <w:rsid w:val="00D921C4"/>
    <w:rsid w:val="00D9296A"/>
    <w:rsid w:val="00D93C23"/>
    <w:rsid w:val="00D95638"/>
    <w:rsid w:val="00D9584C"/>
    <w:rsid w:val="00D97030"/>
    <w:rsid w:val="00DA14D9"/>
    <w:rsid w:val="00DA2CFD"/>
    <w:rsid w:val="00DB13AD"/>
    <w:rsid w:val="00DB23F9"/>
    <w:rsid w:val="00DB58BE"/>
    <w:rsid w:val="00DB6176"/>
    <w:rsid w:val="00DB6AA0"/>
    <w:rsid w:val="00DB7C3A"/>
    <w:rsid w:val="00DC36AB"/>
    <w:rsid w:val="00DC7D30"/>
    <w:rsid w:val="00DD2CF5"/>
    <w:rsid w:val="00DD32AB"/>
    <w:rsid w:val="00DD5B8A"/>
    <w:rsid w:val="00DD5BF6"/>
    <w:rsid w:val="00DD77ED"/>
    <w:rsid w:val="00DE1865"/>
    <w:rsid w:val="00DE5EF6"/>
    <w:rsid w:val="00DE6CEF"/>
    <w:rsid w:val="00DF11C2"/>
    <w:rsid w:val="00DF4593"/>
    <w:rsid w:val="00DF4C4E"/>
    <w:rsid w:val="00DF4F40"/>
    <w:rsid w:val="00DF54E1"/>
    <w:rsid w:val="00DF7868"/>
    <w:rsid w:val="00E05E35"/>
    <w:rsid w:val="00E10D05"/>
    <w:rsid w:val="00E131EA"/>
    <w:rsid w:val="00E2223E"/>
    <w:rsid w:val="00E22D98"/>
    <w:rsid w:val="00E23443"/>
    <w:rsid w:val="00E24623"/>
    <w:rsid w:val="00E252E3"/>
    <w:rsid w:val="00E3352A"/>
    <w:rsid w:val="00E37B4B"/>
    <w:rsid w:val="00E40505"/>
    <w:rsid w:val="00E42A41"/>
    <w:rsid w:val="00E45766"/>
    <w:rsid w:val="00E45D06"/>
    <w:rsid w:val="00E46D62"/>
    <w:rsid w:val="00E531FC"/>
    <w:rsid w:val="00E567E5"/>
    <w:rsid w:val="00E60B10"/>
    <w:rsid w:val="00E615E1"/>
    <w:rsid w:val="00E632E6"/>
    <w:rsid w:val="00E6708B"/>
    <w:rsid w:val="00E67990"/>
    <w:rsid w:val="00E73A8C"/>
    <w:rsid w:val="00E743FC"/>
    <w:rsid w:val="00E75050"/>
    <w:rsid w:val="00E76F42"/>
    <w:rsid w:val="00E8663E"/>
    <w:rsid w:val="00E915E6"/>
    <w:rsid w:val="00EA11D3"/>
    <w:rsid w:val="00EA3E11"/>
    <w:rsid w:val="00EA56C2"/>
    <w:rsid w:val="00EA6EB3"/>
    <w:rsid w:val="00EB0C4A"/>
    <w:rsid w:val="00EB4A8E"/>
    <w:rsid w:val="00EB5AD2"/>
    <w:rsid w:val="00EB5EF3"/>
    <w:rsid w:val="00EB62CA"/>
    <w:rsid w:val="00EB695D"/>
    <w:rsid w:val="00EC68C2"/>
    <w:rsid w:val="00ED39CE"/>
    <w:rsid w:val="00ED4134"/>
    <w:rsid w:val="00EE05F1"/>
    <w:rsid w:val="00EE471A"/>
    <w:rsid w:val="00EE5492"/>
    <w:rsid w:val="00EF47E8"/>
    <w:rsid w:val="00F02F15"/>
    <w:rsid w:val="00F07BD5"/>
    <w:rsid w:val="00F122D6"/>
    <w:rsid w:val="00F15BF4"/>
    <w:rsid w:val="00F17940"/>
    <w:rsid w:val="00F2046C"/>
    <w:rsid w:val="00F20647"/>
    <w:rsid w:val="00F21480"/>
    <w:rsid w:val="00F24158"/>
    <w:rsid w:val="00F30248"/>
    <w:rsid w:val="00F31392"/>
    <w:rsid w:val="00F332DD"/>
    <w:rsid w:val="00F348B5"/>
    <w:rsid w:val="00F3652B"/>
    <w:rsid w:val="00F377B9"/>
    <w:rsid w:val="00F37B0C"/>
    <w:rsid w:val="00F42A60"/>
    <w:rsid w:val="00F45396"/>
    <w:rsid w:val="00F45442"/>
    <w:rsid w:val="00F512D2"/>
    <w:rsid w:val="00F5145E"/>
    <w:rsid w:val="00F51BF0"/>
    <w:rsid w:val="00F558EA"/>
    <w:rsid w:val="00F613CB"/>
    <w:rsid w:val="00F61F79"/>
    <w:rsid w:val="00F63B73"/>
    <w:rsid w:val="00F656A4"/>
    <w:rsid w:val="00F65BDC"/>
    <w:rsid w:val="00F65E4A"/>
    <w:rsid w:val="00F6665E"/>
    <w:rsid w:val="00F7075F"/>
    <w:rsid w:val="00F71D76"/>
    <w:rsid w:val="00F74DE1"/>
    <w:rsid w:val="00F805BC"/>
    <w:rsid w:val="00F8349F"/>
    <w:rsid w:val="00F83FB7"/>
    <w:rsid w:val="00F85935"/>
    <w:rsid w:val="00F85D29"/>
    <w:rsid w:val="00F87AA5"/>
    <w:rsid w:val="00F902E0"/>
    <w:rsid w:val="00F94D1C"/>
    <w:rsid w:val="00F969D3"/>
    <w:rsid w:val="00FA190E"/>
    <w:rsid w:val="00FA1A03"/>
    <w:rsid w:val="00FA54D8"/>
    <w:rsid w:val="00FB1634"/>
    <w:rsid w:val="00FB59CF"/>
    <w:rsid w:val="00FC4FB7"/>
    <w:rsid w:val="00FD0EC3"/>
    <w:rsid w:val="00FD119C"/>
    <w:rsid w:val="00FD357B"/>
    <w:rsid w:val="00FD38FC"/>
    <w:rsid w:val="00FD6119"/>
    <w:rsid w:val="00FD688E"/>
    <w:rsid w:val="00FD7C0C"/>
    <w:rsid w:val="00FD7E0A"/>
    <w:rsid w:val="00FE045C"/>
    <w:rsid w:val="00FE0C52"/>
    <w:rsid w:val="00FE1692"/>
    <w:rsid w:val="00FE1D25"/>
    <w:rsid w:val="00FF0566"/>
    <w:rsid w:val="00FF6218"/>
    <w:rsid w:val="00FF69D7"/>
    <w:rsid w:val="00FF79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note text" w:uiPriority="99"/>
    <w:lsdException w:name="caption" w:qFormat="1"/>
    <w:lsdException w:name="table of figures" w:semiHidden="0" w:unhideWhenUsed="0"/>
    <w:lsdException w:name="footnote reference" w:uiPriority="99"/>
    <w:lsdException w:name="List Bullet" w:qFormat="1"/>
    <w:lsdException w:name="List Number" w:qFormat="1"/>
    <w:lsdException w:name="List Bullet 2"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lsdException w:name="Quote" w:semiHidden="0" w:unhideWhenUsed="0" w:qFormat="1"/>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qFormat/>
    <w:rsid w:val="000E266E"/>
  </w:style>
  <w:style w:type="paragraph" w:styleId="Heading1">
    <w:name w:val="heading 1"/>
    <w:basedOn w:val="Normal"/>
    <w:next w:val="BodyText"/>
    <w:link w:val="Heading1Char"/>
    <w:qFormat/>
    <w:rsid w:val="00733970"/>
    <w:pPr>
      <w:keepNext/>
      <w:keepLines/>
      <w:numPr>
        <w:numId w:val="33"/>
      </w:numPr>
      <w:tabs>
        <w:tab w:val="right" w:pos="1418"/>
        <w:tab w:val="right" w:pos="1701"/>
        <w:tab w:val="right" w:pos="1985"/>
      </w:tabs>
      <w:spacing w:before="480" w:after="340" w:line="240" w:lineRule="auto"/>
      <w:outlineLvl w:val="0"/>
    </w:pPr>
    <w:rPr>
      <w:rFonts w:asciiTheme="majorHAnsi" w:hAnsiTheme="majorHAnsi"/>
      <w:bCs/>
      <w:color w:val="2B3B5F" w:themeColor="text2"/>
      <w:spacing w:val="-6"/>
      <w:kern w:val="32"/>
      <w:sz w:val="40"/>
      <w:szCs w:val="32"/>
    </w:rPr>
  </w:style>
  <w:style w:type="paragraph" w:styleId="Heading2">
    <w:name w:val="heading 2"/>
    <w:basedOn w:val="Normal"/>
    <w:next w:val="BodyText"/>
    <w:link w:val="Heading2Char"/>
    <w:qFormat/>
    <w:rsid w:val="00961DBB"/>
    <w:pPr>
      <w:keepNext/>
      <w:keepLines/>
      <w:numPr>
        <w:ilvl w:val="1"/>
        <w:numId w:val="33"/>
      </w:numPr>
      <w:tabs>
        <w:tab w:val="left" w:pos="1418"/>
        <w:tab w:val="left" w:pos="1701"/>
        <w:tab w:val="left" w:pos="1985"/>
      </w:tabs>
      <w:spacing w:before="470" w:after="227"/>
      <w:outlineLvl w:val="1"/>
    </w:pPr>
    <w:rPr>
      <w:rFonts w:asciiTheme="majorHAnsi" w:hAnsiTheme="majorHAnsi"/>
      <w:bCs/>
      <w:iCs/>
      <w:color w:val="2B3B5F" w:themeColor="text2"/>
      <w:kern w:val="20"/>
      <w:sz w:val="32"/>
      <w:szCs w:val="28"/>
    </w:rPr>
  </w:style>
  <w:style w:type="paragraph" w:styleId="Heading3">
    <w:name w:val="heading 3"/>
    <w:basedOn w:val="Normal"/>
    <w:next w:val="BodyText"/>
    <w:link w:val="Heading3Char"/>
    <w:qFormat/>
    <w:rsid w:val="00B620EE"/>
    <w:pPr>
      <w:keepNext/>
      <w:keepLines/>
      <w:numPr>
        <w:ilvl w:val="2"/>
        <w:numId w:val="33"/>
      </w:numPr>
      <w:tabs>
        <w:tab w:val="left" w:pos="1418"/>
        <w:tab w:val="left" w:pos="1701"/>
        <w:tab w:val="left" w:pos="1985"/>
      </w:tabs>
      <w:spacing w:before="470" w:after="227"/>
      <w:outlineLvl w:val="2"/>
    </w:pPr>
    <w:rPr>
      <w:b/>
      <w:color w:val="2B3B5F" w:themeColor="text2"/>
      <w:sz w:val="28"/>
    </w:rPr>
  </w:style>
  <w:style w:type="paragraph" w:styleId="Heading4">
    <w:name w:val="heading 4"/>
    <w:basedOn w:val="Normal"/>
    <w:next w:val="BodyText"/>
    <w:link w:val="Heading4Char"/>
    <w:qFormat/>
    <w:rsid w:val="00B620EE"/>
    <w:pPr>
      <w:keepNext/>
      <w:keepLines/>
      <w:tabs>
        <w:tab w:val="left" w:pos="1418"/>
        <w:tab w:val="left" w:pos="1701"/>
        <w:tab w:val="left" w:pos="1985"/>
      </w:tabs>
      <w:spacing w:before="227" w:after="113"/>
      <w:outlineLvl w:val="3"/>
    </w:pPr>
    <w:rPr>
      <w:rFonts w:eastAsiaTheme="majorEastAsia" w:cstheme="majorBidi"/>
      <w:b/>
      <w:bCs/>
      <w:i/>
      <w:iCs/>
      <w:color w:val="2B3B5F" w:themeColor="text2"/>
      <w:sz w:val="24"/>
    </w:rPr>
  </w:style>
  <w:style w:type="paragraph" w:styleId="Heading5">
    <w:name w:val="heading 5"/>
    <w:basedOn w:val="Normal"/>
    <w:next w:val="BodyText"/>
    <w:link w:val="Heading5Char"/>
    <w:qFormat/>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qFormat/>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rsid w:val="00CA5598"/>
    <w:pPr>
      <w:keepNext/>
      <w:keepLines/>
      <w:numPr>
        <w:numId w:val="4"/>
      </w:numPr>
      <w:tabs>
        <w:tab w:val="left" w:pos="4536"/>
      </w:tabs>
      <w:spacing w:before="480" w:after="340"/>
      <w:outlineLvl w:val="7"/>
    </w:pPr>
    <w:rPr>
      <w:rFonts w:asciiTheme="majorHAnsi" w:eastAsiaTheme="majorEastAsia" w:hAnsiTheme="majorHAnsi" w:cstheme="majorBidi"/>
      <w:color w:val="2B3B5F" w:themeColor="text2"/>
      <w:sz w:val="40"/>
    </w:rPr>
  </w:style>
  <w:style w:type="paragraph" w:styleId="Heading9">
    <w:name w:val="heading 9"/>
    <w:aliases w:val="Appendix Heading 1"/>
    <w:basedOn w:val="Normal"/>
    <w:next w:val="BodyText"/>
    <w:link w:val="Heading9Char"/>
    <w:rsid w:val="00CA5598"/>
    <w:pPr>
      <w:keepNext/>
      <w:keepLines/>
      <w:numPr>
        <w:ilvl w:val="1"/>
        <w:numId w:val="4"/>
      </w:numPr>
      <w:tabs>
        <w:tab w:val="left" w:pos="1559"/>
        <w:tab w:val="left" w:pos="1843"/>
        <w:tab w:val="left" w:pos="2126"/>
        <w:tab w:val="left" w:pos="2410"/>
      </w:tabs>
      <w:spacing w:before="470" w:after="227"/>
      <w:outlineLvl w:val="8"/>
    </w:pPr>
    <w:rPr>
      <w:rFonts w:asciiTheme="majorHAnsi" w:hAnsiTheme="majorHAnsi"/>
      <w:color w:val="2B3B5F"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uiPriority w:val="99"/>
    <w:rsid w:val="000E266E"/>
    <w:rPr>
      <w:kern w:val="16"/>
      <w:sz w:val="18"/>
    </w:rPr>
  </w:style>
  <w:style w:type="character" w:styleId="FootnoteReference">
    <w:name w:val="footnote reference"/>
    <w:basedOn w:val="DefaultParagraphFont"/>
    <w:uiPriority w:val="99"/>
    <w:rsid w:val="00961DBB"/>
    <w:rPr>
      <w:rFonts w:asciiTheme="minorHAnsi" w:hAnsiTheme="minorHAnsi"/>
      <w:color w:val="auto"/>
      <w:vertAlign w:val="superscript"/>
    </w:rPr>
  </w:style>
  <w:style w:type="paragraph" w:styleId="BodyText">
    <w:name w:val="Body Text"/>
    <w:basedOn w:val="Normal"/>
    <w:link w:val="BodyTextChar"/>
    <w:qFormat/>
    <w:rsid w:val="008D5A11"/>
    <w:pPr>
      <w:spacing w:before="113" w:after="113"/>
    </w:pPr>
    <w:rPr>
      <w:rFonts w:cs="Times New Roman"/>
      <w:spacing w:val="-1"/>
    </w:rPr>
  </w:style>
  <w:style w:type="character" w:customStyle="1" w:styleId="BodyTextChar">
    <w:name w:val="Body Text Char"/>
    <w:basedOn w:val="DefaultParagraphFont"/>
    <w:link w:val="BodyText"/>
    <w:rsid w:val="000E266E"/>
    <w:rPr>
      <w:rFonts w:cs="Times New Roman"/>
      <w:spacing w:val="-1"/>
    </w:rPr>
  </w:style>
  <w:style w:type="paragraph" w:customStyle="1" w:styleId="BodyText17ptAbove">
    <w:name w:val="Body Text 17pt Above"/>
    <w:basedOn w:val="BodyText"/>
    <w:next w:val="BodyText"/>
    <w:qFormat/>
    <w:rsid w:val="00961DBB"/>
    <w:pPr>
      <w:spacing w:before="340"/>
    </w:pPr>
  </w:style>
  <w:style w:type="character" w:customStyle="1" w:styleId="Heading1Char">
    <w:name w:val="Heading 1 Char"/>
    <w:basedOn w:val="DefaultParagraphFont"/>
    <w:link w:val="Heading1"/>
    <w:rsid w:val="000E266E"/>
    <w:rPr>
      <w:rFonts w:asciiTheme="majorHAnsi" w:hAnsiTheme="majorHAnsi"/>
      <w:bCs/>
      <w:color w:val="2B3B5F" w:themeColor="text2"/>
      <w:spacing w:val="-6"/>
      <w:kern w:val="32"/>
      <w:sz w:val="40"/>
      <w:szCs w:val="32"/>
    </w:rPr>
  </w:style>
  <w:style w:type="character" w:customStyle="1" w:styleId="Heading2Char">
    <w:name w:val="Heading 2 Char"/>
    <w:basedOn w:val="DefaultParagraphFont"/>
    <w:link w:val="Heading2"/>
    <w:rsid w:val="000E266E"/>
    <w:rPr>
      <w:rFonts w:asciiTheme="majorHAnsi" w:hAnsiTheme="majorHAnsi"/>
      <w:bCs/>
      <w:iCs/>
      <w:color w:val="2B3B5F" w:themeColor="text2"/>
      <w:kern w:val="20"/>
      <w:sz w:val="32"/>
      <w:szCs w:val="28"/>
    </w:rPr>
  </w:style>
  <w:style w:type="character" w:customStyle="1" w:styleId="Heading3Char">
    <w:name w:val="Heading 3 Char"/>
    <w:basedOn w:val="DefaultParagraphFont"/>
    <w:link w:val="Heading3"/>
    <w:rsid w:val="000E266E"/>
    <w:rPr>
      <w:b/>
      <w:color w:val="2B3B5F" w:themeColor="text2"/>
      <w:sz w:val="28"/>
    </w:rPr>
  </w:style>
  <w:style w:type="character" w:customStyle="1" w:styleId="Heading4Char">
    <w:name w:val="Heading 4 Char"/>
    <w:basedOn w:val="DefaultParagraphFont"/>
    <w:link w:val="Heading4"/>
    <w:rsid w:val="000E266E"/>
    <w:rPr>
      <w:rFonts w:eastAsiaTheme="majorEastAsia" w:cstheme="majorBidi"/>
      <w:b/>
      <w:bCs/>
      <w:i/>
      <w:iCs/>
      <w:color w:val="2B3B5F" w:themeColor="text2"/>
      <w:sz w:val="24"/>
    </w:rPr>
  </w:style>
  <w:style w:type="character" w:customStyle="1" w:styleId="Heading5Char">
    <w:name w:val="Heading 5 Char"/>
    <w:basedOn w:val="DefaultParagraphFont"/>
    <w:link w:val="Heading5"/>
    <w:rsid w:val="000E266E"/>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rsid w:val="000E266E"/>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ppendix Title Char"/>
    <w:basedOn w:val="DefaultParagraphFont"/>
    <w:link w:val="Heading8"/>
    <w:rsid w:val="000E266E"/>
    <w:rPr>
      <w:rFonts w:asciiTheme="majorHAnsi" w:eastAsiaTheme="majorEastAsia" w:hAnsiTheme="majorHAnsi" w:cstheme="majorBidi"/>
      <w:color w:val="2B3B5F" w:themeColor="text2"/>
      <w:sz w:val="40"/>
    </w:rPr>
  </w:style>
  <w:style w:type="character" w:customStyle="1" w:styleId="Heading9Char">
    <w:name w:val="Heading 9 Char"/>
    <w:aliases w:val="Appendix Heading 1 Char"/>
    <w:basedOn w:val="DefaultParagraphFont"/>
    <w:link w:val="Heading9"/>
    <w:rsid w:val="000E266E"/>
    <w:rPr>
      <w:rFonts w:asciiTheme="majorHAnsi" w:hAnsiTheme="majorHAnsi"/>
      <w:color w:val="2B3B5F" w:themeColor="text2"/>
      <w:sz w:val="32"/>
    </w:rPr>
  </w:style>
  <w:style w:type="paragraph" w:customStyle="1" w:styleId="AppendixHeading2">
    <w:name w:val="Appendix Heading 2"/>
    <w:basedOn w:val="Normal"/>
    <w:next w:val="BodyText"/>
    <w:rsid w:val="00CA5598"/>
    <w:pPr>
      <w:keepNext/>
      <w:keepLines/>
      <w:numPr>
        <w:ilvl w:val="2"/>
        <w:numId w:val="4"/>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ppendixHeading3">
    <w:name w:val="Appendix Heading 3"/>
    <w:basedOn w:val="Normal"/>
    <w:next w:val="BodyText"/>
    <w:rsid w:val="00CA5598"/>
    <w:pPr>
      <w:keepNext/>
      <w:keepLines/>
      <w:numPr>
        <w:ilvl w:val="3"/>
        <w:numId w:val="4"/>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rsid w:val="00961DBB"/>
    <w:rPr>
      <w:b/>
    </w:rPr>
  </w:style>
  <w:style w:type="character" w:customStyle="1" w:styleId="BoldAndItalics">
    <w:name w:val="Bold And Italics"/>
    <w:rsid w:val="00961DBB"/>
    <w:rPr>
      <w:b/>
      <w:i/>
    </w:rPr>
  </w:style>
  <w:style w:type="paragraph" w:styleId="Caption">
    <w:name w:val="caption"/>
    <w:basedOn w:val="Normal"/>
    <w:next w:val="BodyText"/>
    <w:rsid w:val="00961DBB"/>
    <w:pPr>
      <w:keepNext/>
      <w:spacing w:before="340" w:after="114"/>
    </w:pPr>
    <w:rPr>
      <w:b/>
      <w:bCs/>
      <w:color w:val="2B3B5F" w:themeColor="text2"/>
      <w:spacing w:val="-4"/>
    </w:rPr>
  </w:style>
  <w:style w:type="paragraph" w:styleId="Footer">
    <w:name w:val="footer"/>
    <w:basedOn w:val="Normal"/>
    <w:link w:val="FooterChar"/>
    <w:rsid w:val="00961DBB"/>
    <w:pPr>
      <w:spacing w:line="240" w:lineRule="auto"/>
    </w:pPr>
    <w:rPr>
      <w:b/>
      <w:color w:val="788184" w:themeColor="background2"/>
    </w:rPr>
  </w:style>
  <w:style w:type="character" w:customStyle="1" w:styleId="FooterChar">
    <w:name w:val="Footer Char"/>
    <w:basedOn w:val="DefaultParagraphFont"/>
    <w:link w:val="Footer"/>
    <w:rsid w:val="000E266E"/>
    <w:rPr>
      <w:b/>
      <w:color w:val="788184" w:themeColor="background2"/>
    </w:rPr>
  </w:style>
  <w:style w:type="paragraph" w:customStyle="1" w:styleId="FooterLeft">
    <w:name w:val="Footer Left"/>
    <w:basedOn w:val="Footer"/>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rsid w:val="00961DBB"/>
    <w:pPr>
      <w:framePr w:wrap="around" w:xAlign="right"/>
      <w:ind w:right="397"/>
      <w:jc w:val="right"/>
    </w:pPr>
  </w:style>
  <w:style w:type="paragraph" w:customStyle="1" w:styleId="FooterRightPageNumber">
    <w:name w:val="Footer Right Page Number"/>
    <w:basedOn w:val="Normal"/>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rsid w:val="00961DBB"/>
    <w:pPr>
      <w:framePr w:wrap="around" w:vAnchor="page" w:hAnchor="margin" w:yAlign="bottom"/>
      <w:spacing w:before="180" w:after="120"/>
      <w:ind w:right="57"/>
    </w:pPr>
  </w:style>
  <w:style w:type="paragraph" w:customStyle="1" w:styleId="FootnoteSeparator">
    <w:name w:val="Footnote Separator"/>
    <w:basedOn w:val="Normal"/>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rsid w:val="00961DBB"/>
    <w:pPr>
      <w:spacing w:line="240" w:lineRule="auto"/>
    </w:pPr>
  </w:style>
  <w:style w:type="character" w:customStyle="1" w:styleId="HeaderChar">
    <w:name w:val="Header Char"/>
    <w:basedOn w:val="DefaultParagraphFont"/>
    <w:link w:val="Header"/>
    <w:rsid w:val="000E266E"/>
  </w:style>
  <w:style w:type="paragraph" w:customStyle="1" w:styleId="HighlightText">
    <w:name w:val="Highlight Text"/>
    <w:basedOn w:val="Normal"/>
    <w:qFormat/>
    <w:rsid w:val="00961DBB"/>
    <w:pPr>
      <w:spacing w:before="120" w:after="420"/>
    </w:pPr>
    <w:rPr>
      <w:i/>
      <w:color w:val="2B3B5F" w:themeColor="text2"/>
      <w:spacing w:val="-1"/>
    </w:rPr>
  </w:style>
  <w:style w:type="paragraph" w:customStyle="1" w:styleId="Introduction">
    <w:name w:val="Introduction"/>
    <w:basedOn w:val="Normal"/>
    <w:next w:val="BodyText"/>
    <w:qFormat/>
    <w:rsid w:val="00961DBB"/>
    <w:pPr>
      <w:spacing w:after="180" w:line="360" w:lineRule="atLeast"/>
    </w:pPr>
    <w:rPr>
      <w:color w:val="2B3B5F" w:themeColor="text2"/>
      <w:spacing w:val="-2"/>
      <w:sz w:val="30"/>
    </w:rPr>
  </w:style>
  <w:style w:type="character" w:customStyle="1" w:styleId="Italics">
    <w:name w:val="Italics"/>
    <w:rsid w:val="00961DBB"/>
    <w:rPr>
      <w:i/>
    </w:rPr>
  </w:style>
  <w:style w:type="paragraph" w:styleId="ListBullet">
    <w:name w:val="List Bullet"/>
    <w:basedOn w:val="Normal"/>
    <w:unhideWhenUsed/>
    <w:qFormat/>
    <w:rsid w:val="00961DBB"/>
    <w:pPr>
      <w:keepLines/>
      <w:numPr>
        <w:numId w:val="6"/>
      </w:numPr>
      <w:spacing w:after="113"/>
    </w:pPr>
    <w:rPr>
      <w:spacing w:val="-1"/>
    </w:rPr>
  </w:style>
  <w:style w:type="paragraph" w:styleId="ListBullet2">
    <w:name w:val="List Bullet 2"/>
    <w:basedOn w:val="ListBullet"/>
    <w:unhideWhenUsed/>
    <w:qFormat/>
    <w:rsid w:val="00961DBB"/>
    <w:pPr>
      <w:numPr>
        <w:ilvl w:val="1"/>
      </w:numPr>
    </w:pPr>
  </w:style>
  <w:style w:type="paragraph" w:styleId="ListBullet3">
    <w:name w:val="List Bullet 3"/>
    <w:basedOn w:val="ListBullet2"/>
    <w:unhideWhenUsed/>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qFormat/>
    <w:rsid w:val="00961DBB"/>
    <w:pPr>
      <w:numPr>
        <w:numId w:val="12"/>
      </w:numPr>
      <w:spacing w:before="113" w:after="113"/>
    </w:pPr>
    <w:rPr>
      <w:spacing w:val="-1"/>
    </w:rPr>
  </w:style>
  <w:style w:type="paragraph" w:styleId="ListNumber2">
    <w:name w:val="List Number 2"/>
    <w:basedOn w:val="Normal"/>
    <w:qFormat/>
    <w:rsid w:val="00961DBB"/>
    <w:pPr>
      <w:numPr>
        <w:ilvl w:val="1"/>
        <w:numId w:val="12"/>
      </w:numPr>
      <w:spacing w:before="113" w:after="113"/>
    </w:pPr>
    <w:rPr>
      <w:spacing w:val="-1"/>
    </w:rPr>
  </w:style>
  <w:style w:type="paragraph" w:styleId="ListNumber3">
    <w:name w:val="List Number 3"/>
    <w:basedOn w:val="Normal"/>
    <w:qFormat/>
    <w:rsid w:val="00961DBB"/>
    <w:pPr>
      <w:numPr>
        <w:ilvl w:val="2"/>
        <w:numId w:val="12"/>
      </w:numPr>
      <w:spacing w:before="113" w:after="113"/>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rsid w:val="00961DBB"/>
    <w:pPr>
      <w:spacing w:line="240" w:lineRule="auto"/>
    </w:pPr>
    <w:rPr>
      <w:rFonts w:eastAsia="Times New Roman" w:cs="Arial"/>
      <w:lang w:eastAsia="en-AU"/>
    </w:rPr>
  </w:style>
  <w:style w:type="paragraph" w:customStyle="1" w:styleId="OverviewBodyText">
    <w:name w:val="Overview Body Text"/>
    <w:basedOn w:val="Normal"/>
    <w:rsid w:val="00512226"/>
    <w:pPr>
      <w:spacing w:after="113"/>
    </w:pPr>
  </w:style>
  <w:style w:type="paragraph" w:customStyle="1" w:styleId="OverviewHeading2">
    <w:name w:val="Overview Heading 2"/>
    <w:basedOn w:val="Normal"/>
    <w:next w:val="OverviewBodyText"/>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rsid w:val="00961DBB"/>
    <w:rPr>
      <w:color w:val="808080"/>
    </w:rPr>
  </w:style>
  <w:style w:type="paragraph" w:customStyle="1" w:styleId="PullOutBoxBodyText">
    <w:name w:val="Pull Out Box Body Text"/>
    <w:basedOn w:val="Normal"/>
    <w:qFormat/>
    <w:rsid w:val="00961DBB"/>
    <w:pPr>
      <w:spacing w:before="113" w:after="113"/>
      <w:ind w:left="227" w:right="170"/>
    </w:pPr>
    <w:rPr>
      <w:spacing w:val="-1"/>
    </w:rPr>
  </w:style>
  <w:style w:type="paragraph" w:customStyle="1" w:styleId="PullOutBoxBullet">
    <w:name w:val="Pull Out Box Bullet"/>
    <w:basedOn w:val="PullOutBoxBodyText"/>
    <w:qFormat/>
    <w:rsid w:val="00961DBB"/>
    <w:pPr>
      <w:numPr>
        <w:numId w:val="19"/>
      </w:numPr>
    </w:pPr>
  </w:style>
  <w:style w:type="paragraph" w:customStyle="1" w:styleId="PullOutBoxBullet2">
    <w:name w:val="Pull Out Box Bullet 2"/>
    <w:basedOn w:val="PullOutBoxBodyText"/>
    <w:qFormat/>
    <w:rsid w:val="00961DBB"/>
    <w:pPr>
      <w:numPr>
        <w:ilvl w:val="1"/>
        <w:numId w:val="19"/>
      </w:numPr>
    </w:pPr>
  </w:style>
  <w:style w:type="paragraph" w:customStyle="1" w:styleId="PullOutBoxBullet3">
    <w:name w:val="Pull Out Box Bullet 3"/>
    <w:basedOn w:val="PullOutBoxBodyText"/>
    <w:qFormat/>
    <w:rsid w:val="00961DBB"/>
    <w:pPr>
      <w:numPr>
        <w:ilvl w:val="2"/>
        <w:numId w:val="19"/>
      </w:numPr>
    </w:pPr>
  </w:style>
  <w:style w:type="paragraph" w:customStyle="1" w:styleId="PullOutBoxHeading">
    <w:name w:val="Pull Out Box Heading"/>
    <w:basedOn w:val="PullOutBoxBodyText"/>
    <w:qFormat/>
    <w:rsid w:val="009E446D"/>
    <w:pPr>
      <w:keepNext/>
      <w:keepLines/>
      <w:spacing w:before="114" w:after="114" w:line="360" w:lineRule="atLeast"/>
    </w:pPr>
    <w:rPr>
      <w:b/>
      <w:color w:val="2B3B5F" w:themeColor="text2"/>
      <w:sz w:val="28"/>
    </w:rPr>
  </w:style>
  <w:style w:type="paragraph" w:customStyle="1" w:styleId="PullOutBoxNumber">
    <w:name w:val="Pull Out Box Number"/>
    <w:basedOn w:val="PullOutBoxBodyText"/>
    <w:qFormat/>
    <w:rsid w:val="00961DBB"/>
    <w:pPr>
      <w:numPr>
        <w:numId w:val="22"/>
      </w:numPr>
    </w:pPr>
  </w:style>
  <w:style w:type="paragraph" w:customStyle="1" w:styleId="PullOutBoxNumber2">
    <w:name w:val="Pull Out Box Number 2"/>
    <w:basedOn w:val="PullOutBoxBodyText"/>
    <w:qFormat/>
    <w:rsid w:val="00961DBB"/>
    <w:pPr>
      <w:numPr>
        <w:ilvl w:val="1"/>
        <w:numId w:val="22"/>
      </w:numPr>
    </w:pPr>
  </w:style>
  <w:style w:type="paragraph" w:customStyle="1" w:styleId="PullOutBoxNumber3">
    <w:name w:val="Pull Out Box Number 3"/>
    <w:basedOn w:val="PullOutBoxBodyText"/>
    <w:qFormat/>
    <w:rsid w:val="00961DBB"/>
    <w:pPr>
      <w:numPr>
        <w:ilvl w:val="2"/>
        <w:numId w:val="22"/>
      </w:numPr>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qFormat/>
    <w:rsid w:val="00961DBB"/>
    <w:pPr>
      <w:tabs>
        <w:tab w:val="left" w:pos="1134"/>
      </w:tabs>
      <w:spacing w:before="240" w:after="240"/>
      <w:ind w:left="284"/>
    </w:pPr>
    <w:rPr>
      <w:i/>
      <w:iCs/>
    </w:rPr>
  </w:style>
  <w:style w:type="character" w:customStyle="1" w:styleId="QuoteChar">
    <w:name w:val="Quote Char"/>
    <w:basedOn w:val="DefaultParagraphFont"/>
    <w:link w:val="Quote"/>
    <w:rsid w:val="000E266E"/>
    <w:rPr>
      <w:i/>
      <w:iCs/>
    </w:rPr>
  </w:style>
  <w:style w:type="paragraph" w:customStyle="1" w:styleId="QuoteBullet">
    <w:name w:val="Quote Bullet"/>
    <w:basedOn w:val="Quote"/>
    <w:qFormat/>
    <w:rsid w:val="00961DBB"/>
    <w:pPr>
      <w:numPr>
        <w:numId w:val="24"/>
      </w:numPr>
    </w:pPr>
  </w:style>
  <w:style w:type="paragraph" w:customStyle="1" w:styleId="QuoteBullet2">
    <w:name w:val="Quote Bullet 2"/>
    <w:basedOn w:val="Quote"/>
    <w:qFormat/>
    <w:rsid w:val="00961DBB"/>
    <w:pPr>
      <w:numPr>
        <w:ilvl w:val="1"/>
        <w:numId w:val="24"/>
      </w:numPr>
      <w:tabs>
        <w:tab w:val="clear" w:pos="1134"/>
      </w:tabs>
    </w:pPr>
  </w:style>
  <w:style w:type="paragraph" w:customStyle="1" w:styleId="SectionHeading">
    <w:name w:val="Section Heading"/>
    <w:basedOn w:val="Normal"/>
    <w:next w:val="BodyText"/>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rsid w:val="00E45766"/>
    <w:rPr>
      <w:color w:val="751D71" w:themeColor="accent4"/>
      <w:sz w:val="40"/>
    </w:rPr>
  </w:style>
  <w:style w:type="paragraph" w:styleId="Subtitle">
    <w:name w:val="Subtitle"/>
    <w:basedOn w:val="Normal"/>
    <w:next w:val="Normal"/>
    <w:link w:val="SubtitleChar"/>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0E266E"/>
    <w:rPr>
      <w:rFonts w:asciiTheme="majorHAnsi" w:eastAsiaTheme="majorEastAsia" w:hAnsiTheme="majorHAnsi" w:cstheme="majorBidi"/>
      <w:iCs/>
      <w:spacing w:val="15"/>
    </w:rPr>
  </w:style>
  <w:style w:type="character" w:customStyle="1" w:styleId="Superscript">
    <w:name w:val="Superscript"/>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rsid w:val="00035ADE"/>
    <w:pPr>
      <w:keepLines/>
      <w:numPr>
        <w:numId w:val="25"/>
      </w:numPr>
      <w:spacing w:after="50"/>
    </w:pPr>
    <w:rPr>
      <w:color w:val="788184" w:themeColor="background2"/>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qFormat/>
    <w:rsid w:val="0048342E"/>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956D5A"/>
    <w:pPr>
      <w:jc w:val="center"/>
    </w:pPr>
    <w:rPr>
      <w:color w:val="auto"/>
    </w:rPr>
  </w:style>
  <w:style w:type="paragraph" w:customStyle="1" w:styleId="TableHeadingRight">
    <w:name w:val="Table Heading Right"/>
    <w:basedOn w:val="TableHeading"/>
    <w:qFormat/>
    <w:rsid w:val="00956D5A"/>
    <w:pPr>
      <w:jc w:val="right"/>
    </w:pPr>
  </w:style>
  <w:style w:type="paragraph" w:customStyle="1" w:styleId="Source">
    <w:name w:val="Source"/>
    <w:basedOn w:val="Normal"/>
    <w:next w:val="BodyText17ptAbove"/>
    <w:rsid w:val="00764F97"/>
    <w:pPr>
      <w:spacing w:after="114"/>
      <w:contextualSpacing/>
    </w:pPr>
    <w:rPr>
      <w:rFonts w:cs="Times New Roman"/>
      <w:color w:val="788184" w:themeColor="background2"/>
      <w:sz w:val="20"/>
      <w:szCs w:val="14"/>
    </w:rPr>
  </w:style>
  <w:style w:type="paragraph" w:customStyle="1" w:styleId="TableText">
    <w:name w:val="Table Text"/>
    <w:basedOn w:val="Normal"/>
    <w:qFormat/>
    <w:rsid w:val="0048342E"/>
    <w:pPr>
      <w:spacing w:before="70" w:after="70" w:line="260" w:lineRule="atLeast"/>
      <w:ind w:left="113" w:right="113"/>
    </w:pPr>
    <w:rPr>
      <w:rFonts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rsid w:val="00961DBB"/>
    <w:pPr>
      <w:numPr>
        <w:numId w:val="28"/>
      </w:numPr>
    </w:pPr>
  </w:style>
  <w:style w:type="paragraph" w:customStyle="1" w:styleId="TableTextBullet2">
    <w:name w:val="Table Text Bullet 2"/>
    <w:basedOn w:val="TableTextBullet"/>
    <w:qFormat/>
    <w:rsid w:val="00961DBB"/>
    <w:pPr>
      <w:numPr>
        <w:ilvl w:val="1"/>
      </w:numPr>
    </w:pPr>
    <w:rPr>
      <w:bCs/>
    </w:rPr>
  </w:style>
  <w:style w:type="paragraph" w:customStyle="1" w:styleId="TableTextBullet3">
    <w:name w:val="Table Text Bullet 3"/>
    <w:basedOn w:val="TableTextBullet2"/>
    <w:qFormat/>
    <w:rsid w:val="00961DBB"/>
    <w:pPr>
      <w:numPr>
        <w:ilvl w:val="2"/>
      </w:numPr>
    </w:pPr>
    <w:rPr>
      <w:bCs w:val="0"/>
    </w:rPr>
  </w:style>
  <w:style w:type="paragraph" w:customStyle="1" w:styleId="TableTextNumber">
    <w:name w:val="Table Text Number"/>
    <w:basedOn w:val="TableText"/>
    <w:qFormat/>
    <w:rsid w:val="00961DBB"/>
    <w:pPr>
      <w:numPr>
        <w:numId w:val="31"/>
      </w:numPr>
    </w:pPr>
  </w:style>
  <w:style w:type="paragraph" w:customStyle="1" w:styleId="TableTextNumber2">
    <w:name w:val="Table Text Number 2"/>
    <w:basedOn w:val="TableTextNumber"/>
    <w:qFormat/>
    <w:rsid w:val="00961DBB"/>
    <w:pPr>
      <w:numPr>
        <w:ilvl w:val="1"/>
      </w:numPr>
      <w:tabs>
        <w:tab w:val="clear" w:pos="709"/>
        <w:tab w:val="num" w:pos="680"/>
      </w:tabs>
      <w:ind w:left="680"/>
    </w:pPr>
  </w:style>
  <w:style w:type="paragraph" w:customStyle="1" w:styleId="TableTextNumber3">
    <w:name w:val="Table Text Number 3"/>
    <w:basedOn w:val="TableTextNumber2"/>
    <w:qFormat/>
    <w:rsid w:val="00961DBB"/>
    <w:pPr>
      <w:numPr>
        <w:ilvl w:val="2"/>
      </w:numPr>
    </w:pPr>
  </w:style>
  <w:style w:type="paragraph" w:customStyle="1" w:styleId="TableTextRight">
    <w:name w:val="Table Text Right"/>
    <w:basedOn w:val="TableText"/>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rsid w:val="00195228"/>
    <w:pPr>
      <w:spacing w:after="100" w:line="240" w:lineRule="auto"/>
      <w:jc w:val="right"/>
    </w:pPr>
    <w:rPr>
      <w:rFonts w:asciiTheme="majorHAnsi" w:eastAsiaTheme="majorEastAsia" w:hAnsiTheme="majorHAnsi" w:cstheme="majorBidi"/>
      <w:color w:val="2B3B5F" w:themeColor="text2"/>
      <w:spacing w:val="-2"/>
      <w:sz w:val="50"/>
      <w:szCs w:val="50"/>
    </w:rPr>
  </w:style>
  <w:style w:type="character" w:customStyle="1" w:styleId="TitleChar">
    <w:name w:val="Title Char"/>
    <w:basedOn w:val="DefaultParagraphFont"/>
    <w:link w:val="Title"/>
    <w:rsid w:val="000E266E"/>
    <w:rPr>
      <w:rFonts w:asciiTheme="majorHAnsi" w:eastAsiaTheme="majorEastAsia" w:hAnsiTheme="majorHAnsi" w:cstheme="majorBidi"/>
      <w:color w:val="2B3B5F" w:themeColor="text2"/>
      <w:spacing w:val="-2"/>
      <w:sz w:val="50"/>
      <w:szCs w:val="50"/>
    </w:rPr>
  </w:style>
  <w:style w:type="paragraph" w:customStyle="1" w:styleId="Title2">
    <w:name w:val="Title 2"/>
    <w:basedOn w:val="Normal"/>
    <w:link w:val="Title2Char"/>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rsid w:val="000E266E"/>
    <w:rPr>
      <w:rFonts w:asciiTheme="majorHAnsi" w:hAnsiTheme="majorHAnsi"/>
      <w:color w:val="FFFFFF"/>
      <w:spacing w:val="-2"/>
      <w:sz w:val="32"/>
    </w:rPr>
  </w:style>
  <w:style w:type="paragraph" w:customStyle="1" w:styleId="Title3">
    <w:name w:val="Title 3"/>
    <w:basedOn w:val="Title2"/>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left" w:pos="454"/>
        <w:tab w:val="right" w:leader="underscore" w:pos="8165"/>
      </w:tabs>
      <w:spacing w:after="227"/>
      <w:ind w:left="454" w:right="851" w:hanging="454"/>
    </w:pPr>
    <w:rPr>
      <w:b/>
      <w:noProof/>
      <w:color w:val="2B3B5F" w:themeColor="text2"/>
    </w:rPr>
  </w:style>
  <w:style w:type="paragraph" w:styleId="TOC2">
    <w:name w:val="toc 2"/>
    <w:basedOn w:val="Normal"/>
    <w:next w:val="Normal"/>
    <w:uiPriority w:val="39"/>
    <w:rsid w:val="001B2C65"/>
    <w:pPr>
      <w:tabs>
        <w:tab w:val="left" w:pos="1021"/>
        <w:tab w:val="right" w:leader="underscore" w:pos="8165"/>
      </w:tabs>
      <w:spacing w:after="227"/>
      <w:ind w:left="1021" w:right="851" w:hanging="567"/>
    </w:pPr>
    <w:rPr>
      <w:noProof/>
      <w:szCs w:val="28"/>
    </w:rPr>
  </w:style>
  <w:style w:type="paragraph" w:styleId="TOC3">
    <w:name w:val="toc 3"/>
    <w:basedOn w:val="Normal"/>
    <w:next w:val="Normal"/>
    <w:uiPriority w:val="39"/>
    <w:rsid w:val="001B2C65"/>
    <w:pPr>
      <w:tabs>
        <w:tab w:val="left" w:pos="1758"/>
        <w:tab w:val="right" w:leader="underscore" w:pos="8165"/>
      </w:tabs>
      <w:spacing w:after="227"/>
      <w:ind w:left="1758" w:right="851" w:hanging="737"/>
    </w:pPr>
    <w:rPr>
      <w:rFonts w:eastAsiaTheme="minorEastAsia"/>
      <w:noProof/>
    </w:rPr>
  </w:style>
  <w:style w:type="paragraph" w:styleId="TOC4">
    <w:name w:val="toc 4"/>
    <w:basedOn w:val="Normal"/>
    <w:uiPriority w:val="39"/>
    <w:rsid w:val="006C5E72"/>
    <w:pPr>
      <w:tabs>
        <w:tab w:val="right" w:leader="underscore" w:pos="8165"/>
      </w:tabs>
      <w:spacing w:after="80"/>
      <w:ind w:right="851"/>
    </w:pPr>
    <w:rPr>
      <w:noProof/>
    </w:rPr>
  </w:style>
  <w:style w:type="paragraph" w:styleId="TOC5">
    <w:name w:val="toc 5"/>
    <w:basedOn w:val="Normal"/>
    <w:next w:val="Normal"/>
    <w:autoRedefine/>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rsid w:val="00961DBB"/>
    <w:pPr>
      <w:tabs>
        <w:tab w:val="right" w:leader="dot" w:pos="9582"/>
      </w:tabs>
      <w:spacing w:after="227"/>
      <w:ind w:right="907"/>
    </w:pPr>
    <w:rPr>
      <w:color w:val="2B3B5F" w:themeColor="text2"/>
    </w:rPr>
  </w:style>
  <w:style w:type="paragraph" w:styleId="TOCHeading">
    <w:name w:val="TOC Heading"/>
    <w:basedOn w:val="Normal"/>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rsid w:val="000E266E"/>
    <w:rPr>
      <w:b/>
    </w:rPr>
  </w:style>
  <w:style w:type="paragraph" w:customStyle="1" w:styleId="xDisclaimerText">
    <w:name w:val="xDisclaimer Text"/>
    <w:basedOn w:val="Normal"/>
    <w:rsid w:val="00961DBB"/>
    <w:pPr>
      <w:spacing w:after="57" w:line="302" w:lineRule="atLeast"/>
    </w:pPr>
    <w:rPr>
      <w:rFonts w:cs="Times New Roman"/>
    </w:rPr>
  </w:style>
  <w:style w:type="paragraph" w:customStyle="1" w:styleId="xDisclaimerText2">
    <w:name w:val="xDisclaimer Text 2"/>
    <w:basedOn w:val="xDisclaimerHeading"/>
    <w:rsid w:val="00961DBB"/>
    <w:pPr>
      <w:framePr w:wrap="around"/>
      <w:spacing w:before="0" w:after="170" w:line="302" w:lineRule="atLeast"/>
    </w:pPr>
    <w:rPr>
      <w:b w:val="0"/>
    </w:rPr>
  </w:style>
  <w:style w:type="paragraph" w:customStyle="1" w:styleId="xDisclaimertext3">
    <w:name w:val="xDisclaimer text 3"/>
    <w:basedOn w:val="xDisclaimerText"/>
    <w:rsid w:val="00961DBB"/>
    <w:pPr>
      <w:spacing w:before="170" w:after="170"/>
    </w:pPr>
  </w:style>
  <w:style w:type="paragraph" w:customStyle="1" w:styleId="xInlineShape">
    <w:name w:val="xInlineShape"/>
    <w:basedOn w:val="Normal"/>
    <w:next w:val="BodyText"/>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rsid w:val="000E266E"/>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rsid w:val="00FD6119"/>
    <w:pPr>
      <w:spacing w:before="240"/>
    </w:pPr>
  </w:style>
  <w:style w:type="paragraph" w:customStyle="1" w:styleId="xBackPageWebAddress">
    <w:name w:val="xBack Page Web Address"/>
    <w:basedOn w:val="Normal"/>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qFormat/>
    <w:rsid w:val="00A12C39"/>
    <w:pPr>
      <w:numPr>
        <w:numId w:val="0"/>
      </w:numPr>
    </w:pPr>
  </w:style>
  <w:style w:type="paragraph" w:styleId="TableofFigures">
    <w:name w:val="table of figures"/>
    <w:basedOn w:val="Normal"/>
    <w:next w:val="Normal"/>
    <w:rsid w:val="00D64CE2"/>
    <w:pPr>
      <w:tabs>
        <w:tab w:val="right" w:leader="underscore" w:pos="8165"/>
      </w:tabs>
      <w:spacing w:after="80"/>
      <w:ind w:right="851"/>
    </w:pPr>
  </w:style>
  <w:style w:type="paragraph" w:customStyle="1" w:styleId="SectionHeadingNoTOC">
    <w:name w:val="Section Heading No TOC"/>
    <w:basedOn w:val="SectionHeading"/>
    <w:rsid w:val="00E45766"/>
  </w:style>
  <w:style w:type="paragraph" w:customStyle="1" w:styleId="TableTextCentred">
    <w:name w:val="Table Text Centred"/>
    <w:basedOn w:val="TableText"/>
    <w:qFormat/>
    <w:rsid w:val="00AE1CC1"/>
    <w:pPr>
      <w:jc w:val="center"/>
    </w:pPr>
    <w:rPr>
      <w:rFonts w:eastAsia="Times New Roman"/>
      <w:lang w:eastAsia="en-AU"/>
    </w:rPr>
  </w:style>
  <w:style w:type="paragraph" w:customStyle="1" w:styleId="FooterRightPageNumberLS">
    <w:name w:val="Footer Right Page Number LS"/>
    <w:basedOn w:val="Normal"/>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styleId="TOC9">
    <w:name w:val="toc 9"/>
    <w:basedOn w:val="Normal"/>
    <w:next w:val="Normal"/>
    <w:autoRedefine/>
    <w:semiHidden/>
    <w:unhideWhenUsed/>
    <w:rsid w:val="0032183F"/>
    <w:pPr>
      <w:spacing w:after="100"/>
      <w:ind w:left="1760"/>
    </w:pPr>
  </w:style>
  <w:style w:type="character" w:styleId="FollowedHyperlink">
    <w:name w:val="FollowedHyperlink"/>
    <w:basedOn w:val="DefaultParagraphFont"/>
    <w:semiHidden/>
    <w:unhideWhenUsed/>
    <w:rsid w:val="00EC68C2"/>
    <w:rPr>
      <w:color w:val="000000" w:themeColor="followedHyperlink"/>
      <w:u w:val="single"/>
    </w:rPr>
  </w:style>
  <w:style w:type="character" w:styleId="CommentReference">
    <w:name w:val="annotation reference"/>
    <w:basedOn w:val="DefaultParagraphFont"/>
    <w:semiHidden/>
    <w:unhideWhenUsed/>
    <w:rsid w:val="00D3619A"/>
    <w:rPr>
      <w:sz w:val="16"/>
      <w:szCs w:val="16"/>
    </w:rPr>
  </w:style>
  <w:style w:type="paragraph" w:styleId="CommentText">
    <w:name w:val="annotation text"/>
    <w:basedOn w:val="Normal"/>
    <w:link w:val="CommentTextChar"/>
    <w:semiHidden/>
    <w:unhideWhenUsed/>
    <w:rsid w:val="00D3619A"/>
    <w:pPr>
      <w:spacing w:line="240" w:lineRule="auto"/>
    </w:pPr>
    <w:rPr>
      <w:sz w:val="20"/>
      <w:szCs w:val="20"/>
    </w:rPr>
  </w:style>
  <w:style w:type="character" w:customStyle="1" w:styleId="CommentTextChar">
    <w:name w:val="Comment Text Char"/>
    <w:basedOn w:val="DefaultParagraphFont"/>
    <w:link w:val="CommentText"/>
    <w:semiHidden/>
    <w:rsid w:val="00D3619A"/>
    <w:rPr>
      <w:sz w:val="20"/>
      <w:szCs w:val="20"/>
    </w:rPr>
  </w:style>
  <w:style w:type="paragraph" w:styleId="CommentSubject">
    <w:name w:val="annotation subject"/>
    <w:basedOn w:val="CommentText"/>
    <w:next w:val="CommentText"/>
    <w:link w:val="CommentSubjectChar"/>
    <w:semiHidden/>
    <w:unhideWhenUsed/>
    <w:rsid w:val="00D3619A"/>
    <w:rPr>
      <w:b/>
      <w:bCs/>
    </w:rPr>
  </w:style>
  <w:style w:type="character" w:customStyle="1" w:styleId="CommentSubjectChar">
    <w:name w:val="Comment Subject Char"/>
    <w:basedOn w:val="CommentTextChar"/>
    <w:link w:val="CommentSubject"/>
    <w:semiHidden/>
    <w:rsid w:val="00D3619A"/>
    <w:rPr>
      <w:b/>
      <w:bCs/>
      <w:sz w:val="20"/>
      <w:szCs w:val="20"/>
    </w:rPr>
  </w:style>
  <w:style w:type="paragraph" w:styleId="ListParagraph">
    <w:name w:val="List Paragraph"/>
    <w:basedOn w:val="Normal"/>
    <w:rsid w:val="00BE7D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note text" w:uiPriority="99"/>
    <w:lsdException w:name="caption" w:qFormat="1"/>
    <w:lsdException w:name="table of figures" w:semiHidden="0" w:unhideWhenUsed="0"/>
    <w:lsdException w:name="footnote reference" w:uiPriority="99"/>
    <w:lsdException w:name="List Bullet" w:qFormat="1"/>
    <w:lsdException w:name="List Number" w:qFormat="1"/>
    <w:lsdException w:name="List Bullet 2"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lsdException w:name="Quote" w:semiHidden="0" w:unhideWhenUsed="0" w:qFormat="1"/>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qFormat/>
    <w:rsid w:val="000E266E"/>
  </w:style>
  <w:style w:type="paragraph" w:styleId="Heading1">
    <w:name w:val="heading 1"/>
    <w:basedOn w:val="Normal"/>
    <w:next w:val="BodyText"/>
    <w:link w:val="Heading1Char"/>
    <w:qFormat/>
    <w:rsid w:val="00733970"/>
    <w:pPr>
      <w:keepNext/>
      <w:keepLines/>
      <w:numPr>
        <w:numId w:val="33"/>
      </w:numPr>
      <w:tabs>
        <w:tab w:val="right" w:pos="1418"/>
        <w:tab w:val="right" w:pos="1701"/>
        <w:tab w:val="right" w:pos="1985"/>
      </w:tabs>
      <w:spacing w:before="480" w:after="340" w:line="240" w:lineRule="auto"/>
      <w:outlineLvl w:val="0"/>
    </w:pPr>
    <w:rPr>
      <w:rFonts w:asciiTheme="majorHAnsi" w:hAnsiTheme="majorHAnsi"/>
      <w:bCs/>
      <w:color w:val="2B3B5F" w:themeColor="text2"/>
      <w:spacing w:val="-6"/>
      <w:kern w:val="32"/>
      <w:sz w:val="40"/>
      <w:szCs w:val="32"/>
    </w:rPr>
  </w:style>
  <w:style w:type="paragraph" w:styleId="Heading2">
    <w:name w:val="heading 2"/>
    <w:basedOn w:val="Normal"/>
    <w:next w:val="BodyText"/>
    <w:link w:val="Heading2Char"/>
    <w:qFormat/>
    <w:rsid w:val="00961DBB"/>
    <w:pPr>
      <w:keepNext/>
      <w:keepLines/>
      <w:numPr>
        <w:ilvl w:val="1"/>
        <w:numId w:val="33"/>
      </w:numPr>
      <w:tabs>
        <w:tab w:val="left" w:pos="1418"/>
        <w:tab w:val="left" w:pos="1701"/>
        <w:tab w:val="left" w:pos="1985"/>
      </w:tabs>
      <w:spacing w:before="470" w:after="227"/>
      <w:outlineLvl w:val="1"/>
    </w:pPr>
    <w:rPr>
      <w:rFonts w:asciiTheme="majorHAnsi" w:hAnsiTheme="majorHAnsi"/>
      <w:bCs/>
      <w:iCs/>
      <w:color w:val="2B3B5F" w:themeColor="text2"/>
      <w:kern w:val="20"/>
      <w:sz w:val="32"/>
      <w:szCs w:val="28"/>
    </w:rPr>
  </w:style>
  <w:style w:type="paragraph" w:styleId="Heading3">
    <w:name w:val="heading 3"/>
    <w:basedOn w:val="Normal"/>
    <w:next w:val="BodyText"/>
    <w:link w:val="Heading3Char"/>
    <w:qFormat/>
    <w:rsid w:val="00B620EE"/>
    <w:pPr>
      <w:keepNext/>
      <w:keepLines/>
      <w:numPr>
        <w:ilvl w:val="2"/>
        <w:numId w:val="33"/>
      </w:numPr>
      <w:tabs>
        <w:tab w:val="left" w:pos="1418"/>
        <w:tab w:val="left" w:pos="1701"/>
        <w:tab w:val="left" w:pos="1985"/>
      </w:tabs>
      <w:spacing w:before="470" w:after="227"/>
      <w:outlineLvl w:val="2"/>
    </w:pPr>
    <w:rPr>
      <w:b/>
      <w:color w:val="2B3B5F" w:themeColor="text2"/>
      <w:sz w:val="28"/>
    </w:rPr>
  </w:style>
  <w:style w:type="paragraph" w:styleId="Heading4">
    <w:name w:val="heading 4"/>
    <w:basedOn w:val="Normal"/>
    <w:next w:val="BodyText"/>
    <w:link w:val="Heading4Char"/>
    <w:qFormat/>
    <w:rsid w:val="00B620EE"/>
    <w:pPr>
      <w:keepNext/>
      <w:keepLines/>
      <w:tabs>
        <w:tab w:val="left" w:pos="1418"/>
        <w:tab w:val="left" w:pos="1701"/>
        <w:tab w:val="left" w:pos="1985"/>
      </w:tabs>
      <w:spacing w:before="227" w:after="113"/>
      <w:outlineLvl w:val="3"/>
    </w:pPr>
    <w:rPr>
      <w:rFonts w:eastAsiaTheme="majorEastAsia" w:cstheme="majorBidi"/>
      <w:b/>
      <w:bCs/>
      <w:i/>
      <w:iCs/>
      <w:color w:val="2B3B5F" w:themeColor="text2"/>
      <w:sz w:val="24"/>
    </w:rPr>
  </w:style>
  <w:style w:type="paragraph" w:styleId="Heading5">
    <w:name w:val="heading 5"/>
    <w:basedOn w:val="Normal"/>
    <w:next w:val="BodyText"/>
    <w:link w:val="Heading5Char"/>
    <w:qFormat/>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qFormat/>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rsid w:val="00CA5598"/>
    <w:pPr>
      <w:keepNext/>
      <w:keepLines/>
      <w:numPr>
        <w:numId w:val="4"/>
      </w:numPr>
      <w:tabs>
        <w:tab w:val="left" w:pos="4536"/>
      </w:tabs>
      <w:spacing w:before="480" w:after="340"/>
      <w:outlineLvl w:val="7"/>
    </w:pPr>
    <w:rPr>
      <w:rFonts w:asciiTheme="majorHAnsi" w:eastAsiaTheme="majorEastAsia" w:hAnsiTheme="majorHAnsi" w:cstheme="majorBidi"/>
      <w:color w:val="2B3B5F" w:themeColor="text2"/>
      <w:sz w:val="40"/>
    </w:rPr>
  </w:style>
  <w:style w:type="paragraph" w:styleId="Heading9">
    <w:name w:val="heading 9"/>
    <w:aliases w:val="Appendix Heading 1"/>
    <w:basedOn w:val="Normal"/>
    <w:next w:val="BodyText"/>
    <w:link w:val="Heading9Char"/>
    <w:rsid w:val="00CA5598"/>
    <w:pPr>
      <w:keepNext/>
      <w:keepLines/>
      <w:numPr>
        <w:ilvl w:val="1"/>
        <w:numId w:val="4"/>
      </w:numPr>
      <w:tabs>
        <w:tab w:val="left" w:pos="1559"/>
        <w:tab w:val="left" w:pos="1843"/>
        <w:tab w:val="left" w:pos="2126"/>
        <w:tab w:val="left" w:pos="2410"/>
      </w:tabs>
      <w:spacing w:before="470" w:after="227"/>
      <w:outlineLvl w:val="8"/>
    </w:pPr>
    <w:rPr>
      <w:rFonts w:asciiTheme="majorHAnsi" w:hAnsiTheme="majorHAnsi"/>
      <w:color w:val="2B3B5F"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uiPriority w:val="99"/>
    <w:rsid w:val="000E266E"/>
    <w:rPr>
      <w:kern w:val="16"/>
      <w:sz w:val="18"/>
    </w:rPr>
  </w:style>
  <w:style w:type="character" w:styleId="FootnoteReference">
    <w:name w:val="footnote reference"/>
    <w:basedOn w:val="DefaultParagraphFont"/>
    <w:uiPriority w:val="99"/>
    <w:rsid w:val="00961DBB"/>
    <w:rPr>
      <w:rFonts w:asciiTheme="minorHAnsi" w:hAnsiTheme="minorHAnsi"/>
      <w:color w:val="auto"/>
      <w:vertAlign w:val="superscript"/>
    </w:rPr>
  </w:style>
  <w:style w:type="paragraph" w:styleId="BodyText">
    <w:name w:val="Body Text"/>
    <w:basedOn w:val="Normal"/>
    <w:link w:val="BodyTextChar"/>
    <w:qFormat/>
    <w:rsid w:val="008D5A11"/>
    <w:pPr>
      <w:spacing w:before="113" w:after="113"/>
    </w:pPr>
    <w:rPr>
      <w:rFonts w:cs="Times New Roman"/>
      <w:spacing w:val="-1"/>
    </w:rPr>
  </w:style>
  <w:style w:type="character" w:customStyle="1" w:styleId="BodyTextChar">
    <w:name w:val="Body Text Char"/>
    <w:basedOn w:val="DefaultParagraphFont"/>
    <w:link w:val="BodyText"/>
    <w:rsid w:val="000E266E"/>
    <w:rPr>
      <w:rFonts w:cs="Times New Roman"/>
      <w:spacing w:val="-1"/>
    </w:rPr>
  </w:style>
  <w:style w:type="paragraph" w:customStyle="1" w:styleId="BodyText17ptAbove">
    <w:name w:val="Body Text 17pt Above"/>
    <w:basedOn w:val="BodyText"/>
    <w:next w:val="BodyText"/>
    <w:qFormat/>
    <w:rsid w:val="00961DBB"/>
    <w:pPr>
      <w:spacing w:before="340"/>
    </w:pPr>
  </w:style>
  <w:style w:type="character" w:customStyle="1" w:styleId="Heading1Char">
    <w:name w:val="Heading 1 Char"/>
    <w:basedOn w:val="DefaultParagraphFont"/>
    <w:link w:val="Heading1"/>
    <w:rsid w:val="000E266E"/>
    <w:rPr>
      <w:rFonts w:asciiTheme="majorHAnsi" w:hAnsiTheme="majorHAnsi"/>
      <w:bCs/>
      <w:color w:val="2B3B5F" w:themeColor="text2"/>
      <w:spacing w:val="-6"/>
      <w:kern w:val="32"/>
      <w:sz w:val="40"/>
      <w:szCs w:val="32"/>
    </w:rPr>
  </w:style>
  <w:style w:type="character" w:customStyle="1" w:styleId="Heading2Char">
    <w:name w:val="Heading 2 Char"/>
    <w:basedOn w:val="DefaultParagraphFont"/>
    <w:link w:val="Heading2"/>
    <w:rsid w:val="000E266E"/>
    <w:rPr>
      <w:rFonts w:asciiTheme="majorHAnsi" w:hAnsiTheme="majorHAnsi"/>
      <w:bCs/>
      <w:iCs/>
      <w:color w:val="2B3B5F" w:themeColor="text2"/>
      <w:kern w:val="20"/>
      <w:sz w:val="32"/>
      <w:szCs w:val="28"/>
    </w:rPr>
  </w:style>
  <w:style w:type="character" w:customStyle="1" w:styleId="Heading3Char">
    <w:name w:val="Heading 3 Char"/>
    <w:basedOn w:val="DefaultParagraphFont"/>
    <w:link w:val="Heading3"/>
    <w:rsid w:val="000E266E"/>
    <w:rPr>
      <w:b/>
      <w:color w:val="2B3B5F" w:themeColor="text2"/>
      <w:sz w:val="28"/>
    </w:rPr>
  </w:style>
  <w:style w:type="character" w:customStyle="1" w:styleId="Heading4Char">
    <w:name w:val="Heading 4 Char"/>
    <w:basedOn w:val="DefaultParagraphFont"/>
    <w:link w:val="Heading4"/>
    <w:rsid w:val="000E266E"/>
    <w:rPr>
      <w:rFonts w:eastAsiaTheme="majorEastAsia" w:cstheme="majorBidi"/>
      <w:b/>
      <w:bCs/>
      <w:i/>
      <w:iCs/>
      <w:color w:val="2B3B5F" w:themeColor="text2"/>
      <w:sz w:val="24"/>
    </w:rPr>
  </w:style>
  <w:style w:type="character" w:customStyle="1" w:styleId="Heading5Char">
    <w:name w:val="Heading 5 Char"/>
    <w:basedOn w:val="DefaultParagraphFont"/>
    <w:link w:val="Heading5"/>
    <w:rsid w:val="000E266E"/>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rsid w:val="000E266E"/>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ppendix Title Char"/>
    <w:basedOn w:val="DefaultParagraphFont"/>
    <w:link w:val="Heading8"/>
    <w:rsid w:val="000E266E"/>
    <w:rPr>
      <w:rFonts w:asciiTheme="majorHAnsi" w:eastAsiaTheme="majorEastAsia" w:hAnsiTheme="majorHAnsi" w:cstheme="majorBidi"/>
      <w:color w:val="2B3B5F" w:themeColor="text2"/>
      <w:sz w:val="40"/>
    </w:rPr>
  </w:style>
  <w:style w:type="character" w:customStyle="1" w:styleId="Heading9Char">
    <w:name w:val="Heading 9 Char"/>
    <w:aliases w:val="Appendix Heading 1 Char"/>
    <w:basedOn w:val="DefaultParagraphFont"/>
    <w:link w:val="Heading9"/>
    <w:rsid w:val="000E266E"/>
    <w:rPr>
      <w:rFonts w:asciiTheme="majorHAnsi" w:hAnsiTheme="majorHAnsi"/>
      <w:color w:val="2B3B5F" w:themeColor="text2"/>
      <w:sz w:val="32"/>
    </w:rPr>
  </w:style>
  <w:style w:type="paragraph" w:customStyle="1" w:styleId="AppendixHeading2">
    <w:name w:val="Appendix Heading 2"/>
    <w:basedOn w:val="Normal"/>
    <w:next w:val="BodyText"/>
    <w:rsid w:val="00CA5598"/>
    <w:pPr>
      <w:keepNext/>
      <w:keepLines/>
      <w:numPr>
        <w:ilvl w:val="2"/>
        <w:numId w:val="4"/>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ppendixHeading3">
    <w:name w:val="Appendix Heading 3"/>
    <w:basedOn w:val="Normal"/>
    <w:next w:val="BodyText"/>
    <w:rsid w:val="00CA5598"/>
    <w:pPr>
      <w:keepNext/>
      <w:keepLines/>
      <w:numPr>
        <w:ilvl w:val="3"/>
        <w:numId w:val="4"/>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rsid w:val="00961DBB"/>
    <w:rPr>
      <w:b/>
    </w:rPr>
  </w:style>
  <w:style w:type="character" w:customStyle="1" w:styleId="BoldAndItalics">
    <w:name w:val="Bold And Italics"/>
    <w:rsid w:val="00961DBB"/>
    <w:rPr>
      <w:b/>
      <w:i/>
    </w:rPr>
  </w:style>
  <w:style w:type="paragraph" w:styleId="Caption">
    <w:name w:val="caption"/>
    <w:basedOn w:val="Normal"/>
    <w:next w:val="BodyText"/>
    <w:rsid w:val="00961DBB"/>
    <w:pPr>
      <w:keepNext/>
      <w:spacing w:before="340" w:after="114"/>
    </w:pPr>
    <w:rPr>
      <w:b/>
      <w:bCs/>
      <w:color w:val="2B3B5F" w:themeColor="text2"/>
      <w:spacing w:val="-4"/>
    </w:rPr>
  </w:style>
  <w:style w:type="paragraph" w:styleId="Footer">
    <w:name w:val="footer"/>
    <w:basedOn w:val="Normal"/>
    <w:link w:val="FooterChar"/>
    <w:rsid w:val="00961DBB"/>
    <w:pPr>
      <w:spacing w:line="240" w:lineRule="auto"/>
    </w:pPr>
    <w:rPr>
      <w:b/>
      <w:color w:val="788184" w:themeColor="background2"/>
    </w:rPr>
  </w:style>
  <w:style w:type="character" w:customStyle="1" w:styleId="FooterChar">
    <w:name w:val="Footer Char"/>
    <w:basedOn w:val="DefaultParagraphFont"/>
    <w:link w:val="Footer"/>
    <w:rsid w:val="000E266E"/>
    <w:rPr>
      <w:b/>
      <w:color w:val="788184" w:themeColor="background2"/>
    </w:rPr>
  </w:style>
  <w:style w:type="paragraph" w:customStyle="1" w:styleId="FooterLeft">
    <w:name w:val="Footer Left"/>
    <w:basedOn w:val="Footer"/>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rsid w:val="00961DBB"/>
    <w:pPr>
      <w:framePr w:wrap="around" w:xAlign="right"/>
      <w:ind w:right="397"/>
      <w:jc w:val="right"/>
    </w:pPr>
  </w:style>
  <w:style w:type="paragraph" w:customStyle="1" w:styleId="FooterRightPageNumber">
    <w:name w:val="Footer Right Page Number"/>
    <w:basedOn w:val="Normal"/>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rsid w:val="00961DBB"/>
    <w:pPr>
      <w:framePr w:wrap="around" w:vAnchor="page" w:hAnchor="margin" w:yAlign="bottom"/>
      <w:spacing w:before="180" w:after="120"/>
      <w:ind w:right="57"/>
    </w:pPr>
  </w:style>
  <w:style w:type="paragraph" w:customStyle="1" w:styleId="FootnoteSeparator">
    <w:name w:val="Footnote Separator"/>
    <w:basedOn w:val="Normal"/>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rsid w:val="00961DBB"/>
    <w:pPr>
      <w:spacing w:line="240" w:lineRule="auto"/>
    </w:pPr>
  </w:style>
  <w:style w:type="character" w:customStyle="1" w:styleId="HeaderChar">
    <w:name w:val="Header Char"/>
    <w:basedOn w:val="DefaultParagraphFont"/>
    <w:link w:val="Header"/>
    <w:rsid w:val="000E266E"/>
  </w:style>
  <w:style w:type="paragraph" w:customStyle="1" w:styleId="HighlightText">
    <w:name w:val="Highlight Text"/>
    <w:basedOn w:val="Normal"/>
    <w:qFormat/>
    <w:rsid w:val="00961DBB"/>
    <w:pPr>
      <w:spacing w:before="120" w:after="420"/>
    </w:pPr>
    <w:rPr>
      <w:i/>
      <w:color w:val="2B3B5F" w:themeColor="text2"/>
      <w:spacing w:val="-1"/>
    </w:rPr>
  </w:style>
  <w:style w:type="paragraph" w:customStyle="1" w:styleId="Introduction">
    <w:name w:val="Introduction"/>
    <w:basedOn w:val="Normal"/>
    <w:next w:val="BodyText"/>
    <w:qFormat/>
    <w:rsid w:val="00961DBB"/>
    <w:pPr>
      <w:spacing w:after="180" w:line="360" w:lineRule="atLeast"/>
    </w:pPr>
    <w:rPr>
      <w:color w:val="2B3B5F" w:themeColor="text2"/>
      <w:spacing w:val="-2"/>
      <w:sz w:val="30"/>
    </w:rPr>
  </w:style>
  <w:style w:type="character" w:customStyle="1" w:styleId="Italics">
    <w:name w:val="Italics"/>
    <w:rsid w:val="00961DBB"/>
    <w:rPr>
      <w:i/>
    </w:rPr>
  </w:style>
  <w:style w:type="paragraph" w:styleId="ListBullet">
    <w:name w:val="List Bullet"/>
    <w:basedOn w:val="Normal"/>
    <w:unhideWhenUsed/>
    <w:qFormat/>
    <w:rsid w:val="00961DBB"/>
    <w:pPr>
      <w:keepLines/>
      <w:numPr>
        <w:numId w:val="6"/>
      </w:numPr>
      <w:spacing w:after="113"/>
    </w:pPr>
    <w:rPr>
      <w:spacing w:val="-1"/>
    </w:rPr>
  </w:style>
  <w:style w:type="paragraph" w:styleId="ListBullet2">
    <w:name w:val="List Bullet 2"/>
    <w:basedOn w:val="ListBullet"/>
    <w:unhideWhenUsed/>
    <w:qFormat/>
    <w:rsid w:val="00961DBB"/>
    <w:pPr>
      <w:numPr>
        <w:ilvl w:val="1"/>
      </w:numPr>
    </w:pPr>
  </w:style>
  <w:style w:type="paragraph" w:styleId="ListBullet3">
    <w:name w:val="List Bullet 3"/>
    <w:basedOn w:val="ListBullet2"/>
    <w:unhideWhenUsed/>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qFormat/>
    <w:rsid w:val="00961DBB"/>
    <w:pPr>
      <w:numPr>
        <w:numId w:val="12"/>
      </w:numPr>
      <w:spacing w:before="113" w:after="113"/>
    </w:pPr>
    <w:rPr>
      <w:spacing w:val="-1"/>
    </w:rPr>
  </w:style>
  <w:style w:type="paragraph" w:styleId="ListNumber2">
    <w:name w:val="List Number 2"/>
    <w:basedOn w:val="Normal"/>
    <w:qFormat/>
    <w:rsid w:val="00961DBB"/>
    <w:pPr>
      <w:numPr>
        <w:ilvl w:val="1"/>
        <w:numId w:val="12"/>
      </w:numPr>
      <w:spacing w:before="113" w:after="113"/>
    </w:pPr>
    <w:rPr>
      <w:spacing w:val="-1"/>
    </w:rPr>
  </w:style>
  <w:style w:type="paragraph" w:styleId="ListNumber3">
    <w:name w:val="List Number 3"/>
    <w:basedOn w:val="Normal"/>
    <w:qFormat/>
    <w:rsid w:val="00961DBB"/>
    <w:pPr>
      <w:numPr>
        <w:ilvl w:val="2"/>
        <w:numId w:val="12"/>
      </w:numPr>
      <w:spacing w:before="113" w:after="113"/>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rsid w:val="00961DBB"/>
    <w:pPr>
      <w:spacing w:line="240" w:lineRule="auto"/>
    </w:pPr>
    <w:rPr>
      <w:rFonts w:eastAsia="Times New Roman" w:cs="Arial"/>
      <w:lang w:eastAsia="en-AU"/>
    </w:rPr>
  </w:style>
  <w:style w:type="paragraph" w:customStyle="1" w:styleId="OverviewBodyText">
    <w:name w:val="Overview Body Text"/>
    <w:basedOn w:val="Normal"/>
    <w:rsid w:val="00512226"/>
    <w:pPr>
      <w:spacing w:after="113"/>
    </w:pPr>
  </w:style>
  <w:style w:type="paragraph" w:customStyle="1" w:styleId="OverviewHeading2">
    <w:name w:val="Overview Heading 2"/>
    <w:basedOn w:val="Normal"/>
    <w:next w:val="OverviewBodyText"/>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rsid w:val="00961DBB"/>
    <w:rPr>
      <w:color w:val="808080"/>
    </w:rPr>
  </w:style>
  <w:style w:type="paragraph" w:customStyle="1" w:styleId="PullOutBoxBodyText">
    <w:name w:val="Pull Out Box Body Text"/>
    <w:basedOn w:val="Normal"/>
    <w:qFormat/>
    <w:rsid w:val="00961DBB"/>
    <w:pPr>
      <w:spacing w:before="113" w:after="113"/>
      <w:ind w:left="227" w:right="170"/>
    </w:pPr>
    <w:rPr>
      <w:spacing w:val="-1"/>
    </w:rPr>
  </w:style>
  <w:style w:type="paragraph" w:customStyle="1" w:styleId="PullOutBoxBullet">
    <w:name w:val="Pull Out Box Bullet"/>
    <w:basedOn w:val="PullOutBoxBodyText"/>
    <w:qFormat/>
    <w:rsid w:val="00961DBB"/>
    <w:pPr>
      <w:numPr>
        <w:numId w:val="19"/>
      </w:numPr>
    </w:pPr>
  </w:style>
  <w:style w:type="paragraph" w:customStyle="1" w:styleId="PullOutBoxBullet2">
    <w:name w:val="Pull Out Box Bullet 2"/>
    <w:basedOn w:val="PullOutBoxBodyText"/>
    <w:qFormat/>
    <w:rsid w:val="00961DBB"/>
    <w:pPr>
      <w:numPr>
        <w:ilvl w:val="1"/>
        <w:numId w:val="19"/>
      </w:numPr>
    </w:pPr>
  </w:style>
  <w:style w:type="paragraph" w:customStyle="1" w:styleId="PullOutBoxBullet3">
    <w:name w:val="Pull Out Box Bullet 3"/>
    <w:basedOn w:val="PullOutBoxBodyText"/>
    <w:qFormat/>
    <w:rsid w:val="00961DBB"/>
    <w:pPr>
      <w:numPr>
        <w:ilvl w:val="2"/>
        <w:numId w:val="19"/>
      </w:numPr>
    </w:pPr>
  </w:style>
  <w:style w:type="paragraph" w:customStyle="1" w:styleId="PullOutBoxHeading">
    <w:name w:val="Pull Out Box Heading"/>
    <w:basedOn w:val="PullOutBoxBodyText"/>
    <w:qFormat/>
    <w:rsid w:val="009E446D"/>
    <w:pPr>
      <w:keepNext/>
      <w:keepLines/>
      <w:spacing w:before="114" w:after="114" w:line="360" w:lineRule="atLeast"/>
    </w:pPr>
    <w:rPr>
      <w:b/>
      <w:color w:val="2B3B5F" w:themeColor="text2"/>
      <w:sz w:val="28"/>
    </w:rPr>
  </w:style>
  <w:style w:type="paragraph" w:customStyle="1" w:styleId="PullOutBoxNumber">
    <w:name w:val="Pull Out Box Number"/>
    <w:basedOn w:val="PullOutBoxBodyText"/>
    <w:qFormat/>
    <w:rsid w:val="00961DBB"/>
    <w:pPr>
      <w:numPr>
        <w:numId w:val="22"/>
      </w:numPr>
    </w:pPr>
  </w:style>
  <w:style w:type="paragraph" w:customStyle="1" w:styleId="PullOutBoxNumber2">
    <w:name w:val="Pull Out Box Number 2"/>
    <w:basedOn w:val="PullOutBoxBodyText"/>
    <w:qFormat/>
    <w:rsid w:val="00961DBB"/>
    <w:pPr>
      <w:numPr>
        <w:ilvl w:val="1"/>
        <w:numId w:val="22"/>
      </w:numPr>
    </w:pPr>
  </w:style>
  <w:style w:type="paragraph" w:customStyle="1" w:styleId="PullOutBoxNumber3">
    <w:name w:val="Pull Out Box Number 3"/>
    <w:basedOn w:val="PullOutBoxBodyText"/>
    <w:qFormat/>
    <w:rsid w:val="00961DBB"/>
    <w:pPr>
      <w:numPr>
        <w:ilvl w:val="2"/>
        <w:numId w:val="22"/>
      </w:numPr>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qFormat/>
    <w:rsid w:val="00961DBB"/>
    <w:pPr>
      <w:tabs>
        <w:tab w:val="left" w:pos="1134"/>
      </w:tabs>
      <w:spacing w:before="240" w:after="240"/>
      <w:ind w:left="284"/>
    </w:pPr>
    <w:rPr>
      <w:i/>
      <w:iCs/>
    </w:rPr>
  </w:style>
  <w:style w:type="character" w:customStyle="1" w:styleId="QuoteChar">
    <w:name w:val="Quote Char"/>
    <w:basedOn w:val="DefaultParagraphFont"/>
    <w:link w:val="Quote"/>
    <w:rsid w:val="000E266E"/>
    <w:rPr>
      <w:i/>
      <w:iCs/>
    </w:rPr>
  </w:style>
  <w:style w:type="paragraph" w:customStyle="1" w:styleId="QuoteBullet">
    <w:name w:val="Quote Bullet"/>
    <w:basedOn w:val="Quote"/>
    <w:qFormat/>
    <w:rsid w:val="00961DBB"/>
    <w:pPr>
      <w:numPr>
        <w:numId w:val="24"/>
      </w:numPr>
    </w:pPr>
  </w:style>
  <w:style w:type="paragraph" w:customStyle="1" w:styleId="QuoteBullet2">
    <w:name w:val="Quote Bullet 2"/>
    <w:basedOn w:val="Quote"/>
    <w:qFormat/>
    <w:rsid w:val="00961DBB"/>
    <w:pPr>
      <w:numPr>
        <w:ilvl w:val="1"/>
        <w:numId w:val="24"/>
      </w:numPr>
      <w:tabs>
        <w:tab w:val="clear" w:pos="1134"/>
      </w:tabs>
    </w:pPr>
  </w:style>
  <w:style w:type="paragraph" w:customStyle="1" w:styleId="SectionHeading">
    <w:name w:val="Section Heading"/>
    <w:basedOn w:val="Normal"/>
    <w:next w:val="BodyText"/>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rsid w:val="00E45766"/>
    <w:rPr>
      <w:color w:val="751D71" w:themeColor="accent4"/>
      <w:sz w:val="40"/>
    </w:rPr>
  </w:style>
  <w:style w:type="paragraph" w:styleId="Subtitle">
    <w:name w:val="Subtitle"/>
    <w:basedOn w:val="Normal"/>
    <w:next w:val="Normal"/>
    <w:link w:val="SubtitleChar"/>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0E266E"/>
    <w:rPr>
      <w:rFonts w:asciiTheme="majorHAnsi" w:eastAsiaTheme="majorEastAsia" w:hAnsiTheme="majorHAnsi" w:cstheme="majorBidi"/>
      <w:iCs/>
      <w:spacing w:val="15"/>
    </w:rPr>
  </w:style>
  <w:style w:type="character" w:customStyle="1" w:styleId="Superscript">
    <w:name w:val="Superscript"/>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rsid w:val="00035ADE"/>
    <w:pPr>
      <w:keepLines/>
      <w:numPr>
        <w:numId w:val="25"/>
      </w:numPr>
      <w:spacing w:after="50"/>
    </w:pPr>
    <w:rPr>
      <w:color w:val="788184" w:themeColor="background2"/>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qFormat/>
    <w:rsid w:val="0048342E"/>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956D5A"/>
    <w:pPr>
      <w:jc w:val="center"/>
    </w:pPr>
    <w:rPr>
      <w:color w:val="auto"/>
    </w:rPr>
  </w:style>
  <w:style w:type="paragraph" w:customStyle="1" w:styleId="TableHeadingRight">
    <w:name w:val="Table Heading Right"/>
    <w:basedOn w:val="TableHeading"/>
    <w:qFormat/>
    <w:rsid w:val="00956D5A"/>
    <w:pPr>
      <w:jc w:val="right"/>
    </w:pPr>
  </w:style>
  <w:style w:type="paragraph" w:customStyle="1" w:styleId="Source">
    <w:name w:val="Source"/>
    <w:basedOn w:val="Normal"/>
    <w:next w:val="BodyText17ptAbove"/>
    <w:rsid w:val="00764F97"/>
    <w:pPr>
      <w:spacing w:after="114"/>
      <w:contextualSpacing/>
    </w:pPr>
    <w:rPr>
      <w:rFonts w:cs="Times New Roman"/>
      <w:color w:val="788184" w:themeColor="background2"/>
      <w:sz w:val="20"/>
      <w:szCs w:val="14"/>
    </w:rPr>
  </w:style>
  <w:style w:type="paragraph" w:customStyle="1" w:styleId="TableText">
    <w:name w:val="Table Text"/>
    <w:basedOn w:val="Normal"/>
    <w:qFormat/>
    <w:rsid w:val="0048342E"/>
    <w:pPr>
      <w:spacing w:before="70" w:after="70" w:line="260" w:lineRule="atLeast"/>
      <w:ind w:left="113" w:right="113"/>
    </w:pPr>
    <w:rPr>
      <w:rFonts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rsid w:val="00961DBB"/>
    <w:pPr>
      <w:numPr>
        <w:numId w:val="28"/>
      </w:numPr>
    </w:pPr>
  </w:style>
  <w:style w:type="paragraph" w:customStyle="1" w:styleId="TableTextBullet2">
    <w:name w:val="Table Text Bullet 2"/>
    <w:basedOn w:val="TableTextBullet"/>
    <w:qFormat/>
    <w:rsid w:val="00961DBB"/>
    <w:pPr>
      <w:numPr>
        <w:ilvl w:val="1"/>
      </w:numPr>
    </w:pPr>
    <w:rPr>
      <w:bCs/>
    </w:rPr>
  </w:style>
  <w:style w:type="paragraph" w:customStyle="1" w:styleId="TableTextBullet3">
    <w:name w:val="Table Text Bullet 3"/>
    <w:basedOn w:val="TableTextBullet2"/>
    <w:qFormat/>
    <w:rsid w:val="00961DBB"/>
    <w:pPr>
      <w:numPr>
        <w:ilvl w:val="2"/>
      </w:numPr>
    </w:pPr>
    <w:rPr>
      <w:bCs w:val="0"/>
    </w:rPr>
  </w:style>
  <w:style w:type="paragraph" w:customStyle="1" w:styleId="TableTextNumber">
    <w:name w:val="Table Text Number"/>
    <w:basedOn w:val="TableText"/>
    <w:qFormat/>
    <w:rsid w:val="00961DBB"/>
    <w:pPr>
      <w:numPr>
        <w:numId w:val="31"/>
      </w:numPr>
    </w:pPr>
  </w:style>
  <w:style w:type="paragraph" w:customStyle="1" w:styleId="TableTextNumber2">
    <w:name w:val="Table Text Number 2"/>
    <w:basedOn w:val="TableTextNumber"/>
    <w:qFormat/>
    <w:rsid w:val="00961DBB"/>
    <w:pPr>
      <w:numPr>
        <w:ilvl w:val="1"/>
      </w:numPr>
      <w:tabs>
        <w:tab w:val="clear" w:pos="709"/>
        <w:tab w:val="num" w:pos="680"/>
      </w:tabs>
      <w:ind w:left="680"/>
    </w:pPr>
  </w:style>
  <w:style w:type="paragraph" w:customStyle="1" w:styleId="TableTextNumber3">
    <w:name w:val="Table Text Number 3"/>
    <w:basedOn w:val="TableTextNumber2"/>
    <w:qFormat/>
    <w:rsid w:val="00961DBB"/>
    <w:pPr>
      <w:numPr>
        <w:ilvl w:val="2"/>
      </w:numPr>
    </w:pPr>
  </w:style>
  <w:style w:type="paragraph" w:customStyle="1" w:styleId="TableTextRight">
    <w:name w:val="Table Text Right"/>
    <w:basedOn w:val="TableText"/>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rsid w:val="00195228"/>
    <w:pPr>
      <w:spacing w:after="100" w:line="240" w:lineRule="auto"/>
      <w:jc w:val="right"/>
    </w:pPr>
    <w:rPr>
      <w:rFonts w:asciiTheme="majorHAnsi" w:eastAsiaTheme="majorEastAsia" w:hAnsiTheme="majorHAnsi" w:cstheme="majorBidi"/>
      <w:color w:val="2B3B5F" w:themeColor="text2"/>
      <w:spacing w:val="-2"/>
      <w:sz w:val="50"/>
      <w:szCs w:val="50"/>
    </w:rPr>
  </w:style>
  <w:style w:type="character" w:customStyle="1" w:styleId="TitleChar">
    <w:name w:val="Title Char"/>
    <w:basedOn w:val="DefaultParagraphFont"/>
    <w:link w:val="Title"/>
    <w:rsid w:val="000E266E"/>
    <w:rPr>
      <w:rFonts w:asciiTheme="majorHAnsi" w:eastAsiaTheme="majorEastAsia" w:hAnsiTheme="majorHAnsi" w:cstheme="majorBidi"/>
      <w:color w:val="2B3B5F" w:themeColor="text2"/>
      <w:spacing w:val="-2"/>
      <w:sz w:val="50"/>
      <w:szCs w:val="50"/>
    </w:rPr>
  </w:style>
  <w:style w:type="paragraph" w:customStyle="1" w:styleId="Title2">
    <w:name w:val="Title 2"/>
    <w:basedOn w:val="Normal"/>
    <w:link w:val="Title2Char"/>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rsid w:val="000E266E"/>
    <w:rPr>
      <w:rFonts w:asciiTheme="majorHAnsi" w:hAnsiTheme="majorHAnsi"/>
      <w:color w:val="FFFFFF"/>
      <w:spacing w:val="-2"/>
      <w:sz w:val="32"/>
    </w:rPr>
  </w:style>
  <w:style w:type="paragraph" w:customStyle="1" w:styleId="Title3">
    <w:name w:val="Title 3"/>
    <w:basedOn w:val="Title2"/>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left" w:pos="454"/>
        <w:tab w:val="right" w:leader="underscore" w:pos="8165"/>
      </w:tabs>
      <w:spacing w:after="227"/>
      <w:ind w:left="454" w:right="851" w:hanging="454"/>
    </w:pPr>
    <w:rPr>
      <w:b/>
      <w:noProof/>
      <w:color w:val="2B3B5F" w:themeColor="text2"/>
    </w:rPr>
  </w:style>
  <w:style w:type="paragraph" w:styleId="TOC2">
    <w:name w:val="toc 2"/>
    <w:basedOn w:val="Normal"/>
    <w:next w:val="Normal"/>
    <w:uiPriority w:val="39"/>
    <w:rsid w:val="001B2C65"/>
    <w:pPr>
      <w:tabs>
        <w:tab w:val="left" w:pos="1021"/>
        <w:tab w:val="right" w:leader="underscore" w:pos="8165"/>
      </w:tabs>
      <w:spacing w:after="227"/>
      <w:ind w:left="1021" w:right="851" w:hanging="567"/>
    </w:pPr>
    <w:rPr>
      <w:noProof/>
      <w:szCs w:val="28"/>
    </w:rPr>
  </w:style>
  <w:style w:type="paragraph" w:styleId="TOC3">
    <w:name w:val="toc 3"/>
    <w:basedOn w:val="Normal"/>
    <w:next w:val="Normal"/>
    <w:uiPriority w:val="39"/>
    <w:rsid w:val="001B2C65"/>
    <w:pPr>
      <w:tabs>
        <w:tab w:val="left" w:pos="1758"/>
        <w:tab w:val="right" w:leader="underscore" w:pos="8165"/>
      </w:tabs>
      <w:spacing w:after="227"/>
      <w:ind w:left="1758" w:right="851" w:hanging="737"/>
    </w:pPr>
    <w:rPr>
      <w:rFonts w:eastAsiaTheme="minorEastAsia"/>
      <w:noProof/>
    </w:rPr>
  </w:style>
  <w:style w:type="paragraph" w:styleId="TOC4">
    <w:name w:val="toc 4"/>
    <w:basedOn w:val="Normal"/>
    <w:uiPriority w:val="39"/>
    <w:rsid w:val="006C5E72"/>
    <w:pPr>
      <w:tabs>
        <w:tab w:val="right" w:leader="underscore" w:pos="8165"/>
      </w:tabs>
      <w:spacing w:after="80"/>
      <w:ind w:right="851"/>
    </w:pPr>
    <w:rPr>
      <w:noProof/>
    </w:rPr>
  </w:style>
  <w:style w:type="paragraph" w:styleId="TOC5">
    <w:name w:val="toc 5"/>
    <w:basedOn w:val="Normal"/>
    <w:next w:val="Normal"/>
    <w:autoRedefine/>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rsid w:val="00961DBB"/>
    <w:pPr>
      <w:tabs>
        <w:tab w:val="right" w:leader="dot" w:pos="9582"/>
      </w:tabs>
      <w:spacing w:after="227"/>
      <w:ind w:right="907"/>
    </w:pPr>
    <w:rPr>
      <w:color w:val="2B3B5F" w:themeColor="text2"/>
    </w:rPr>
  </w:style>
  <w:style w:type="paragraph" w:styleId="TOCHeading">
    <w:name w:val="TOC Heading"/>
    <w:basedOn w:val="Normal"/>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rsid w:val="000E266E"/>
    <w:rPr>
      <w:b/>
    </w:rPr>
  </w:style>
  <w:style w:type="paragraph" w:customStyle="1" w:styleId="xDisclaimerText">
    <w:name w:val="xDisclaimer Text"/>
    <w:basedOn w:val="Normal"/>
    <w:rsid w:val="00961DBB"/>
    <w:pPr>
      <w:spacing w:after="57" w:line="302" w:lineRule="atLeast"/>
    </w:pPr>
    <w:rPr>
      <w:rFonts w:cs="Times New Roman"/>
    </w:rPr>
  </w:style>
  <w:style w:type="paragraph" w:customStyle="1" w:styleId="xDisclaimerText2">
    <w:name w:val="xDisclaimer Text 2"/>
    <w:basedOn w:val="xDisclaimerHeading"/>
    <w:rsid w:val="00961DBB"/>
    <w:pPr>
      <w:framePr w:wrap="around"/>
      <w:spacing w:before="0" w:after="170" w:line="302" w:lineRule="atLeast"/>
    </w:pPr>
    <w:rPr>
      <w:b w:val="0"/>
    </w:rPr>
  </w:style>
  <w:style w:type="paragraph" w:customStyle="1" w:styleId="xDisclaimertext3">
    <w:name w:val="xDisclaimer text 3"/>
    <w:basedOn w:val="xDisclaimerText"/>
    <w:rsid w:val="00961DBB"/>
    <w:pPr>
      <w:spacing w:before="170" w:after="170"/>
    </w:pPr>
  </w:style>
  <w:style w:type="paragraph" w:customStyle="1" w:styleId="xInlineShape">
    <w:name w:val="xInlineShape"/>
    <w:basedOn w:val="Normal"/>
    <w:next w:val="BodyText"/>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rsid w:val="000E266E"/>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rsid w:val="00FD6119"/>
    <w:pPr>
      <w:spacing w:before="240"/>
    </w:pPr>
  </w:style>
  <w:style w:type="paragraph" w:customStyle="1" w:styleId="xBackPageWebAddress">
    <w:name w:val="xBack Page Web Address"/>
    <w:basedOn w:val="Normal"/>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qFormat/>
    <w:rsid w:val="00A12C39"/>
    <w:pPr>
      <w:numPr>
        <w:numId w:val="0"/>
      </w:numPr>
    </w:pPr>
  </w:style>
  <w:style w:type="paragraph" w:styleId="TableofFigures">
    <w:name w:val="table of figures"/>
    <w:basedOn w:val="Normal"/>
    <w:next w:val="Normal"/>
    <w:rsid w:val="00D64CE2"/>
    <w:pPr>
      <w:tabs>
        <w:tab w:val="right" w:leader="underscore" w:pos="8165"/>
      </w:tabs>
      <w:spacing w:after="80"/>
      <w:ind w:right="851"/>
    </w:pPr>
  </w:style>
  <w:style w:type="paragraph" w:customStyle="1" w:styleId="SectionHeadingNoTOC">
    <w:name w:val="Section Heading No TOC"/>
    <w:basedOn w:val="SectionHeading"/>
    <w:rsid w:val="00E45766"/>
  </w:style>
  <w:style w:type="paragraph" w:customStyle="1" w:styleId="TableTextCentred">
    <w:name w:val="Table Text Centred"/>
    <w:basedOn w:val="TableText"/>
    <w:qFormat/>
    <w:rsid w:val="00AE1CC1"/>
    <w:pPr>
      <w:jc w:val="center"/>
    </w:pPr>
    <w:rPr>
      <w:rFonts w:eastAsia="Times New Roman"/>
      <w:lang w:eastAsia="en-AU"/>
    </w:rPr>
  </w:style>
  <w:style w:type="paragraph" w:customStyle="1" w:styleId="FooterRightPageNumberLS">
    <w:name w:val="Footer Right Page Number LS"/>
    <w:basedOn w:val="Normal"/>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styleId="TOC9">
    <w:name w:val="toc 9"/>
    <w:basedOn w:val="Normal"/>
    <w:next w:val="Normal"/>
    <w:autoRedefine/>
    <w:semiHidden/>
    <w:unhideWhenUsed/>
    <w:rsid w:val="0032183F"/>
    <w:pPr>
      <w:spacing w:after="100"/>
      <w:ind w:left="1760"/>
    </w:pPr>
  </w:style>
  <w:style w:type="character" w:styleId="FollowedHyperlink">
    <w:name w:val="FollowedHyperlink"/>
    <w:basedOn w:val="DefaultParagraphFont"/>
    <w:semiHidden/>
    <w:unhideWhenUsed/>
    <w:rsid w:val="00EC68C2"/>
    <w:rPr>
      <w:color w:val="000000" w:themeColor="followedHyperlink"/>
      <w:u w:val="single"/>
    </w:rPr>
  </w:style>
  <w:style w:type="character" w:styleId="CommentReference">
    <w:name w:val="annotation reference"/>
    <w:basedOn w:val="DefaultParagraphFont"/>
    <w:semiHidden/>
    <w:unhideWhenUsed/>
    <w:rsid w:val="00D3619A"/>
    <w:rPr>
      <w:sz w:val="16"/>
      <w:szCs w:val="16"/>
    </w:rPr>
  </w:style>
  <w:style w:type="paragraph" w:styleId="CommentText">
    <w:name w:val="annotation text"/>
    <w:basedOn w:val="Normal"/>
    <w:link w:val="CommentTextChar"/>
    <w:semiHidden/>
    <w:unhideWhenUsed/>
    <w:rsid w:val="00D3619A"/>
    <w:pPr>
      <w:spacing w:line="240" w:lineRule="auto"/>
    </w:pPr>
    <w:rPr>
      <w:sz w:val="20"/>
      <w:szCs w:val="20"/>
    </w:rPr>
  </w:style>
  <w:style w:type="character" w:customStyle="1" w:styleId="CommentTextChar">
    <w:name w:val="Comment Text Char"/>
    <w:basedOn w:val="DefaultParagraphFont"/>
    <w:link w:val="CommentText"/>
    <w:semiHidden/>
    <w:rsid w:val="00D3619A"/>
    <w:rPr>
      <w:sz w:val="20"/>
      <w:szCs w:val="20"/>
    </w:rPr>
  </w:style>
  <w:style w:type="paragraph" w:styleId="CommentSubject">
    <w:name w:val="annotation subject"/>
    <w:basedOn w:val="CommentText"/>
    <w:next w:val="CommentText"/>
    <w:link w:val="CommentSubjectChar"/>
    <w:semiHidden/>
    <w:unhideWhenUsed/>
    <w:rsid w:val="00D3619A"/>
    <w:rPr>
      <w:b/>
      <w:bCs/>
    </w:rPr>
  </w:style>
  <w:style w:type="character" w:customStyle="1" w:styleId="CommentSubjectChar">
    <w:name w:val="Comment Subject Char"/>
    <w:basedOn w:val="CommentTextChar"/>
    <w:link w:val="CommentSubject"/>
    <w:semiHidden/>
    <w:rsid w:val="00D3619A"/>
    <w:rPr>
      <w:b/>
      <w:bCs/>
      <w:sz w:val="20"/>
      <w:szCs w:val="20"/>
    </w:rPr>
  </w:style>
  <w:style w:type="paragraph" w:styleId="ListParagraph">
    <w:name w:val="List Paragraph"/>
    <w:basedOn w:val="Normal"/>
    <w:rsid w:val="00BE7D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74221">
      <w:bodyDiv w:val="1"/>
      <w:marLeft w:val="0"/>
      <w:marRight w:val="0"/>
      <w:marTop w:val="0"/>
      <w:marBottom w:val="0"/>
      <w:divBdr>
        <w:top w:val="none" w:sz="0" w:space="0" w:color="auto"/>
        <w:left w:val="none" w:sz="0" w:space="0" w:color="auto"/>
        <w:bottom w:val="none" w:sz="0" w:space="0" w:color="auto"/>
        <w:right w:val="none" w:sz="0" w:space="0" w:color="auto"/>
      </w:divBdr>
    </w:div>
    <w:div w:id="230234839">
      <w:bodyDiv w:val="1"/>
      <w:marLeft w:val="0"/>
      <w:marRight w:val="0"/>
      <w:marTop w:val="0"/>
      <w:marBottom w:val="0"/>
      <w:divBdr>
        <w:top w:val="none" w:sz="0" w:space="0" w:color="auto"/>
        <w:left w:val="none" w:sz="0" w:space="0" w:color="auto"/>
        <w:bottom w:val="none" w:sz="0" w:space="0" w:color="auto"/>
        <w:right w:val="none" w:sz="0" w:space="0" w:color="auto"/>
      </w:divBdr>
    </w:div>
    <w:div w:id="584850498">
      <w:bodyDiv w:val="1"/>
      <w:marLeft w:val="0"/>
      <w:marRight w:val="0"/>
      <w:marTop w:val="0"/>
      <w:marBottom w:val="0"/>
      <w:divBdr>
        <w:top w:val="none" w:sz="0" w:space="0" w:color="auto"/>
        <w:left w:val="none" w:sz="0" w:space="0" w:color="auto"/>
        <w:bottom w:val="none" w:sz="0" w:space="0" w:color="auto"/>
        <w:right w:val="none" w:sz="0" w:space="0" w:color="auto"/>
      </w:divBdr>
    </w:div>
    <w:div w:id="715397025">
      <w:bodyDiv w:val="1"/>
      <w:marLeft w:val="0"/>
      <w:marRight w:val="0"/>
      <w:marTop w:val="0"/>
      <w:marBottom w:val="0"/>
      <w:divBdr>
        <w:top w:val="none" w:sz="0" w:space="0" w:color="auto"/>
        <w:left w:val="none" w:sz="0" w:space="0" w:color="auto"/>
        <w:bottom w:val="none" w:sz="0" w:space="0" w:color="auto"/>
        <w:right w:val="none" w:sz="0" w:space="0" w:color="auto"/>
      </w:divBdr>
    </w:div>
    <w:div w:id="1015035475">
      <w:bodyDiv w:val="1"/>
      <w:marLeft w:val="0"/>
      <w:marRight w:val="0"/>
      <w:marTop w:val="0"/>
      <w:marBottom w:val="0"/>
      <w:divBdr>
        <w:top w:val="none" w:sz="0" w:space="0" w:color="auto"/>
        <w:left w:val="none" w:sz="0" w:space="0" w:color="auto"/>
        <w:bottom w:val="none" w:sz="0" w:space="0" w:color="auto"/>
        <w:right w:val="none" w:sz="0" w:space="0" w:color="auto"/>
      </w:divBdr>
    </w:div>
    <w:div w:id="1260061176">
      <w:bodyDiv w:val="1"/>
      <w:marLeft w:val="0"/>
      <w:marRight w:val="0"/>
      <w:marTop w:val="0"/>
      <w:marBottom w:val="0"/>
      <w:divBdr>
        <w:top w:val="none" w:sz="0" w:space="0" w:color="auto"/>
        <w:left w:val="none" w:sz="0" w:space="0" w:color="auto"/>
        <w:bottom w:val="none" w:sz="0" w:space="0" w:color="auto"/>
        <w:right w:val="none" w:sz="0" w:space="0" w:color="auto"/>
      </w:divBdr>
    </w:div>
    <w:div w:id="1444377217">
      <w:bodyDiv w:val="1"/>
      <w:marLeft w:val="0"/>
      <w:marRight w:val="0"/>
      <w:marTop w:val="0"/>
      <w:marBottom w:val="0"/>
      <w:divBdr>
        <w:top w:val="none" w:sz="0" w:space="0" w:color="auto"/>
        <w:left w:val="none" w:sz="0" w:space="0" w:color="auto"/>
        <w:bottom w:val="none" w:sz="0" w:space="0" w:color="auto"/>
        <w:right w:val="none" w:sz="0" w:space="0" w:color="auto"/>
      </w:divBdr>
    </w:div>
    <w:div w:id="1631594148">
      <w:bodyDiv w:val="1"/>
      <w:marLeft w:val="0"/>
      <w:marRight w:val="0"/>
      <w:marTop w:val="0"/>
      <w:marBottom w:val="0"/>
      <w:divBdr>
        <w:top w:val="none" w:sz="0" w:space="0" w:color="auto"/>
        <w:left w:val="none" w:sz="0" w:space="0" w:color="auto"/>
        <w:bottom w:val="none" w:sz="0" w:space="0" w:color="auto"/>
        <w:right w:val="none" w:sz="0" w:space="0" w:color="auto"/>
      </w:divBdr>
    </w:div>
    <w:div w:id="1906450585">
      <w:bodyDiv w:val="1"/>
      <w:marLeft w:val="0"/>
      <w:marRight w:val="0"/>
      <w:marTop w:val="0"/>
      <w:marBottom w:val="0"/>
      <w:divBdr>
        <w:top w:val="none" w:sz="0" w:space="0" w:color="auto"/>
        <w:left w:val="none" w:sz="0" w:space="0" w:color="auto"/>
        <w:bottom w:val="none" w:sz="0" w:space="0" w:color="auto"/>
        <w:right w:val="none" w:sz="0" w:space="0" w:color="auto"/>
      </w:divBdr>
    </w:div>
    <w:div w:id="192841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nc-nd/3.0/au/" TargetMode="External"/><Relationship Id="rId18" Type="http://schemas.openxmlformats.org/officeDocument/2006/relationships/header" Target="header6.xml"/><Relationship Id="rId26" Type="http://schemas.openxmlformats.org/officeDocument/2006/relationships/footer" Target="footer4.xml"/><Relationship Id="rId39" Type="http://schemas.openxmlformats.org/officeDocument/2006/relationships/image" Target="media/image9.png"/><Relationship Id="rId21" Type="http://schemas.openxmlformats.org/officeDocument/2006/relationships/footer" Target="footer2.xml"/><Relationship Id="rId34" Type="http://schemas.openxmlformats.org/officeDocument/2006/relationships/footer" Target="footer5.xml"/><Relationship Id="rId42" Type="http://schemas.openxmlformats.org/officeDocument/2006/relationships/header" Target="header17.xml"/><Relationship Id="rId47" Type="http://schemas.openxmlformats.org/officeDocument/2006/relationships/header" Target="header19.xml"/><Relationship Id="rId50" Type="http://schemas.openxmlformats.org/officeDocument/2006/relationships/footer" Target="footer11.xml"/><Relationship Id="rId55" Type="http://schemas.openxmlformats.org/officeDocument/2006/relationships/footer" Target="footer13.xml"/><Relationship Id="rId63" Type="http://schemas.openxmlformats.org/officeDocument/2006/relationships/footer" Target="footer16.xml"/><Relationship Id="rId68" Type="http://schemas.openxmlformats.org/officeDocument/2006/relationships/footer" Target="footer19.xm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www.pbo.gov.au/" TargetMode="Externa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image" Target="media/image4.png"/><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header" Target="header13.xml"/><Relationship Id="rId37" Type="http://schemas.openxmlformats.org/officeDocument/2006/relationships/image" Target="media/image7.png"/><Relationship Id="rId40" Type="http://schemas.openxmlformats.org/officeDocument/2006/relationships/image" Target="media/image10.png"/><Relationship Id="rId45" Type="http://schemas.openxmlformats.org/officeDocument/2006/relationships/header" Target="header18.xml"/><Relationship Id="rId53" Type="http://schemas.openxmlformats.org/officeDocument/2006/relationships/header" Target="header22.xml"/><Relationship Id="rId58" Type="http://schemas.openxmlformats.org/officeDocument/2006/relationships/footer" Target="footer15.xml"/><Relationship Id="rId66" Type="http://schemas.openxmlformats.org/officeDocument/2006/relationships/footer" Target="footer18.xml"/><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image" Target="media/image3.png"/><Relationship Id="rId36" Type="http://schemas.openxmlformats.org/officeDocument/2006/relationships/header" Target="header15.xml"/><Relationship Id="rId49" Type="http://schemas.openxmlformats.org/officeDocument/2006/relationships/footer" Target="footer10.xml"/><Relationship Id="rId57" Type="http://schemas.openxmlformats.org/officeDocument/2006/relationships/header" Target="header24.xml"/><Relationship Id="rId61" Type="http://schemas.openxmlformats.org/officeDocument/2006/relationships/header" Target="header25.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image" Target="media/image6.png"/><Relationship Id="rId44" Type="http://schemas.openxmlformats.org/officeDocument/2006/relationships/footer" Target="footer8.xml"/><Relationship Id="rId52" Type="http://schemas.openxmlformats.org/officeDocument/2006/relationships/footer" Target="footer12.xml"/><Relationship Id="rId60" Type="http://schemas.openxmlformats.org/officeDocument/2006/relationships/hyperlink" Target="http://ministers.education.gov.au/pyne/building-world-class-higher-education-system" TargetMode="External"/><Relationship Id="rId65" Type="http://schemas.openxmlformats.org/officeDocument/2006/relationships/header" Target="header27.xml"/><Relationship Id="rId73" Type="http://schemas.openxmlformats.org/officeDocument/2006/relationships/footer" Target="footer2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itsanhonour.gov.au/coat-arms" TargetMode="External"/><Relationship Id="rId22" Type="http://schemas.openxmlformats.org/officeDocument/2006/relationships/footer" Target="footer3.xml"/><Relationship Id="rId27" Type="http://schemas.openxmlformats.org/officeDocument/2006/relationships/header" Target="header12.xml"/><Relationship Id="rId30" Type="http://schemas.openxmlformats.org/officeDocument/2006/relationships/image" Target="media/image5.png"/><Relationship Id="rId35" Type="http://schemas.openxmlformats.org/officeDocument/2006/relationships/footer" Target="footer6.xml"/><Relationship Id="rId43" Type="http://schemas.openxmlformats.org/officeDocument/2006/relationships/footer" Target="footer7.xml"/><Relationship Id="rId48" Type="http://schemas.openxmlformats.org/officeDocument/2006/relationships/header" Target="header20.xml"/><Relationship Id="rId56" Type="http://schemas.openxmlformats.org/officeDocument/2006/relationships/footer" Target="footer14.xml"/><Relationship Id="rId64" Type="http://schemas.openxmlformats.org/officeDocument/2006/relationships/footer" Target="footer17.xml"/><Relationship Id="rId69" Type="http://schemas.openxmlformats.org/officeDocument/2006/relationships/image" Target="media/image11.png"/><Relationship Id="rId8" Type="http://schemas.openxmlformats.org/officeDocument/2006/relationships/endnotes" Target="endnotes.xml"/><Relationship Id="rId51" Type="http://schemas.openxmlformats.org/officeDocument/2006/relationships/header" Target="header21.xml"/><Relationship Id="rId72" Type="http://schemas.openxmlformats.org/officeDocument/2006/relationships/header" Target="header29.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eader" Target="header11.xml"/><Relationship Id="rId33" Type="http://schemas.openxmlformats.org/officeDocument/2006/relationships/header" Target="header14.xml"/><Relationship Id="rId38" Type="http://schemas.openxmlformats.org/officeDocument/2006/relationships/image" Target="media/image8.png"/><Relationship Id="rId46" Type="http://schemas.openxmlformats.org/officeDocument/2006/relationships/footer" Target="footer9.xml"/><Relationship Id="rId59" Type="http://schemas.openxmlformats.org/officeDocument/2006/relationships/hyperlink" Target="http://ministers.education.gov.au/birmingham/keynote-address-times-higher-education-world-academic-summit" TargetMode="External"/><Relationship Id="rId67" Type="http://schemas.openxmlformats.org/officeDocument/2006/relationships/header" Target="header28.xml"/><Relationship Id="rId20" Type="http://schemas.openxmlformats.org/officeDocument/2006/relationships/header" Target="header8.xml"/><Relationship Id="rId41" Type="http://schemas.openxmlformats.org/officeDocument/2006/relationships/header" Target="header16.xml"/><Relationship Id="rId54" Type="http://schemas.openxmlformats.org/officeDocument/2006/relationships/header" Target="header23.xml"/><Relationship Id="rId62" Type="http://schemas.openxmlformats.org/officeDocument/2006/relationships/header" Target="header26.xml"/><Relationship Id="rId70" Type="http://schemas.openxmlformats.org/officeDocument/2006/relationships/hyperlink" Target="http://www.pbo.gov.au/" TargetMode="External"/><Relationship Id="rId75"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www.aasb.gov.au/" TargetMode="External"/><Relationship Id="rId2" Type="http://schemas.openxmlformats.org/officeDocument/2006/relationships/hyperlink" Target="http://ministers.education.gov.au/birmingham/keynote-address-times-higher-education-world-academic-summit" TargetMode="External"/><Relationship Id="rId1" Type="http://schemas.openxmlformats.org/officeDocument/2006/relationships/hyperlink" Target="http://ministers.education.gov.au/pyne/building-world-class-higher-education-system" TargetMode="External"/></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liganl\AppData\Roaming\Microsoft\Templates\PBO%20Research%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DF7176198C4B5F9AE8F990E96AB6F3"/>
        <w:category>
          <w:name w:val="General"/>
          <w:gallery w:val="placeholder"/>
        </w:category>
        <w:types>
          <w:type w:val="bbPlcHdr"/>
        </w:types>
        <w:behaviors>
          <w:behavior w:val="content"/>
        </w:behaviors>
        <w:guid w:val="{A479ABAF-AC6B-4B12-8D41-320E9D49A8ED}"/>
      </w:docPartPr>
      <w:docPartBody>
        <w:p w:rsidR="005E4567" w:rsidRDefault="005E4567">
          <w:pPr>
            <w:pStyle w:val="53DF7176198C4B5F9AE8F990E96AB6F3"/>
          </w:pPr>
          <w:r w:rsidRPr="004F7039">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567"/>
    <w:rsid w:val="00035F45"/>
    <w:rsid w:val="000759F1"/>
    <w:rsid w:val="0035175D"/>
    <w:rsid w:val="00376693"/>
    <w:rsid w:val="003F7EC4"/>
    <w:rsid w:val="004839D0"/>
    <w:rsid w:val="004B310A"/>
    <w:rsid w:val="00522B5A"/>
    <w:rsid w:val="00546C91"/>
    <w:rsid w:val="005E1500"/>
    <w:rsid w:val="005E4567"/>
    <w:rsid w:val="005F25C5"/>
    <w:rsid w:val="005F490D"/>
    <w:rsid w:val="00655AF7"/>
    <w:rsid w:val="00673B20"/>
    <w:rsid w:val="00680CEA"/>
    <w:rsid w:val="006F09F9"/>
    <w:rsid w:val="00725A4F"/>
    <w:rsid w:val="007D6BF5"/>
    <w:rsid w:val="007E02C9"/>
    <w:rsid w:val="007E7D4E"/>
    <w:rsid w:val="00855E50"/>
    <w:rsid w:val="00893D04"/>
    <w:rsid w:val="008B1C5A"/>
    <w:rsid w:val="00925E49"/>
    <w:rsid w:val="009C5475"/>
    <w:rsid w:val="00A4336A"/>
    <w:rsid w:val="00AF081B"/>
    <w:rsid w:val="00BB22CA"/>
    <w:rsid w:val="00BB7264"/>
    <w:rsid w:val="00C54F63"/>
    <w:rsid w:val="00C624A4"/>
    <w:rsid w:val="00CC16FB"/>
    <w:rsid w:val="00CC27DD"/>
    <w:rsid w:val="00CE6068"/>
    <w:rsid w:val="00CF3C8B"/>
    <w:rsid w:val="00D104B6"/>
    <w:rsid w:val="00D736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53DF7176198C4B5F9AE8F990E96AB6F3">
    <w:name w:val="53DF7176198C4B5F9AE8F990E96AB6F3"/>
  </w:style>
  <w:style w:type="paragraph" w:customStyle="1" w:styleId="8B6B7BA2E2B64A52AA8C0AEFA2D31715">
    <w:name w:val="8B6B7BA2E2B64A52AA8C0AEFA2D3171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53DF7176198C4B5F9AE8F990E96AB6F3">
    <w:name w:val="53DF7176198C4B5F9AE8F990E96AB6F3"/>
  </w:style>
  <w:style w:type="paragraph" w:customStyle="1" w:styleId="8B6B7BA2E2B64A52AA8C0AEFA2D31715">
    <w:name w:val="8B6B7BA2E2B64A52AA8C0AEFA2D317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PBO v1">
      <a:dk1>
        <a:srgbClr val="000000"/>
      </a:dk1>
      <a:lt1>
        <a:srgbClr val="FFFFFF"/>
      </a:lt1>
      <a:dk2>
        <a:srgbClr val="2B3B5F"/>
      </a:dk2>
      <a:lt2>
        <a:srgbClr val="788184"/>
      </a:lt2>
      <a:accent1>
        <a:srgbClr val="2B3B5F"/>
      </a:accent1>
      <a:accent2>
        <a:srgbClr val="95A4C6"/>
      </a:accent2>
      <a:accent3>
        <a:srgbClr val="D7DDE9"/>
      </a:accent3>
      <a:accent4>
        <a:srgbClr val="751D71"/>
      </a:accent4>
      <a:accent5>
        <a:srgbClr val="B267B3"/>
      </a:accent5>
      <a:accent6>
        <a:srgbClr val="788184"/>
      </a:accent6>
      <a:hlink>
        <a:srgbClr val="000000"/>
      </a:hlink>
      <a:folHlink>
        <a:srgbClr val="000000"/>
      </a:folHlink>
    </a:clrScheme>
    <a:fontScheme name="PBO v1">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97E1B-31B4-4A66-B6E4-4BA594239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PBO Research Report.dotm</Template>
  <TotalTime>0</TotalTime>
  <Pages>31</Pages>
  <Words>7142</Words>
  <Characters>40715</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Higher Education Loan Programme</vt:lpstr>
    </vt:vector>
  </TitlesOfParts>
  <Company>Parliament of Australia</Company>
  <LinksUpToDate>false</LinksUpToDate>
  <CharactersWithSpaces>47762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Higher Education Loan Programme</dc:title>
  <dc:creator>Parliamentary Budget Office</dc:creator>
  <cp:lastModifiedBy>Milligan, Louise (PBO)</cp:lastModifiedBy>
  <cp:revision>3</cp:revision>
  <cp:lastPrinted>2016-04-05T04:46:00Z</cp:lastPrinted>
  <dcterms:created xsi:type="dcterms:W3CDTF">2016-04-11T22:12:00Z</dcterms:created>
  <dcterms:modified xsi:type="dcterms:W3CDTF">2016-04-11T22:14:00Z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Status">
    <vt:lpwstr/>
  </property>
  <property fmtid="{D5CDD505-2E9C-101B-9397-08002B2CF9AE}" pid="3" name="xTOCH2">
    <vt:lpwstr>Y</vt:lpwstr>
  </property>
  <property fmtid="{D5CDD505-2E9C-101B-9397-08002B2CF9AE}" pid="4" name="xTOCH3">
    <vt:lpwstr>N</vt:lpwstr>
  </property>
  <property fmtid="{D5CDD505-2E9C-101B-9397-08002B2CF9AE}" pid="5" name="xTOCTable">
    <vt:lpwstr>H</vt:lpwstr>
  </property>
  <property fmtid="{D5CDD505-2E9C-101B-9397-08002B2CF9AE}" pid="6" name="xTOCFigure">
    <vt:lpwstr>H</vt:lpwstr>
  </property>
  <property fmtid="{D5CDD505-2E9C-101B-9397-08002B2CF9AE}" pid="7" name="xTOCApp">
    <vt:lpwstr>S</vt:lpwstr>
  </property>
  <property fmtid="{D5CDD505-2E9C-101B-9397-08002B2CF9AE}" pid="8" name="xNumberedBodyText">
    <vt:lpwstr>False</vt:lpwstr>
  </property>
  <property fmtid="{D5CDD505-2E9C-101B-9397-08002B2CF9AE}" pid="9" name="xCR">
    <vt:lpwstr>Heading</vt:lpwstr>
  </property>
  <property fmtid="{D5CDD505-2E9C-101B-9397-08002B2CF9AE}" pid="10" name="xHeadingsNumbered">
    <vt:lpwstr>True</vt:lpwstr>
  </property>
  <property fmtid="{D5CDD505-2E9C-101B-9397-08002B2CF9AE}" pid="11" name="xAppendixName">
    <vt:lpwstr>Appendix</vt:lpwstr>
  </property>
  <property fmtid="{D5CDD505-2E9C-101B-9397-08002B2CF9AE}" pid="12" name="_MarkAsFinal">
    <vt:bool>true</vt:bool>
  </property>
</Properties>
</file>