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Here"/>
      <w:bookmarkStart w:id="1" w:name="_GoBack"/>
      <w:bookmarkEnd w:id="0"/>
      <w:bookmarkEnd w:id="1"/>
    </w:p>
    <w:tbl>
      <w:tblPr>
        <w:tblStyle w:val="TableAsPlaceholder"/>
        <w:tblpPr w:leftFromText="181" w:rightFromText="181" w:vertAnchor="page" w:horzAnchor="margin" w:tblpX="-284" w:tblpY="5779"/>
        <w:tblOverlap w:val="never"/>
        <w:tblW w:w="8561" w:type="dxa"/>
        <w:tblLayout w:type="fixed"/>
        <w:tblLook w:val="04A0" w:firstRow="1" w:lastRow="0" w:firstColumn="1" w:lastColumn="0" w:noHBand="0" w:noVBand="1"/>
      </w:tblPr>
      <w:tblGrid>
        <w:gridCol w:w="8561"/>
      </w:tblGrid>
      <w:tr w:rsidR="00961DBB" w:rsidTr="00C67AC5">
        <w:trPr>
          <w:trHeight w:val="907"/>
        </w:trPr>
        <w:tc>
          <w:tcPr>
            <w:tcW w:w="8561" w:type="dxa"/>
          </w:tcPr>
          <w:p w:rsidR="00961DBB" w:rsidRDefault="003875AE" w:rsidP="00C67AC5">
            <w:pPr>
              <w:pStyle w:val="Title"/>
            </w:pPr>
            <w:r>
              <w:t>Higher Education Loan Programme</w:t>
            </w:r>
            <w:r w:rsidR="00C67AC5">
              <w:t xml:space="preserve"> — supplementary analysis</w:t>
            </w:r>
          </w:p>
        </w:tc>
      </w:tr>
      <w:tr w:rsidR="00F20647" w:rsidTr="00C67AC5">
        <w:trPr>
          <w:trHeight w:val="680"/>
        </w:trPr>
        <w:tc>
          <w:tcPr>
            <w:tcW w:w="8561" w:type="dxa"/>
          </w:tcPr>
          <w:p w:rsidR="00F20647" w:rsidRPr="006A7978" w:rsidRDefault="00F20647" w:rsidP="00C67AC5">
            <w:pPr>
              <w:pStyle w:val="Title2"/>
            </w:pPr>
          </w:p>
        </w:tc>
      </w:tr>
      <w:tr w:rsidR="00195228" w:rsidTr="00C67AC5">
        <w:trPr>
          <w:trHeight w:val="765"/>
        </w:trPr>
        <w:tc>
          <w:tcPr>
            <w:tcW w:w="8561" w:type="dxa"/>
          </w:tcPr>
          <w:p w:rsidR="00195228" w:rsidRPr="009541CC" w:rsidRDefault="00F448BB" w:rsidP="00C67AC5">
            <w:pPr>
              <w:pStyle w:val="Title3"/>
              <w:framePr w:wrap="auto" w:vAnchor="margin" w:hAnchor="text" w:yAlign="inline"/>
            </w:pPr>
            <w:r>
              <w:t>Supplement to Report no.</w:t>
            </w:r>
            <w:r w:rsidR="00C738BD">
              <w:t xml:space="preserve"> </w:t>
            </w:r>
            <w:r>
              <w:t xml:space="preserve">02/2016 </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2" w:name="_DisclaimerMarker"/>
            <w:bookmarkEnd w:id="2"/>
            <w:r w:rsidRPr="00C77B5C">
              <w:t xml:space="preserve">© </w:t>
            </w:r>
            <w:r w:rsidRPr="0087390B">
              <w:t>Commonwealth</w:t>
            </w:r>
            <w:r w:rsidRPr="00C77B5C">
              <w:t xml:space="preserve"> of Australia</w:t>
            </w:r>
            <w:r w:rsidR="00F20647">
              <w:t xml:space="preserve"> </w:t>
            </w:r>
            <w:r w:rsidR="00B513F7">
              <w:t>2016</w:t>
            </w:r>
          </w:p>
          <w:p w:rsidR="00961DBB" w:rsidRPr="00BB5013" w:rsidRDefault="00961DBB" w:rsidP="00BB5013">
            <w:pPr>
              <w:pStyle w:val="xDisclaimerText2"/>
              <w:framePr w:hSpace="0" w:wrap="auto" w:hAnchor="text" w:yAlign="inline"/>
              <w:suppressOverlap w:val="0"/>
            </w:pPr>
            <w:r w:rsidRPr="008E314A">
              <w:t xml:space="preserve">ISSN </w:t>
            </w:r>
            <w:r w:rsidR="0078070C" w:rsidRPr="0078070C">
              <w:t>978-0-9944547-5-1</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Attribution-NonCommercial-NoDerivs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7297CE8F" wp14:editId="44DC4161">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t xml:space="preserve"> </w:t>
            </w:r>
            <w:r w:rsidR="0078070C">
              <w:t>Studio Tweed</w:t>
            </w:r>
          </w:p>
          <w:p w:rsidR="00961DBB" w:rsidRDefault="008B529A" w:rsidP="0087390B">
            <w:pPr>
              <w:pStyle w:val="xDisclaimerHeading"/>
              <w:framePr w:hSpace="0" w:wrap="auto" w:hAnchor="text" w:yAlign="inline"/>
              <w:suppressOverlap w:val="0"/>
            </w:pPr>
            <w:r>
              <w:t xml:space="preserve">First </w:t>
            </w:r>
            <w:r w:rsidR="0078070C">
              <w:t>Assistant Parliamentary Budget Officer</w:t>
            </w:r>
          </w:p>
          <w:p w:rsidR="00961DBB" w:rsidRPr="008E314A" w:rsidRDefault="0078070C" w:rsidP="0087390B">
            <w:pPr>
              <w:pStyle w:val="xDisclaimerText"/>
            </w:pPr>
            <w:r>
              <w:t>Fiscal Policy Analysis Division</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w:t>
            </w:r>
            <w:r w:rsidR="008B529A">
              <w:t>60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EF68DA">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234BAC" w:rsidRDefault="00BD09A3" w:rsidP="009415EB">
      <w:pPr>
        <w:pStyle w:val="Heading1NoNumbering"/>
      </w:pPr>
      <w:r>
        <w:lastRenderedPageBreak/>
        <w:t>Higher Education Loan Programme</w:t>
      </w:r>
      <w:r w:rsidR="00C67AC5">
        <w:t xml:space="preserve"> — supplementary analysis</w:t>
      </w:r>
    </w:p>
    <w:p w:rsidR="00234BAC" w:rsidRDefault="00234BAC" w:rsidP="00234BAC">
      <w:pPr>
        <w:pStyle w:val="BodyText"/>
      </w:pPr>
      <w:r>
        <w:t xml:space="preserve">This analysis </w:t>
      </w:r>
      <w:r w:rsidR="008860DC">
        <w:t xml:space="preserve">supplements </w:t>
      </w:r>
      <w:r w:rsidR="003875AE">
        <w:t>that provided in</w:t>
      </w:r>
      <w:r>
        <w:t xml:space="preserve"> </w:t>
      </w:r>
      <w:r w:rsidR="008860DC">
        <w:t xml:space="preserve">the </w:t>
      </w:r>
      <w:r>
        <w:t xml:space="preserve">Parliamentary Budget Office (PBO) </w:t>
      </w:r>
      <w:r w:rsidR="0017510E">
        <w:t>report </w:t>
      </w:r>
      <w:r>
        <w:t>no.</w:t>
      </w:r>
      <w:r w:rsidR="00AB41FF">
        <w:t> </w:t>
      </w:r>
      <w:r>
        <w:t xml:space="preserve">02/2016 titled </w:t>
      </w:r>
      <w:r w:rsidRPr="00B513F7">
        <w:rPr>
          <w:i/>
        </w:rPr>
        <w:t>Higher Education Loan Programme – Impact on the Budget</w:t>
      </w:r>
      <w:r w:rsidR="00C67AC5">
        <w:t>.</w:t>
      </w:r>
    </w:p>
    <w:p w:rsidR="008860DC" w:rsidRDefault="008860DC" w:rsidP="00234BAC">
      <w:pPr>
        <w:pStyle w:val="BodyText"/>
      </w:pPr>
      <w:r>
        <w:t>It shows the projected budget impacts of major policy decisions affecting</w:t>
      </w:r>
      <w:r w:rsidR="00234BAC" w:rsidRPr="00B513F7">
        <w:t xml:space="preserve"> </w:t>
      </w:r>
      <w:r w:rsidR="00234BAC">
        <w:t xml:space="preserve">the </w:t>
      </w:r>
      <w:r w:rsidR="00AB41FF">
        <w:t>Higher </w:t>
      </w:r>
      <w:r w:rsidR="00234BAC" w:rsidRPr="00B513F7">
        <w:t>Education Loan Programme</w:t>
      </w:r>
      <w:r w:rsidR="00234BAC">
        <w:t xml:space="preserve"> (HELP)</w:t>
      </w:r>
      <w:r>
        <w:t>.</w:t>
      </w:r>
    </w:p>
    <w:p w:rsidR="00234BAC" w:rsidRDefault="008860DC" w:rsidP="00234BAC">
      <w:pPr>
        <w:pStyle w:val="BodyText"/>
      </w:pPr>
      <w:r>
        <w:t xml:space="preserve">It also </w:t>
      </w:r>
      <w:r w:rsidR="002970DE">
        <w:t>outlines the projected</w:t>
      </w:r>
      <w:r>
        <w:t xml:space="preserve"> budget</w:t>
      </w:r>
      <w:r w:rsidR="002970DE">
        <w:t xml:space="preserve"> impact of the </w:t>
      </w:r>
      <w:r w:rsidR="00BD09A3">
        <w:t xml:space="preserve">related </w:t>
      </w:r>
      <w:r>
        <w:t xml:space="preserve">policy decision to </w:t>
      </w:r>
      <w:r w:rsidR="00BD09A3">
        <w:t>reduc</w:t>
      </w:r>
      <w:r>
        <w:t>e</w:t>
      </w:r>
      <w:r w:rsidR="00BD09A3">
        <w:t xml:space="preserve"> </w:t>
      </w:r>
      <w:r>
        <w:t xml:space="preserve">the level of </w:t>
      </w:r>
      <w:r w:rsidR="00BD09A3">
        <w:t xml:space="preserve">subsidies </w:t>
      </w:r>
      <w:r>
        <w:t xml:space="preserve">provided to higher education institutions </w:t>
      </w:r>
      <w:r w:rsidR="00BD09A3">
        <w:t xml:space="preserve">under the </w:t>
      </w:r>
      <w:r w:rsidR="002970DE">
        <w:t>Commonwealth Grant Scheme</w:t>
      </w:r>
      <w:r w:rsidR="00234BAC">
        <w:t>.</w:t>
      </w:r>
    </w:p>
    <w:p w:rsidR="00903E3F" w:rsidRPr="00EF68DA" w:rsidRDefault="00234BAC" w:rsidP="00EF68DA">
      <w:pPr>
        <w:pStyle w:val="Heading2"/>
      </w:pPr>
      <w:r w:rsidRPr="00EF68DA">
        <w:t>Higher Education Loan Programme</w:t>
      </w:r>
    </w:p>
    <w:p w:rsidR="007D5752" w:rsidRDefault="000C4087" w:rsidP="00C80200">
      <w:pPr>
        <w:pStyle w:val="BodyText"/>
      </w:pPr>
      <w:r>
        <w:t>The PBO project</w:t>
      </w:r>
      <w:r w:rsidR="00387B01">
        <w:t>s</w:t>
      </w:r>
      <w:r>
        <w:t xml:space="preserve"> that</w:t>
      </w:r>
      <w:r w:rsidR="009415EB">
        <w:t>, under current policy settings,</w:t>
      </w:r>
      <w:r>
        <w:t xml:space="preserve"> the annual cost </w:t>
      </w:r>
      <w:r w:rsidR="00387B01">
        <w:t xml:space="preserve">of HELP </w:t>
      </w:r>
      <w:r>
        <w:t xml:space="preserve">on an underlying cash </w:t>
      </w:r>
      <w:r w:rsidR="00296F67">
        <w:t xml:space="preserve">balance </w:t>
      </w:r>
      <w:r w:rsidR="00AB41FF">
        <w:t>basis will rise from $1.7 </w:t>
      </w:r>
      <w:r>
        <w:t>billion in 2015</w:t>
      </w:r>
      <w:r w:rsidR="00AB41FF">
        <w:t>–16 to $11.1</w:t>
      </w:r>
      <w:r w:rsidR="008C1BDD">
        <w:t> </w:t>
      </w:r>
      <w:r>
        <w:t>billion in 2025</w:t>
      </w:r>
      <w:r w:rsidR="00AB41FF">
        <w:t>–26.</w:t>
      </w:r>
    </w:p>
    <w:p w:rsidR="00E958D7" w:rsidRDefault="00EF68DA" w:rsidP="00C80200">
      <w:pPr>
        <w:pStyle w:val="BodyText"/>
      </w:pPr>
      <w:r>
        <w:fldChar w:fldCharType="begin"/>
      </w:r>
      <w:r>
        <w:instrText xml:space="preserve"> REF _Ref448903453 \h </w:instrText>
      </w:r>
      <w:r>
        <w:fldChar w:fldCharType="separate"/>
      </w:r>
      <w:r w:rsidR="003715A6" w:rsidRPr="00AB41FF">
        <w:t xml:space="preserve">Figure </w:t>
      </w:r>
      <w:r w:rsidR="003715A6">
        <w:rPr>
          <w:noProof/>
        </w:rPr>
        <w:t>1</w:t>
      </w:r>
      <w:r>
        <w:fldChar w:fldCharType="end"/>
      </w:r>
      <w:r>
        <w:t xml:space="preserve"> </w:t>
      </w:r>
      <w:r w:rsidR="000C4087">
        <w:t xml:space="preserve">shows </w:t>
      </w:r>
      <w:r w:rsidR="007D5752">
        <w:t>the projected growth attri</w:t>
      </w:r>
      <w:r w:rsidR="00AB41FF">
        <w:t>butable to HELP as it stood pre</w:t>
      </w:r>
      <w:r w:rsidR="00AB41FF">
        <w:noBreakHyphen/>
      </w:r>
      <w:r w:rsidR="007D5752">
        <w:t xml:space="preserve">2009 (the baseline scenario) and the </w:t>
      </w:r>
      <w:r w:rsidR="009415EB">
        <w:t xml:space="preserve">impacts of </w:t>
      </w:r>
      <w:r w:rsidR="00D36F7C">
        <w:t>major policy decisions taken since 2009</w:t>
      </w:r>
      <w:r w:rsidR="007D5752">
        <w:t>.  This was</w:t>
      </w:r>
      <w:r w:rsidR="002970DE">
        <w:t xml:space="preserve"> when access to HELP started to be broadened significantly following the recommendations of the </w:t>
      </w:r>
      <w:r w:rsidR="0017510E">
        <w:t>2008 </w:t>
      </w:r>
      <w:r w:rsidR="002970DE" w:rsidRPr="002970DE">
        <w:t>Review of Australian Higher Education (Bradley Review)</w:t>
      </w:r>
      <w:r w:rsidR="000C4087">
        <w:t>.</w:t>
      </w:r>
    </w:p>
    <w:p w:rsidR="00AB41FF" w:rsidRDefault="00AB41FF" w:rsidP="00AB41FF">
      <w:pPr>
        <w:pStyle w:val="Caption"/>
      </w:pPr>
      <w:bookmarkStart w:id="3" w:name="_Ref448903453"/>
      <w:r w:rsidRPr="00AB41FF">
        <w:t xml:space="preserve">Figure </w:t>
      </w:r>
      <w:r w:rsidR="006A1843">
        <w:fldChar w:fldCharType="begin"/>
      </w:r>
      <w:r w:rsidR="006A1843">
        <w:instrText xml:space="preserve"> SEQ Figure \* ARABIC \s 1 </w:instrText>
      </w:r>
      <w:r w:rsidR="006A1843">
        <w:fldChar w:fldCharType="separate"/>
      </w:r>
      <w:r w:rsidR="003715A6">
        <w:rPr>
          <w:noProof/>
        </w:rPr>
        <w:t>1</w:t>
      </w:r>
      <w:r w:rsidR="006A1843">
        <w:rPr>
          <w:noProof/>
        </w:rPr>
        <w:fldChar w:fldCharType="end"/>
      </w:r>
      <w:bookmarkEnd w:id="3"/>
      <w:r w:rsidRPr="00AB41FF">
        <w:t xml:space="preserve">: </w:t>
      </w:r>
      <w:r>
        <w:t>HELP – annual cost of HELP on an underlying cash balance basis by major policy decisions</w:t>
      </w:r>
    </w:p>
    <w:tbl>
      <w:tblPr>
        <w:tblStyle w:val="TableGrid"/>
        <w:tblW w:w="5000" w:type="pct"/>
        <w:tblLook w:val="0680" w:firstRow="0" w:lastRow="0" w:firstColumn="1" w:lastColumn="0" w:noHBand="1" w:noVBand="1"/>
      </w:tblPr>
      <w:tblGrid>
        <w:gridCol w:w="2587"/>
        <w:gridCol w:w="356"/>
        <w:gridCol w:w="356"/>
        <w:gridCol w:w="356"/>
        <w:gridCol w:w="357"/>
        <w:gridCol w:w="357"/>
        <w:gridCol w:w="357"/>
        <w:gridCol w:w="357"/>
        <w:gridCol w:w="357"/>
        <w:gridCol w:w="357"/>
        <w:gridCol w:w="357"/>
        <w:gridCol w:w="359"/>
        <w:gridCol w:w="357"/>
        <w:gridCol w:w="359"/>
        <w:gridCol w:w="357"/>
        <w:gridCol w:w="359"/>
        <w:gridCol w:w="357"/>
        <w:gridCol w:w="10"/>
      </w:tblGrid>
      <w:tr w:rsidR="005D116F" w:rsidRPr="005D116F" w:rsidTr="005D116F">
        <w:tc>
          <w:tcPr>
            <w:cnfStyle w:val="001000000000" w:firstRow="0" w:lastRow="0" w:firstColumn="1" w:lastColumn="0" w:oddVBand="0" w:evenVBand="0" w:oddHBand="0" w:evenHBand="0" w:firstRowFirstColumn="0" w:firstRowLastColumn="0" w:lastRowFirstColumn="0" w:lastRowLastColumn="0"/>
            <w:tcW w:w="1557" w:type="pct"/>
            <w:noWrap/>
            <w:hideMark/>
          </w:tcPr>
          <w:p w:rsidR="00684A2D" w:rsidRPr="005D116F" w:rsidRDefault="005D116F" w:rsidP="00684A2D">
            <w:pPr>
              <w:pStyle w:val="TableText"/>
              <w:spacing w:before="0" w:after="0" w:line="240" w:lineRule="auto"/>
              <w:ind w:left="0" w:right="0"/>
              <w:rPr>
                <w:color w:val="FFFFFF" w:themeColor="background1"/>
                <w:sz w:val="8"/>
                <w:szCs w:val="8"/>
              </w:rPr>
            </w:pPr>
            <w:r w:rsidRPr="00EF68DA">
              <w:rPr>
                <w:noProof/>
              </w:rPr>
              <w:drawing>
                <wp:anchor distT="0" distB="0" distL="114300" distR="114300" simplePos="0" relativeHeight="251660288" behindDoc="0" locked="0" layoutInCell="1" allowOverlap="1" wp14:anchorId="1DCB4B71" wp14:editId="1B1A0259">
                  <wp:simplePos x="0" y="0"/>
                  <wp:positionH relativeFrom="column">
                    <wp:posOffset>3810</wp:posOffset>
                  </wp:positionH>
                  <wp:positionV relativeFrom="paragraph">
                    <wp:posOffset>4445</wp:posOffset>
                  </wp:positionV>
                  <wp:extent cx="5022850" cy="3887470"/>
                  <wp:effectExtent l="0" t="0" r="6350" b="0"/>
                  <wp:wrapNone/>
                  <wp:docPr id="16" name="Picture 16"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2850" cy="38874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2010–11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2011–12</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2012–13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2013–14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2014–15</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2015–16</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2016–17</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2017–18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2018–19</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2019–20</w:t>
            </w:r>
          </w:p>
        </w:tc>
        <w:tc>
          <w:tcPr>
            <w:tcW w:w="216"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2020–21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2021–22</w:t>
            </w:r>
          </w:p>
        </w:tc>
        <w:tc>
          <w:tcPr>
            <w:tcW w:w="216"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2022–23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2023–24</w:t>
            </w:r>
          </w:p>
        </w:tc>
        <w:tc>
          <w:tcPr>
            <w:tcW w:w="216"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2024–25</w:t>
            </w:r>
          </w:p>
        </w:tc>
        <w:tc>
          <w:tcPr>
            <w:tcW w:w="215" w:type="pct"/>
            <w:gridSpan w:val="2"/>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2025–26</w:t>
            </w:r>
          </w:p>
        </w:tc>
      </w:tr>
      <w:tr w:rsidR="005D116F" w:rsidRPr="005D116F" w:rsidTr="005D116F">
        <w:trPr>
          <w:gridAfter w:val="1"/>
          <w:wAfter w:w="7" w:type="pct"/>
        </w:trPr>
        <w:tc>
          <w:tcPr>
            <w:cnfStyle w:val="001000000000" w:firstRow="0" w:lastRow="0" w:firstColumn="1" w:lastColumn="0" w:oddVBand="0" w:evenVBand="0" w:oddHBand="0" w:evenHBand="0" w:firstRowFirstColumn="0" w:firstRowLastColumn="0" w:lastRowFirstColumn="0" w:lastRowLastColumn="0"/>
            <w:tcW w:w="1557" w:type="pct"/>
            <w:noWrap/>
            <w:hideMark/>
          </w:tcPr>
          <w:p w:rsidR="00684A2D" w:rsidRPr="005D116F" w:rsidRDefault="00684A2D" w:rsidP="00684A2D">
            <w:pPr>
              <w:pStyle w:val="TableText"/>
              <w:spacing w:before="0" w:after="0" w:line="240" w:lineRule="auto"/>
              <w:ind w:left="0" w:right="0"/>
              <w:rPr>
                <w:color w:val="FFFFFF" w:themeColor="background1"/>
                <w:sz w:val="8"/>
                <w:szCs w:val="8"/>
              </w:rPr>
            </w:pPr>
            <w:r w:rsidRPr="005D116F">
              <w:rPr>
                <w:color w:val="FFFFFF" w:themeColor="background1"/>
                <w:sz w:val="8"/>
                <w:szCs w:val="8"/>
              </w:rPr>
              <w:t xml:space="preserve">Post-2014–15 measures, including university fee deregulation </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0.5</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0.7</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0.9</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1.2</w:t>
            </w:r>
          </w:p>
        </w:tc>
      </w:tr>
      <w:tr w:rsidR="005D116F" w:rsidRPr="005D116F" w:rsidTr="005D116F">
        <w:trPr>
          <w:gridAfter w:val="1"/>
          <w:wAfter w:w="7" w:type="pct"/>
        </w:trPr>
        <w:tc>
          <w:tcPr>
            <w:cnfStyle w:val="001000000000" w:firstRow="0" w:lastRow="0" w:firstColumn="1" w:lastColumn="0" w:oddVBand="0" w:evenVBand="0" w:oddHBand="0" w:evenHBand="0" w:firstRowFirstColumn="0" w:firstRowLastColumn="0" w:lastRowFirstColumn="0" w:lastRowLastColumn="0"/>
            <w:tcW w:w="1557" w:type="pct"/>
            <w:noWrap/>
            <w:hideMark/>
          </w:tcPr>
          <w:p w:rsidR="00684A2D" w:rsidRPr="005D116F" w:rsidRDefault="00684A2D" w:rsidP="00684A2D">
            <w:pPr>
              <w:pStyle w:val="TableText"/>
              <w:spacing w:before="0" w:after="0" w:line="240" w:lineRule="auto"/>
              <w:ind w:left="0" w:right="0"/>
              <w:rPr>
                <w:color w:val="FFFFFF" w:themeColor="background1"/>
                <w:sz w:val="8"/>
                <w:szCs w:val="8"/>
              </w:rPr>
            </w:pPr>
            <w:r w:rsidRPr="005D116F">
              <w:rPr>
                <w:color w:val="FFFFFF" w:themeColor="background1"/>
                <w:sz w:val="8"/>
                <w:szCs w:val="8"/>
              </w:rPr>
              <w:t>Demand driven approach to university education with capped fees</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0.2</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0.6</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1.2</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1.6</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1.8</w:t>
            </w:r>
          </w:p>
        </w:tc>
      </w:tr>
      <w:tr w:rsidR="005D116F" w:rsidRPr="005D116F" w:rsidTr="005D116F">
        <w:trPr>
          <w:gridAfter w:val="1"/>
          <w:wAfter w:w="7" w:type="pct"/>
        </w:trPr>
        <w:tc>
          <w:tcPr>
            <w:cnfStyle w:val="001000000000" w:firstRow="0" w:lastRow="0" w:firstColumn="1" w:lastColumn="0" w:oddVBand="0" w:evenVBand="0" w:oddHBand="0" w:evenHBand="0" w:firstRowFirstColumn="0" w:firstRowLastColumn="0" w:lastRowFirstColumn="0" w:lastRowLastColumn="0"/>
            <w:tcW w:w="1557" w:type="pct"/>
            <w:noWrap/>
            <w:hideMark/>
          </w:tcPr>
          <w:p w:rsidR="00684A2D" w:rsidRPr="005D116F" w:rsidRDefault="00684A2D" w:rsidP="00684A2D">
            <w:pPr>
              <w:pStyle w:val="TableText"/>
              <w:spacing w:before="0" w:after="0" w:line="240" w:lineRule="auto"/>
              <w:ind w:left="0" w:right="0"/>
              <w:rPr>
                <w:color w:val="FFFFFF" w:themeColor="background1"/>
                <w:sz w:val="8"/>
                <w:szCs w:val="8"/>
              </w:rPr>
            </w:pPr>
            <w:r w:rsidRPr="005D116F">
              <w:rPr>
                <w:color w:val="FFFFFF" w:themeColor="background1"/>
                <w:sz w:val="8"/>
                <w:szCs w:val="8"/>
              </w:rPr>
              <w:t>Introduction of VET FEE-HELP in 2009</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0.6</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1.5</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2.2</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2.6</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3.1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3.5</w:t>
            </w:r>
          </w:p>
        </w:tc>
      </w:tr>
      <w:tr w:rsidR="005D116F" w:rsidRPr="005D116F" w:rsidTr="005D116F">
        <w:trPr>
          <w:gridAfter w:val="1"/>
          <w:wAfter w:w="7" w:type="pct"/>
        </w:trPr>
        <w:tc>
          <w:tcPr>
            <w:cnfStyle w:val="001000000000" w:firstRow="0" w:lastRow="0" w:firstColumn="1" w:lastColumn="0" w:oddVBand="0" w:evenVBand="0" w:oddHBand="0" w:evenHBand="0" w:firstRowFirstColumn="0" w:firstRowLastColumn="0" w:lastRowFirstColumn="0" w:lastRowLastColumn="0"/>
            <w:tcW w:w="1557" w:type="pct"/>
            <w:noWrap/>
            <w:hideMark/>
          </w:tcPr>
          <w:p w:rsidR="00684A2D" w:rsidRPr="005D116F" w:rsidRDefault="00684A2D" w:rsidP="00684A2D">
            <w:pPr>
              <w:pStyle w:val="TableText"/>
              <w:spacing w:before="0" w:after="0" w:line="240" w:lineRule="auto"/>
              <w:ind w:left="0" w:right="0"/>
              <w:rPr>
                <w:color w:val="FFFFFF" w:themeColor="background1"/>
                <w:sz w:val="8"/>
                <w:szCs w:val="8"/>
              </w:rPr>
            </w:pPr>
            <w:r w:rsidRPr="005D116F">
              <w:rPr>
                <w:color w:val="FFFFFF" w:themeColor="background1"/>
                <w:sz w:val="8"/>
                <w:szCs w:val="8"/>
              </w:rPr>
              <w:t xml:space="preserve">Baseline scenario - capped students and fees </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0.5</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0.8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1.5</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1.7</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2.2</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2.7</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3</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3.4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3.8</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4.1</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4.4</w:t>
            </w:r>
          </w:p>
        </w:tc>
        <w:tc>
          <w:tcPr>
            <w:tcW w:w="215" w:type="pct"/>
            <w:noWrap/>
            <w:hideMark/>
          </w:tcPr>
          <w:p w:rsidR="00684A2D" w:rsidRPr="005D116F" w:rsidRDefault="00684A2D" w:rsidP="005D116F">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5D116F">
              <w:rPr>
                <w:color w:val="FFFFFF" w:themeColor="background1"/>
                <w:sz w:val="8"/>
                <w:szCs w:val="8"/>
              </w:rPr>
              <w:t>4.6</w:t>
            </w:r>
          </w:p>
        </w:tc>
      </w:tr>
    </w:tbl>
    <w:p w:rsidR="00964C9E" w:rsidRPr="005D116F" w:rsidRDefault="00964C9E" w:rsidP="005D116F">
      <w:pPr>
        <w:pStyle w:val="BodyText"/>
      </w:pPr>
    </w:p>
    <w:p w:rsidR="00B2325C" w:rsidRDefault="00407726" w:rsidP="005D116F">
      <w:pPr>
        <w:pStyle w:val="BodyText17ptAbove"/>
        <w:keepNext/>
        <w:keepLines/>
      </w:pPr>
      <w:r w:rsidRPr="0036610C">
        <w:rPr>
          <w:u w:val="single"/>
        </w:rPr>
        <w:lastRenderedPageBreak/>
        <w:t>The baseline scenario</w:t>
      </w:r>
      <w:r>
        <w:t xml:space="preserve"> projects the annual cost of </w:t>
      </w:r>
      <w:r w:rsidR="00420BA5">
        <w:t xml:space="preserve">HELP under </w:t>
      </w:r>
      <w:r>
        <w:t>the higher education funding approach that applied up to 2009 in which university student places and student contributions were capped</w:t>
      </w:r>
      <w:r w:rsidR="00420BA5">
        <w:t xml:space="preserve">.  The baseline scenario accounts for </w:t>
      </w:r>
      <w:r w:rsidR="004C7398">
        <w:t>34</w:t>
      </w:r>
      <w:r w:rsidR="00420BA5">
        <w:t xml:space="preserve"> per cent </w:t>
      </w:r>
      <w:r w:rsidR="00EF216A">
        <w:t>($</w:t>
      </w:r>
      <w:r w:rsidR="004C7398">
        <w:t>3.2</w:t>
      </w:r>
      <w:r w:rsidR="00964C9E">
        <w:t> </w:t>
      </w:r>
      <w:r w:rsidR="00EF216A">
        <w:t xml:space="preserve">billion) </w:t>
      </w:r>
      <w:r w:rsidR="00420BA5">
        <w:t>of the projected growth in the annual co</w:t>
      </w:r>
      <w:r w:rsidR="00964C9E">
        <w:t>st of HELP over the period 2015–</w:t>
      </w:r>
      <w:r w:rsidR="00420BA5">
        <w:t>16 to 2025</w:t>
      </w:r>
      <w:r w:rsidR="00964C9E">
        <w:t>–</w:t>
      </w:r>
      <w:r w:rsidR="00420BA5">
        <w:t>26.</w:t>
      </w:r>
    </w:p>
    <w:p w:rsidR="00EF216A" w:rsidRDefault="003875AE" w:rsidP="005D116F">
      <w:pPr>
        <w:pStyle w:val="BodyText"/>
        <w:keepNext/>
        <w:keepLines/>
      </w:pPr>
      <w:r>
        <w:t>The baseline scenario a</w:t>
      </w:r>
      <w:r w:rsidRPr="003875AE">
        <w:t xml:space="preserve">ssumes that </w:t>
      </w:r>
      <w:r w:rsidR="005E7692" w:rsidRPr="003875AE">
        <w:t>from 2009</w:t>
      </w:r>
      <w:r w:rsidR="005E7692">
        <w:t xml:space="preserve"> onwards,</w:t>
      </w:r>
      <w:r w:rsidR="005E7692" w:rsidRPr="003875AE">
        <w:t xml:space="preserve"> </w:t>
      </w:r>
      <w:r w:rsidRPr="003875AE">
        <w:t xml:space="preserve">student numbers increase </w:t>
      </w:r>
      <w:r>
        <w:t>in line with</w:t>
      </w:r>
      <w:r w:rsidRPr="003875AE">
        <w:t xml:space="preserve"> growth in the </w:t>
      </w:r>
      <w:r>
        <w:t xml:space="preserve">total </w:t>
      </w:r>
      <w:r w:rsidRPr="003875AE">
        <w:t>population and</w:t>
      </w:r>
      <w:r w:rsidR="005E7692">
        <w:t xml:space="preserve"> </w:t>
      </w:r>
      <w:r w:rsidRPr="003875AE">
        <w:t xml:space="preserve">student contributions grow </w:t>
      </w:r>
      <w:r>
        <w:t>in line with</w:t>
      </w:r>
      <w:r w:rsidRPr="003875AE">
        <w:t xml:space="preserve"> the Higher Education Growth Index (HEGI).</w:t>
      </w:r>
    </w:p>
    <w:p w:rsidR="00F04D70" w:rsidRDefault="00F04D70" w:rsidP="005D116F">
      <w:pPr>
        <w:pStyle w:val="BodyText"/>
        <w:keepNext/>
        <w:keepLines/>
      </w:pPr>
      <w:r>
        <w:t xml:space="preserve">The upward trend in the </w:t>
      </w:r>
      <w:r w:rsidRPr="00F04D70">
        <w:t>annual cost of HELP</w:t>
      </w:r>
      <w:r>
        <w:t xml:space="preserve"> under the baseline scenario </w:t>
      </w:r>
      <w:r w:rsidR="00647892">
        <w:t xml:space="preserve">was </w:t>
      </w:r>
      <w:r>
        <w:t>suppressed over the period 2011</w:t>
      </w:r>
      <w:r w:rsidR="00964C9E">
        <w:t>–</w:t>
      </w:r>
      <w:r>
        <w:t>12 to 2014</w:t>
      </w:r>
      <w:r w:rsidR="00964C9E">
        <w:t>–</w:t>
      </w:r>
      <w:r>
        <w:t>15 due to record low interest rates resulting in falling public debt interest costs associated with HELP over this period.  The increasing cost over the projection period partly reflects the assumption that yields on Commonwealth Government Securities converge to 6 per cent in 2025</w:t>
      </w:r>
      <w:r w:rsidR="00964C9E">
        <w:t>–</w:t>
      </w:r>
      <w:r>
        <w:t xml:space="preserve">26, consistent with the assumption in the </w:t>
      </w:r>
      <w:r w:rsidR="00964C9E">
        <w:br/>
      </w:r>
      <w:r>
        <w:t>2015</w:t>
      </w:r>
      <w:r w:rsidR="00964C9E">
        <w:t>–16 </w:t>
      </w:r>
      <w:r>
        <w:t>MYEFO.</w:t>
      </w:r>
    </w:p>
    <w:p w:rsidR="00F66119" w:rsidRDefault="003313EF" w:rsidP="005D116F">
      <w:pPr>
        <w:pStyle w:val="BodyText"/>
        <w:keepNext/>
        <w:keepLines/>
      </w:pPr>
      <w:r>
        <w:rPr>
          <w:u w:val="single"/>
        </w:rPr>
        <w:t xml:space="preserve">The introduction of </w:t>
      </w:r>
      <w:r w:rsidR="00407726" w:rsidRPr="0036610C">
        <w:rPr>
          <w:u w:val="single"/>
        </w:rPr>
        <w:t>VET FEE-HELP</w:t>
      </w:r>
      <w:r>
        <w:t xml:space="preserve"> accounts for </w:t>
      </w:r>
      <w:r w:rsidR="004C7398">
        <w:t>35</w:t>
      </w:r>
      <w:r>
        <w:t xml:space="preserve"> per cent </w:t>
      </w:r>
      <w:r w:rsidR="00EF216A">
        <w:t>($</w:t>
      </w:r>
      <w:r w:rsidR="004C7398">
        <w:t>3.</w:t>
      </w:r>
      <w:r w:rsidR="00B1214C">
        <w:t>3</w:t>
      </w:r>
      <w:r w:rsidR="00EF216A">
        <w:t xml:space="preserve"> billion) </w:t>
      </w:r>
      <w:r>
        <w:t>of the projected growth in the annual cost of HELP over the period 2015</w:t>
      </w:r>
      <w:r w:rsidR="00964C9E">
        <w:t>–</w:t>
      </w:r>
      <w:r>
        <w:t>16 to 2025</w:t>
      </w:r>
      <w:r w:rsidR="00964C9E">
        <w:t>–</w:t>
      </w:r>
      <w:r>
        <w:t>26.</w:t>
      </w:r>
    </w:p>
    <w:p w:rsidR="00E14E28" w:rsidRDefault="003313EF" w:rsidP="005D116F">
      <w:pPr>
        <w:pStyle w:val="BodyText"/>
        <w:keepNext/>
        <w:keepLines/>
      </w:pPr>
      <w:r>
        <w:t xml:space="preserve">This </w:t>
      </w:r>
      <w:r w:rsidR="00E7590F">
        <w:t xml:space="preserve">largely reflects the significant growth in </w:t>
      </w:r>
      <w:r w:rsidR="006C185B">
        <w:t xml:space="preserve">the number of students taking out </w:t>
      </w:r>
      <w:r w:rsidR="00964C9E">
        <w:t>VET FEE</w:t>
      </w:r>
      <w:r w:rsidR="00964C9E">
        <w:noBreakHyphen/>
      </w:r>
      <w:r w:rsidR="00E7590F">
        <w:t>HELP loans from 2009 to 2015</w:t>
      </w:r>
      <w:r w:rsidR="00964C9E">
        <w:t>,</w:t>
      </w:r>
      <w:r>
        <w:t xml:space="preserve"> and assumes that the Government’s 2015 measures to constrain growth in the number </w:t>
      </w:r>
      <w:r w:rsidR="00964C9E">
        <w:t>of VET FEE-HELP loans continue.</w:t>
      </w:r>
    </w:p>
    <w:p w:rsidR="00F66119" w:rsidRDefault="00E7590F" w:rsidP="005D116F">
      <w:pPr>
        <w:pStyle w:val="BodyText"/>
        <w:keepNext/>
        <w:keepLines/>
      </w:pPr>
      <w:r w:rsidRPr="0036610C">
        <w:rPr>
          <w:u w:val="single"/>
        </w:rPr>
        <w:t xml:space="preserve">The </w:t>
      </w:r>
      <w:r w:rsidR="0016647B">
        <w:rPr>
          <w:u w:val="single"/>
        </w:rPr>
        <w:t xml:space="preserve">introduction of the </w:t>
      </w:r>
      <w:r w:rsidRPr="0036610C">
        <w:rPr>
          <w:u w:val="single"/>
        </w:rPr>
        <w:t>demand driven approach</w:t>
      </w:r>
      <w:r>
        <w:t xml:space="preserve"> to university education </w:t>
      </w:r>
      <w:r w:rsidR="0016647B">
        <w:t xml:space="preserve">accounts for </w:t>
      </w:r>
      <w:r w:rsidR="004C7398">
        <w:t>17</w:t>
      </w:r>
      <w:r w:rsidR="00964C9E">
        <w:t> </w:t>
      </w:r>
      <w:r w:rsidR="0016647B">
        <w:t>per</w:t>
      </w:r>
      <w:r w:rsidR="00964C9E">
        <w:t> </w:t>
      </w:r>
      <w:r w:rsidR="0016647B">
        <w:t xml:space="preserve">cent </w:t>
      </w:r>
      <w:r w:rsidR="00EF216A">
        <w:t>($</w:t>
      </w:r>
      <w:r w:rsidR="004C7398">
        <w:t>1.6</w:t>
      </w:r>
      <w:r w:rsidR="00EF216A">
        <w:t xml:space="preserve"> billion) </w:t>
      </w:r>
      <w:r w:rsidR="0016647B">
        <w:t>of the projected growth in the annual co</w:t>
      </w:r>
      <w:r w:rsidR="00964C9E">
        <w:t>st of HELP over the period 2015–</w:t>
      </w:r>
      <w:r w:rsidR="0016647B">
        <w:t>16 to 2025</w:t>
      </w:r>
      <w:r w:rsidR="00964C9E">
        <w:t>–</w:t>
      </w:r>
      <w:r w:rsidR="0016647B">
        <w:t>26</w:t>
      </w:r>
      <w:r w:rsidR="00F66119">
        <w:t>.</w:t>
      </w:r>
    </w:p>
    <w:p w:rsidR="00E7590F" w:rsidRDefault="00F66119" w:rsidP="005D116F">
      <w:pPr>
        <w:pStyle w:val="BodyText"/>
        <w:keepNext/>
        <w:keepLines/>
      </w:pPr>
      <w:r>
        <w:t xml:space="preserve">This </w:t>
      </w:r>
      <w:r w:rsidR="0008003D">
        <w:t>reflect</w:t>
      </w:r>
      <w:r>
        <w:t>s the</w:t>
      </w:r>
      <w:r w:rsidR="0008003D">
        <w:t xml:space="preserve"> significant growth in student numbers </w:t>
      </w:r>
      <w:r>
        <w:t xml:space="preserve">that occurred </w:t>
      </w:r>
      <w:r w:rsidR="00964C9E">
        <w:t>between 2009 and 2015.</w:t>
      </w:r>
    </w:p>
    <w:p w:rsidR="00F66119" w:rsidRDefault="006C185B" w:rsidP="005D116F">
      <w:pPr>
        <w:pStyle w:val="BodyText"/>
        <w:keepNext/>
        <w:keepLines/>
      </w:pPr>
      <w:r w:rsidRPr="0036610C">
        <w:rPr>
          <w:u w:val="single"/>
        </w:rPr>
        <w:t>T</w:t>
      </w:r>
      <w:r w:rsidR="00653ADE" w:rsidRPr="0036610C">
        <w:rPr>
          <w:u w:val="single"/>
        </w:rPr>
        <w:t>he fee deregulation</w:t>
      </w:r>
      <w:r w:rsidR="00396469">
        <w:rPr>
          <w:u w:val="single"/>
        </w:rPr>
        <w:t xml:space="preserve"> policy</w:t>
      </w:r>
      <w:r w:rsidR="00396469">
        <w:t xml:space="preserve"> accounts for </w:t>
      </w:r>
      <w:r w:rsidR="004C7398">
        <w:t>13</w:t>
      </w:r>
      <w:r w:rsidR="00396469">
        <w:t xml:space="preserve"> per cent </w:t>
      </w:r>
      <w:r w:rsidR="00EF216A">
        <w:t>($</w:t>
      </w:r>
      <w:r w:rsidR="004C7398">
        <w:t>1.2</w:t>
      </w:r>
      <w:r w:rsidR="00EF216A">
        <w:t xml:space="preserve"> billion) </w:t>
      </w:r>
      <w:r w:rsidR="00396469">
        <w:t>of the projected growth in the annual cost of HELP over the period 2015</w:t>
      </w:r>
      <w:r w:rsidR="00C52622">
        <w:t>–</w:t>
      </w:r>
      <w:r w:rsidR="00396469">
        <w:t>16 to 2025</w:t>
      </w:r>
      <w:r w:rsidR="00C52622">
        <w:t>–26.</w:t>
      </w:r>
    </w:p>
    <w:p w:rsidR="00E14E28" w:rsidRPr="00EF68DA" w:rsidRDefault="00396469" w:rsidP="00EF68DA">
      <w:pPr>
        <w:pStyle w:val="BodyText"/>
      </w:pPr>
      <w:r>
        <w:t xml:space="preserve">The PBO has </w:t>
      </w:r>
      <w:r w:rsidR="00653ADE">
        <w:t>assume</w:t>
      </w:r>
      <w:r>
        <w:t>d</w:t>
      </w:r>
      <w:r w:rsidR="00653ADE">
        <w:t xml:space="preserve"> that universities will </w:t>
      </w:r>
      <w:r w:rsidR="008D2982">
        <w:t xml:space="preserve">increase student fees to </w:t>
      </w:r>
      <w:r w:rsidR="00653ADE">
        <w:t xml:space="preserve">fully recoup the Government’s 20 per cent </w:t>
      </w:r>
      <w:r w:rsidR="00417A30">
        <w:t>reduction in subsidies</w:t>
      </w:r>
      <w:r w:rsidR="00653ADE">
        <w:t xml:space="preserve"> and </w:t>
      </w:r>
      <w:r w:rsidR="00417A30">
        <w:t xml:space="preserve">the </w:t>
      </w:r>
      <w:r w:rsidR="00653ADE">
        <w:t>efficiency dividend</w:t>
      </w:r>
      <w:r w:rsidR="00417A30">
        <w:t>s</w:t>
      </w:r>
      <w:r w:rsidR="00653ADE">
        <w:t xml:space="preserve"> </w:t>
      </w:r>
      <w:r w:rsidR="00417A30">
        <w:t xml:space="preserve">to be applied to the </w:t>
      </w:r>
      <w:r w:rsidR="00653ADE">
        <w:t xml:space="preserve">Commonwealth Grant Scheme </w:t>
      </w:r>
      <w:r w:rsidR="00417A30">
        <w:t xml:space="preserve">(2.5 per cent </w:t>
      </w:r>
      <w:r w:rsidR="00653ADE">
        <w:t>in 2017 and 1.25 per cent in 2018</w:t>
      </w:r>
      <w:r w:rsidR="00417A30">
        <w:t>)</w:t>
      </w:r>
      <w:r w:rsidR="00653ADE">
        <w:t xml:space="preserve">.  The PBO has also </w:t>
      </w:r>
      <w:r w:rsidR="008D2982">
        <w:t>used an indicative assumption</w:t>
      </w:r>
      <w:r w:rsidR="00653ADE">
        <w:t xml:space="preserve"> that</w:t>
      </w:r>
      <w:r w:rsidR="008D2982">
        <w:t xml:space="preserve">, in a deregulated environment, </w:t>
      </w:r>
      <w:r w:rsidR="00653ADE">
        <w:t>universities will in</w:t>
      </w:r>
      <w:r w:rsidR="008D2982">
        <w:t>crease student fees by 2 per cent each year in real terms from 2018, over and above recouping</w:t>
      </w:r>
      <w:r>
        <w:t xml:space="preserve"> the reductions</w:t>
      </w:r>
      <w:r w:rsidR="008D2982">
        <w:t xml:space="preserve"> in Commonwealth </w:t>
      </w:r>
      <w:r>
        <w:t>grants</w:t>
      </w:r>
      <w:r w:rsidR="008D2982">
        <w:t>.</w:t>
      </w:r>
      <w:r w:rsidR="00E14E28">
        <w:t xml:space="preserve">  </w:t>
      </w:r>
      <w:r w:rsidR="006C185B">
        <w:t xml:space="preserve">This may be a conservative </w:t>
      </w:r>
      <w:r w:rsidR="006C185B" w:rsidRPr="00EF68DA">
        <w:t>assumption in a fully deregulated environment.</w:t>
      </w:r>
    </w:p>
    <w:p w:rsidR="00C2206B" w:rsidRDefault="00AC0D4B" w:rsidP="00172128">
      <w:pPr>
        <w:pStyle w:val="Heading2"/>
      </w:pPr>
      <w:r>
        <w:lastRenderedPageBreak/>
        <w:t>Commonwealth Grant Scheme</w:t>
      </w:r>
    </w:p>
    <w:p w:rsidR="00EA6A46" w:rsidRDefault="005860CC" w:rsidP="00172128">
      <w:pPr>
        <w:pStyle w:val="BodyText"/>
        <w:keepNext/>
        <w:keepLines/>
      </w:pPr>
      <w:r>
        <w:t xml:space="preserve">As part of </w:t>
      </w:r>
      <w:r w:rsidR="0069298E">
        <w:t>the</w:t>
      </w:r>
      <w:r>
        <w:t xml:space="preserve"> </w:t>
      </w:r>
      <w:r w:rsidRPr="005860CC">
        <w:t xml:space="preserve">2014–15 Budget </w:t>
      </w:r>
      <w:r>
        <w:t xml:space="preserve">higher education reform package </w:t>
      </w:r>
      <w:r w:rsidR="0069298E">
        <w:t>that</w:t>
      </w:r>
      <w:r>
        <w:t xml:space="preserve"> included the deregulation of university fees, the </w:t>
      </w:r>
      <w:r w:rsidR="005075D3">
        <w:t xml:space="preserve">Government </w:t>
      </w:r>
      <w:r w:rsidR="0046402F">
        <w:t xml:space="preserve">announced </w:t>
      </w:r>
      <w:r w:rsidR="00EA6A46">
        <w:t xml:space="preserve">reductions in the levels of grants payable to universities under the </w:t>
      </w:r>
      <w:r w:rsidR="0046402F">
        <w:t>Commonwealth Grant Scheme</w:t>
      </w:r>
      <w:r w:rsidR="00EA6A46">
        <w:t>.</w:t>
      </w:r>
    </w:p>
    <w:p w:rsidR="00EA6A46" w:rsidRDefault="00E27CD8" w:rsidP="00172128">
      <w:pPr>
        <w:pStyle w:val="BodyText"/>
        <w:keepNext/>
        <w:keepLines/>
      </w:pPr>
      <w:r>
        <w:t>Under the revised policy, the cost of the Commonwealth Grant Scheme is projected by the PBO to inc</w:t>
      </w:r>
      <w:r w:rsidR="00EF68DA">
        <w:t>rease from $6.6 billion in 2015–</w:t>
      </w:r>
      <w:r>
        <w:t>16 to $8.</w:t>
      </w:r>
      <w:r w:rsidR="004C7398">
        <w:t>0</w:t>
      </w:r>
      <w:r>
        <w:t> billion in 2025</w:t>
      </w:r>
      <w:r w:rsidR="00EF68DA">
        <w:t>–</w:t>
      </w:r>
      <w:r>
        <w:t>26.  This represents a projected saving in 2025</w:t>
      </w:r>
      <w:r w:rsidR="00EF68DA">
        <w:t>–</w:t>
      </w:r>
      <w:r>
        <w:t>26 of $</w:t>
      </w:r>
      <w:r w:rsidR="004C7398">
        <w:t>1.3</w:t>
      </w:r>
      <w:r>
        <w:t xml:space="preserve"> billion.</w:t>
      </w:r>
    </w:p>
    <w:p w:rsidR="00E27CD8" w:rsidRDefault="00E73E1B" w:rsidP="00172128">
      <w:pPr>
        <w:pStyle w:val="BodyText"/>
        <w:keepNext/>
        <w:keepLines/>
      </w:pPr>
      <w:r>
        <w:fldChar w:fldCharType="begin"/>
      </w:r>
      <w:r>
        <w:instrText xml:space="preserve"> REF _Ref448905103 \h </w:instrText>
      </w:r>
      <w:r>
        <w:fldChar w:fldCharType="separate"/>
      </w:r>
      <w:r w:rsidR="003715A6" w:rsidRPr="00EF68DA">
        <w:t xml:space="preserve">Figure </w:t>
      </w:r>
      <w:r w:rsidR="003715A6">
        <w:rPr>
          <w:noProof/>
        </w:rPr>
        <w:t>2</w:t>
      </w:r>
      <w:r>
        <w:fldChar w:fldCharType="end"/>
      </w:r>
      <w:r w:rsidR="00E27CD8">
        <w:t xml:space="preserve"> below shows the PBO’s projection</w:t>
      </w:r>
      <w:r w:rsidR="008C1BDD">
        <w:t>s</w:t>
      </w:r>
      <w:r w:rsidR="00E27CD8">
        <w:t xml:space="preserve"> of the cost of the Commonwealth Grant Scheme with and without the </w:t>
      </w:r>
      <w:r w:rsidR="00EF68DA">
        <w:t>Government’s savings measures.</w:t>
      </w:r>
    </w:p>
    <w:p w:rsidR="00EF68DA" w:rsidRDefault="00EF68DA" w:rsidP="00EF68DA">
      <w:pPr>
        <w:pStyle w:val="Caption"/>
      </w:pPr>
      <w:bookmarkStart w:id="4" w:name="_Ref448905103"/>
      <w:r w:rsidRPr="00EF68DA">
        <w:t xml:space="preserve">Figure </w:t>
      </w:r>
      <w:r w:rsidR="006A1843">
        <w:fldChar w:fldCharType="begin"/>
      </w:r>
      <w:r w:rsidR="006A1843">
        <w:instrText xml:space="preserve"> SEQ Figure \* ARABIC \s 1 </w:instrText>
      </w:r>
      <w:r w:rsidR="006A1843">
        <w:fldChar w:fldCharType="separate"/>
      </w:r>
      <w:r w:rsidR="003715A6">
        <w:rPr>
          <w:noProof/>
        </w:rPr>
        <w:t>2</w:t>
      </w:r>
      <w:r w:rsidR="006A1843">
        <w:rPr>
          <w:noProof/>
        </w:rPr>
        <w:fldChar w:fldCharType="end"/>
      </w:r>
      <w:bookmarkEnd w:id="4"/>
      <w:r w:rsidRPr="00EF68DA">
        <w:t xml:space="preserve">: </w:t>
      </w:r>
      <w:r>
        <w:t>Commonwealth Grant Scheme – impact of the Government’s announced savings measures</w:t>
      </w:r>
    </w:p>
    <w:tbl>
      <w:tblPr>
        <w:tblStyle w:val="TableGrid"/>
        <w:tblW w:w="5000" w:type="pct"/>
        <w:tblLook w:val="0680" w:firstRow="0" w:lastRow="0" w:firstColumn="1" w:lastColumn="0" w:noHBand="1" w:noVBand="1"/>
      </w:tblPr>
      <w:tblGrid>
        <w:gridCol w:w="2798"/>
        <w:gridCol w:w="420"/>
        <w:gridCol w:w="367"/>
        <w:gridCol w:w="473"/>
        <w:gridCol w:w="473"/>
        <w:gridCol w:w="473"/>
        <w:gridCol w:w="473"/>
        <w:gridCol w:w="473"/>
        <w:gridCol w:w="474"/>
        <w:gridCol w:w="474"/>
        <w:gridCol w:w="474"/>
        <w:gridCol w:w="474"/>
        <w:gridCol w:w="466"/>
      </w:tblGrid>
      <w:tr w:rsidR="00C54F75" w:rsidRPr="00C54F75" w:rsidTr="00CD7420">
        <w:tc>
          <w:tcPr>
            <w:cnfStyle w:val="001000000000" w:firstRow="0" w:lastRow="0" w:firstColumn="1" w:lastColumn="0" w:oddVBand="0" w:evenVBand="0" w:oddHBand="0" w:evenHBand="0" w:firstRowFirstColumn="0" w:firstRowLastColumn="0" w:lastRowFirstColumn="0" w:lastRowLastColumn="0"/>
            <w:tcW w:w="1225" w:type="pct"/>
            <w:noWrap/>
            <w:hideMark/>
          </w:tcPr>
          <w:p w:rsidR="00CD7420" w:rsidRPr="00C54F75" w:rsidRDefault="00C54F75" w:rsidP="00CD7420">
            <w:pPr>
              <w:pStyle w:val="TableText"/>
              <w:spacing w:before="0" w:after="0" w:line="240" w:lineRule="auto"/>
              <w:ind w:left="0" w:right="57"/>
              <w:rPr>
                <w:b/>
                <w:color w:val="FFFFFF" w:themeColor="background1"/>
                <w:sz w:val="8"/>
                <w:szCs w:val="8"/>
              </w:rPr>
            </w:pPr>
            <w:r>
              <w:rPr>
                <w:noProof/>
              </w:rPr>
              <w:drawing>
                <wp:anchor distT="0" distB="0" distL="114300" distR="114300" simplePos="0" relativeHeight="251661312" behindDoc="0" locked="0" layoutInCell="1" allowOverlap="1" wp14:anchorId="249D42FD" wp14:editId="401F96F0">
                  <wp:simplePos x="0" y="0"/>
                  <wp:positionH relativeFrom="column">
                    <wp:posOffset>2540</wp:posOffset>
                  </wp:positionH>
                  <wp:positionV relativeFrom="paragraph">
                    <wp:posOffset>10160</wp:posOffset>
                  </wp:positionV>
                  <wp:extent cx="5052060" cy="3902075"/>
                  <wp:effectExtent l="0" t="0" r="0" b="3175"/>
                  <wp:wrapNone/>
                  <wp:docPr id="8" name="Picture 8" descr="Chart: Enter title of chart here" title="Chart: Enter title of chart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2060" cy="3902075"/>
                          </a:xfrm>
                          <a:prstGeom prst="rect">
                            <a:avLst/>
                          </a:prstGeom>
                          <a:noFill/>
                        </pic:spPr>
                      </pic:pic>
                    </a:graphicData>
                  </a:graphic>
                  <wp14:sizeRelH relativeFrom="page">
                    <wp14:pctWidth>0</wp14:pctWidth>
                  </wp14:sizeRelH>
                  <wp14:sizeRelV relativeFrom="page">
                    <wp14:pctHeight>0</wp14:pctHeight>
                  </wp14:sizeRelV>
                </wp:anchor>
              </w:drawing>
            </w:r>
          </w:p>
        </w:tc>
        <w:tc>
          <w:tcPr>
            <w:tcW w:w="291"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2014–15</w:t>
            </w:r>
          </w:p>
        </w:tc>
        <w:tc>
          <w:tcPr>
            <w:tcW w:w="259"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2015–16</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2016–17</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2017–18</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2018–19</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2019–20</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2020–21</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2021–22</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2022–23</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2023–24</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2024–25</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b/>
                <w:color w:val="FFFFFF" w:themeColor="background1"/>
                <w:sz w:val="8"/>
                <w:szCs w:val="8"/>
              </w:rPr>
            </w:pPr>
            <w:r w:rsidRPr="00C54F75">
              <w:rPr>
                <w:b/>
                <w:color w:val="FFFFFF" w:themeColor="background1"/>
                <w:sz w:val="8"/>
                <w:szCs w:val="8"/>
              </w:rPr>
              <w:t>2025–26</w:t>
            </w:r>
          </w:p>
        </w:tc>
      </w:tr>
      <w:tr w:rsidR="00C54F75" w:rsidRPr="00C54F75" w:rsidTr="00CD7420">
        <w:tc>
          <w:tcPr>
            <w:cnfStyle w:val="001000000000" w:firstRow="0" w:lastRow="0" w:firstColumn="1" w:lastColumn="0" w:oddVBand="0" w:evenVBand="0" w:oddHBand="0" w:evenHBand="0" w:firstRowFirstColumn="0" w:firstRowLastColumn="0" w:lastRowFirstColumn="0" w:lastRowLastColumn="0"/>
            <w:tcW w:w="1225" w:type="pct"/>
            <w:noWrap/>
            <w:hideMark/>
          </w:tcPr>
          <w:p w:rsidR="00CD7420" w:rsidRPr="00C54F75" w:rsidRDefault="00CD7420" w:rsidP="00CD7420">
            <w:pPr>
              <w:pStyle w:val="TableText"/>
              <w:spacing w:before="0" w:after="0" w:line="240" w:lineRule="auto"/>
              <w:ind w:left="0" w:right="57"/>
              <w:rPr>
                <w:color w:val="FFFFFF" w:themeColor="background1"/>
                <w:sz w:val="8"/>
                <w:szCs w:val="8"/>
              </w:rPr>
            </w:pPr>
            <w:r w:rsidRPr="00C54F75">
              <w:rPr>
                <w:color w:val="FFFFFF" w:themeColor="background1"/>
                <w:sz w:val="8"/>
                <w:szCs w:val="8"/>
              </w:rPr>
              <w:t>Baseline (current legislation)</w:t>
            </w:r>
          </w:p>
        </w:tc>
        <w:tc>
          <w:tcPr>
            <w:tcW w:w="291"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6.4</w:t>
            </w:r>
          </w:p>
        </w:tc>
        <w:tc>
          <w:tcPr>
            <w:tcW w:w="259"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6.6</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6.9</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7.1</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7.4</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7.7</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7.9</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8.2</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8.4</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8.7</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9</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9.3</w:t>
            </w:r>
          </w:p>
        </w:tc>
      </w:tr>
      <w:tr w:rsidR="00C54F75" w:rsidRPr="00C54F75" w:rsidTr="00CD7420">
        <w:tc>
          <w:tcPr>
            <w:cnfStyle w:val="001000000000" w:firstRow="0" w:lastRow="0" w:firstColumn="1" w:lastColumn="0" w:oddVBand="0" w:evenVBand="0" w:oddHBand="0" w:evenHBand="0" w:firstRowFirstColumn="0" w:firstRowLastColumn="0" w:lastRowFirstColumn="0" w:lastRowLastColumn="0"/>
            <w:tcW w:w="1225" w:type="pct"/>
            <w:noWrap/>
            <w:hideMark/>
          </w:tcPr>
          <w:p w:rsidR="00CD7420" w:rsidRPr="00C54F75" w:rsidRDefault="00CD7420" w:rsidP="00CD7420">
            <w:pPr>
              <w:pStyle w:val="TableText"/>
              <w:spacing w:before="0" w:after="0" w:line="240" w:lineRule="auto"/>
              <w:ind w:left="0" w:right="57"/>
              <w:rPr>
                <w:color w:val="FFFFFF" w:themeColor="background1"/>
                <w:sz w:val="8"/>
                <w:szCs w:val="8"/>
              </w:rPr>
            </w:pPr>
            <w:r w:rsidRPr="00C54F75">
              <w:rPr>
                <w:color w:val="FFFFFF" w:themeColor="background1"/>
                <w:sz w:val="8"/>
                <w:szCs w:val="8"/>
              </w:rPr>
              <w:t>Government's announced policy (savings measures plus additional university places)</w:t>
            </w:r>
          </w:p>
        </w:tc>
        <w:tc>
          <w:tcPr>
            <w:tcW w:w="291"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6.4</w:t>
            </w:r>
          </w:p>
        </w:tc>
        <w:tc>
          <w:tcPr>
            <w:tcW w:w="259"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6.6</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6.5</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6.3</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6.5</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6.6</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6.8</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7.1</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7.3</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7.5</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7.8</w:t>
            </w:r>
          </w:p>
        </w:tc>
        <w:tc>
          <w:tcPr>
            <w:tcW w:w="323" w:type="pct"/>
            <w:noWrap/>
            <w:hideMark/>
          </w:tcPr>
          <w:p w:rsidR="00CD7420" w:rsidRPr="00C54F75" w:rsidRDefault="00CD7420" w:rsidP="00CD7420">
            <w:pPr>
              <w:pStyle w:val="TableTextCentred"/>
              <w:spacing w:before="0" w:after="0" w:line="240" w:lineRule="auto"/>
              <w:ind w:left="0" w:right="57"/>
              <w:jc w:val="right"/>
              <w:cnfStyle w:val="000000000000" w:firstRow="0" w:lastRow="0" w:firstColumn="0" w:lastColumn="0" w:oddVBand="0" w:evenVBand="0" w:oddHBand="0" w:evenHBand="0" w:firstRowFirstColumn="0" w:firstRowLastColumn="0" w:lastRowFirstColumn="0" w:lastRowLastColumn="0"/>
              <w:rPr>
                <w:color w:val="FFFFFF" w:themeColor="background1"/>
                <w:sz w:val="8"/>
                <w:szCs w:val="8"/>
              </w:rPr>
            </w:pPr>
            <w:r w:rsidRPr="00C54F75">
              <w:rPr>
                <w:color w:val="FFFFFF" w:themeColor="background1"/>
                <w:sz w:val="8"/>
                <w:szCs w:val="8"/>
              </w:rPr>
              <w:t>8</w:t>
            </w:r>
          </w:p>
        </w:tc>
      </w:tr>
    </w:tbl>
    <w:p w:rsidR="00D5638D" w:rsidRDefault="00D5638D" w:rsidP="00C54F75">
      <w:pPr>
        <w:pStyle w:val="BodyText17ptAbove"/>
        <w:spacing w:before="6000"/>
      </w:pPr>
      <w:bookmarkStart w:id="5" w:name="PasteHere"/>
      <w:bookmarkStart w:id="6" w:name="PasteEndHere"/>
      <w:bookmarkStart w:id="7" w:name="ReturnHere"/>
      <w:bookmarkEnd w:id="5"/>
      <w:bookmarkEnd w:id="6"/>
      <w:bookmarkEnd w:id="7"/>
      <w:r>
        <w:t xml:space="preserve">The PBO has assumed that the changes to the </w:t>
      </w:r>
      <w:r w:rsidR="00845C68">
        <w:t>Commonwealth Grant Scheme</w:t>
      </w:r>
      <w:r w:rsidR="00E73E1B">
        <w:t>,</w:t>
      </w:r>
      <w:r w:rsidR="00845C68">
        <w:t xml:space="preserve"> </w:t>
      </w:r>
      <w:r w:rsidR="00E27CD8">
        <w:t>which have been delayed due to the non-passage of legislation</w:t>
      </w:r>
      <w:r w:rsidR="00E73E1B">
        <w:t>,</w:t>
      </w:r>
      <w:r w:rsidR="00E27CD8">
        <w:t xml:space="preserve"> wi</w:t>
      </w:r>
      <w:r w:rsidR="00E73E1B">
        <w:t>ll be implemented from the 2017 </w:t>
      </w:r>
      <w:r w:rsidR="00E27CD8">
        <w:t>calendar year</w:t>
      </w:r>
      <w:r w:rsidR="00212029">
        <w:t>.</w:t>
      </w:r>
    </w:p>
    <w:p w:rsidR="005658A8" w:rsidRDefault="005860CC" w:rsidP="0046402F">
      <w:pPr>
        <w:pStyle w:val="BodyText"/>
      </w:pPr>
      <w:r w:rsidRPr="005860CC">
        <w:t xml:space="preserve">The projections also incorporate the </w:t>
      </w:r>
      <w:r>
        <w:t xml:space="preserve">impact of the </w:t>
      </w:r>
      <w:r w:rsidRPr="005860CC">
        <w:t xml:space="preserve">Government’s policy to extend the Commonwealth Grant Scheme to </w:t>
      </w:r>
      <w:r w:rsidR="006F72ED" w:rsidRPr="00A85258">
        <w:t>certain sub-bachelor courses and to non-university higher education providers</w:t>
      </w:r>
      <w:r w:rsidRPr="005860CC">
        <w:t>.</w:t>
      </w:r>
    </w:p>
    <w:p w:rsidR="00E73E1B" w:rsidRDefault="00E73E1B" w:rsidP="0046402F">
      <w:pPr>
        <w:pStyle w:val="BodyText"/>
      </w:pPr>
    </w:p>
    <w:p w:rsidR="0040400E" w:rsidRDefault="0040400E" w:rsidP="0046402F">
      <w:pPr>
        <w:pStyle w:val="BodyText"/>
        <w:sectPr w:rsidR="0040400E" w:rsidSect="00EF68DA">
          <w:headerReference w:type="even" r:id="rId20"/>
          <w:headerReference w:type="default" r:id="rId21"/>
          <w:footerReference w:type="even" r:id="rId22"/>
          <w:footerReference w:type="default" r:id="rId23"/>
          <w:headerReference w:type="first" r:id="rId24"/>
          <w:footerReference w:type="first" r:id="rId25"/>
          <w:pgSz w:w="11906" w:h="16838" w:code="9"/>
          <w:pgMar w:top="1361" w:right="1797" w:bottom="1474" w:left="1797" w:header="284" w:footer="454" w:gutter="0"/>
          <w:pgNumType w:start="1"/>
          <w:cols w:space="708"/>
          <w:docGrid w:linePitch="360"/>
        </w:sectPr>
      </w:pPr>
    </w:p>
    <w:p w:rsidR="0040400E" w:rsidRDefault="0040400E" w:rsidP="0046402F">
      <w:pPr>
        <w:pStyle w:val="BodyText"/>
      </w:pPr>
      <w:r w:rsidRPr="003A2FBB">
        <w:rPr>
          <w:noProof/>
          <w:color w:val="FFFFFF" w:themeColor="background1"/>
          <w:sz w:val="72"/>
          <w:szCs w:val="72"/>
          <w:lang w:eastAsia="en-AU"/>
        </w:rPr>
        <mc:AlternateContent>
          <mc:Choice Requires="wpc">
            <w:drawing>
              <wp:anchor distT="0" distB="0" distL="114300" distR="114300" simplePos="0" relativeHeight="251659264" behindDoc="1" locked="0" layoutInCell="1" allowOverlap="1" wp14:anchorId="61BCA9C1" wp14:editId="1DC949FA">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40400E" w:rsidRPr="0061135C" w:rsidRDefault="006A1843" w:rsidP="009160FD">
                              <w:pPr>
                                <w:pStyle w:val="xBackPageWebAddress"/>
                                <w:jc w:val="center"/>
                              </w:pPr>
                              <w:hyperlink r:id="rId27" w:history="1">
                                <w:r w:rsidR="0040400E"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435eAGAb11wAwGa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29"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40400E" w:rsidRPr="0061135C" w:rsidRDefault="003715A6" w:rsidP="009160FD">
                        <w:pPr>
                          <w:pStyle w:val="xBackPageWebAddress"/>
                          <w:jc w:val="center"/>
                        </w:pPr>
                        <w:hyperlink r:id="rId30" w:history="1">
                          <w:r w:rsidR="0040400E" w:rsidRPr="0061135C">
                            <w:t>www.pbo.gov.au</w:t>
                          </w:r>
                        </w:hyperlink>
                      </w:p>
                    </w:txbxContent>
                  </v:textbox>
                </v:shape>
                <w10:wrap type="tight" anchorx="page" anchory="page"/>
              </v:group>
            </w:pict>
          </mc:Fallback>
        </mc:AlternateContent>
      </w:r>
    </w:p>
    <w:sectPr w:rsidR="0040400E" w:rsidSect="0040400E">
      <w:footerReference w:type="even" r:id="rId31"/>
      <w:footerReference w:type="default" r:id="rId32"/>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3F7" w:rsidRDefault="00B513F7" w:rsidP="00A20802">
      <w:pPr>
        <w:spacing w:line="240" w:lineRule="auto"/>
      </w:pPr>
      <w:r>
        <w:separator/>
      </w:r>
    </w:p>
    <w:p w:rsidR="00B513F7" w:rsidRDefault="00B513F7"/>
  </w:endnote>
  <w:endnote w:type="continuationSeparator" w:id="0">
    <w:p w:rsidR="00B513F7" w:rsidRDefault="00B513F7" w:rsidP="00A20802">
      <w:pPr>
        <w:spacing w:line="240" w:lineRule="auto"/>
      </w:pPr>
      <w:r>
        <w:continuationSeparator/>
      </w:r>
    </w:p>
    <w:p w:rsidR="00B513F7" w:rsidRDefault="00B51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B513F7" w:rsidRPr="00EB388E" w:rsidTr="00C80200">
      <w:trPr>
        <w:trHeight w:val="340"/>
      </w:trPr>
      <w:tc>
        <w:tcPr>
          <w:tcW w:w="567" w:type="dxa"/>
          <w:tcBorders>
            <w:right w:val="single" w:sz="4" w:space="0" w:color="788184" w:themeColor="background2"/>
          </w:tcBorders>
          <w:vAlign w:val="center"/>
        </w:tcPr>
        <w:p w:rsidR="00B513F7" w:rsidRPr="00CB70DF" w:rsidRDefault="00B513F7"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6A1843">
            <w:rPr>
              <w:noProof/>
            </w:rPr>
            <w:t>2</w:t>
          </w:r>
          <w:r w:rsidRPr="00EB388E">
            <w:fldChar w:fldCharType="end"/>
          </w:r>
        </w:p>
      </w:tc>
      <w:tc>
        <w:tcPr>
          <w:tcW w:w="8164" w:type="dxa"/>
          <w:tcBorders>
            <w:left w:val="single" w:sz="4" w:space="0" w:color="788184" w:themeColor="background2"/>
          </w:tcBorders>
          <w:vAlign w:val="center"/>
        </w:tcPr>
        <w:p w:rsidR="00B513F7" w:rsidRPr="00CB70DF" w:rsidRDefault="006A1843" w:rsidP="00C80200">
          <w:pPr>
            <w:pStyle w:val="FooterLeft"/>
            <w:framePr w:wrap="auto" w:vAnchor="margin" w:hAnchor="text" w:yAlign="inline"/>
          </w:pPr>
          <w:r>
            <w:fldChar w:fldCharType="begin"/>
          </w:r>
          <w:r>
            <w:instrText xml:space="preserve"> STYLEREF  Title  \* MERGEFORMAT </w:instrText>
          </w:r>
          <w:r>
            <w:fldChar w:fldCharType="separate"/>
          </w:r>
          <w:r>
            <w:rPr>
              <w:noProof/>
            </w:rPr>
            <w:t>Higher Education Loan Programme — supplementary analysis</w:t>
          </w:r>
          <w:r>
            <w:rPr>
              <w:noProof/>
            </w:rPr>
            <w:fldChar w:fldCharType="end"/>
          </w:r>
        </w:p>
      </w:tc>
    </w:tr>
    <w:tr w:rsidR="00B513F7" w:rsidRPr="00EB388E" w:rsidTr="00C80200">
      <w:trPr>
        <w:trHeight w:hRule="exact" w:val="403"/>
      </w:trPr>
      <w:tc>
        <w:tcPr>
          <w:tcW w:w="567" w:type="dxa"/>
          <w:tcMar>
            <w:bottom w:w="284" w:type="dxa"/>
          </w:tcMar>
        </w:tcPr>
        <w:p w:rsidR="00B513F7" w:rsidRPr="00EB388E" w:rsidRDefault="00B513F7" w:rsidP="00C80200">
          <w:pPr>
            <w:pStyle w:val="FooterRightPageNumber"/>
          </w:pPr>
        </w:p>
      </w:tc>
      <w:tc>
        <w:tcPr>
          <w:tcW w:w="8164" w:type="dxa"/>
          <w:tcMar>
            <w:bottom w:w="284" w:type="dxa"/>
          </w:tcMar>
        </w:tcPr>
        <w:p w:rsidR="00B513F7" w:rsidRPr="00090E70" w:rsidRDefault="00B513F7" w:rsidP="00C80200"/>
      </w:tc>
    </w:tr>
  </w:tbl>
  <w:p w:rsidR="00B513F7" w:rsidRDefault="00B513F7">
    <w:pPr>
      <w:pStyle w:val="Footer"/>
    </w:pPr>
  </w:p>
  <w:p w:rsidR="00B513F7" w:rsidRPr="004816D7" w:rsidRDefault="00B513F7"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0E266E" w:rsidRPr="00EB388E" w:rsidTr="0087390B">
      <w:trPr>
        <w:trHeight w:val="340"/>
      </w:trPr>
      <w:tc>
        <w:tcPr>
          <w:tcW w:w="8164" w:type="dxa"/>
          <w:tcBorders>
            <w:right w:val="single" w:sz="4" w:space="0" w:color="788184" w:themeColor="background2"/>
          </w:tcBorders>
          <w:vAlign w:val="center"/>
        </w:tcPr>
        <w:p w:rsidR="000E266E" w:rsidRPr="00CB70DF" w:rsidRDefault="006A1843" w:rsidP="00936B33">
          <w:pPr>
            <w:pStyle w:val="FooterRight"/>
            <w:framePr w:wrap="auto" w:vAnchor="margin" w:hAnchor="text" w:xAlign="left" w:yAlign="inline"/>
          </w:pPr>
          <w:r>
            <w:fldChar w:fldCharType="begin"/>
          </w:r>
          <w:r>
            <w:instrText xml:space="preserve"> STYLEREF  Title  \* MERGEFORMAT </w:instrText>
          </w:r>
          <w:r>
            <w:fldChar w:fldCharType="separate"/>
          </w:r>
          <w:r>
            <w:rPr>
              <w:noProof/>
            </w:rPr>
            <w:t>Higher Education Loan Programme — supplementary analysis</w:t>
          </w:r>
          <w:r>
            <w:rPr>
              <w:noProof/>
            </w:rPr>
            <w:fldChar w:fldCharType="end"/>
          </w:r>
        </w:p>
      </w:tc>
      <w:tc>
        <w:tcPr>
          <w:tcW w:w="567" w:type="dxa"/>
          <w:tcBorders>
            <w:left w:val="single" w:sz="4" w:space="0" w:color="788184" w:themeColor="background2"/>
          </w:tcBorders>
          <w:vAlign w:val="center"/>
        </w:tcPr>
        <w:p w:rsidR="000E266E" w:rsidRPr="00CB70DF" w:rsidRDefault="000E266E" w:rsidP="00E915E6">
          <w:pPr>
            <w:pStyle w:val="FooterRightPageNumber"/>
          </w:pPr>
          <w:r w:rsidRPr="00EB388E">
            <w:fldChar w:fldCharType="begin"/>
          </w:r>
          <w:r w:rsidRPr="00EB388E">
            <w:instrText xml:space="preserve"> PAGE   \* MERGEFORMAT </w:instrText>
          </w:r>
          <w:r w:rsidRPr="00EB388E">
            <w:fldChar w:fldCharType="separate"/>
          </w:r>
          <w:r w:rsidR="006A1843">
            <w:t>3</w:t>
          </w:r>
          <w:r w:rsidRPr="00EB388E">
            <w:fldChar w:fldCharType="end"/>
          </w:r>
        </w:p>
      </w:tc>
    </w:tr>
    <w:tr w:rsidR="000E266E" w:rsidRPr="00EB388E" w:rsidTr="004F1297">
      <w:trPr>
        <w:trHeight w:hRule="exact" w:val="403"/>
      </w:trPr>
      <w:tc>
        <w:tcPr>
          <w:tcW w:w="8164" w:type="dxa"/>
        </w:tcPr>
        <w:p w:rsidR="000E266E" w:rsidRPr="00090E70" w:rsidRDefault="000E266E" w:rsidP="0087390B"/>
      </w:tc>
      <w:tc>
        <w:tcPr>
          <w:tcW w:w="567" w:type="dxa"/>
          <w:tcMar>
            <w:bottom w:w="284" w:type="dxa"/>
          </w:tcMar>
        </w:tcPr>
        <w:p w:rsidR="000E266E" w:rsidRPr="00090E70" w:rsidRDefault="000E266E" w:rsidP="0087390B"/>
      </w:tc>
    </w:tr>
  </w:tbl>
  <w:p w:rsidR="000E266E" w:rsidRDefault="000E266E">
    <w:pPr>
      <w:pStyle w:val="Footer"/>
    </w:pPr>
  </w:p>
  <w:p w:rsidR="000E266E" w:rsidRPr="004816D7" w:rsidRDefault="000E266E"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7" w:rsidRDefault="00B513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40400E" w:rsidRPr="00EB388E" w:rsidTr="0040400E">
      <w:trPr>
        <w:trHeight w:val="340"/>
      </w:trPr>
      <w:tc>
        <w:tcPr>
          <w:tcW w:w="567" w:type="dxa"/>
          <w:tcBorders>
            <w:right w:val="single" w:sz="4" w:space="0" w:color="788184" w:themeColor="background2"/>
          </w:tcBorders>
          <w:vAlign w:val="center"/>
        </w:tcPr>
        <w:p w:rsidR="0040400E" w:rsidRPr="00CB70DF" w:rsidRDefault="0040400E" w:rsidP="0040400E">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6A1843">
            <w:rPr>
              <w:noProof/>
            </w:rPr>
            <w:t>4</w:t>
          </w:r>
          <w:r w:rsidRPr="00EB388E">
            <w:fldChar w:fldCharType="end"/>
          </w:r>
        </w:p>
      </w:tc>
      <w:tc>
        <w:tcPr>
          <w:tcW w:w="8164" w:type="dxa"/>
          <w:tcBorders>
            <w:left w:val="single" w:sz="4" w:space="0" w:color="788184" w:themeColor="background2"/>
          </w:tcBorders>
          <w:vAlign w:val="center"/>
        </w:tcPr>
        <w:p w:rsidR="0040400E" w:rsidRPr="00CB70DF" w:rsidRDefault="006A1843" w:rsidP="0040400E">
          <w:pPr>
            <w:pStyle w:val="FooterLeft"/>
            <w:framePr w:wrap="auto" w:vAnchor="margin" w:hAnchor="text" w:yAlign="inline"/>
          </w:pPr>
          <w:r>
            <w:fldChar w:fldCharType="begin"/>
          </w:r>
          <w:r>
            <w:instrText xml:space="preserve"> STYLEREF  Title  \* MERGEFORMAT </w:instrText>
          </w:r>
          <w:r>
            <w:fldChar w:fldCharType="separate"/>
          </w:r>
          <w:r>
            <w:rPr>
              <w:noProof/>
            </w:rPr>
            <w:t>Higher Education Loan Programme — supplementary analysis</w:t>
          </w:r>
          <w:r>
            <w:rPr>
              <w:noProof/>
            </w:rPr>
            <w:fldChar w:fldCharType="end"/>
          </w:r>
        </w:p>
      </w:tc>
    </w:tr>
    <w:tr w:rsidR="0040400E" w:rsidRPr="00EB388E" w:rsidTr="0040400E">
      <w:trPr>
        <w:trHeight w:hRule="exact" w:val="403"/>
      </w:trPr>
      <w:tc>
        <w:tcPr>
          <w:tcW w:w="567" w:type="dxa"/>
          <w:tcMar>
            <w:bottom w:w="284" w:type="dxa"/>
          </w:tcMar>
        </w:tcPr>
        <w:p w:rsidR="0040400E" w:rsidRPr="00EB388E" w:rsidRDefault="0040400E" w:rsidP="0040400E">
          <w:pPr>
            <w:pStyle w:val="FooterRightPageNumber"/>
          </w:pPr>
        </w:p>
      </w:tc>
      <w:tc>
        <w:tcPr>
          <w:tcW w:w="8164" w:type="dxa"/>
          <w:tcMar>
            <w:bottom w:w="284" w:type="dxa"/>
          </w:tcMar>
        </w:tcPr>
        <w:p w:rsidR="0040400E" w:rsidRPr="00090E70" w:rsidRDefault="0040400E" w:rsidP="0040400E"/>
      </w:tc>
    </w:tr>
  </w:tbl>
  <w:p w:rsidR="0040400E" w:rsidRDefault="0040400E">
    <w:pPr>
      <w:pStyle w:val="Footer"/>
    </w:pPr>
  </w:p>
  <w:p w:rsidR="0040400E" w:rsidRPr="004816D7" w:rsidRDefault="0040400E"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40400E" w:rsidRPr="00EB388E" w:rsidTr="0040400E">
      <w:trPr>
        <w:trHeight w:val="340"/>
      </w:trPr>
      <w:tc>
        <w:tcPr>
          <w:tcW w:w="8164" w:type="dxa"/>
          <w:tcBorders>
            <w:right w:val="single" w:sz="4" w:space="0" w:color="788184" w:themeColor="background2"/>
          </w:tcBorders>
          <w:vAlign w:val="center"/>
        </w:tcPr>
        <w:p w:rsidR="0040400E" w:rsidRPr="00CB70DF" w:rsidRDefault="0040400E" w:rsidP="0040400E">
          <w:pPr>
            <w:pStyle w:val="FooterRight"/>
            <w:framePr w:wrap="auto" w:vAnchor="margin" w:hAnchor="text" w:xAlign="left" w:yAlign="inline"/>
          </w:pPr>
          <w:r>
            <w:fldChar w:fldCharType="begin"/>
          </w:r>
          <w:r>
            <w:instrText xml:space="preserve"> STYLEREF  "Heading 1"  \* MERGEFORMAT </w:instrText>
          </w:r>
          <w:r>
            <w:fldChar w:fldCharType="separate"/>
          </w:r>
          <w:r w:rsidR="00CD7420">
            <w:rPr>
              <w:b w:val="0"/>
              <w:bCs/>
              <w:noProof/>
              <w:lang w:val="en-US"/>
            </w:rPr>
            <w:t>Error! No text of specified style in document.</w:t>
          </w:r>
          <w:r>
            <w:fldChar w:fldCharType="end"/>
          </w:r>
        </w:p>
      </w:tc>
      <w:tc>
        <w:tcPr>
          <w:tcW w:w="567" w:type="dxa"/>
          <w:tcBorders>
            <w:left w:val="single" w:sz="4" w:space="0" w:color="788184" w:themeColor="background2"/>
          </w:tcBorders>
          <w:vAlign w:val="center"/>
        </w:tcPr>
        <w:p w:rsidR="0040400E" w:rsidRPr="00CB70DF" w:rsidRDefault="0040400E" w:rsidP="0040400E">
          <w:pPr>
            <w:pStyle w:val="FooterRightPageNumber"/>
          </w:pPr>
          <w:r w:rsidRPr="00EB388E">
            <w:fldChar w:fldCharType="begin"/>
          </w:r>
          <w:r w:rsidRPr="00EB388E">
            <w:instrText xml:space="preserve"> PAGE   \* MERGEFORMAT </w:instrText>
          </w:r>
          <w:r w:rsidRPr="00EB388E">
            <w:fldChar w:fldCharType="separate"/>
          </w:r>
          <w:r w:rsidR="00CD7420">
            <w:t>5</w:t>
          </w:r>
          <w:r w:rsidRPr="00EB388E">
            <w:fldChar w:fldCharType="end"/>
          </w:r>
        </w:p>
      </w:tc>
    </w:tr>
    <w:tr w:rsidR="0040400E" w:rsidRPr="00EB388E" w:rsidTr="0040400E">
      <w:trPr>
        <w:trHeight w:hRule="exact" w:val="403"/>
      </w:trPr>
      <w:tc>
        <w:tcPr>
          <w:tcW w:w="8164" w:type="dxa"/>
        </w:tcPr>
        <w:p w:rsidR="0040400E" w:rsidRPr="00090E70" w:rsidRDefault="0040400E" w:rsidP="0040400E"/>
      </w:tc>
      <w:tc>
        <w:tcPr>
          <w:tcW w:w="567" w:type="dxa"/>
          <w:tcMar>
            <w:bottom w:w="284" w:type="dxa"/>
          </w:tcMar>
        </w:tcPr>
        <w:p w:rsidR="0040400E" w:rsidRPr="00090E70" w:rsidRDefault="0040400E" w:rsidP="0040400E"/>
      </w:tc>
    </w:tr>
  </w:tbl>
  <w:p w:rsidR="0040400E" w:rsidRDefault="0040400E">
    <w:pPr>
      <w:pStyle w:val="Footer"/>
    </w:pPr>
  </w:p>
  <w:p w:rsidR="0040400E" w:rsidRPr="004816D7" w:rsidRDefault="0040400E" w:rsidP="009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3F7" w:rsidRPr="000557A7" w:rsidRDefault="00B513F7" w:rsidP="008D5A11">
      <w:pPr>
        <w:pBdr>
          <w:top w:val="single" w:sz="4" w:space="1" w:color="auto"/>
        </w:pBdr>
        <w:spacing w:before="240" w:line="60" w:lineRule="exact"/>
        <w:rPr>
          <w:sz w:val="16"/>
          <w:szCs w:val="16"/>
        </w:rPr>
      </w:pPr>
    </w:p>
  </w:footnote>
  <w:footnote w:type="continuationSeparator" w:id="0">
    <w:p w:rsidR="00B513F7" w:rsidRDefault="00B513F7" w:rsidP="00A20802">
      <w:pPr>
        <w:spacing w:line="240" w:lineRule="auto"/>
      </w:pPr>
      <w:r>
        <w:continuationSeparator/>
      </w:r>
    </w:p>
    <w:p w:rsidR="00B513F7" w:rsidRDefault="00B513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3360" behindDoc="1" locked="1" layoutInCell="1" allowOverlap="1" wp14:anchorId="205C9FE4" wp14:editId="1C6EABCC">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0E266E" w:rsidRPr="0001226A" w:rsidRDefault="000E266E"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5408" behindDoc="1" locked="1" layoutInCell="1" allowOverlap="1" wp14:anchorId="5CC16CE7" wp14:editId="037BB1D0">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w:drawing>
        <wp:anchor distT="0" distB="0" distL="114300" distR="114300" simplePos="0" relativeHeight="251674624" behindDoc="1" locked="0" layoutInCell="1" allowOverlap="1" wp14:anchorId="3B612E83" wp14:editId="1A42290A">
          <wp:simplePos x="0" y="0"/>
          <wp:positionH relativeFrom="page">
            <wp:posOffset>0</wp:posOffset>
          </wp:positionH>
          <wp:positionV relativeFrom="page">
            <wp:posOffset>0</wp:posOffset>
          </wp:positionV>
          <wp:extent cx="7563600" cy="10695600"/>
          <wp:effectExtent l="0" t="0" r="0" b="0"/>
          <wp:wrapNone/>
          <wp:docPr id="14" name="Picture 14"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772D291D" wp14:editId="1A8F3E7D">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7456" behindDoc="1" locked="1" layoutInCell="1" allowOverlap="1" wp14:anchorId="045D0C1E" wp14:editId="00A6920D">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6E" w:rsidRDefault="000E266E">
    <w:pPr>
      <w:pStyle w:val="Header"/>
    </w:pPr>
    <w:r>
      <w:rPr>
        <w:noProof/>
        <w:lang w:eastAsia="en-AU"/>
      </w:rPr>
      <mc:AlternateContent>
        <mc:Choice Requires="wps">
          <w:drawing>
            <wp:anchor distT="0" distB="0" distL="114300" distR="114300" simplePos="0" relativeHeight="251669504" behindDoc="1" locked="1" layoutInCell="1" allowOverlap="1" wp14:anchorId="113DA437" wp14:editId="04D17AE5">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66E" w:rsidRPr="0001226A" w:rsidRDefault="000E266E"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0E266E" w:rsidRPr="0001226A" w:rsidRDefault="000E266E"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7" w:rsidRDefault="00B513F7">
    <w:pPr>
      <w:pStyle w:val="Header"/>
    </w:pPr>
    <w:r>
      <w:rPr>
        <w:noProof/>
        <w:lang w:eastAsia="en-AU"/>
      </w:rPr>
      <mc:AlternateContent>
        <mc:Choice Requires="wps">
          <w:drawing>
            <wp:anchor distT="0" distB="0" distL="114300" distR="114300" simplePos="0" relativeHeight="251681792" behindDoc="1" locked="1" layoutInCell="1" allowOverlap="1" wp14:anchorId="3F3EADEF" wp14:editId="62A36DC8">
              <wp:simplePos x="0" y="0"/>
              <wp:positionH relativeFrom="page">
                <wp:align>center</wp:align>
              </wp:positionH>
              <wp:positionV relativeFrom="page">
                <wp:align>center</wp:align>
              </wp:positionV>
              <wp:extent cx="7560000" cy="1796400"/>
              <wp:effectExtent l="0" t="0" r="0" b="0"/>
              <wp:wrapNone/>
              <wp:docPr id="1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F7" w:rsidRPr="0001226A" w:rsidRDefault="00B513F7"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346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C38c5uwIA&#10;AMQFAAAOAAAAAAAAAAAAAAAAAC4CAABkcnMvZTJvRG9jLnhtbFBLAQItABQABgAIAAAAIQA0xUTO&#10;2wAAAAYBAAAPAAAAAAAAAAAAAAAAABUFAABkcnMvZG93bnJldi54bWxQSwUGAAAAAAQABADzAAAA&#10;HQYAAAAA&#10;" filled="f" stroked="f">
              <v:textbox>
                <w:txbxContent>
                  <w:p w:rsidR="00B513F7" w:rsidRPr="0001226A" w:rsidRDefault="00B513F7"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7" w:rsidRDefault="00B513F7">
    <w:pPr>
      <w:pStyle w:val="Header"/>
    </w:pPr>
    <w:r>
      <w:rPr>
        <w:noProof/>
        <w:lang w:eastAsia="en-AU"/>
      </w:rPr>
      <mc:AlternateContent>
        <mc:Choice Requires="wps">
          <w:drawing>
            <wp:anchor distT="0" distB="0" distL="114300" distR="114300" simplePos="0" relativeHeight="251676672" behindDoc="1" locked="1" layoutInCell="1" allowOverlap="1" wp14:anchorId="32B78832" wp14:editId="45F0A747">
              <wp:simplePos x="0" y="0"/>
              <wp:positionH relativeFrom="page">
                <wp:align>center</wp:align>
              </wp:positionH>
              <wp:positionV relativeFrom="page">
                <wp:align>center</wp:align>
              </wp:positionV>
              <wp:extent cx="7560000" cy="1796400"/>
              <wp:effectExtent l="0" t="0" r="0" b="0"/>
              <wp:wrapNone/>
              <wp:docPr id="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F7" w:rsidRPr="0001226A" w:rsidRDefault="00B513F7"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d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C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A9BuFs1GNv02Nlv3&#10;c7EnsdG04wamR8u7DC/OSjS1HFyLypXWUN6O50kqrPvPqYBynwrtGGtJOtLVHDYH1xzxqRE2snoC&#10;CisJBAMywuSDQyPVN4wGmCIZ1l93VDGM2ncC2iAJCbFjx13IbB7BRU0lm6mEihKgMmwwGo8rM46q&#10;Xa/4tgFLY+MJeQutU3NHattjo1fHhoNJ4WI7TjU7iqZ3p/U8e5c/A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4tCt26AgAA&#10;wwUAAA4AAAAAAAAAAAAAAAAALgIAAGRycy9lMm9Eb2MueG1sUEsBAi0AFAAGAAgAAAAhADTFRM7b&#10;AAAABgEAAA8AAAAAAAAAAAAAAAAAFAUAAGRycy9kb3ducmV2LnhtbFBLBQYAAAAABAAEAPMAAAAc&#10;BgAAAAA=&#10;" filled="f" stroked="f">
              <v:textbox>
                <w:txbxContent>
                  <w:p w:rsidR="00B513F7" w:rsidRPr="0001226A" w:rsidRDefault="00B513F7" w:rsidP="00F45442">
                    <w:pPr>
                      <w:pStyle w:val="xStatus"/>
                      <w:rPr>
                        <w:szCs w:val="120"/>
                      </w:rPr>
                    </w:pP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F7" w:rsidRDefault="00B513F7">
    <w:pPr>
      <w:pStyle w:val="Header"/>
    </w:pPr>
    <w:r>
      <w:rPr>
        <w:noProof/>
        <w:lang w:eastAsia="en-AU"/>
      </w:rPr>
      <w:drawing>
        <wp:anchor distT="0" distB="0" distL="114300" distR="114300" simplePos="0" relativeHeight="251679744" behindDoc="1" locked="0" layoutInCell="1" allowOverlap="1" wp14:anchorId="3C4E22B7" wp14:editId="1C968ABE">
          <wp:simplePos x="0" y="0"/>
          <wp:positionH relativeFrom="page">
            <wp:posOffset>0</wp:posOffset>
          </wp:positionH>
          <wp:positionV relativeFrom="page">
            <wp:posOffset>0</wp:posOffset>
          </wp:positionV>
          <wp:extent cx="7563600" cy="10695600"/>
          <wp:effectExtent l="0" t="0" r="0" b="0"/>
          <wp:wrapNone/>
          <wp:docPr id="12" name="Picture 12"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8720" behindDoc="1" locked="1" layoutInCell="1" allowOverlap="1" wp14:anchorId="565560B5" wp14:editId="246BD6BF">
              <wp:simplePos x="0" y="0"/>
              <wp:positionH relativeFrom="page">
                <wp:align>center</wp:align>
              </wp:positionH>
              <wp:positionV relativeFrom="page">
                <wp:align>center</wp:align>
              </wp:positionV>
              <wp:extent cx="7560000" cy="1796400"/>
              <wp:effectExtent l="0" t="0" r="0" b="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3F7" w:rsidRPr="0001226A" w:rsidRDefault="00B513F7"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iXugIAAMQ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6vyJe6AgAA&#10;xAUAAA4AAAAAAAAAAAAAAAAALgIAAGRycy9lMm9Eb2MueG1sUEsBAi0AFAAGAAgAAAAhADTFRM7b&#10;AAAABgEAAA8AAAAAAAAAAAAAAAAAFAUAAGRycy9kb3ducmV2LnhtbFBLBQYAAAAABAAEAPMAAAAc&#10;BgAAAAA=&#10;" filled="f" stroked="f">
              <v:textbox>
                <w:txbxContent>
                  <w:p w:rsidR="00B513F7" w:rsidRPr="0001226A" w:rsidRDefault="00B513F7"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B2E2524"/>
    <w:multiLevelType w:val="hybridMultilevel"/>
    <w:tmpl w:val="E83E4AF2"/>
    <w:lvl w:ilvl="0" w:tplc="B4E8B3EC">
      <w:start w:val="2"/>
      <w:numFmt w:val="bullet"/>
      <w:lvlText w:val="-"/>
      <w:lvlJc w:val="left"/>
      <w:pPr>
        <w:ind w:left="720" w:hanging="360"/>
      </w:pPr>
      <w:rPr>
        <w:rFonts w:ascii="Georgia" w:eastAsiaTheme="majorEastAsia" w:hAnsi="Georgi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745448"/>
    <w:multiLevelType w:val="multilevel"/>
    <w:tmpl w:val="5BB807D0"/>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9">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1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4D3B07EE"/>
    <w:multiLevelType w:val="hybridMultilevel"/>
    <w:tmpl w:val="6E66C03A"/>
    <w:lvl w:ilvl="0" w:tplc="F6862F34">
      <w:start w:val="2"/>
      <w:numFmt w:val="bullet"/>
      <w:lvlText w:val="-"/>
      <w:lvlJc w:val="left"/>
      <w:pPr>
        <w:ind w:left="840" w:hanging="360"/>
      </w:pPr>
      <w:rPr>
        <w:rFonts w:ascii="Georgia" w:eastAsiaTheme="majorEastAsia" w:hAnsi="Georgia" w:cstheme="majorBidi"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5">
    <w:nsid w:val="5D0540A9"/>
    <w:multiLevelType w:val="multilevel"/>
    <w:tmpl w:val="D5467C12"/>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6">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8">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5"/>
  </w:num>
  <w:num w:numId="2">
    <w:abstractNumId w:val="15"/>
  </w:num>
  <w:num w:numId="3">
    <w:abstractNumId w:val="15"/>
  </w:num>
  <w:num w:numId="4">
    <w:abstractNumId w:val="15"/>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8"/>
  </w:num>
  <w:num w:numId="13">
    <w:abstractNumId w:val="1"/>
  </w:num>
  <w:num w:numId="14">
    <w:abstractNumId w:val="18"/>
  </w:num>
  <w:num w:numId="15">
    <w:abstractNumId w:val="0"/>
  </w:num>
  <w:num w:numId="16">
    <w:abstractNumId w:val="18"/>
  </w:num>
  <w:num w:numId="17">
    <w:abstractNumId w:val="13"/>
  </w:num>
  <w:num w:numId="18">
    <w:abstractNumId w:val="13"/>
  </w:num>
  <w:num w:numId="19">
    <w:abstractNumId w:val="13"/>
  </w:num>
  <w:num w:numId="20">
    <w:abstractNumId w:val="12"/>
  </w:num>
  <w:num w:numId="21">
    <w:abstractNumId w:val="12"/>
  </w:num>
  <w:num w:numId="22">
    <w:abstractNumId w:val="12"/>
  </w:num>
  <w:num w:numId="23">
    <w:abstractNumId w:val="17"/>
  </w:num>
  <w:num w:numId="24">
    <w:abstractNumId w:val="17"/>
  </w:num>
  <w:num w:numId="25">
    <w:abstractNumId w:val="9"/>
  </w:num>
  <w:num w:numId="26">
    <w:abstractNumId w:val="10"/>
  </w:num>
  <w:num w:numId="27">
    <w:abstractNumId w:val="10"/>
  </w:num>
  <w:num w:numId="28">
    <w:abstractNumId w:val="10"/>
  </w:num>
  <w:num w:numId="29">
    <w:abstractNumId w:val="16"/>
  </w:num>
  <w:num w:numId="30">
    <w:abstractNumId w:val="16"/>
  </w:num>
  <w:num w:numId="31">
    <w:abstractNumId w:val="16"/>
  </w:num>
  <w:num w:numId="32">
    <w:abstractNumId w:val="11"/>
  </w:num>
  <w:num w:numId="33">
    <w:abstractNumId w:val="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B513F7"/>
    <w:rsid w:val="0000322C"/>
    <w:rsid w:val="00003CDD"/>
    <w:rsid w:val="000156DE"/>
    <w:rsid w:val="000168A7"/>
    <w:rsid w:val="000278D0"/>
    <w:rsid w:val="00027E62"/>
    <w:rsid w:val="000307C8"/>
    <w:rsid w:val="00030F73"/>
    <w:rsid w:val="00035ADE"/>
    <w:rsid w:val="00040437"/>
    <w:rsid w:val="0004224B"/>
    <w:rsid w:val="00046226"/>
    <w:rsid w:val="0005330D"/>
    <w:rsid w:val="000557A7"/>
    <w:rsid w:val="00055805"/>
    <w:rsid w:val="00056CB3"/>
    <w:rsid w:val="00067A28"/>
    <w:rsid w:val="0007260F"/>
    <w:rsid w:val="0008003D"/>
    <w:rsid w:val="00080468"/>
    <w:rsid w:val="000805D5"/>
    <w:rsid w:val="0008103B"/>
    <w:rsid w:val="00085F97"/>
    <w:rsid w:val="00092A33"/>
    <w:rsid w:val="000A2FEC"/>
    <w:rsid w:val="000A348F"/>
    <w:rsid w:val="000B6942"/>
    <w:rsid w:val="000C09FA"/>
    <w:rsid w:val="000C0BEC"/>
    <w:rsid w:val="000C37A9"/>
    <w:rsid w:val="000C4087"/>
    <w:rsid w:val="000C6728"/>
    <w:rsid w:val="000C702E"/>
    <w:rsid w:val="000D15E9"/>
    <w:rsid w:val="000D3182"/>
    <w:rsid w:val="000D45C4"/>
    <w:rsid w:val="000E18F3"/>
    <w:rsid w:val="000E266E"/>
    <w:rsid w:val="000E5FB9"/>
    <w:rsid w:val="000F1515"/>
    <w:rsid w:val="000F16B5"/>
    <w:rsid w:val="000F616E"/>
    <w:rsid w:val="001050C0"/>
    <w:rsid w:val="00110D43"/>
    <w:rsid w:val="001159EA"/>
    <w:rsid w:val="00125410"/>
    <w:rsid w:val="00130858"/>
    <w:rsid w:val="00136C26"/>
    <w:rsid w:val="0014059F"/>
    <w:rsid w:val="00141551"/>
    <w:rsid w:val="001417CE"/>
    <w:rsid w:val="0014479F"/>
    <w:rsid w:val="00154DC5"/>
    <w:rsid w:val="00160C8D"/>
    <w:rsid w:val="001629C0"/>
    <w:rsid w:val="00165122"/>
    <w:rsid w:val="00165854"/>
    <w:rsid w:val="0016647B"/>
    <w:rsid w:val="00167D86"/>
    <w:rsid w:val="00172128"/>
    <w:rsid w:val="00173DFD"/>
    <w:rsid w:val="0017510E"/>
    <w:rsid w:val="00180FF9"/>
    <w:rsid w:val="00195228"/>
    <w:rsid w:val="00195696"/>
    <w:rsid w:val="00196532"/>
    <w:rsid w:val="001A1EFC"/>
    <w:rsid w:val="001A48EF"/>
    <w:rsid w:val="001A49CC"/>
    <w:rsid w:val="001A5553"/>
    <w:rsid w:val="001A716E"/>
    <w:rsid w:val="001B2C65"/>
    <w:rsid w:val="001B7058"/>
    <w:rsid w:val="001C3A4F"/>
    <w:rsid w:val="001C4121"/>
    <w:rsid w:val="001C48DE"/>
    <w:rsid w:val="001D52E3"/>
    <w:rsid w:val="001D576F"/>
    <w:rsid w:val="001D7C29"/>
    <w:rsid w:val="001E0475"/>
    <w:rsid w:val="001F0510"/>
    <w:rsid w:val="001F5C90"/>
    <w:rsid w:val="001F767C"/>
    <w:rsid w:val="00210FCF"/>
    <w:rsid w:val="00212029"/>
    <w:rsid w:val="002219C9"/>
    <w:rsid w:val="00222EFF"/>
    <w:rsid w:val="002240D5"/>
    <w:rsid w:val="002261A7"/>
    <w:rsid w:val="00226AEC"/>
    <w:rsid w:val="00234BAC"/>
    <w:rsid w:val="0024618E"/>
    <w:rsid w:val="00246251"/>
    <w:rsid w:val="00246ADC"/>
    <w:rsid w:val="002525E9"/>
    <w:rsid w:val="002545F3"/>
    <w:rsid w:val="00260C9C"/>
    <w:rsid w:val="0026289A"/>
    <w:rsid w:val="0026344F"/>
    <w:rsid w:val="00266A17"/>
    <w:rsid w:val="00270372"/>
    <w:rsid w:val="00275534"/>
    <w:rsid w:val="00277075"/>
    <w:rsid w:val="002775D2"/>
    <w:rsid w:val="00281ADD"/>
    <w:rsid w:val="00293E0D"/>
    <w:rsid w:val="00293E80"/>
    <w:rsid w:val="00296F67"/>
    <w:rsid w:val="002970DE"/>
    <w:rsid w:val="002973B0"/>
    <w:rsid w:val="00297C14"/>
    <w:rsid w:val="002A220F"/>
    <w:rsid w:val="002A24F1"/>
    <w:rsid w:val="002A5778"/>
    <w:rsid w:val="002B1E84"/>
    <w:rsid w:val="002B2085"/>
    <w:rsid w:val="002B3EC4"/>
    <w:rsid w:val="002C37D5"/>
    <w:rsid w:val="002D34DB"/>
    <w:rsid w:val="002D4B11"/>
    <w:rsid w:val="002E5633"/>
    <w:rsid w:val="002F0891"/>
    <w:rsid w:val="002F1963"/>
    <w:rsid w:val="002F5B6E"/>
    <w:rsid w:val="002F61B5"/>
    <w:rsid w:val="0030209B"/>
    <w:rsid w:val="003127E4"/>
    <w:rsid w:val="00313215"/>
    <w:rsid w:val="003174C3"/>
    <w:rsid w:val="0032557A"/>
    <w:rsid w:val="003313EF"/>
    <w:rsid w:val="00340778"/>
    <w:rsid w:val="0034145A"/>
    <w:rsid w:val="00344D2C"/>
    <w:rsid w:val="003458CE"/>
    <w:rsid w:val="00345A57"/>
    <w:rsid w:val="00346D90"/>
    <w:rsid w:val="00351F62"/>
    <w:rsid w:val="003601F4"/>
    <w:rsid w:val="0036610C"/>
    <w:rsid w:val="003671E2"/>
    <w:rsid w:val="003715A6"/>
    <w:rsid w:val="00372AE6"/>
    <w:rsid w:val="0037504E"/>
    <w:rsid w:val="003837E1"/>
    <w:rsid w:val="0038584D"/>
    <w:rsid w:val="003875AE"/>
    <w:rsid w:val="00387B01"/>
    <w:rsid w:val="0039257F"/>
    <w:rsid w:val="003931DE"/>
    <w:rsid w:val="00396469"/>
    <w:rsid w:val="00397D1A"/>
    <w:rsid w:val="003A163C"/>
    <w:rsid w:val="003A2B4E"/>
    <w:rsid w:val="003A2FBB"/>
    <w:rsid w:val="003A3799"/>
    <w:rsid w:val="003A4913"/>
    <w:rsid w:val="003A54A9"/>
    <w:rsid w:val="003A7083"/>
    <w:rsid w:val="003B38B3"/>
    <w:rsid w:val="003B3A97"/>
    <w:rsid w:val="003B3D44"/>
    <w:rsid w:val="003C7CC2"/>
    <w:rsid w:val="003D50B6"/>
    <w:rsid w:val="003E05DF"/>
    <w:rsid w:val="003E6085"/>
    <w:rsid w:val="003E6CA3"/>
    <w:rsid w:val="003F4C96"/>
    <w:rsid w:val="0040400E"/>
    <w:rsid w:val="00406002"/>
    <w:rsid w:val="00406AD3"/>
    <w:rsid w:val="00407726"/>
    <w:rsid w:val="00412E42"/>
    <w:rsid w:val="00417A30"/>
    <w:rsid w:val="00417EB9"/>
    <w:rsid w:val="00420BA5"/>
    <w:rsid w:val="00426356"/>
    <w:rsid w:val="00426929"/>
    <w:rsid w:val="00442C16"/>
    <w:rsid w:val="00446439"/>
    <w:rsid w:val="0044693A"/>
    <w:rsid w:val="00450BDA"/>
    <w:rsid w:val="00451937"/>
    <w:rsid w:val="00453174"/>
    <w:rsid w:val="00453A3E"/>
    <w:rsid w:val="0045452F"/>
    <w:rsid w:val="004557EB"/>
    <w:rsid w:val="0045766B"/>
    <w:rsid w:val="0046402F"/>
    <w:rsid w:val="00474BB7"/>
    <w:rsid w:val="004816D7"/>
    <w:rsid w:val="0048342E"/>
    <w:rsid w:val="00487478"/>
    <w:rsid w:val="0048782D"/>
    <w:rsid w:val="00494DC1"/>
    <w:rsid w:val="004A3F56"/>
    <w:rsid w:val="004A5E21"/>
    <w:rsid w:val="004A666A"/>
    <w:rsid w:val="004B143F"/>
    <w:rsid w:val="004B49A0"/>
    <w:rsid w:val="004B791D"/>
    <w:rsid w:val="004C6306"/>
    <w:rsid w:val="004C64B8"/>
    <w:rsid w:val="004C69BE"/>
    <w:rsid w:val="004C6F5E"/>
    <w:rsid w:val="004C7398"/>
    <w:rsid w:val="004C7E94"/>
    <w:rsid w:val="004D63F1"/>
    <w:rsid w:val="004D69F6"/>
    <w:rsid w:val="004D7CF8"/>
    <w:rsid w:val="004D7EDA"/>
    <w:rsid w:val="004E0E49"/>
    <w:rsid w:val="004E197A"/>
    <w:rsid w:val="004E3D54"/>
    <w:rsid w:val="004E5D52"/>
    <w:rsid w:val="004F07D7"/>
    <w:rsid w:val="004F1297"/>
    <w:rsid w:val="004F16DB"/>
    <w:rsid w:val="004F4D7E"/>
    <w:rsid w:val="004F5B16"/>
    <w:rsid w:val="004F5D9D"/>
    <w:rsid w:val="004F68E5"/>
    <w:rsid w:val="004F741B"/>
    <w:rsid w:val="00503253"/>
    <w:rsid w:val="00503BB0"/>
    <w:rsid w:val="00503E03"/>
    <w:rsid w:val="005075D3"/>
    <w:rsid w:val="00512226"/>
    <w:rsid w:val="005147C6"/>
    <w:rsid w:val="005159B1"/>
    <w:rsid w:val="00522502"/>
    <w:rsid w:val="005255A1"/>
    <w:rsid w:val="0052641C"/>
    <w:rsid w:val="0053795D"/>
    <w:rsid w:val="005421C6"/>
    <w:rsid w:val="00544522"/>
    <w:rsid w:val="005468AB"/>
    <w:rsid w:val="005501A0"/>
    <w:rsid w:val="00550831"/>
    <w:rsid w:val="00554273"/>
    <w:rsid w:val="005642B6"/>
    <w:rsid w:val="005658A8"/>
    <w:rsid w:val="005668A5"/>
    <w:rsid w:val="00571D5E"/>
    <w:rsid w:val="005823D0"/>
    <w:rsid w:val="005839E4"/>
    <w:rsid w:val="005860CC"/>
    <w:rsid w:val="005A2748"/>
    <w:rsid w:val="005A443F"/>
    <w:rsid w:val="005B58D4"/>
    <w:rsid w:val="005C07B3"/>
    <w:rsid w:val="005C284E"/>
    <w:rsid w:val="005C47D4"/>
    <w:rsid w:val="005D116F"/>
    <w:rsid w:val="005D4ADD"/>
    <w:rsid w:val="005D51D0"/>
    <w:rsid w:val="005D6F83"/>
    <w:rsid w:val="005D7877"/>
    <w:rsid w:val="005D7CCF"/>
    <w:rsid w:val="005E58C4"/>
    <w:rsid w:val="005E5D8F"/>
    <w:rsid w:val="005E7692"/>
    <w:rsid w:val="005F5A5C"/>
    <w:rsid w:val="005F5CD9"/>
    <w:rsid w:val="0061135C"/>
    <w:rsid w:val="006136DD"/>
    <w:rsid w:val="006149F0"/>
    <w:rsid w:val="006220A5"/>
    <w:rsid w:val="00624AC8"/>
    <w:rsid w:val="00633C60"/>
    <w:rsid w:val="0064126D"/>
    <w:rsid w:val="006451B8"/>
    <w:rsid w:val="00645722"/>
    <w:rsid w:val="00647892"/>
    <w:rsid w:val="00652432"/>
    <w:rsid w:val="00653ADE"/>
    <w:rsid w:val="00657840"/>
    <w:rsid w:val="0066003C"/>
    <w:rsid w:val="0066041E"/>
    <w:rsid w:val="00673CCC"/>
    <w:rsid w:val="00675C98"/>
    <w:rsid w:val="00684A2D"/>
    <w:rsid w:val="0069026B"/>
    <w:rsid w:val="0069298E"/>
    <w:rsid w:val="006956EA"/>
    <w:rsid w:val="006A1843"/>
    <w:rsid w:val="006A490C"/>
    <w:rsid w:val="006B4F7D"/>
    <w:rsid w:val="006C114C"/>
    <w:rsid w:val="006C185B"/>
    <w:rsid w:val="006C3864"/>
    <w:rsid w:val="006C5383"/>
    <w:rsid w:val="006C5E72"/>
    <w:rsid w:val="006D2AEC"/>
    <w:rsid w:val="006D4C8E"/>
    <w:rsid w:val="006E19D1"/>
    <w:rsid w:val="006E1CBB"/>
    <w:rsid w:val="006F100B"/>
    <w:rsid w:val="006F239A"/>
    <w:rsid w:val="006F2C9D"/>
    <w:rsid w:val="006F72ED"/>
    <w:rsid w:val="0070637D"/>
    <w:rsid w:val="007071DD"/>
    <w:rsid w:val="0070771F"/>
    <w:rsid w:val="00707DB6"/>
    <w:rsid w:val="00712A14"/>
    <w:rsid w:val="00716C04"/>
    <w:rsid w:val="00717180"/>
    <w:rsid w:val="007179D2"/>
    <w:rsid w:val="00720750"/>
    <w:rsid w:val="0072549C"/>
    <w:rsid w:val="00725A80"/>
    <w:rsid w:val="00733970"/>
    <w:rsid w:val="00754C58"/>
    <w:rsid w:val="00776E78"/>
    <w:rsid w:val="0078070C"/>
    <w:rsid w:val="0078138A"/>
    <w:rsid w:val="00783014"/>
    <w:rsid w:val="007834DC"/>
    <w:rsid w:val="007840D7"/>
    <w:rsid w:val="007959D8"/>
    <w:rsid w:val="0079630F"/>
    <w:rsid w:val="007A04C2"/>
    <w:rsid w:val="007B146A"/>
    <w:rsid w:val="007C0E7C"/>
    <w:rsid w:val="007C0EAA"/>
    <w:rsid w:val="007C44B2"/>
    <w:rsid w:val="007C6496"/>
    <w:rsid w:val="007C745E"/>
    <w:rsid w:val="007D5752"/>
    <w:rsid w:val="007D6D57"/>
    <w:rsid w:val="007E3F8C"/>
    <w:rsid w:val="007F2058"/>
    <w:rsid w:val="007F7685"/>
    <w:rsid w:val="0080011D"/>
    <w:rsid w:val="00800EA5"/>
    <w:rsid w:val="00801C01"/>
    <w:rsid w:val="008130BB"/>
    <w:rsid w:val="008237FA"/>
    <w:rsid w:val="00825D37"/>
    <w:rsid w:val="008369B0"/>
    <w:rsid w:val="00845C68"/>
    <w:rsid w:val="0085732C"/>
    <w:rsid w:val="00860B45"/>
    <w:rsid w:val="00863860"/>
    <w:rsid w:val="008638B5"/>
    <w:rsid w:val="008734DB"/>
    <w:rsid w:val="0087390B"/>
    <w:rsid w:val="008745A1"/>
    <w:rsid w:val="008768E9"/>
    <w:rsid w:val="0087751B"/>
    <w:rsid w:val="008860DC"/>
    <w:rsid w:val="00890995"/>
    <w:rsid w:val="008914FB"/>
    <w:rsid w:val="00897E99"/>
    <w:rsid w:val="008A4829"/>
    <w:rsid w:val="008A784A"/>
    <w:rsid w:val="008B2384"/>
    <w:rsid w:val="008B38D6"/>
    <w:rsid w:val="008B4802"/>
    <w:rsid w:val="008B529A"/>
    <w:rsid w:val="008B69E3"/>
    <w:rsid w:val="008C1BDD"/>
    <w:rsid w:val="008C1FD1"/>
    <w:rsid w:val="008C24A8"/>
    <w:rsid w:val="008C2B74"/>
    <w:rsid w:val="008C35EF"/>
    <w:rsid w:val="008C5996"/>
    <w:rsid w:val="008D2982"/>
    <w:rsid w:val="008D5A11"/>
    <w:rsid w:val="008D5E23"/>
    <w:rsid w:val="008E2C53"/>
    <w:rsid w:val="008E6D59"/>
    <w:rsid w:val="008F5D66"/>
    <w:rsid w:val="009028AA"/>
    <w:rsid w:val="00903E3F"/>
    <w:rsid w:val="009049C3"/>
    <w:rsid w:val="009057D9"/>
    <w:rsid w:val="0090774A"/>
    <w:rsid w:val="00910D07"/>
    <w:rsid w:val="00914B2F"/>
    <w:rsid w:val="009150E6"/>
    <w:rsid w:val="00915648"/>
    <w:rsid w:val="00917F89"/>
    <w:rsid w:val="009203CA"/>
    <w:rsid w:val="009255EE"/>
    <w:rsid w:val="00925603"/>
    <w:rsid w:val="00925F76"/>
    <w:rsid w:val="00932E89"/>
    <w:rsid w:val="0093359D"/>
    <w:rsid w:val="00933F2B"/>
    <w:rsid w:val="00936B33"/>
    <w:rsid w:val="009415EB"/>
    <w:rsid w:val="00942EEB"/>
    <w:rsid w:val="0094468E"/>
    <w:rsid w:val="00945261"/>
    <w:rsid w:val="009506A5"/>
    <w:rsid w:val="009541CC"/>
    <w:rsid w:val="00956564"/>
    <w:rsid w:val="00956D5A"/>
    <w:rsid w:val="00960BC2"/>
    <w:rsid w:val="00961B2C"/>
    <w:rsid w:val="00961DBB"/>
    <w:rsid w:val="00964C9E"/>
    <w:rsid w:val="0096618E"/>
    <w:rsid w:val="00981433"/>
    <w:rsid w:val="00985C07"/>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6A7D"/>
    <w:rsid w:val="009E7C09"/>
    <w:rsid w:val="009F146D"/>
    <w:rsid w:val="009F4F1E"/>
    <w:rsid w:val="00A015E4"/>
    <w:rsid w:val="00A075BC"/>
    <w:rsid w:val="00A11222"/>
    <w:rsid w:val="00A12C39"/>
    <w:rsid w:val="00A134FB"/>
    <w:rsid w:val="00A20802"/>
    <w:rsid w:val="00A25B4F"/>
    <w:rsid w:val="00A442BF"/>
    <w:rsid w:val="00A53716"/>
    <w:rsid w:val="00A5629E"/>
    <w:rsid w:val="00A64832"/>
    <w:rsid w:val="00A732DB"/>
    <w:rsid w:val="00A86F04"/>
    <w:rsid w:val="00A87339"/>
    <w:rsid w:val="00A929E3"/>
    <w:rsid w:val="00A946C4"/>
    <w:rsid w:val="00AB41FF"/>
    <w:rsid w:val="00AB5661"/>
    <w:rsid w:val="00AC01F8"/>
    <w:rsid w:val="00AC059A"/>
    <w:rsid w:val="00AC0D4B"/>
    <w:rsid w:val="00AD0308"/>
    <w:rsid w:val="00AD377A"/>
    <w:rsid w:val="00AD67BB"/>
    <w:rsid w:val="00AE1CC1"/>
    <w:rsid w:val="00AE3EA4"/>
    <w:rsid w:val="00AF1B02"/>
    <w:rsid w:val="00AF41E4"/>
    <w:rsid w:val="00B06A75"/>
    <w:rsid w:val="00B06BC3"/>
    <w:rsid w:val="00B073C3"/>
    <w:rsid w:val="00B1214C"/>
    <w:rsid w:val="00B15A0F"/>
    <w:rsid w:val="00B20236"/>
    <w:rsid w:val="00B20937"/>
    <w:rsid w:val="00B220A0"/>
    <w:rsid w:val="00B22B64"/>
    <w:rsid w:val="00B22FEA"/>
    <w:rsid w:val="00B2325C"/>
    <w:rsid w:val="00B24321"/>
    <w:rsid w:val="00B30FEB"/>
    <w:rsid w:val="00B40AA3"/>
    <w:rsid w:val="00B44478"/>
    <w:rsid w:val="00B513F7"/>
    <w:rsid w:val="00B5484C"/>
    <w:rsid w:val="00B6002C"/>
    <w:rsid w:val="00B620EE"/>
    <w:rsid w:val="00B85366"/>
    <w:rsid w:val="00B87F60"/>
    <w:rsid w:val="00B93D3D"/>
    <w:rsid w:val="00BA471F"/>
    <w:rsid w:val="00BA7992"/>
    <w:rsid w:val="00BB5013"/>
    <w:rsid w:val="00BB528E"/>
    <w:rsid w:val="00BC2600"/>
    <w:rsid w:val="00BC36F0"/>
    <w:rsid w:val="00BC4FA7"/>
    <w:rsid w:val="00BC5E30"/>
    <w:rsid w:val="00BD02C5"/>
    <w:rsid w:val="00BD068D"/>
    <w:rsid w:val="00BD09A3"/>
    <w:rsid w:val="00BE0D9A"/>
    <w:rsid w:val="00BE1A50"/>
    <w:rsid w:val="00BE2F0D"/>
    <w:rsid w:val="00BF0BD5"/>
    <w:rsid w:val="00BF55F8"/>
    <w:rsid w:val="00C019D4"/>
    <w:rsid w:val="00C051FD"/>
    <w:rsid w:val="00C20C7D"/>
    <w:rsid w:val="00C20DEF"/>
    <w:rsid w:val="00C2206B"/>
    <w:rsid w:val="00C24B25"/>
    <w:rsid w:val="00C32C2F"/>
    <w:rsid w:val="00C3738A"/>
    <w:rsid w:val="00C4315A"/>
    <w:rsid w:val="00C43F5E"/>
    <w:rsid w:val="00C44074"/>
    <w:rsid w:val="00C4651F"/>
    <w:rsid w:val="00C51D0B"/>
    <w:rsid w:val="00C52622"/>
    <w:rsid w:val="00C52A50"/>
    <w:rsid w:val="00C54F75"/>
    <w:rsid w:val="00C642D4"/>
    <w:rsid w:val="00C67AC5"/>
    <w:rsid w:val="00C730F4"/>
    <w:rsid w:val="00C738BD"/>
    <w:rsid w:val="00C80200"/>
    <w:rsid w:val="00C8270B"/>
    <w:rsid w:val="00C841A9"/>
    <w:rsid w:val="00C8728F"/>
    <w:rsid w:val="00C97FBC"/>
    <w:rsid w:val="00CA0B7E"/>
    <w:rsid w:val="00CA5598"/>
    <w:rsid w:val="00CA5EF8"/>
    <w:rsid w:val="00CB28A3"/>
    <w:rsid w:val="00CC00A0"/>
    <w:rsid w:val="00CC5455"/>
    <w:rsid w:val="00CC6C06"/>
    <w:rsid w:val="00CD27A3"/>
    <w:rsid w:val="00CD5509"/>
    <w:rsid w:val="00CD7420"/>
    <w:rsid w:val="00CE1EB0"/>
    <w:rsid w:val="00CE3DF2"/>
    <w:rsid w:val="00CF0C0F"/>
    <w:rsid w:val="00CF1690"/>
    <w:rsid w:val="00CF1F2A"/>
    <w:rsid w:val="00CF5CE3"/>
    <w:rsid w:val="00CF7412"/>
    <w:rsid w:val="00D030F8"/>
    <w:rsid w:val="00D077B7"/>
    <w:rsid w:val="00D20297"/>
    <w:rsid w:val="00D210D2"/>
    <w:rsid w:val="00D21E6B"/>
    <w:rsid w:val="00D23634"/>
    <w:rsid w:val="00D34551"/>
    <w:rsid w:val="00D36F7C"/>
    <w:rsid w:val="00D4578B"/>
    <w:rsid w:val="00D457D6"/>
    <w:rsid w:val="00D50E32"/>
    <w:rsid w:val="00D5184E"/>
    <w:rsid w:val="00D5638D"/>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C5385"/>
    <w:rsid w:val="00DD32AB"/>
    <w:rsid w:val="00DD5BF6"/>
    <w:rsid w:val="00DE1865"/>
    <w:rsid w:val="00DE6CEF"/>
    <w:rsid w:val="00DF11C2"/>
    <w:rsid w:val="00DF4593"/>
    <w:rsid w:val="00E10D05"/>
    <w:rsid w:val="00E14E28"/>
    <w:rsid w:val="00E2223E"/>
    <w:rsid w:val="00E22D98"/>
    <w:rsid w:val="00E24623"/>
    <w:rsid w:val="00E252E3"/>
    <w:rsid w:val="00E26681"/>
    <w:rsid w:val="00E27CD8"/>
    <w:rsid w:val="00E338D6"/>
    <w:rsid w:val="00E40505"/>
    <w:rsid w:val="00E42A41"/>
    <w:rsid w:val="00E45766"/>
    <w:rsid w:val="00E567E5"/>
    <w:rsid w:val="00E6708B"/>
    <w:rsid w:val="00E73A8C"/>
    <w:rsid w:val="00E73E1B"/>
    <w:rsid w:val="00E75050"/>
    <w:rsid w:val="00E7590F"/>
    <w:rsid w:val="00E76F42"/>
    <w:rsid w:val="00E915E6"/>
    <w:rsid w:val="00E958D7"/>
    <w:rsid w:val="00EA3E11"/>
    <w:rsid w:val="00EA6A46"/>
    <w:rsid w:val="00EA6EB3"/>
    <w:rsid w:val="00EB4A8E"/>
    <w:rsid w:val="00EB5EF3"/>
    <w:rsid w:val="00EB695D"/>
    <w:rsid w:val="00EB74AD"/>
    <w:rsid w:val="00EC4B2F"/>
    <w:rsid w:val="00ED1053"/>
    <w:rsid w:val="00ED39CE"/>
    <w:rsid w:val="00ED4134"/>
    <w:rsid w:val="00EE05F1"/>
    <w:rsid w:val="00EE1D49"/>
    <w:rsid w:val="00EE471A"/>
    <w:rsid w:val="00EE5492"/>
    <w:rsid w:val="00EF216A"/>
    <w:rsid w:val="00EF68DA"/>
    <w:rsid w:val="00F04D70"/>
    <w:rsid w:val="00F07BD5"/>
    <w:rsid w:val="00F122D6"/>
    <w:rsid w:val="00F15BF4"/>
    <w:rsid w:val="00F17940"/>
    <w:rsid w:val="00F2046C"/>
    <w:rsid w:val="00F20647"/>
    <w:rsid w:val="00F31392"/>
    <w:rsid w:val="00F348B5"/>
    <w:rsid w:val="00F3652B"/>
    <w:rsid w:val="00F377B9"/>
    <w:rsid w:val="00F43A92"/>
    <w:rsid w:val="00F448BB"/>
    <w:rsid w:val="00F45442"/>
    <w:rsid w:val="00F45F06"/>
    <w:rsid w:val="00F5145E"/>
    <w:rsid w:val="00F558EA"/>
    <w:rsid w:val="00F6122C"/>
    <w:rsid w:val="00F613CB"/>
    <w:rsid w:val="00F61F79"/>
    <w:rsid w:val="00F656A4"/>
    <w:rsid w:val="00F66119"/>
    <w:rsid w:val="00F6665E"/>
    <w:rsid w:val="00F7075F"/>
    <w:rsid w:val="00F71D76"/>
    <w:rsid w:val="00F8349F"/>
    <w:rsid w:val="00F83FB7"/>
    <w:rsid w:val="00F85935"/>
    <w:rsid w:val="00F85D29"/>
    <w:rsid w:val="00F91117"/>
    <w:rsid w:val="00F969D3"/>
    <w:rsid w:val="00F97A18"/>
    <w:rsid w:val="00FA190E"/>
    <w:rsid w:val="00FA54D8"/>
    <w:rsid w:val="00FB3574"/>
    <w:rsid w:val="00FC4FB7"/>
    <w:rsid w:val="00FD357B"/>
    <w:rsid w:val="00FD38FC"/>
    <w:rsid w:val="00FD6119"/>
    <w:rsid w:val="00FD688E"/>
    <w:rsid w:val="00FD7C0C"/>
    <w:rsid w:val="00FE045C"/>
    <w:rsid w:val="00FE0C52"/>
    <w:rsid w:val="00FE125D"/>
    <w:rsid w:val="00FE13F2"/>
    <w:rsid w:val="00FE1692"/>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Heading6"/>
    <w:next w:val="BodyText"/>
    <w:link w:val="Heading2Char"/>
    <w:qFormat/>
    <w:rsid w:val="00EF68DA"/>
    <w:pPr>
      <w:outlineLvl w:val="1"/>
    </w:p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EF68DA"/>
    <w:rPr>
      <w:rFonts w:asciiTheme="majorHAnsi" w:eastAsiaTheme="majorEastAsia" w:hAnsiTheme="majorHAnsi" w:cstheme="majorBidi"/>
      <w:i/>
      <w:iCs/>
      <w:color w:val="2B3B5F" w:themeColor="text2"/>
      <w:sz w:val="24"/>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Heading6"/>
    <w:next w:val="BodyText"/>
    <w:link w:val="Heading2Char"/>
    <w:qFormat/>
    <w:rsid w:val="00EF68DA"/>
    <w:pPr>
      <w:outlineLvl w:val="1"/>
    </w:p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EF68DA"/>
    <w:rPr>
      <w:rFonts w:asciiTheme="majorHAnsi" w:eastAsiaTheme="majorEastAsia" w:hAnsiTheme="majorHAnsi" w:cstheme="majorBidi"/>
      <w:i/>
      <w:iCs/>
      <w:color w:val="2B3B5F" w:themeColor="text2"/>
      <w:sz w:val="24"/>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628053190">
      <w:bodyDiv w:val="1"/>
      <w:marLeft w:val="0"/>
      <w:marRight w:val="0"/>
      <w:marTop w:val="0"/>
      <w:marBottom w:val="0"/>
      <w:divBdr>
        <w:top w:val="none" w:sz="0" w:space="0" w:color="auto"/>
        <w:left w:val="none" w:sz="0" w:space="0" w:color="auto"/>
        <w:bottom w:val="none" w:sz="0" w:space="0" w:color="auto"/>
        <w:right w:val="none" w:sz="0" w:space="0" w:color="auto"/>
      </w:divBdr>
    </w:div>
    <w:div w:id="85140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2.xml"/><Relationship Id="rId27" Type="http://schemas.openxmlformats.org/officeDocument/2006/relationships/hyperlink" Target="http://www.pbo.gov.au/" TargetMode="External"/><Relationship Id="rId30" Type="http://schemas.openxmlformats.org/officeDocument/2006/relationships/hyperlink" Target="http://www.pbo.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31D27-D050-48D5-8B1A-4B8DFEAD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30</TotalTime>
  <Pages>6</Pages>
  <Words>1078</Words>
  <Characters>5535</Characters>
  <Application>Microsoft Office Word</Application>
  <DocSecurity>0</DocSecurity>
  <Lines>240</Lines>
  <Paragraphs>200</Paragraphs>
  <ScaleCrop>false</ScaleCrop>
  <HeadingPairs>
    <vt:vector size="2" baseType="variant">
      <vt:variant>
        <vt:lpstr>Title</vt:lpstr>
      </vt:variant>
      <vt:variant>
        <vt:i4>1</vt:i4>
      </vt:variant>
    </vt:vector>
  </HeadingPairs>
  <TitlesOfParts>
    <vt:vector size="1" baseType="lpstr">
      <vt:lpstr>Higher Education Loan Programme — supplementary analysis</vt:lpstr>
    </vt:vector>
  </TitlesOfParts>
  <Company>Parliament of Australia</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Loan Programme — supplementary analysis</dc:title>
  <dc:subject>Supplement to Report no. 02/2016</dc:subject>
  <dc:creator>Parliamentary Budget Office</dc:creator>
  <cp:lastModifiedBy>Milligan, Louise (PBO)</cp:lastModifiedBy>
  <cp:revision>17</cp:revision>
  <cp:lastPrinted>2016-04-20T01:14:00Z</cp:lastPrinted>
  <dcterms:created xsi:type="dcterms:W3CDTF">2016-04-20T01:27:00Z</dcterms:created>
  <dcterms:modified xsi:type="dcterms:W3CDTF">2016-04-20T02:32:00Z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H</vt:lpwstr>
  </property>
  <property fmtid="{D5CDD505-2E9C-101B-9397-08002B2CF9AE}" pid="4" name="xTOCH3">
    <vt:lpwstr>H</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Figures</vt:lpwstr>
  </property>
  <property fmtid="{D5CDD505-2E9C-101B-9397-08002B2CF9AE}" pid="10" name="xHeadingsNumbered">
    <vt:lpwstr>0</vt:lpwstr>
  </property>
  <property fmtid="{D5CDD505-2E9C-101B-9397-08002B2CF9AE}" pid="11" name="xAppendixName">
    <vt:lpwstr>Appendix</vt:lpwstr>
  </property>
  <property fmtid="{D5CDD505-2E9C-101B-9397-08002B2CF9AE}" pid="12" name="_MarkAsFinal">
    <vt:bool>true</vt:bool>
  </property>
</Properties>
</file>