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DBB" w:rsidRDefault="00961DBB" w:rsidP="00961DBB">
      <w:bookmarkStart w:id="0" w:name="_GoBack"/>
      <w:bookmarkEnd w:id="0"/>
    </w:p>
    <w:tbl>
      <w:tblPr>
        <w:tblStyle w:val="TableAsPlaceholder"/>
        <w:tblpPr w:leftFromText="181" w:rightFromText="181" w:vertAnchor="page" w:horzAnchor="margin" w:tblpY="5779"/>
        <w:tblOverlap w:val="never"/>
        <w:tblW w:w="8080" w:type="dxa"/>
        <w:tblLayout w:type="fixed"/>
        <w:tblLook w:val="04A0" w:firstRow="1" w:lastRow="0" w:firstColumn="1" w:lastColumn="0" w:noHBand="0" w:noVBand="1"/>
      </w:tblPr>
      <w:tblGrid>
        <w:gridCol w:w="8080"/>
      </w:tblGrid>
      <w:tr w:rsidR="00F318EC" w:rsidTr="006D1FB9">
        <w:trPr>
          <w:trHeight w:val="907"/>
        </w:trPr>
        <w:tc>
          <w:tcPr>
            <w:tcW w:w="8080" w:type="dxa"/>
          </w:tcPr>
          <w:p w:rsidR="00F318EC" w:rsidRDefault="00F318EC" w:rsidP="00F318EC">
            <w:pPr>
              <w:pStyle w:val="Title"/>
            </w:pPr>
            <w:r>
              <w:t>National fiscal trends</w:t>
            </w:r>
          </w:p>
        </w:tc>
      </w:tr>
      <w:tr w:rsidR="00F318EC" w:rsidTr="006D1FB9">
        <w:trPr>
          <w:trHeight w:val="680"/>
        </w:trPr>
        <w:tc>
          <w:tcPr>
            <w:tcW w:w="8080" w:type="dxa"/>
          </w:tcPr>
          <w:p w:rsidR="00F318EC" w:rsidRPr="003A4E7F" w:rsidRDefault="00F318EC" w:rsidP="00F318EC">
            <w:pPr>
              <w:pStyle w:val="Title2"/>
              <w:rPr>
                <w:i/>
              </w:rPr>
            </w:pPr>
            <w:r w:rsidRPr="003A4E7F">
              <w:rPr>
                <w:i/>
              </w:rPr>
              <w:t xml:space="preserve">Report </w:t>
            </w:r>
            <w:r w:rsidR="00EB5790">
              <w:rPr>
                <w:i/>
              </w:rPr>
              <w:t xml:space="preserve">no. </w:t>
            </w:r>
            <w:r w:rsidRPr="003A4E7F">
              <w:rPr>
                <w:i/>
              </w:rPr>
              <w:t>01/2015</w:t>
            </w:r>
          </w:p>
        </w:tc>
      </w:tr>
      <w:tr w:rsidR="00F318EC" w:rsidTr="006D1FB9">
        <w:trPr>
          <w:trHeight w:val="765"/>
        </w:trPr>
        <w:tc>
          <w:tcPr>
            <w:tcW w:w="8080" w:type="dxa"/>
          </w:tcPr>
          <w:p w:rsidR="00F318EC" w:rsidRPr="009541CC" w:rsidRDefault="00F318EC" w:rsidP="00F318EC">
            <w:pPr>
              <w:pStyle w:val="Title3"/>
              <w:framePr w:wrap="auto" w:vAnchor="margin" w:hAnchor="text" w:yAlign="inline"/>
            </w:pPr>
          </w:p>
        </w:tc>
      </w:tr>
    </w:tbl>
    <w:p w:rsidR="00961DBB" w:rsidRDefault="00961DBB" w:rsidP="00961DBB"/>
    <w:p w:rsidR="00961DBB" w:rsidRDefault="00961DBB">
      <w:pPr>
        <w:sectPr w:rsidR="00961DBB" w:rsidSect="009057D9">
          <w:headerReference w:type="even" r:id="rId9"/>
          <w:headerReference w:type="default" r:id="rId10"/>
          <w:headerReference w:type="first" r:id="rId11"/>
          <w:pgSz w:w="11906" w:h="16838" w:code="9"/>
          <w:pgMar w:top="1361" w:right="1797" w:bottom="1474" w:left="1797" w:header="284" w:footer="454" w:gutter="0"/>
          <w:cols w:space="708"/>
          <w:titlePg/>
          <w:docGrid w:linePitch="360"/>
        </w:sectPr>
      </w:pPr>
    </w:p>
    <w:p w:rsidR="00961DBB" w:rsidRDefault="00961DBB" w:rsidP="00961DBB"/>
    <w:tbl>
      <w:tblPr>
        <w:tblStyle w:val="TableAsPlaceholde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961DBB" w:rsidTr="0087390B">
        <w:trPr>
          <w:trHeight w:val="8165"/>
        </w:trPr>
        <w:tc>
          <w:tcPr>
            <w:tcW w:w="8220" w:type="dxa"/>
            <w:vAlign w:val="bottom"/>
          </w:tcPr>
          <w:p w:rsidR="00F318EC" w:rsidRPr="00C77B5C" w:rsidRDefault="00F318EC" w:rsidP="00F318EC">
            <w:pPr>
              <w:pStyle w:val="xDisclaimerText2"/>
              <w:framePr w:hSpace="0" w:wrap="auto" w:hAnchor="text" w:yAlign="inline"/>
              <w:suppressOverlap w:val="0"/>
            </w:pPr>
            <w:bookmarkStart w:id="1" w:name="_DisclaimerMarker"/>
            <w:bookmarkEnd w:id="1"/>
            <w:r w:rsidRPr="00C77B5C">
              <w:t xml:space="preserve">© </w:t>
            </w:r>
            <w:r w:rsidRPr="0087390B">
              <w:t>Commonwealth</w:t>
            </w:r>
            <w:r w:rsidRPr="00C77B5C">
              <w:t xml:space="preserve"> of Australia</w:t>
            </w:r>
            <w:r>
              <w:t xml:space="preserve"> 2015</w:t>
            </w:r>
          </w:p>
          <w:p w:rsidR="00F318EC" w:rsidRPr="00BB5013" w:rsidRDefault="00001A11" w:rsidP="00F318EC">
            <w:pPr>
              <w:pStyle w:val="xDisclaimerText"/>
              <w:spacing w:after="0"/>
            </w:pPr>
            <w:r>
              <w:t>ISB</w:t>
            </w:r>
            <w:r w:rsidR="00F318EC" w:rsidRPr="008E314A">
              <w:t xml:space="preserve">N </w:t>
            </w:r>
            <w:r w:rsidR="00F318EC" w:rsidRPr="002410D6">
              <w:t>978-0-9925131-5-3</w:t>
            </w:r>
            <w:r w:rsidR="00F318EC" w:rsidRPr="008E314A">
              <w:t xml:space="preserve"> (</w:t>
            </w:r>
            <w:r w:rsidR="00F318EC" w:rsidRPr="00870C85">
              <w:t>Online</w:t>
            </w:r>
            <w:r w:rsidR="00F318EC" w:rsidRPr="00C77B5C">
              <w:t>)</w:t>
            </w:r>
          </w:p>
          <w:p w:rsidR="00F318EC" w:rsidRDefault="00F318EC" w:rsidP="00F318EC">
            <w:pPr>
              <w:pStyle w:val="xDisclaimerText2"/>
              <w:framePr w:hSpace="0" w:wrap="auto" w:hAnchor="text" w:yAlign="inline"/>
              <w:spacing w:before="170"/>
              <w:suppressOverlap w:val="0"/>
            </w:pPr>
            <w:r w:rsidRPr="00C77B5C">
              <w:t>This work is licensed und</w:t>
            </w:r>
            <w:r w:rsidRPr="00870C85">
              <w:t>e</w:t>
            </w:r>
            <w:r w:rsidRPr="00C77B5C">
              <w:t xml:space="preserve">r </w:t>
            </w:r>
            <w:r w:rsidRPr="008E314A">
              <w:t xml:space="preserve">the Creative </w:t>
            </w:r>
            <w:r w:rsidRPr="0087390B">
              <w:t>Commons</w:t>
            </w:r>
            <w:r w:rsidRPr="008E314A">
              <w:t xml:space="preserve"> Attribution-</w:t>
            </w:r>
            <w:proofErr w:type="spellStart"/>
            <w:r w:rsidRPr="008E314A">
              <w:t>NonCommercial</w:t>
            </w:r>
            <w:proofErr w:type="spellEnd"/>
            <w:r w:rsidRPr="008E314A">
              <w:t>-</w:t>
            </w:r>
            <w:proofErr w:type="spellStart"/>
            <w:r w:rsidRPr="008E314A">
              <w:t>NoDerivs</w:t>
            </w:r>
            <w:proofErr w:type="spellEnd"/>
            <w:r w:rsidRPr="008E314A">
              <w:t xml:space="preserve"> 3.0 Australia License</w:t>
            </w:r>
            <w:r>
              <w:t>.</w:t>
            </w:r>
          </w:p>
          <w:p w:rsidR="00F318EC" w:rsidRPr="0084503F" w:rsidRDefault="00F318EC" w:rsidP="00F318EC">
            <w:pPr>
              <w:pStyle w:val="xDisclaimerText2"/>
              <w:framePr w:hSpace="0" w:wrap="auto" w:hAnchor="text" w:yAlign="inline"/>
              <w:spacing w:before="240"/>
              <w:suppressOverlap w:val="0"/>
            </w:pPr>
            <w:r>
              <w:rPr>
                <w:noProof/>
              </w:rPr>
              <w:drawing>
                <wp:inline distT="0" distB="0" distL="0" distR="0" wp14:anchorId="244FA9BD" wp14:editId="1F2F8404">
                  <wp:extent cx="1079086" cy="377985"/>
                  <wp:effectExtent l="0" t="0" r="6985" b="317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086" cy="377985"/>
                          </a:xfrm>
                          <a:prstGeom prst="rect">
                            <a:avLst/>
                          </a:prstGeom>
                        </pic:spPr>
                      </pic:pic>
                    </a:graphicData>
                  </a:graphic>
                </wp:inline>
              </w:drawing>
            </w:r>
          </w:p>
          <w:p w:rsidR="00F318EC" w:rsidRDefault="00F318EC" w:rsidP="00F318EC">
            <w:pPr>
              <w:pStyle w:val="xDisclaimerText2"/>
              <w:framePr w:hSpace="0" w:wrap="auto" w:hAnchor="text" w:yAlign="inline"/>
              <w:suppressOverlap w:val="0"/>
            </w:pPr>
            <w:r w:rsidRPr="00D0237F">
              <w:t xml:space="preserve">The details of this licence </w:t>
            </w:r>
            <w:r w:rsidRPr="00BB5013">
              <w:t>are</w:t>
            </w:r>
            <w:r w:rsidRPr="00D0237F">
              <w:t xml:space="preserve"> available on the Creative Commons website:</w:t>
            </w:r>
            <w:r w:rsidRPr="001621AD">
              <w:t xml:space="preserve"> </w:t>
            </w:r>
            <w:hyperlink r:id="rId13" w:history="1">
              <w:r w:rsidRPr="00BB5013">
                <w:t>http://creativecommons.org/licenses/by-nc-nd/3.0/au/</w:t>
              </w:r>
            </w:hyperlink>
          </w:p>
          <w:p w:rsidR="00F318EC" w:rsidRPr="00BB5013" w:rsidRDefault="00F318EC" w:rsidP="00F318EC">
            <w:pPr>
              <w:pStyle w:val="xDisclaimerHeading"/>
              <w:framePr w:hSpace="0" w:wrap="auto" w:hAnchor="text" w:yAlign="inline"/>
              <w:suppressOverlap w:val="0"/>
            </w:pPr>
            <w:r>
              <w:t xml:space="preserve">Use </w:t>
            </w:r>
            <w:r w:rsidRPr="00D0237F">
              <w:t>of</w:t>
            </w:r>
            <w:r>
              <w:t xml:space="preserve"> </w:t>
            </w:r>
            <w:r w:rsidRPr="00D0237F">
              <w:t>the</w:t>
            </w:r>
            <w:r>
              <w:t xml:space="preserve"> Coat of Arms</w:t>
            </w:r>
          </w:p>
          <w:p w:rsidR="00F318EC" w:rsidRDefault="00F318EC" w:rsidP="00F318EC">
            <w:pPr>
              <w:pStyle w:val="xDisclaimerText2"/>
              <w:framePr w:hSpace="0" w:wrap="auto" w:hAnchor="text" w:yAlign="inline"/>
              <w:suppressOverlap w:val="0"/>
            </w:pPr>
            <w:r>
              <w:t xml:space="preserve">The terms under which the Coat of Arms </w:t>
            </w:r>
            <w:r w:rsidRPr="00BB5013">
              <w:t>can</w:t>
            </w:r>
            <w:r>
              <w:t xml:space="preserve"> be used are detailed on the following website: </w:t>
            </w:r>
            <w:hyperlink r:id="rId14" w:history="1">
              <w:r w:rsidRPr="00BB5013">
                <w:t>www.itsanhonour.gov.au/coat-arms</w:t>
              </w:r>
            </w:hyperlink>
          </w:p>
          <w:p w:rsidR="00F318EC" w:rsidRDefault="00F318EC" w:rsidP="00F318EC">
            <w:pPr>
              <w:pStyle w:val="xDisclaimerText"/>
            </w:pPr>
            <w:r w:rsidRPr="00D429BD">
              <w:rPr>
                <w:rStyle w:val="xDisclaimerHeadingwithxDisclaimerTextChar"/>
              </w:rPr>
              <w:t>Produced by:</w:t>
            </w:r>
            <w:r>
              <w:t xml:space="preserve"> </w:t>
            </w:r>
            <w:r w:rsidRPr="00BB5013">
              <w:t>Parliamentary</w:t>
            </w:r>
            <w:r>
              <w:t xml:space="preserve"> Budget Office</w:t>
            </w:r>
          </w:p>
          <w:p w:rsidR="00F318EC" w:rsidRPr="00BB5013" w:rsidRDefault="00F318EC" w:rsidP="00F318EC">
            <w:pPr>
              <w:pStyle w:val="xDisclaimerText"/>
            </w:pPr>
            <w:r w:rsidRPr="00D429BD">
              <w:rPr>
                <w:rStyle w:val="xDisclaimerHeadingwithxDisclaimerTextChar"/>
              </w:rPr>
              <w:t>Designed by:</w:t>
            </w:r>
            <w:r>
              <w:t xml:space="preserve"> Studio Tweed</w:t>
            </w:r>
          </w:p>
          <w:p w:rsidR="00F318EC" w:rsidRPr="001621AD" w:rsidRDefault="00F318EC" w:rsidP="00F318EC">
            <w:pPr>
              <w:pStyle w:val="xDisclaimerHeading"/>
              <w:framePr w:hSpace="0" w:wrap="auto" w:hAnchor="text" w:yAlign="inline"/>
              <w:spacing w:after="0"/>
              <w:suppressOverlap w:val="0"/>
            </w:pPr>
            <w:r w:rsidRPr="001621AD">
              <w:fldChar w:fldCharType="begin"/>
            </w:r>
            <w:r w:rsidRPr="001621AD">
              <w:instrText xml:space="preserve"> Macrobutton NoMacro Assistant Parliamentary Budget Officer</w:instrText>
            </w:r>
            <w:r w:rsidRPr="001621AD">
              <w:fldChar w:fldCharType="end"/>
            </w:r>
          </w:p>
          <w:p w:rsidR="00F318EC" w:rsidRPr="008E314A" w:rsidRDefault="00F318EC" w:rsidP="00F318EC">
            <w:pPr>
              <w:pStyle w:val="xDisclaimerText"/>
              <w:spacing w:after="0"/>
            </w:pPr>
            <w:r>
              <w:t>Fiscal Policy Analysis Division</w:t>
            </w:r>
          </w:p>
          <w:p w:rsidR="00F318EC" w:rsidRDefault="00F318EC" w:rsidP="00F318EC">
            <w:pPr>
              <w:pStyle w:val="xDisclaimerText2"/>
              <w:framePr w:hSpace="0" w:wrap="auto" w:hAnchor="text" w:yAlign="inline"/>
              <w:suppressOverlap w:val="0"/>
            </w:pPr>
            <w:r w:rsidRPr="008E314A">
              <w:t>Parliamentary Budget</w:t>
            </w:r>
            <w:r>
              <w:t xml:space="preserve"> Office</w:t>
            </w:r>
          </w:p>
          <w:p w:rsidR="00F318EC" w:rsidRPr="008E314A" w:rsidRDefault="00F318EC" w:rsidP="00F318EC">
            <w:pPr>
              <w:pStyle w:val="xDisclaimerText"/>
              <w:spacing w:after="0"/>
            </w:pPr>
            <w:r w:rsidRPr="008E314A">
              <w:t>Parliament House</w:t>
            </w:r>
          </w:p>
          <w:p w:rsidR="00F318EC" w:rsidRPr="008E314A" w:rsidRDefault="00F318EC" w:rsidP="00F318EC">
            <w:pPr>
              <w:pStyle w:val="xDisclaimerText"/>
              <w:spacing w:after="0"/>
            </w:pPr>
            <w:r w:rsidRPr="008E314A">
              <w:t>PO Box 6010</w:t>
            </w:r>
          </w:p>
          <w:p w:rsidR="00F318EC" w:rsidRDefault="00F318EC" w:rsidP="00F318EC">
            <w:pPr>
              <w:pStyle w:val="xDisclaimerText2"/>
              <w:framePr w:hSpace="0" w:wrap="auto" w:hAnchor="text" w:yAlign="inline"/>
              <w:suppressOverlap w:val="0"/>
            </w:pPr>
            <w:r w:rsidRPr="008E314A">
              <w:t>CANBERRA ACT</w:t>
            </w:r>
            <w:r>
              <w:t xml:space="preserve"> 2600</w:t>
            </w:r>
          </w:p>
          <w:p w:rsidR="00F318EC" w:rsidRPr="008E314A" w:rsidRDefault="00F318EC" w:rsidP="00F318EC">
            <w:pPr>
              <w:pStyle w:val="xDisclaimerText"/>
              <w:spacing w:after="0"/>
            </w:pPr>
            <w:r>
              <w:t xml:space="preserve">Phone: (02) </w:t>
            </w:r>
            <w:r w:rsidRPr="008E314A">
              <w:t>6277 9500</w:t>
            </w:r>
          </w:p>
          <w:p w:rsidR="00961DBB" w:rsidRDefault="00F318EC" w:rsidP="00F318EC">
            <w:pPr>
              <w:pStyle w:val="xDisclaimerText"/>
            </w:pPr>
            <w:r w:rsidRPr="008E314A">
              <w:t>Email: pbo@pbo.gov</w:t>
            </w:r>
            <w:r>
              <w:t>.au</w:t>
            </w:r>
          </w:p>
        </w:tc>
      </w:tr>
    </w:tbl>
    <w:p w:rsidR="00961DBB" w:rsidRDefault="00961DBB" w:rsidP="00961DBB"/>
    <w:p w:rsidR="00961DBB" w:rsidRDefault="00961DBB">
      <w:pPr>
        <w:sectPr w:rsidR="00961DBB" w:rsidSect="00F318EC">
          <w:headerReference w:type="even" r:id="rId15"/>
          <w:headerReference w:type="default" r:id="rId16"/>
          <w:footerReference w:type="default" r:id="rId17"/>
          <w:pgSz w:w="11906" w:h="16838" w:code="9"/>
          <w:pgMar w:top="1361" w:right="1797" w:bottom="1474" w:left="1797" w:header="284" w:footer="454" w:gutter="0"/>
          <w:pgNumType w:fmt="lowerRoman"/>
          <w:cols w:space="708"/>
          <w:docGrid w:linePitch="360"/>
        </w:sectPr>
      </w:pPr>
    </w:p>
    <w:p w:rsidR="00961DBB" w:rsidRPr="00733970" w:rsidRDefault="00903E3F" w:rsidP="00733970">
      <w:pPr>
        <w:pStyle w:val="TOCHeading"/>
      </w:pPr>
      <w:r w:rsidRPr="00903E3F">
        <w:lastRenderedPageBreak/>
        <w:t>Contents</w:t>
      </w:r>
      <w:bookmarkStart w:id="2" w:name="_TOCMarker"/>
      <w:bookmarkEnd w:id="2"/>
    </w:p>
    <w:p w:rsidR="00063ACE" w:rsidRDefault="008D2192">
      <w:pPr>
        <w:pStyle w:val="TOC1"/>
        <w:rPr>
          <w:rFonts w:eastAsiaTheme="minorEastAsia"/>
          <w:b w:val="0"/>
          <w:color w:val="auto"/>
          <w:lang w:eastAsia="en-AU"/>
        </w:rPr>
      </w:pPr>
      <w:r>
        <w:rPr>
          <w:b w:val="0"/>
        </w:rPr>
        <w:fldChar w:fldCharType="begin"/>
      </w:r>
      <w:r>
        <w:rPr>
          <w:b w:val="0"/>
        </w:rPr>
        <w:instrText xml:space="preserve"> TOC \h \z \t "Heading 1,1,Heading 1 No Numbering,1,Section Heading,5" </w:instrText>
      </w:r>
      <w:r>
        <w:rPr>
          <w:b w:val="0"/>
        </w:rPr>
        <w:fldChar w:fldCharType="separate"/>
      </w:r>
      <w:hyperlink w:anchor="_Toc418073720" w:history="1">
        <w:r w:rsidR="00063ACE" w:rsidRPr="00C105BB">
          <w:rPr>
            <w:rStyle w:val="Hyperlink"/>
          </w:rPr>
          <w:t>Foreword</w:t>
        </w:r>
        <w:r w:rsidR="00063ACE">
          <w:rPr>
            <w:webHidden/>
          </w:rPr>
          <w:tab/>
        </w:r>
        <w:r w:rsidR="00063ACE">
          <w:rPr>
            <w:webHidden/>
          </w:rPr>
          <w:fldChar w:fldCharType="begin"/>
        </w:r>
        <w:r w:rsidR="00063ACE">
          <w:rPr>
            <w:webHidden/>
          </w:rPr>
          <w:instrText xml:space="preserve"> PAGEREF _Toc418073720 \h </w:instrText>
        </w:r>
        <w:r w:rsidR="00063ACE">
          <w:rPr>
            <w:webHidden/>
          </w:rPr>
        </w:r>
        <w:r w:rsidR="00063ACE">
          <w:rPr>
            <w:webHidden/>
          </w:rPr>
          <w:fldChar w:fldCharType="separate"/>
        </w:r>
        <w:r w:rsidR="008B68F4">
          <w:rPr>
            <w:webHidden/>
          </w:rPr>
          <w:t>v</w:t>
        </w:r>
        <w:r w:rsidR="00063ACE">
          <w:rPr>
            <w:webHidden/>
          </w:rPr>
          <w:fldChar w:fldCharType="end"/>
        </w:r>
      </w:hyperlink>
    </w:p>
    <w:p w:rsidR="00063ACE" w:rsidRDefault="003A23CE">
      <w:pPr>
        <w:pStyle w:val="TOC1"/>
        <w:rPr>
          <w:rFonts w:eastAsiaTheme="minorEastAsia"/>
          <w:b w:val="0"/>
          <w:color w:val="auto"/>
          <w:lang w:eastAsia="en-AU"/>
        </w:rPr>
      </w:pPr>
      <w:hyperlink w:anchor="_Toc418073721" w:history="1">
        <w:r w:rsidR="00063ACE" w:rsidRPr="00C105BB">
          <w:rPr>
            <w:rStyle w:val="Hyperlink"/>
          </w:rPr>
          <w:t>Overview</w:t>
        </w:r>
        <w:r w:rsidR="00063ACE">
          <w:rPr>
            <w:webHidden/>
          </w:rPr>
          <w:tab/>
        </w:r>
        <w:r w:rsidR="00063ACE">
          <w:rPr>
            <w:webHidden/>
          </w:rPr>
          <w:fldChar w:fldCharType="begin"/>
        </w:r>
        <w:r w:rsidR="00063ACE">
          <w:rPr>
            <w:webHidden/>
          </w:rPr>
          <w:instrText xml:space="preserve"> PAGEREF _Toc418073721 \h </w:instrText>
        </w:r>
        <w:r w:rsidR="00063ACE">
          <w:rPr>
            <w:webHidden/>
          </w:rPr>
        </w:r>
        <w:r w:rsidR="00063ACE">
          <w:rPr>
            <w:webHidden/>
          </w:rPr>
          <w:fldChar w:fldCharType="separate"/>
        </w:r>
        <w:r w:rsidR="008B68F4">
          <w:rPr>
            <w:webHidden/>
          </w:rPr>
          <w:t>vi</w:t>
        </w:r>
        <w:r w:rsidR="00063ACE">
          <w:rPr>
            <w:webHidden/>
          </w:rPr>
          <w:fldChar w:fldCharType="end"/>
        </w:r>
      </w:hyperlink>
    </w:p>
    <w:p w:rsidR="00063ACE" w:rsidRDefault="003A23CE">
      <w:pPr>
        <w:pStyle w:val="TOC1"/>
        <w:rPr>
          <w:rFonts w:eastAsiaTheme="minorEastAsia"/>
          <w:b w:val="0"/>
          <w:color w:val="auto"/>
          <w:lang w:eastAsia="en-AU"/>
        </w:rPr>
      </w:pPr>
      <w:hyperlink w:anchor="_Toc418073722" w:history="1">
        <w:r w:rsidR="00063ACE" w:rsidRPr="00C105BB">
          <w:rPr>
            <w:rStyle w:val="Hyperlink"/>
          </w:rPr>
          <w:t>1</w:t>
        </w:r>
        <w:r w:rsidR="00063ACE">
          <w:rPr>
            <w:rFonts w:eastAsiaTheme="minorEastAsia"/>
            <w:b w:val="0"/>
            <w:color w:val="auto"/>
            <w:lang w:eastAsia="en-AU"/>
          </w:rPr>
          <w:tab/>
        </w:r>
        <w:r w:rsidR="00063ACE" w:rsidRPr="00C105BB">
          <w:rPr>
            <w:rStyle w:val="Hyperlink"/>
          </w:rPr>
          <w:t>National fiscal position</w:t>
        </w:r>
        <w:r w:rsidR="00063ACE">
          <w:rPr>
            <w:webHidden/>
          </w:rPr>
          <w:tab/>
        </w:r>
        <w:r w:rsidR="00063ACE">
          <w:rPr>
            <w:webHidden/>
          </w:rPr>
          <w:fldChar w:fldCharType="begin"/>
        </w:r>
        <w:r w:rsidR="00063ACE">
          <w:rPr>
            <w:webHidden/>
          </w:rPr>
          <w:instrText xml:space="preserve"> PAGEREF _Toc418073722 \h </w:instrText>
        </w:r>
        <w:r w:rsidR="00063ACE">
          <w:rPr>
            <w:webHidden/>
          </w:rPr>
        </w:r>
        <w:r w:rsidR="00063ACE">
          <w:rPr>
            <w:webHidden/>
          </w:rPr>
          <w:fldChar w:fldCharType="separate"/>
        </w:r>
        <w:r w:rsidR="008B68F4">
          <w:rPr>
            <w:webHidden/>
          </w:rPr>
          <w:t>1</w:t>
        </w:r>
        <w:r w:rsidR="00063ACE">
          <w:rPr>
            <w:webHidden/>
          </w:rPr>
          <w:fldChar w:fldCharType="end"/>
        </w:r>
      </w:hyperlink>
    </w:p>
    <w:p w:rsidR="00063ACE" w:rsidRDefault="003A23CE">
      <w:pPr>
        <w:pStyle w:val="TOC1"/>
        <w:rPr>
          <w:rFonts w:eastAsiaTheme="minorEastAsia"/>
          <w:b w:val="0"/>
          <w:color w:val="auto"/>
          <w:lang w:eastAsia="en-AU"/>
        </w:rPr>
      </w:pPr>
      <w:hyperlink w:anchor="_Toc418073723" w:history="1">
        <w:r w:rsidR="00063ACE" w:rsidRPr="00C105BB">
          <w:rPr>
            <w:rStyle w:val="Hyperlink"/>
          </w:rPr>
          <w:t>2</w:t>
        </w:r>
        <w:r w:rsidR="00063ACE">
          <w:rPr>
            <w:rFonts w:eastAsiaTheme="minorEastAsia"/>
            <w:b w:val="0"/>
            <w:color w:val="auto"/>
            <w:lang w:eastAsia="en-AU"/>
          </w:rPr>
          <w:tab/>
        </w:r>
        <w:r w:rsidR="00063ACE" w:rsidRPr="00C105BB">
          <w:rPr>
            <w:rStyle w:val="Hyperlink"/>
          </w:rPr>
          <w:t>Revenue</w:t>
        </w:r>
        <w:r w:rsidR="00063ACE">
          <w:rPr>
            <w:webHidden/>
          </w:rPr>
          <w:tab/>
        </w:r>
        <w:r w:rsidR="00063ACE">
          <w:rPr>
            <w:webHidden/>
          </w:rPr>
          <w:fldChar w:fldCharType="begin"/>
        </w:r>
        <w:r w:rsidR="00063ACE">
          <w:rPr>
            <w:webHidden/>
          </w:rPr>
          <w:instrText xml:space="preserve"> PAGEREF _Toc418073723 \h </w:instrText>
        </w:r>
        <w:r w:rsidR="00063ACE">
          <w:rPr>
            <w:webHidden/>
          </w:rPr>
        </w:r>
        <w:r w:rsidR="00063ACE">
          <w:rPr>
            <w:webHidden/>
          </w:rPr>
          <w:fldChar w:fldCharType="separate"/>
        </w:r>
        <w:r w:rsidR="008B68F4">
          <w:rPr>
            <w:webHidden/>
          </w:rPr>
          <w:t>10</w:t>
        </w:r>
        <w:r w:rsidR="00063ACE">
          <w:rPr>
            <w:webHidden/>
          </w:rPr>
          <w:fldChar w:fldCharType="end"/>
        </w:r>
      </w:hyperlink>
    </w:p>
    <w:p w:rsidR="00063ACE" w:rsidRDefault="003A23CE">
      <w:pPr>
        <w:pStyle w:val="TOC1"/>
        <w:rPr>
          <w:rFonts w:eastAsiaTheme="minorEastAsia"/>
          <w:b w:val="0"/>
          <w:color w:val="auto"/>
          <w:lang w:eastAsia="en-AU"/>
        </w:rPr>
      </w:pPr>
      <w:hyperlink w:anchor="_Toc418073724" w:history="1">
        <w:r w:rsidR="00063ACE" w:rsidRPr="00C105BB">
          <w:rPr>
            <w:rStyle w:val="Hyperlink"/>
          </w:rPr>
          <w:t>3</w:t>
        </w:r>
        <w:r w:rsidR="00063ACE">
          <w:rPr>
            <w:rFonts w:eastAsiaTheme="minorEastAsia"/>
            <w:b w:val="0"/>
            <w:color w:val="auto"/>
            <w:lang w:eastAsia="en-AU"/>
          </w:rPr>
          <w:tab/>
        </w:r>
        <w:r w:rsidR="00063ACE" w:rsidRPr="00C105BB">
          <w:rPr>
            <w:rStyle w:val="Hyperlink"/>
          </w:rPr>
          <w:t>Expenses</w:t>
        </w:r>
        <w:r w:rsidR="00063ACE">
          <w:rPr>
            <w:webHidden/>
          </w:rPr>
          <w:tab/>
        </w:r>
        <w:r w:rsidR="00063ACE">
          <w:rPr>
            <w:webHidden/>
          </w:rPr>
          <w:fldChar w:fldCharType="begin"/>
        </w:r>
        <w:r w:rsidR="00063ACE">
          <w:rPr>
            <w:webHidden/>
          </w:rPr>
          <w:instrText xml:space="preserve"> PAGEREF _Toc418073724 \h </w:instrText>
        </w:r>
        <w:r w:rsidR="00063ACE">
          <w:rPr>
            <w:webHidden/>
          </w:rPr>
        </w:r>
        <w:r w:rsidR="00063ACE">
          <w:rPr>
            <w:webHidden/>
          </w:rPr>
          <w:fldChar w:fldCharType="separate"/>
        </w:r>
        <w:r w:rsidR="008B68F4">
          <w:rPr>
            <w:webHidden/>
          </w:rPr>
          <w:t>21</w:t>
        </w:r>
        <w:r w:rsidR="00063ACE">
          <w:rPr>
            <w:webHidden/>
          </w:rPr>
          <w:fldChar w:fldCharType="end"/>
        </w:r>
      </w:hyperlink>
    </w:p>
    <w:p w:rsidR="00063ACE" w:rsidRDefault="003A23CE">
      <w:pPr>
        <w:pStyle w:val="TOC1"/>
        <w:rPr>
          <w:rFonts w:eastAsiaTheme="minorEastAsia"/>
          <w:b w:val="0"/>
          <w:color w:val="auto"/>
          <w:lang w:eastAsia="en-AU"/>
        </w:rPr>
      </w:pPr>
      <w:hyperlink w:anchor="_Toc418073725" w:history="1">
        <w:r w:rsidR="00063ACE" w:rsidRPr="00C105BB">
          <w:rPr>
            <w:rStyle w:val="Hyperlink"/>
          </w:rPr>
          <w:t>4</w:t>
        </w:r>
        <w:r w:rsidR="00063ACE">
          <w:rPr>
            <w:rFonts w:eastAsiaTheme="minorEastAsia"/>
            <w:b w:val="0"/>
            <w:color w:val="auto"/>
            <w:lang w:eastAsia="en-AU"/>
          </w:rPr>
          <w:tab/>
        </w:r>
        <w:r w:rsidR="00063ACE" w:rsidRPr="00C105BB">
          <w:rPr>
            <w:rStyle w:val="Hyperlink"/>
          </w:rPr>
          <w:t>Net capital investment</w:t>
        </w:r>
        <w:r w:rsidR="00063ACE">
          <w:rPr>
            <w:webHidden/>
          </w:rPr>
          <w:tab/>
        </w:r>
        <w:r w:rsidR="00063ACE">
          <w:rPr>
            <w:webHidden/>
          </w:rPr>
          <w:fldChar w:fldCharType="begin"/>
        </w:r>
        <w:r w:rsidR="00063ACE">
          <w:rPr>
            <w:webHidden/>
          </w:rPr>
          <w:instrText xml:space="preserve"> PAGEREF _Toc418073725 \h </w:instrText>
        </w:r>
        <w:r w:rsidR="00063ACE">
          <w:rPr>
            <w:webHidden/>
          </w:rPr>
        </w:r>
        <w:r w:rsidR="00063ACE">
          <w:rPr>
            <w:webHidden/>
          </w:rPr>
          <w:fldChar w:fldCharType="separate"/>
        </w:r>
        <w:r w:rsidR="008B68F4">
          <w:rPr>
            <w:webHidden/>
          </w:rPr>
          <w:t>36</w:t>
        </w:r>
        <w:r w:rsidR="00063ACE">
          <w:rPr>
            <w:webHidden/>
          </w:rPr>
          <w:fldChar w:fldCharType="end"/>
        </w:r>
      </w:hyperlink>
    </w:p>
    <w:p w:rsidR="00903E3F" w:rsidRDefault="003A23CE" w:rsidP="00466DE7">
      <w:pPr>
        <w:pStyle w:val="TOC1"/>
        <w:rPr>
          <w:b w:val="0"/>
        </w:rPr>
      </w:pPr>
      <w:hyperlink w:anchor="_Toc418073726" w:history="1">
        <w:r w:rsidR="00063ACE" w:rsidRPr="00C105BB">
          <w:rPr>
            <w:rStyle w:val="Hyperlink"/>
          </w:rPr>
          <w:t>5</w:t>
        </w:r>
        <w:r w:rsidR="00063ACE">
          <w:rPr>
            <w:rFonts w:eastAsiaTheme="minorEastAsia"/>
            <w:b w:val="0"/>
            <w:color w:val="auto"/>
            <w:lang w:eastAsia="en-AU"/>
          </w:rPr>
          <w:tab/>
        </w:r>
        <w:r w:rsidR="00063ACE" w:rsidRPr="00C105BB">
          <w:rPr>
            <w:rStyle w:val="Hyperlink"/>
          </w:rPr>
          <w:t>Net debt and financing costs</w:t>
        </w:r>
        <w:r w:rsidR="00063ACE">
          <w:rPr>
            <w:webHidden/>
          </w:rPr>
          <w:tab/>
        </w:r>
        <w:r w:rsidR="00063ACE">
          <w:rPr>
            <w:webHidden/>
          </w:rPr>
          <w:fldChar w:fldCharType="begin"/>
        </w:r>
        <w:r w:rsidR="00063ACE">
          <w:rPr>
            <w:webHidden/>
          </w:rPr>
          <w:instrText xml:space="preserve"> PAGEREF _Toc418073726 \h </w:instrText>
        </w:r>
        <w:r w:rsidR="00063ACE">
          <w:rPr>
            <w:webHidden/>
          </w:rPr>
        </w:r>
        <w:r w:rsidR="00063ACE">
          <w:rPr>
            <w:webHidden/>
          </w:rPr>
          <w:fldChar w:fldCharType="separate"/>
        </w:r>
        <w:r w:rsidR="008B68F4">
          <w:rPr>
            <w:webHidden/>
          </w:rPr>
          <w:t>45</w:t>
        </w:r>
        <w:r w:rsidR="00063ACE">
          <w:rPr>
            <w:webHidden/>
          </w:rPr>
          <w:fldChar w:fldCharType="end"/>
        </w:r>
      </w:hyperlink>
      <w:r w:rsidR="008D2192">
        <w:rPr>
          <w:b w:val="0"/>
        </w:rPr>
        <w:fldChar w:fldCharType="end"/>
      </w:r>
    </w:p>
    <w:p w:rsidR="008D2192" w:rsidRDefault="008D2192" w:rsidP="008D2192">
      <w:pPr>
        <w:pStyle w:val="TOFHeading"/>
      </w:pPr>
      <w:bookmarkStart w:id="3" w:name="_LOF"/>
      <w:r>
        <w:t>List of tables</w:t>
      </w:r>
    </w:p>
    <w:p w:rsidR="00B83B8A" w:rsidRDefault="008D2192">
      <w:pPr>
        <w:pStyle w:val="TableofFigures"/>
        <w:rPr>
          <w:rFonts w:eastAsiaTheme="minorEastAsia"/>
          <w:noProof/>
          <w:lang w:eastAsia="en-AU"/>
        </w:rPr>
      </w:pPr>
      <w:r>
        <w:fldChar w:fldCharType="begin"/>
      </w:r>
      <w:r>
        <w:instrText xml:space="preserve"> TOC \c "Table" \w \h \* MERGEFORMAT </w:instrText>
      </w:r>
      <w:r>
        <w:fldChar w:fldCharType="separate"/>
      </w:r>
      <w:hyperlink w:anchor="_Toc418077580" w:history="1">
        <w:r w:rsidR="00B83B8A" w:rsidRPr="007552D9">
          <w:rPr>
            <w:rStyle w:val="Hyperlink"/>
            <w:noProof/>
          </w:rPr>
          <w:t>Table 1</w:t>
        </w:r>
        <w:r w:rsidR="00B83B8A" w:rsidRPr="007552D9">
          <w:rPr>
            <w:rStyle w:val="Hyperlink"/>
            <w:noProof/>
          </w:rPr>
          <w:noBreakHyphen/>
          <w:t>1: Selected state fiscal aggregates and grants for capital purposes</w:t>
        </w:r>
        <w:r w:rsidR="00B83B8A">
          <w:rPr>
            <w:noProof/>
          </w:rPr>
          <w:tab/>
        </w:r>
        <w:r w:rsidR="00B83B8A">
          <w:rPr>
            <w:noProof/>
          </w:rPr>
          <w:fldChar w:fldCharType="begin"/>
        </w:r>
        <w:r w:rsidR="00B83B8A">
          <w:rPr>
            <w:noProof/>
          </w:rPr>
          <w:instrText xml:space="preserve"> PAGEREF _Toc418077580 \h </w:instrText>
        </w:r>
        <w:r w:rsidR="00B83B8A">
          <w:rPr>
            <w:noProof/>
          </w:rPr>
        </w:r>
        <w:r w:rsidR="00B83B8A">
          <w:rPr>
            <w:noProof/>
          </w:rPr>
          <w:fldChar w:fldCharType="separate"/>
        </w:r>
        <w:r w:rsidR="008B68F4">
          <w:rPr>
            <w:noProof/>
          </w:rPr>
          <w:t>3</w:t>
        </w:r>
        <w:r w:rsidR="00B83B8A">
          <w:rPr>
            <w:noProof/>
          </w:rPr>
          <w:fldChar w:fldCharType="end"/>
        </w:r>
      </w:hyperlink>
    </w:p>
    <w:p w:rsidR="00B83B8A" w:rsidRDefault="003A23CE">
      <w:pPr>
        <w:pStyle w:val="TableofFigures"/>
        <w:rPr>
          <w:rFonts w:eastAsiaTheme="minorEastAsia"/>
          <w:noProof/>
          <w:lang w:eastAsia="en-AU"/>
        </w:rPr>
      </w:pPr>
      <w:hyperlink w:anchor="_Toc418077581" w:history="1">
        <w:r w:rsidR="00B83B8A" w:rsidRPr="007552D9">
          <w:rPr>
            <w:rStyle w:val="Hyperlink"/>
            <w:noProof/>
          </w:rPr>
          <w:t>Table 3</w:t>
        </w:r>
        <w:r w:rsidR="00B83B8A" w:rsidRPr="007552D9">
          <w:rPr>
            <w:rStyle w:val="Hyperlink"/>
            <w:noProof/>
          </w:rPr>
          <w:noBreakHyphen/>
          <w:t>1: Real growth and contributions to growth in government expenses</w:t>
        </w:r>
        <w:r w:rsidR="00B83B8A">
          <w:rPr>
            <w:noProof/>
          </w:rPr>
          <w:tab/>
        </w:r>
        <w:r w:rsidR="00B83B8A">
          <w:rPr>
            <w:noProof/>
          </w:rPr>
          <w:fldChar w:fldCharType="begin"/>
        </w:r>
        <w:r w:rsidR="00B83B8A">
          <w:rPr>
            <w:noProof/>
          </w:rPr>
          <w:instrText xml:space="preserve"> PAGEREF _Toc418077581 \h </w:instrText>
        </w:r>
        <w:r w:rsidR="00B83B8A">
          <w:rPr>
            <w:noProof/>
          </w:rPr>
        </w:r>
        <w:r w:rsidR="00B83B8A">
          <w:rPr>
            <w:noProof/>
          </w:rPr>
          <w:fldChar w:fldCharType="separate"/>
        </w:r>
        <w:r w:rsidR="008B68F4">
          <w:rPr>
            <w:noProof/>
          </w:rPr>
          <w:t>27</w:t>
        </w:r>
        <w:r w:rsidR="00B83B8A">
          <w:rPr>
            <w:noProof/>
          </w:rPr>
          <w:fldChar w:fldCharType="end"/>
        </w:r>
      </w:hyperlink>
    </w:p>
    <w:p w:rsidR="00B83B8A" w:rsidRDefault="003A23CE">
      <w:pPr>
        <w:pStyle w:val="TableofFigures"/>
        <w:rPr>
          <w:rFonts w:eastAsiaTheme="minorEastAsia"/>
          <w:noProof/>
          <w:lang w:eastAsia="en-AU"/>
        </w:rPr>
      </w:pPr>
      <w:hyperlink w:anchor="_Toc418077582" w:history="1">
        <w:r w:rsidR="00B83B8A" w:rsidRPr="007552D9">
          <w:rPr>
            <w:rStyle w:val="Hyperlink"/>
            <w:noProof/>
          </w:rPr>
          <w:t>Table 3</w:t>
        </w:r>
        <w:r w:rsidR="00B83B8A" w:rsidRPr="007552D9">
          <w:rPr>
            <w:rStyle w:val="Hyperlink"/>
            <w:noProof/>
          </w:rPr>
          <w:noBreakHyphen/>
          <w:t>2: Health expenditure by jurisdiction</w:t>
        </w:r>
        <w:r w:rsidR="00B83B8A">
          <w:rPr>
            <w:noProof/>
          </w:rPr>
          <w:tab/>
        </w:r>
        <w:r w:rsidR="00B83B8A">
          <w:rPr>
            <w:noProof/>
          </w:rPr>
          <w:fldChar w:fldCharType="begin"/>
        </w:r>
        <w:r w:rsidR="00B83B8A">
          <w:rPr>
            <w:noProof/>
          </w:rPr>
          <w:instrText xml:space="preserve"> PAGEREF _Toc418077582 \h </w:instrText>
        </w:r>
        <w:r w:rsidR="00B83B8A">
          <w:rPr>
            <w:noProof/>
          </w:rPr>
        </w:r>
        <w:r w:rsidR="00B83B8A">
          <w:rPr>
            <w:noProof/>
          </w:rPr>
          <w:fldChar w:fldCharType="separate"/>
        </w:r>
        <w:r w:rsidR="008B68F4">
          <w:rPr>
            <w:noProof/>
          </w:rPr>
          <w:t>29</w:t>
        </w:r>
        <w:r w:rsidR="00B83B8A">
          <w:rPr>
            <w:noProof/>
          </w:rPr>
          <w:fldChar w:fldCharType="end"/>
        </w:r>
      </w:hyperlink>
    </w:p>
    <w:p w:rsidR="00B83B8A" w:rsidRDefault="003A23CE">
      <w:pPr>
        <w:pStyle w:val="TableofFigures"/>
        <w:rPr>
          <w:rFonts w:eastAsiaTheme="minorEastAsia"/>
          <w:noProof/>
          <w:lang w:eastAsia="en-AU"/>
        </w:rPr>
      </w:pPr>
      <w:hyperlink w:anchor="_Toc418077583" w:history="1">
        <w:r w:rsidR="00B83B8A" w:rsidRPr="007552D9">
          <w:rPr>
            <w:rStyle w:val="Hyperlink"/>
            <w:noProof/>
          </w:rPr>
          <w:t>Table 3</w:t>
        </w:r>
        <w:r w:rsidR="00B83B8A" w:rsidRPr="007552D9">
          <w:rPr>
            <w:rStyle w:val="Hyperlink"/>
            <w:noProof/>
          </w:rPr>
          <w:noBreakHyphen/>
          <w:t>3: Schools expenditure by jurisdiction</w:t>
        </w:r>
        <w:r w:rsidR="00B83B8A">
          <w:rPr>
            <w:noProof/>
          </w:rPr>
          <w:tab/>
        </w:r>
        <w:r w:rsidR="00B83B8A">
          <w:rPr>
            <w:noProof/>
          </w:rPr>
          <w:fldChar w:fldCharType="begin"/>
        </w:r>
        <w:r w:rsidR="00B83B8A">
          <w:rPr>
            <w:noProof/>
          </w:rPr>
          <w:instrText xml:space="preserve"> PAGEREF _Toc418077583 \h </w:instrText>
        </w:r>
        <w:r w:rsidR="00B83B8A">
          <w:rPr>
            <w:noProof/>
          </w:rPr>
        </w:r>
        <w:r w:rsidR="00B83B8A">
          <w:rPr>
            <w:noProof/>
          </w:rPr>
          <w:fldChar w:fldCharType="separate"/>
        </w:r>
        <w:r w:rsidR="008B68F4">
          <w:rPr>
            <w:noProof/>
          </w:rPr>
          <w:t>33</w:t>
        </w:r>
        <w:r w:rsidR="00B83B8A">
          <w:rPr>
            <w:noProof/>
          </w:rPr>
          <w:fldChar w:fldCharType="end"/>
        </w:r>
      </w:hyperlink>
    </w:p>
    <w:p w:rsidR="00B83B8A" w:rsidRDefault="003A23CE">
      <w:pPr>
        <w:pStyle w:val="TableofFigures"/>
        <w:rPr>
          <w:rFonts w:eastAsiaTheme="minorEastAsia"/>
          <w:noProof/>
          <w:lang w:eastAsia="en-AU"/>
        </w:rPr>
      </w:pPr>
      <w:hyperlink w:anchor="_Toc418077584" w:history="1">
        <w:r w:rsidR="00B83B8A" w:rsidRPr="007552D9">
          <w:rPr>
            <w:rStyle w:val="Hyperlink"/>
            <w:noProof/>
          </w:rPr>
          <w:t>Table C</w:t>
        </w:r>
        <w:r w:rsidR="00B83B8A" w:rsidRPr="007552D9">
          <w:rPr>
            <w:rStyle w:val="Hyperlink"/>
            <w:noProof/>
          </w:rPr>
          <w:noBreakHyphen/>
          <w:t>1: General government data by level of government (adjusted for inter</w:t>
        </w:r>
        <w:r w:rsidR="00B83B8A" w:rsidRPr="007552D9">
          <w:rPr>
            <w:rStyle w:val="Hyperlink"/>
            <w:noProof/>
          </w:rPr>
          <w:noBreakHyphen/>
          <w:t>governmental flows and stocks)</w:t>
        </w:r>
        <w:r w:rsidR="00B83B8A">
          <w:rPr>
            <w:noProof/>
          </w:rPr>
          <w:tab/>
        </w:r>
        <w:r w:rsidR="00B83B8A">
          <w:rPr>
            <w:noProof/>
          </w:rPr>
          <w:fldChar w:fldCharType="begin"/>
        </w:r>
        <w:r w:rsidR="00B83B8A">
          <w:rPr>
            <w:noProof/>
          </w:rPr>
          <w:instrText xml:space="preserve"> PAGEREF _Toc418077584 \h </w:instrText>
        </w:r>
        <w:r w:rsidR="00B83B8A">
          <w:rPr>
            <w:noProof/>
          </w:rPr>
        </w:r>
        <w:r w:rsidR="00B83B8A">
          <w:rPr>
            <w:noProof/>
          </w:rPr>
          <w:fldChar w:fldCharType="separate"/>
        </w:r>
        <w:r w:rsidR="008B68F4">
          <w:rPr>
            <w:noProof/>
          </w:rPr>
          <w:t>70</w:t>
        </w:r>
        <w:r w:rsidR="00B83B8A">
          <w:rPr>
            <w:noProof/>
          </w:rPr>
          <w:fldChar w:fldCharType="end"/>
        </w:r>
      </w:hyperlink>
    </w:p>
    <w:p w:rsidR="008D2192" w:rsidRDefault="003A23CE" w:rsidP="008D2192">
      <w:pPr>
        <w:pStyle w:val="TableofFigures"/>
      </w:pPr>
      <w:hyperlink w:anchor="_Toc418077585" w:history="1">
        <w:r w:rsidR="00B83B8A" w:rsidRPr="007552D9">
          <w:rPr>
            <w:rStyle w:val="Hyperlink"/>
            <w:noProof/>
          </w:rPr>
          <w:t>Table C</w:t>
        </w:r>
        <w:r w:rsidR="00B83B8A" w:rsidRPr="007552D9">
          <w:rPr>
            <w:rStyle w:val="Hyperlink"/>
            <w:noProof/>
          </w:rPr>
          <w:noBreakHyphen/>
          <w:t>2: General government data by level of government (as published)</w:t>
        </w:r>
        <w:r w:rsidR="00B83B8A">
          <w:rPr>
            <w:noProof/>
          </w:rPr>
          <w:tab/>
        </w:r>
        <w:r w:rsidR="00B83B8A">
          <w:rPr>
            <w:noProof/>
          </w:rPr>
          <w:fldChar w:fldCharType="begin"/>
        </w:r>
        <w:r w:rsidR="00B83B8A">
          <w:rPr>
            <w:noProof/>
          </w:rPr>
          <w:instrText xml:space="preserve"> PAGEREF _Toc418077585 \h </w:instrText>
        </w:r>
        <w:r w:rsidR="00B83B8A">
          <w:rPr>
            <w:noProof/>
          </w:rPr>
        </w:r>
        <w:r w:rsidR="00B83B8A">
          <w:rPr>
            <w:noProof/>
          </w:rPr>
          <w:fldChar w:fldCharType="separate"/>
        </w:r>
        <w:r w:rsidR="008B68F4">
          <w:rPr>
            <w:noProof/>
          </w:rPr>
          <w:t>71</w:t>
        </w:r>
        <w:r w:rsidR="00B83B8A">
          <w:rPr>
            <w:noProof/>
          </w:rPr>
          <w:fldChar w:fldCharType="end"/>
        </w:r>
      </w:hyperlink>
      <w:r w:rsidR="008D2192">
        <w:fldChar w:fldCharType="end"/>
      </w:r>
    </w:p>
    <w:p w:rsidR="008D2192" w:rsidRDefault="008D2192" w:rsidP="008D2192">
      <w:pPr>
        <w:pStyle w:val="TOFHeading"/>
      </w:pPr>
      <w:r>
        <w:t>List of figures</w:t>
      </w:r>
    </w:p>
    <w:p w:rsidR="00063ACE" w:rsidRDefault="008D2192">
      <w:pPr>
        <w:pStyle w:val="TableofFigures"/>
        <w:rPr>
          <w:rFonts w:eastAsiaTheme="minorEastAsia"/>
          <w:noProof/>
          <w:lang w:eastAsia="en-AU"/>
        </w:rPr>
      </w:pPr>
      <w:r>
        <w:fldChar w:fldCharType="begin"/>
      </w:r>
      <w:r>
        <w:instrText xml:space="preserve"> TOC \c "Figure" \w \h \* MERGEFORMAT </w:instrText>
      </w:r>
      <w:r>
        <w:fldChar w:fldCharType="separate"/>
      </w:r>
      <w:hyperlink w:anchor="_Toc418073803" w:history="1">
        <w:r w:rsidR="00063ACE" w:rsidRPr="00AB67EA">
          <w:rPr>
            <w:rStyle w:val="Hyperlink"/>
            <w:noProof/>
          </w:rPr>
          <w:t>Figure 1</w:t>
        </w:r>
        <w:r w:rsidR="00063ACE" w:rsidRPr="00AB67EA">
          <w:rPr>
            <w:rStyle w:val="Hyperlink"/>
            <w:noProof/>
          </w:rPr>
          <w:noBreakHyphen/>
          <w:t>1: Fiscal balance across all levels of Government</w:t>
        </w:r>
        <w:r w:rsidR="00063ACE">
          <w:rPr>
            <w:noProof/>
          </w:rPr>
          <w:tab/>
        </w:r>
        <w:r w:rsidR="00063ACE">
          <w:rPr>
            <w:noProof/>
          </w:rPr>
          <w:fldChar w:fldCharType="begin"/>
        </w:r>
        <w:r w:rsidR="00063ACE">
          <w:rPr>
            <w:noProof/>
          </w:rPr>
          <w:instrText xml:space="preserve"> PAGEREF _Toc418073803 \h </w:instrText>
        </w:r>
        <w:r w:rsidR="00063ACE">
          <w:rPr>
            <w:noProof/>
          </w:rPr>
        </w:r>
        <w:r w:rsidR="00063ACE">
          <w:rPr>
            <w:noProof/>
          </w:rPr>
          <w:fldChar w:fldCharType="separate"/>
        </w:r>
        <w:r w:rsidR="008B68F4">
          <w:rPr>
            <w:noProof/>
          </w:rPr>
          <w:t>1</w:t>
        </w:r>
        <w:r w:rsidR="00063ACE">
          <w:rPr>
            <w:noProof/>
          </w:rPr>
          <w:fldChar w:fldCharType="end"/>
        </w:r>
      </w:hyperlink>
    </w:p>
    <w:p w:rsidR="00063ACE" w:rsidRDefault="003A23CE">
      <w:pPr>
        <w:pStyle w:val="TableofFigures"/>
        <w:rPr>
          <w:rFonts w:eastAsiaTheme="minorEastAsia"/>
          <w:noProof/>
          <w:lang w:eastAsia="en-AU"/>
        </w:rPr>
      </w:pPr>
      <w:hyperlink w:anchor="_Toc418073804" w:history="1">
        <w:r w:rsidR="00063ACE" w:rsidRPr="00AB67EA">
          <w:rPr>
            <w:rStyle w:val="Hyperlink"/>
            <w:noProof/>
          </w:rPr>
          <w:t>Figure 1</w:t>
        </w:r>
        <w:r w:rsidR="00063ACE" w:rsidRPr="00AB67EA">
          <w:rPr>
            <w:rStyle w:val="Hyperlink"/>
            <w:noProof/>
          </w:rPr>
          <w:noBreakHyphen/>
          <w:t>2: Commonwealth net operating and fiscal balances</w:t>
        </w:r>
        <w:r w:rsidR="00063ACE">
          <w:rPr>
            <w:noProof/>
          </w:rPr>
          <w:tab/>
        </w:r>
        <w:r w:rsidR="00063ACE">
          <w:rPr>
            <w:noProof/>
          </w:rPr>
          <w:fldChar w:fldCharType="begin"/>
        </w:r>
        <w:r w:rsidR="00063ACE">
          <w:rPr>
            <w:noProof/>
          </w:rPr>
          <w:instrText xml:space="preserve"> PAGEREF _Toc418073804 \h </w:instrText>
        </w:r>
        <w:r w:rsidR="00063ACE">
          <w:rPr>
            <w:noProof/>
          </w:rPr>
        </w:r>
        <w:r w:rsidR="00063ACE">
          <w:rPr>
            <w:noProof/>
          </w:rPr>
          <w:fldChar w:fldCharType="separate"/>
        </w:r>
        <w:r w:rsidR="008B68F4">
          <w:rPr>
            <w:noProof/>
          </w:rPr>
          <w:t>2</w:t>
        </w:r>
        <w:r w:rsidR="00063ACE">
          <w:rPr>
            <w:noProof/>
          </w:rPr>
          <w:fldChar w:fldCharType="end"/>
        </w:r>
      </w:hyperlink>
    </w:p>
    <w:p w:rsidR="00063ACE" w:rsidRDefault="003A23CE">
      <w:pPr>
        <w:pStyle w:val="TableofFigures"/>
        <w:rPr>
          <w:rFonts w:eastAsiaTheme="minorEastAsia"/>
          <w:noProof/>
          <w:lang w:eastAsia="en-AU"/>
        </w:rPr>
      </w:pPr>
      <w:hyperlink w:anchor="_Toc418073805" w:history="1">
        <w:r w:rsidR="00063ACE" w:rsidRPr="00AB67EA">
          <w:rPr>
            <w:rStyle w:val="Hyperlink"/>
            <w:noProof/>
          </w:rPr>
          <w:t>Figure 1</w:t>
        </w:r>
        <w:r w:rsidR="00063ACE" w:rsidRPr="00AB67EA">
          <w:rPr>
            <w:rStyle w:val="Hyperlink"/>
            <w:noProof/>
          </w:rPr>
          <w:noBreakHyphen/>
          <w:t>3: State net operating and fiscal balances</w:t>
        </w:r>
        <w:r w:rsidR="00063ACE">
          <w:rPr>
            <w:noProof/>
          </w:rPr>
          <w:tab/>
        </w:r>
        <w:r w:rsidR="00063ACE">
          <w:rPr>
            <w:noProof/>
          </w:rPr>
          <w:fldChar w:fldCharType="begin"/>
        </w:r>
        <w:r w:rsidR="00063ACE">
          <w:rPr>
            <w:noProof/>
          </w:rPr>
          <w:instrText xml:space="preserve"> PAGEREF _Toc418073805 \h </w:instrText>
        </w:r>
        <w:r w:rsidR="00063ACE">
          <w:rPr>
            <w:noProof/>
          </w:rPr>
        </w:r>
        <w:r w:rsidR="00063ACE">
          <w:rPr>
            <w:noProof/>
          </w:rPr>
          <w:fldChar w:fldCharType="separate"/>
        </w:r>
        <w:r w:rsidR="008B68F4">
          <w:rPr>
            <w:noProof/>
          </w:rPr>
          <w:t>3</w:t>
        </w:r>
        <w:r w:rsidR="00063ACE">
          <w:rPr>
            <w:noProof/>
          </w:rPr>
          <w:fldChar w:fldCharType="end"/>
        </w:r>
      </w:hyperlink>
    </w:p>
    <w:p w:rsidR="00063ACE" w:rsidRDefault="003A23CE">
      <w:pPr>
        <w:pStyle w:val="TableofFigures"/>
        <w:rPr>
          <w:rFonts w:eastAsiaTheme="minorEastAsia"/>
          <w:noProof/>
          <w:lang w:eastAsia="en-AU"/>
        </w:rPr>
      </w:pPr>
      <w:hyperlink w:anchor="_Toc418073806" w:history="1">
        <w:r w:rsidR="00063ACE" w:rsidRPr="00AB67EA">
          <w:rPr>
            <w:rStyle w:val="Hyperlink"/>
            <w:noProof/>
          </w:rPr>
          <w:t>Figure 1</w:t>
        </w:r>
        <w:r w:rsidR="00063ACE" w:rsidRPr="00AB67EA">
          <w:rPr>
            <w:rStyle w:val="Hyperlink"/>
            <w:noProof/>
          </w:rPr>
          <w:noBreakHyphen/>
          <w:t>4: Fiscal and net operating balances for all states</w:t>
        </w:r>
        <w:r w:rsidR="00063ACE">
          <w:rPr>
            <w:noProof/>
          </w:rPr>
          <w:tab/>
        </w:r>
        <w:r w:rsidR="00063ACE">
          <w:rPr>
            <w:noProof/>
          </w:rPr>
          <w:fldChar w:fldCharType="begin"/>
        </w:r>
        <w:r w:rsidR="00063ACE">
          <w:rPr>
            <w:noProof/>
          </w:rPr>
          <w:instrText xml:space="preserve"> PAGEREF _Toc418073806 \h </w:instrText>
        </w:r>
        <w:r w:rsidR="00063ACE">
          <w:rPr>
            <w:noProof/>
          </w:rPr>
        </w:r>
        <w:r w:rsidR="00063ACE">
          <w:rPr>
            <w:noProof/>
          </w:rPr>
          <w:fldChar w:fldCharType="separate"/>
        </w:r>
        <w:r w:rsidR="008B68F4">
          <w:rPr>
            <w:noProof/>
          </w:rPr>
          <w:t>4</w:t>
        </w:r>
        <w:r w:rsidR="00063ACE">
          <w:rPr>
            <w:noProof/>
          </w:rPr>
          <w:fldChar w:fldCharType="end"/>
        </w:r>
      </w:hyperlink>
    </w:p>
    <w:p w:rsidR="00063ACE" w:rsidRDefault="003A23CE">
      <w:pPr>
        <w:pStyle w:val="TableofFigures"/>
        <w:rPr>
          <w:rFonts w:eastAsiaTheme="minorEastAsia"/>
          <w:noProof/>
          <w:lang w:eastAsia="en-AU"/>
        </w:rPr>
      </w:pPr>
      <w:hyperlink w:anchor="_Toc418073807" w:history="1">
        <w:r w:rsidR="00063ACE" w:rsidRPr="00AB67EA">
          <w:rPr>
            <w:rStyle w:val="Hyperlink"/>
            <w:noProof/>
          </w:rPr>
          <w:t>Figure 1</w:t>
        </w:r>
        <w:r w:rsidR="00063ACE" w:rsidRPr="00AB67EA">
          <w:rPr>
            <w:rStyle w:val="Hyperlink"/>
            <w:noProof/>
          </w:rPr>
          <w:noBreakHyphen/>
          <w:t>5: Commonwealth revenue and spending and annual real growth</w:t>
        </w:r>
        <w:r w:rsidR="00063ACE">
          <w:rPr>
            <w:noProof/>
          </w:rPr>
          <w:tab/>
        </w:r>
        <w:r w:rsidR="00063ACE">
          <w:rPr>
            <w:noProof/>
          </w:rPr>
          <w:fldChar w:fldCharType="begin"/>
        </w:r>
        <w:r w:rsidR="00063ACE">
          <w:rPr>
            <w:noProof/>
          </w:rPr>
          <w:instrText xml:space="preserve"> PAGEREF _Toc418073807 \h </w:instrText>
        </w:r>
        <w:r w:rsidR="00063ACE">
          <w:rPr>
            <w:noProof/>
          </w:rPr>
        </w:r>
        <w:r w:rsidR="00063ACE">
          <w:rPr>
            <w:noProof/>
          </w:rPr>
          <w:fldChar w:fldCharType="separate"/>
        </w:r>
        <w:r w:rsidR="008B68F4">
          <w:rPr>
            <w:noProof/>
          </w:rPr>
          <w:t>5</w:t>
        </w:r>
        <w:r w:rsidR="00063ACE">
          <w:rPr>
            <w:noProof/>
          </w:rPr>
          <w:fldChar w:fldCharType="end"/>
        </w:r>
      </w:hyperlink>
    </w:p>
    <w:p w:rsidR="00063ACE" w:rsidRDefault="003A23CE">
      <w:pPr>
        <w:pStyle w:val="TableofFigures"/>
        <w:rPr>
          <w:rFonts w:eastAsiaTheme="minorEastAsia"/>
          <w:noProof/>
          <w:lang w:eastAsia="en-AU"/>
        </w:rPr>
      </w:pPr>
      <w:hyperlink w:anchor="_Toc418073808" w:history="1">
        <w:r w:rsidR="00063ACE" w:rsidRPr="00AB67EA">
          <w:rPr>
            <w:rStyle w:val="Hyperlink"/>
            <w:noProof/>
          </w:rPr>
          <w:t>Figure 1</w:t>
        </w:r>
        <w:r w:rsidR="00063ACE" w:rsidRPr="00AB67EA">
          <w:rPr>
            <w:rStyle w:val="Hyperlink"/>
            <w:noProof/>
          </w:rPr>
          <w:noBreakHyphen/>
          <w:t>6: State revenue and spending and annual real growth</w:t>
        </w:r>
        <w:r w:rsidR="00063ACE">
          <w:rPr>
            <w:noProof/>
          </w:rPr>
          <w:tab/>
        </w:r>
        <w:r w:rsidR="00063ACE">
          <w:rPr>
            <w:noProof/>
          </w:rPr>
          <w:fldChar w:fldCharType="begin"/>
        </w:r>
        <w:r w:rsidR="00063ACE">
          <w:rPr>
            <w:noProof/>
          </w:rPr>
          <w:instrText xml:space="preserve"> PAGEREF _Toc418073808 \h </w:instrText>
        </w:r>
        <w:r w:rsidR="00063ACE">
          <w:rPr>
            <w:noProof/>
          </w:rPr>
        </w:r>
        <w:r w:rsidR="00063ACE">
          <w:rPr>
            <w:noProof/>
          </w:rPr>
          <w:fldChar w:fldCharType="separate"/>
        </w:r>
        <w:r w:rsidR="008B68F4">
          <w:rPr>
            <w:noProof/>
          </w:rPr>
          <w:t>5</w:t>
        </w:r>
        <w:r w:rsidR="00063ACE">
          <w:rPr>
            <w:noProof/>
          </w:rPr>
          <w:fldChar w:fldCharType="end"/>
        </w:r>
      </w:hyperlink>
    </w:p>
    <w:p w:rsidR="00063ACE" w:rsidRDefault="003A23CE">
      <w:pPr>
        <w:pStyle w:val="TableofFigures"/>
        <w:rPr>
          <w:rFonts w:eastAsiaTheme="minorEastAsia"/>
          <w:noProof/>
          <w:lang w:eastAsia="en-AU"/>
        </w:rPr>
      </w:pPr>
      <w:hyperlink w:anchor="_Toc418073809" w:history="1">
        <w:r w:rsidR="00063ACE" w:rsidRPr="00AB67EA">
          <w:rPr>
            <w:rStyle w:val="Hyperlink"/>
            <w:noProof/>
          </w:rPr>
          <w:t>Figure 1</w:t>
        </w:r>
        <w:r w:rsidR="00063ACE" w:rsidRPr="00AB67EA">
          <w:rPr>
            <w:rStyle w:val="Hyperlink"/>
            <w:noProof/>
          </w:rPr>
          <w:noBreakHyphen/>
          <w:t>7: Average annual real growth in revenue and expenses from 2002–03 to 2012–13</w:t>
        </w:r>
        <w:r w:rsidR="00063ACE">
          <w:rPr>
            <w:noProof/>
          </w:rPr>
          <w:tab/>
        </w:r>
        <w:r w:rsidR="00063ACE">
          <w:rPr>
            <w:noProof/>
          </w:rPr>
          <w:fldChar w:fldCharType="begin"/>
        </w:r>
        <w:r w:rsidR="00063ACE">
          <w:rPr>
            <w:noProof/>
          </w:rPr>
          <w:instrText xml:space="preserve"> PAGEREF _Toc418073809 \h </w:instrText>
        </w:r>
        <w:r w:rsidR="00063ACE">
          <w:rPr>
            <w:noProof/>
          </w:rPr>
        </w:r>
        <w:r w:rsidR="00063ACE">
          <w:rPr>
            <w:noProof/>
          </w:rPr>
          <w:fldChar w:fldCharType="separate"/>
        </w:r>
        <w:r w:rsidR="008B68F4">
          <w:rPr>
            <w:noProof/>
          </w:rPr>
          <w:t>6</w:t>
        </w:r>
        <w:r w:rsidR="00063ACE">
          <w:rPr>
            <w:noProof/>
          </w:rPr>
          <w:fldChar w:fldCharType="end"/>
        </w:r>
      </w:hyperlink>
    </w:p>
    <w:p w:rsidR="00063ACE" w:rsidRDefault="003A23CE">
      <w:pPr>
        <w:pStyle w:val="TableofFigures"/>
        <w:rPr>
          <w:rFonts w:eastAsiaTheme="minorEastAsia"/>
          <w:noProof/>
          <w:lang w:eastAsia="en-AU"/>
        </w:rPr>
      </w:pPr>
      <w:hyperlink w:anchor="_Toc418073810" w:history="1">
        <w:r w:rsidR="00063ACE" w:rsidRPr="00AB67EA">
          <w:rPr>
            <w:rStyle w:val="Hyperlink"/>
            <w:noProof/>
          </w:rPr>
          <w:t>Figure 1</w:t>
        </w:r>
        <w:r w:rsidR="00063ACE" w:rsidRPr="00AB67EA">
          <w:rPr>
            <w:rStyle w:val="Hyperlink"/>
            <w:noProof/>
          </w:rPr>
          <w:noBreakHyphen/>
          <w:t>8: Commonwealth and state net debt</w:t>
        </w:r>
        <w:r w:rsidR="00063ACE">
          <w:rPr>
            <w:noProof/>
          </w:rPr>
          <w:tab/>
        </w:r>
        <w:r w:rsidR="00063ACE">
          <w:rPr>
            <w:noProof/>
          </w:rPr>
          <w:fldChar w:fldCharType="begin"/>
        </w:r>
        <w:r w:rsidR="00063ACE">
          <w:rPr>
            <w:noProof/>
          </w:rPr>
          <w:instrText xml:space="preserve"> PAGEREF _Toc418073810 \h </w:instrText>
        </w:r>
        <w:r w:rsidR="00063ACE">
          <w:rPr>
            <w:noProof/>
          </w:rPr>
        </w:r>
        <w:r w:rsidR="00063ACE">
          <w:rPr>
            <w:noProof/>
          </w:rPr>
          <w:fldChar w:fldCharType="separate"/>
        </w:r>
        <w:r w:rsidR="008B68F4">
          <w:rPr>
            <w:noProof/>
          </w:rPr>
          <w:t>9</w:t>
        </w:r>
        <w:r w:rsidR="00063ACE">
          <w:rPr>
            <w:noProof/>
          </w:rPr>
          <w:fldChar w:fldCharType="end"/>
        </w:r>
      </w:hyperlink>
    </w:p>
    <w:p w:rsidR="00063ACE" w:rsidRDefault="003A23CE">
      <w:pPr>
        <w:pStyle w:val="TableofFigures"/>
        <w:rPr>
          <w:rFonts w:eastAsiaTheme="minorEastAsia"/>
          <w:noProof/>
          <w:lang w:eastAsia="en-AU"/>
        </w:rPr>
      </w:pPr>
      <w:hyperlink w:anchor="_Toc418073811" w:history="1">
        <w:r w:rsidR="00063ACE" w:rsidRPr="00AB67EA">
          <w:rPr>
            <w:rStyle w:val="Hyperlink"/>
            <w:noProof/>
          </w:rPr>
          <w:t>Figure 2</w:t>
        </w:r>
        <w:r w:rsidR="00063ACE" w:rsidRPr="00AB67EA">
          <w:rPr>
            <w:rStyle w:val="Hyperlink"/>
            <w:noProof/>
          </w:rPr>
          <w:noBreakHyphen/>
          <w:t>1: Revenue for all levels of government as a proportion of nominal GDP</w:t>
        </w:r>
        <w:r w:rsidR="00063ACE">
          <w:rPr>
            <w:noProof/>
          </w:rPr>
          <w:tab/>
        </w:r>
        <w:r w:rsidR="00063ACE">
          <w:rPr>
            <w:noProof/>
          </w:rPr>
          <w:fldChar w:fldCharType="begin"/>
        </w:r>
        <w:r w:rsidR="00063ACE">
          <w:rPr>
            <w:noProof/>
          </w:rPr>
          <w:instrText xml:space="preserve"> PAGEREF _Toc418073811 \h </w:instrText>
        </w:r>
        <w:r w:rsidR="00063ACE">
          <w:rPr>
            <w:noProof/>
          </w:rPr>
        </w:r>
        <w:r w:rsidR="00063ACE">
          <w:rPr>
            <w:noProof/>
          </w:rPr>
          <w:fldChar w:fldCharType="separate"/>
        </w:r>
        <w:r w:rsidR="008B68F4">
          <w:rPr>
            <w:noProof/>
          </w:rPr>
          <w:t>10</w:t>
        </w:r>
        <w:r w:rsidR="00063ACE">
          <w:rPr>
            <w:noProof/>
          </w:rPr>
          <w:fldChar w:fldCharType="end"/>
        </w:r>
      </w:hyperlink>
    </w:p>
    <w:p w:rsidR="00063ACE" w:rsidRDefault="003A23CE">
      <w:pPr>
        <w:pStyle w:val="TableofFigures"/>
        <w:rPr>
          <w:rFonts w:eastAsiaTheme="minorEastAsia"/>
          <w:noProof/>
          <w:lang w:eastAsia="en-AU"/>
        </w:rPr>
      </w:pPr>
      <w:hyperlink w:anchor="_Toc418073812" w:history="1">
        <w:r w:rsidR="00063ACE" w:rsidRPr="00AB67EA">
          <w:rPr>
            <w:rStyle w:val="Hyperlink"/>
            <w:noProof/>
          </w:rPr>
          <w:t>Figure 2</w:t>
        </w:r>
        <w:r w:rsidR="00063ACE" w:rsidRPr="00AB67EA">
          <w:rPr>
            <w:rStyle w:val="Hyperlink"/>
            <w:noProof/>
          </w:rPr>
          <w:noBreakHyphen/>
          <w:t>2: Commonwealth government revenue in 2012–13</w:t>
        </w:r>
        <w:r w:rsidR="00063ACE">
          <w:rPr>
            <w:noProof/>
          </w:rPr>
          <w:tab/>
        </w:r>
        <w:r w:rsidR="00063ACE">
          <w:rPr>
            <w:noProof/>
          </w:rPr>
          <w:fldChar w:fldCharType="begin"/>
        </w:r>
        <w:r w:rsidR="00063ACE">
          <w:rPr>
            <w:noProof/>
          </w:rPr>
          <w:instrText xml:space="preserve"> PAGEREF _Toc418073812 \h </w:instrText>
        </w:r>
        <w:r w:rsidR="00063ACE">
          <w:rPr>
            <w:noProof/>
          </w:rPr>
        </w:r>
        <w:r w:rsidR="00063ACE">
          <w:rPr>
            <w:noProof/>
          </w:rPr>
          <w:fldChar w:fldCharType="separate"/>
        </w:r>
        <w:r w:rsidR="008B68F4">
          <w:rPr>
            <w:noProof/>
          </w:rPr>
          <w:t>11</w:t>
        </w:r>
        <w:r w:rsidR="00063ACE">
          <w:rPr>
            <w:noProof/>
          </w:rPr>
          <w:fldChar w:fldCharType="end"/>
        </w:r>
      </w:hyperlink>
    </w:p>
    <w:p w:rsidR="00063ACE" w:rsidRDefault="003A23CE">
      <w:pPr>
        <w:pStyle w:val="TableofFigures"/>
        <w:rPr>
          <w:rFonts w:eastAsiaTheme="minorEastAsia"/>
          <w:noProof/>
          <w:lang w:eastAsia="en-AU"/>
        </w:rPr>
      </w:pPr>
      <w:hyperlink w:anchor="_Toc418073813" w:history="1">
        <w:r w:rsidR="00063ACE" w:rsidRPr="00AB67EA">
          <w:rPr>
            <w:rStyle w:val="Hyperlink"/>
            <w:noProof/>
          </w:rPr>
          <w:t>Figure 2</w:t>
        </w:r>
        <w:r w:rsidR="00063ACE" w:rsidRPr="00AB67EA">
          <w:rPr>
            <w:rStyle w:val="Hyperlink"/>
            <w:noProof/>
          </w:rPr>
          <w:noBreakHyphen/>
          <w:t>3: Trends in major sources of Commonwealth government revenue</w:t>
        </w:r>
        <w:r w:rsidR="00063ACE">
          <w:rPr>
            <w:noProof/>
          </w:rPr>
          <w:tab/>
        </w:r>
        <w:r w:rsidR="00063ACE">
          <w:rPr>
            <w:noProof/>
          </w:rPr>
          <w:fldChar w:fldCharType="begin"/>
        </w:r>
        <w:r w:rsidR="00063ACE">
          <w:rPr>
            <w:noProof/>
          </w:rPr>
          <w:instrText xml:space="preserve"> PAGEREF _Toc418073813 \h </w:instrText>
        </w:r>
        <w:r w:rsidR="00063ACE">
          <w:rPr>
            <w:noProof/>
          </w:rPr>
        </w:r>
        <w:r w:rsidR="00063ACE">
          <w:rPr>
            <w:noProof/>
          </w:rPr>
          <w:fldChar w:fldCharType="separate"/>
        </w:r>
        <w:r w:rsidR="008B68F4">
          <w:rPr>
            <w:noProof/>
          </w:rPr>
          <w:t>12</w:t>
        </w:r>
        <w:r w:rsidR="00063ACE">
          <w:rPr>
            <w:noProof/>
          </w:rPr>
          <w:fldChar w:fldCharType="end"/>
        </w:r>
      </w:hyperlink>
    </w:p>
    <w:p w:rsidR="00063ACE" w:rsidRDefault="003A23CE">
      <w:pPr>
        <w:pStyle w:val="TableofFigures"/>
        <w:rPr>
          <w:rFonts w:eastAsiaTheme="minorEastAsia"/>
          <w:noProof/>
          <w:lang w:eastAsia="en-AU"/>
        </w:rPr>
      </w:pPr>
      <w:hyperlink w:anchor="_Toc418073814" w:history="1">
        <w:r w:rsidR="00063ACE" w:rsidRPr="00AB67EA">
          <w:rPr>
            <w:rStyle w:val="Hyperlink"/>
            <w:noProof/>
          </w:rPr>
          <w:t>Figure 2</w:t>
        </w:r>
        <w:r w:rsidR="00063ACE" w:rsidRPr="00AB67EA">
          <w:rPr>
            <w:rStyle w:val="Hyperlink"/>
            <w:noProof/>
          </w:rPr>
          <w:noBreakHyphen/>
          <w:t>4: State own-source revenue in 2012–13</w:t>
        </w:r>
        <w:r w:rsidR="00063ACE">
          <w:rPr>
            <w:noProof/>
          </w:rPr>
          <w:tab/>
        </w:r>
        <w:r w:rsidR="00063ACE">
          <w:rPr>
            <w:noProof/>
          </w:rPr>
          <w:fldChar w:fldCharType="begin"/>
        </w:r>
        <w:r w:rsidR="00063ACE">
          <w:rPr>
            <w:noProof/>
          </w:rPr>
          <w:instrText xml:space="preserve"> PAGEREF _Toc418073814 \h </w:instrText>
        </w:r>
        <w:r w:rsidR="00063ACE">
          <w:rPr>
            <w:noProof/>
          </w:rPr>
        </w:r>
        <w:r w:rsidR="00063ACE">
          <w:rPr>
            <w:noProof/>
          </w:rPr>
          <w:fldChar w:fldCharType="separate"/>
        </w:r>
        <w:r w:rsidR="008B68F4">
          <w:rPr>
            <w:noProof/>
          </w:rPr>
          <w:t>13</w:t>
        </w:r>
        <w:r w:rsidR="00063ACE">
          <w:rPr>
            <w:noProof/>
          </w:rPr>
          <w:fldChar w:fldCharType="end"/>
        </w:r>
      </w:hyperlink>
    </w:p>
    <w:p w:rsidR="00063ACE" w:rsidRDefault="003A23CE">
      <w:pPr>
        <w:pStyle w:val="TableofFigures"/>
        <w:rPr>
          <w:rFonts w:eastAsiaTheme="minorEastAsia"/>
          <w:noProof/>
          <w:lang w:eastAsia="en-AU"/>
        </w:rPr>
      </w:pPr>
      <w:hyperlink w:anchor="_Toc418073815" w:history="1">
        <w:r w:rsidR="00063ACE" w:rsidRPr="00AB67EA">
          <w:rPr>
            <w:rStyle w:val="Hyperlink"/>
            <w:noProof/>
          </w:rPr>
          <w:t>Figure 2</w:t>
        </w:r>
        <w:r w:rsidR="00063ACE" w:rsidRPr="00AB67EA">
          <w:rPr>
            <w:rStyle w:val="Hyperlink"/>
            <w:noProof/>
          </w:rPr>
          <w:noBreakHyphen/>
          <w:t>5: Trends in major sources of state own-source revenue</w:t>
        </w:r>
        <w:r w:rsidR="00063ACE">
          <w:rPr>
            <w:noProof/>
          </w:rPr>
          <w:tab/>
        </w:r>
        <w:r w:rsidR="00063ACE">
          <w:rPr>
            <w:noProof/>
          </w:rPr>
          <w:fldChar w:fldCharType="begin"/>
        </w:r>
        <w:r w:rsidR="00063ACE">
          <w:rPr>
            <w:noProof/>
          </w:rPr>
          <w:instrText xml:space="preserve"> PAGEREF _Toc418073815 \h </w:instrText>
        </w:r>
        <w:r w:rsidR="00063ACE">
          <w:rPr>
            <w:noProof/>
          </w:rPr>
        </w:r>
        <w:r w:rsidR="00063ACE">
          <w:rPr>
            <w:noProof/>
          </w:rPr>
          <w:fldChar w:fldCharType="separate"/>
        </w:r>
        <w:r w:rsidR="008B68F4">
          <w:rPr>
            <w:noProof/>
          </w:rPr>
          <w:t>14</w:t>
        </w:r>
        <w:r w:rsidR="00063ACE">
          <w:rPr>
            <w:noProof/>
          </w:rPr>
          <w:fldChar w:fldCharType="end"/>
        </w:r>
      </w:hyperlink>
    </w:p>
    <w:p w:rsidR="00063ACE" w:rsidRDefault="003A23CE">
      <w:pPr>
        <w:pStyle w:val="TableofFigures"/>
        <w:rPr>
          <w:rFonts w:eastAsiaTheme="minorEastAsia"/>
          <w:noProof/>
          <w:lang w:eastAsia="en-AU"/>
        </w:rPr>
      </w:pPr>
      <w:hyperlink w:anchor="_Toc418073816" w:history="1">
        <w:r w:rsidR="00063ACE" w:rsidRPr="00AB67EA">
          <w:rPr>
            <w:rStyle w:val="Hyperlink"/>
            <w:noProof/>
          </w:rPr>
          <w:t>Figure 2</w:t>
        </w:r>
        <w:r w:rsidR="00063ACE" w:rsidRPr="00AB67EA">
          <w:rPr>
            <w:rStyle w:val="Hyperlink"/>
            <w:noProof/>
          </w:rPr>
          <w:noBreakHyphen/>
          <w:t>6: Conveyance stamp duty revenue for major states</w:t>
        </w:r>
        <w:r w:rsidR="00063ACE">
          <w:rPr>
            <w:noProof/>
          </w:rPr>
          <w:tab/>
        </w:r>
        <w:r w:rsidR="00063ACE">
          <w:rPr>
            <w:noProof/>
          </w:rPr>
          <w:fldChar w:fldCharType="begin"/>
        </w:r>
        <w:r w:rsidR="00063ACE">
          <w:rPr>
            <w:noProof/>
          </w:rPr>
          <w:instrText xml:space="preserve"> PAGEREF _Toc418073816 \h </w:instrText>
        </w:r>
        <w:r w:rsidR="00063ACE">
          <w:rPr>
            <w:noProof/>
          </w:rPr>
        </w:r>
        <w:r w:rsidR="00063ACE">
          <w:rPr>
            <w:noProof/>
          </w:rPr>
          <w:fldChar w:fldCharType="separate"/>
        </w:r>
        <w:r w:rsidR="008B68F4">
          <w:rPr>
            <w:noProof/>
          </w:rPr>
          <w:t>15</w:t>
        </w:r>
        <w:r w:rsidR="00063ACE">
          <w:rPr>
            <w:noProof/>
          </w:rPr>
          <w:fldChar w:fldCharType="end"/>
        </w:r>
      </w:hyperlink>
    </w:p>
    <w:p w:rsidR="00063ACE" w:rsidRDefault="003A23CE">
      <w:pPr>
        <w:pStyle w:val="TableofFigures"/>
        <w:rPr>
          <w:rFonts w:eastAsiaTheme="minorEastAsia"/>
          <w:noProof/>
          <w:lang w:eastAsia="en-AU"/>
        </w:rPr>
      </w:pPr>
      <w:hyperlink w:anchor="_Toc418073817" w:history="1">
        <w:r w:rsidR="00063ACE" w:rsidRPr="00AB67EA">
          <w:rPr>
            <w:rStyle w:val="Hyperlink"/>
            <w:noProof/>
          </w:rPr>
          <w:t>Figure 2</w:t>
        </w:r>
        <w:r w:rsidR="00063ACE" w:rsidRPr="00AB67EA">
          <w:rPr>
            <w:rStyle w:val="Hyperlink"/>
            <w:noProof/>
          </w:rPr>
          <w:noBreakHyphen/>
          <w:t>7: Royalty revenue and commodity prices</w:t>
        </w:r>
        <w:r w:rsidR="00063ACE">
          <w:rPr>
            <w:noProof/>
          </w:rPr>
          <w:tab/>
        </w:r>
        <w:r w:rsidR="00063ACE">
          <w:rPr>
            <w:noProof/>
          </w:rPr>
          <w:fldChar w:fldCharType="begin"/>
        </w:r>
        <w:r w:rsidR="00063ACE">
          <w:rPr>
            <w:noProof/>
          </w:rPr>
          <w:instrText xml:space="preserve"> PAGEREF _Toc418073817 \h </w:instrText>
        </w:r>
        <w:r w:rsidR="00063ACE">
          <w:rPr>
            <w:noProof/>
          </w:rPr>
        </w:r>
        <w:r w:rsidR="00063ACE">
          <w:rPr>
            <w:noProof/>
          </w:rPr>
          <w:fldChar w:fldCharType="separate"/>
        </w:r>
        <w:r w:rsidR="008B68F4">
          <w:rPr>
            <w:noProof/>
          </w:rPr>
          <w:t>16</w:t>
        </w:r>
        <w:r w:rsidR="00063ACE">
          <w:rPr>
            <w:noProof/>
          </w:rPr>
          <w:fldChar w:fldCharType="end"/>
        </w:r>
      </w:hyperlink>
    </w:p>
    <w:p w:rsidR="00063ACE" w:rsidRDefault="003A23CE">
      <w:pPr>
        <w:pStyle w:val="TableofFigures"/>
        <w:rPr>
          <w:rFonts w:eastAsiaTheme="minorEastAsia"/>
          <w:noProof/>
          <w:lang w:eastAsia="en-AU"/>
        </w:rPr>
      </w:pPr>
      <w:hyperlink w:anchor="_Toc418073818" w:history="1">
        <w:r w:rsidR="00063ACE" w:rsidRPr="00AB67EA">
          <w:rPr>
            <w:rStyle w:val="Hyperlink"/>
            <w:noProof/>
          </w:rPr>
          <w:t>Figure 2</w:t>
        </w:r>
        <w:r w:rsidR="00063ACE" w:rsidRPr="00AB67EA">
          <w:rPr>
            <w:rStyle w:val="Hyperlink"/>
            <w:noProof/>
          </w:rPr>
          <w:noBreakHyphen/>
          <w:t>8: Commonwealth transfer to states in 2012–13</w:t>
        </w:r>
        <w:r w:rsidR="00063ACE">
          <w:rPr>
            <w:noProof/>
          </w:rPr>
          <w:tab/>
        </w:r>
        <w:r w:rsidR="00063ACE">
          <w:rPr>
            <w:noProof/>
          </w:rPr>
          <w:fldChar w:fldCharType="begin"/>
        </w:r>
        <w:r w:rsidR="00063ACE">
          <w:rPr>
            <w:noProof/>
          </w:rPr>
          <w:instrText xml:space="preserve"> PAGEREF _Toc418073818 \h </w:instrText>
        </w:r>
        <w:r w:rsidR="00063ACE">
          <w:rPr>
            <w:noProof/>
          </w:rPr>
        </w:r>
        <w:r w:rsidR="00063ACE">
          <w:rPr>
            <w:noProof/>
          </w:rPr>
          <w:fldChar w:fldCharType="separate"/>
        </w:r>
        <w:r w:rsidR="008B68F4">
          <w:rPr>
            <w:noProof/>
          </w:rPr>
          <w:t>17</w:t>
        </w:r>
        <w:r w:rsidR="00063ACE">
          <w:rPr>
            <w:noProof/>
          </w:rPr>
          <w:fldChar w:fldCharType="end"/>
        </w:r>
      </w:hyperlink>
    </w:p>
    <w:p w:rsidR="00063ACE" w:rsidRDefault="003A23CE">
      <w:pPr>
        <w:pStyle w:val="TableofFigures"/>
        <w:rPr>
          <w:rFonts w:eastAsiaTheme="minorEastAsia"/>
          <w:noProof/>
          <w:lang w:eastAsia="en-AU"/>
        </w:rPr>
      </w:pPr>
      <w:hyperlink w:anchor="_Toc418073819" w:history="1">
        <w:r w:rsidR="00063ACE" w:rsidRPr="00AB67EA">
          <w:rPr>
            <w:rStyle w:val="Hyperlink"/>
            <w:noProof/>
          </w:rPr>
          <w:t>Figure 2</w:t>
        </w:r>
        <w:r w:rsidR="00063ACE" w:rsidRPr="00AB67EA">
          <w:rPr>
            <w:rStyle w:val="Hyperlink"/>
            <w:noProof/>
          </w:rPr>
          <w:noBreakHyphen/>
          <w:t>9: Trends in the composition of Commonwealth transfers</w:t>
        </w:r>
        <w:r w:rsidR="00063ACE">
          <w:rPr>
            <w:noProof/>
          </w:rPr>
          <w:tab/>
        </w:r>
        <w:r w:rsidR="00063ACE">
          <w:rPr>
            <w:noProof/>
          </w:rPr>
          <w:fldChar w:fldCharType="begin"/>
        </w:r>
        <w:r w:rsidR="00063ACE">
          <w:rPr>
            <w:noProof/>
          </w:rPr>
          <w:instrText xml:space="preserve"> PAGEREF _Toc418073819 \h </w:instrText>
        </w:r>
        <w:r w:rsidR="00063ACE">
          <w:rPr>
            <w:noProof/>
          </w:rPr>
        </w:r>
        <w:r w:rsidR="00063ACE">
          <w:rPr>
            <w:noProof/>
          </w:rPr>
          <w:fldChar w:fldCharType="separate"/>
        </w:r>
        <w:r w:rsidR="008B68F4">
          <w:rPr>
            <w:noProof/>
          </w:rPr>
          <w:t>18</w:t>
        </w:r>
        <w:r w:rsidR="00063ACE">
          <w:rPr>
            <w:noProof/>
          </w:rPr>
          <w:fldChar w:fldCharType="end"/>
        </w:r>
      </w:hyperlink>
    </w:p>
    <w:p w:rsidR="00063ACE" w:rsidRDefault="003A23CE">
      <w:pPr>
        <w:pStyle w:val="TableofFigures"/>
        <w:rPr>
          <w:rFonts w:eastAsiaTheme="minorEastAsia"/>
          <w:noProof/>
          <w:lang w:eastAsia="en-AU"/>
        </w:rPr>
      </w:pPr>
      <w:hyperlink w:anchor="_Toc418073820" w:history="1">
        <w:r w:rsidR="00063ACE" w:rsidRPr="00AB67EA">
          <w:rPr>
            <w:rStyle w:val="Hyperlink"/>
            <w:noProof/>
          </w:rPr>
          <w:t>Figure 2</w:t>
        </w:r>
        <w:r w:rsidR="00063ACE" w:rsidRPr="00AB67EA">
          <w:rPr>
            <w:rStyle w:val="Hyperlink"/>
            <w:noProof/>
          </w:rPr>
          <w:noBreakHyphen/>
          <w:t>10: GST transfers to the states</w:t>
        </w:r>
        <w:r w:rsidR="00063ACE">
          <w:rPr>
            <w:noProof/>
          </w:rPr>
          <w:tab/>
        </w:r>
        <w:r w:rsidR="00063ACE">
          <w:rPr>
            <w:noProof/>
          </w:rPr>
          <w:fldChar w:fldCharType="begin"/>
        </w:r>
        <w:r w:rsidR="00063ACE">
          <w:rPr>
            <w:noProof/>
          </w:rPr>
          <w:instrText xml:space="preserve"> PAGEREF _Toc418073820 \h </w:instrText>
        </w:r>
        <w:r w:rsidR="00063ACE">
          <w:rPr>
            <w:noProof/>
          </w:rPr>
        </w:r>
        <w:r w:rsidR="00063ACE">
          <w:rPr>
            <w:noProof/>
          </w:rPr>
          <w:fldChar w:fldCharType="separate"/>
        </w:r>
        <w:r w:rsidR="008B68F4">
          <w:rPr>
            <w:noProof/>
          </w:rPr>
          <w:t>19</w:t>
        </w:r>
        <w:r w:rsidR="00063ACE">
          <w:rPr>
            <w:noProof/>
          </w:rPr>
          <w:fldChar w:fldCharType="end"/>
        </w:r>
      </w:hyperlink>
    </w:p>
    <w:p w:rsidR="00063ACE" w:rsidRDefault="003A23CE">
      <w:pPr>
        <w:pStyle w:val="TableofFigures"/>
        <w:rPr>
          <w:rFonts w:eastAsiaTheme="minorEastAsia"/>
          <w:noProof/>
          <w:lang w:eastAsia="en-AU"/>
        </w:rPr>
      </w:pPr>
      <w:hyperlink w:anchor="_Toc418073821" w:history="1">
        <w:r w:rsidR="00063ACE" w:rsidRPr="00AB67EA">
          <w:rPr>
            <w:rStyle w:val="Hyperlink"/>
            <w:noProof/>
          </w:rPr>
          <w:t>Figure 3</w:t>
        </w:r>
        <w:r w:rsidR="00063ACE" w:rsidRPr="00AB67EA">
          <w:rPr>
            <w:rStyle w:val="Hyperlink"/>
            <w:noProof/>
          </w:rPr>
          <w:noBreakHyphen/>
          <w:t>1: Expenses for all levels of government as a proportion of nominal GDP</w:t>
        </w:r>
        <w:r w:rsidR="00063ACE">
          <w:rPr>
            <w:noProof/>
          </w:rPr>
          <w:tab/>
        </w:r>
        <w:r w:rsidR="00063ACE">
          <w:rPr>
            <w:noProof/>
          </w:rPr>
          <w:fldChar w:fldCharType="begin"/>
        </w:r>
        <w:r w:rsidR="00063ACE">
          <w:rPr>
            <w:noProof/>
          </w:rPr>
          <w:instrText xml:space="preserve"> PAGEREF _Toc418073821 \h </w:instrText>
        </w:r>
        <w:r w:rsidR="00063ACE">
          <w:rPr>
            <w:noProof/>
          </w:rPr>
        </w:r>
        <w:r w:rsidR="00063ACE">
          <w:rPr>
            <w:noProof/>
          </w:rPr>
          <w:fldChar w:fldCharType="separate"/>
        </w:r>
        <w:r w:rsidR="008B68F4">
          <w:rPr>
            <w:noProof/>
          </w:rPr>
          <w:t>21</w:t>
        </w:r>
        <w:r w:rsidR="00063ACE">
          <w:rPr>
            <w:noProof/>
          </w:rPr>
          <w:fldChar w:fldCharType="end"/>
        </w:r>
      </w:hyperlink>
    </w:p>
    <w:p w:rsidR="00063ACE" w:rsidRDefault="003A23CE">
      <w:pPr>
        <w:pStyle w:val="TableofFigures"/>
        <w:rPr>
          <w:rFonts w:eastAsiaTheme="minorEastAsia"/>
          <w:noProof/>
          <w:lang w:eastAsia="en-AU"/>
        </w:rPr>
      </w:pPr>
      <w:hyperlink w:anchor="_Toc418073822" w:history="1">
        <w:r w:rsidR="00063ACE" w:rsidRPr="00AB67EA">
          <w:rPr>
            <w:rStyle w:val="Hyperlink"/>
            <w:noProof/>
          </w:rPr>
          <w:t>Figure 3</w:t>
        </w:r>
        <w:r w:rsidR="00063ACE" w:rsidRPr="00AB67EA">
          <w:rPr>
            <w:rStyle w:val="Hyperlink"/>
            <w:noProof/>
          </w:rPr>
          <w:noBreakHyphen/>
          <w:t>2: Commonwealth and state expenses by function in 2012–13</w:t>
        </w:r>
        <w:r w:rsidR="00063ACE">
          <w:rPr>
            <w:noProof/>
          </w:rPr>
          <w:tab/>
        </w:r>
        <w:r w:rsidR="00063ACE">
          <w:rPr>
            <w:noProof/>
          </w:rPr>
          <w:fldChar w:fldCharType="begin"/>
        </w:r>
        <w:r w:rsidR="00063ACE">
          <w:rPr>
            <w:noProof/>
          </w:rPr>
          <w:instrText xml:space="preserve"> PAGEREF _Toc418073822 \h </w:instrText>
        </w:r>
        <w:r w:rsidR="00063ACE">
          <w:rPr>
            <w:noProof/>
          </w:rPr>
        </w:r>
        <w:r w:rsidR="00063ACE">
          <w:rPr>
            <w:noProof/>
          </w:rPr>
          <w:fldChar w:fldCharType="separate"/>
        </w:r>
        <w:r w:rsidR="008B68F4">
          <w:rPr>
            <w:noProof/>
          </w:rPr>
          <w:t>22</w:t>
        </w:r>
        <w:r w:rsidR="00063ACE">
          <w:rPr>
            <w:noProof/>
          </w:rPr>
          <w:fldChar w:fldCharType="end"/>
        </w:r>
      </w:hyperlink>
    </w:p>
    <w:p w:rsidR="00063ACE" w:rsidRDefault="003A23CE">
      <w:pPr>
        <w:pStyle w:val="TableofFigures"/>
        <w:rPr>
          <w:rFonts w:eastAsiaTheme="minorEastAsia"/>
          <w:noProof/>
          <w:lang w:eastAsia="en-AU"/>
        </w:rPr>
      </w:pPr>
      <w:hyperlink w:anchor="_Toc418073823" w:history="1">
        <w:r w:rsidR="00063ACE" w:rsidRPr="00AB67EA">
          <w:rPr>
            <w:rStyle w:val="Hyperlink"/>
            <w:noProof/>
          </w:rPr>
          <w:t>Figure 3</w:t>
        </w:r>
        <w:r w:rsidR="00063ACE" w:rsidRPr="00AB67EA">
          <w:rPr>
            <w:rStyle w:val="Hyperlink"/>
            <w:noProof/>
          </w:rPr>
          <w:noBreakHyphen/>
          <w:t>3: Annual real growth in Commonwealth and state expenses</w:t>
        </w:r>
        <w:r w:rsidR="00063ACE">
          <w:rPr>
            <w:noProof/>
          </w:rPr>
          <w:tab/>
        </w:r>
        <w:r w:rsidR="00063ACE">
          <w:rPr>
            <w:noProof/>
          </w:rPr>
          <w:fldChar w:fldCharType="begin"/>
        </w:r>
        <w:r w:rsidR="00063ACE">
          <w:rPr>
            <w:noProof/>
          </w:rPr>
          <w:instrText xml:space="preserve"> PAGEREF _Toc418073823 \h </w:instrText>
        </w:r>
        <w:r w:rsidR="00063ACE">
          <w:rPr>
            <w:noProof/>
          </w:rPr>
        </w:r>
        <w:r w:rsidR="00063ACE">
          <w:rPr>
            <w:noProof/>
          </w:rPr>
          <w:fldChar w:fldCharType="separate"/>
        </w:r>
        <w:r w:rsidR="008B68F4">
          <w:rPr>
            <w:noProof/>
          </w:rPr>
          <w:t>23</w:t>
        </w:r>
        <w:r w:rsidR="00063ACE">
          <w:rPr>
            <w:noProof/>
          </w:rPr>
          <w:fldChar w:fldCharType="end"/>
        </w:r>
      </w:hyperlink>
    </w:p>
    <w:p w:rsidR="00063ACE" w:rsidRDefault="003A23CE">
      <w:pPr>
        <w:pStyle w:val="TableofFigures"/>
        <w:rPr>
          <w:rFonts w:eastAsiaTheme="minorEastAsia"/>
          <w:noProof/>
          <w:lang w:eastAsia="en-AU"/>
        </w:rPr>
      </w:pPr>
      <w:hyperlink w:anchor="_Toc418073824" w:history="1">
        <w:r w:rsidR="00063ACE" w:rsidRPr="00AB67EA">
          <w:rPr>
            <w:rStyle w:val="Hyperlink"/>
            <w:noProof/>
          </w:rPr>
          <w:t>Figure 3</w:t>
        </w:r>
        <w:r w:rsidR="00063ACE" w:rsidRPr="00AB67EA">
          <w:rPr>
            <w:rStyle w:val="Hyperlink"/>
            <w:noProof/>
          </w:rPr>
          <w:noBreakHyphen/>
          <w:t>4: Contributions to cumulative real expenditure growth from 2002–03 to 2012–13</w:t>
        </w:r>
        <w:r w:rsidR="00063ACE">
          <w:rPr>
            <w:noProof/>
          </w:rPr>
          <w:tab/>
        </w:r>
        <w:r w:rsidR="00063ACE">
          <w:rPr>
            <w:noProof/>
          </w:rPr>
          <w:fldChar w:fldCharType="begin"/>
        </w:r>
        <w:r w:rsidR="00063ACE">
          <w:rPr>
            <w:noProof/>
          </w:rPr>
          <w:instrText xml:space="preserve"> PAGEREF _Toc418073824 \h </w:instrText>
        </w:r>
        <w:r w:rsidR="00063ACE">
          <w:rPr>
            <w:noProof/>
          </w:rPr>
        </w:r>
        <w:r w:rsidR="00063ACE">
          <w:rPr>
            <w:noProof/>
          </w:rPr>
          <w:fldChar w:fldCharType="separate"/>
        </w:r>
        <w:r w:rsidR="008B68F4">
          <w:rPr>
            <w:noProof/>
          </w:rPr>
          <w:t>24</w:t>
        </w:r>
        <w:r w:rsidR="00063ACE">
          <w:rPr>
            <w:noProof/>
          </w:rPr>
          <w:fldChar w:fldCharType="end"/>
        </w:r>
      </w:hyperlink>
    </w:p>
    <w:p w:rsidR="00063ACE" w:rsidRDefault="003A23CE">
      <w:pPr>
        <w:pStyle w:val="TableofFigures"/>
        <w:rPr>
          <w:rFonts w:eastAsiaTheme="minorEastAsia"/>
          <w:noProof/>
          <w:lang w:eastAsia="en-AU"/>
        </w:rPr>
      </w:pPr>
      <w:hyperlink w:anchor="_Toc418073825" w:history="1">
        <w:r w:rsidR="00063ACE" w:rsidRPr="00AB67EA">
          <w:rPr>
            <w:rStyle w:val="Hyperlink"/>
            <w:noProof/>
          </w:rPr>
          <w:t>Figure 3</w:t>
        </w:r>
        <w:r w:rsidR="00063ACE" w:rsidRPr="00AB67EA">
          <w:rPr>
            <w:rStyle w:val="Hyperlink"/>
            <w:noProof/>
          </w:rPr>
          <w:noBreakHyphen/>
          <w:t>5: Trends in Commonwealth and state health expenditure</w:t>
        </w:r>
        <w:r w:rsidR="00063ACE">
          <w:rPr>
            <w:noProof/>
          </w:rPr>
          <w:tab/>
        </w:r>
        <w:r w:rsidR="00063ACE">
          <w:rPr>
            <w:noProof/>
          </w:rPr>
          <w:fldChar w:fldCharType="begin"/>
        </w:r>
        <w:r w:rsidR="00063ACE">
          <w:rPr>
            <w:noProof/>
          </w:rPr>
          <w:instrText xml:space="preserve"> PAGEREF _Toc418073825 \h </w:instrText>
        </w:r>
        <w:r w:rsidR="00063ACE">
          <w:rPr>
            <w:noProof/>
          </w:rPr>
        </w:r>
        <w:r w:rsidR="00063ACE">
          <w:rPr>
            <w:noProof/>
          </w:rPr>
          <w:fldChar w:fldCharType="separate"/>
        </w:r>
        <w:r w:rsidR="008B68F4">
          <w:rPr>
            <w:noProof/>
          </w:rPr>
          <w:t>28</w:t>
        </w:r>
        <w:r w:rsidR="00063ACE">
          <w:rPr>
            <w:noProof/>
          </w:rPr>
          <w:fldChar w:fldCharType="end"/>
        </w:r>
      </w:hyperlink>
    </w:p>
    <w:p w:rsidR="00063ACE" w:rsidRDefault="003A23CE">
      <w:pPr>
        <w:pStyle w:val="TableofFigures"/>
        <w:rPr>
          <w:rFonts w:eastAsiaTheme="minorEastAsia"/>
          <w:noProof/>
          <w:lang w:eastAsia="en-AU"/>
        </w:rPr>
      </w:pPr>
      <w:hyperlink w:anchor="_Toc418073826" w:history="1">
        <w:r w:rsidR="00063ACE" w:rsidRPr="00AB67EA">
          <w:rPr>
            <w:rStyle w:val="Hyperlink"/>
            <w:noProof/>
          </w:rPr>
          <w:t>Figure 3</w:t>
        </w:r>
        <w:r w:rsidR="00063ACE" w:rsidRPr="00AB67EA">
          <w:rPr>
            <w:rStyle w:val="Hyperlink"/>
            <w:noProof/>
          </w:rPr>
          <w:noBreakHyphen/>
          <w:t>6: Nominal historical and projected spending on hospitals by level of government</w:t>
        </w:r>
        <w:r w:rsidR="00063ACE">
          <w:rPr>
            <w:noProof/>
          </w:rPr>
          <w:tab/>
        </w:r>
        <w:r w:rsidR="00063ACE">
          <w:rPr>
            <w:noProof/>
          </w:rPr>
          <w:fldChar w:fldCharType="begin"/>
        </w:r>
        <w:r w:rsidR="00063ACE">
          <w:rPr>
            <w:noProof/>
          </w:rPr>
          <w:instrText xml:space="preserve"> PAGEREF _Toc418073826 \h </w:instrText>
        </w:r>
        <w:r w:rsidR="00063ACE">
          <w:rPr>
            <w:noProof/>
          </w:rPr>
        </w:r>
        <w:r w:rsidR="00063ACE">
          <w:rPr>
            <w:noProof/>
          </w:rPr>
          <w:fldChar w:fldCharType="separate"/>
        </w:r>
        <w:r w:rsidR="008B68F4">
          <w:rPr>
            <w:noProof/>
          </w:rPr>
          <w:t>30</w:t>
        </w:r>
        <w:r w:rsidR="00063ACE">
          <w:rPr>
            <w:noProof/>
          </w:rPr>
          <w:fldChar w:fldCharType="end"/>
        </w:r>
      </w:hyperlink>
    </w:p>
    <w:p w:rsidR="00063ACE" w:rsidRDefault="003A23CE">
      <w:pPr>
        <w:pStyle w:val="TableofFigures"/>
        <w:rPr>
          <w:rFonts w:eastAsiaTheme="minorEastAsia"/>
          <w:noProof/>
          <w:lang w:eastAsia="en-AU"/>
        </w:rPr>
      </w:pPr>
      <w:hyperlink w:anchor="_Toc418073827" w:history="1">
        <w:r w:rsidR="00063ACE" w:rsidRPr="00AB67EA">
          <w:rPr>
            <w:rStyle w:val="Hyperlink"/>
            <w:noProof/>
          </w:rPr>
          <w:t>Figure 3</w:t>
        </w:r>
        <w:r w:rsidR="00063ACE" w:rsidRPr="00AB67EA">
          <w:rPr>
            <w:rStyle w:val="Hyperlink"/>
            <w:noProof/>
          </w:rPr>
          <w:noBreakHyphen/>
          <w:t>7: Trends in Commonwealth and state education expenditure</w:t>
        </w:r>
        <w:r w:rsidR="00063ACE">
          <w:rPr>
            <w:noProof/>
          </w:rPr>
          <w:tab/>
        </w:r>
        <w:r w:rsidR="00063ACE">
          <w:rPr>
            <w:noProof/>
          </w:rPr>
          <w:fldChar w:fldCharType="begin"/>
        </w:r>
        <w:r w:rsidR="00063ACE">
          <w:rPr>
            <w:noProof/>
          </w:rPr>
          <w:instrText xml:space="preserve"> PAGEREF _Toc418073827 \h </w:instrText>
        </w:r>
        <w:r w:rsidR="00063ACE">
          <w:rPr>
            <w:noProof/>
          </w:rPr>
        </w:r>
        <w:r w:rsidR="00063ACE">
          <w:rPr>
            <w:noProof/>
          </w:rPr>
          <w:fldChar w:fldCharType="separate"/>
        </w:r>
        <w:r w:rsidR="008B68F4">
          <w:rPr>
            <w:noProof/>
          </w:rPr>
          <w:t>33</w:t>
        </w:r>
        <w:r w:rsidR="00063ACE">
          <w:rPr>
            <w:noProof/>
          </w:rPr>
          <w:fldChar w:fldCharType="end"/>
        </w:r>
      </w:hyperlink>
    </w:p>
    <w:p w:rsidR="00063ACE" w:rsidRDefault="003A23CE">
      <w:pPr>
        <w:pStyle w:val="TableofFigures"/>
        <w:rPr>
          <w:rFonts w:eastAsiaTheme="minorEastAsia"/>
          <w:noProof/>
          <w:lang w:eastAsia="en-AU"/>
        </w:rPr>
      </w:pPr>
      <w:hyperlink w:anchor="_Toc418073828" w:history="1">
        <w:r w:rsidR="00063ACE" w:rsidRPr="00AB67EA">
          <w:rPr>
            <w:rStyle w:val="Hyperlink"/>
            <w:noProof/>
          </w:rPr>
          <w:t>Figure 3</w:t>
        </w:r>
        <w:r w:rsidR="00063ACE" w:rsidRPr="00AB67EA">
          <w:rPr>
            <w:rStyle w:val="Hyperlink"/>
            <w:noProof/>
          </w:rPr>
          <w:noBreakHyphen/>
          <w:t>8: Nominal historical and projected spending on schools by level of government</w:t>
        </w:r>
        <w:r w:rsidR="00063ACE">
          <w:rPr>
            <w:noProof/>
          </w:rPr>
          <w:tab/>
        </w:r>
        <w:r w:rsidR="00063ACE">
          <w:rPr>
            <w:noProof/>
          </w:rPr>
          <w:fldChar w:fldCharType="begin"/>
        </w:r>
        <w:r w:rsidR="00063ACE">
          <w:rPr>
            <w:noProof/>
          </w:rPr>
          <w:instrText xml:space="preserve"> PAGEREF _Toc418073828 \h </w:instrText>
        </w:r>
        <w:r w:rsidR="00063ACE">
          <w:rPr>
            <w:noProof/>
          </w:rPr>
        </w:r>
        <w:r w:rsidR="00063ACE">
          <w:rPr>
            <w:noProof/>
          </w:rPr>
          <w:fldChar w:fldCharType="separate"/>
        </w:r>
        <w:r w:rsidR="008B68F4">
          <w:rPr>
            <w:noProof/>
          </w:rPr>
          <w:t>34</w:t>
        </w:r>
        <w:r w:rsidR="00063ACE">
          <w:rPr>
            <w:noProof/>
          </w:rPr>
          <w:fldChar w:fldCharType="end"/>
        </w:r>
      </w:hyperlink>
    </w:p>
    <w:p w:rsidR="00063ACE" w:rsidRDefault="003A23CE">
      <w:pPr>
        <w:pStyle w:val="TableofFigures"/>
        <w:rPr>
          <w:rFonts w:eastAsiaTheme="minorEastAsia"/>
          <w:noProof/>
          <w:lang w:eastAsia="en-AU"/>
        </w:rPr>
      </w:pPr>
      <w:hyperlink w:anchor="_Toc418073829" w:history="1">
        <w:r w:rsidR="00063ACE" w:rsidRPr="00AB67EA">
          <w:rPr>
            <w:rStyle w:val="Hyperlink"/>
            <w:noProof/>
          </w:rPr>
          <w:t>Figure 4</w:t>
        </w:r>
        <w:r w:rsidR="00063ACE" w:rsidRPr="00AB67EA">
          <w:rPr>
            <w:rStyle w:val="Hyperlink"/>
            <w:noProof/>
          </w:rPr>
          <w:noBreakHyphen/>
          <w:t>1: Net capital investment across all levels of government</w:t>
        </w:r>
        <w:r w:rsidR="00063ACE">
          <w:rPr>
            <w:noProof/>
          </w:rPr>
          <w:tab/>
        </w:r>
        <w:r w:rsidR="00063ACE">
          <w:rPr>
            <w:noProof/>
          </w:rPr>
          <w:fldChar w:fldCharType="begin"/>
        </w:r>
        <w:r w:rsidR="00063ACE">
          <w:rPr>
            <w:noProof/>
          </w:rPr>
          <w:instrText xml:space="preserve"> PAGEREF _Toc418073829 \h </w:instrText>
        </w:r>
        <w:r w:rsidR="00063ACE">
          <w:rPr>
            <w:noProof/>
          </w:rPr>
        </w:r>
        <w:r w:rsidR="00063ACE">
          <w:rPr>
            <w:noProof/>
          </w:rPr>
          <w:fldChar w:fldCharType="separate"/>
        </w:r>
        <w:r w:rsidR="008B68F4">
          <w:rPr>
            <w:noProof/>
          </w:rPr>
          <w:t>36</w:t>
        </w:r>
        <w:r w:rsidR="00063ACE">
          <w:rPr>
            <w:noProof/>
          </w:rPr>
          <w:fldChar w:fldCharType="end"/>
        </w:r>
      </w:hyperlink>
    </w:p>
    <w:p w:rsidR="00063ACE" w:rsidRDefault="003A23CE">
      <w:pPr>
        <w:pStyle w:val="TableofFigures"/>
        <w:rPr>
          <w:rFonts w:eastAsiaTheme="minorEastAsia"/>
          <w:noProof/>
          <w:lang w:eastAsia="en-AU"/>
        </w:rPr>
      </w:pPr>
      <w:hyperlink w:anchor="_Toc418073830" w:history="1">
        <w:r w:rsidR="00063ACE" w:rsidRPr="00AB67EA">
          <w:rPr>
            <w:rStyle w:val="Hyperlink"/>
            <w:noProof/>
          </w:rPr>
          <w:t>Figure 4</w:t>
        </w:r>
        <w:r w:rsidR="00063ACE" w:rsidRPr="00AB67EA">
          <w:rPr>
            <w:rStyle w:val="Hyperlink"/>
            <w:noProof/>
          </w:rPr>
          <w:noBreakHyphen/>
          <w:t>2: General government gross fixed capital formation by function</w:t>
        </w:r>
        <w:r w:rsidR="00063ACE">
          <w:rPr>
            <w:noProof/>
          </w:rPr>
          <w:tab/>
        </w:r>
        <w:r w:rsidR="00063ACE">
          <w:rPr>
            <w:noProof/>
          </w:rPr>
          <w:fldChar w:fldCharType="begin"/>
        </w:r>
        <w:r w:rsidR="00063ACE">
          <w:rPr>
            <w:noProof/>
          </w:rPr>
          <w:instrText xml:space="preserve"> PAGEREF _Toc418073830 \h </w:instrText>
        </w:r>
        <w:r w:rsidR="00063ACE">
          <w:rPr>
            <w:noProof/>
          </w:rPr>
        </w:r>
        <w:r w:rsidR="00063ACE">
          <w:rPr>
            <w:noProof/>
          </w:rPr>
          <w:fldChar w:fldCharType="separate"/>
        </w:r>
        <w:r w:rsidR="008B68F4">
          <w:rPr>
            <w:noProof/>
          </w:rPr>
          <w:t>37</w:t>
        </w:r>
        <w:r w:rsidR="00063ACE">
          <w:rPr>
            <w:noProof/>
          </w:rPr>
          <w:fldChar w:fldCharType="end"/>
        </w:r>
      </w:hyperlink>
    </w:p>
    <w:p w:rsidR="00063ACE" w:rsidRDefault="003A23CE">
      <w:pPr>
        <w:pStyle w:val="TableofFigures"/>
        <w:rPr>
          <w:rFonts w:eastAsiaTheme="minorEastAsia"/>
          <w:noProof/>
          <w:lang w:eastAsia="en-AU"/>
        </w:rPr>
      </w:pPr>
      <w:hyperlink w:anchor="_Toc418073831" w:history="1">
        <w:r w:rsidR="00063ACE" w:rsidRPr="00AB67EA">
          <w:rPr>
            <w:rStyle w:val="Hyperlink"/>
            <w:noProof/>
          </w:rPr>
          <w:t>Figure 4</w:t>
        </w:r>
        <w:r w:rsidR="00063ACE" w:rsidRPr="00AB67EA">
          <w:rPr>
            <w:rStyle w:val="Hyperlink"/>
            <w:noProof/>
          </w:rPr>
          <w:noBreakHyphen/>
          <w:t>3: Net capital investment by level of government</w:t>
        </w:r>
        <w:r w:rsidR="00063ACE">
          <w:rPr>
            <w:noProof/>
          </w:rPr>
          <w:tab/>
        </w:r>
        <w:r w:rsidR="00063ACE">
          <w:rPr>
            <w:noProof/>
          </w:rPr>
          <w:fldChar w:fldCharType="begin"/>
        </w:r>
        <w:r w:rsidR="00063ACE">
          <w:rPr>
            <w:noProof/>
          </w:rPr>
          <w:instrText xml:space="preserve"> PAGEREF _Toc418073831 \h </w:instrText>
        </w:r>
        <w:r w:rsidR="00063ACE">
          <w:rPr>
            <w:noProof/>
          </w:rPr>
        </w:r>
        <w:r w:rsidR="00063ACE">
          <w:rPr>
            <w:noProof/>
          </w:rPr>
          <w:fldChar w:fldCharType="separate"/>
        </w:r>
        <w:r w:rsidR="008B68F4">
          <w:rPr>
            <w:noProof/>
          </w:rPr>
          <w:t>38</w:t>
        </w:r>
        <w:r w:rsidR="00063ACE">
          <w:rPr>
            <w:noProof/>
          </w:rPr>
          <w:fldChar w:fldCharType="end"/>
        </w:r>
      </w:hyperlink>
    </w:p>
    <w:p w:rsidR="00063ACE" w:rsidRDefault="003A23CE">
      <w:pPr>
        <w:pStyle w:val="TableofFigures"/>
        <w:rPr>
          <w:rFonts w:eastAsiaTheme="minorEastAsia"/>
          <w:noProof/>
          <w:lang w:eastAsia="en-AU"/>
        </w:rPr>
      </w:pPr>
      <w:hyperlink w:anchor="_Toc418073832" w:history="1">
        <w:r w:rsidR="00063ACE" w:rsidRPr="00AB67EA">
          <w:rPr>
            <w:rStyle w:val="Hyperlink"/>
            <w:noProof/>
          </w:rPr>
          <w:t>Figure 4</w:t>
        </w:r>
        <w:r w:rsidR="00063ACE" w:rsidRPr="00AB67EA">
          <w:rPr>
            <w:rStyle w:val="Hyperlink"/>
            <w:noProof/>
          </w:rPr>
          <w:noBreakHyphen/>
          <w:t>4: State net capital investment</w:t>
        </w:r>
        <w:r w:rsidR="00063ACE">
          <w:rPr>
            <w:noProof/>
          </w:rPr>
          <w:tab/>
        </w:r>
        <w:r w:rsidR="00063ACE">
          <w:rPr>
            <w:noProof/>
          </w:rPr>
          <w:fldChar w:fldCharType="begin"/>
        </w:r>
        <w:r w:rsidR="00063ACE">
          <w:rPr>
            <w:noProof/>
          </w:rPr>
          <w:instrText xml:space="preserve"> PAGEREF _Toc418073832 \h </w:instrText>
        </w:r>
        <w:r w:rsidR="00063ACE">
          <w:rPr>
            <w:noProof/>
          </w:rPr>
        </w:r>
        <w:r w:rsidR="00063ACE">
          <w:rPr>
            <w:noProof/>
          </w:rPr>
          <w:fldChar w:fldCharType="separate"/>
        </w:r>
        <w:r w:rsidR="008B68F4">
          <w:rPr>
            <w:noProof/>
          </w:rPr>
          <w:t>39</w:t>
        </w:r>
        <w:r w:rsidR="00063ACE">
          <w:rPr>
            <w:noProof/>
          </w:rPr>
          <w:fldChar w:fldCharType="end"/>
        </w:r>
      </w:hyperlink>
    </w:p>
    <w:p w:rsidR="00063ACE" w:rsidRDefault="003A23CE">
      <w:pPr>
        <w:pStyle w:val="TableofFigures"/>
        <w:rPr>
          <w:rFonts w:eastAsiaTheme="minorEastAsia"/>
          <w:noProof/>
          <w:lang w:eastAsia="en-AU"/>
        </w:rPr>
      </w:pPr>
      <w:hyperlink w:anchor="_Toc418073833" w:history="1">
        <w:r w:rsidR="00063ACE" w:rsidRPr="00AB67EA">
          <w:rPr>
            <w:rStyle w:val="Hyperlink"/>
            <w:noProof/>
          </w:rPr>
          <w:t>Figure 4</w:t>
        </w:r>
        <w:r w:rsidR="00063ACE" w:rsidRPr="00AB67EA">
          <w:rPr>
            <w:rStyle w:val="Hyperlink"/>
            <w:noProof/>
          </w:rPr>
          <w:noBreakHyphen/>
          <w:t>5: Net capital investment across jurisdictions</w:t>
        </w:r>
        <w:r w:rsidR="00063ACE">
          <w:rPr>
            <w:noProof/>
          </w:rPr>
          <w:tab/>
        </w:r>
        <w:r w:rsidR="00063ACE">
          <w:rPr>
            <w:noProof/>
          </w:rPr>
          <w:fldChar w:fldCharType="begin"/>
        </w:r>
        <w:r w:rsidR="00063ACE">
          <w:rPr>
            <w:noProof/>
          </w:rPr>
          <w:instrText xml:space="preserve"> PAGEREF _Toc418073833 \h </w:instrText>
        </w:r>
        <w:r w:rsidR="00063ACE">
          <w:rPr>
            <w:noProof/>
          </w:rPr>
        </w:r>
        <w:r w:rsidR="00063ACE">
          <w:rPr>
            <w:noProof/>
          </w:rPr>
          <w:fldChar w:fldCharType="separate"/>
        </w:r>
        <w:r w:rsidR="008B68F4">
          <w:rPr>
            <w:noProof/>
          </w:rPr>
          <w:t>40</w:t>
        </w:r>
        <w:r w:rsidR="00063ACE">
          <w:rPr>
            <w:noProof/>
          </w:rPr>
          <w:fldChar w:fldCharType="end"/>
        </w:r>
      </w:hyperlink>
    </w:p>
    <w:p w:rsidR="00063ACE" w:rsidRDefault="003A23CE">
      <w:pPr>
        <w:pStyle w:val="TableofFigures"/>
        <w:rPr>
          <w:rFonts w:eastAsiaTheme="minorEastAsia"/>
          <w:noProof/>
          <w:lang w:eastAsia="en-AU"/>
        </w:rPr>
      </w:pPr>
      <w:hyperlink w:anchor="_Toc418073834" w:history="1">
        <w:r w:rsidR="00063ACE" w:rsidRPr="00AB67EA">
          <w:rPr>
            <w:rStyle w:val="Hyperlink"/>
            <w:noProof/>
          </w:rPr>
          <w:t>Figure 4</w:t>
        </w:r>
        <w:r w:rsidR="00063ACE" w:rsidRPr="00AB67EA">
          <w:rPr>
            <w:rStyle w:val="Hyperlink"/>
            <w:noProof/>
          </w:rPr>
          <w:noBreakHyphen/>
          <w:t>6: Net capital investment for selected states</w:t>
        </w:r>
        <w:r w:rsidR="00063ACE">
          <w:rPr>
            <w:noProof/>
          </w:rPr>
          <w:tab/>
        </w:r>
        <w:r w:rsidR="00063ACE">
          <w:rPr>
            <w:noProof/>
          </w:rPr>
          <w:fldChar w:fldCharType="begin"/>
        </w:r>
        <w:r w:rsidR="00063ACE">
          <w:rPr>
            <w:noProof/>
          </w:rPr>
          <w:instrText xml:space="preserve"> PAGEREF _Toc418073834 \h </w:instrText>
        </w:r>
        <w:r w:rsidR="00063ACE">
          <w:rPr>
            <w:noProof/>
          </w:rPr>
        </w:r>
        <w:r w:rsidR="00063ACE">
          <w:rPr>
            <w:noProof/>
          </w:rPr>
          <w:fldChar w:fldCharType="separate"/>
        </w:r>
        <w:r w:rsidR="008B68F4">
          <w:rPr>
            <w:noProof/>
          </w:rPr>
          <w:t>42</w:t>
        </w:r>
        <w:r w:rsidR="00063ACE">
          <w:rPr>
            <w:noProof/>
          </w:rPr>
          <w:fldChar w:fldCharType="end"/>
        </w:r>
      </w:hyperlink>
    </w:p>
    <w:p w:rsidR="00063ACE" w:rsidRDefault="003A23CE">
      <w:pPr>
        <w:pStyle w:val="TableofFigures"/>
        <w:rPr>
          <w:rFonts w:eastAsiaTheme="minorEastAsia"/>
          <w:noProof/>
          <w:lang w:eastAsia="en-AU"/>
        </w:rPr>
      </w:pPr>
      <w:hyperlink w:anchor="_Toc418073835" w:history="1">
        <w:r w:rsidR="00063ACE" w:rsidRPr="00AB67EA">
          <w:rPr>
            <w:rStyle w:val="Hyperlink"/>
            <w:noProof/>
          </w:rPr>
          <w:t>Figure 4</w:t>
        </w:r>
        <w:r w:rsidR="00063ACE" w:rsidRPr="00AB67EA">
          <w:rPr>
            <w:rStyle w:val="Hyperlink"/>
            <w:noProof/>
          </w:rPr>
          <w:noBreakHyphen/>
          <w:t>7: State own-purpose gross fixed capital formation and revenue from capital grants</w:t>
        </w:r>
        <w:r w:rsidR="00063ACE">
          <w:rPr>
            <w:noProof/>
          </w:rPr>
          <w:tab/>
        </w:r>
        <w:r w:rsidR="00063ACE">
          <w:rPr>
            <w:noProof/>
          </w:rPr>
          <w:fldChar w:fldCharType="begin"/>
        </w:r>
        <w:r w:rsidR="00063ACE">
          <w:rPr>
            <w:noProof/>
          </w:rPr>
          <w:instrText xml:space="preserve"> PAGEREF _Toc418073835 \h </w:instrText>
        </w:r>
        <w:r w:rsidR="00063ACE">
          <w:rPr>
            <w:noProof/>
          </w:rPr>
        </w:r>
        <w:r w:rsidR="00063ACE">
          <w:rPr>
            <w:noProof/>
          </w:rPr>
          <w:fldChar w:fldCharType="separate"/>
        </w:r>
        <w:r w:rsidR="008B68F4">
          <w:rPr>
            <w:noProof/>
          </w:rPr>
          <w:t>43</w:t>
        </w:r>
        <w:r w:rsidR="00063ACE">
          <w:rPr>
            <w:noProof/>
          </w:rPr>
          <w:fldChar w:fldCharType="end"/>
        </w:r>
      </w:hyperlink>
    </w:p>
    <w:p w:rsidR="00063ACE" w:rsidRDefault="003A23CE">
      <w:pPr>
        <w:pStyle w:val="TableofFigures"/>
        <w:rPr>
          <w:rFonts w:eastAsiaTheme="minorEastAsia"/>
          <w:noProof/>
          <w:lang w:eastAsia="en-AU"/>
        </w:rPr>
      </w:pPr>
      <w:hyperlink w:anchor="_Toc418073836" w:history="1">
        <w:r w:rsidR="00063ACE" w:rsidRPr="00AB67EA">
          <w:rPr>
            <w:rStyle w:val="Hyperlink"/>
            <w:noProof/>
          </w:rPr>
          <w:t>Figure 4</w:t>
        </w:r>
        <w:r w:rsidR="00063ACE" w:rsidRPr="00AB67EA">
          <w:rPr>
            <w:rStyle w:val="Hyperlink"/>
            <w:noProof/>
          </w:rPr>
          <w:noBreakHyphen/>
          <w:t>8: Net capital investment across all levels of government by sector</w:t>
        </w:r>
        <w:r w:rsidR="00063ACE">
          <w:rPr>
            <w:noProof/>
          </w:rPr>
          <w:tab/>
        </w:r>
        <w:r w:rsidR="00063ACE">
          <w:rPr>
            <w:noProof/>
          </w:rPr>
          <w:fldChar w:fldCharType="begin"/>
        </w:r>
        <w:r w:rsidR="00063ACE">
          <w:rPr>
            <w:noProof/>
          </w:rPr>
          <w:instrText xml:space="preserve"> PAGEREF _Toc418073836 \h </w:instrText>
        </w:r>
        <w:r w:rsidR="00063ACE">
          <w:rPr>
            <w:noProof/>
          </w:rPr>
        </w:r>
        <w:r w:rsidR="00063ACE">
          <w:rPr>
            <w:noProof/>
          </w:rPr>
          <w:fldChar w:fldCharType="separate"/>
        </w:r>
        <w:r w:rsidR="008B68F4">
          <w:rPr>
            <w:noProof/>
          </w:rPr>
          <w:t>44</w:t>
        </w:r>
        <w:r w:rsidR="00063ACE">
          <w:rPr>
            <w:noProof/>
          </w:rPr>
          <w:fldChar w:fldCharType="end"/>
        </w:r>
      </w:hyperlink>
    </w:p>
    <w:p w:rsidR="00063ACE" w:rsidRDefault="003A23CE">
      <w:pPr>
        <w:pStyle w:val="TableofFigures"/>
        <w:rPr>
          <w:rFonts w:eastAsiaTheme="minorEastAsia"/>
          <w:noProof/>
          <w:lang w:eastAsia="en-AU"/>
        </w:rPr>
      </w:pPr>
      <w:hyperlink w:anchor="_Toc418073837" w:history="1">
        <w:r w:rsidR="00063ACE" w:rsidRPr="00AB67EA">
          <w:rPr>
            <w:rStyle w:val="Hyperlink"/>
            <w:noProof/>
          </w:rPr>
          <w:t>Figure 5</w:t>
        </w:r>
        <w:r w:rsidR="00063ACE" w:rsidRPr="00AB67EA">
          <w:rPr>
            <w:rStyle w:val="Hyperlink"/>
            <w:noProof/>
          </w:rPr>
          <w:noBreakHyphen/>
          <w:t>1: Commonwealth and state net debt</w:t>
        </w:r>
        <w:r w:rsidR="00063ACE">
          <w:rPr>
            <w:noProof/>
          </w:rPr>
          <w:tab/>
        </w:r>
        <w:r w:rsidR="00063ACE">
          <w:rPr>
            <w:noProof/>
          </w:rPr>
          <w:fldChar w:fldCharType="begin"/>
        </w:r>
        <w:r w:rsidR="00063ACE">
          <w:rPr>
            <w:noProof/>
          </w:rPr>
          <w:instrText xml:space="preserve"> PAGEREF _Toc418073837 \h </w:instrText>
        </w:r>
        <w:r w:rsidR="00063ACE">
          <w:rPr>
            <w:noProof/>
          </w:rPr>
        </w:r>
        <w:r w:rsidR="00063ACE">
          <w:rPr>
            <w:noProof/>
          </w:rPr>
          <w:fldChar w:fldCharType="separate"/>
        </w:r>
        <w:r w:rsidR="008B68F4">
          <w:rPr>
            <w:noProof/>
          </w:rPr>
          <w:t>46</w:t>
        </w:r>
        <w:r w:rsidR="00063ACE">
          <w:rPr>
            <w:noProof/>
          </w:rPr>
          <w:fldChar w:fldCharType="end"/>
        </w:r>
      </w:hyperlink>
    </w:p>
    <w:p w:rsidR="00063ACE" w:rsidRDefault="003A23CE">
      <w:pPr>
        <w:pStyle w:val="TableofFigures"/>
        <w:rPr>
          <w:rFonts w:eastAsiaTheme="minorEastAsia"/>
          <w:noProof/>
          <w:lang w:eastAsia="en-AU"/>
        </w:rPr>
      </w:pPr>
      <w:hyperlink w:anchor="_Toc418073838" w:history="1">
        <w:r w:rsidR="00063ACE" w:rsidRPr="00AB67EA">
          <w:rPr>
            <w:rStyle w:val="Hyperlink"/>
            <w:noProof/>
          </w:rPr>
          <w:t>Figure 5</w:t>
        </w:r>
        <w:r w:rsidR="00063ACE" w:rsidRPr="00AB67EA">
          <w:rPr>
            <w:rStyle w:val="Hyperlink"/>
            <w:noProof/>
          </w:rPr>
          <w:noBreakHyphen/>
          <w:t>2: Net debt by jurisdiction</w:t>
        </w:r>
        <w:r w:rsidR="00063ACE">
          <w:rPr>
            <w:noProof/>
          </w:rPr>
          <w:tab/>
        </w:r>
        <w:r w:rsidR="00063ACE">
          <w:rPr>
            <w:noProof/>
          </w:rPr>
          <w:fldChar w:fldCharType="begin"/>
        </w:r>
        <w:r w:rsidR="00063ACE">
          <w:rPr>
            <w:noProof/>
          </w:rPr>
          <w:instrText xml:space="preserve"> PAGEREF _Toc418073838 \h </w:instrText>
        </w:r>
        <w:r w:rsidR="00063ACE">
          <w:rPr>
            <w:noProof/>
          </w:rPr>
        </w:r>
        <w:r w:rsidR="00063ACE">
          <w:rPr>
            <w:noProof/>
          </w:rPr>
          <w:fldChar w:fldCharType="separate"/>
        </w:r>
        <w:r w:rsidR="008B68F4">
          <w:rPr>
            <w:noProof/>
          </w:rPr>
          <w:t>47</w:t>
        </w:r>
        <w:r w:rsidR="00063ACE">
          <w:rPr>
            <w:noProof/>
          </w:rPr>
          <w:fldChar w:fldCharType="end"/>
        </w:r>
      </w:hyperlink>
    </w:p>
    <w:p w:rsidR="00C7539E" w:rsidRPr="00C7539E" w:rsidRDefault="003A23CE" w:rsidP="00C7539E">
      <w:pPr>
        <w:pStyle w:val="TableofFigures"/>
      </w:pPr>
      <w:hyperlink w:anchor="_Toc418073839" w:history="1">
        <w:r w:rsidR="00063ACE" w:rsidRPr="00AB67EA">
          <w:rPr>
            <w:rStyle w:val="Hyperlink"/>
            <w:noProof/>
          </w:rPr>
          <w:t>Figure 5</w:t>
        </w:r>
        <w:r w:rsidR="00063ACE" w:rsidRPr="00AB67EA">
          <w:rPr>
            <w:rStyle w:val="Hyperlink"/>
            <w:noProof/>
          </w:rPr>
          <w:noBreakHyphen/>
          <w:t>3: Commonwealth and state general government net interest payments (excluding Queensland)</w:t>
        </w:r>
        <w:r w:rsidR="00063ACE">
          <w:rPr>
            <w:noProof/>
          </w:rPr>
          <w:tab/>
        </w:r>
        <w:r w:rsidR="00063ACE">
          <w:rPr>
            <w:noProof/>
          </w:rPr>
          <w:fldChar w:fldCharType="begin"/>
        </w:r>
        <w:r w:rsidR="00063ACE">
          <w:rPr>
            <w:noProof/>
          </w:rPr>
          <w:instrText xml:space="preserve"> PAGEREF _Toc418073839 \h </w:instrText>
        </w:r>
        <w:r w:rsidR="00063ACE">
          <w:rPr>
            <w:noProof/>
          </w:rPr>
        </w:r>
        <w:r w:rsidR="00063ACE">
          <w:rPr>
            <w:noProof/>
          </w:rPr>
          <w:fldChar w:fldCharType="separate"/>
        </w:r>
        <w:r w:rsidR="008B68F4">
          <w:rPr>
            <w:noProof/>
          </w:rPr>
          <w:t>48</w:t>
        </w:r>
        <w:r w:rsidR="00063ACE">
          <w:rPr>
            <w:noProof/>
          </w:rPr>
          <w:fldChar w:fldCharType="end"/>
        </w:r>
      </w:hyperlink>
      <w:r w:rsidR="008D2192">
        <w:fldChar w:fldCharType="end"/>
      </w:r>
    </w:p>
    <w:p w:rsidR="008D2192" w:rsidRDefault="008D2192" w:rsidP="008D2192">
      <w:pPr>
        <w:pStyle w:val="TOFHeading"/>
      </w:pPr>
      <w:r>
        <w:t>List of appendices</w:t>
      </w:r>
    </w:p>
    <w:p w:rsidR="00063ACE" w:rsidRPr="00063ACE" w:rsidRDefault="008D2192">
      <w:pPr>
        <w:pStyle w:val="TOC4"/>
      </w:pPr>
      <w:r>
        <w:fldChar w:fldCharType="begin"/>
      </w:r>
      <w:r>
        <w:instrText xml:space="preserve"> TOC \h \z \u \t "Heading 8,4" \* Charformat </w:instrText>
      </w:r>
      <w:r>
        <w:fldChar w:fldCharType="separate"/>
      </w:r>
      <w:hyperlink w:anchor="_Toc418073800" w:history="1">
        <w:r w:rsidR="00063ACE" w:rsidRPr="00063ACE">
          <w:t>Appendix A – States analysis</w:t>
        </w:r>
        <w:r w:rsidR="00063ACE">
          <w:rPr>
            <w:webHidden/>
          </w:rPr>
          <w:tab/>
        </w:r>
        <w:r w:rsidR="00063ACE">
          <w:rPr>
            <w:webHidden/>
          </w:rPr>
          <w:fldChar w:fldCharType="begin"/>
        </w:r>
        <w:r w:rsidR="00063ACE">
          <w:rPr>
            <w:webHidden/>
          </w:rPr>
          <w:instrText xml:space="preserve"> PAGEREF _Toc418073800 \h </w:instrText>
        </w:r>
        <w:r w:rsidR="00063ACE">
          <w:rPr>
            <w:webHidden/>
          </w:rPr>
        </w:r>
        <w:r w:rsidR="00063ACE">
          <w:rPr>
            <w:webHidden/>
          </w:rPr>
          <w:fldChar w:fldCharType="separate"/>
        </w:r>
        <w:r w:rsidR="008B68F4">
          <w:rPr>
            <w:webHidden/>
          </w:rPr>
          <w:t>50</w:t>
        </w:r>
        <w:r w:rsidR="00063ACE">
          <w:rPr>
            <w:webHidden/>
          </w:rPr>
          <w:fldChar w:fldCharType="end"/>
        </w:r>
      </w:hyperlink>
    </w:p>
    <w:p w:rsidR="00063ACE" w:rsidRPr="00063ACE" w:rsidRDefault="003A23CE">
      <w:pPr>
        <w:pStyle w:val="TOC4"/>
      </w:pPr>
      <w:hyperlink w:anchor="_Toc418073801" w:history="1">
        <w:r w:rsidR="00063ACE" w:rsidRPr="00063ACE">
          <w:t>Appendix B – Technical notes and sources</w:t>
        </w:r>
        <w:r w:rsidR="00063ACE">
          <w:rPr>
            <w:webHidden/>
          </w:rPr>
          <w:tab/>
        </w:r>
        <w:r w:rsidR="00063ACE">
          <w:rPr>
            <w:webHidden/>
          </w:rPr>
          <w:fldChar w:fldCharType="begin"/>
        </w:r>
        <w:r w:rsidR="00063ACE">
          <w:rPr>
            <w:webHidden/>
          </w:rPr>
          <w:instrText xml:space="preserve"> PAGEREF _Toc418073801 \h </w:instrText>
        </w:r>
        <w:r w:rsidR="00063ACE">
          <w:rPr>
            <w:webHidden/>
          </w:rPr>
        </w:r>
        <w:r w:rsidR="00063ACE">
          <w:rPr>
            <w:webHidden/>
          </w:rPr>
          <w:fldChar w:fldCharType="separate"/>
        </w:r>
        <w:r w:rsidR="008B68F4">
          <w:rPr>
            <w:webHidden/>
          </w:rPr>
          <w:t>67</w:t>
        </w:r>
        <w:r w:rsidR="00063ACE">
          <w:rPr>
            <w:webHidden/>
          </w:rPr>
          <w:fldChar w:fldCharType="end"/>
        </w:r>
      </w:hyperlink>
    </w:p>
    <w:p w:rsidR="00063ACE" w:rsidRPr="00063ACE" w:rsidRDefault="003A23CE">
      <w:pPr>
        <w:pStyle w:val="TOC4"/>
      </w:pPr>
      <w:hyperlink w:anchor="_Toc418073802" w:history="1">
        <w:r w:rsidR="00063ACE" w:rsidRPr="00063ACE">
          <w:t>Appendix C – Data used in this report</w:t>
        </w:r>
        <w:r w:rsidR="00063ACE">
          <w:rPr>
            <w:webHidden/>
          </w:rPr>
          <w:tab/>
        </w:r>
        <w:r w:rsidR="00063ACE">
          <w:rPr>
            <w:webHidden/>
          </w:rPr>
          <w:fldChar w:fldCharType="begin"/>
        </w:r>
        <w:r w:rsidR="00063ACE">
          <w:rPr>
            <w:webHidden/>
          </w:rPr>
          <w:instrText xml:space="preserve"> PAGEREF _Toc418073802 \h </w:instrText>
        </w:r>
        <w:r w:rsidR="00063ACE">
          <w:rPr>
            <w:webHidden/>
          </w:rPr>
        </w:r>
        <w:r w:rsidR="00063ACE">
          <w:rPr>
            <w:webHidden/>
          </w:rPr>
          <w:fldChar w:fldCharType="separate"/>
        </w:r>
        <w:r w:rsidR="008B68F4">
          <w:rPr>
            <w:webHidden/>
          </w:rPr>
          <w:t>70</w:t>
        </w:r>
        <w:r w:rsidR="00063ACE">
          <w:rPr>
            <w:webHidden/>
          </w:rPr>
          <w:fldChar w:fldCharType="end"/>
        </w:r>
      </w:hyperlink>
    </w:p>
    <w:p w:rsidR="005A714D" w:rsidRPr="005A714D" w:rsidRDefault="008D2192" w:rsidP="005A714D">
      <w:pPr>
        <w:pStyle w:val="TableofFigures"/>
      </w:pPr>
      <w:r>
        <w:fldChar w:fldCharType="end"/>
      </w:r>
      <w:bookmarkEnd w:id="3"/>
    </w:p>
    <w:p w:rsidR="00E915E6" w:rsidRDefault="00E915E6">
      <w:pPr>
        <w:sectPr w:rsidR="00E915E6" w:rsidSect="00F318EC">
          <w:headerReference w:type="even" r:id="rId18"/>
          <w:headerReference w:type="default" r:id="rId19"/>
          <w:footerReference w:type="even" r:id="rId20"/>
          <w:footerReference w:type="default" r:id="rId21"/>
          <w:pgSz w:w="11906" w:h="16838" w:code="9"/>
          <w:pgMar w:top="1361" w:right="1797" w:bottom="1474" w:left="1797" w:header="284" w:footer="454" w:gutter="0"/>
          <w:pgNumType w:fmt="lowerRoman"/>
          <w:cols w:space="708"/>
          <w:docGrid w:linePitch="360"/>
        </w:sectPr>
      </w:pPr>
    </w:p>
    <w:p w:rsidR="004F1297" w:rsidRDefault="00E915E6" w:rsidP="00A12C39">
      <w:pPr>
        <w:pStyle w:val="Heading1NoNumbering"/>
      </w:pPr>
      <w:bookmarkStart w:id="4" w:name="_Toc415127623"/>
      <w:bookmarkStart w:id="5" w:name="_Toc415127816"/>
      <w:bookmarkStart w:id="6" w:name="_Toc415130132"/>
      <w:bookmarkStart w:id="7" w:name="_Toc415131835"/>
      <w:bookmarkStart w:id="8" w:name="_Toc415222931"/>
      <w:bookmarkStart w:id="9" w:name="_Toc418073720"/>
      <w:r>
        <w:lastRenderedPageBreak/>
        <w:t>Foreword</w:t>
      </w:r>
      <w:bookmarkStart w:id="10" w:name="_ForewordMarker"/>
      <w:bookmarkEnd w:id="4"/>
      <w:bookmarkEnd w:id="5"/>
      <w:bookmarkEnd w:id="6"/>
      <w:bookmarkEnd w:id="7"/>
      <w:bookmarkEnd w:id="8"/>
      <w:bookmarkEnd w:id="9"/>
      <w:bookmarkEnd w:id="10"/>
    </w:p>
    <w:p w:rsidR="00F318EC" w:rsidRDefault="00F318EC" w:rsidP="00FB5FFD">
      <w:pPr>
        <w:pStyle w:val="OverviewBodyText"/>
      </w:pPr>
      <w:r w:rsidRPr="00687D34">
        <w:t>As</w:t>
      </w:r>
      <w:r>
        <w:t xml:space="preserve"> debate and discussion increasingly focuses on the direction of Australian federalism</w:t>
      </w:r>
      <w:r w:rsidRPr="009B4A0F">
        <w:t xml:space="preserve"> </w:t>
      </w:r>
      <w:r>
        <w:t>and options for reform, this report provides an analysis of fiscal trends across all levels of government.</w:t>
      </w:r>
    </w:p>
    <w:p w:rsidR="00695898" w:rsidRDefault="00F318EC" w:rsidP="00FB5FFD">
      <w:pPr>
        <w:pStyle w:val="OverviewBodyText"/>
      </w:pPr>
      <w:r>
        <w:t xml:space="preserve">The report examines revenue, expenditure, net capital investment and the </w:t>
      </w:r>
      <w:r w:rsidR="00695898">
        <w:t>net debt</w:t>
      </w:r>
      <w:r>
        <w:t xml:space="preserve"> position across all le</w:t>
      </w:r>
      <w:r w:rsidR="001B093C">
        <w:t>vels of Australian government.</w:t>
      </w:r>
    </w:p>
    <w:p w:rsidR="00F318EC" w:rsidRDefault="00F318EC" w:rsidP="00FB5FFD">
      <w:pPr>
        <w:pStyle w:val="OverviewBodyText"/>
      </w:pPr>
      <w:r w:rsidRPr="002E4828">
        <w:t>The report focusses on the general government sector</w:t>
      </w:r>
      <w:r w:rsidR="00C24C18">
        <w:t>.  T</w:t>
      </w:r>
      <w:r w:rsidR="00377A32">
        <w:t>he data underlying it are</w:t>
      </w:r>
      <w:r w:rsidRPr="002E4828">
        <w:t xml:space="preserve"> available</w:t>
      </w:r>
      <w:r w:rsidRPr="00906AD8">
        <w:t xml:space="preserve"> from the PBO website.</w:t>
      </w:r>
      <w:r>
        <w:t xml:space="preserve"> </w:t>
      </w:r>
      <w:r w:rsidRPr="00906AD8">
        <w:t xml:space="preserve"> To allow for the most consistent comparison across jurisdictions data </w:t>
      </w:r>
      <w:r w:rsidR="00C24C18">
        <w:t>are</w:t>
      </w:r>
      <w:r w:rsidR="00C24C18" w:rsidRPr="00906AD8">
        <w:t xml:space="preserve"> </w:t>
      </w:r>
      <w:r w:rsidRPr="00906AD8">
        <w:t xml:space="preserve">sourced from the </w:t>
      </w:r>
      <w:r>
        <w:t>Australian Bureau of Statistics (</w:t>
      </w:r>
      <w:r w:rsidRPr="00906AD8">
        <w:t>ABS</w:t>
      </w:r>
      <w:r>
        <w:t>)</w:t>
      </w:r>
      <w:r w:rsidRPr="00906AD8">
        <w:t xml:space="preserve"> from 2002</w:t>
      </w:r>
      <w:r>
        <w:t>–</w:t>
      </w:r>
      <w:r w:rsidRPr="00906AD8">
        <w:t>03 to 2012</w:t>
      </w:r>
      <w:r>
        <w:t>–</w:t>
      </w:r>
      <w:r w:rsidRPr="00906AD8">
        <w:t xml:space="preserve">13 (the most recent ABS observation). </w:t>
      </w:r>
      <w:r>
        <w:t xml:space="preserve"> </w:t>
      </w:r>
      <w:r w:rsidRPr="00906AD8">
        <w:t>From 2013</w:t>
      </w:r>
      <w:r>
        <w:t>–</w:t>
      </w:r>
      <w:r w:rsidRPr="00906AD8">
        <w:t>14 to 2017</w:t>
      </w:r>
      <w:r>
        <w:t>–</w:t>
      </w:r>
      <w:r w:rsidRPr="00906AD8">
        <w:t xml:space="preserve">18 data </w:t>
      </w:r>
      <w:r w:rsidR="00C24C18">
        <w:t>are</w:t>
      </w:r>
      <w:r w:rsidR="00C24C18" w:rsidRPr="00906AD8">
        <w:t xml:space="preserve"> </w:t>
      </w:r>
      <w:r w:rsidRPr="00906AD8">
        <w:t>sourced from Commonwealth, state and territory budgets.</w:t>
      </w:r>
    </w:p>
    <w:p w:rsidR="00F318EC" w:rsidRPr="00687D34" w:rsidRDefault="00F318EC" w:rsidP="00FB5FFD">
      <w:pPr>
        <w:pStyle w:val="OverviewBodyText"/>
      </w:pPr>
      <w:r>
        <w:t xml:space="preserve">The data </w:t>
      </w:r>
      <w:r w:rsidR="00C24C18">
        <w:t xml:space="preserve">are </w:t>
      </w:r>
      <w:r>
        <w:t xml:space="preserve">largely based on the ABS </w:t>
      </w:r>
      <w:r>
        <w:rPr>
          <w:i/>
        </w:rPr>
        <w:t>Government Finance Statistics</w:t>
      </w:r>
      <w:r>
        <w:t xml:space="preserve"> </w:t>
      </w:r>
      <w:r w:rsidR="00F83E66">
        <w:t xml:space="preserve">(GFS) </w:t>
      </w:r>
      <w:r>
        <w:t>series and budget data published by governments.</w:t>
      </w:r>
    </w:p>
    <w:p w:rsidR="00F318EC" w:rsidRDefault="00F318EC" w:rsidP="00FB5FFD">
      <w:pPr>
        <w:pStyle w:val="OverviewBodyText"/>
      </w:pPr>
      <w:r w:rsidRPr="00494F3C">
        <w:t>I would like to thank the PBO staff involved in the preparation of this report Tim</w:t>
      </w:r>
      <w:r>
        <w:t> </w:t>
      </w:r>
      <w:r w:rsidRPr="00494F3C">
        <w:t>Pyne, Paul</w:t>
      </w:r>
      <w:r>
        <w:t> Gardiner, Nutan Singh, Daniel Zeaiter, Holly Hart and Anupam </w:t>
      </w:r>
      <w:r w:rsidRPr="00494F3C">
        <w:t>Sharma.</w:t>
      </w:r>
      <w:r w:rsidR="00EB5790">
        <w:t xml:space="preserve">  The report was prepared for publication by Louise Milligan and Helen Moorhouse.</w:t>
      </w:r>
    </w:p>
    <w:p w:rsidR="00C80200" w:rsidRDefault="00F318EC" w:rsidP="00FB5FFD">
      <w:pPr>
        <w:pStyle w:val="OverviewBodyText"/>
      </w:pPr>
      <w:r>
        <w:t>I</w:t>
      </w:r>
      <w:r w:rsidRPr="00687D34">
        <w:t xml:space="preserve"> also wish to thank the external referees who provided helpful comments and suggestions on the report, </w:t>
      </w:r>
      <w:r w:rsidRPr="00DF331A">
        <w:t xml:space="preserve">namely </w:t>
      </w:r>
      <w:r w:rsidR="00D04E5C">
        <w:t xml:space="preserve">the Grattan Institute; </w:t>
      </w:r>
      <w:r w:rsidR="00C52D4B">
        <w:t xml:space="preserve">and </w:t>
      </w:r>
      <w:r w:rsidR="00D04E5C">
        <w:t>Professor Miranda Stewart, Director, Tax and Transfers Policy Institute, Australian National</w:t>
      </w:r>
      <w:r w:rsidR="00C52D4B">
        <w:t xml:space="preserve"> University</w:t>
      </w:r>
      <w:r w:rsidR="00D04E5C">
        <w:t xml:space="preserve">. </w:t>
      </w:r>
      <w:r w:rsidRPr="00687D34">
        <w:t>The assistance of external reviewers does not imply any responsibility on their part for the content of the final report, which rests solely with the PBO.</w:t>
      </w:r>
    </w:p>
    <w:p w:rsidR="00351F62" w:rsidRDefault="00F318EC" w:rsidP="00925603">
      <w:pPr>
        <w:spacing w:before="960"/>
      </w:pPr>
      <w:r>
        <w:t xml:space="preserve">Phil Bowen </w:t>
      </w:r>
      <w:r w:rsidR="00C24C18">
        <w:t xml:space="preserve">PSM </w:t>
      </w:r>
      <w:r>
        <w:t>FCPA</w:t>
      </w:r>
    </w:p>
    <w:p w:rsidR="00351F62" w:rsidRDefault="00F318EC" w:rsidP="00925603">
      <w:pPr>
        <w:spacing w:after="114"/>
      </w:pPr>
      <w:r>
        <w:t>Parliamentary Budget Officer</w:t>
      </w:r>
    </w:p>
    <w:sdt>
      <w:sdtPr>
        <w:alias w:val="Date"/>
        <w:tag w:val="Date"/>
        <w:id w:val="-226846581"/>
        <w:placeholder>
          <w:docPart w:val="060FEDB8EF4B47F5B8759F6AEF410E02"/>
        </w:placeholder>
        <w:date w:fullDate="2015-04-29T00:00:00Z">
          <w:dateFormat w:val="d MMMM yyyy"/>
          <w:lid w:val="en-AU"/>
          <w:storeMappedDataAs w:val="dateTime"/>
          <w:calendar w:val="gregorian"/>
        </w:date>
      </w:sdtPr>
      <w:sdtEndPr/>
      <w:sdtContent>
        <w:p w:rsidR="00EA6EB3" w:rsidRDefault="00377A32" w:rsidP="00351F62">
          <w:r w:rsidRPr="00E638E2">
            <w:t>29 April 2015</w:t>
          </w:r>
        </w:p>
      </w:sdtContent>
    </w:sdt>
    <w:p w:rsidR="00EA6EB3" w:rsidRDefault="00EA6EB3">
      <w:pPr>
        <w:sectPr w:rsidR="00EA6EB3" w:rsidSect="00F318EC">
          <w:footerReference w:type="default" r:id="rId22"/>
          <w:pgSz w:w="11906" w:h="16838" w:code="9"/>
          <w:pgMar w:top="1361" w:right="1797" w:bottom="1474" w:left="1797" w:header="284" w:footer="454" w:gutter="0"/>
          <w:pgNumType w:fmt="lowerRoman"/>
          <w:cols w:space="708"/>
          <w:docGrid w:linePitch="360"/>
        </w:sectPr>
      </w:pPr>
    </w:p>
    <w:p w:rsidR="00903E3F" w:rsidRPr="00C51D0B" w:rsidRDefault="000A348F" w:rsidP="00FB5FFD">
      <w:pPr>
        <w:pStyle w:val="Heading1NoNumbering"/>
      </w:pPr>
      <w:bookmarkStart w:id="11" w:name="_Toc415127624"/>
      <w:bookmarkStart w:id="12" w:name="_Toc415127817"/>
      <w:bookmarkStart w:id="13" w:name="_Toc415130133"/>
      <w:bookmarkStart w:id="14" w:name="_Toc415131836"/>
      <w:bookmarkStart w:id="15" w:name="_Toc415222932"/>
      <w:bookmarkStart w:id="16" w:name="_Toc418073721"/>
      <w:r w:rsidRPr="00C51D0B">
        <w:lastRenderedPageBreak/>
        <w:t>Overview</w:t>
      </w:r>
      <w:bookmarkStart w:id="17" w:name="_OverviewMarker"/>
      <w:bookmarkEnd w:id="11"/>
      <w:bookmarkEnd w:id="12"/>
      <w:bookmarkEnd w:id="13"/>
      <w:bookmarkEnd w:id="14"/>
      <w:bookmarkEnd w:id="15"/>
      <w:bookmarkEnd w:id="16"/>
      <w:bookmarkEnd w:id="17"/>
    </w:p>
    <w:p w:rsidR="00F318EC" w:rsidRPr="00FB5FFD" w:rsidRDefault="00F318EC" w:rsidP="00FB5FFD">
      <w:pPr>
        <w:pStyle w:val="OverviewBodyText"/>
      </w:pPr>
      <w:r w:rsidRPr="00FB5FFD">
        <w:t>The Australian national fiscal position (Commonwealth and states and territories general government sector)</w:t>
      </w:r>
      <w:r w:rsidR="001064E2" w:rsidRPr="00987B7D">
        <w:rPr>
          <w:rStyle w:val="FootnoteReference"/>
        </w:rPr>
        <w:footnoteReference w:id="1"/>
      </w:r>
      <w:r w:rsidRPr="00FB5FFD">
        <w:t xml:space="preserve"> deteriorated significantly over the past decade.  The fiscal balance moved from a surplus of 0.9 per cent of GDP in 2002–03 to a deficit of 2.4 per cent of GDP in 2012–13.  The deterioration of the national fiscal balance resulted in national net debt increasing from 2.1 per cent of GDP in 2002–03 to 12.4 per cent of GDP in 2012–13.  The deterioration in the net debt position is even starker when considering that in 2007–08 </w:t>
      </w:r>
      <w:r w:rsidR="009444E2" w:rsidRPr="00FB5FFD">
        <w:t>Australia had negative net debt</w:t>
      </w:r>
      <w:r w:rsidR="0090065B" w:rsidRPr="00FB5FFD">
        <w:t xml:space="preserve"> </w:t>
      </w:r>
      <w:r w:rsidRPr="00FB5FFD">
        <w:t>of 6.8 per cent of GDP.</w:t>
      </w:r>
    </w:p>
    <w:p w:rsidR="00F318EC" w:rsidRPr="00FB5FFD" w:rsidRDefault="00F318EC" w:rsidP="00FB5FFD">
      <w:pPr>
        <w:pStyle w:val="OverviewBodyText"/>
      </w:pPr>
      <w:r w:rsidRPr="00FB5FFD">
        <w:t xml:space="preserve">The deterioration in the national fiscal balance from a surplus to deficit position and the consequent rise in </w:t>
      </w:r>
      <w:r w:rsidR="001C3C92" w:rsidRPr="00FB5FFD">
        <w:t xml:space="preserve">national </w:t>
      </w:r>
      <w:r w:rsidRPr="00FB5FFD">
        <w:t xml:space="preserve">net debt were largely driven by the deterioration in the Commonwealth’s fiscal position.  The Commonwealth’s fiscal balance moved into deficit in the middle of the past decade and while recovering somewhat has remained in deficit.  The deterioration in the </w:t>
      </w:r>
      <w:r w:rsidR="00B67697" w:rsidRPr="00FB5FFD">
        <w:t xml:space="preserve">Commonwealth’s </w:t>
      </w:r>
      <w:r w:rsidRPr="00FB5FFD">
        <w:t>fiscal balance occurred as expenses growth significantly exceeded revenue growth over the past decade.</w:t>
      </w:r>
    </w:p>
    <w:p w:rsidR="00F318EC" w:rsidRPr="00FB5FFD" w:rsidRDefault="00AB613A" w:rsidP="00FB5FFD">
      <w:pPr>
        <w:pStyle w:val="OverviewBodyText"/>
      </w:pPr>
      <w:r w:rsidRPr="00FB5FFD">
        <w:t xml:space="preserve">The fiscal balance of the states also deteriorated over the past decade largely due to </w:t>
      </w:r>
      <w:r w:rsidR="007F083C" w:rsidRPr="00FB5FFD">
        <w:t xml:space="preserve">expenses growth exceeding </w:t>
      </w:r>
      <w:r w:rsidRPr="00FB5FFD">
        <w:t xml:space="preserve">revenue </w:t>
      </w:r>
      <w:r w:rsidR="00C608CF" w:rsidRPr="00FB5FFD">
        <w:t>growth (</w:t>
      </w:r>
      <w:r w:rsidR="005A7572" w:rsidRPr="00FB5FFD">
        <w:t>which reflected slower growth in GST transfers)</w:t>
      </w:r>
      <w:r w:rsidRPr="00FB5FFD">
        <w:t xml:space="preserve">, together with strong growth in state funded net capital investment. </w:t>
      </w:r>
      <w:r w:rsidR="001B093C" w:rsidRPr="00FB5FFD">
        <w:t xml:space="preserve"> </w:t>
      </w:r>
      <w:r w:rsidR="00F318EC" w:rsidRPr="00FB5FFD">
        <w:t>The deterioration in the states’ fiscal balance was significantly smaller than the Commonwealth</w:t>
      </w:r>
      <w:r w:rsidR="003100B5" w:rsidRPr="00FB5FFD">
        <w:t>’s</w:t>
      </w:r>
      <w:r w:rsidR="00F318EC" w:rsidRPr="00FB5FFD">
        <w:t>.  As a consequence, states’ net debt experienced a more modest rise than the Commonwealth</w:t>
      </w:r>
      <w:r w:rsidR="003100B5" w:rsidRPr="00FB5FFD">
        <w:t>’s</w:t>
      </w:r>
      <w:r w:rsidR="00F318EC" w:rsidRPr="00FB5FFD">
        <w:t>.</w:t>
      </w:r>
    </w:p>
    <w:p w:rsidR="00627EDF" w:rsidRPr="00FB5FFD" w:rsidRDefault="00F318EC" w:rsidP="00FB5FFD">
      <w:pPr>
        <w:pStyle w:val="OverviewBodyText"/>
      </w:pPr>
      <w:r w:rsidRPr="00FB5FFD">
        <w:t xml:space="preserve">Looking ahead, </w:t>
      </w:r>
      <w:r w:rsidR="00CE4214" w:rsidRPr="00FB5FFD">
        <w:t xml:space="preserve">the latest </w:t>
      </w:r>
      <w:r w:rsidRPr="00FB5FFD">
        <w:t>Commonwealth and state budget papers indicate that the national fiscal deficit is projected to improve over the forward estimates period to a deficit of 0.4</w:t>
      </w:r>
      <w:r w:rsidR="00C14DA6" w:rsidRPr="00FB5FFD">
        <w:t> </w:t>
      </w:r>
      <w:r w:rsidRPr="00FB5FFD">
        <w:t>per</w:t>
      </w:r>
      <w:r w:rsidR="00C14DA6" w:rsidRPr="00FB5FFD">
        <w:t> </w:t>
      </w:r>
      <w:r w:rsidRPr="00FB5FFD">
        <w:t xml:space="preserve">cent of GDP in 2017–18.  </w:t>
      </w:r>
      <w:r w:rsidR="00627EDF" w:rsidRPr="00FB5FFD">
        <w:t>National net debt is projected to peak at 19.9 per cent of GDP in 2016–17 before falling to 19.5 per cent of GDP in 2017–18.</w:t>
      </w:r>
    </w:p>
    <w:p w:rsidR="00627EDF" w:rsidRPr="00FB5FFD" w:rsidRDefault="00F318EC" w:rsidP="00FB5FFD">
      <w:pPr>
        <w:pStyle w:val="OverviewBodyText"/>
      </w:pPr>
      <w:r w:rsidRPr="00FB5FFD">
        <w:t xml:space="preserve">The projected improvement in the Commonwealth fiscal position reflects a combination of </w:t>
      </w:r>
      <w:r w:rsidR="00B67697" w:rsidRPr="00FB5FFD">
        <w:t>projected</w:t>
      </w:r>
      <w:r w:rsidR="00695898" w:rsidRPr="00FB5FFD">
        <w:t xml:space="preserve"> </w:t>
      </w:r>
      <w:r w:rsidRPr="00FB5FFD">
        <w:t xml:space="preserve">strong revenue growth and a significant slowing in expenses growth.  The projected improvement in the states’ fiscal position reflects a combination of a </w:t>
      </w:r>
      <w:r w:rsidR="00B67697" w:rsidRPr="00FB5FFD">
        <w:t xml:space="preserve">projected </w:t>
      </w:r>
      <w:r w:rsidRPr="00FB5FFD">
        <w:t>significant slowing in expenses growth and a significant decline in</w:t>
      </w:r>
      <w:r w:rsidR="001B093C" w:rsidRPr="00FB5FFD">
        <w:t xml:space="preserve"> state net capital investment.</w:t>
      </w:r>
    </w:p>
    <w:p w:rsidR="00B67697" w:rsidRPr="00FB5FFD" w:rsidRDefault="00F318EC" w:rsidP="00FB5FFD">
      <w:pPr>
        <w:pStyle w:val="OverviewBodyText"/>
      </w:pPr>
      <w:r w:rsidRPr="00FB5FFD">
        <w:t xml:space="preserve">The improvement in the budget position projected by the Commonwealth and states is subject to a number of uncertainties.  </w:t>
      </w:r>
      <w:r w:rsidR="00CC6558" w:rsidRPr="00FB5FFD">
        <w:t xml:space="preserve">In the case of the Commonwealth, the </w:t>
      </w:r>
      <w:r w:rsidR="00CE4214" w:rsidRPr="00FB5FFD">
        <w:t xml:space="preserve">projected </w:t>
      </w:r>
      <w:r w:rsidR="00CC6558" w:rsidRPr="00FB5FFD">
        <w:t xml:space="preserve">improvement </w:t>
      </w:r>
      <w:r w:rsidR="00CE4214" w:rsidRPr="00FB5FFD">
        <w:t>in</w:t>
      </w:r>
      <w:r w:rsidR="00CC6558" w:rsidRPr="00FB5FFD">
        <w:t xml:space="preserve"> the fiscal balance is contingent on a </w:t>
      </w:r>
      <w:r w:rsidR="00CE4214" w:rsidRPr="00FB5FFD">
        <w:t xml:space="preserve">projected </w:t>
      </w:r>
      <w:r w:rsidR="00CC6558" w:rsidRPr="00FB5FFD">
        <w:t>strong recovery in economic growth</w:t>
      </w:r>
      <w:r w:rsidR="00B67697" w:rsidRPr="00FB5FFD">
        <w:t xml:space="preserve"> and significantly reduced spending </w:t>
      </w:r>
      <w:r w:rsidR="00965BC2" w:rsidRPr="00FB5FFD">
        <w:t>growth</w:t>
      </w:r>
      <w:r w:rsidR="001B093C" w:rsidRPr="00FB5FFD">
        <w:t>.</w:t>
      </w:r>
    </w:p>
    <w:p w:rsidR="00FB5FFD" w:rsidRDefault="00CC6558" w:rsidP="00FB5FFD">
      <w:pPr>
        <w:pStyle w:val="OverviewBodyText"/>
      </w:pPr>
      <w:r w:rsidRPr="00FB5FFD">
        <w:t>Since the 2014</w:t>
      </w:r>
      <w:r w:rsidR="00B83B8A">
        <w:t>–</w:t>
      </w:r>
      <w:r w:rsidRPr="00FB5FFD">
        <w:t xml:space="preserve">15 MYEFO, more recent </w:t>
      </w:r>
      <w:r w:rsidR="00B67697" w:rsidRPr="00FB5FFD">
        <w:t xml:space="preserve">economic </w:t>
      </w:r>
      <w:r w:rsidRPr="00FB5FFD">
        <w:t>forecasts</w:t>
      </w:r>
      <w:r w:rsidR="00B67697" w:rsidRPr="00FB5FFD">
        <w:t>,</w:t>
      </w:r>
      <w:r w:rsidRPr="00FB5FFD">
        <w:t xml:space="preserve"> such as contained in the RBA’s February Statement on Monetary Policy</w:t>
      </w:r>
      <w:r w:rsidR="00B67697" w:rsidRPr="00FB5FFD">
        <w:t>,</w:t>
      </w:r>
      <w:r w:rsidRPr="00FB5FFD">
        <w:t xml:space="preserve"> point to a softening in the economic outlook.</w:t>
      </w:r>
      <w:r w:rsidR="00FB5FFD">
        <w:br w:type="page"/>
      </w:r>
    </w:p>
    <w:p w:rsidR="00CC6558" w:rsidRPr="00FB5FFD" w:rsidRDefault="00CC6558" w:rsidP="00FB5FFD">
      <w:pPr>
        <w:pStyle w:val="OverviewBodyText"/>
      </w:pPr>
      <w:r w:rsidRPr="00FB5FFD">
        <w:lastRenderedPageBreak/>
        <w:t>In addition, the recent falls in mineral commodity prices, particularly iron ore prices, are expected to put further downward pressure on Commonwealth revenues.</w:t>
      </w:r>
      <w:r w:rsidR="00B67697" w:rsidRPr="00FB5FFD">
        <w:t xml:space="preserve">  </w:t>
      </w:r>
      <w:r w:rsidRPr="00FB5FFD">
        <w:t xml:space="preserve">The </w:t>
      </w:r>
      <w:r w:rsidR="00CE4214" w:rsidRPr="00FB5FFD">
        <w:t>projected</w:t>
      </w:r>
      <w:r w:rsidRPr="00FB5FFD">
        <w:t xml:space="preserve"> reduction in Commonwealth spending growth is reliant on the </w:t>
      </w:r>
      <w:r w:rsidR="00CE4214" w:rsidRPr="00FB5FFD">
        <w:t xml:space="preserve">Parliament </w:t>
      </w:r>
      <w:r w:rsidRPr="00FB5FFD">
        <w:t xml:space="preserve">passing significant </w:t>
      </w:r>
      <w:r w:rsidR="00CE4214" w:rsidRPr="00FB5FFD">
        <w:t xml:space="preserve">savings measures that, to date, remain </w:t>
      </w:r>
      <w:r w:rsidRPr="00FB5FFD">
        <w:t>unlegislated</w:t>
      </w:r>
      <w:r w:rsidR="00C14DA6" w:rsidRPr="00FB5FFD">
        <w:t xml:space="preserve">, and </w:t>
      </w:r>
      <w:r w:rsidRPr="00FB5FFD">
        <w:t xml:space="preserve">the states assuming a greater proportion of funding </w:t>
      </w:r>
      <w:r w:rsidR="009A4BAB" w:rsidRPr="00FB5FFD">
        <w:t>for</w:t>
      </w:r>
      <w:r w:rsidRPr="00FB5FFD">
        <w:t xml:space="preserve"> hospital</w:t>
      </w:r>
      <w:r w:rsidR="00F0301D" w:rsidRPr="00FB5FFD">
        <w:t>s</w:t>
      </w:r>
      <w:r w:rsidRPr="00FB5FFD">
        <w:t xml:space="preserve"> </w:t>
      </w:r>
      <w:r w:rsidR="00F0301D" w:rsidRPr="00FB5FFD">
        <w:t>and, to a lesser extent, schools</w:t>
      </w:r>
      <w:r w:rsidRPr="00FB5FFD">
        <w:t>.</w:t>
      </w:r>
    </w:p>
    <w:p w:rsidR="000311CB" w:rsidRPr="00FB5FFD" w:rsidRDefault="000311CB" w:rsidP="00FB5FFD">
      <w:pPr>
        <w:pStyle w:val="OverviewBodyText"/>
      </w:pPr>
      <w:r w:rsidRPr="00FB5FFD">
        <w:t xml:space="preserve">The states’ revenue outlook is also expected to be impacted by the recent fall in mineral commodity prices and hence state royalty revenue.  The effect of the GST distribution </w:t>
      </w:r>
      <w:r w:rsidR="00F0301D" w:rsidRPr="00FB5FFD">
        <w:t>arrangements</w:t>
      </w:r>
      <w:r w:rsidRPr="00FB5FFD">
        <w:t>, which take into account each state</w:t>
      </w:r>
      <w:r w:rsidR="00CE4214" w:rsidRPr="00FB5FFD">
        <w:t>’</w:t>
      </w:r>
      <w:r w:rsidRPr="00FB5FFD">
        <w:t>s capacity to raise revenue, means th</w:t>
      </w:r>
      <w:r w:rsidR="006F5139" w:rsidRPr="00FB5FFD">
        <w:t>e</w:t>
      </w:r>
      <w:r w:rsidRPr="00FB5FFD">
        <w:t xml:space="preserve"> fall in royalty revenue will impact on all states. </w:t>
      </w:r>
      <w:r w:rsidR="00C85CA9" w:rsidRPr="00FB5FFD">
        <w:t xml:space="preserve"> </w:t>
      </w:r>
      <w:r w:rsidRPr="00FB5FFD">
        <w:t xml:space="preserve">The upward pressure </w:t>
      </w:r>
      <w:r w:rsidR="0083035E" w:rsidRPr="00FB5FFD">
        <w:t xml:space="preserve">on </w:t>
      </w:r>
      <w:r w:rsidR="00F0301D" w:rsidRPr="00FB5FFD">
        <w:t xml:space="preserve">state </w:t>
      </w:r>
      <w:r w:rsidR="0083035E" w:rsidRPr="00FB5FFD">
        <w:t xml:space="preserve">spending </w:t>
      </w:r>
      <w:r w:rsidR="00F0301D" w:rsidRPr="00FB5FFD">
        <w:t xml:space="preserve">resulting from </w:t>
      </w:r>
      <w:r w:rsidRPr="00FB5FFD">
        <w:t xml:space="preserve">the reduction in growth in Commonwealth funding for hospitals </w:t>
      </w:r>
      <w:r w:rsidR="00965BC2" w:rsidRPr="00FB5FFD">
        <w:t xml:space="preserve">and schools </w:t>
      </w:r>
      <w:r w:rsidRPr="00FB5FFD">
        <w:t>is yet to be fully incorporated into state budget forecasts.</w:t>
      </w:r>
    </w:p>
    <w:p w:rsidR="00F318EC" w:rsidRPr="00FB5FFD" w:rsidRDefault="00F318EC" w:rsidP="00FB5FFD">
      <w:pPr>
        <w:pStyle w:val="OverviewBodyText"/>
      </w:pPr>
      <w:r w:rsidRPr="00FB5FFD">
        <w:t xml:space="preserve">The key </w:t>
      </w:r>
      <w:r w:rsidR="00733F18" w:rsidRPr="00FB5FFD">
        <w:t>revenue, expense and net capital investment trends underlying</w:t>
      </w:r>
      <w:r w:rsidRPr="00FB5FFD">
        <w:t xml:space="preserve"> these aggregate national fiscal trends are set out below.</w:t>
      </w:r>
    </w:p>
    <w:p w:rsidR="00F318EC" w:rsidRPr="002E4828" w:rsidRDefault="00F318EC" w:rsidP="00F318EC">
      <w:pPr>
        <w:pStyle w:val="OverviewHeading2"/>
      </w:pPr>
      <w:r w:rsidRPr="002E4828">
        <w:t>Revenue trends and outlook</w:t>
      </w:r>
    </w:p>
    <w:p w:rsidR="00F318EC" w:rsidRPr="00CE633C" w:rsidRDefault="00F318EC" w:rsidP="00F318EC">
      <w:pPr>
        <w:pStyle w:val="OverviewBodyText"/>
      </w:pPr>
      <w:r w:rsidRPr="00CE633C">
        <w:t xml:space="preserve">Total </w:t>
      </w:r>
      <w:r w:rsidR="00BA6EF6">
        <w:t xml:space="preserve">national </w:t>
      </w:r>
      <w:r w:rsidRPr="00CE633C">
        <w:t xml:space="preserve">revenue declined </w:t>
      </w:r>
      <w:r w:rsidR="00DA61AE">
        <w:t xml:space="preserve">over the past decade </w:t>
      </w:r>
      <w:r w:rsidRPr="00CE633C">
        <w:t>by around 2 percentage points</w:t>
      </w:r>
      <w:r w:rsidR="00EA6068">
        <w:t xml:space="preserve"> of GDP</w:t>
      </w:r>
      <w:r w:rsidRPr="00CE633C">
        <w:t xml:space="preserve"> </w:t>
      </w:r>
      <w:r>
        <w:t>from 35</w:t>
      </w:r>
      <w:r w:rsidR="00141B11">
        <w:t>.0</w:t>
      </w:r>
      <w:r>
        <w:t xml:space="preserve"> per cent in 2002–</w:t>
      </w:r>
      <w:r w:rsidRPr="00CE633C">
        <w:t>03 to 33.</w:t>
      </w:r>
      <w:r w:rsidR="00620877">
        <w:t>2</w:t>
      </w:r>
      <w:r w:rsidRPr="00CE633C">
        <w:t xml:space="preserve"> per cent in 2012</w:t>
      </w:r>
      <w:r>
        <w:t>–</w:t>
      </w:r>
      <w:r w:rsidRPr="00CE633C">
        <w:t>13.  Th</w:t>
      </w:r>
      <w:r w:rsidR="00EA6068">
        <w:t>is</w:t>
      </w:r>
      <w:r w:rsidR="00DA61AE">
        <w:t xml:space="preserve"> resulted</w:t>
      </w:r>
      <w:r w:rsidR="00EA6068">
        <w:t xml:space="preserve"> mainly </w:t>
      </w:r>
      <w:r w:rsidR="00DA61AE">
        <w:t>from</w:t>
      </w:r>
      <w:r w:rsidRPr="00CE633C">
        <w:t xml:space="preserve"> a significant decline in Commonwealth revenue (excluding transfers) from 18.8 per cent of GDP to 17.5 per cent, through falls in personal income tax and excise and customs duties.  Commonwealth revenue also exhibited significant volatility over the past decade reflecting the impact of tax cuts and volatility in income growth and asset prices.</w:t>
      </w:r>
    </w:p>
    <w:p w:rsidR="00F318EC" w:rsidRPr="00CE633C" w:rsidRDefault="00F318EC" w:rsidP="00F318EC">
      <w:pPr>
        <w:pStyle w:val="OverviewBodyText"/>
      </w:pPr>
      <w:r w:rsidRPr="00CE633C">
        <w:t>In contrast, state own</w:t>
      </w:r>
      <w:r>
        <w:noBreakHyphen/>
      </w:r>
      <w:r w:rsidRPr="00CE633C">
        <w:t xml:space="preserve">source revenue </w:t>
      </w:r>
      <w:r w:rsidR="000D7306">
        <w:t xml:space="preserve">over the past decade </w:t>
      </w:r>
      <w:r w:rsidRPr="00CE633C">
        <w:t xml:space="preserve">was </w:t>
      </w:r>
      <w:r w:rsidR="00BA6EF6">
        <w:t xml:space="preserve">relatively </w:t>
      </w:r>
      <w:r w:rsidRPr="00CE633C">
        <w:t>stable</w:t>
      </w:r>
      <w:r w:rsidR="002F2856">
        <w:t xml:space="preserve"> as a proportion of GDP</w:t>
      </w:r>
      <w:r w:rsidRPr="00CE633C">
        <w:t xml:space="preserve">.  </w:t>
      </w:r>
      <w:r w:rsidR="000D7306">
        <w:t>S</w:t>
      </w:r>
      <w:r w:rsidRPr="00CE633C">
        <w:t xml:space="preserve">tate property and payroll taxes were </w:t>
      </w:r>
      <w:r w:rsidR="00EA6068">
        <w:t xml:space="preserve">relatively </w:t>
      </w:r>
      <w:r w:rsidRPr="00CE633C">
        <w:t xml:space="preserve">stable, while rising royalty revenue was largely offset </w:t>
      </w:r>
      <w:r w:rsidR="002F2856">
        <w:t>by</w:t>
      </w:r>
      <w:r w:rsidR="002F2856" w:rsidRPr="00CE633C">
        <w:t xml:space="preserve"> </w:t>
      </w:r>
      <w:r w:rsidRPr="00CE633C">
        <w:t>declining conveyancing stamp duty.</w:t>
      </w:r>
    </w:p>
    <w:p w:rsidR="00F318EC" w:rsidRPr="00CE633C" w:rsidRDefault="00F318EC" w:rsidP="00F318EC">
      <w:pPr>
        <w:pStyle w:val="OverviewBodyText"/>
      </w:pPr>
      <w:r w:rsidRPr="00CE633C">
        <w:t>Commonwealth transfers to the states, which are made up of general revenue assistance and specific purpose payments, comprise around 42 per cent of total state revenue.  Commonwealth transfers declined as a per cent of GDP from 6.9 per cent in 2002</w:t>
      </w:r>
      <w:r>
        <w:t>–</w:t>
      </w:r>
      <w:r w:rsidRPr="00CE633C">
        <w:t>03 to 6.2 per cent in 2012</w:t>
      </w:r>
      <w:r>
        <w:t>–</w:t>
      </w:r>
      <w:r w:rsidRPr="00CE633C">
        <w:t xml:space="preserve">13 (reflecting a steady decline in general revenue assistance) with specific purpose payments rising as a share of total transfers, </w:t>
      </w:r>
      <w:r w:rsidR="000D7306">
        <w:t xml:space="preserve">thereby </w:t>
      </w:r>
      <w:r w:rsidRPr="00CE633C">
        <w:t xml:space="preserve">reducing the </w:t>
      </w:r>
      <w:r w:rsidR="000D7306">
        <w:t xml:space="preserve">proportion of flexible funding </w:t>
      </w:r>
      <w:r w:rsidRPr="00CE633C">
        <w:t>availab</w:t>
      </w:r>
      <w:r w:rsidR="000D7306">
        <w:t>le</w:t>
      </w:r>
      <w:r w:rsidRPr="00CE633C">
        <w:t xml:space="preserve"> to the states.</w:t>
      </w:r>
    </w:p>
    <w:p w:rsidR="007F083C" w:rsidRPr="00B23DA1" w:rsidRDefault="00F318EC" w:rsidP="00F318EC">
      <w:pPr>
        <w:pStyle w:val="OverviewBodyText"/>
      </w:pPr>
      <w:r w:rsidRPr="00B23DA1">
        <w:t xml:space="preserve">Commonwealth and state budget papers indicate that total </w:t>
      </w:r>
      <w:r w:rsidR="00BA6EF6" w:rsidRPr="00B23DA1">
        <w:t xml:space="preserve">national </w:t>
      </w:r>
      <w:r w:rsidRPr="00B23DA1">
        <w:t>revenue is projected to increase over the forward estimates period, rising to 35</w:t>
      </w:r>
      <w:r w:rsidR="00141B11" w:rsidRPr="00B23DA1">
        <w:t>.0</w:t>
      </w:r>
      <w:r w:rsidRPr="00B23DA1">
        <w:t xml:space="preserve"> per cent of GDP by 2017–18.  </w:t>
      </w:r>
      <w:r w:rsidR="007F083C" w:rsidRPr="00B23DA1">
        <w:t xml:space="preserve">The </w:t>
      </w:r>
      <w:r w:rsidR="000D7306" w:rsidRPr="00B23DA1">
        <w:t xml:space="preserve">projected </w:t>
      </w:r>
      <w:r w:rsidR="007F083C" w:rsidRPr="00B23DA1">
        <w:t xml:space="preserve">recovery is largely driven by Commonwealth revenue, </w:t>
      </w:r>
      <w:r w:rsidR="004E2C9F">
        <w:t xml:space="preserve">in particular by </w:t>
      </w:r>
      <w:r w:rsidR="007F083C" w:rsidRPr="00B23DA1">
        <w:t>an increase in personal in</w:t>
      </w:r>
      <w:r w:rsidR="008617A8">
        <w:t>come tax due to bracket creep.</w:t>
      </w:r>
    </w:p>
    <w:p w:rsidR="00F318EC" w:rsidRPr="00CE633C" w:rsidRDefault="006F0678" w:rsidP="00F318EC">
      <w:pPr>
        <w:pStyle w:val="OverviewBodyText"/>
      </w:pPr>
      <w:r>
        <w:t>T</w:t>
      </w:r>
      <w:r w:rsidR="00A36D6A" w:rsidRPr="00B23DA1">
        <w:t>he</w:t>
      </w:r>
      <w:r w:rsidR="00F318EC" w:rsidRPr="00B23DA1">
        <w:t xml:space="preserve"> </w:t>
      </w:r>
      <w:r>
        <w:t xml:space="preserve">projected </w:t>
      </w:r>
      <w:r w:rsidR="00F318EC" w:rsidRPr="00B23DA1">
        <w:t xml:space="preserve">recovery </w:t>
      </w:r>
      <w:r w:rsidR="00A36D6A" w:rsidRPr="00B23DA1">
        <w:t xml:space="preserve">in national revenue </w:t>
      </w:r>
      <w:r w:rsidR="00F318EC" w:rsidRPr="00B23DA1">
        <w:t>is</w:t>
      </w:r>
      <w:r>
        <w:t>, however,</w:t>
      </w:r>
      <w:r w:rsidR="00F318EC" w:rsidRPr="00B23DA1">
        <w:t xml:space="preserve"> not without uncertainty at both the </w:t>
      </w:r>
      <w:r w:rsidR="001B093C" w:rsidRPr="00B23DA1">
        <w:t>Commonwealth and state levels.</w:t>
      </w:r>
      <w:r w:rsidR="007F083C" w:rsidRPr="00B23DA1">
        <w:t xml:space="preserve">  T</w:t>
      </w:r>
      <w:r w:rsidR="00CC6558" w:rsidRPr="00B23DA1">
        <w:t xml:space="preserve">he recent falls in mineral commodity prices, particularly iron ore, is expected to put further downward pressure on Commonwealth </w:t>
      </w:r>
      <w:r w:rsidR="00A36D6A" w:rsidRPr="00B23DA1">
        <w:t xml:space="preserve">and state </w:t>
      </w:r>
      <w:r w:rsidR="00CC6558" w:rsidRPr="00B23DA1">
        <w:t>revenues.</w:t>
      </w:r>
    </w:p>
    <w:p w:rsidR="008617A8" w:rsidRDefault="00F318EC" w:rsidP="00F318EC">
      <w:pPr>
        <w:pStyle w:val="OverviewBodyText"/>
      </w:pPr>
      <w:r w:rsidRPr="00B23DA1">
        <w:t xml:space="preserve">Commonwealth budget papers </w:t>
      </w:r>
      <w:r w:rsidR="00AF361D" w:rsidRPr="00B23DA1">
        <w:t>(2014-15 MYEFO)</w:t>
      </w:r>
      <w:r w:rsidR="00627EDF" w:rsidRPr="00B23DA1">
        <w:t xml:space="preserve"> </w:t>
      </w:r>
      <w:r w:rsidRPr="00B23DA1">
        <w:t xml:space="preserve">indicate that transfers </w:t>
      </w:r>
      <w:r w:rsidR="002710FC" w:rsidRPr="00B23DA1">
        <w:t>are forecast to increase</w:t>
      </w:r>
      <w:r w:rsidRPr="00B23DA1">
        <w:t xml:space="preserve"> to </w:t>
      </w:r>
      <w:r w:rsidR="002710FC" w:rsidRPr="00B23DA1">
        <w:t xml:space="preserve">6.5 per cent of GDP by </w:t>
      </w:r>
      <w:r w:rsidRPr="00B23DA1">
        <w:t xml:space="preserve">2016–17 before dropping </w:t>
      </w:r>
      <w:r w:rsidR="002710FC" w:rsidRPr="00B23DA1">
        <w:t xml:space="preserve">to 6.2 per cent </w:t>
      </w:r>
      <w:r w:rsidRPr="00B23DA1">
        <w:t>in 2017–18 due to the impact of the proposed indexation changes for Commonwealth fun</w:t>
      </w:r>
      <w:r w:rsidR="008617A8">
        <w:t>ding of hospitals and schools.</w:t>
      </w:r>
      <w:r w:rsidR="008617A8">
        <w:br w:type="page"/>
      </w:r>
    </w:p>
    <w:p w:rsidR="00F318EC" w:rsidRDefault="00F318EC" w:rsidP="00F318EC">
      <w:pPr>
        <w:pStyle w:val="OverviewBodyText"/>
      </w:pPr>
      <w:r w:rsidRPr="00B23DA1">
        <w:lastRenderedPageBreak/>
        <w:t xml:space="preserve">While consistent state hospital data beyond 2013–14 </w:t>
      </w:r>
      <w:r w:rsidR="006F1A7D">
        <w:t>are</w:t>
      </w:r>
      <w:r w:rsidRPr="00B23DA1">
        <w:t xml:space="preserve"> not available, if demand for hospital services continues to grow as it has over the past decade, a greater share of the associated funding burden will fall on state governments over the medium term as a result of the new Commonwealth government indexation arrangements.  This will intensify the</w:t>
      </w:r>
      <w:r w:rsidR="0086106D" w:rsidRPr="00B23DA1">
        <w:t xml:space="preserve"> recent trend which has seen</w:t>
      </w:r>
      <w:r w:rsidRPr="00B23DA1">
        <w:t xml:space="preserve"> state governments increase their share of total hospital funding.  Adjusting to these new arrangements is likely to pose challenges to the management of state government budgets over the medium term.</w:t>
      </w:r>
      <w:r w:rsidR="00782415">
        <w:t xml:space="preserve"> </w:t>
      </w:r>
    </w:p>
    <w:p w:rsidR="009444E2" w:rsidRPr="009444E2" w:rsidRDefault="00F318EC" w:rsidP="009444E2">
      <w:pPr>
        <w:pStyle w:val="OverviewBodyText"/>
        <w:rPr>
          <w:highlight w:val="yellow"/>
        </w:rPr>
      </w:pPr>
      <w:r w:rsidRPr="00B23DA1">
        <w:t>In addition to the outlook for specific purpose payments, there is potential downside risk to the outlook for GST revenue</w:t>
      </w:r>
      <w:r w:rsidR="006F0678">
        <w:t xml:space="preserve"> and hence to general purpose transfers to the states</w:t>
      </w:r>
      <w:r w:rsidR="00FA7FF2" w:rsidRPr="00B23DA1">
        <w:t>.</w:t>
      </w:r>
      <w:r w:rsidR="00C85CA9" w:rsidRPr="00B23DA1">
        <w:t xml:space="preserve"> </w:t>
      </w:r>
      <w:r w:rsidR="00FA7FF2" w:rsidRPr="00B23DA1">
        <w:t xml:space="preserve"> </w:t>
      </w:r>
      <w:r w:rsidR="009444E2" w:rsidRPr="00F05B40">
        <w:t xml:space="preserve">The projected increase in GST transfers as a proportion of GDP over the forward estimates period is conditional on no further increase in the proportion of household consumption that is exempt from GST.  However, if consumption patterns continue as they have over the latter half of the past decade, whereby the proportion of household consumption that is exempt from GST has been increasing, this </w:t>
      </w:r>
      <w:r w:rsidR="007527FC">
        <w:t>would</w:t>
      </w:r>
      <w:r w:rsidR="009444E2" w:rsidRPr="00F05B40">
        <w:t xml:space="preserve"> flow through to GST revenue, and could potentially result in lower </w:t>
      </w:r>
      <w:r w:rsidR="007527FC">
        <w:t xml:space="preserve">than projected </w:t>
      </w:r>
      <w:r w:rsidR="009444E2" w:rsidRPr="00F05B40">
        <w:t>GST transfers to the states.</w:t>
      </w:r>
    </w:p>
    <w:p w:rsidR="00F318EC" w:rsidRPr="00893854" w:rsidRDefault="00F318EC" w:rsidP="00F318EC">
      <w:pPr>
        <w:pStyle w:val="OverviewHeading2"/>
      </w:pPr>
      <w:r w:rsidRPr="00893854">
        <w:t>Expenses trends and outlook</w:t>
      </w:r>
    </w:p>
    <w:p w:rsidR="00F318EC" w:rsidRPr="00CE633C" w:rsidRDefault="00295531" w:rsidP="00F318EC">
      <w:pPr>
        <w:pStyle w:val="OverviewBodyText"/>
      </w:pPr>
      <w:r>
        <w:t>O</w:t>
      </w:r>
      <w:r w:rsidR="00F318EC" w:rsidRPr="00CE633C">
        <w:t xml:space="preserve">ver the past decade, </w:t>
      </w:r>
      <w:r w:rsidR="006F0678">
        <w:t>national</w:t>
      </w:r>
      <w:r w:rsidR="006F0678" w:rsidRPr="00CE633C">
        <w:t xml:space="preserve"> </w:t>
      </w:r>
      <w:r w:rsidR="00F318EC" w:rsidRPr="00CE633C">
        <w:t>expenses increased by 1 percentage point</w:t>
      </w:r>
      <w:r w:rsidR="00141B11">
        <w:t xml:space="preserve">, from </w:t>
      </w:r>
      <w:r w:rsidR="00146ED7">
        <w:t>33.5</w:t>
      </w:r>
      <w:r w:rsidR="0089246D">
        <w:t> </w:t>
      </w:r>
      <w:r w:rsidR="00146ED7">
        <w:t>per</w:t>
      </w:r>
      <w:r w:rsidR="0089246D">
        <w:t> </w:t>
      </w:r>
      <w:r w:rsidR="00146ED7">
        <w:t>cent of GDP to 34.5 per cent</w:t>
      </w:r>
      <w:r w:rsidR="00F318EC" w:rsidRPr="00CE633C">
        <w:t>.  Commonwealth own</w:t>
      </w:r>
      <w:r w:rsidR="00F318EC">
        <w:noBreakHyphen/>
      </w:r>
      <w:r w:rsidR="00F318EC" w:rsidRPr="00CE633C">
        <w:t>purpose expenses rose fr</w:t>
      </w:r>
      <w:r w:rsidR="00F318EC">
        <w:t>om 18.1 per cent of GDP in 2002–</w:t>
      </w:r>
      <w:r w:rsidR="00F318EC" w:rsidRPr="00CE633C">
        <w:t xml:space="preserve">03 </w:t>
      </w:r>
      <w:r w:rsidR="00BD77FC" w:rsidRPr="00CE633C">
        <w:t>to</w:t>
      </w:r>
      <w:r w:rsidR="00BD77FC">
        <w:t> </w:t>
      </w:r>
      <w:r w:rsidR="00F318EC" w:rsidRPr="00CE633C">
        <w:t>18.</w:t>
      </w:r>
      <w:r w:rsidR="00BD77FC" w:rsidRPr="00CE633C">
        <w:t>9</w:t>
      </w:r>
      <w:r w:rsidR="00BD77FC">
        <w:t> </w:t>
      </w:r>
      <w:r w:rsidR="00F318EC" w:rsidRPr="00CE633C">
        <w:t>per cent in 2012</w:t>
      </w:r>
      <w:r w:rsidR="00F318EC">
        <w:t>–</w:t>
      </w:r>
      <w:r w:rsidR="00F318EC" w:rsidRPr="00CE633C">
        <w:t>13.  Over the same period, state own</w:t>
      </w:r>
      <w:r w:rsidR="00F318EC">
        <w:noBreakHyphen/>
      </w:r>
      <w:r w:rsidR="00F318EC" w:rsidRPr="00CE633C">
        <w:t xml:space="preserve">purpose expenses increased from 8.6 per cent of GDP to 9.4 per cent. </w:t>
      </w:r>
      <w:r w:rsidR="00F318EC">
        <w:t xml:space="preserve"> </w:t>
      </w:r>
      <w:r w:rsidR="00F318EC" w:rsidRPr="00CE633C">
        <w:t xml:space="preserve">At the same time Commonwealth transfers </w:t>
      </w:r>
      <w:r w:rsidR="00AF361D">
        <w:t>declined</w:t>
      </w:r>
      <w:r w:rsidR="00F318EC" w:rsidRPr="00CE633C">
        <w:t xml:space="preserve"> from 6.8 per cent of GDP to 6.2 per cent.  Over the past decade, expenses growth exceeded revenue growth at all levels of government.  According to Commonwealth and state budget papers this trend is forecast to reverse over the forward estimates period.</w:t>
      </w:r>
    </w:p>
    <w:p w:rsidR="00F318EC" w:rsidRPr="00CE633C" w:rsidRDefault="00F318EC" w:rsidP="00F318EC">
      <w:pPr>
        <w:pStyle w:val="OverviewBodyText"/>
      </w:pPr>
      <w:r w:rsidRPr="00CE633C">
        <w:t xml:space="preserve">For the Commonwealth, the most significant contributors to expenses growth were social security and welfare, health and </w:t>
      </w:r>
      <w:r w:rsidR="009E1025">
        <w:t>general public services</w:t>
      </w:r>
      <w:r w:rsidRPr="00CE633C">
        <w:t xml:space="preserve"> which </w:t>
      </w:r>
      <w:r>
        <w:t>together contributed around two</w:t>
      </w:r>
      <w:r>
        <w:noBreakHyphen/>
      </w:r>
      <w:r w:rsidRPr="00CE633C">
        <w:t xml:space="preserve">thirds of the growth in Commonwealth </w:t>
      </w:r>
      <w:r w:rsidR="009E1025">
        <w:t xml:space="preserve">own-purpose </w:t>
      </w:r>
      <w:r w:rsidRPr="00CE633C">
        <w:t xml:space="preserve">expenses over the period.  State expenses growth </w:t>
      </w:r>
      <w:r w:rsidR="0083035E">
        <w:t>was</w:t>
      </w:r>
      <w:r w:rsidR="0083035E" w:rsidRPr="00CE633C">
        <w:t xml:space="preserve"> </w:t>
      </w:r>
      <w:r w:rsidRPr="00CE633C">
        <w:t>dominated by health (mainly hospitals), education (mainly schools) and transport and communications.  These areas of spending contributed over 60 per cent of the growth in state expenses over the past decade.</w:t>
      </w:r>
    </w:p>
    <w:p w:rsidR="008617A8" w:rsidRDefault="00F318EC" w:rsidP="001B093C">
      <w:pPr>
        <w:pStyle w:val="OverviewBodyText"/>
      </w:pPr>
      <w:r w:rsidRPr="00B23DA1">
        <w:t>Over the forward estimates period, the Commonwealth is projecting own</w:t>
      </w:r>
      <w:r w:rsidRPr="00B23DA1">
        <w:noBreakHyphen/>
        <w:t xml:space="preserve">purpose expenses as a percentage of GDP to rise slightly driven </w:t>
      </w:r>
      <w:r w:rsidR="006F0678">
        <w:t xml:space="preserve">mainly </w:t>
      </w:r>
      <w:r w:rsidRPr="00B23DA1">
        <w:t xml:space="preserve">by social security and welfare spending.  </w:t>
      </w:r>
      <w:r w:rsidR="0086106D" w:rsidRPr="00B23DA1">
        <w:t>Commonwealth transfers are forecast to increase to 6.5 per cent of GDP by 2016–17 before dropping to 6.2 per cent in 2017–18.  S</w:t>
      </w:r>
      <w:r w:rsidRPr="00B23DA1">
        <w:t>tates are projecting own</w:t>
      </w:r>
      <w:r w:rsidRPr="00B23DA1">
        <w:noBreakHyphen/>
        <w:t>purpose expenses as a percentage of GDP to fall, most significantly in Queensland, New South Wales and Victoria.  This is despite state own</w:t>
      </w:r>
      <w:r w:rsidRPr="00B23DA1">
        <w:noBreakHyphen/>
        <w:t>spending on hospitals, the largest area of state spending, growing by 5.5 per cent annually in real terms over the past decade.</w:t>
      </w:r>
      <w:r w:rsidR="008617A8">
        <w:br w:type="page"/>
      </w:r>
    </w:p>
    <w:p w:rsidR="00F318EC" w:rsidRPr="00762D3E" w:rsidRDefault="00F318EC" w:rsidP="00F318EC">
      <w:pPr>
        <w:pStyle w:val="OverviewHeading2"/>
      </w:pPr>
      <w:r w:rsidRPr="00762D3E">
        <w:lastRenderedPageBreak/>
        <w:t>Net capital investment trends and outlook</w:t>
      </w:r>
    </w:p>
    <w:p w:rsidR="00F318EC" w:rsidRPr="00CE633C" w:rsidRDefault="00AF361D" w:rsidP="001B093C">
      <w:pPr>
        <w:pStyle w:val="OverviewBodyText"/>
      </w:pPr>
      <w:r>
        <w:t>National total n</w:t>
      </w:r>
      <w:r w:rsidR="00F318EC" w:rsidRPr="00CE633C">
        <w:t>et capital investment grew significantly over the past decade rising f</w:t>
      </w:r>
      <w:r w:rsidR="00F318EC">
        <w:t>rom 0.5</w:t>
      </w:r>
      <w:r w:rsidR="00981EE1">
        <w:t> </w:t>
      </w:r>
      <w:r w:rsidR="00F318EC">
        <w:t>per cent of GDP in 2002–</w:t>
      </w:r>
      <w:r w:rsidR="00F318EC" w:rsidRPr="00CE633C">
        <w:t>03 to a peak of 2.</w:t>
      </w:r>
      <w:r w:rsidR="005352D3">
        <w:t>3</w:t>
      </w:r>
      <w:r w:rsidR="00F318EC" w:rsidRPr="00CE633C">
        <w:t xml:space="preserve"> per cent of GDP in 2009</w:t>
      </w:r>
      <w:r w:rsidR="00F318EC">
        <w:t>–</w:t>
      </w:r>
      <w:r w:rsidR="00F318EC" w:rsidRPr="00CE633C">
        <w:t>10</w:t>
      </w:r>
      <w:r w:rsidR="00F318EC" w:rsidRPr="00F05B40">
        <w:t xml:space="preserve">.  States account for the vast majority of net capital investment through a combination of </w:t>
      </w:r>
      <w:r w:rsidR="009444E2" w:rsidRPr="00F05B40">
        <w:t xml:space="preserve">strong state funded investment and </w:t>
      </w:r>
      <w:r w:rsidR="00F318EC" w:rsidRPr="00F05B40">
        <w:t>Commonwealth capital transfers</w:t>
      </w:r>
      <w:r w:rsidR="00D50A03" w:rsidRPr="00F05B40">
        <w:t>,</w:t>
      </w:r>
      <w:r w:rsidR="00B23DA1" w:rsidRPr="00F05B40">
        <w:t xml:space="preserve"> </w:t>
      </w:r>
      <w:r w:rsidR="00134664" w:rsidRPr="00F05B40">
        <w:t xml:space="preserve">which increased temporarily </w:t>
      </w:r>
      <w:r w:rsidR="00B23DA1" w:rsidRPr="00F05B40">
        <w:t>as part of</w:t>
      </w:r>
      <w:r w:rsidR="00D9185A" w:rsidRPr="00F05B40">
        <w:t xml:space="preserve"> </w:t>
      </w:r>
      <w:r w:rsidR="006F0678" w:rsidRPr="00F05B40">
        <w:t xml:space="preserve">the </w:t>
      </w:r>
      <w:r w:rsidR="00D9185A" w:rsidRPr="00F05B40">
        <w:t>fiscal stimulus</w:t>
      </w:r>
      <w:r w:rsidR="009444E2" w:rsidRPr="00F05B40">
        <w:t>.</w:t>
      </w:r>
      <w:r w:rsidR="00F318EC" w:rsidRPr="00F05B40">
        <w:t xml:space="preserve"> </w:t>
      </w:r>
      <w:r w:rsidR="00165569">
        <w:t xml:space="preserve"> </w:t>
      </w:r>
      <w:r w:rsidR="00F318EC" w:rsidRPr="00F05B40">
        <w:t>Since</w:t>
      </w:r>
      <w:r w:rsidR="00F318EC" w:rsidRPr="00CE633C">
        <w:t xml:space="preserve"> its peak, net capital investment eased back to 1.0 per cent of GDP in </w:t>
      </w:r>
      <w:r w:rsidR="00B23DA1">
        <w:br/>
      </w:r>
      <w:r w:rsidR="00F318EC" w:rsidRPr="00CE633C">
        <w:t>2012</w:t>
      </w:r>
      <w:r w:rsidR="00F318EC">
        <w:t>–</w:t>
      </w:r>
      <w:r w:rsidR="00F318EC" w:rsidRPr="00CE633C">
        <w:t>13</w:t>
      </w:r>
      <w:r w:rsidR="00295531">
        <w:t>,</w:t>
      </w:r>
      <w:r w:rsidR="00F318EC" w:rsidRPr="00CE633C">
        <w:t xml:space="preserve"> </w:t>
      </w:r>
      <w:r>
        <w:t>remaining</w:t>
      </w:r>
      <w:r w:rsidR="00F318EC" w:rsidRPr="00CE633C">
        <w:t xml:space="preserve"> 0.5 percentage </w:t>
      </w:r>
      <w:r w:rsidR="00F318EC">
        <w:t>points of GDP greater than</w:t>
      </w:r>
      <w:r w:rsidR="00295531">
        <w:t xml:space="preserve"> in</w:t>
      </w:r>
      <w:r w:rsidR="00F318EC">
        <w:t xml:space="preserve"> 2002–</w:t>
      </w:r>
      <w:r w:rsidR="00F318EC" w:rsidRPr="00CE633C">
        <w:t>03.</w:t>
      </w:r>
    </w:p>
    <w:p w:rsidR="00EA6EB3" w:rsidRDefault="00F318EC" w:rsidP="001B093C">
      <w:pPr>
        <w:pStyle w:val="OverviewBodyText"/>
      </w:pPr>
      <w:r w:rsidRPr="00E638E2">
        <w:t xml:space="preserve">Following very strong historical growth, the outlook for state net capital investment over the forward estimates period is subdued according to state budgets.  State net capital investment </w:t>
      </w:r>
      <w:r w:rsidR="00F05B40" w:rsidRPr="00E638E2">
        <w:t>(</w:t>
      </w:r>
      <w:r w:rsidR="00EE634C" w:rsidRPr="00E638E2">
        <w:t>excluding local government</w:t>
      </w:r>
      <w:r w:rsidR="00F05B40" w:rsidRPr="00E638E2">
        <w:t xml:space="preserve">) </w:t>
      </w:r>
      <w:r w:rsidRPr="00E638E2">
        <w:t>is projected to fall to 0.4 per cent of GDP by</w:t>
      </w:r>
      <w:r w:rsidR="001064E2" w:rsidRPr="00E638E2">
        <w:t xml:space="preserve"> </w:t>
      </w:r>
      <w:r w:rsidR="00EE634C" w:rsidRPr="00E638E2">
        <w:br/>
      </w:r>
      <w:r w:rsidRPr="00E638E2">
        <w:t xml:space="preserve">2017–18, down </w:t>
      </w:r>
      <w:r w:rsidR="00BB231A" w:rsidRPr="00E638E2">
        <w:t xml:space="preserve">by around </w:t>
      </w:r>
      <w:r w:rsidRPr="00E638E2">
        <w:t>1 percentage point from its peak in 2009–10.</w:t>
      </w:r>
    </w:p>
    <w:p w:rsidR="00AD3310" w:rsidRDefault="00AD3310" w:rsidP="001B093C">
      <w:pPr>
        <w:pStyle w:val="OverviewBodyText"/>
        <w:sectPr w:rsidR="00AD3310" w:rsidSect="00F318EC">
          <w:footerReference w:type="even" r:id="rId23"/>
          <w:footerReference w:type="default" r:id="rId24"/>
          <w:pgSz w:w="11906" w:h="16838" w:code="9"/>
          <w:pgMar w:top="1361" w:right="1797" w:bottom="1474" w:left="1797" w:header="284" w:footer="454" w:gutter="0"/>
          <w:pgNumType w:fmt="lowerRoman"/>
          <w:cols w:space="708"/>
          <w:docGrid w:linePitch="360"/>
        </w:sectPr>
      </w:pPr>
    </w:p>
    <w:p w:rsidR="00903E3F" w:rsidRDefault="00F318EC" w:rsidP="00CF5CE3">
      <w:pPr>
        <w:pStyle w:val="Heading1"/>
      </w:pPr>
      <w:bookmarkStart w:id="18" w:name="_Toc415127625"/>
      <w:bookmarkStart w:id="19" w:name="_Toc415127818"/>
      <w:bookmarkStart w:id="20" w:name="_Toc415130134"/>
      <w:bookmarkStart w:id="21" w:name="_Toc415131837"/>
      <w:bookmarkStart w:id="22" w:name="_Toc415222933"/>
      <w:bookmarkStart w:id="23" w:name="_Toc418073722"/>
      <w:r>
        <w:lastRenderedPageBreak/>
        <w:t>National fiscal position</w:t>
      </w:r>
      <w:bookmarkEnd w:id="18"/>
      <w:bookmarkEnd w:id="19"/>
      <w:bookmarkEnd w:id="20"/>
      <w:bookmarkEnd w:id="21"/>
      <w:bookmarkEnd w:id="22"/>
      <w:bookmarkEnd w:id="23"/>
    </w:p>
    <w:p w:rsidR="00F318EC" w:rsidRDefault="00F318EC" w:rsidP="001B093C">
      <w:pPr>
        <w:pStyle w:val="BodyText"/>
      </w:pPr>
      <w:r>
        <w:t>Over the decade from 2002–03 to 2012–13, the fiscal position across all levels of Australian government changed markedly, transitioning from a surplus position of $7.4 billion in</w:t>
      </w:r>
      <w:r>
        <w:br/>
        <w:t xml:space="preserve">2002–03 (0.9 per </w:t>
      </w:r>
      <w:r w:rsidRPr="00AD77D2">
        <w:t>cent of GDP) to a deficit position of $36.5 billion in 2012</w:t>
      </w:r>
      <w:r>
        <w:t>–</w:t>
      </w:r>
      <w:r w:rsidRPr="00AD77D2">
        <w:t xml:space="preserve">13 (2.4 per cent of </w:t>
      </w:r>
      <w:r w:rsidRPr="002C270F">
        <w:t>GDP) (</w:t>
      </w:r>
      <w:r w:rsidR="00CA24A6">
        <w:fldChar w:fldCharType="begin"/>
      </w:r>
      <w:r w:rsidR="00CA24A6">
        <w:instrText xml:space="preserve"> REF _Ref415142057 \h </w:instrText>
      </w:r>
      <w:r w:rsidR="001B093C">
        <w:instrText xml:space="preserve"> \* MERGEFORMAT </w:instrText>
      </w:r>
      <w:r w:rsidR="00CA24A6">
        <w:fldChar w:fldCharType="separate"/>
      </w:r>
      <w:r w:rsidR="008B68F4" w:rsidRPr="00670941">
        <w:t xml:space="preserve">Figure </w:t>
      </w:r>
      <w:r w:rsidR="008B68F4">
        <w:rPr>
          <w:noProof/>
        </w:rPr>
        <w:t>1</w:t>
      </w:r>
      <w:r w:rsidR="008B68F4">
        <w:rPr>
          <w:noProof/>
        </w:rPr>
        <w:noBreakHyphen/>
        <w:t>1</w:t>
      </w:r>
      <w:r w:rsidR="00CA24A6">
        <w:fldChar w:fldCharType="end"/>
      </w:r>
      <w:r w:rsidRPr="002C270F">
        <w:t>).  According to Commonwealth and state budget papers, the deficit</w:t>
      </w:r>
      <w:r>
        <w:t xml:space="preserve"> </w:t>
      </w:r>
      <w:bookmarkStart w:id="24" w:name="Here"/>
      <w:bookmarkEnd w:id="24"/>
      <w:r>
        <w:t>across all levels of Government is projected to improve to $</w:t>
      </w:r>
      <w:r w:rsidR="009A0FD6">
        <w:t>6</w:t>
      </w:r>
      <w:r>
        <w:t>.</w:t>
      </w:r>
      <w:r w:rsidR="009A0FD6">
        <w:t>9</w:t>
      </w:r>
      <w:r>
        <w:t xml:space="preserve"> billion in 2017–18 (0.4 per cent of GDP).</w:t>
      </w:r>
    </w:p>
    <w:p w:rsidR="00141551" w:rsidRDefault="003F22E7" w:rsidP="00670941">
      <w:pPr>
        <w:pStyle w:val="Caption"/>
      </w:pPr>
      <w:bookmarkStart w:id="25" w:name="_Ref415142057"/>
      <w:bookmarkStart w:id="26" w:name="_Toc415127811"/>
      <w:bookmarkStart w:id="27" w:name="_Toc415130136"/>
      <w:bookmarkStart w:id="28" w:name="_Toc415131844"/>
      <w:bookmarkStart w:id="29" w:name="_Toc415222942"/>
      <w:bookmarkStart w:id="30" w:name="_Toc418073803"/>
      <w:r w:rsidRPr="003F22E7">
        <w:rPr>
          <w:noProof/>
          <w:lang w:eastAsia="en-AU"/>
        </w:rPr>
        <w:drawing>
          <wp:anchor distT="0" distB="0" distL="114300" distR="114300" simplePos="0" relativeHeight="251713536" behindDoc="0" locked="0" layoutInCell="1" allowOverlap="1" wp14:anchorId="6FCF1586" wp14:editId="76799A61">
            <wp:simplePos x="0" y="0"/>
            <wp:positionH relativeFrom="column">
              <wp:posOffset>3687</wp:posOffset>
            </wp:positionH>
            <wp:positionV relativeFrom="paragraph">
              <wp:posOffset>387783</wp:posOffset>
            </wp:positionV>
            <wp:extent cx="5278120" cy="31572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941" w:rsidRPr="00670941">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w:instrText>
      </w:r>
      <w:r w:rsidR="003A23CE">
        <w:instrText xml:space="preserve">Figure \* ARABIC \s 1 </w:instrText>
      </w:r>
      <w:r w:rsidR="003A23CE">
        <w:fldChar w:fldCharType="separate"/>
      </w:r>
      <w:r w:rsidR="008B68F4">
        <w:rPr>
          <w:noProof/>
        </w:rPr>
        <w:t>1</w:t>
      </w:r>
      <w:r w:rsidR="003A23CE">
        <w:rPr>
          <w:noProof/>
        </w:rPr>
        <w:fldChar w:fldCharType="end"/>
      </w:r>
      <w:bookmarkEnd w:id="25"/>
      <w:r w:rsidR="00670941" w:rsidRPr="00670941">
        <w:t xml:space="preserve">: </w:t>
      </w:r>
      <w:r w:rsidR="00670941" w:rsidRPr="00AD0785">
        <w:t>Fiscal balance across all levels of Government</w:t>
      </w:r>
      <w:r w:rsidR="00670941" w:rsidRPr="00B86531">
        <w:rPr>
          <w:rStyle w:val="FootnoteReference"/>
        </w:rPr>
        <w:footnoteReference w:id="2"/>
      </w:r>
      <w:bookmarkEnd w:id="26"/>
      <w:bookmarkEnd w:id="27"/>
      <w:bookmarkEnd w:id="28"/>
      <w:bookmarkEnd w:id="29"/>
      <w:bookmarkEnd w:id="30"/>
    </w:p>
    <w:tbl>
      <w:tblPr>
        <w:tblW w:w="7938" w:type="dxa"/>
        <w:tblLook w:val="04A0" w:firstRow="1" w:lastRow="0" w:firstColumn="1" w:lastColumn="0" w:noHBand="0" w:noVBand="1"/>
      </w:tblPr>
      <w:tblGrid>
        <w:gridCol w:w="5953"/>
        <w:gridCol w:w="1985"/>
      </w:tblGrid>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rPr>
                <w:rFonts w:ascii="Calibri" w:eastAsia="Times New Roman" w:hAnsi="Calibri" w:cs="Times New Roman"/>
                <w:color w:val="FFFFFF" w:themeColor="background1"/>
                <w:sz w:val="20"/>
                <w:szCs w:val="20"/>
                <w:lang w:eastAsia="en-AU"/>
              </w:rPr>
            </w:pPr>
            <w:bookmarkStart w:id="31" w:name="Title_1" w:colFirst="0" w:colLast="0"/>
          </w:p>
        </w:tc>
        <w:tc>
          <w:tcPr>
            <w:tcW w:w="960" w:type="dxa"/>
            <w:shd w:val="clear" w:color="auto" w:fill="auto"/>
            <w:noWrap/>
            <w:vAlign w:val="bottom"/>
            <w:hideMark/>
          </w:tcPr>
          <w:p w:rsidR="000255C2" w:rsidRPr="00A24215" w:rsidRDefault="000255C2" w:rsidP="00111941">
            <w:pPr>
              <w:spacing w:line="240" w:lineRule="auto"/>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Per cent of GDP</w:t>
            </w:r>
          </w:p>
        </w:tc>
      </w:tr>
      <w:bookmarkEnd w:id="31"/>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2002-03</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0.9</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2003-04</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1.1</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2004-05</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1.5</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2005-06</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1.9</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2006-07</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1.6</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2007-08</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1.2</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2008-09</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-3.3</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2009-10</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-5.6</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2010-11</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-4.7</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2011-12</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-4.2</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2012-13</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-2.4</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2013-14</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-3.3</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2014-15</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-3.3</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2015-16</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-2.0</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2016-17</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-1.4</w:t>
            </w:r>
          </w:p>
        </w:tc>
      </w:tr>
      <w:tr w:rsidR="000255C2" w:rsidRPr="00A24215" w:rsidTr="000255C2">
        <w:trPr>
          <w:trHeight w:val="284"/>
        </w:trPr>
        <w:tc>
          <w:tcPr>
            <w:tcW w:w="2880" w:type="dxa"/>
            <w:shd w:val="clear" w:color="auto" w:fill="auto"/>
            <w:noWrap/>
            <w:vAlign w:val="bottom"/>
            <w:hideMark/>
          </w:tcPr>
          <w:p w:rsidR="000255C2" w:rsidRPr="00A24215" w:rsidRDefault="000255C2"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2017-18</w:t>
            </w:r>
          </w:p>
        </w:tc>
        <w:tc>
          <w:tcPr>
            <w:tcW w:w="960" w:type="dxa"/>
            <w:shd w:val="clear" w:color="auto" w:fill="auto"/>
            <w:noWrap/>
            <w:vAlign w:val="bottom"/>
            <w:hideMark/>
          </w:tcPr>
          <w:p w:rsidR="000255C2" w:rsidRPr="00A24215" w:rsidRDefault="000255C2"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-0.4</w:t>
            </w:r>
          </w:p>
        </w:tc>
      </w:tr>
    </w:tbl>
    <w:p w:rsidR="00670941" w:rsidRDefault="00670941" w:rsidP="00670941">
      <w:pPr>
        <w:pStyle w:val="Source"/>
      </w:pPr>
      <w:r>
        <w:t>Source: ABS and Commonwealth and state budget papers.</w:t>
      </w:r>
    </w:p>
    <w:p w:rsidR="00FA2011" w:rsidRDefault="00670941" w:rsidP="00670941">
      <w:pPr>
        <w:pStyle w:val="BodyText17ptAbove"/>
      </w:pPr>
      <w:r w:rsidRPr="002E4828">
        <w:t>The change in the fiscal position across all levels of government has been driven primarily by the Commonwealth.  In 2002</w:t>
      </w:r>
      <w:r>
        <w:t>–</w:t>
      </w:r>
      <w:r w:rsidRPr="002E4828">
        <w:t>03 the Commonwealth had a fiscal surplus of 0.8 per cent of GDP, which improved to peak at 1.8 per cent of GDP in 2007</w:t>
      </w:r>
      <w:r>
        <w:t>–08.  In 2009–</w:t>
      </w:r>
      <w:r w:rsidRPr="002E4828">
        <w:t>10, the national fiscal position deteriorated sharply, with the Commonwealth fiscal deficit reaching 4.1 per cent of GDP, almost three-quarters of the national fiscal deficit of 5.6 per cent of GDP in that year.  The deterioration in the Commonwealth’s fiscal position reflected a decline in revenue, particularly company tax and capital gains tax, together with marked increases in expenditure.</w:t>
      </w:r>
      <w:r w:rsidR="00FA2011">
        <w:br w:type="page"/>
      </w:r>
    </w:p>
    <w:p w:rsidR="00670941" w:rsidRPr="00F05B40" w:rsidRDefault="00670941" w:rsidP="001B093C">
      <w:pPr>
        <w:pStyle w:val="BodyText"/>
      </w:pPr>
      <w:r w:rsidRPr="002E4828">
        <w:lastRenderedPageBreak/>
        <w:t>Similarly, the improvement in the fiscal balance across all</w:t>
      </w:r>
      <w:r>
        <w:t xml:space="preserve"> levels of government from</w:t>
      </w:r>
      <w:r>
        <w:br/>
        <w:t>2009–</w:t>
      </w:r>
      <w:r w:rsidRPr="002E4828">
        <w:t>10 to the end o</w:t>
      </w:r>
      <w:r>
        <w:t>f the forward estimates in 2017–</w:t>
      </w:r>
      <w:r w:rsidRPr="002E4828">
        <w:t xml:space="preserve">18 is primarily driven by the </w:t>
      </w:r>
      <w:r w:rsidRPr="00F05B40">
        <w:t>Commonwealth, and largely reflects increasing personal income tax revenue</w:t>
      </w:r>
      <w:r w:rsidR="00D9185A" w:rsidRPr="00F05B40">
        <w:t xml:space="preserve"> and a project</w:t>
      </w:r>
      <w:r w:rsidR="00FA2011">
        <w:t>ed  decline in expenses growth.</w:t>
      </w:r>
    </w:p>
    <w:p w:rsidR="00D9185A" w:rsidRPr="00F05B40" w:rsidRDefault="00CA24A6" w:rsidP="001B093C">
      <w:pPr>
        <w:pStyle w:val="BodyText"/>
      </w:pPr>
      <w:r w:rsidRPr="00F05B40">
        <w:fldChar w:fldCharType="begin"/>
      </w:r>
      <w:r w:rsidRPr="00F05B40">
        <w:instrText xml:space="preserve"> REF _Ref415142343 \h </w:instrText>
      </w:r>
      <w:r w:rsidR="001B093C" w:rsidRPr="00F05B40">
        <w:instrText xml:space="preserve"> \* MERGEFORMAT </w:instrText>
      </w:r>
      <w:r w:rsidRPr="00F05B40">
        <w:fldChar w:fldCharType="separate"/>
      </w:r>
      <w:r w:rsidR="008B68F4" w:rsidRPr="00670941">
        <w:t xml:space="preserve">Figure </w:t>
      </w:r>
      <w:r w:rsidR="008B68F4">
        <w:rPr>
          <w:noProof/>
        </w:rPr>
        <w:t>1</w:t>
      </w:r>
      <w:r w:rsidR="008B68F4">
        <w:rPr>
          <w:noProof/>
        </w:rPr>
        <w:noBreakHyphen/>
        <w:t>2</w:t>
      </w:r>
      <w:r w:rsidRPr="00F05B40">
        <w:fldChar w:fldCharType="end"/>
      </w:r>
      <w:r w:rsidR="00670941" w:rsidRPr="00F05B40">
        <w:t xml:space="preserve"> shows the net operating balance and fiscal balance for the Commonwealth.  The net operating balance measures the difference between revenue and recurrent expenses.  It does not include net capital investment, which is accoun</w:t>
      </w:r>
      <w:r w:rsidR="00FA2011">
        <w:t>ted for in the fiscal balance.</w:t>
      </w:r>
    </w:p>
    <w:p w:rsidR="00670941" w:rsidRDefault="00262AF4" w:rsidP="001B093C">
      <w:pPr>
        <w:pStyle w:val="BodyText"/>
      </w:pPr>
      <w:r w:rsidRPr="00F05B40">
        <w:fldChar w:fldCharType="begin"/>
      </w:r>
      <w:r w:rsidRPr="00F05B40">
        <w:instrText xml:space="preserve"> REF _Ref415142343 \h </w:instrText>
      </w:r>
      <w:r w:rsidR="001B093C" w:rsidRPr="00F05B40">
        <w:instrText xml:space="preserve"> \* MERGEFORMAT </w:instrText>
      </w:r>
      <w:r w:rsidRPr="00F05B40">
        <w:fldChar w:fldCharType="separate"/>
      </w:r>
      <w:r w:rsidR="008B68F4" w:rsidRPr="00670941">
        <w:t xml:space="preserve">Figure </w:t>
      </w:r>
      <w:r w:rsidR="008B68F4">
        <w:rPr>
          <w:noProof/>
        </w:rPr>
        <w:t>1</w:t>
      </w:r>
      <w:r w:rsidR="008B68F4">
        <w:rPr>
          <w:noProof/>
        </w:rPr>
        <w:noBreakHyphen/>
        <w:t>2</w:t>
      </w:r>
      <w:r w:rsidRPr="00F05B40">
        <w:fldChar w:fldCharType="end"/>
      </w:r>
      <w:r w:rsidR="00670941" w:rsidRPr="00F05B40">
        <w:t xml:space="preserve"> highlights the minimal impact of net capital investment on the Commonwealth budget balance.</w:t>
      </w:r>
    </w:p>
    <w:p w:rsidR="00670941" w:rsidRDefault="00670941" w:rsidP="00670941">
      <w:pPr>
        <w:pStyle w:val="Caption"/>
      </w:pPr>
      <w:bookmarkStart w:id="32" w:name="_Ref415142343"/>
      <w:bookmarkStart w:id="33" w:name="_Toc415127812"/>
      <w:bookmarkStart w:id="34" w:name="_Toc415130137"/>
      <w:bookmarkStart w:id="35" w:name="_Toc415131845"/>
      <w:bookmarkStart w:id="36" w:name="_Toc415222943"/>
      <w:bookmarkStart w:id="37" w:name="_Toc418073804"/>
      <w:r w:rsidRPr="00670941">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2</w:t>
      </w:r>
      <w:r w:rsidR="003A23CE">
        <w:rPr>
          <w:noProof/>
        </w:rPr>
        <w:fldChar w:fldCharType="end"/>
      </w:r>
      <w:bookmarkEnd w:id="32"/>
      <w:r w:rsidRPr="00670941">
        <w:t xml:space="preserve">: </w:t>
      </w:r>
      <w:r w:rsidRPr="00FB64A7">
        <w:t>Commonwealth net operating and fiscal balances</w:t>
      </w:r>
      <w:bookmarkEnd w:id="33"/>
      <w:bookmarkEnd w:id="34"/>
      <w:bookmarkEnd w:id="35"/>
      <w:bookmarkEnd w:id="36"/>
      <w:bookmarkEnd w:id="37"/>
    </w:p>
    <w:tbl>
      <w:tblPr>
        <w:tblStyle w:val="TableGrid"/>
        <w:tblW w:w="7888" w:type="dxa"/>
        <w:jc w:val="center"/>
        <w:tblLook w:val="04A0" w:firstRow="1" w:lastRow="0" w:firstColumn="1" w:lastColumn="0" w:noHBand="0" w:noVBand="1"/>
      </w:tblPr>
      <w:tblGrid>
        <w:gridCol w:w="3944"/>
        <w:gridCol w:w="3944"/>
      </w:tblGrid>
      <w:tr w:rsidR="0019796B" w:rsidRPr="0019796B" w:rsidTr="00F36500">
        <w:trPr>
          <w:cnfStyle w:val="100000000000" w:firstRow="1" w:lastRow="0" w:firstColumn="0" w:lastColumn="0" w:oddVBand="0" w:evenVBand="0" w:oddHBand="0" w:evenHBand="0" w:firstRowFirstColumn="0" w:firstRowLastColumn="0" w:lastRowFirstColumn="0" w:lastRowLastColumn="0"/>
          <w:trHeight w:val="4984"/>
          <w:jc w:val="center"/>
        </w:trPr>
        <w:tc>
          <w:tcPr>
            <w:cnfStyle w:val="001000000100" w:firstRow="0" w:lastRow="0" w:firstColumn="1" w:lastColumn="0" w:oddVBand="0" w:evenVBand="0" w:oddHBand="0" w:evenHBand="0" w:firstRowFirstColumn="1" w:firstRowLastColumn="0" w:lastRowFirstColumn="0" w:lastRowLastColumn="0"/>
            <w:tcW w:w="39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759" w:type="dxa"/>
              <w:tblLook w:val="04A0" w:firstRow="1" w:lastRow="0" w:firstColumn="1" w:lastColumn="0" w:noHBand="0" w:noVBand="1"/>
            </w:tblPr>
            <w:tblGrid>
              <w:gridCol w:w="2167"/>
              <w:gridCol w:w="1592"/>
            </w:tblGrid>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352EE" w:rsidP="00111941">
                  <w:pPr>
                    <w:spacing w:line="240" w:lineRule="auto"/>
                    <w:rPr>
                      <w:rFonts w:ascii="Calibri" w:eastAsia="Times New Roman" w:hAnsi="Calibri" w:cs="Times New Roman"/>
                      <w:b/>
                      <w:bCs/>
                      <w:color w:val="FFFFFF" w:themeColor="background1"/>
                      <w:sz w:val="20"/>
                      <w:szCs w:val="20"/>
                      <w:lang w:eastAsia="en-AU"/>
                    </w:rPr>
                  </w:pPr>
                  <w:r w:rsidRPr="00F36500">
                    <w:rPr>
                      <w:noProof/>
                      <w:lang w:eastAsia="en-AU"/>
                    </w:rPr>
                    <w:drawing>
                      <wp:anchor distT="0" distB="0" distL="114300" distR="114300" simplePos="0" relativeHeight="251714560" behindDoc="0" locked="0" layoutInCell="1" allowOverlap="1" wp14:anchorId="3224803D" wp14:editId="3D586785">
                        <wp:simplePos x="0" y="0"/>
                        <wp:positionH relativeFrom="column">
                          <wp:posOffset>-142240</wp:posOffset>
                        </wp:positionH>
                        <wp:positionV relativeFrom="paragraph">
                          <wp:posOffset>12065</wp:posOffset>
                        </wp:positionV>
                        <wp:extent cx="5278120" cy="3157220"/>
                        <wp:effectExtent l="0" t="0" r="0" b="508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96B" w:rsidRPr="00A24215">
                    <w:rPr>
                      <w:rFonts w:ascii="Calibri" w:eastAsia="Times New Roman" w:hAnsi="Calibri" w:cs="Times New Roman"/>
                      <w:b/>
                      <w:bCs/>
                      <w:color w:val="FFFFFF" w:themeColor="background1"/>
                      <w:sz w:val="20"/>
                      <w:szCs w:val="20"/>
                      <w:lang w:eastAsia="en-AU"/>
                    </w:rPr>
                    <w:t>Per cent of GDP</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Fiscal balance</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2002-03</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0.9</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2003-04</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0.9</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2004-05</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1.5</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2005-06</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2.0</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2006-07</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1.9</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2007-08</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2.1</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2008-09</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-1.9</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2009-10</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-3.6</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2010-11</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-3.3</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2011-12</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-2.6</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2012-13</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-1.4</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2013-14</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-2.5</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2014-15</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-2.3</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2015-16</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-1.5</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2016-17</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-0.9</w:t>
                  </w:r>
                </w:p>
              </w:tc>
            </w:tr>
            <w:tr w:rsidR="0019796B" w:rsidRPr="00A24215" w:rsidTr="00F36500">
              <w:trPr>
                <w:trHeight w:val="293"/>
              </w:trPr>
              <w:tc>
                <w:tcPr>
                  <w:tcW w:w="2167"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2017-18</w:t>
                  </w:r>
                </w:p>
              </w:tc>
              <w:tc>
                <w:tcPr>
                  <w:tcW w:w="1592"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-0.1</w:t>
                  </w:r>
                </w:p>
              </w:tc>
            </w:tr>
          </w:tbl>
          <w:p w:rsidR="0019796B" w:rsidRPr="0019796B" w:rsidRDefault="0019796B" w:rsidP="00111941">
            <w:pPr>
              <w:pStyle w:val="BodyText"/>
            </w:pPr>
          </w:p>
        </w:tc>
        <w:tc>
          <w:tcPr>
            <w:tcW w:w="394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639" w:type="dxa"/>
              <w:tblLook w:val="04A0" w:firstRow="1" w:lastRow="0" w:firstColumn="1" w:lastColumn="0" w:noHBand="0" w:noVBand="1"/>
            </w:tblPr>
            <w:tblGrid>
              <w:gridCol w:w="1593"/>
              <w:gridCol w:w="2046"/>
            </w:tblGrid>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rPr>
                      <w:rFonts w:ascii="Calibri" w:eastAsia="Times New Roman" w:hAnsi="Calibri" w:cs="Times New Roman"/>
                      <w:b/>
                      <w:bCs/>
                      <w:color w:val="FFFFFF" w:themeColor="background1"/>
                      <w:sz w:val="20"/>
                      <w:szCs w:val="20"/>
                      <w:lang w:eastAsia="en-AU"/>
                    </w:rPr>
                  </w:pP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Net operating balance</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2002-03</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0.8</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2003-04</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0.8</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2004-05</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1.3</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2005-06</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1.7</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2006-07</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1.6</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2007-08</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1.8</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2008-09</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-2.3</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2009-10</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-4.1</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2010-11</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-3.7</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2011-12</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-3.0</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2012-13</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-1.3</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2013-14</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-2.8</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2014-15</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-2.5</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2015-16</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-1.6</w:t>
                  </w:r>
                </w:p>
              </w:tc>
            </w:tr>
            <w:tr w:rsidR="0019796B" w:rsidRPr="00A24215" w:rsidTr="00F36500">
              <w:trPr>
                <w:trHeight w:val="290"/>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2016-17</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-1.0</w:t>
                  </w:r>
                </w:p>
              </w:tc>
            </w:tr>
            <w:tr w:rsidR="0019796B" w:rsidRPr="00A24215" w:rsidTr="00F36500">
              <w:trPr>
                <w:trHeight w:val="66"/>
              </w:trPr>
              <w:tc>
                <w:tcPr>
                  <w:tcW w:w="1593"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center"/>
                    <w:rPr>
                      <w:rFonts w:ascii="Calibri" w:eastAsia="Times New Roman" w:hAnsi="Calibri" w:cs="Times New Roman"/>
                      <w:b/>
                      <w:bCs/>
                      <w:color w:val="FFFFFF" w:themeColor="background1"/>
                      <w:sz w:val="20"/>
                      <w:szCs w:val="20"/>
                      <w:lang w:eastAsia="en-AU"/>
                    </w:rPr>
                  </w:pPr>
                  <w:r w:rsidRPr="00A24215">
                    <w:rPr>
                      <w:rFonts w:ascii="Calibri" w:eastAsia="Times New Roman" w:hAnsi="Calibri" w:cs="Times New Roman"/>
                      <w:b/>
                      <w:bCs/>
                      <w:color w:val="FFFFFF" w:themeColor="background1"/>
                      <w:sz w:val="20"/>
                      <w:szCs w:val="20"/>
                      <w:lang w:eastAsia="en-AU"/>
                    </w:rPr>
                    <w:t>2017-18</w:t>
                  </w:r>
                </w:p>
              </w:tc>
              <w:tc>
                <w:tcPr>
                  <w:tcW w:w="2046" w:type="dxa"/>
                  <w:tcBorders>
                    <w:top w:val="nil"/>
                    <w:left w:val="nil"/>
                    <w:bottom w:val="nil"/>
                    <w:right w:val="nil"/>
                  </w:tcBorders>
                  <w:shd w:val="clear" w:color="auto" w:fill="auto"/>
                  <w:noWrap/>
                  <w:vAlign w:val="bottom"/>
                  <w:hideMark/>
                </w:tcPr>
                <w:p w:rsidR="0019796B" w:rsidRPr="00A24215" w:rsidRDefault="0019796B" w:rsidP="00111941">
                  <w:pPr>
                    <w:spacing w:line="240" w:lineRule="auto"/>
                    <w:jc w:val="right"/>
                    <w:rPr>
                      <w:rFonts w:ascii="Calibri" w:eastAsia="Times New Roman" w:hAnsi="Calibri" w:cs="Times New Roman"/>
                      <w:color w:val="FFFFFF" w:themeColor="background1"/>
                      <w:sz w:val="20"/>
                      <w:szCs w:val="20"/>
                      <w:lang w:eastAsia="en-AU"/>
                    </w:rPr>
                  </w:pPr>
                  <w:r w:rsidRPr="00A24215">
                    <w:rPr>
                      <w:rFonts w:ascii="Calibri" w:eastAsia="Times New Roman" w:hAnsi="Calibri" w:cs="Times New Roman"/>
                      <w:color w:val="FFFFFF" w:themeColor="background1"/>
                      <w:sz w:val="20"/>
                      <w:szCs w:val="20"/>
                      <w:lang w:eastAsia="en-AU"/>
                    </w:rPr>
                    <w:t>-0.3</w:t>
                  </w:r>
                </w:p>
              </w:tc>
            </w:tr>
          </w:tbl>
          <w:p w:rsidR="0019796B" w:rsidRPr="0019796B" w:rsidRDefault="0019796B" w:rsidP="00111941">
            <w:pPr>
              <w:pStyle w:val="BodyText"/>
              <w:cnfStyle w:val="100000000000" w:firstRow="1" w:lastRow="0" w:firstColumn="0" w:lastColumn="0" w:oddVBand="0" w:evenVBand="0" w:oddHBand="0" w:evenHBand="0" w:firstRowFirstColumn="0" w:firstRowLastColumn="0" w:lastRowFirstColumn="0" w:lastRowLastColumn="0"/>
            </w:pPr>
          </w:p>
        </w:tc>
      </w:tr>
    </w:tbl>
    <w:p w:rsidR="00670941" w:rsidRDefault="005A714D" w:rsidP="00F36500">
      <w:pPr>
        <w:pStyle w:val="Source"/>
        <w:spacing w:before="0"/>
      </w:pPr>
      <w:r>
        <w:t xml:space="preserve">Source: </w:t>
      </w:r>
      <w:r w:rsidR="00AF2D0B" w:rsidRPr="00AF2D0B">
        <w:t>ABS and Commonwealth and state budget papers.</w:t>
      </w:r>
    </w:p>
    <w:p w:rsidR="00AF2D0B" w:rsidRDefault="00AF2D0B" w:rsidP="00AF2D0B">
      <w:pPr>
        <w:pStyle w:val="BodyText17ptAbove"/>
      </w:pPr>
      <w:r w:rsidRPr="002E4828">
        <w:t xml:space="preserve">The fiscal balance of the states also deteriorated over the past decade but by a smaller magnitude than the Commonwealth.  </w:t>
      </w:r>
      <w:r w:rsidR="00CA24A6">
        <w:fldChar w:fldCharType="begin"/>
      </w:r>
      <w:r w:rsidR="00CA24A6">
        <w:instrText xml:space="preserve"> REF _Ref415142436 \h </w:instrText>
      </w:r>
      <w:r w:rsidR="00CA24A6">
        <w:fldChar w:fldCharType="separate"/>
      </w:r>
      <w:r w:rsidR="008B68F4" w:rsidRPr="004E1FE9">
        <w:t xml:space="preserve">Figure </w:t>
      </w:r>
      <w:r w:rsidR="008B68F4">
        <w:rPr>
          <w:noProof/>
        </w:rPr>
        <w:t>1</w:t>
      </w:r>
      <w:r w:rsidR="008B68F4">
        <w:noBreakHyphen/>
      </w:r>
      <w:r w:rsidR="008B68F4">
        <w:rPr>
          <w:noProof/>
        </w:rPr>
        <w:t>3</w:t>
      </w:r>
      <w:r w:rsidR="00CA24A6">
        <w:fldChar w:fldCharType="end"/>
      </w:r>
      <w:r w:rsidRPr="002E4828">
        <w:t xml:space="preserve"> shows that the states had small fiscal surpluses up to 2006</w:t>
      </w:r>
      <w:r>
        <w:t>–</w:t>
      </w:r>
      <w:r w:rsidRPr="002E4828">
        <w:t>07 before moving into fiscal deficit which reached 1.2 per cent of GDP in 2009</w:t>
      </w:r>
      <w:r>
        <w:t>–</w:t>
      </w:r>
      <w:r w:rsidRPr="002E4828">
        <w:t>10.  The fiscal deficit has since improved and is projected to</w:t>
      </w:r>
      <w:r>
        <w:t xml:space="preserve"> be 0.1 per cent of GDP in 2017–</w:t>
      </w:r>
      <w:r w:rsidRPr="002E4828">
        <w:t>18.</w:t>
      </w:r>
    </w:p>
    <w:p w:rsidR="00AF2D0B" w:rsidRPr="002E4828" w:rsidRDefault="00AF2D0B" w:rsidP="00AF2D0B">
      <w:pPr>
        <w:pStyle w:val="BodyText"/>
      </w:pPr>
      <w:r w:rsidRPr="00D9185A">
        <w:t>The deterioration in the states</w:t>
      </w:r>
      <w:r w:rsidR="00D036A5" w:rsidRPr="00D9185A">
        <w:t>’</w:t>
      </w:r>
      <w:r w:rsidRPr="00D9185A">
        <w:t xml:space="preserve"> position was </w:t>
      </w:r>
      <w:r w:rsidR="003772A5" w:rsidRPr="00D9185A">
        <w:t xml:space="preserve">largely </w:t>
      </w:r>
      <w:r w:rsidRPr="00D9185A">
        <w:t xml:space="preserve">due to </w:t>
      </w:r>
      <w:r w:rsidR="003772A5" w:rsidRPr="00D9185A">
        <w:t xml:space="preserve">expenses growth </w:t>
      </w:r>
      <w:r w:rsidR="00504B88" w:rsidRPr="00D9185A">
        <w:t>exceeding revenue</w:t>
      </w:r>
      <w:r w:rsidR="003772A5" w:rsidRPr="00D9185A">
        <w:t xml:space="preserve"> growth</w:t>
      </w:r>
      <w:r w:rsidR="004E7653" w:rsidRPr="00D9185A">
        <w:t xml:space="preserve"> (which reflected slower growth in GST transfers)</w:t>
      </w:r>
      <w:r w:rsidR="003772A5" w:rsidRPr="00D9185A">
        <w:t xml:space="preserve">, together with strong growth in state funded net capital investment.   </w:t>
      </w:r>
      <w:r w:rsidRPr="00D9185A">
        <w:t>The improvement in the fiscal balance since 2009–10 and continuing across the forward estimates is due to net capital investment coming off its peak, and significantly slower growth in expenses.</w:t>
      </w:r>
    </w:p>
    <w:p w:rsidR="004E1FE9" w:rsidRDefault="004E1FE9" w:rsidP="004E1FE9">
      <w:pPr>
        <w:pStyle w:val="BodyText"/>
      </w:pPr>
      <w:r w:rsidRPr="002E4828">
        <w:t xml:space="preserve">States’ aggregate operating balance deteriorated over the past decade but remained in surplus, although this position was supported by Commonwealth grants to the states for capital purposes relating to the fiscal stimulus and infrastructure.  These grants are treated as </w:t>
      </w:r>
      <w:r w:rsidR="005A5116">
        <w:t xml:space="preserve">recurrent </w:t>
      </w:r>
      <w:r w:rsidRPr="002E4828">
        <w:t xml:space="preserve">revenue by the states but </w:t>
      </w:r>
      <w:r w:rsidR="005A5116">
        <w:t xml:space="preserve">the associated spending on capital projects only affects </w:t>
      </w:r>
      <w:r w:rsidR="005A5116">
        <w:lastRenderedPageBreak/>
        <w:t xml:space="preserve">their fiscal balance, not their net operating balance. The Commonwealth payments </w:t>
      </w:r>
      <w:r w:rsidRPr="002E4828">
        <w:t>are tied to capital projects by agreements between the Commonwealt</w:t>
      </w:r>
      <w:r>
        <w:t xml:space="preserve">h and the states.  </w:t>
      </w:r>
      <w:r w:rsidR="00C52D4B">
        <w:t>Between </w:t>
      </w:r>
      <w:r w:rsidR="009F4350">
        <w:br/>
      </w:r>
      <w:r>
        <w:t>2009–</w:t>
      </w:r>
      <w:r w:rsidRPr="002E4828">
        <w:t>10 and 2011</w:t>
      </w:r>
      <w:r>
        <w:t>–</w:t>
      </w:r>
      <w:r w:rsidRPr="002E4828">
        <w:t>12, these grants (which peaked</w:t>
      </w:r>
      <w:r>
        <w:t xml:space="preserve"> at 1.4 per cent of GDP </w:t>
      </w:r>
      <w:r w:rsidR="00C52D4B">
        <w:t>in</w:t>
      </w:r>
      <w:r w:rsidR="009F4350">
        <w:t xml:space="preserve"> </w:t>
      </w:r>
      <w:r>
        <w:t>2009–</w:t>
      </w:r>
      <w:r w:rsidRPr="002E4828">
        <w:t xml:space="preserve">10) masked the slowing in underlying </w:t>
      </w:r>
      <w:r w:rsidR="00D036A5">
        <w:t xml:space="preserve">state </w:t>
      </w:r>
      <w:r w:rsidRPr="002E4828">
        <w:t xml:space="preserve">revenue which was not sufficient to cover </w:t>
      </w:r>
      <w:r w:rsidR="00D036A5">
        <w:t xml:space="preserve">recurrent </w:t>
      </w:r>
      <w:r w:rsidRPr="002E4828">
        <w:t>expenses.</w:t>
      </w:r>
    </w:p>
    <w:p w:rsidR="009F4350" w:rsidRDefault="001064E2" w:rsidP="009F4350">
      <w:pPr>
        <w:pStyle w:val="BodyText"/>
      </w:pPr>
      <w:r>
        <w:fldChar w:fldCharType="begin"/>
      </w:r>
      <w:r>
        <w:instrText xml:space="preserve"> REF _Ref418003443 \h </w:instrText>
      </w:r>
      <w:r>
        <w:fldChar w:fldCharType="separate"/>
      </w:r>
      <w:r w:rsidR="008B68F4">
        <w:t xml:space="preserve">Table </w:t>
      </w:r>
      <w:r w:rsidR="008B68F4">
        <w:rPr>
          <w:noProof/>
        </w:rPr>
        <w:t>1</w:t>
      </w:r>
      <w:r w:rsidR="008B68F4">
        <w:noBreakHyphen/>
      </w:r>
      <w:r w:rsidR="008B68F4">
        <w:rPr>
          <w:noProof/>
        </w:rPr>
        <w:t>1</w:t>
      </w:r>
      <w:r>
        <w:fldChar w:fldCharType="end"/>
      </w:r>
      <w:r>
        <w:t xml:space="preserve"> </w:t>
      </w:r>
      <w:r w:rsidR="009F4350" w:rsidRPr="00D9185A">
        <w:t xml:space="preserve">shows the </w:t>
      </w:r>
      <w:r w:rsidR="005A73BC" w:rsidRPr="00D9185A">
        <w:t xml:space="preserve">aggregate </w:t>
      </w:r>
      <w:r w:rsidR="009F4350" w:rsidRPr="00D9185A">
        <w:t xml:space="preserve">state net operating balance adjusted to exclude revenue from </w:t>
      </w:r>
      <w:r w:rsidR="002A6F63" w:rsidRPr="00D9185A">
        <w:t xml:space="preserve">Commonwealth </w:t>
      </w:r>
      <w:r w:rsidR="009F4350" w:rsidRPr="00D9185A">
        <w:t xml:space="preserve">capital grants. </w:t>
      </w:r>
      <w:r w:rsidR="00C608CF" w:rsidRPr="00D9185A">
        <w:t>After excluding the capital grants</w:t>
      </w:r>
      <w:r w:rsidR="009F4350" w:rsidRPr="00D9185A">
        <w:t>, the decline in the fiscal balance of 1.2</w:t>
      </w:r>
      <w:r w:rsidR="00C608CF" w:rsidRPr="00D9185A">
        <w:t> </w:t>
      </w:r>
      <w:r w:rsidR="009F4350" w:rsidRPr="00D9185A">
        <w:t>percentage points from 2002</w:t>
      </w:r>
      <w:r w:rsidR="009F4350" w:rsidRPr="00D9185A">
        <w:noBreakHyphen/>
        <w:t xml:space="preserve">03 to 2012-13 is </w:t>
      </w:r>
      <w:r w:rsidR="003772A5" w:rsidRPr="00D9185A">
        <w:t>due</w:t>
      </w:r>
      <w:r w:rsidR="009F4350" w:rsidRPr="00D9185A">
        <w:t xml:space="preserve"> in equal part</w:t>
      </w:r>
      <w:r w:rsidR="002A6F63" w:rsidRPr="00D9185A">
        <w:t>s</w:t>
      </w:r>
      <w:r w:rsidR="009F4350" w:rsidRPr="00D9185A">
        <w:t xml:space="preserve"> to a decline in the net operating balance (driven by recurrent </w:t>
      </w:r>
      <w:r w:rsidR="00C608CF" w:rsidRPr="00D9185A">
        <w:t xml:space="preserve">expenses exceeding </w:t>
      </w:r>
      <w:r w:rsidR="009F4350" w:rsidRPr="00D9185A">
        <w:t xml:space="preserve">revenue) and an increase in </w:t>
      </w:r>
      <w:r w:rsidR="00D9185A" w:rsidRPr="00F05B40">
        <w:t>state funded</w:t>
      </w:r>
      <w:r w:rsidR="00D9185A" w:rsidRPr="00D9185A">
        <w:t xml:space="preserve"> </w:t>
      </w:r>
      <w:r w:rsidR="00FA2011">
        <w:t>net capital investment.</w:t>
      </w:r>
    </w:p>
    <w:p w:rsidR="009E0635" w:rsidRPr="009E0635" w:rsidRDefault="00733807" w:rsidP="001064E2">
      <w:pPr>
        <w:pStyle w:val="Caption"/>
      </w:pPr>
      <w:bookmarkStart w:id="38" w:name="_Ref418003443"/>
      <w:bookmarkStart w:id="39" w:name="_Ref418003462"/>
      <w:bookmarkStart w:id="40" w:name="_Toc418077580"/>
      <w:r>
        <w:t xml:space="preserve">Table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Table \* ARABIC \s 1 </w:instrText>
      </w:r>
      <w:r w:rsidR="003A23CE">
        <w:fldChar w:fldCharType="separate"/>
      </w:r>
      <w:r w:rsidR="008B68F4">
        <w:rPr>
          <w:noProof/>
        </w:rPr>
        <w:t>1</w:t>
      </w:r>
      <w:r w:rsidR="003A23CE">
        <w:rPr>
          <w:noProof/>
        </w:rPr>
        <w:fldChar w:fldCharType="end"/>
      </w:r>
      <w:bookmarkEnd w:id="38"/>
      <w:r w:rsidR="00103EDC">
        <w:t xml:space="preserve">: </w:t>
      </w:r>
      <w:r w:rsidR="009F4350">
        <w:t>Selected</w:t>
      </w:r>
      <w:r w:rsidR="00103EDC">
        <w:t xml:space="preserve"> state fiscal aggregates </w:t>
      </w:r>
      <w:r w:rsidR="009E0635">
        <w:t>and grants for capital purposes</w:t>
      </w:r>
      <w:bookmarkEnd w:id="39"/>
      <w:bookmarkEnd w:id="40"/>
      <w:r w:rsidR="009E0635">
        <w:fldChar w:fldCharType="begin"/>
      </w:r>
      <w:r w:rsidR="009E0635">
        <w:instrText xml:space="preserve"> LINK </w:instrText>
      </w:r>
      <w:r w:rsidR="0089246D">
        <w:instrText xml:space="preserve">Excel.Sheet.12 "\\\\Pbohome01\\pbo-shared\\PBO-Department\\Fiscal Policy &amp; Analysis Division (FPAD)\\National Fiscal Trends\\Data\\NCI data\\Impact of capital grants on balances.xlsx" "Table for report!R1C1:R8C4" </w:instrText>
      </w:r>
      <w:r w:rsidR="009E0635">
        <w:instrText xml:space="preserve">\a \f 4 \h  \* MERGEFORMAT </w:instrText>
      </w:r>
      <w:r w:rsidR="009E0635">
        <w:fldChar w:fldCharType="separate"/>
      </w:r>
    </w:p>
    <w:tbl>
      <w:tblPr>
        <w:tblW w:w="8505" w:type="dxa"/>
        <w:tblInd w:w="108" w:type="dxa"/>
        <w:tblLook w:val="04A0" w:firstRow="1" w:lastRow="0" w:firstColumn="1" w:lastColumn="0" w:noHBand="0" w:noVBand="1"/>
      </w:tblPr>
      <w:tblGrid>
        <w:gridCol w:w="5245"/>
        <w:gridCol w:w="897"/>
        <w:gridCol w:w="1003"/>
        <w:gridCol w:w="1360"/>
      </w:tblGrid>
      <w:tr w:rsidR="009E0635" w:rsidRPr="009E0635" w:rsidTr="00DD7641">
        <w:trPr>
          <w:trHeight w:val="751"/>
        </w:trPr>
        <w:tc>
          <w:tcPr>
            <w:tcW w:w="5245" w:type="dxa"/>
            <w:shd w:val="clear" w:color="000000" w:fill="2B3B5F"/>
            <w:vAlign w:val="center"/>
            <w:hideMark/>
          </w:tcPr>
          <w:p w:rsidR="009E0635" w:rsidRPr="009E0635" w:rsidRDefault="009E0635" w:rsidP="00BC288D">
            <w:pPr>
              <w:spacing w:before="100" w:beforeAutospacing="1" w:line="240" w:lineRule="auto"/>
              <w:jc w:val="center"/>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 </w:t>
            </w:r>
          </w:p>
        </w:tc>
        <w:tc>
          <w:tcPr>
            <w:tcW w:w="1134" w:type="dxa"/>
            <w:shd w:val="clear" w:color="000000" w:fill="2B3B5F"/>
            <w:vAlign w:val="center"/>
            <w:hideMark/>
          </w:tcPr>
          <w:p w:rsidR="00C608CF" w:rsidRDefault="009E0635" w:rsidP="00BC288D">
            <w:pPr>
              <w:spacing w:before="100" w:beforeAutospacing="1" w:line="240" w:lineRule="auto"/>
              <w:jc w:val="center"/>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2002-03</w:t>
            </w:r>
            <w:r w:rsidR="00C608CF">
              <w:rPr>
                <w:rFonts w:ascii="Arial" w:eastAsia="Times New Roman" w:hAnsi="Arial" w:cs="Arial"/>
                <w:b/>
                <w:bCs/>
                <w:color w:val="FFFFFF"/>
                <w:sz w:val="16"/>
                <w:szCs w:val="16"/>
                <w:lang w:eastAsia="en-AU"/>
              </w:rPr>
              <w:t xml:space="preserve"> </w:t>
            </w:r>
          </w:p>
          <w:p w:rsidR="009E0635" w:rsidRPr="009E0635" w:rsidRDefault="00025DCB" w:rsidP="00BC288D">
            <w:pPr>
              <w:spacing w:before="100" w:beforeAutospacing="1" w:line="240" w:lineRule="auto"/>
              <w:jc w:val="center"/>
              <w:rPr>
                <w:rFonts w:ascii="Arial" w:eastAsia="Times New Roman" w:hAnsi="Arial" w:cs="Arial"/>
                <w:b/>
                <w:bCs/>
                <w:color w:val="FFFFFF"/>
                <w:sz w:val="16"/>
                <w:szCs w:val="16"/>
                <w:lang w:eastAsia="en-AU"/>
              </w:rPr>
            </w:pPr>
            <w:r>
              <w:rPr>
                <w:rFonts w:ascii="Arial" w:eastAsia="Times New Roman" w:hAnsi="Arial" w:cs="Arial"/>
                <w:b/>
                <w:bCs/>
                <w:color w:val="FFFFFF"/>
                <w:sz w:val="16"/>
                <w:szCs w:val="16"/>
                <w:lang w:eastAsia="en-AU"/>
              </w:rPr>
              <w:t>(% of</w:t>
            </w:r>
            <w:r w:rsidR="00C608CF">
              <w:rPr>
                <w:rFonts w:ascii="Arial" w:eastAsia="Times New Roman" w:hAnsi="Arial" w:cs="Arial"/>
                <w:b/>
                <w:bCs/>
                <w:color w:val="FFFFFF"/>
                <w:sz w:val="16"/>
                <w:szCs w:val="16"/>
                <w:lang w:eastAsia="en-AU"/>
              </w:rPr>
              <w:t xml:space="preserve"> GDP)</w:t>
            </w:r>
          </w:p>
        </w:tc>
        <w:tc>
          <w:tcPr>
            <w:tcW w:w="1333" w:type="dxa"/>
            <w:shd w:val="clear" w:color="000000" w:fill="2B3B5F"/>
            <w:vAlign w:val="center"/>
            <w:hideMark/>
          </w:tcPr>
          <w:p w:rsidR="009E0635" w:rsidRDefault="009E0635" w:rsidP="00BC288D">
            <w:pPr>
              <w:spacing w:before="100" w:beforeAutospacing="1" w:line="240" w:lineRule="auto"/>
              <w:jc w:val="center"/>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2012-13</w:t>
            </w:r>
          </w:p>
          <w:p w:rsidR="00C608CF" w:rsidRPr="009E0635" w:rsidRDefault="00C608CF" w:rsidP="00BC288D">
            <w:pPr>
              <w:spacing w:before="100" w:beforeAutospacing="1" w:line="240" w:lineRule="auto"/>
              <w:jc w:val="center"/>
              <w:rPr>
                <w:rFonts w:ascii="Arial" w:eastAsia="Times New Roman" w:hAnsi="Arial" w:cs="Arial"/>
                <w:b/>
                <w:bCs/>
                <w:color w:val="FFFFFF"/>
                <w:sz w:val="16"/>
                <w:szCs w:val="16"/>
                <w:lang w:eastAsia="en-AU"/>
              </w:rPr>
            </w:pPr>
            <w:r>
              <w:rPr>
                <w:rFonts w:ascii="Arial" w:eastAsia="Times New Roman" w:hAnsi="Arial" w:cs="Arial"/>
                <w:b/>
                <w:bCs/>
                <w:color w:val="FFFFFF"/>
                <w:sz w:val="16"/>
                <w:szCs w:val="16"/>
                <w:lang w:eastAsia="en-AU"/>
              </w:rPr>
              <w:t>(% of GDP)</w:t>
            </w:r>
          </w:p>
        </w:tc>
        <w:tc>
          <w:tcPr>
            <w:tcW w:w="1360" w:type="dxa"/>
            <w:shd w:val="clear" w:color="000000" w:fill="2B3B5F"/>
            <w:vAlign w:val="center"/>
            <w:hideMark/>
          </w:tcPr>
          <w:p w:rsidR="009E0635" w:rsidRDefault="0068612F" w:rsidP="00BC288D">
            <w:pPr>
              <w:spacing w:before="100" w:beforeAutospacing="1" w:line="240" w:lineRule="auto"/>
              <w:jc w:val="center"/>
              <w:rPr>
                <w:rFonts w:ascii="Arial" w:eastAsia="Times New Roman" w:hAnsi="Arial" w:cs="Arial"/>
                <w:b/>
                <w:bCs/>
                <w:color w:val="FFFFFF"/>
                <w:sz w:val="16"/>
                <w:szCs w:val="16"/>
                <w:lang w:eastAsia="en-AU"/>
              </w:rPr>
            </w:pPr>
            <w:r>
              <w:rPr>
                <w:rFonts w:ascii="Arial" w:eastAsia="Times New Roman" w:hAnsi="Arial" w:cs="Arial"/>
                <w:b/>
                <w:bCs/>
                <w:color w:val="FFFFFF"/>
                <w:sz w:val="16"/>
                <w:szCs w:val="16"/>
                <w:lang w:eastAsia="en-AU"/>
              </w:rPr>
              <w:t>Change from 2002-03 to </w:t>
            </w:r>
            <w:r w:rsidR="009E0635" w:rsidRPr="009E0635">
              <w:rPr>
                <w:rFonts w:ascii="Arial" w:eastAsia="Times New Roman" w:hAnsi="Arial" w:cs="Arial"/>
                <w:b/>
                <w:bCs/>
                <w:color w:val="FFFFFF"/>
                <w:sz w:val="16"/>
                <w:szCs w:val="16"/>
                <w:lang w:eastAsia="en-AU"/>
              </w:rPr>
              <w:t>2012-13</w:t>
            </w:r>
          </w:p>
          <w:p w:rsidR="00C608CF" w:rsidRPr="009E0635" w:rsidRDefault="00C608CF" w:rsidP="00BC288D">
            <w:pPr>
              <w:spacing w:before="100" w:beforeAutospacing="1" w:line="240" w:lineRule="auto"/>
              <w:jc w:val="center"/>
              <w:rPr>
                <w:rFonts w:ascii="Arial" w:eastAsia="Times New Roman" w:hAnsi="Arial" w:cs="Arial"/>
                <w:b/>
                <w:bCs/>
                <w:color w:val="FFFFFF"/>
                <w:sz w:val="16"/>
                <w:szCs w:val="16"/>
                <w:lang w:eastAsia="en-AU"/>
              </w:rPr>
            </w:pPr>
            <w:r>
              <w:rPr>
                <w:rFonts w:ascii="Arial" w:eastAsia="Times New Roman" w:hAnsi="Arial" w:cs="Arial"/>
                <w:b/>
                <w:bCs/>
                <w:color w:val="FFFFFF"/>
                <w:sz w:val="16"/>
                <w:szCs w:val="16"/>
                <w:lang w:eastAsia="en-AU"/>
              </w:rPr>
              <w:t>(% of GDP)</w:t>
            </w:r>
          </w:p>
        </w:tc>
      </w:tr>
      <w:tr w:rsidR="009E0635" w:rsidRPr="009E0635" w:rsidTr="00DD7641">
        <w:trPr>
          <w:trHeight w:val="300"/>
        </w:trPr>
        <w:tc>
          <w:tcPr>
            <w:tcW w:w="5245" w:type="dxa"/>
            <w:shd w:val="clear" w:color="auto" w:fill="auto"/>
            <w:vAlign w:val="center"/>
            <w:hideMark/>
          </w:tcPr>
          <w:p w:rsidR="009E0635" w:rsidRPr="009E0635" w:rsidRDefault="009E0635" w:rsidP="00BC288D">
            <w:pPr>
              <w:spacing w:before="100" w:beforeAutospacing="1" w:line="240" w:lineRule="auto"/>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Net operating balance</w:t>
            </w:r>
          </w:p>
        </w:tc>
        <w:tc>
          <w:tcPr>
            <w:tcW w:w="1134" w:type="dxa"/>
            <w:shd w:val="clear" w:color="auto" w:fill="auto"/>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0.7</w:t>
            </w:r>
          </w:p>
        </w:tc>
        <w:tc>
          <w:tcPr>
            <w:tcW w:w="1333" w:type="dxa"/>
            <w:shd w:val="clear" w:color="auto" w:fill="auto"/>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0.1</w:t>
            </w:r>
          </w:p>
        </w:tc>
        <w:tc>
          <w:tcPr>
            <w:tcW w:w="1360" w:type="dxa"/>
            <w:shd w:val="clear" w:color="auto" w:fill="auto"/>
            <w:vAlign w:val="center"/>
            <w:hideMark/>
          </w:tcPr>
          <w:p w:rsidR="009E0635" w:rsidRPr="009E0635" w:rsidRDefault="009E0635" w:rsidP="00BC288D">
            <w:pPr>
              <w:spacing w:before="100" w:beforeAutospacing="1" w:line="240" w:lineRule="auto"/>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 </w:t>
            </w:r>
          </w:p>
        </w:tc>
      </w:tr>
      <w:tr w:rsidR="009E0635" w:rsidRPr="009E0635" w:rsidTr="00DD7641">
        <w:trPr>
          <w:trHeight w:val="300"/>
        </w:trPr>
        <w:tc>
          <w:tcPr>
            <w:tcW w:w="5245" w:type="dxa"/>
            <w:shd w:val="clear" w:color="auto" w:fill="auto"/>
            <w:vAlign w:val="center"/>
            <w:hideMark/>
          </w:tcPr>
          <w:p w:rsidR="009E0635" w:rsidRPr="009E0635" w:rsidRDefault="009E0635" w:rsidP="00BC288D">
            <w:pPr>
              <w:spacing w:before="100" w:beforeAutospacing="1" w:line="240" w:lineRule="auto"/>
              <w:ind w:firstLineChars="100" w:firstLine="160"/>
              <w:rPr>
                <w:rFonts w:ascii="Arial" w:eastAsia="Times New Roman" w:hAnsi="Arial" w:cs="Arial"/>
                <w:i/>
                <w:iCs/>
                <w:sz w:val="16"/>
                <w:szCs w:val="16"/>
                <w:lang w:eastAsia="en-AU"/>
              </w:rPr>
            </w:pPr>
            <w:r w:rsidRPr="009E0635">
              <w:rPr>
                <w:rFonts w:ascii="Arial" w:eastAsia="Times New Roman" w:hAnsi="Arial" w:cs="Arial"/>
                <w:i/>
                <w:iCs/>
                <w:sz w:val="16"/>
                <w:szCs w:val="16"/>
                <w:lang w:eastAsia="en-AU"/>
              </w:rPr>
              <w:t>Revenue from capital grants</w:t>
            </w:r>
          </w:p>
        </w:tc>
        <w:tc>
          <w:tcPr>
            <w:tcW w:w="1134" w:type="dxa"/>
            <w:shd w:val="clear" w:color="auto" w:fill="auto"/>
            <w:vAlign w:val="center"/>
            <w:hideMark/>
          </w:tcPr>
          <w:p w:rsidR="009E0635" w:rsidRPr="00C608CF" w:rsidRDefault="009E0635" w:rsidP="00BC288D">
            <w:pPr>
              <w:spacing w:before="100" w:beforeAutospacing="1" w:line="240" w:lineRule="auto"/>
              <w:jc w:val="right"/>
              <w:rPr>
                <w:rFonts w:ascii="Arial" w:eastAsia="Times New Roman" w:hAnsi="Arial" w:cs="Arial"/>
                <w:bCs/>
                <w:i/>
                <w:sz w:val="16"/>
                <w:szCs w:val="16"/>
                <w:lang w:eastAsia="en-AU"/>
              </w:rPr>
            </w:pPr>
            <w:r w:rsidRPr="00C608CF">
              <w:rPr>
                <w:rFonts w:ascii="Arial" w:eastAsia="Times New Roman" w:hAnsi="Arial" w:cs="Arial"/>
                <w:bCs/>
                <w:i/>
                <w:sz w:val="16"/>
                <w:szCs w:val="16"/>
                <w:lang w:eastAsia="en-AU"/>
              </w:rPr>
              <w:t>0.3</w:t>
            </w:r>
          </w:p>
        </w:tc>
        <w:tc>
          <w:tcPr>
            <w:tcW w:w="1333" w:type="dxa"/>
            <w:shd w:val="clear" w:color="auto" w:fill="auto"/>
            <w:vAlign w:val="center"/>
            <w:hideMark/>
          </w:tcPr>
          <w:p w:rsidR="009E0635" w:rsidRPr="00C608CF" w:rsidRDefault="009E0635" w:rsidP="00BC288D">
            <w:pPr>
              <w:spacing w:before="100" w:beforeAutospacing="1" w:line="240" w:lineRule="auto"/>
              <w:jc w:val="right"/>
              <w:rPr>
                <w:rFonts w:ascii="Arial" w:eastAsia="Times New Roman" w:hAnsi="Arial" w:cs="Arial"/>
                <w:bCs/>
                <w:i/>
                <w:sz w:val="16"/>
                <w:szCs w:val="16"/>
                <w:lang w:eastAsia="en-AU"/>
              </w:rPr>
            </w:pPr>
            <w:r w:rsidRPr="00C608CF">
              <w:rPr>
                <w:rFonts w:ascii="Arial" w:eastAsia="Times New Roman" w:hAnsi="Arial" w:cs="Arial"/>
                <w:bCs/>
                <w:i/>
                <w:sz w:val="16"/>
                <w:szCs w:val="16"/>
                <w:lang w:eastAsia="en-AU"/>
              </w:rPr>
              <w:t>0.3</w:t>
            </w:r>
          </w:p>
        </w:tc>
        <w:tc>
          <w:tcPr>
            <w:tcW w:w="1360" w:type="dxa"/>
            <w:shd w:val="clear" w:color="auto" w:fill="auto"/>
            <w:noWrap/>
            <w:vAlign w:val="bottom"/>
            <w:hideMark/>
          </w:tcPr>
          <w:p w:rsidR="009E0635" w:rsidRPr="009E0635" w:rsidRDefault="009E0635" w:rsidP="00BC288D">
            <w:pPr>
              <w:spacing w:before="100" w:beforeAutospacing="1" w:line="240" w:lineRule="auto"/>
              <w:rPr>
                <w:rFonts w:ascii="Calibri" w:eastAsia="Times New Roman" w:hAnsi="Calibri" w:cs="Times New Roman"/>
                <w:color w:val="000000"/>
                <w:lang w:eastAsia="en-AU"/>
              </w:rPr>
            </w:pPr>
          </w:p>
        </w:tc>
      </w:tr>
      <w:tr w:rsidR="009E0635" w:rsidRPr="009E0635" w:rsidTr="00DD7641">
        <w:trPr>
          <w:trHeight w:val="300"/>
        </w:trPr>
        <w:tc>
          <w:tcPr>
            <w:tcW w:w="5245" w:type="dxa"/>
            <w:shd w:val="clear" w:color="auto" w:fill="CBD4E7" w:themeFill="text2" w:themeFillTint="33"/>
            <w:vAlign w:val="center"/>
            <w:hideMark/>
          </w:tcPr>
          <w:p w:rsidR="009E0635" w:rsidRPr="009E0635" w:rsidRDefault="009E0635" w:rsidP="00BC288D">
            <w:pPr>
              <w:spacing w:before="100" w:beforeAutospacing="1" w:line="240" w:lineRule="auto"/>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Net operating balance (excluding revenue from capital grants)</w:t>
            </w:r>
          </w:p>
        </w:tc>
        <w:tc>
          <w:tcPr>
            <w:tcW w:w="1134"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0.4</w:t>
            </w:r>
          </w:p>
        </w:tc>
        <w:tc>
          <w:tcPr>
            <w:tcW w:w="1333"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-0.2</w:t>
            </w:r>
          </w:p>
        </w:tc>
        <w:tc>
          <w:tcPr>
            <w:tcW w:w="1360"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-0.6</w:t>
            </w:r>
          </w:p>
        </w:tc>
      </w:tr>
      <w:tr w:rsidR="009E0635" w:rsidRPr="009E0635" w:rsidTr="00DD7641">
        <w:trPr>
          <w:trHeight w:val="300"/>
        </w:trPr>
        <w:tc>
          <w:tcPr>
            <w:tcW w:w="5245" w:type="dxa"/>
            <w:shd w:val="clear" w:color="auto" w:fill="auto"/>
            <w:vAlign w:val="center"/>
            <w:hideMark/>
          </w:tcPr>
          <w:p w:rsidR="009E0635" w:rsidRPr="009E0635" w:rsidRDefault="009E0635" w:rsidP="00BC288D">
            <w:pPr>
              <w:spacing w:before="100" w:beforeAutospacing="1" w:line="240" w:lineRule="auto"/>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Net capital investment</w:t>
            </w:r>
          </w:p>
        </w:tc>
        <w:tc>
          <w:tcPr>
            <w:tcW w:w="1134" w:type="dxa"/>
            <w:shd w:val="clear" w:color="auto" w:fill="auto"/>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0.4</w:t>
            </w:r>
          </w:p>
        </w:tc>
        <w:tc>
          <w:tcPr>
            <w:tcW w:w="1333" w:type="dxa"/>
            <w:shd w:val="clear" w:color="auto" w:fill="auto"/>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1.1</w:t>
            </w:r>
          </w:p>
        </w:tc>
        <w:tc>
          <w:tcPr>
            <w:tcW w:w="1360" w:type="dxa"/>
            <w:shd w:val="clear" w:color="auto" w:fill="auto"/>
            <w:vAlign w:val="center"/>
            <w:hideMark/>
          </w:tcPr>
          <w:p w:rsidR="009E0635" w:rsidRPr="009E0635" w:rsidRDefault="009E0635" w:rsidP="00BC288D">
            <w:pPr>
              <w:spacing w:before="100" w:beforeAutospacing="1" w:line="240" w:lineRule="auto"/>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 </w:t>
            </w:r>
          </w:p>
        </w:tc>
      </w:tr>
      <w:tr w:rsidR="009E0635" w:rsidRPr="009E0635" w:rsidTr="00DD7641">
        <w:trPr>
          <w:trHeight w:val="300"/>
        </w:trPr>
        <w:tc>
          <w:tcPr>
            <w:tcW w:w="5245" w:type="dxa"/>
            <w:shd w:val="clear" w:color="auto" w:fill="auto"/>
            <w:vAlign w:val="center"/>
            <w:hideMark/>
          </w:tcPr>
          <w:p w:rsidR="009E0635" w:rsidRPr="00C608CF" w:rsidRDefault="009E0635" w:rsidP="00BC288D">
            <w:pPr>
              <w:spacing w:before="100" w:beforeAutospacing="1" w:line="240" w:lineRule="auto"/>
              <w:ind w:firstLineChars="100" w:firstLine="160"/>
              <w:rPr>
                <w:rFonts w:ascii="Arial" w:eastAsia="Times New Roman" w:hAnsi="Arial" w:cs="Arial"/>
                <w:i/>
                <w:iCs/>
                <w:sz w:val="16"/>
                <w:szCs w:val="16"/>
                <w:lang w:eastAsia="en-AU"/>
              </w:rPr>
            </w:pPr>
            <w:r w:rsidRPr="00C608CF">
              <w:rPr>
                <w:rFonts w:ascii="Arial" w:eastAsia="Times New Roman" w:hAnsi="Arial" w:cs="Arial"/>
                <w:i/>
                <w:iCs/>
                <w:sz w:val="16"/>
                <w:szCs w:val="16"/>
                <w:lang w:eastAsia="en-AU"/>
              </w:rPr>
              <w:t>Revenue from capital grants</w:t>
            </w:r>
          </w:p>
        </w:tc>
        <w:tc>
          <w:tcPr>
            <w:tcW w:w="1134" w:type="dxa"/>
            <w:shd w:val="clear" w:color="auto" w:fill="auto"/>
            <w:vAlign w:val="center"/>
            <w:hideMark/>
          </w:tcPr>
          <w:p w:rsidR="009E0635" w:rsidRPr="00C608CF" w:rsidRDefault="009E0635" w:rsidP="00BC288D">
            <w:pPr>
              <w:spacing w:before="100" w:beforeAutospacing="1" w:line="240" w:lineRule="auto"/>
              <w:jc w:val="right"/>
              <w:rPr>
                <w:rFonts w:ascii="Arial" w:eastAsia="Times New Roman" w:hAnsi="Arial" w:cs="Arial"/>
                <w:bCs/>
                <w:i/>
                <w:sz w:val="16"/>
                <w:szCs w:val="16"/>
                <w:lang w:eastAsia="en-AU"/>
              </w:rPr>
            </w:pPr>
            <w:r w:rsidRPr="00C608CF">
              <w:rPr>
                <w:rFonts w:ascii="Arial" w:eastAsia="Times New Roman" w:hAnsi="Arial" w:cs="Arial"/>
                <w:bCs/>
                <w:i/>
                <w:sz w:val="16"/>
                <w:szCs w:val="16"/>
                <w:lang w:eastAsia="en-AU"/>
              </w:rPr>
              <w:t>0.3</w:t>
            </w:r>
          </w:p>
        </w:tc>
        <w:tc>
          <w:tcPr>
            <w:tcW w:w="1333" w:type="dxa"/>
            <w:shd w:val="clear" w:color="auto" w:fill="auto"/>
            <w:vAlign w:val="center"/>
            <w:hideMark/>
          </w:tcPr>
          <w:p w:rsidR="009E0635" w:rsidRPr="00C608CF" w:rsidRDefault="009E0635" w:rsidP="00BC288D">
            <w:pPr>
              <w:spacing w:before="100" w:beforeAutospacing="1" w:line="240" w:lineRule="auto"/>
              <w:jc w:val="right"/>
              <w:rPr>
                <w:rFonts w:ascii="Arial" w:eastAsia="Times New Roman" w:hAnsi="Arial" w:cs="Arial"/>
                <w:bCs/>
                <w:i/>
                <w:sz w:val="16"/>
                <w:szCs w:val="16"/>
                <w:lang w:eastAsia="en-AU"/>
              </w:rPr>
            </w:pPr>
            <w:r w:rsidRPr="00C608CF">
              <w:rPr>
                <w:rFonts w:ascii="Arial" w:eastAsia="Times New Roman" w:hAnsi="Arial" w:cs="Arial"/>
                <w:bCs/>
                <w:i/>
                <w:sz w:val="16"/>
                <w:szCs w:val="16"/>
                <w:lang w:eastAsia="en-AU"/>
              </w:rPr>
              <w:t>0.3</w:t>
            </w:r>
          </w:p>
        </w:tc>
        <w:tc>
          <w:tcPr>
            <w:tcW w:w="1360" w:type="dxa"/>
            <w:shd w:val="clear" w:color="auto" w:fill="auto"/>
            <w:vAlign w:val="center"/>
            <w:hideMark/>
          </w:tcPr>
          <w:p w:rsidR="009E0635" w:rsidRPr="00C608CF" w:rsidRDefault="009E0635" w:rsidP="00BC288D">
            <w:pPr>
              <w:spacing w:before="100" w:beforeAutospacing="1" w:line="240" w:lineRule="auto"/>
              <w:rPr>
                <w:rFonts w:ascii="Arial" w:eastAsia="Times New Roman" w:hAnsi="Arial" w:cs="Arial"/>
                <w:bCs/>
                <w:i/>
                <w:sz w:val="16"/>
                <w:szCs w:val="16"/>
                <w:lang w:eastAsia="en-AU"/>
              </w:rPr>
            </w:pPr>
          </w:p>
        </w:tc>
      </w:tr>
      <w:tr w:rsidR="009E0635" w:rsidRPr="009E0635" w:rsidTr="00DD7641">
        <w:trPr>
          <w:trHeight w:val="394"/>
        </w:trPr>
        <w:tc>
          <w:tcPr>
            <w:tcW w:w="5245" w:type="dxa"/>
            <w:shd w:val="clear" w:color="auto" w:fill="CBD4E7" w:themeFill="text2" w:themeFillTint="33"/>
            <w:noWrap/>
            <w:vAlign w:val="bottom"/>
            <w:hideMark/>
          </w:tcPr>
          <w:p w:rsidR="009E0635" w:rsidRPr="009E0635" w:rsidRDefault="009E0635" w:rsidP="00BC288D">
            <w:pPr>
              <w:spacing w:before="100" w:beforeAutospacing="1" w:line="240" w:lineRule="auto"/>
              <w:rPr>
                <w:rFonts w:ascii="Arial" w:eastAsia="Times New Roman" w:hAnsi="Arial" w:cs="Arial"/>
                <w:b/>
                <w:bCs/>
                <w:color w:val="000000"/>
                <w:sz w:val="16"/>
                <w:szCs w:val="16"/>
                <w:lang w:eastAsia="en-AU"/>
              </w:rPr>
            </w:pPr>
            <w:r w:rsidRPr="009E0635">
              <w:rPr>
                <w:rFonts w:ascii="Arial" w:eastAsia="Times New Roman" w:hAnsi="Arial" w:cs="Arial"/>
                <w:b/>
                <w:bCs/>
                <w:color w:val="000000"/>
                <w:sz w:val="16"/>
                <w:szCs w:val="16"/>
                <w:lang w:eastAsia="en-AU"/>
              </w:rPr>
              <w:t>Net capital investment (excluding</w:t>
            </w:r>
            <w:r w:rsidR="002A6F63">
              <w:rPr>
                <w:rFonts w:ascii="Arial" w:eastAsia="Times New Roman" w:hAnsi="Arial" w:cs="Arial"/>
                <w:b/>
                <w:bCs/>
                <w:color w:val="000000"/>
                <w:sz w:val="16"/>
                <w:szCs w:val="16"/>
                <w:lang w:eastAsia="en-AU"/>
              </w:rPr>
              <w:t xml:space="preserve"> that financed from</w:t>
            </w:r>
            <w:r w:rsidRPr="009E0635">
              <w:rPr>
                <w:rFonts w:ascii="Arial" w:eastAsia="Times New Roman" w:hAnsi="Arial" w:cs="Arial"/>
                <w:b/>
                <w:bCs/>
                <w:color w:val="000000"/>
                <w:sz w:val="16"/>
                <w:szCs w:val="16"/>
                <w:lang w:eastAsia="en-AU"/>
              </w:rPr>
              <w:t xml:space="preserve"> capital grants)</w:t>
            </w:r>
          </w:p>
        </w:tc>
        <w:tc>
          <w:tcPr>
            <w:tcW w:w="1134"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0.1</w:t>
            </w:r>
          </w:p>
        </w:tc>
        <w:tc>
          <w:tcPr>
            <w:tcW w:w="1333"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0.8</w:t>
            </w:r>
          </w:p>
        </w:tc>
        <w:tc>
          <w:tcPr>
            <w:tcW w:w="1360" w:type="dxa"/>
            <w:shd w:val="clear" w:color="auto" w:fill="CBD4E7" w:themeFill="text2" w:themeFillTint="33"/>
            <w:vAlign w:val="center"/>
            <w:hideMark/>
          </w:tcPr>
          <w:p w:rsidR="009E0635" w:rsidRPr="009E0635" w:rsidRDefault="009E0635" w:rsidP="00BC288D">
            <w:pPr>
              <w:spacing w:before="100" w:beforeAutospacing="1" w:line="240" w:lineRule="auto"/>
              <w:jc w:val="right"/>
              <w:rPr>
                <w:rFonts w:ascii="Arial" w:eastAsia="Times New Roman" w:hAnsi="Arial" w:cs="Arial"/>
                <w:b/>
                <w:bCs/>
                <w:sz w:val="16"/>
                <w:szCs w:val="16"/>
                <w:lang w:eastAsia="en-AU"/>
              </w:rPr>
            </w:pPr>
            <w:r w:rsidRPr="009E0635">
              <w:rPr>
                <w:rFonts w:ascii="Arial" w:eastAsia="Times New Roman" w:hAnsi="Arial" w:cs="Arial"/>
                <w:b/>
                <w:bCs/>
                <w:sz w:val="16"/>
                <w:szCs w:val="16"/>
                <w:lang w:eastAsia="en-AU"/>
              </w:rPr>
              <w:t>0.6</w:t>
            </w:r>
          </w:p>
        </w:tc>
      </w:tr>
      <w:tr w:rsidR="009E0635" w:rsidRPr="009E0635" w:rsidTr="00DD7641">
        <w:trPr>
          <w:trHeight w:val="536"/>
        </w:trPr>
        <w:tc>
          <w:tcPr>
            <w:tcW w:w="5245" w:type="dxa"/>
            <w:shd w:val="clear" w:color="000000" w:fill="2B3B5F"/>
            <w:vAlign w:val="center"/>
            <w:hideMark/>
          </w:tcPr>
          <w:p w:rsidR="009E0635" w:rsidRPr="009E0635" w:rsidRDefault="009E0635" w:rsidP="00BC288D">
            <w:pPr>
              <w:spacing w:before="100" w:beforeAutospacing="1" w:line="240" w:lineRule="auto"/>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 xml:space="preserve">Fiscal balance (net operating balance </w:t>
            </w:r>
            <w:r w:rsidRPr="009E0635">
              <w:rPr>
                <w:rFonts w:ascii="Arial" w:eastAsia="Times New Roman" w:hAnsi="Arial" w:cs="Arial"/>
                <w:b/>
                <w:bCs/>
                <w:i/>
                <w:iCs/>
                <w:color w:val="FFFFFF"/>
                <w:sz w:val="16"/>
                <w:szCs w:val="16"/>
                <w:lang w:eastAsia="en-AU"/>
              </w:rPr>
              <w:t>less</w:t>
            </w:r>
            <w:r w:rsidRPr="009E0635">
              <w:rPr>
                <w:rFonts w:ascii="Arial" w:eastAsia="Times New Roman" w:hAnsi="Arial" w:cs="Arial"/>
                <w:b/>
                <w:bCs/>
                <w:color w:val="FFFFFF"/>
                <w:sz w:val="16"/>
                <w:szCs w:val="16"/>
                <w:lang w:eastAsia="en-AU"/>
              </w:rPr>
              <w:t xml:space="preserve"> net capital investment)</w:t>
            </w:r>
          </w:p>
        </w:tc>
        <w:tc>
          <w:tcPr>
            <w:tcW w:w="1134" w:type="dxa"/>
            <w:shd w:val="clear" w:color="000000" w:fill="2B3B5F"/>
            <w:vAlign w:val="center"/>
            <w:hideMark/>
          </w:tcPr>
          <w:p w:rsidR="009E0635" w:rsidRPr="009E0635" w:rsidRDefault="009E0635" w:rsidP="00BC288D">
            <w:pPr>
              <w:spacing w:before="100" w:beforeAutospacing="1" w:line="240" w:lineRule="auto"/>
              <w:jc w:val="right"/>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0.2</w:t>
            </w:r>
          </w:p>
        </w:tc>
        <w:tc>
          <w:tcPr>
            <w:tcW w:w="1333" w:type="dxa"/>
            <w:shd w:val="clear" w:color="000000" w:fill="2B3B5F"/>
            <w:vAlign w:val="center"/>
            <w:hideMark/>
          </w:tcPr>
          <w:p w:rsidR="009E0635" w:rsidRPr="009E0635" w:rsidRDefault="009E0635" w:rsidP="00BC288D">
            <w:pPr>
              <w:spacing w:before="100" w:beforeAutospacing="1" w:line="240" w:lineRule="auto"/>
              <w:jc w:val="right"/>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-1.0</w:t>
            </w:r>
          </w:p>
        </w:tc>
        <w:tc>
          <w:tcPr>
            <w:tcW w:w="1360" w:type="dxa"/>
            <w:shd w:val="clear" w:color="000000" w:fill="2B3B5F"/>
            <w:vAlign w:val="center"/>
            <w:hideMark/>
          </w:tcPr>
          <w:p w:rsidR="009E0635" w:rsidRPr="009E0635" w:rsidRDefault="009E0635" w:rsidP="00BC288D">
            <w:pPr>
              <w:spacing w:before="100" w:beforeAutospacing="1" w:line="240" w:lineRule="auto"/>
              <w:jc w:val="right"/>
              <w:rPr>
                <w:rFonts w:ascii="Arial" w:eastAsia="Times New Roman" w:hAnsi="Arial" w:cs="Arial"/>
                <w:b/>
                <w:bCs/>
                <w:color w:val="FFFFFF"/>
                <w:sz w:val="16"/>
                <w:szCs w:val="16"/>
                <w:lang w:eastAsia="en-AU"/>
              </w:rPr>
            </w:pPr>
            <w:r w:rsidRPr="009E0635">
              <w:rPr>
                <w:rFonts w:ascii="Arial" w:eastAsia="Times New Roman" w:hAnsi="Arial" w:cs="Arial"/>
                <w:b/>
                <w:bCs/>
                <w:color w:val="FFFFFF"/>
                <w:sz w:val="16"/>
                <w:szCs w:val="16"/>
                <w:lang w:eastAsia="en-AU"/>
              </w:rPr>
              <w:t>-1.2</w:t>
            </w:r>
          </w:p>
        </w:tc>
      </w:tr>
    </w:tbl>
    <w:p w:rsidR="00513BDE" w:rsidRDefault="009E0635" w:rsidP="00BC288D">
      <w:pPr>
        <w:pStyle w:val="Source"/>
        <w:spacing w:before="0"/>
      </w:pPr>
      <w:r>
        <w:fldChar w:fldCharType="end"/>
      </w:r>
      <w:r w:rsidR="00513BDE" w:rsidRPr="00513BDE">
        <w:t xml:space="preserve"> </w:t>
      </w:r>
      <w:r w:rsidR="00513BDE">
        <w:t xml:space="preserve">Source: ABS and </w:t>
      </w:r>
      <w:r w:rsidR="00DA713C">
        <w:t>PBO analysis</w:t>
      </w:r>
      <w:r w:rsidR="00513BDE">
        <w:t>.</w:t>
      </w:r>
    </w:p>
    <w:p w:rsidR="00103EDC" w:rsidRDefault="00103EDC" w:rsidP="00513BDE">
      <w:pPr>
        <w:pStyle w:val="BodyText"/>
      </w:pPr>
      <w:r>
        <w:t>S</w:t>
      </w:r>
      <w:r w:rsidRPr="004E1FE9">
        <w:t>tates were in a surplus or broadly balanced fiscal position in 2002–03.  They moved into a fiscal deficit between 2007–08 and 2008–09 and since then the fiscal deficits have largely reflected the timing of major capital investments</w:t>
      </w:r>
      <w:r>
        <w:t xml:space="preserve"> (</w:t>
      </w:r>
      <w:r>
        <w:fldChar w:fldCharType="begin"/>
      </w:r>
      <w:r>
        <w:instrText xml:space="preserve"> REF _Ref415142436 \h </w:instrText>
      </w:r>
      <w:r>
        <w:fldChar w:fldCharType="separate"/>
      </w:r>
      <w:r w:rsidR="008B68F4" w:rsidRPr="004E1FE9">
        <w:t xml:space="preserve">Figure </w:t>
      </w:r>
      <w:r w:rsidR="008B68F4">
        <w:rPr>
          <w:noProof/>
        </w:rPr>
        <w:t>1</w:t>
      </w:r>
      <w:r w:rsidR="008B68F4">
        <w:noBreakHyphen/>
      </w:r>
      <w:r w:rsidR="008B68F4">
        <w:rPr>
          <w:noProof/>
        </w:rPr>
        <w:t>3</w:t>
      </w:r>
      <w:r>
        <w:fldChar w:fldCharType="end"/>
      </w:r>
      <w:r>
        <w:t>)</w:t>
      </w:r>
      <w:r w:rsidRPr="004E1FE9">
        <w:t xml:space="preserve">.  </w:t>
      </w:r>
    </w:p>
    <w:p w:rsidR="005A714D" w:rsidRDefault="00D53FA9" w:rsidP="00DD7641">
      <w:pPr>
        <w:pStyle w:val="Caption"/>
        <w:spacing w:before="120"/>
      </w:pPr>
      <w:bookmarkStart w:id="41" w:name="_Ref415142436"/>
      <w:bookmarkStart w:id="42" w:name="_Toc415130138"/>
      <w:bookmarkStart w:id="43" w:name="_Toc415131846"/>
      <w:bookmarkStart w:id="44" w:name="_Toc415222944"/>
      <w:bookmarkStart w:id="45" w:name="_Toc418073805"/>
      <w:r w:rsidRPr="00D53FA9">
        <w:rPr>
          <w:noProof/>
          <w:lang w:eastAsia="en-AU"/>
        </w:rPr>
        <w:drawing>
          <wp:anchor distT="0" distB="0" distL="114300" distR="114300" simplePos="0" relativeHeight="251727872" behindDoc="0" locked="0" layoutInCell="1" allowOverlap="1" wp14:anchorId="03883E79" wp14:editId="1CD163AD">
            <wp:simplePos x="0" y="0"/>
            <wp:positionH relativeFrom="column">
              <wp:posOffset>-11573</wp:posOffset>
            </wp:positionH>
            <wp:positionV relativeFrom="paragraph">
              <wp:posOffset>210820</wp:posOffset>
            </wp:positionV>
            <wp:extent cx="5204460" cy="28651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446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FE9" w:rsidRPr="004E1FE9">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3</w:t>
      </w:r>
      <w:r w:rsidR="003A23CE">
        <w:rPr>
          <w:noProof/>
        </w:rPr>
        <w:fldChar w:fldCharType="end"/>
      </w:r>
      <w:bookmarkEnd w:id="41"/>
      <w:r w:rsidR="004E1FE9" w:rsidRPr="004E1FE9">
        <w:t xml:space="preserve">: </w:t>
      </w:r>
      <w:r w:rsidR="004E1FE9" w:rsidRPr="00AD0785">
        <w:t>State net operating and fiscal balances</w:t>
      </w:r>
      <w:bookmarkEnd w:id="42"/>
      <w:bookmarkEnd w:id="43"/>
      <w:bookmarkEnd w:id="44"/>
      <w:bookmarkEnd w:id="45"/>
    </w:p>
    <w:tbl>
      <w:tblPr>
        <w:tblStyle w:val="TableGrid"/>
        <w:tblW w:w="7938" w:type="dxa"/>
        <w:tblLook w:val="04A0" w:firstRow="1" w:lastRow="0" w:firstColumn="1" w:lastColumn="0" w:noHBand="0" w:noVBand="1"/>
      </w:tblPr>
      <w:tblGrid>
        <w:gridCol w:w="6752"/>
        <w:gridCol w:w="1236"/>
      </w:tblGrid>
      <w:tr w:rsidR="006D1FB9" w:rsidRPr="006D1FB9" w:rsidTr="00BC288D">
        <w:trPr>
          <w:cnfStyle w:val="100000000000" w:firstRow="1" w:lastRow="0" w:firstColumn="0" w:lastColumn="0" w:oddVBand="0" w:evenVBand="0" w:oddHBand="0" w:evenHBand="0" w:firstRowFirstColumn="0" w:firstRowLastColumn="0" w:lastRowFirstColumn="0" w:lastRowLastColumn="0"/>
          <w:trHeight w:hRule="exact" w:val="4479"/>
        </w:trPr>
        <w:tc>
          <w:tcPr>
            <w:cnfStyle w:val="001000000100" w:firstRow="0" w:lastRow="0" w:firstColumn="1" w:lastColumn="0" w:oddVBand="0" w:evenVBand="0" w:oddHBand="0" w:evenHBand="0" w:firstRowFirstColumn="1" w:firstRowLastColumn="0" w:lastRowFirstColumn="0" w:lastRowLastColumn="0"/>
            <w:tcW w:w="67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6752" w:type="dxa"/>
              <w:tblLook w:val="04A0" w:firstRow="1" w:lastRow="0" w:firstColumn="1" w:lastColumn="0" w:noHBand="0" w:noVBand="1"/>
            </w:tblPr>
            <w:tblGrid>
              <w:gridCol w:w="3043"/>
              <w:gridCol w:w="3709"/>
            </w:tblGrid>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Per cent of GDP</w:t>
                  </w:r>
                </w:p>
              </w:tc>
              <w:tc>
                <w:tcPr>
                  <w:tcW w:w="3709" w:type="dxa"/>
                  <w:shd w:val="clear" w:color="auto" w:fill="auto"/>
                  <w:noWrap/>
                  <w:vAlign w:val="bottom"/>
                  <w:hideMark/>
                </w:tcPr>
                <w:p w:rsidR="00BF1974" w:rsidRPr="006D1FB9" w:rsidRDefault="00BF1974" w:rsidP="00111941">
                  <w:pPr>
                    <w:spacing w:line="240" w:lineRule="auto"/>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Fiscal balance</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2002-03</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0.2</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2003-04</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0.5</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2004-05</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0.4</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2005-06</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0.3</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2006-07</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0.1</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2007-08</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-0.4</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2008-09</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-0.9</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2009-10</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-1.2</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2010-11</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-1.1</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2011-12</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-0.9</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2012-13</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-1.0</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2013-14</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-0.5</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2014-15</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-0.8</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2015-16</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-0.4</w:t>
                  </w:r>
                </w:p>
              </w:tc>
            </w:tr>
            <w:tr w:rsidR="00835955" w:rsidRPr="006D1FB9" w:rsidTr="00BC288D">
              <w:trPr>
                <w:trHeight w:val="258"/>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2016-17</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-0.4</w:t>
                  </w:r>
                </w:p>
              </w:tc>
            </w:tr>
            <w:tr w:rsidR="00835955" w:rsidRPr="006D1FB9" w:rsidTr="00BC288D">
              <w:trPr>
                <w:trHeight w:val="46"/>
              </w:trPr>
              <w:tc>
                <w:tcPr>
                  <w:tcW w:w="3043"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2017-18</w:t>
                  </w:r>
                </w:p>
              </w:tc>
              <w:tc>
                <w:tcPr>
                  <w:tcW w:w="3709"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-0.1</w:t>
                  </w:r>
                </w:p>
              </w:tc>
            </w:tr>
          </w:tbl>
          <w:p w:rsidR="00BF1974" w:rsidRPr="006D1FB9" w:rsidRDefault="00BF1974" w:rsidP="00111941">
            <w:pPr>
              <w:pStyle w:val="BodyText"/>
              <w:rPr>
                <w:color w:val="auto"/>
                <w:sz w:val="12"/>
                <w:szCs w:val="12"/>
              </w:rPr>
            </w:pPr>
          </w:p>
        </w:tc>
        <w:tc>
          <w:tcPr>
            <w:tcW w:w="141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196" w:type="dxa"/>
              <w:tblLook w:val="04A0" w:firstRow="1" w:lastRow="0" w:firstColumn="1" w:lastColumn="0" w:noHBand="0" w:noVBand="1"/>
            </w:tblPr>
            <w:tblGrid>
              <w:gridCol w:w="536"/>
              <w:gridCol w:w="700"/>
            </w:tblGrid>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rPr>
                      <w:rFonts w:ascii="Calibri" w:eastAsia="Times New Roman" w:hAnsi="Calibri" w:cs="Times New Roman"/>
                      <w:b/>
                      <w:bCs/>
                      <w:color w:val="FFFFFF" w:themeColor="background1"/>
                      <w:sz w:val="12"/>
                      <w:szCs w:val="12"/>
                      <w:lang w:eastAsia="en-AU"/>
                    </w:rPr>
                  </w:pPr>
                </w:p>
              </w:tc>
              <w:tc>
                <w:tcPr>
                  <w:tcW w:w="660" w:type="dxa"/>
                  <w:shd w:val="clear" w:color="auto" w:fill="auto"/>
                  <w:noWrap/>
                  <w:vAlign w:val="bottom"/>
                  <w:hideMark/>
                </w:tcPr>
                <w:p w:rsidR="00BF1974" w:rsidRPr="006D1FB9" w:rsidRDefault="00BF1974" w:rsidP="00111941">
                  <w:pPr>
                    <w:spacing w:line="240" w:lineRule="auto"/>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Net operating balance</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2002-03</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0.7</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2003-04</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0.9</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2004-05</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0.9</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2005-06</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1.0</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2006-07</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1.1</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2007-08</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0.6</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2008-09</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0.4</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2009-10</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0.6</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2010-11</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0.5</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2011-12</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0.5</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2012-13</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0.1</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2013-14</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0.5</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2014-15</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0.2</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2015-16</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0.6</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2016-17</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0.8</w:t>
                  </w:r>
                </w:p>
              </w:tc>
            </w:tr>
            <w:tr w:rsidR="006D1FB9" w:rsidRPr="006D1FB9" w:rsidTr="00DD7641">
              <w:trPr>
                <w:trHeight w:val="228"/>
              </w:trPr>
              <w:tc>
                <w:tcPr>
                  <w:tcW w:w="536" w:type="dxa"/>
                  <w:shd w:val="clear" w:color="auto" w:fill="auto"/>
                  <w:noWrap/>
                  <w:vAlign w:val="bottom"/>
                  <w:hideMark/>
                </w:tcPr>
                <w:p w:rsidR="00BF1974" w:rsidRPr="006D1FB9" w:rsidRDefault="00BF1974" w:rsidP="00111941">
                  <w:pPr>
                    <w:spacing w:line="240" w:lineRule="auto"/>
                    <w:jc w:val="center"/>
                    <w:rPr>
                      <w:rFonts w:ascii="Calibri" w:eastAsia="Times New Roman" w:hAnsi="Calibri" w:cs="Times New Roman"/>
                      <w:b/>
                      <w:bCs/>
                      <w:color w:val="FFFFFF" w:themeColor="background1"/>
                      <w:sz w:val="12"/>
                      <w:szCs w:val="12"/>
                      <w:lang w:eastAsia="en-AU"/>
                    </w:rPr>
                  </w:pPr>
                  <w:r w:rsidRPr="006D1FB9">
                    <w:rPr>
                      <w:rFonts w:ascii="Calibri" w:eastAsia="Times New Roman" w:hAnsi="Calibri" w:cs="Times New Roman"/>
                      <w:b/>
                      <w:bCs/>
                      <w:color w:val="FFFFFF" w:themeColor="background1"/>
                      <w:sz w:val="12"/>
                      <w:szCs w:val="12"/>
                      <w:lang w:eastAsia="en-AU"/>
                    </w:rPr>
                    <w:t>2017-18</w:t>
                  </w:r>
                </w:p>
              </w:tc>
              <w:tc>
                <w:tcPr>
                  <w:tcW w:w="660" w:type="dxa"/>
                  <w:shd w:val="clear" w:color="auto" w:fill="auto"/>
                  <w:noWrap/>
                  <w:vAlign w:val="bottom"/>
                  <w:hideMark/>
                </w:tcPr>
                <w:p w:rsidR="00BF1974" w:rsidRPr="006D1FB9" w:rsidRDefault="00BF1974" w:rsidP="00111941">
                  <w:pPr>
                    <w:jc w:val="right"/>
                    <w:rPr>
                      <w:rFonts w:ascii="Calibri" w:hAnsi="Calibri"/>
                      <w:color w:val="FFFFFF" w:themeColor="background1"/>
                      <w:sz w:val="12"/>
                      <w:szCs w:val="12"/>
                    </w:rPr>
                  </w:pPr>
                  <w:r w:rsidRPr="006D1FB9">
                    <w:rPr>
                      <w:rFonts w:ascii="Calibri" w:hAnsi="Calibri"/>
                      <w:color w:val="FFFFFF" w:themeColor="background1"/>
                      <w:sz w:val="12"/>
                      <w:szCs w:val="12"/>
                    </w:rPr>
                    <w:t>0.8</w:t>
                  </w:r>
                </w:p>
              </w:tc>
            </w:tr>
          </w:tbl>
          <w:p w:rsidR="00BF1974" w:rsidRPr="006D1FB9" w:rsidRDefault="00BF1974" w:rsidP="00111941">
            <w:pPr>
              <w:pStyle w:val="BodyText"/>
              <w:cnfStyle w:val="100000000000" w:firstRow="1" w:lastRow="0" w:firstColumn="0" w:lastColumn="0" w:oddVBand="0" w:evenVBand="0" w:oddHBand="0" w:evenHBand="0" w:firstRowFirstColumn="0" w:firstRowLastColumn="0" w:lastRowFirstColumn="0" w:lastRowLastColumn="0"/>
              <w:rPr>
                <w:color w:val="auto"/>
                <w:sz w:val="12"/>
                <w:szCs w:val="12"/>
              </w:rPr>
            </w:pPr>
          </w:p>
        </w:tc>
      </w:tr>
    </w:tbl>
    <w:p w:rsidR="004E1FE9" w:rsidRDefault="004E1FE9" w:rsidP="00DD7641">
      <w:pPr>
        <w:pStyle w:val="Source"/>
        <w:spacing w:before="0"/>
      </w:pPr>
      <w:r>
        <w:t>Source: ABS and state budget papers.</w:t>
      </w:r>
    </w:p>
    <w:p w:rsidR="002B7EF9" w:rsidRDefault="004E1FE9" w:rsidP="00FA2011">
      <w:pPr>
        <w:pStyle w:val="BodyText"/>
      </w:pPr>
      <w:r w:rsidRPr="004E1FE9">
        <w:lastRenderedPageBreak/>
        <w:t>In terms of the operating balance, New South Wales, Victoria and Western Australia achieved a surplus in 2012–13 and Queensland, South Australia and the Northern Territory are projecting surpluses during the forward estimates.  Only Tasmania and the Australian Capital Territory are projecting to remain in deficit in 2017–18 (</w:t>
      </w:r>
      <w:r w:rsidR="00CA24A6">
        <w:fldChar w:fldCharType="begin"/>
      </w:r>
      <w:r w:rsidR="00CA24A6">
        <w:instrText xml:space="preserve"> REF _Ref415142537 \h </w:instrText>
      </w:r>
      <w:r w:rsidR="00EE33BF">
        <w:instrText xml:space="preserve"> \* MERGEFORMAT </w:instrText>
      </w:r>
      <w:r w:rsidR="00CA24A6">
        <w:fldChar w:fldCharType="separate"/>
      </w:r>
      <w:r w:rsidR="008B68F4" w:rsidRPr="00D85EBA">
        <w:t xml:space="preserve">Figure </w:t>
      </w:r>
      <w:r w:rsidR="008B68F4">
        <w:rPr>
          <w:noProof/>
        </w:rPr>
        <w:t>1</w:t>
      </w:r>
      <w:r w:rsidR="008B68F4">
        <w:rPr>
          <w:noProof/>
        </w:rPr>
        <w:noBreakHyphen/>
        <w:t>4</w:t>
      </w:r>
      <w:r w:rsidR="00CA24A6">
        <w:fldChar w:fldCharType="end"/>
      </w:r>
      <w:r w:rsidRPr="004E1FE9">
        <w:t>).</w:t>
      </w:r>
    </w:p>
    <w:p w:rsidR="004E1FE9" w:rsidRDefault="00DF411B" w:rsidP="007D0DD6">
      <w:pPr>
        <w:pStyle w:val="Caption"/>
        <w:spacing w:before="120" w:after="0"/>
      </w:pPr>
      <w:bookmarkStart w:id="46" w:name="_Ref415142537"/>
      <w:bookmarkStart w:id="47" w:name="_Toc415130139"/>
      <w:bookmarkStart w:id="48" w:name="_Toc415131847"/>
      <w:bookmarkStart w:id="49" w:name="_Toc415222945"/>
      <w:bookmarkStart w:id="50" w:name="_Toc418073806"/>
      <w:r w:rsidRPr="00D85EBA">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4</w:t>
      </w:r>
      <w:r w:rsidR="003A23CE">
        <w:rPr>
          <w:noProof/>
        </w:rPr>
        <w:fldChar w:fldCharType="end"/>
      </w:r>
      <w:bookmarkEnd w:id="46"/>
      <w:r w:rsidRPr="00D85EBA">
        <w:t>: Fiscal and net operating balances for all states</w:t>
      </w:r>
      <w:bookmarkEnd w:id="47"/>
      <w:bookmarkEnd w:id="48"/>
      <w:bookmarkEnd w:id="49"/>
      <w:bookmarkEnd w:id="50"/>
    </w:p>
    <w:tbl>
      <w:tblPr>
        <w:tblStyle w:val="TableGrid"/>
        <w:tblW w:w="8774" w:type="dxa"/>
        <w:tblInd w:w="103" w:type="dxa"/>
        <w:shd w:val="clear" w:color="auto" w:fill="FFFFFF" w:themeFill="background1"/>
        <w:tblCellMar>
          <w:left w:w="108" w:type="dxa"/>
          <w:right w:w="108" w:type="dxa"/>
        </w:tblCellMar>
        <w:tblLook w:val="04A0" w:firstRow="1" w:lastRow="0" w:firstColumn="1" w:lastColumn="0" w:noHBand="0" w:noVBand="1"/>
      </w:tblPr>
      <w:tblGrid>
        <w:gridCol w:w="4387"/>
        <w:gridCol w:w="4387"/>
      </w:tblGrid>
      <w:tr w:rsidR="007D0DD6" w:rsidRPr="00070E65" w:rsidTr="007D0DD6">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100" w:firstRow="0" w:lastRow="0" w:firstColumn="1" w:lastColumn="0" w:oddVBand="0" w:evenVBand="0" w:oddHBand="0" w:evenHBand="0" w:firstRowFirstColumn="1" w:firstRowLastColumn="0" w:lastRowFirstColumn="0" w:lastRowLastColumn="0"/>
            <w:tcW w:w="4387" w:type="dxa"/>
            <w:shd w:val="clear" w:color="auto" w:fill="FFFFFF" w:themeFill="background1"/>
          </w:tcPr>
          <w:p w:rsidR="007D0DD6" w:rsidRPr="00070E65" w:rsidRDefault="007D0DD6" w:rsidP="005A3873">
            <w:pPr>
              <w:tabs>
                <w:tab w:val="left" w:pos="2400"/>
              </w:tabs>
              <w:rPr>
                <w:b/>
                <w:noProof/>
                <w:color w:val="auto"/>
              </w:rPr>
            </w:pPr>
            <w:r w:rsidRPr="00070E65">
              <w:rPr>
                <w:b/>
                <w:noProof/>
                <w:color w:val="auto"/>
              </w:rPr>
              <w:t>New South Wales</w:t>
            </w:r>
          </w:p>
        </w:tc>
        <w:tc>
          <w:tcPr>
            <w:tcW w:w="4387" w:type="dxa"/>
            <w:shd w:val="clear" w:color="auto" w:fill="FFFFFF" w:themeFill="background1"/>
          </w:tcPr>
          <w:p w:rsidR="007D0DD6" w:rsidRPr="00070E65" w:rsidRDefault="007D0DD6" w:rsidP="005A3873">
            <w:pPr>
              <w:tabs>
                <w:tab w:val="left" w:pos="2400"/>
              </w:tabs>
              <w:jc w:val="left"/>
              <w:cnfStyle w:val="100000000000" w:firstRow="1" w:lastRow="0" w:firstColumn="0" w:lastColumn="0" w:oddVBand="0" w:evenVBand="0" w:oddHBand="0" w:evenHBand="0" w:firstRowFirstColumn="0" w:firstRowLastColumn="0" w:lastRowFirstColumn="0" w:lastRowLastColumn="0"/>
              <w:rPr>
                <w:b/>
                <w:noProof/>
                <w:color w:val="auto"/>
              </w:rPr>
            </w:pPr>
            <w:r>
              <w:rPr>
                <w:b/>
                <w:noProof/>
                <w:color w:val="auto"/>
              </w:rPr>
              <w:t>Victoria</w:t>
            </w:r>
          </w:p>
        </w:tc>
      </w:tr>
      <w:tr w:rsidR="007D0DD6" w:rsidTr="005A3873">
        <w:trPr>
          <w:cnfStyle w:val="000000100000" w:firstRow="0" w:lastRow="0" w:firstColumn="0" w:lastColumn="0" w:oddVBand="0" w:evenVBand="0" w:oddHBand="1" w:evenHBand="0" w:firstRowFirstColumn="0" w:firstRowLastColumn="0" w:lastRowFirstColumn="0" w:lastRowLastColumn="0"/>
          <w:trHeight w:hRule="exact" w:val="2552"/>
        </w:trPr>
        <w:tc>
          <w:tcPr>
            <w:cnfStyle w:val="001000000000" w:firstRow="0" w:lastRow="0" w:firstColumn="1" w:lastColumn="0" w:oddVBand="0" w:evenVBand="0" w:oddHBand="0" w:evenHBand="0" w:firstRowFirstColumn="0" w:firstRowLastColumn="0" w:lastRowFirstColumn="0" w:lastRowLastColumn="0"/>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rPr>
                <w:b/>
              </w:rPr>
            </w:pPr>
            <w:r>
              <w:rPr>
                <w:noProof/>
              </w:rPr>
              <w:drawing>
                <wp:inline distT="0" distB="0" distL="0" distR="0" wp14:anchorId="27E9B4C6" wp14:editId="4BC8CA00">
                  <wp:extent cx="2505600" cy="1584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70FA3312" wp14:editId="498627E8">
                  <wp:extent cx="2505600" cy="1584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D0DD6" w:rsidRPr="00070E65" w:rsidTr="007D0DD6">
        <w:trPr>
          <w:trHeight w:hRule="exact" w:val="397"/>
        </w:trPr>
        <w:tc>
          <w:tcPr>
            <w:cnfStyle w:val="001000000000" w:firstRow="0" w:lastRow="0" w:firstColumn="1" w:lastColumn="0" w:oddVBand="0" w:evenVBand="0" w:oddHBand="0" w:evenHBand="0" w:firstRowFirstColumn="0" w:firstRowLastColumn="0" w:lastRowFirstColumn="0" w:lastRowLastColumn="0"/>
            <w:tcW w:w="4387" w:type="dxa"/>
            <w:shd w:val="clear" w:color="auto" w:fill="FFFFFF" w:themeFill="background1"/>
          </w:tcPr>
          <w:p w:rsidR="007D0DD6" w:rsidRPr="00070E65" w:rsidRDefault="007D0DD6" w:rsidP="005A3873">
            <w:pPr>
              <w:tabs>
                <w:tab w:val="left" w:pos="2400"/>
              </w:tabs>
              <w:spacing w:before="120" w:after="0"/>
              <w:rPr>
                <w:b/>
                <w:noProof/>
              </w:rPr>
            </w:pPr>
            <w:r>
              <w:rPr>
                <w:b/>
                <w:noProof/>
              </w:rPr>
              <w:t>Queensland</w:t>
            </w:r>
          </w:p>
        </w:tc>
        <w:tc>
          <w:tcPr>
            <w:tcW w:w="4387" w:type="dxa"/>
            <w:shd w:val="clear" w:color="auto" w:fill="FFFFFF" w:themeFill="background1"/>
          </w:tcPr>
          <w:p w:rsidR="007D0DD6" w:rsidRPr="00070E65" w:rsidRDefault="007D0DD6" w:rsidP="005A3873">
            <w:pPr>
              <w:tabs>
                <w:tab w:val="left" w:pos="2400"/>
              </w:tabs>
              <w:spacing w:before="120" w:after="0"/>
              <w:cnfStyle w:val="000000000000" w:firstRow="0" w:lastRow="0" w:firstColumn="0" w:lastColumn="0" w:oddVBand="0" w:evenVBand="0" w:oddHBand="0" w:evenHBand="0" w:firstRowFirstColumn="0" w:firstRowLastColumn="0" w:lastRowFirstColumn="0" w:lastRowLastColumn="0"/>
              <w:rPr>
                <w:b/>
                <w:noProof/>
              </w:rPr>
            </w:pPr>
            <w:r>
              <w:rPr>
                <w:b/>
                <w:noProof/>
              </w:rPr>
              <w:t>Western Australia</w:t>
            </w:r>
          </w:p>
        </w:tc>
      </w:tr>
      <w:tr w:rsidR="007D0DD6" w:rsidTr="005A3873">
        <w:trPr>
          <w:cnfStyle w:val="000000100000" w:firstRow="0" w:lastRow="0" w:firstColumn="0" w:lastColumn="0" w:oddVBand="0" w:evenVBand="0" w:oddHBand="1" w:evenHBand="0" w:firstRowFirstColumn="0" w:firstRowLastColumn="0" w:lastRowFirstColumn="0" w:lastRowLastColumn="0"/>
          <w:trHeight w:hRule="exact" w:val="2552"/>
        </w:trPr>
        <w:tc>
          <w:tcPr>
            <w:cnfStyle w:val="001000000000" w:firstRow="0" w:lastRow="0" w:firstColumn="1" w:lastColumn="0" w:oddVBand="0" w:evenVBand="0" w:oddHBand="0" w:evenHBand="0" w:firstRowFirstColumn="0" w:firstRowLastColumn="0" w:lastRowFirstColumn="0" w:lastRowLastColumn="0"/>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rPr>
                <w:b/>
              </w:rPr>
            </w:pPr>
            <w:r>
              <w:rPr>
                <w:noProof/>
              </w:rPr>
              <w:drawing>
                <wp:inline distT="0" distB="0" distL="0" distR="0" wp14:anchorId="3AB5DE8D" wp14:editId="6E2796F2">
                  <wp:extent cx="2505600" cy="1584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7FD6A5F1" wp14:editId="68A8FB45">
                  <wp:extent cx="2505600" cy="15840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D0DD6" w:rsidRPr="00070E65" w:rsidTr="007D0DD6">
        <w:trPr>
          <w:trHeight w:hRule="exact" w:val="397"/>
        </w:trPr>
        <w:tc>
          <w:tcPr>
            <w:cnfStyle w:val="001000000000" w:firstRow="0" w:lastRow="0" w:firstColumn="1" w:lastColumn="0" w:oddVBand="0" w:evenVBand="0" w:oddHBand="0" w:evenHBand="0" w:firstRowFirstColumn="0" w:firstRowLastColumn="0" w:lastRowFirstColumn="0" w:lastRowLastColumn="0"/>
            <w:tcW w:w="4387" w:type="dxa"/>
            <w:shd w:val="clear" w:color="auto" w:fill="FFFFFF" w:themeFill="background1"/>
          </w:tcPr>
          <w:p w:rsidR="007D0DD6" w:rsidRPr="00070E65" w:rsidRDefault="007D0DD6" w:rsidP="005A3873">
            <w:pPr>
              <w:tabs>
                <w:tab w:val="left" w:pos="2400"/>
              </w:tabs>
              <w:spacing w:before="0" w:after="0"/>
              <w:rPr>
                <w:b/>
                <w:noProof/>
              </w:rPr>
            </w:pPr>
            <w:r>
              <w:rPr>
                <w:b/>
                <w:noProof/>
              </w:rPr>
              <w:t>South Australia</w:t>
            </w:r>
          </w:p>
        </w:tc>
        <w:tc>
          <w:tcPr>
            <w:tcW w:w="4387" w:type="dxa"/>
            <w:shd w:val="clear" w:color="auto" w:fill="FFFFFF" w:themeFill="background1"/>
          </w:tcPr>
          <w:p w:rsidR="007D0DD6" w:rsidRPr="00070E65" w:rsidRDefault="007D0DD6" w:rsidP="005A3873">
            <w:pPr>
              <w:tabs>
                <w:tab w:val="left" w:pos="2400"/>
              </w:tabs>
              <w:spacing w:before="0" w:after="0"/>
              <w:cnfStyle w:val="000000000000" w:firstRow="0" w:lastRow="0" w:firstColumn="0" w:lastColumn="0" w:oddVBand="0" w:evenVBand="0" w:oddHBand="0" w:evenHBand="0" w:firstRowFirstColumn="0" w:firstRowLastColumn="0" w:lastRowFirstColumn="0" w:lastRowLastColumn="0"/>
              <w:rPr>
                <w:b/>
                <w:noProof/>
              </w:rPr>
            </w:pPr>
            <w:r>
              <w:rPr>
                <w:b/>
                <w:noProof/>
              </w:rPr>
              <w:t>Tasmania</w:t>
            </w:r>
          </w:p>
        </w:tc>
      </w:tr>
      <w:tr w:rsidR="007D0DD6" w:rsidTr="005A3873">
        <w:trPr>
          <w:cnfStyle w:val="000000100000" w:firstRow="0" w:lastRow="0" w:firstColumn="0" w:lastColumn="0" w:oddVBand="0" w:evenVBand="0" w:oddHBand="1" w:evenHBand="0" w:firstRowFirstColumn="0" w:firstRowLastColumn="0" w:lastRowFirstColumn="0" w:lastRowLastColumn="0"/>
          <w:trHeight w:hRule="exact" w:val="2552"/>
        </w:trPr>
        <w:tc>
          <w:tcPr>
            <w:cnfStyle w:val="001000000000" w:firstRow="0" w:lastRow="0" w:firstColumn="1" w:lastColumn="0" w:oddVBand="0" w:evenVBand="0" w:oddHBand="0" w:evenHBand="0" w:firstRowFirstColumn="0" w:firstRowLastColumn="0" w:lastRowFirstColumn="0" w:lastRowLastColumn="0"/>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rPr>
                <w:b/>
              </w:rPr>
            </w:pPr>
            <w:r>
              <w:rPr>
                <w:noProof/>
              </w:rPr>
              <w:drawing>
                <wp:inline distT="0" distB="0" distL="0" distR="0" wp14:anchorId="35BC757C" wp14:editId="19F3F3B6">
                  <wp:extent cx="2505600" cy="15840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3ED9428B" wp14:editId="2FDA9588">
                  <wp:extent cx="2505600" cy="1584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7D0DD6" w:rsidRPr="00070E65" w:rsidTr="007D0DD6">
        <w:trPr>
          <w:trHeight w:hRule="exact" w:val="397"/>
        </w:trPr>
        <w:tc>
          <w:tcPr>
            <w:cnfStyle w:val="001000000000" w:firstRow="0" w:lastRow="0" w:firstColumn="1" w:lastColumn="0" w:oddVBand="0" w:evenVBand="0" w:oddHBand="0" w:evenHBand="0" w:firstRowFirstColumn="0" w:firstRowLastColumn="0" w:lastRowFirstColumn="0" w:lastRowLastColumn="0"/>
            <w:tcW w:w="4387" w:type="dxa"/>
            <w:shd w:val="clear" w:color="auto" w:fill="FFFFFF" w:themeFill="background1"/>
          </w:tcPr>
          <w:p w:rsidR="007D0DD6" w:rsidRPr="00070E65" w:rsidRDefault="007D0DD6" w:rsidP="005A3873">
            <w:pPr>
              <w:tabs>
                <w:tab w:val="left" w:pos="2400"/>
              </w:tabs>
              <w:spacing w:before="0" w:after="0"/>
              <w:rPr>
                <w:b/>
                <w:noProof/>
              </w:rPr>
            </w:pPr>
            <w:r>
              <w:rPr>
                <w:b/>
                <w:noProof/>
              </w:rPr>
              <w:t>Australian Capital Territory</w:t>
            </w:r>
          </w:p>
        </w:tc>
        <w:tc>
          <w:tcPr>
            <w:tcW w:w="4387" w:type="dxa"/>
            <w:shd w:val="clear" w:color="auto" w:fill="FFFFFF" w:themeFill="background1"/>
          </w:tcPr>
          <w:p w:rsidR="007D0DD6" w:rsidRPr="00070E65" w:rsidRDefault="007D0DD6" w:rsidP="005A3873">
            <w:pPr>
              <w:tabs>
                <w:tab w:val="left" w:pos="2400"/>
              </w:tabs>
              <w:spacing w:before="0" w:after="0"/>
              <w:cnfStyle w:val="000000000000" w:firstRow="0" w:lastRow="0" w:firstColumn="0" w:lastColumn="0" w:oddVBand="0" w:evenVBand="0" w:oddHBand="0" w:evenHBand="0" w:firstRowFirstColumn="0" w:firstRowLastColumn="0" w:lastRowFirstColumn="0" w:lastRowLastColumn="0"/>
              <w:rPr>
                <w:b/>
                <w:noProof/>
              </w:rPr>
            </w:pPr>
            <w:r>
              <w:rPr>
                <w:b/>
                <w:noProof/>
              </w:rPr>
              <w:t>Northern Territory</w:t>
            </w:r>
          </w:p>
        </w:tc>
      </w:tr>
      <w:tr w:rsidR="007D0DD6" w:rsidTr="005A3873">
        <w:trPr>
          <w:cnfStyle w:val="000000100000" w:firstRow="0" w:lastRow="0" w:firstColumn="0" w:lastColumn="0" w:oddVBand="0" w:evenVBand="0" w:oddHBand="1" w:evenHBand="0" w:firstRowFirstColumn="0" w:firstRowLastColumn="0" w:lastRowFirstColumn="0" w:lastRowLastColumn="0"/>
          <w:trHeight w:hRule="exact" w:val="2552"/>
        </w:trPr>
        <w:tc>
          <w:tcPr>
            <w:cnfStyle w:val="001000000000" w:firstRow="0" w:lastRow="0" w:firstColumn="1" w:lastColumn="0" w:oddVBand="0" w:evenVBand="0" w:oddHBand="0" w:evenHBand="0" w:firstRowFirstColumn="0" w:firstRowLastColumn="0" w:lastRowFirstColumn="0" w:lastRowLastColumn="0"/>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rPr>
                <w:b/>
              </w:rPr>
            </w:pPr>
            <w:r>
              <w:rPr>
                <w:noProof/>
              </w:rPr>
              <w:drawing>
                <wp:inline distT="0" distB="0" distL="0" distR="0" wp14:anchorId="6FA73D5F" wp14:editId="7DEA63D6">
                  <wp:extent cx="2505600" cy="15840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38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rsidR="007D0DD6" w:rsidRDefault="007D0DD6" w:rsidP="005A3873">
            <w:pPr>
              <w:tabs>
                <w:tab w:val="left" w:pos="2400"/>
              </w:tabs>
              <w:ind w:left="0"/>
              <w:cnfStyle w:val="000000100000" w:firstRow="0" w:lastRow="0" w:firstColumn="0" w:lastColumn="0" w:oddVBand="0" w:evenVBand="0" w:oddHBand="1" w:evenHBand="0" w:firstRowFirstColumn="0" w:firstRowLastColumn="0" w:lastRowFirstColumn="0" w:lastRowLastColumn="0"/>
              <w:rPr>
                <w:b/>
              </w:rPr>
            </w:pPr>
            <w:r>
              <w:rPr>
                <w:noProof/>
              </w:rPr>
              <w:drawing>
                <wp:inline distT="0" distB="0" distL="0" distR="0" wp14:anchorId="24051263" wp14:editId="719F2D5D">
                  <wp:extent cx="2505600" cy="1584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FF452B" w:rsidRDefault="00F64567" w:rsidP="005B7203">
      <w:pPr>
        <w:pStyle w:val="Source"/>
        <w:spacing w:before="120" w:after="0"/>
      </w:pPr>
      <w:r>
        <w:t>Source: ABS and state budget papers.</w:t>
      </w:r>
      <w:r w:rsidR="00FF452B">
        <w:br w:type="page"/>
      </w:r>
    </w:p>
    <w:p w:rsidR="00FF452B" w:rsidRPr="00FF452B" w:rsidRDefault="00FF452B" w:rsidP="00FF452B">
      <w:pPr>
        <w:pStyle w:val="Heading2"/>
      </w:pPr>
      <w:bookmarkStart w:id="51" w:name="_Toc415130135"/>
      <w:bookmarkStart w:id="52" w:name="_Toc415131838"/>
      <w:r w:rsidRPr="00FF452B">
        <w:lastRenderedPageBreak/>
        <w:t>Trends in Commonwealth and state revenue and spending</w:t>
      </w:r>
      <w:bookmarkEnd w:id="51"/>
      <w:bookmarkEnd w:id="52"/>
    </w:p>
    <w:p w:rsidR="00FF452B" w:rsidRDefault="00FF452B" w:rsidP="001B093C">
      <w:pPr>
        <w:pStyle w:val="BodyText"/>
      </w:pPr>
      <w:r w:rsidRPr="00FF452B">
        <w:t xml:space="preserve">Breaking down the total national fiscal position between Commonwealth and state and territory and local governments (hereafter referred to as ‘states’ unless otherwise noted) highlights some key differences in the profile of revenue and spending over the past decade </w:t>
      </w:r>
      <w:r w:rsidRPr="00541F82">
        <w:t>(</w:t>
      </w:r>
      <w:r w:rsidR="00541F82" w:rsidRPr="00541F82">
        <w:fldChar w:fldCharType="begin"/>
      </w:r>
      <w:r w:rsidR="00541F82" w:rsidRPr="00541F82">
        <w:instrText xml:space="preserve"> REF _Ref415145896 \h </w:instrText>
      </w:r>
      <w:r w:rsidR="00541F82">
        <w:instrText xml:space="preserve"> \* MERGEFORMAT </w:instrText>
      </w:r>
      <w:r w:rsidR="00541F82" w:rsidRPr="00541F82">
        <w:fldChar w:fldCharType="separate"/>
      </w:r>
      <w:r w:rsidR="008B68F4" w:rsidRPr="00FF452B">
        <w:t xml:space="preserve">Figure </w:t>
      </w:r>
      <w:r w:rsidR="008B68F4">
        <w:rPr>
          <w:noProof/>
        </w:rPr>
        <w:t>1</w:t>
      </w:r>
      <w:r w:rsidR="008B68F4">
        <w:rPr>
          <w:noProof/>
        </w:rPr>
        <w:noBreakHyphen/>
        <w:t>5</w:t>
      </w:r>
      <w:r w:rsidR="00541F82" w:rsidRPr="00541F82">
        <w:fldChar w:fldCharType="end"/>
      </w:r>
      <w:r w:rsidR="00541F82">
        <w:t xml:space="preserve"> </w:t>
      </w:r>
      <w:r w:rsidRPr="00541F82">
        <w:t xml:space="preserve">and </w:t>
      </w:r>
      <w:r w:rsidR="00541F82" w:rsidRPr="00541F82">
        <w:fldChar w:fldCharType="begin"/>
      </w:r>
      <w:r w:rsidR="00541F82" w:rsidRPr="00541F82">
        <w:instrText xml:space="preserve"> REF _Ref415145950 \h </w:instrText>
      </w:r>
      <w:r w:rsidR="00541F82">
        <w:instrText xml:space="preserve"> \* MERGEFORMAT </w:instrText>
      </w:r>
      <w:r w:rsidR="00541F82" w:rsidRPr="00541F82">
        <w:fldChar w:fldCharType="separate"/>
      </w:r>
      <w:r w:rsidR="008B68F4" w:rsidRPr="00FF452B">
        <w:t xml:space="preserve">Figure </w:t>
      </w:r>
      <w:r w:rsidR="008B68F4">
        <w:rPr>
          <w:noProof/>
        </w:rPr>
        <w:t>1</w:t>
      </w:r>
      <w:r w:rsidR="008B68F4">
        <w:rPr>
          <w:noProof/>
        </w:rPr>
        <w:noBreakHyphen/>
        <w:t>6</w:t>
      </w:r>
      <w:r w:rsidR="00541F82" w:rsidRPr="00541F82">
        <w:fldChar w:fldCharType="end"/>
      </w:r>
      <w:r w:rsidRPr="00541F82">
        <w:t>).</w:t>
      </w:r>
    </w:p>
    <w:tbl>
      <w:tblPr>
        <w:tblStyle w:val="TableGrid"/>
        <w:tblW w:w="8528" w:type="dxa"/>
        <w:tblLayout w:type="fixed"/>
        <w:tblLook w:val="04A0" w:firstRow="1" w:lastRow="0" w:firstColumn="1" w:lastColumn="0" w:noHBand="0" w:noVBand="1"/>
      </w:tblPr>
      <w:tblGrid>
        <w:gridCol w:w="4264"/>
        <w:gridCol w:w="4264"/>
      </w:tblGrid>
      <w:tr w:rsidR="009D34DD" w:rsidTr="005A06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Style w:val="TableAsPlaceholder"/>
              <w:tblW w:w="4214" w:type="dxa"/>
              <w:tblInd w:w="108" w:type="dxa"/>
              <w:tblLayout w:type="fixed"/>
              <w:tblCellMar>
                <w:left w:w="108" w:type="dxa"/>
                <w:right w:w="108" w:type="dxa"/>
              </w:tblCellMar>
              <w:tblLook w:val="04A0" w:firstRow="1" w:lastRow="0" w:firstColumn="1" w:lastColumn="0" w:noHBand="0" w:noVBand="1"/>
            </w:tblPr>
            <w:tblGrid>
              <w:gridCol w:w="2107"/>
              <w:gridCol w:w="2107"/>
            </w:tblGrid>
            <w:tr w:rsidR="009D34DD" w:rsidRPr="00FF452B" w:rsidTr="005A0606">
              <w:trPr>
                <w:trHeight w:val="640"/>
              </w:trPr>
              <w:tc>
                <w:tcPr>
                  <w:tcW w:w="4214" w:type="dxa"/>
                  <w:gridSpan w:val="2"/>
                  <w:shd w:val="clear" w:color="auto" w:fill="auto"/>
                </w:tcPr>
                <w:p w:rsidR="009D34DD" w:rsidRPr="00FF452B" w:rsidRDefault="009D34DD" w:rsidP="007F083C">
                  <w:pPr>
                    <w:pStyle w:val="Caption"/>
                    <w:tabs>
                      <w:tab w:val="left" w:pos="4177"/>
                    </w:tabs>
                    <w:spacing w:before="0" w:after="0"/>
                  </w:pPr>
                  <w:bookmarkStart w:id="53" w:name="_Ref415145896"/>
                  <w:bookmarkStart w:id="54" w:name="_Toc415130140"/>
                  <w:bookmarkStart w:id="55" w:name="_Toc415131848"/>
                  <w:bookmarkStart w:id="56" w:name="_Toc415222946"/>
                  <w:bookmarkStart w:id="57" w:name="_Toc418073807"/>
                  <w:r w:rsidRPr="00FF452B">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5</w:t>
                  </w:r>
                  <w:r w:rsidR="003A23CE">
                    <w:rPr>
                      <w:noProof/>
                    </w:rPr>
                    <w:fldChar w:fldCharType="end"/>
                  </w:r>
                  <w:bookmarkEnd w:id="53"/>
                  <w:r w:rsidRPr="00FF452B">
                    <w:t xml:space="preserve">: </w:t>
                  </w:r>
                  <w:r w:rsidRPr="00E26029">
                    <w:t>Commonwealth revenue and spending and annual real growth</w:t>
                  </w:r>
                  <w:bookmarkEnd w:id="54"/>
                  <w:bookmarkEnd w:id="55"/>
                  <w:bookmarkEnd w:id="56"/>
                  <w:bookmarkEnd w:id="57"/>
                </w:p>
              </w:tc>
            </w:tr>
            <w:tr w:rsidR="009D34DD" w:rsidRPr="00FF452B" w:rsidTr="005A0606">
              <w:trPr>
                <w:trHeight w:val="3584"/>
              </w:trPr>
              <w:tc>
                <w:tcPr>
                  <w:tcW w:w="2107" w:type="dxa"/>
                  <w:shd w:val="clear" w:color="auto" w:fill="auto"/>
                </w:tcPr>
                <w:tbl>
                  <w:tblPr>
                    <w:tblW w:w="1938" w:type="dxa"/>
                    <w:tblLayout w:type="fixed"/>
                    <w:tblLook w:val="04A0" w:firstRow="1" w:lastRow="0" w:firstColumn="1" w:lastColumn="0" w:noHBand="0" w:noVBand="1"/>
                  </w:tblPr>
                  <w:tblGrid>
                    <w:gridCol w:w="927"/>
                    <w:gridCol w:w="495"/>
                    <w:gridCol w:w="516"/>
                  </w:tblGrid>
                  <w:tr w:rsidR="009D34DD" w:rsidRPr="009D34DD" w:rsidTr="009D34DD">
                    <w:trPr>
                      <w:trHeight w:val="275"/>
                    </w:trPr>
                    <w:tc>
                      <w:tcPr>
                        <w:tcW w:w="1938" w:type="dxa"/>
                        <w:gridSpan w:val="3"/>
                        <w:tcBorders>
                          <w:top w:val="nil"/>
                          <w:left w:val="nil"/>
                          <w:bottom w:val="nil"/>
                          <w:right w:val="nil"/>
                        </w:tcBorders>
                        <w:shd w:val="clear" w:color="auto" w:fill="auto"/>
                        <w:noWrap/>
                        <w:vAlign w:val="bottom"/>
                        <w:hideMark/>
                      </w:tcPr>
                      <w:p w:rsidR="009D34DD" w:rsidRPr="009D34DD" w:rsidRDefault="005A0606" w:rsidP="009D34DD">
                        <w:pPr>
                          <w:spacing w:line="240" w:lineRule="auto"/>
                          <w:rPr>
                            <w:rFonts w:ascii="Calibri" w:eastAsia="Times New Roman" w:hAnsi="Calibri" w:cs="Times New Roman"/>
                            <w:color w:val="FFFFFF" w:themeColor="background1"/>
                            <w:sz w:val="12"/>
                            <w:szCs w:val="12"/>
                            <w:lang w:eastAsia="en-AU"/>
                          </w:rPr>
                        </w:pPr>
                        <w:r w:rsidRPr="005A0606">
                          <w:rPr>
                            <w:noProof/>
                            <w:lang w:eastAsia="en-AU"/>
                          </w:rPr>
                          <w:drawing>
                            <wp:anchor distT="0" distB="0" distL="114300" distR="114300" simplePos="0" relativeHeight="251662336" behindDoc="0" locked="0" layoutInCell="1" allowOverlap="1" wp14:anchorId="029C3AFB" wp14:editId="3E8F5BC4">
                              <wp:simplePos x="0" y="0"/>
                              <wp:positionH relativeFrom="column">
                                <wp:posOffset>-143510</wp:posOffset>
                              </wp:positionH>
                              <wp:positionV relativeFrom="paragraph">
                                <wp:posOffset>23495</wp:posOffset>
                              </wp:positionV>
                              <wp:extent cx="5278120" cy="364998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812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4DD" w:rsidRPr="009D34DD">
                          <w:rPr>
                            <w:rFonts w:ascii="Calibri" w:eastAsia="Times New Roman" w:hAnsi="Calibri" w:cs="Times New Roman"/>
                            <w:color w:val="FFFFFF" w:themeColor="background1"/>
                            <w:sz w:val="12"/>
                            <w:szCs w:val="12"/>
                            <w:lang w:eastAsia="en-AU"/>
                          </w:rPr>
                          <w:t>Commonwealth</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Annual real growth</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Revenue</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Spending</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2002-03</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2003-04</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2004-05</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6</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2005-06</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2006-07</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2007-08</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6</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2008-09</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13</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2009-10</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2010-11</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2011-12</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7</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2012-13</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2013-14</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6</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2014-15</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2015-16</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2016-17</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w:t>
                        </w:r>
                      </w:p>
                    </w:tc>
                  </w:tr>
                  <w:tr w:rsidR="009D34DD" w:rsidRPr="009D34DD" w:rsidTr="009D34DD">
                    <w:trPr>
                      <w:trHeight w:val="275"/>
                    </w:trPr>
                    <w:tc>
                      <w:tcPr>
                        <w:tcW w:w="9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2017-18</w:t>
                        </w:r>
                      </w:p>
                    </w:tc>
                    <w:tc>
                      <w:tcPr>
                        <w:tcW w:w="495"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w:t>
                        </w:r>
                      </w:p>
                    </w:tc>
                    <w:tc>
                      <w:tcPr>
                        <w:tcW w:w="51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w:t>
                        </w:r>
                      </w:p>
                    </w:tc>
                  </w:tr>
                </w:tbl>
                <w:p w:rsidR="009D34DD" w:rsidRPr="00FF452B" w:rsidRDefault="009D34DD" w:rsidP="007F083C">
                  <w:pPr>
                    <w:pStyle w:val="Caption"/>
                    <w:tabs>
                      <w:tab w:val="left" w:pos="4177"/>
                    </w:tabs>
                  </w:pPr>
                </w:p>
              </w:tc>
              <w:tc>
                <w:tcPr>
                  <w:tcW w:w="2107" w:type="dxa"/>
                  <w:shd w:val="clear" w:color="auto" w:fill="auto"/>
                </w:tcPr>
                <w:tbl>
                  <w:tblPr>
                    <w:tblW w:w="2552" w:type="dxa"/>
                    <w:tblLayout w:type="fixed"/>
                    <w:tblLook w:val="04A0" w:firstRow="1" w:lastRow="0" w:firstColumn="1" w:lastColumn="0" w:noHBand="0" w:noVBand="1"/>
                  </w:tblPr>
                  <w:tblGrid>
                    <w:gridCol w:w="756"/>
                    <w:gridCol w:w="757"/>
                    <w:gridCol w:w="1039"/>
                  </w:tblGrid>
                  <w:tr w:rsidR="009D34DD" w:rsidRPr="009D34DD" w:rsidTr="009D34DD">
                    <w:trPr>
                      <w:trHeight w:val="227"/>
                    </w:trPr>
                    <w:tc>
                      <w:tcPr>
                        <w:tcW w:w="624" w:type="dxa"/>
                        <w:gridSpan w:val="3"/>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Commonwealth</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Nominal $billions</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Revenue</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Spending</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2002-03</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207</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2003-04</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222</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215</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2004-05</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242</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230</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2005-06</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261</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244</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2006-07</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278</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261</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2007-08</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304</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282</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2008-09</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299</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328</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2009-10</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293</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346</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2010-11</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310</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362</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2011-12</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339</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384</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2012-13</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362</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382</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2013-14</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374</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418</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2014-15</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386</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426</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2015-16</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412</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439</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2016-17</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441</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459</w:t>
                        </w:r>
                      </w:p>
                    </w:tc>
                  </w:tr>
                  <w:tr w:rsidR="009D34DD" w:rsidRPr="009D34DD" w:rsidTr="009D34DD">
                    <w:trPr>
                      <w:trHeight w:val="227"/>
                    </w:trPr>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2017-18</w:t>
                        </w:r>
                      </w:p>
                    </w:tc>
                    <w:tc>
                      <w:tcPr>
                        <w:tcW w:w="624"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473</w:t>
                        </w:r>
                      </w:p>
                    </w:tc>
                    <w:tc>
                      <w:tcPr>
                        <w:tcW w:w="85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478</w:t>
                        </w:r>
                      </w:p>
                    </w:tc>
                  </w:tr>
                </w:tbl>
                <w:p w:rsidR="009D34DD" w:rsidRPr="00FF452B" w:rsidRDefault="009D34DD" w:rsidP="007F083C">
                  <w:pPr>
                    <w:pStyle w:val="Caption"/>
                    <w:tabs>
                      <w:tab w:val="left" w:pos="4177"/>
                    </w:tabs>
                  </w:pPr>
                </w:p>
              </w:tc>
            </w:tr>
          </w:tbl>
          <w:p w:rsidR="009D34DD" w:rsidRDefault="009D34DD" w:rsidP="001B093C">
            <w:pPr>
              <w:pStyle w:val="BodyText"/>
            </w:pPr>
          </w:p>
        </w:tc>
        <w:tc>
          <w:tcPr>
            <w:tcW w:w="426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Style w:val="TableAsPlaceholder"/>
              <w:tblW w:w="3914" w:type="dxa"/>
              <w:tblInd w:w="108" w:type="dxa"/>
              <w:tblLayout w:type="fixed"/>
              <w:tblCellMar>
                <w:left w:w="108" w:type="dxa"/>
                <w:right w:w="108" w:type="dxa"/>
              </w:tblCellMar>
              <w:tblLook w:val="04A0" w:firstRow="1" w:lastRow="0" w:firstColumn="1" w:lastColumn="0" w:noHBand="0" w:noVBand="1"/>
            </w:tblPr>
            <w:tblGrid>
              <w:gridCol w:w="1957"/>
              <w:gridCol w:w="1957"/>
            </w:tblGrid>
            <w:tr w:rsidR="009D34DD" w:rsidTr="005A0606">
              <w:trPr>
                <w:trHeight w:val="695"/>
              </w:trPr>
              <w:tc>
                <w:tcPr>
                  <w:tcW w:w="3914" w:type="dxa"/>
                  <w:gridSpan w:val="2"/>
                </w:tcPr>
                <w:p w:rsidR="009D34DD" w:rsidRPr="00FF452B" w:rsidRDefault="009D34DD" w:rsidP="007F083C">
                  <w:pPr>
                    <w:pStyle w:val="Caption"/>
                    <w:spacing w:before="0" w:after="0"/>
                  </w:pPr>
                  <w:bookmarkStart w:id="58" w:name="_Ref415145950"/>
                  <w:bookmarkStart w:id="59" w:name="_Toc415130141"/>
                  <w:bookmarkStart w:id="60" w:name="_Toc415131849"/>
                  <w:bookmarkStart w:id="61" w:name="_Toc415222947"/>
                  <w:bookmarkStart w:id="62" w:name="_Toc418073808"/>
                  <w:r w:rsidRPr="00FF452B">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6</w:t>
                  </w:r>
                  <w:r w:rsidR="003A23CE">
                    <w:rPr>
                      <w:noProof/>
                    </w:rPr>
                    <w:fldChar w:fldCharType="end"/>
                  </w:r>
                  <w:bookmarkEnd w:id="58"/>
                  <w:r w:rsidRPr="00FF452B">
                    <w:t xml:space="preserve">: </w:t>
                  </w:r>
                  <w:r>
                    <w:t xml:space="preserve">State revenue and </w:t>
                  </w:r>
                  <w:r w:rsidRPr="00E26029">
                    <w:t>spending and annual real growth</w:t>
                  </w:r>
                  <w:bookmarkEnd w:id="59"/>
                  <w:bookmarkEnd w:id="60"/>
                  <w:bookmarkEnd w:id="61"/>
                  <w:bookmarkEnd w:id="62"/>
                </w:p>
              </w:tc>
            </w:tr>
            <w:tr w:rsidR="009D34DD" w:rsidTr="005A0606">
              <w:trPr>
                <w:trHeight w:val="3531"/>
              </w:trPr>
              <w:tc>
                <w:tcPr>
                  <w:tcW w:w="1957" w:type="dxa"/>
                </w:tcPr>
                <w:tbl>
                  <w:tblPr>
                    <w:tblW w:w="2552" w:type="dxa"/>
                    <w:tblLayout w:type="fixed"/>
                    <w:tblLook w:val="04A0" w:firstRow="1" w:lastRow="0" w:firstColumn="1" w:lastColumn="0" w:noHBand="0" w:noVBand="1"/>
                  </w:tblPr>
                  <w:tblGrid>
                    <w:gridCol w:w="1265"/>
                    <w:gridCol w:w="627"/>
                    <w:gridCol w:w="660"/>
                  </w:tblGrid>
                  <w:tr w:rsidR="005A0606" w:rsidRPr="009D34DD" w:rsidTr="005A0606">
                    <w:trPr>
                      <w:trHeight w:val="113"/>
                    </w:trPr>
                    <w:tc>
                      <w:tcPr>
                        <w:tcW w:w="3494" w:type="dxa"/>
                        <w:gridSpan w:val="3"/>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State</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Annual real growth</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Revenue</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Spending</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2002-03</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rPr>
                            <w:rFonts w:ascii="Calibri" w:eastAsia="Times New Roman" w:hAnsi="Calibri" w:cs="Times New Roman"/>
                            <w:color w:val="FFFFFF" w:themeColor="background1"/>
                            <w:sz w:val="12"/>
                            <w:szCs w:val="12"/>
                            <w:lang w:eastAsia="en-AU"/>
                          </w:rPr>
                        </w:pP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2003-04</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6.3</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4.7</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2004-05</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3.9</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4.7</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2005-06</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5.0</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5.3</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2006-07</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5.2</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6.4</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2007-08</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1.5</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4.8</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2008-09</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4.6</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7.8</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2009-10</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8.2</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9.7</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2010-11</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0.0</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-0.3</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2011-12</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2.7</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1.4</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2012-13</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-2.3</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-1.4</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2013-14</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3.7</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0.7</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2014-15</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0.5</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2.3</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2015-16</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1.7</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-1.1</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2016-17</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1.8</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2.0</w:t>
                        </w:r>
                      </w:p>
                    </w:tc>
                  </w:tr>
                  <w:tr w:rsidR="005A0606" w:rsidRPr="009D34DD" w:rsidTr="005A0606">
                    <w:trPr>
                      <w:trHeight w:val="113"/>
                    </w:trPr>
                    <w:tc>
                      <w:tcPr>
                        <w:tcW w:w="1791"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center"/>
                          <w:rPr>
                            <w:rFonts w:ascii="Calibri" w:eastAsia="Times New Roman" w:hAnsi="Calibri" w:cs="Times New Roman"/>
                            <w:b/>
                            <w:bCs/>
                            <w:color w:val="FFFFFF" w:themeColor="background1"/>
                            <w:sz w:val="12"/>
                            <w:szCs w:val="12"/>
                            <w:lang w:eastAsia="en-AU"/>
                          </w:rPr>
                        </w:pPr>
                        <w:r w:rsidRPr="009D34DD">
                          <w:rPr>
                            <w:rFonts w:ascii="Calibri" w:eastAsia="Times New Roman" w:hAnsi="Calibri" w:cs="Times New Roman"/>
                            <w:b/>
                            <w:bCs/>
                            <w:color w:val="FFFFFF" w:themeColor="background1"/>
                            <w:sz w:val="12"/>
                            <w:szCs w:val="12"/>
                            <w:lang w:eastAsia="en-AU"/>
                          </w:rPr>
                          <w:t>2017-18</w:t>
                        </w:r>
                      </w:p>
                    </w:tc>
                    <w:tc>
                      <w:tcPr>
                        <w:tcW w:w="827"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0.8</w:t>
                        </w:r>
                      </w:p>
                    </w:tc>
                    <w:tc>
                      <w:tcPr>
                        <w:tcW w:w="876" w:type="dxa"/>
                        <w:tcBorders>
                          <w:top w:val="nil"/>
                          <w:left w:val="nil"/>
                          <w:bottom w:val="nil"/>
                          <w:right w:val="nil"/>
                        </w:tcBorders>
                        <w:shd w:val="clear" w:color="auto" w:fill="auto"/>
                        <w:noWrap/>
                        <w:vAlign w:val="bottom"/>
                        <w:hideMark/>
                      </w:tcPr>
                      <w:p w:rsidR="009D34DD" w:rsidRPr="009D34DD" w:rsidRDefault="009D34DD" w:rsidP="009D34DD">
                        <w:pPr>
                          <w:spacing w:line="240" w:lineRule="auto"/>
                          <w:jc w:val="right"/>
                          <w:rPr>
                            <w:rFonts w:ascii="Calibri" w:eastAsia="Times New Roman" w:hAnsi="Calibri" w:cs="Times New Roman"/>
                            <w:color w:val="FFFFFF" w:themeColor="background1"/>
                            <w:sz w:val="12"/>
                            <w:szCs w:val="12"/>
                            <w:lang w:eastAsia="en-AU"/>
                          </w:rPr>
                        </w:pPr>
                        <w:r w:rsidRPr="009D34DD">
                          <w:rPr>
                            <w:rFonts w:ascii="Calibri" w:eastAsia="Times New Roman" w:hAnsi="Calibri" w:cs="Times New Roman"/>
                            <w:color w:val="FFFFFF" w:themeColor="background1"/>
                            <w:sz w:val="12"/>
                            <w:szCs w:val="12"/>
                            <w:lang w:eastAsia="en-AU"/>
                          </w:rPr>
                          <w:t>-1.0</w:t>
                        </w:r>
                      </w:p>
                    </w:tc>
                  </w:tr>
                </w:tbl>
                <w:p w:rsidR="009D34DD" w:rsidRPr="005A0606" w:rsidRDefault="009D34DD" w:rsidP="007F083C">
                  <w:pPr>
                    <w:pStyle w:val="Caption"/>
                    <w:rPr>
                      <w:color w:val="FFFFFF" w:themeColor="background1"/>
                    </w:rPr>
                  </w:pPr>
                </w:p>
              </w:tc>
              <w:tc>
                <w:tcPr>
                  <w:tcW w:w="1957" w:type="dxa"/>
                </w:tcPr>
                <w:tbl>
                  <w:tblPr>
                    <w:tblW w:w="2552" w:type="dxa"/>
                    <w:tblLayout w:type="fixed"/>
                    <w:tblLook w:val="04A0" w:firstRow="1" w:lastRow="0" w:firstColumn="1" w:lastColumn="0" w:noHBand="0" w:noVBand="1"/>
                  </w:tblPr>
                  <w:tblGrid>
                    <w:gridCol w:w="1214"/>
                    <w:gridCol w:w="652"/>
                    <w:gridCol w:w="686"/>
                  </w:tblGrid>
                  <w:tr w:rsidR="005A0606" w:rsidRPr="005A0606" w:rsidTr="005A0606">
                    <w:trPr>
                      <w:trHeight w:val="113"/>
                    </w:trPr>
                    <w:tc>
                      <w:tcPr>
                        <w:tcW w:w="3330" w:type="dxa"/>
                        <w:gridSpan w:val="3"/>
                        <w:tcBorders>
                          <w:top w:val="nil"/>
                          <w:left w:val="nil"/>
                          <w:bottom w:val="nil"/>
                          <w:right w:val="nil"/>
                        </w:tcBorders>
                        <w:shd w:val="clear" w:color="auto" w:fill="auto"/>
                        <w:noWrap/>
                        <w:vAlign w:val="bottom"/>
                        <w:hideMark/>
                      </w:tcPr>
                      <w:p w:rsidR="005A0606" w:rsidRPr="005A0606" w:rsidRDefault="005A0606" w:rsidP="005A0606">
                        <w:pPr>
                          <w:spacing w:line="240" w:lineRule="auto"/>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State</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Nominal $billions</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Revenue</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Spending</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2002-03</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129</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128</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2003-04</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141</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137</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2004-05</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150</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147</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2005-06</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163</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159</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2006-07</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176</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175</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2007-08</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185</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189</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2008-09</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199</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210</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2009-10</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220</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236</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2010-11</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227</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243</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2011-12</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239</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252</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2012-13</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238</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254</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2013-14</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254</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263</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2014-15</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261</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275</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2015-16</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272</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278</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2016-17</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284</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291</w:t>
                        </w:r>
                      </w:p>
                    </w:tc>
                  </w:tr>
                  <w:tr w:rsidR="005A0606" w:rsidRPr="005A0606" w:rsidTr="005A0606">
                    <w:trPr>
                      <w:trHeight w:val="113"/>
                    </w:trPr>
                    <w:tc>
                      <w:tcPr>
                        <w:tcW w:w="16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center"/>
                          <w:rPr>
                            <w:rFonts w:ascii="Calibri" w:eastAsia="Times New Roman" w:hAnsi="Calibri" w:cs="Times New Roman"/>
                            <w:b/>
                            <w:bCs/>
                            <w:color w:val="FFFFFF" w:themeColor="background1"/>
                            <w:sz w:val="12"/>
                            <w:szCs w:val="12"/>
                            <w:lang w:eastAsia="en-AU"/>
                          </w:rPr>
                        </w:pPr>
                        <w:r w:rsidRPr="005A0606">
                          <w:rPr>
                            <w:rFonts w:ascii="Calibri" w:eastAsia="Times New Roman" w:hAnsi="Calibri" w:cs="Times New Roman"/>
                            <w:b/>
                            <w:bCs/>
                            <w:color w:val="FFFFFF" w:themeColor="background1"/>
                            <w:sz w:val="12"/>
                            <w:szCs w:val="12"/>
                            <w:lang w:eastAsia="en-AU"/>
                          </w:rPr>
                          <w:t>2017-18</w:t>
                        </w:r>
                      </w:p>
                    </w:tc>
                    <w:tc>
                      <w:tcPr>
                        <w:tcW w:w="827"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293</w:t>
                        </w:r>
                      </w:p>
                    </w:tc>
                    <w:tc>
                      <w:tcPr>
                        <w:tcW w:w="876" w:type="dxa"/>
                        <w:tcBorders>
                          <w:top w:val="nil"/>
                          <w:left w:val="nil"/>
                          <w:bottom w:val="nil"/>
                          <w:right w:val="nil"/>
                        </w:tcBorders>
                        <w:shd w:val="clear" w:color="auto" w:fill="auto"/>
                        <w:noWrap/>
                        <w:vAlign w:val="bottom"/>
                        <w:hideMark/>
                      </w:tcPr>
                      <w:p w:rsidR="005A0606" w:rsidRPr="005A0606" w:rsidRDefault="005A0606" w:rsidP="005A0606">
                        <w:pPr>
                          <w:spacing w:line="240" w:lineRule="auto"/>
                          <w:jc w:val="right"/>
                          <w:rPr>
                            <w:rFonts w:ascii="Calibri" w:eastAsia="Times New Roman" w:hAnsi="Calibri" w:cs="Times New Roman"/>
                            <w:color w:val="FFFFFF" w:themeColor="background1"/>
                            <w:sz w:val="12"/>
                            <w:szCs w:val="12"/>
                            <w:lang w:eastAsia="en-AU"/>
                          </w:rPr>
                        </w:pPr>
                        <w:r w:rsidRPr="005A0606">
                          <w:rPr>
                            <w:rFonts w:ascii="Calibri" w:eastAsia="Times New Roman" w:hAnsi="Calibri" w:cs="Times New Roman"/>
                            <w:color w:val="FFFFFF" w:themeColor="background1"/>
                            <w:sz w:val="12"/>
                            <w:szCs w:val="12"/>
                            <w:lang w:eastAsia="en-AU"/>
                          </w:rPr>
                          <w:t>295</w:t>
                        </w:r>
                      </w:p>
                    </w:tc>
                  </w:tr>
                </w:tbl>
                <w:p w:rsidR="009D34DD" w:rsidRPr="005A0606" w:rsidRDefault="009D34DD" w:rsidP="007F083C">
                  <w:pPr>
                    <w:pStyle w:val="Caption"/>
                    <w:rPr>
                      <w:color w:val="FFFFFF" w:themeColor="background1"/>
                    </w:rPr>
                  </w:pPr>
                </w:p>
              </w:tc>
            </w:tr>
          </w:tbl>
          <w:p w:rsidR="009D34DD" w:rsidRDefault="009D34DD" w:rsidP="001B093C">
            <w:pPr>
              <w:pStyle w:val="BodyText"/>
              <w:cnfStyle w:val="100000000000" w:firstRow="1" w:lastRow="0" w:firstColumn="0" w:lastColumn="0" w:oddVBand="0" w:evenVBand="0" w:oddHBand="0" w:evenHBand="0" w:firstRowFirstColumn="0" w:firstRowLastColumn="0" w:lastRowFirstColumn="0" w:lastRowLastColumn="0"/>
            </w:pPr>
          </w:p>
        </w:tc>
      </w:tr>
    </w:tbl>
    <w:p w:rsidR="005A0606" w:rsidRDefault="005A0606" w:rsidP="00FF452B">
      <w:pPr>
        <w:pStyle w:val="Source"/>
      </w:pPr>
    </w:p>
    <w:p w:rsidR="00F64567" w:rsidRDefault="00FF452B" w:rsidP="00FF452B">
      <w:pPr>
        <w:pStyle w:val="Source"/>
      </w:pPr>
      <w:r>
        <w:t xml:space="preserve">Source: </w:t>
      </w:r>
      <w:r w:rsidRPr="00720A83">
        <w:t>ABS</w:t>
      </w:r>
      <w:r>
        <w:t xml:space="preserve"> and Commonwealth and state budget papers.</w:t>
      </w:r>
      <w:r w:rsidR="005A0606" w:rsidRPr="005A0606">
        <w:t xml:space="preserve"> </w:t>
      </w:r>
    </w:p>
    <w:p w:rsidR="00FF452B" w:rsidRPr="004C7FB3" w:rsidRDefault="00770CE6" w:rsidP="00FF452B">
      <w:pPr>
        <w:pStyle w:val="BodyText17ptAbove"/>
        <w:spacing w:before="160"/>
      </w:pPr>
      <w:r>
        <w:t>Over</w:t>
      </w:r>
      <w:r w:rsidRPr="004C7FB3">
        <w:t xml:space="preserve"> </w:t>
      </w:r>
      <w:r w:rsidR="00FF452B" w:rsidRPr="004C7FB3">
        <w:t>the period 2002–03 to 2007–08, Commonwealth revenue grew faster than expenses in real terms (</w:t>
      </w:r>
      <w:r w:rsidR="00541F82">
        <w:fldChar w:fldCharType="begin"/>
      </w:r>
      <w:r w:rsidR="00541F82">
        <w:instrText xml:space="preserve"> REF _Ref415145896 \h </w:instrText>
      </w:r>
      <w:r w:rsidR="00541F82">
        <w:fldChar w:fldCharType="separate"/>
      </w:r>
      <w:r w:rsidR="008B68F4" w:rsidRPr="00FF452B">
        <w:t xml:space="preserve">Figure </w:t>
      </w:r>
      <w:r w:rsidR="008B68F4">
        <w:rPr>
          <w:noProof/>
        </w:rPr>
        <w:t>1</w:t>
      </w:r>
      <w:r w:rsidR="008B68F4">
        <w:noBreakHyphen/>
      </w:r>
      <w:r w:rsidR="008B68F4">
        <w:rPr>
          <w:noProof/>
        </w:rPr>
        <w:t>5</w:t>
      </w:r>
      <w:r w:rsidR="00541F82">
        <w:fldChar w:fldCharType="end"/>
      </w:r>
      <w:r w:rsidR="00FF452B">
        <w:t>)</w:t>
      </w:r>
      <w:r w:rsidR="00FF452B" w:rsidRPr="00B86531">
        <w:rPr>
          <w:rStyle w:val="FootnoteReference"/>
        </w:rPr>
        <w:footnoteReference w:id="3"/>
      </w:r>
      <w:r w:rsidR="00FF452B">
        <w:t>.</w:t>
      </w:r>
      <w:r w:rsidR="00FF452B" w:rsidRPr="004C7FB3">
        <w:t xml:space="preserve">  A strong economy as well as the terms of trade boom, boosted revenue and resulted in the Commonwealth government being able to sustain high rates of spending growth and provide tax cuts, and still achieve surpluses.</w:t>
      </w:r>
    </w:p>
    <w:p w:rsidR="00FF452B" w:rsidRDefault="00FF452B" w:rsidP="00FF452B">
      <w:pPr>
        <w:pStyle w:val="BodyText"/>
      </w:pPr>
      <w:r w:rsidRPr="008445DB">
        <w:t>With the onset of the global financial crisis there were sharp declines in Commonwealth government revenue for two years, and sharp increases in spending.</w:t>
      </w:r>
      <w:r>
        <w:t xml:space="preserve"> </w:t>
      </w:r>
      <w:r w:rsidRPr="008445DB">
        <w:t xml:space="preserve"> While spending </w:t>
      </w:r>
      <w:r w:rsidRPr="00B23DA1">
        <w:t xml:space="preserve">moderated </w:t>
      </w:r>
      <w:r w:rsidR="00BB7338" w:rsidRPr="00B23DA1">
        <w:t xml:space="preserve">and revenue began </w:t>
      </w:r>
      <w:r w:rsidR="005F6A03" w:rsidRPr="00B23DA1">
        <w:t xml:space="preserve">to </w:t>
      </w:r>
      <w:r w:rsidR="00BB7338" w:rsidRPr="00B23DA1">
        <w:t>recove</w:t>
      </w:r>
      <w:r w:rsidR="005F6A03" w:rsidRPr="00B23DA1">
        <w:t>r</w:t>
      </w:r>
      <w:r w:rsidRPr="00B23DA1">
        <w:t xml:space="preserve"> from 2010–</w:t>
      </w:r>
      <w:r w:rsidR="00BB7338" w:rsidRPr="00B23DA1">
        <w:t>11</w:t>
      </w:r>
      <w:r w:rsidRPr="00B23DA1">
        <w:t>, fiscal deficits are projected by the</w:t>
      </w:r>
      <w:r>
        <w:t xml:space="preserve"> Commonwealth</w:t>
      </w:r>
      <w:r w:rsidRPr="008445DB">
        <w:t xml:space="preserve"> to persist over the forward estimates.</w:t>
      </w:r>
      <w:r>
        <w:t xml:space="preserve"> </w:t>
      </w:r>
      <w:r w:rsidRPr="008445DB">
        <w:t xml:space="preserve"> The dip</w:t>
      </w:r>
      <w:r>
        <w:t xml:space="preserve"> in Commonwealth</w:t>
      </w:r>
      <w:r w:rsidRPr="008445DB">
        <w:t xml:space="preserve"> spending in 2012</w:t>
      </w:r>
      <w:r>
        <w:t>–</w:t>
      </w:r>
      <w:r w:rsidRPr="008445DB">
        <w:t>13 and the preceding and subseq</w:t>
      </w:r>
      <w:r>
        <w:t>uent spikes in 2011–12 and 2013–</w:t>
      </w:r>
      <w:r w:rsidRPr="008445DB">
        <w:t xml:space="preserve">14 respectively </w:t>
      </w:r>
      <w:r w:rsidR="00770CE6">
        <w:t>are</w:t>
      </w:r>
      <w:r w:rsidRPr="008445DB">
        <w:t xml:space="preserve"> largely associated with the bringing forward and deferral of </w:t>
      </w:r>
      <w:r>
        <w:t>Commonwealth payments</w:t>
      </w:r>
      <w:r w:rsidR="007B34C5">
        <w:t xml:space="preserve"> across a range of areas</w:t>
      </w:r>
      <w:r>
        <w:t xml:space="preserve"> into 2011–</w:t>
      </w:r>
      <w:r w:rsidRPr="008445DB">
        <w:t>12 and 2013</w:t>
      </w:r>
      <w:r>
        <w:t>–</w:t>
      </w:r>
      <w:r w:rsidRPr="008445DB">
        <w:t>14 respectively.</w:t>
      </w:r>
    </w:p>
    <w:p w:rsidR="00FF452B" w:rsidRPr="00404779" w:rsidRDefault="00FF452B" w:rsidP="001B093C">
      <w:pPr>
        <w:pStyle w:val="BodyText"/>
      </w:pPr>
      <w:r>
        <w:t xml:space="preserve">From 2013–14 to 2017–18, </w:t>
      </w:r>
      <w:r w:rsidRPr="002C270F">
        <w:t>the Commonwealth is projecting</w:t>
      </w:r>
      <w:r>
        <w:t xml:space="preserve"> revenue to </w:t>
      </w:r>
      <w:r w:rsidRPr="00F813FB">
        <w:t>recover</w:t>
      </w:r>
      <w:r>
        <w:t>, while spending growth is projected to moderate reflecting slower growth in major spending programs.</w:t>
      </w:r>
    </w:p>
    <w:p w:rsidR="00FF452B" w:rsidRDefault="00FF452B" w:rsidP="001B093C">
      <w:pPr>
        <w:pStyle w:val="BodyText"/>
      </w:pPr>
      <w:r w:rsidRPr="00D9185A">
        <w:lastRenderedPageBreak/>
        <w:t>Similar to the Commonwealth government, state governments achieved fiscal surpluses during the first half of the decade (</w:t>
      </w:r>
      <w:r w:rsidR="00541F82" w:rsidRPr="00D9185A">
        <w:fldChar w:fldCharType="begin"/>
      </w:r>
      <w:r w:rsidR="00541F82" w:rsidRPr="00D9185A">
        <w:instrText xml:space="preserve"> REF _Ref415145950 \h </w:instrText>
      </w:r>
      <w:r w:rsidR="007B34C5" w:rsidRPr="00D9185A">
        <w:instrText xml:space="preserve"> \* MERGEFORMAT </w:instrText>
      </w:r>
      <w:r w:rsidR="00541F82" w:rsidRPr="00D9185A">
        <w:fldChar w:fldCharType="separate"/>
      </w:r>
      <w:r w:rsidR="008B68F4" w:rsidRPr="00FF452B">
        <w:t xml:space="preserve">Figure </w:t>
      </w:r>
      <w:r w:rsidR="008B68F4">
        <w:rPr>
          <w:noProof/>
        </w:rPr>
        <w:t>1</w:t>
      </w:r>
      <w:r w:rsidR="008B68F4">
        <w:rPr>
          <w:noProof/>
        </w:rPr>
        <w:noBreakHyphen/>
        <w:t>6</w:t>
      </w:r>
      <w:r w:rsidR="00541F82" w:rsidRPr="00D9185A">
        <w:fldChar w:fldCharType="end"/>
      </w:r>
      <w:r w:rsidRPr="00D9185A">
        <w:t xml:space="preserve">).  </w:t>
      </w:r>
      <w:r w:rsidR="00300E00" w:rsidRPr="00D9185A">
        <w:t xml:space="preserve">The deterioration in the overall state position was due </w:t>
      </w:r>
      <w:r w:rsidR="002A6F63" w:rsidRPr="00D9185A">
        <w:t xml:space="preserve">to </w:t>
      </w:r>
      <w:r w:rsidR="00300E00" w:rsidRPr="00D9185A">
        <w:t>expenses growth exceeding revenue growth</w:t>
      </w:r>
      <w:r w:rsidR="002A6F63" w:rsidRPr="00D9185A">
        <w:t xml:space="preserve"> (which reflected slower growth in GST transfers)</w:t>
      </w:r>
      <w:r w:rsidR="00300E00" w:rsidRPr="00D9185A">
        <w:t xml:space="preserve">, together with strong growth in state funded net capital investment.  </w:t>
      </w:r>
      <w:r w:rsidRPr="00D9185A">
        <w:t xml:space="preserve">States in total transitioned from a surplus to a deficit position one year before the Commonwealth.  However, if not for large falls in investment income </w:t>
      </w:r>
      <w:r w:rsidR="007B34C5" w:rsidRPr="00D9185A">
        <w:t xml:space="preserve">(particularly </w:t>
      </w:r>
      <w:r w:rsidRPr="00D9185A">
        <w:t>in Queensland</w:t>
      </w:r>
      <w:r w:rsidR="005A05A0" w:rsidRPr="00D9185A">
        <w:rPr>
          <w:rStyle w:val="FootnoteReference"/>
        </w:rPr>
        <w:footnoteReference w:id="4"/>
      </w:r>
      <w:r w:rsidR="007B34C5" w:rsidRPr="00D9185A">
        <w:t>)</w:t>
      </w:r>
      <w:r w:rsidRPr="00D9185A">
        <w:t xml:space="preserve"> driven by volatility in financial markets, states would have been in surplus in 2007–08 and moved to deficit at the same time as the Commonwealth.</w:t>
      </w:r>
    </w:p>
    <w:p w:rsidR="00FF452B" w:rsidRDefault="00FF452B" w:rsidP="001B093C">
      <w:pPr>
        <w:pStyle w:val="BodyText"/>
      </w:pPr>
      <w:r w:rsidRPr="000D6F57">
        <w:t>From 2007</w:t>
      </w:r>
      <w:r>
        <w:t>–</w:t>
      </w:r>
      <w:r w:rsidRPr="000D6F57">
        <w:t xml:space="preserve">08 onwards there were large fluctuations in transfers </w:t>
      </w:r>
      <w:r w:rsidR="005A05A0">
        <w:t xml:space="preserve">for specific purposes </w:t>
      </w:r>
      <w:r w:rsidRPr="000D6F57">
        <w:t>from the Commonwealth to the states.</w:t>
      </w:r>
      <w:r>
        <w:t xml:space="preserve"> </w:t>
      </w:r>
      <w:r w:rsidRPr="000D6F57">
        <w:t xml:space="preserve"> State net capital investment grew str</w:t>
      </w:r>
      <w:r>
        <w:t>ongly and peaked in 2009–</w:t>
      </w:r>
      <w:r w:rsidRPr="000D6F57">
        <w:t xml:space="preserve">10 driven in part by Commonwealth transfers in that year. </w:t>
      </w:r>
      <w:r>
        <w:t xml:space="preserve"> </w:t>
      </w:r>
      <w:r w:rsidRPr="000D6F57">
        <w:t>The volatility in revenue at the end of the</w:t>
      </w:r>
      <w:r w:rsidRPr="008445DB">
        <w:t xml:space="preserve"> decade reflected the bring-forward of Commonwealth payments (primarily for infrastructure) to state governments from 2012</w:t>
      </w:r>
      <w:r>
        <w:t>–</w:t>
      </w:r>
      <w:r w:rsidRPr="008445DB">
        <w:t>13 to 2011</w:t>
      </w:r>
      <w:r>
        <w:t>–</w:t>
      </w:r>
      <w:r w:rsidRPr="008445DB">
        <w:t>12.</w:t>
      </w:r>
    </w:p>
    <w:p w:rsidR="00595B9A" w:rsidRPr="00CE633C" w:rsidRDefault="00FF452B" w:rsidP="001B093C">
      <w:pPr>
        <w:pStyle w:val="BodyText"/>
      </w:pPr>
      <w:r w:rsidRPr="002C270F">
        <w:t>From 2013</w:t>
      </w:r>
      <w:r>
        <w:t>–</w:t>
      </w:r>
      <w:r w:rsidRPr="002C270F">
        <w:t>14 onwards, states are projecting spending growth to slow reflecting the</w:t>
      </w:r>
      <w:r w:rsidRPr="00C2505B">
        <w:t xml:space="preserve"> concerted fiscal consolidation taking place across most jurisdictions. </w:t>
      </w:r>
      <w:r>
        <w:t xml:space="preserve"> </w:t>
      </w:r>
      <w:r w:rsidRPr="00C2505B">
        <w:t xml:space="preserve">This reflects decreases over the period in both recurrent </w:t>
      </w:r>
      <w:r w:rsidR="00595B9A">
        <w:t xml:space="preserve">expenditure (in part due to slower growth in employee expenses) </w:t>
      </w:r>
      <w:r w:rsidRPr="00C2505B">
        <w:t>and capital expenditure.</w:t>
      </w:r>
      <w:r w:rsidR="00595B9A">
        <w:t xml:space="preserve"> </w:t>
      </w:r>
      <w:r w:rsidR="00C85CA9">
        <w:t xml:space="preserve"> </w:t>
      </w:r>
      <w:r w:rsidR="00595B9A" w:rsidRPr="00CE633C">
        <w:t>This is despite state own</w:t>
      </w:r>
      <w:r w:rsidR="00595B9A">
        <w:noBreakHyphen/>
      </w:r>
      <w:r w:rsidR="00595B9A" w:rsidRPr="00CE633C">
        <w:t>spending on hospitals, the largest area of state spending, growing by 5.5 per cent annually in re</w:t>
      </w:r>
      <w:r w:rsidR="00595B9A">
        <w:t>al terms over the past decade.</w:t>
      </w:r>
    </w:p>
    <w:p w:rsidR="00FF452B" w:rsidRDefault="00541F82" w:rsidP="001B093C">
      <w:pPr>
        <w:pStyle w:val="BodyText"/>
      </w:pPr>
      <w:r>
        <w:rPr>
          <w:highlight w:val="yellow"/>
        </w:rPr>
        <w:fldChar w:fldCharType="begin"/>
      </w:r>
      <w:r>
        <w:rPr>
          <w:highlight w:val="yellow"/>
        </w:rPr>
        <w:instrText xml:space="preserve"> REF _Ref415146092 \h </w:instrText>
      </w:r>
      <w:r w:rsidR="001B093C">
        <w:rPr>
          <w:highlight w:val="yellow"/>
        </w:rPr>
        <w:instrText xml:space="preserve"> \* MERGEFORMAT </w:instrText>
      </w:r>
      <w:r>
        <w:rPr>
          <w:highlight w:val="yellow"/>
        </w:rPr>
      </w:r>
      <w:r>
        <w:rPr>
          <w:highlight w:val="yellow"/>
        </w:rPr>
        <w:fldChar w:fldCharType="separate"/>
      </w:r>
      <w:r w:rsidR="008B68F4" w:rsidRPr="000C7E94">
        <w:t xml:space="preserve">Figure </w:t>
      </w:r>
      <w:r w:rsidR="008B68F4">
        <w:rPr>
          <w:noProof/>
        </w:rPr>
        <w:t>1</w:t>
      </w:r>
      <w:r w:rsidR="008B68F4">
        <w:rPr>
          <w:noProof/>
        </w:rPr>
        <w:noBreakHyphen/>
        <w:t>7</w:t>
      </w:r>
      <w:r>
        <w:rPr>
          <w:highlight w:val="yellow"/>
        </w:rPr>
        <w:fldChar w:fldCharType="end"/>
      </w:r>
      <w:r w:rsidR="00FF452B" w:rsidRPr="008E0277">
        <w:t xml:space="preserve"> shows the growth rate in government revenue, expenses and net capital investment</w:t>
      </w:r>
      <w:r w:rsidR="00FF452B">
        <w:t xml:space="preserve"> for the Commonwealth and states.</w:t>
      </w:r>
    </w:p>
    <w:p w:rsidR="00FF452B" w:rsidRDefault="000C7E94" w:rsidP="00A74E0C">
      <w:pPr>
        <w:pStyle w:val="Caption"/>
        <w:spacing w:before="0" w:after="0"/>
      </w:pPr>
      <w:bookmarkStart w:id="63" w:name="_Ref415146092"/>
      <w:bookmarkStart w:id="64" w:name="_Toc415131850"/>
      <w:bookmarkStart w:id="65" w:name="_Toc415222948"/>
      <w:bookmarkStart w:id="66" w:name="_Toc418073809"/>
      <w:r w:rsidRPr="000C7E94">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7</w:t>
      </w:r>
      <w:r w:rsidR="003A23CE">
        <w:rPr>
          <w:noProof/>
        </w:rPr>
        <w:fldChar w:fldCharType="end"/>
      </w:r>
      <w:bookmarkEnd w:id="63"/>
      <w:r w:rsidRPr="000C7E94">
        <w:t xml:space="preserve">: </w:t>
      </w:r>
      <w:r w:rsidR="00AA70E0" w:rsidRPr="00FE7E03">
        <w:t>Average annual real growth in revenue and expenses from 2002</w:t>
      </w:r>
      <w:r w:rsidR="00955962">
        <w:t>–03 to 2012–</w:t>
      </w:r>
      <w:r w:rsidR="00AA70E0" w:rsidRPr="00FE7E03">
        <w:t>13</w:t>
      </w:r>
      <w:r w:rsidR="00AA70E0" w:rsidRPr="00B86531">
        <w:rPr>
          <w:rStyle w:val="FootnoteReference"/>
        </w:rPr>
        <w:footnoteReference w:id="5"/>
      </w:r>
      <w:bookmarkEnd w:id="64"/>
      <w:bookmarkEnd w:id="65"/>
      <w:bookmarkEnd w:id="66"/>
    </w:p>
    <w:tbl>
      <w:tblPr>
        <w:tblStyle w:val="TableGrid"/>
        <w:tblW w:w="844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224"/>
        <w:gridCol w:w="4224"/>
      </w:tblGrid>
      <w:tr w:rsidR="00A74E0C" w:rsidRPr="00A74E0C" w:rsidTr="00A7615C">
        <w:trPr>
          <w:cnfStyle w:val="100000000000" w:firstRow="1" w:lastRow="0" w:firstColumn="0" w:lastColumn="0" w:oddVBand="0" w:evenVBand="0" w:oddHBand="0" w:evenHBand="0" w:firstRowFirstColumn="0" w:firstRowLastColumn="0" w:lastRowFirstColumn="0" w:lastRowLastColumn="0"/>
          <w:trHeight w:val="4536"/>
          <w:jc w:val="center"/>
        </w:trPr>
        <w:tc>
          <w:tcPr>
            <w:cnfStyle w:val="001000000100" w:firstRow="0" w:lastRow="0" w:firstColumn="1" w:lastColumn="0" w:oddVBand="0" w:evenVBand="0" w:oddHBand="0" w:evenHBand="0" w:firstRowFirstColumn="1" w:firstRowLastColumn="0" w:lastRowFirstColumn="0" w:lastRowLastColumn="0"/>
            <w:tcW w:w="4156" w:type="dxa"/>
            <w:shd w:val="clear" w:color="auto" w:fill="auto"/>
          </w:tcPr>
          <w:tbl>
            <w:tblPr>
              <w:tblW w:w="3919" w:type="dxa"/>
              <w:tblLayout w:type="fixed"/>
              <w:tblLook w:val="04A0" w:firstRow="1" w:lastRow="0" w:firstColumn="1" w:lastColumn="0" w:noHBand="0" w:noVBand="1"/>
            </w:tblPr>
            <w:tblGrid>
              <w:gridCol w:w="2076"/>
              <w:gridCol w:w="1843"/>
            </w:tblGrid>
            <w:tr w:rsidR="00A74E0C" w:rsidRPr="00A74E0C" w:rsidTr="0056392A">
              <w:trPr>
                <w:trHeight w:val="227"/>
              </w:trPr>
              <w:tc>
                <w:tcPr>
                  <w:tcW w:w="2076" w:type="dxa"/>
                  <w:shd w:val="clear" w:color="auto" w:fill="auto"/>
                  <w:noWrap/>
                  <w:vAlign w:val="bottom"/>
                  <w:hideMark/>
                </w:tcPr>
                <w:p w:rsidR="00A74E0C" w:rsidRPr="00A74E0C" w:rsidRDefault="00A7615C" w:rsidP="0056392A">
                  <w:pPr>
                    <w:spacing w:line="240" w:lineRule="auto"/>
                    <w:rPr>
                      <w:rFonts w:ascii="Calibri" w:eastAsia="Times New Roman" w:hAnsi="Calibri" w:cs="Times New Roman"/>
                      <w:b/>
                      <w:bCs/>
                      <w:color w:val="FFFFFF" w:themeColor="background1"/>
                      <w:sz w:val="16"/>
                      <w:lang w:eastAsia="en-AU"/>
                    </w:rPr>
                  </w:pPr>
                  <w:r w:rsidRPr="00A7615C">
                    <w:rPr>
                      <w:noProof/>
                      <w:lang w:eastAsia="en-AU"/>
                    </w:rPr>
                    <w:drawing>
                      <wp:anchor distT="0" distB="0" distL="114300" distR="114300" simplePos="0" relativeHeight="251726848" behindDoc="0" locked="0" layoutInCell="1" allowOverlap="1" wp14:anchorId="1CC04AF8" wp14:editId="1808D1A1">
                        <wp:simplePos x="0" y="0"/>
                        <wp:positionH relativeFrom="column">
                          <wp:posOffset>-55880</wp:posOffset>
                        </wp:positionH>
                        <wp:positionV relativeFrom="paragraph">
                          <wp:posOffset>15875</wp:posOffset>
                        </wp:positionV>
                        <wp:extent cx="5175885" cy="2868930"/>
                        <wp:effectExtent l="0" t="0" r="5715" b="762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88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E0C" w:rsidRPr="00A74E0C">
                    <w:rPr>
                      <w:rFonts w:ascii="Calibri" w:eastAsia="Times New Roman" w:hAnsi="Calibri" w:cs="Times New Roman"/>
                      <w:b/>
                      <w:bCs/>
                      <w:color w:val="FFFFFF" w:themeColor="background1"/>
                      <w:sz w:val="16"/>
                      <w:lang w:eastAsia="en-AU"/>
                    </w:rPr>
                    <w:t>2002-03 to 2012-13</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b/>
                      <w:bCs/>
                      <w:color w:val="FFFFFF" w:themeColor="background1"/>
                      <w:sz w:val="16"/>
                      <w:lang w:eastAsia="en-AU"/>
                    </w:rPr>
                  </w:pPr>
                  <w:r w:rsidRPr="00A74E0C">
                    <w:rPr>
                      <w:rFonts w:ascii="Calibri" w:eastAsia="Times New Roman" w:hAnsi="Calibri" w:cs="Times New Roman"/>
                      <w:b/>
                      <w:bCs/>
                      <w:color w:val="FFFFFF" w:themeColor="background1"/>
                      <w:sz w:val="16"/>
                      <w:lang w:eastAsia="en-AU"/>
                    </w:rPr>
                    <w:t>Annual real growth</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Commonwealth revenue</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2.9 per cent</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 xml:space="preserve">Commonwealth expenses </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3.9 per cent</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Commonwealth net capital investment</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not available</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State revenue</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3.5 per cent</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State expenses</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3.9 per cent</w:t>
                  </w:r>
                </w:p>
              </w:tc>
            </w:tr>
            <w:tr w:rsidR="00A74E0C" w:rsidRPr="00A74E0C" w:rsidTr="0056392A">
              <w:trPr>
                <w:trHeight w:val="227"/>
              </w:trPr>
              <w:tc>
                <w:tcPr>
                  <w:tcW w:w="2076"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State net capital investment</w:t>
                  </w:r>
                </w:p>
              </w:tc>
              <w:tc>
                <w:tcPr>
                  <w:tcW w:w="1843" w:type="dxa"/>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lang w:eastAsia="en-AU"/>
                    </w:rPr>
                  </w:pPr>
                  <w:r w:rsidRPr="00A74E0C">
                    <w:rPr>
                      <w:rFonts w:ascii="Calibri" w:eastAsia="Times New Roman" w:hAnsi="Calibri" w:cs="Times New Roman"/>
                      <w:color w:val="FFFFFF" w:themeColor="background1"/>
                      <w:sz w:val="16"/>
                      <w:lang w:eastAsia="en-AU"/>
                    </w:rPr>
                    <w:t>13.2 per cent</w:t>
                  </w:r>
                </w:p>
              </w:tc>
            </w:tr>
          </w:tbl>
          <w:p w:rsidR="00A74E0C" w:rsidRPr="00A74E0C" w:rsidRDefault="00A74E0C" w:rsidP="0056392A">
            <w:pPr>
              <w:pStyle w:val="BodyText"/>
            </w:pPr>
          </w:p>
        </w:tc>
        <w:tc>
          <w:tcPr>
            <w:tcW w:w="4156" w:type="dxa"/>
            <w:shd w:val="clear" w:color="auto" w:fill="auto"/>
          </w:tcPr>
          <w:tbl>
            <w:tblPr>
              <w:tblW w:w="4115" w:type="dxa"/>
              <w:tblLayout w:type="fixed"/>
              <w:tblLook w:val="04A0" w:firstRow="1" w:lastRow="0" w:firstColumn="1" w:lastColumn="0" w:noHBand="0" w:noVBand="1"/>
            </w:tblPr>
            <w:tblGrid>
              <w:gridCol w:w="2057"/>
              <w:gridCol w:w="2058"/>
            </w:tblGrid>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b/>
                      <w:bCs/>
                      <w:color w:val="FFFFFF" w:themeColor="background1"/>
                      <w:sz w:val="16"/>
                      <w:szCs w:val="16"/>
                      <w:lang w:eastAsia="en-AU"/>
                    </w:rPr>
                  </w:pPr>
                  <w:r w:rsidRPr="00A74E0C">
                    <w:rPr>
                      <w:rFonts w:ascii="Calibri" w:eastAsia="Times New Roman" w:hAnsi="Calibri" w:cs="Times New Roman"/>
                      <w:b/>
                      <w:bCs/>
                      <w:color w:val="FFFFFF" w:themeColor="background1"/>
                      <w:sz w:val="16"/>
                      <w:szCs w:val="16"/>
                      <w:lang w:eastAsia="en-AU"/>
                    </w:rPr>
                    <w:t>2012-13 to 2017-18</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b/>
                      <w:bCs/>
                      <w:color w:val="FFFFFF" w:themeColor="background1"/>
                      <w:sz w:val="16"/>
                      <w:szCs w:val="16"/>
                      <w:lang w:eastAsia="en-AU"/>
                    </w:rPr>
                  </w:pPr>
                  <w:r w:rsidRPr="00A74E0C">
                    <w:rPr>
                      <w:rFonts w:ascii="Calibri" w:eastAsia="Times New Roman" w:hAnsi="Calibri" w:cs="Times New Roman"/>
                      <w:b/>
                      <w:bCs/>
                      <w:color w:val="FFFFFF" w:themeColor="background1"/>
                      <w:sz w:val="16"/>
                      <w:szCs w:val="16"/>
                      <w:lang w:eastAsia="en-AU"/>
                    </w:rPr>
                    <w:t>Annual real growth</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Commonwealth revenue</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2.9 per cent</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 xml:space="preserve">Commonwealth expenses </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3.9 per cent</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Commonwealth net capital investment</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not available</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State revenue</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3.5 per cent</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State expenses</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3.9 per cent</w:t>
                  </w:r>
                </w:p>
              </w:tc>
            </w:tr>
            <w:tr w:rsidR="00A74E0C" w:rsidRPr="00A74E0C" w:rsidTr="00A7615C">
              <w:trPr>
                <w:trHeight w:val="353"/>
              </w:trPr>
              <w:tc>
                <w:tcPr>
                  <w:tcW w:w="2057"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State net capital investment</w:t>
                  </w:r>
                </w:p>
              </w:tc>
              <w:tc>
                <w:tcPr>
                  <w:tcW w:w="2058" w:type="dxa"/>
                  <w:tcBorders>
                    <w:top w:val="nil"/>
                    <w:left w:val="nil"/>
                    <w:bottom w:val="nil"/>
                    <w:right w:val="nil"/>
                  </w:tcBorders>
                  <w:shd w:val="clear" w:color="auto" w:fill="auto"/>
                  <w:noWrap/>
                  <w:vAlign w:val="bottom"/>
                  <w:hideMark/>
                </w:tcPr>
                <w:p w:rsidR="00A74E0C" w:rsidRPr="00A74E0C" w:rsidRDefault="00A74E0C" w:rsidP="0056392A">
                  <w:pPr>
                    <w:spacing w:line="240" w:lineRule="auto"/>
                    <w:rPr>
                      <w:rFonts w:ascii="Calibri" w:eastAsia="Times New Roman" w:hAnsi="Calibri" w:cs="Times New Roman"/>
                      <w:color w:val="FFFFFF" w:themeColor="background1"/>
                      <w:sz w:val="16"/>
                      <w:szCs w:val="16"/>
                      <w:lang w:eastAsia="en-AU"/>
                    </w:rPr>
                  </w:pPr>
                  <w:r w:rsidRPr="00A74E0C">
                    <w:rPr>
                      <w:rFonts w:ascii="Calibri" w:eastAsia="Times New Roman" w:hAnsi="Calibri" w:cs="Times New Roman"/>
                      <w:color w:val="FFFFFF" w:themeColor="background1"/>
                      <w:sz w:val="16"/>
                      <w:szCs w:val="16"/>
                      <w:lang w:eastAsia="en-AU"/>
                    </w:rPr>
                    <w:t>13.2 per cent</w:t>
                  </w:r>
                </w:p>
              </w:tc>
            </w:tr>
          </w:tbl>
          <w:p w:rsidR="00A74E0C" w:rsidRPr="00A74E0C" w:rsidRDefault="00A74E0C" w:rsidP="0056392A">
            <w:pPr>
              <w:pStyle w:val="BodyText"/>
              <w:jc w:val="left"/>
              <w:cnfStyle w:val="100000000000" w:firstRow="1" w:lastRow="0" w:firstColumn="0" w:lastColumn="0" w:oddVBand="0" w:evenVBand="0" w:oddHBand="0" w:evenHBand="0" w:firstRowFirstColumn="0" w:firstRowLastColumn="0" w:lastRowFirstColumn="0" w:lastRowLastColumn="0"/>
            </w:pPr>
          </w:p>
        </w:tc>
      </w:tr>
    </w:tbl>
    <w:p w:rsidR="00AA70E0" w:rsidRDefault="00AA70E0" w:rsidP="00A74E0C">
      <w:pPr>
        <w:pStyle w:val="Source"/>
        <w:spacing w:before="0"/>
      </w:pPr>
      <w:r>
        <w:t>Source: ABS and Commonwealth and state budget papers.</w:t>
      </w:r>
    </w:p>
    <w:p w:rsidR="00FA7CA0" w:rsidRPr="00925719" w:rsidRDefault="00FA7CA0" w:rsidP="00FA7CA0">
      <w:pPr>
        <w:pStyle w:val="Heading3"/>
      </w:pPr>
      <w:r w:rsidRPr="00925719">
        <w:lastRenderedPageBreak/>
        <w:t>Commonwealth revenue, expenses and net capital investment</w:t>
      </w:r>
    </w:p>
    <w:p w:rsidR="00FA7CA0" w:rsidRPr="00D84B68" w:rsidRDefault="00FA7CA0" w:rsidP="00FA7CA0">
      <w:pPr>
        <w:pStyle w:val="Heading4"/>
      </w:pPr>
      <w:r>
        <w:t>Revenue</w:t>
      </w:r>
    </w:p>
    <w:p w:rsidR="00FA7CA0" w:rsidRDefault="00FA7CA0" w:rsidP="00FA7CA0">
      <w:pPr>
        <w:pStyle w:val="BodyText"/>
      </w:pPr>
      <w:r>
        <w:t xml:space="preserve">From 2002–03 to 2012–13, </w:t>
      </w:r>
      <w:r w:rsidRPr="008E0277">
        <w:t>Commonwealth</w:t>
      </w:r>
      <w:r w:rsidRPr="00B86531">
        <w:rPr>
          <w:rStyle w:val="FootnoteReference"/>
        </w:rPr>
        <w:footnoteReference w:id="6"/>
      </w:r>
      <w:r w:rsidRPr="008E0277">
        <w:t xml:space="preserve"> revenue </w:t>
      </w:r>
      <w:r>
        <w:t>grew broadly in line with real GDP growth of 3.0 per cent.  R</w:t>
      </w:r>
      <w:r w:rsidRPr="008E0277">
        <w:t>evenue fell sharply with the onset of the global financial crisis but has increased since 2010</w:t>
      </w:r>
      <w:r>
        <w:t>–</w:t>
      </w:r>
      <w:r w:rsidRPr="008E0277">
        <w:t xml:space="preserve">11 reflecting the recovery from the crisis. </w:t>
      </w:r>
      <w:r>
        <w:t xml:space="preserve"> </w:t>
      </w:r>
      <w:r w:rsidRPr="008E0277">
        <w:t xml:space="preserve">Commonwealth </w:t>
      </w:r>
      <w:r>
        <w:t xml:space="preserve">budget papers indicate that </w:t>
      </w:r>
      <w:r w:rsidRPr="008E0277">
        <w:t>revenue is</w:t>
      </w:r>
      <w:r>
        <w:t xml:space="preserve"> projected</w:t>
      </w:r>
      <w:r w:rsidRPr="008E0277">
        <w:t xml:space="preserve"> to grow at </w:t>
      </w:r>
      <w:r>
        <w:t>3.0 </w:t>
      </w:r>
      <w:r w:rsidRPr="00CF72F0">
        <w:t>per</w:t>
      </w:r>
      <w:r>
        <w:t> </w:t>
      </w:r>
      <w:r w:rsidRPr="00CF72F0">
        <w:t>cent</w:t>
      </w:r>
      <w:r>
        <w:t xml:space="preserve"> annually </w:t>
      </w:r>
      <w:r w:rsidR="005F6A03">
        <w:t xml:space="preserve">in real terms </w:t>
      </w:r>
      <w:r>
        <w:t>from 2012–13 to 2017–18, largely driven by growth in personal income tax and capital gains tax collections.</w:t>
      </w:r>
    </w:p>
    <w:p w:rsidR="00FA7CA0" w:rsidRPr="00D84B68" w:rsidRDefault="00FA7CA0" w:rsidP="00FA7CA0">
      <w:pPr>
        <w:pStyle w:val="Heading4"/>
      </w:pPr>
      <w:r w:rsidRPr="00D84B68">
        <w:t>Expenses</w:t>
      </w:r>
    </w:p>
    <w:p w:rsidR="00AA70E0" w:rsidRDefault="00FA7CA0" w:rsidP="000C7E94">
      <w:pPr>
        <w:pStyle w:val="BodyText"/>
      </w:pPr>
      <w:r>
        <w:t xml:space="preserve">The historical growth in Commonwealth expenses has been driven primarily by social security and welfare expenses, which grew </w:t>
      </w:r>
      <w:r w:rsidR="00770CE6">
        <w:t>in real terms</w:t>
      </w:r>
      <w:r w:rsidR="005F6A03">
        <w:t xml:space="preserve"> </w:t>
      </w:r>
      <w:r w:rsidR="00981EE1">
        <w:t>by</w:t>
      </w:r>
      <w:r>
        <w:t xml:space="preserve"> 3.6 per cent annually over the past decade and accounted for more than one-fifth of the growth in total expenses across all levels of government.  Health expenditure has also been a key driver of total Commonwealth expenditure, growing at 5.1 per cent annually </w:t>
      </w:r>
      <w:r w:rsidR="006C4D51">
        <w:t xml:space="preserve">in real terms </w:t>
      </w:r>
      <w:r>
        <w:t>over the past decade, and accounting for around 10 per cent of the growth in total expenses across all levels of government.</w:t>
      </w:r>
    </w:p>
    <w:p w:rsidR="00274C69" w:rsidRDefault="00274C69" w:rsidP="00274C69">
      <w:pPr>
        <w:pStyle w:val="BodyText"/>
      </w:pPr>
      <w:r>
        <w:t>The Commonwealth is projecting growth in expenses to be lower over the forward estimates, in part reflecting the Commonwealth’s fiscal consolidation strategy.</w:t>
      </w:r>
      <w:r w:rsidR="00C85CA9">
        <w:t xml:space="preserve"> </w:t>
      </w:r>
      <w:r>
        <w:t xml:space="preserve"> In particular, key social security and welfare payments such as Family Tax Benefit are projected to grow more slowly over the estimates period than over the past decade.</w:t>
      </w:r>
    </w:p>
    <w:p w:rsidR="00274C69" w:rsidRPr="00D84B68" w:rsidRDefault="00274C69" w:rsidP="00274C69">
      <w:pPr>
        <w:pStyle w:val="Heading4"/>
      </w:pPr>
      <w:r w:rsidRPr="00D84B68">
        <w:t>Net capital investment</w:t>
      </w:r>
    </w:p>
    <w:p w:rsidR="00274C69" w:rsidRDefault="00274C69" w:rsidP="00274C69">
      <w:pPr>
        <w:pStyle w:val="BodyText"/>
      </w:pPr>
      <w:r>
        <w:t>Compared to the states, the Commonwealth undertakes relatively little net capital investment</w:t>
      </w:r>
      <w:r w:rsidR="004A5ACF">
        <w:t xml:space="preserve"> itself</w:t>
      </w:r>
      <w:r>
        <w:t>, with the majority relating to defence acquisitions</w:t>
      </w:r>
      <w:r w:rsidR="00E67318">
        <w:t xml:space="preserve">. </w:t>
      </w:r>
      <w:r>
        <w:t xml:space="preserve"> </w:t>
      </w:r>
      <w:r w:rsidR="00E67318">
        <w:t>H</w:t>
      </w:r>
      <w:r>
        <w:t>owever, the Commonwealth provide</w:t>
      </w:r>
      <w:r w:rsidR="00E67318">
        <w:t>s</w:t>
      </w:r>
      <w:r>
        <w:t xml:space="preserve"> grants for c</w:t>
      </w:r>
      <w:r w:rsidR="00C85CA9">
        <w:t>apital purposes to the states.</w:t>
      </w:r>
    </w:p>
    <w:p w:rsidR="00274C69" w:rsidRPr="00925719" w:rsidRDefault="00274C69" w:rsidP="00274C69">
      <w:pPr>
        <w:pStyle w:val="Heading3"/>
      </w:pPr>
      <w:r>
        <w:t>State</w:t>
      </w:r>
      <w:r w:rsidRPr="00925719">
        <w:t xml:space="preserve"> revenue, expenses and net capital investment</w:t>
      </w:r>
    </w:p>
    <w:p w:rsidR="00274C69" w:rsidRPr="00925719" w:rsidRDefault="008F3F73" w:rsidP="00274C69">
      <w:pPr>
        <w:pStyle w:val="Heading4"/>
      </w:pPr>
      <w:r>
        <w:t>Revenue</w:t>
      </w:r>
    </w:p>
    <w:p w:rsidR="00274C69" w:rsidRDefault="00274C69" w:rsidP="00274C69">
      <w:pPr>
        <w:pStyle w:val="BodyText"/>
      </w:pPr>
      <w:r>
        <w:t xml:space="preserve">Over the past decade, state revenue including Commonwealth transfers fell slightly as a percentage of GDP.  </w:t>
      </w:r>
      <w:r w:rsidR="006C4D51">
        <w:t>State</w:t>
      </w:r>
      <w:r>
        <w:t xml:space="preserve"> own</w:t>
      </w:r>
      <w:r>
        <w:noBreakHyphen/>
        <w:t>source revenue</w:t>
      </w:r>
      <w:r w:rsidR="006C4D51">
        <w:t xml:space="preserve"> was relatively stable. </w:t>
      </w:r>
      <w:r>
        <w:t xml:space="preserve"> All major states experienced falls in conveyance stamp duty associated with the decreased value of transactions in the residential and non</w:t>
      </w:r>
      <w:r>
        <w:noBreakHyphen/>
        <w:t xml:space="preserve">residential property markets following the global financial crisis.  This decline was more than offset by an increase in royalty revenue over the past decade, primarily in Western Australia </w:t>
      </w:r>
      <w:r w:rsidRPr="00D9185A">
        <w:t>(reflecting rapid rises in iron ore prices) and Queensland and New South Wales (reflecting increases in coal prices).</w:t>
      </w:r>
      <w:r w:rsidR="006C4D51" w:rsidRPr="00D9185A">
        <w:t xml:space="preserve">  Revenue from payroll </w:t>
      </w:r>
      <w:r w:rsidR="005F6A03" w:rsidRPr="00D9185A">
        <w:t xml:space="preserve">and property taxes </w:t>
      </w:r>
      <w:r w:rsidR="00225955" w:rsidRPr="00D9185A">
        <w:t>(primarily land tax and municipal rates</w:t>
      </w:r>
      <w:r w:rsidR="00981EE1" w:rsidRPr="00D9185A">
        <w:t xml:space="preserve"> but not conveyance stamp duty</w:t>
      </w:r>
      <w:r w:rsidR="00225955" w:rsidRPr="00D9185A">
        <w:t xml:space="preserve">) </w:t>
      </w:r>
      <w:r w:rsidR="006C4D51" w:rsidRPr="00D9185A">
        <w:t>remained relatively stable.</w:t>
      </w:r>
    </w:p>
    <w:p w:rsidR="00955962" w:rsidRDefault="00274C69" w:rsidP="00274C69">
      <w:pPr>
        <w:pStyle w:val="BodyText"/>
      </w:pPr>
      <w:r>
        <w:lastRenderedPageBreak/>
        <w:t xml:space="preserve">Commonwealth transfers (comprising specific purpose payments and GST transfers) </w:t>
      </w:r>
      <w:r w:rsidR="002A6F63">
        <w:t xml:space="preserve">declined </w:t>
      </w:r>
      <w:r>
        <w:t>over the period</w:t>
      </w:r>
      <w:r w:rsidR="002A6F63">
        <w:t xml:space="preserve">. </w:t>
      </w:r>
      <w:r>
        <w:t xml:space="preserve"> </w:t>
      </w:r>
      <w:r w:rsidR="007605D6">
        <w:t xml:space="preserve">Transfers peaked </w:t>
      </w:r>
      <w:r>
        <w:t xml:space="preserve">in 2009–10 as a result of additional specific purpose payments made to state governments as part of the </w:t>
      </w:r>
      <w:r w:rsidR="006C4D51" w:rsidRPr="00981EE1">
        <w:t xml:space="preserve">fiscal stimulus </w:t>
      </w:r>
      <w:r w:rsidR="00225955" w:rsidRPr="00981EE1">
        <w:t>under the</w:t>
      </w:r>
      <w:r w:rsidR="00225955">
        <w:t xml:space="preserve"> </w:t>
      </w:r>
      <w:r w:rsidRPr="002D4096">
        <w:rPr>
          <w:i/>
        </w:rPr>
        <w:t>Nation Building and Jobs Plan</w:t>
      </w:r>
      <w:r>
        <w:t>.  Over the decade, GST payments to the states declined as</w:t>
      </w:r>
      <w:r w:rsidR="00955962">
        <w:t xml:space="preserve"> a share of overall transfers.</w:t>
      </w:r>
    </w:p>
    <w:p w:rsidR="00274C69" w:rsidRDefault="00274C69" w:rsidP="00274C69">
      <w:pPr>
        <w:pStyle w:val="BodyText"/>
      </w:pPr>
      <w:r>
        <w:t xml:space="preserve">From 2013–14 onwards, state budget papers show a slowing in revenue growth driven by slower growth in grant revenue from the </w:t>
      </w:r>
      <w:r w:rsidRPr="00C2505B">
        <w:t>Commonwealth a</w:t>
      </w:r>
      <w:r>
        <w:t>nd a relatively flat outlook for other state revenue heads.</w:t>
      </w:r>
    </w:p>
    <w:p w:rsidR="00274C69" w:rsidRPr="00925719" w:rsidRDefault="00274C69" w:rsidP="00274C69">
      <w:pPr>
        <w:pStyle w:val="Heading4"/>
      </w:pPr>
      <w:r w:rsidRPr="00925719">
        <w:t>Expenses</w:t>
      </w:r>
    </w:p>
    <w:p w:rsidR="00274C69" w:rsidRDefault="00E67318" w:rsidP="00274C69">
      <w:pPr>
        <w:pStyle w:val="BodyText"/>
      </w:pPr>
      <w:r w:rsidRPr="00D9185A">
        <w:t>Growth in h</w:t>
      </w:r>
      <w:r w:rsidR="00274C69" w:rsidRPr="00D9185A">
        <w:t xml:space="preserve">ealth and education </w:t>
      </w:r>
      <w:r w:rsidRPr="00D9185A">
        <w:t xml:space="preserve">expenditures </w:t>
      </w:r>
      <w:r w:rsidR="009922F8">
        <w:t>was</w:t>
      </w:r>
      <w:r w:rsidR="009922F8" w:rsidRPr="00D9185A">
        <w:t xml:space="preserve"> </w:t>
      </w:r>
      <w:r w:rsidR="00274C69" w:rsidRPr="00D9185A">
        <w:t xml:space="preserve">the key contributor to the growth in state government spending over the past decade (these two areas were also the largest in terms of Commonwealth transfers to the states).  Together state expenditure in these two areas (including all </w:t>
      </w:r>
      <w:r w:rsidR="00225955" w:rsidRPr="00D9185A">
        <w:t>expenditure funded from Commonwealth transfers</w:t>
      </w:r>
      <w:r w:rsidR="00274C69" w:rsidRPr="00D9185A">
        <w:t>) accounted for over one-fifth of the growth in total expenses across all levels of government over the past decade.  Health, which is dominated by expenditure on hospitals, is the largest area accounting fo</w:t>
      </w:r>
      <w:r w:rsidR="00D241A1" w:rsidRPr="00D9185A">
        <w:t>r 24 per cent of total expenses</w:t>
      </w:r>
      <w:r w:rsidR="00274C69" w:rsidRPr="00D9185A">
        <w:t xml:space="preserve"> across all states in 2012–13.</w:t>
      </w:r>
    </w:p>
    <w:p w:rsidR="00274C69" w:rsidRDefault="00274C69" w:rsidP="00274C69">
      <w:pPr>
        <w:pStyle w:val="BodyText"/>
      </w:pPr>
      <w:r>
        <w:t>Education, which consists largely of expenditure on schools, is the second largest area accounting for 22 per cent of total expenses across all states in 2012–13.</w:t>
      </w:r>
    </w:p>
    <w:p w:rsidR="00274C69" w:rsidRDefault="00274C69" w:rsidP="00274C69">
      <w:pPr>
        <w:pStyle w:val="BodyText"/>
      </w:pPr>
      <w:r>
        <w:t>From 2013–14 to 2017–18 states are projecting expenses to grow by 0.7 per cent annually, driven by expenditure on hospitals, schools and public order and safety.</w:t>
      </w:r>
    </w:p>
    <w:p w:rsidR="00CC6775" w:rsidRPr="00925719" w:rsidRDefault="00CC6775" w:rsidP="00CC6775">
      <w:pPr>
        <w:pStyle w:val="Heading4"/>
      </w:pPr>
      <w:r w:rsidRPr="00925719">
        <w:t>Net capital investment</w:t>
      </w:r>
    </w:p>
    <w:p w:rsidR="00CC6775" w:rsidRDefault="00CC6775" w:rsidP="00CC6775">
      <w:pPr>
        <w:pStyle w:val="BodyText"/>
      </w:pPr>
      <w:r w:rsidRPr="00D9185A">
        <w:t xml:space="preserve">The strong growth in state net capital investment over the past decade reflects a surge in capital expenditure on transport, health and education projects across most states during the middle of the decade (including </w:t>
      </w:r>
      <w:r w:rsidR="00981EE1" w:rsidRPr="00D9185A">
        <w:t xml:space="preserve">investment funded by </w:t>
      </w:r>
      <w:r w:rsidRPr="00D9185A">
        <w:t>increased Commonwealth transfers</w:t>
      </w:r>
      <w:r w:rsidR="002278F9" w:rsidRPr="00D9185A">
        <w:t xml:space="preserve"> as part of fiscal stimulus</w:t>
      </w:r>
      <w:r w:rsidRPr="00D9185A">
        <w:t>).  Major capital proj</w:t>
      </w:r>
      <w:r w:rsidR="002278F9" w:rsidRPr="00D9185A">
        <w:t>ects in Queensland, Victoria, New South Wales</w:t>
      </w:r>
      <w:r w:rsidRPr="00D9185A">
        <w:t xml:space="preserve"> </w:t>
      </w:r>
      <w:r w:rsidR="002278F9" w:rsidRPr="00D9185A">
        <w:t xml:space="preserve">and </w:t>
      </w:r>
      <w:r w:rsidRPr="00D9185A">
        <w:t>Western Australia have accounted for much of the growth.  States are projecting the growth in state net capital investment to decline in real terms over the period 2013–14 to 2017–18 compared to the strong growth over the past decade, reflecting a subdued outlook for major infrastructure projects across most states.</w:t>
      </w:r>
    </w:p>
    <w:p w:rsidR="00CC6775" w:rsidRPr="00B653D4" w:rsidRDefault="00CC6775" w:rsidP="00CC6775">
      <w:pPr>
        <w:pStyle w:val="Heading2"/>
      </w:pPr>
      <w:bookmarkStart w:id="67" w:name="_Toc415131839"/>
      <w:r>
        <w:t>Commonwealth and state net debt</w:t>
      </w:r>
      <w:bookmarkEnd w:id="67"/>
    </w:p>
    <w:p w:rsidR="00CC6775" w:rsidRDefault="00CC6775" w:rsidP="00CC6775">
      <w:pPr>
        <w:pStyle w:val="BodyText"/>
      </w:pPr>
      <w:r>
        <w:t xml:space="preserve">Fiscal deficits </w:t>
      </w:r>
      <w:r w:rsidR="007E4080">
        <w:t xml:space="preserve">require </w:t>
      </w:r>
      <w:r>
        <w:t xml:space="preserve">governments </w:t>
      </w:r>
      <w:r w:rsidR="007E4080">
        <w:t>either</w:t>
      </w:r>
      <w:r w:rsidR="0022604B">
        <w:t xml:space="preserve"> to liquidate </w:t>
      </w:r>
      <w:r>
        <w:t xml:space="preserve">assets or borrow to fund spending.  Both the Commonwealth and the states have in large part funded fiscal deficits through borrowing with a consequent </w:t>
      </w:r>
      <w:r w:rsidR="007E4080">
        <w:t xml:space="preserve">significant </w:t>
      </w:r>
      <w:r>
        <w:t>impact on their balance sheet position</w:t>
      </w:r>
      <w:r w:rsidR="007E4080">
        <w:t>s</w:t>
      </w:r>
      <w:r>
        <w:t>.</w:t>
      </w:r>
    </w:p>
    <w:p w:rsidR="00CC6775" w:rsidRDefault="00CC6775" w:rsidP="00CC6775">
      <w:pPr>
        <w:pStyle w:val="BodyText"/>
      </w:pPr>
      <w:r>
        <w:t>Net debt</w:t>
      </w:r>
      <w:r w:rsidR="00E67318" w:rsidRPr="00B86531">
        <w:rPr>
          <w:rStyle w:val="FootnoteReference"/>
        </w:rPr>
        <w:footnoteReference w:id="7"/>
      </w:r>
      <w:r>
        <w:t xml:space="preserve"> across all levels of government increased from 2.1 per cent of GDP in 2002–03 to </w:t>
      </w:r>
      <w:r w:rsidRPr="00541F82">
        <w:t>12.4 per cent of GDP in 2012–13 (</w:t>
      </w:r>
      <w:r w:rsidR="00541F82" w:rsidRPr="00541F82">
        <w:fldChar w:fldCharType="begin"/>
      </w:r>
      <w:r w:rsidR="00541F82" w:rsidRPr="00541F82">
        <w:instrText xml:space="preserve"> REF _Ref415146163 \h </w:instrText>
      </w:r>
      <w:r w:rsidR="00541F82">
        <w:instrText xml:space="preserve"> \* MERGEFORMAT </w:instrText>
      </w:r>
      <w:r w:rsidR="00541F82" w:rsidRPr="00541F82">
        <w:fldChar w:fldCharType="separate"/>
      </w:r>
      <w:r w:rsidR="008B68F4" w:rsidRPr="00EC2461">
        <w:t xml:space="preserve">Figure </w:t>
      </w:r>
      <w:r w:rsidR="008B68F4">
        <w:rPr>
          <w:noProof/>
        </w:rPr>
        <w:t>1</w:t>
      </w:r>
      <w:r w:rsidR="008B68F4">
        <w:rPr>
          <w:noProof/>
        </w:rPr>
        <w:noBreakHyphen/>
        <w:t>8</w:t>
      </w:r>
      <w:r w:rsidR="00541F82" w:rsidRPr="00541F82">
        <w:fldChar w:fldCharType="end"/>
      </w:r>
      <w:r w:rsidRPr="00541F82">
        <w:t>).</w:t>
      </w:r>
    </w:p>
    <w:p w:rsidR="00CC6775" w:rsidRDefault="00CC6775" w:rsidP="00CC6775">
      <w:pPr>
        <w:pStyle w:val="BodyText"/>
      </w:pPr>
      <w:r w:rsidRPr="00520273">
        <w:lastRenderedPageBreak/>
        <w:t xml:space="preserve">The deterioration in total national net debt has been largely driven by the Commonwealth’s fiscal balance position. </w:t>
      </w:r>
      <w:r>
        <w:t xml:space="preserve"> </w:t>
      </w:r>
      <w:r w:rsidRPr="00520273">
        <w:t>Commonwealth net debt increased f</w:t>
      </w:r>
      <w:r>
        <w:t>rom 3.4 per cent of GDP in</w:t>
      </w:r>
      <w:r>
        <w:br/>
        <w:t>2002–</w:t>
      </w:r>
      <w:r w:rsidRPr="00520273">
        <w:t>03 to 10.1 per cent in 2012</w:t>
      </w:r>
      <w:r>
        <w:t>–</w:t>
      </w:r>
      <w:r w:rsidR="00350AB8">
        <w:t>13.</w:t>
      </w:r>
    </w:p>
    <w:p w:rsidR="00CC6775" w:rsidRPr="001907AB" w:rsidRDefault="00CC6775" w:rsidP="00CC6775">
      <w:pPr>
        <w:pStyle w:val="BodyText"/>
      </w:pPr>
      <w:r w:rsidRPr="002C270F">
        <w:t>The Commonwealth experienced a significant improvement in its net debt position over the first half of the decade due to successive fiscal surpluses and the sale of the third tranche of Telstra.</w:t>
      </w:r>
      <w:r w:rsidRPr="001907AB">
        <w:t xml:space="preserve"> </w:t>
      </w:r>
      <w:r>
        <w:t xml:space="preserve"> </w:t>
      </w:r>
      <w:r w:rsidRPr="001907AB">
        <w:t>This was reversed during the middle of the decade as the Commonwealth government borrowed to fin</w:t>
      </w:r>
      <w:r>
        <w:t>ance its recurrent expenditure.</w:t>
      </w:r>
    </w:p>
    <w:p w:rsidR="00274C69" w:rsidRDefault="00EC2461" w:rsidP="00EC2461">
      <w:pPr>
        <w:pStyle w:val="Caption"/>
      </w:pPr>
      <w:bookmarkStart w:id="68" w:name="_Ref415146163"/>
      <w:bookmarkStart w:id="69" w:name="_Toc415131851"/>
      <w:bookmarkStart w:id="70" w:name="_Toc415222949"/>
      <w:bookmarkStart w:id="71" w:name="_Toc418073810"/>
      <w:r w:rsidRPr="00EC2461">
        <w:t xml:space="preserve">Figure </w:t>
      </w:r>
      <w:r w:rsidR="003A23CE">
        <w:fldChar w:fldCharType="begin"/>
      </w:r>
      <w:r w:rsidR="003A23CE">
        <w:instrText xml:space="preserve"> STYLEREF 1 \s </w:instrText>
      </w:r>
      <w:r w:rsidR="003A23CE">
        <w:fldChar w:fldCharType="separate"/>
      </w:r>
      <w:r w:rsidR="008B68F4">
        <w:rPr>
          <w:noProof/>
        </w:rPr>
        <w:t>1</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8</w:t>
      </w:r>
      <w:r w:rsidR="003A23CE">
        <w:rPr>
          <w:noProof/>
        </w:rPr>
        <w:fldChar w:fldCharType="end"/>
      </w:r>
      <w:bookmarkEnd w:id="68"/>
      <w:r w:rsidRPr="00EC2461">
        <w:t xml:space="preserve">: </w:t>
      </w:r>
      <w:r w:rsidRPr="00BF0E43">
        <w:t>Commonwealth and state</w:t>
      </w:r>
      <w:r>
        <w:t xml:space="preserve"> </w:t>
      </w:r>
      <w:r w:rsidRPr="00BF0E43">
        <w:t>net debt</w:t>
      </w:r>
      <w:bookmarkEnd w:id="69"/>
      <w:bookmarkEnd w:id="70"/>
      <w:r w:rsidR="006A20B2" w:rsidRPr="006A20B2">
        <w:rPr>
          <w:noProof/>
          <w:lang w:eastAsia="en-AU"/>
        </w:rPr>
        <w:drawing>
          <wp:anchor distT="0" distB="0" distL="114300" distR="114300" simplePos="0" relativeHeight="251664384" behindDoc="0" locked="0" layoutInCell="1" allowOverlap="1" wp14:anchorId="255ED68C" wp14:editId="42597028">
            <wp:simplePos x="0" y="0"/>
            <wp:positionH relativeFrom="column">
              <wp:posOffset>1905</wp:posOffset>
            </wp:positionH>
            <wp:positionV relativeFrom="paragraph">
              <wp:posOffset>332105</wp:posOffset>
            </wp:positionV>
            <wp:extent cx="5278120" cy="3514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3514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1"/>
    </w:p>
    <w:tbl>
      <w:tblPr>
        <w:tblStyle w:val="TableGrid"/>
        <w:tblW w:w="8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670"/>
        <w:gridCol w:w="2727"/>
      </w:tblGrid>
      <w:tr w:rsidR="006A20B2" w:rsidRPr="006A20B2" w:rsidTr="005639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2" w:type="dxa"/>
            <w:shd w:val="clear" w:color="auto" w:fill="auto"/>
          </w:tcPr>
          <w:tbl>
            <w:tblPr>
              <w:tblW w:w="3051" w:type="dxa"/>
              <w:tblLook w:val="04A0" w:firstRow="1" w:lastRow="0" w:firstColumn="1" w:lastColumn="0" w:noHBand="0" w:noVBand="1"/>
            </w:tblPr>
            <w:tblGrid>
              <w:gridCol w:w="1560"/>
              <w:gridCol w:w="1491"/>
            </w:tblGrid>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color w:val="FFFFFF" w:themeColor="background1"/>
                      <w:sz w:val="12"/>
                      <w:szCs w:val="12"/>
                      <w:lang w:eastAsia="en-AU"/>
                    </w:rPr>
                  </w:pP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Commonwealth net debt as a per cent of GDP</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2002-03</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3.4</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2003-04</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2.3</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2004-05</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0.9</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2005-06</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-1.3</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2006-07</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-3.8</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2007-08</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-4.6</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2008-09</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-1.7</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2009-10</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3.2</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2010-11</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6.0</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2011-12</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10.0</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2012-13</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10.1</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2013-14</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12.8</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2014-15</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15.2</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2015-16</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16.7</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2016-17</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17.2</w:t>
                  </w:r>
                </w:p>
              </w:tc>
            </w:tr>
            <w:tr w:rsidR="006A20B2" w:rsidRPr="006A20B2" w:rsidTr="0056392A">
              <w:trPr>
                <w:trHeight w:val="300"/>
              </w:trPr>
              <w:tc>
                <w:tcPr>
                  <w:tcW w:w="156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2017-18</w:t>
                  </w:r>
                </w:p>
              </w:tc>
              <w:tc>
                <w:tcPr>
                  <w:tcW w:w="1491"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17.0</w:t>
                  </w:r>
                </w:p>
              </w:tc>
            </w:tr>
          </w:tbl>
          <w:p w:rsidR="006A20B2" w:rsidRPr="006A20B2" w:rsidRDefault="006A20B2" w:rsidP="0056392A">
            <w:pPr>
              <w:pStyle w:val="BodyText"/>
              <w:rPr>
                <w:sz w:val="12"/>
                <w:szCs w:val="12"/>
              </w:rPr>
            </w:pPr>
          </w:p>
        </w:tc>
        <w:tc>
          <w:tcPr>
            <w:tcW w:w="2843" w:type="dxa"/>
            <w:shd w:val="clear" w:color="auto" w:fill="auto"/>
          </w:tcPr>
          <w:tbl>
            <w:tblPr>
              <w:tblW w:w="2480" w:type="dxa"/>
              <w:tblLook w:val="04A0" w:firstRow="1" w:lastRow="0" w:firstColumn="1" w:lastColumn="0" w:noHBand="0" w:noVBand="1"/>
            </w:tblPr>
            <w:tblGrid>
              <w:gridCol w:w="1240"/>
              <w:gridCol w:w="1240"/>
            </w:tblGrid>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color w:val="FFFFFF" w:themeColor="background1"/>
                      <w:sz w:val="12"/>
                      <w:szCs w:val="12"/>
                      <w:lang w:eastAsia="en-AU"/>
                    </w:rPr>
                  </w:pP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State net debt as a per cent of GDP</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2002-03</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-1.3</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2003-04</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-2.0</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2004-05</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-2.7</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2005-06</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-3.6</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2006-07</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-2.9</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2007-08</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-2.2</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2008-09</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-1.4</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2009-10</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-0.4</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2010-11</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0.1</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2011-12</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1.1</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2012-13</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2.2</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2013-14</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2.3</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2014-15</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2.7</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2015-16</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2.5</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2016-17</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2.7</w:t>
                  </w:r>
                </w:p>
              </w:tc>
            </w:tr>
            <w:tr w:rsidR="006A20B2" w:rsidRPr="006A20B2" w:rsidTr="0056392A">
              <w:trPr>
                <w:trHeight w:val="297"/>
              </w:trPr>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2017-18</w:t>
                  </w:r>
                </w:p>
              </w:tc>
              <w:tc>
                <w:tcPr>
                  <w:tcW w:w="124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2.5</w:t>
                  </w:r>
                </w:p>
              </w:tc>
            </w:tr>
          </w:tbl>
          <w:p w:rsidR="006A20B2" w:rsidRPr="006A20B2" w:rsidRDefault="006A20B2" w:rsidP="0056392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2843" w:type="dxa"/>
            <w:shd w:val="clear" w:color="auto" w:fill="auto"/>
          </w:tcPr>
          <w:tbl>
            <w:tblPr>
              <w:tblW w:w="2600" w:type="dxa"/>
              <w:tblLook w:val="04A0" w:firstRow="1" w:lastRow="0" w:firstColumn="1" w:lastColumn="0" w:noHBand="0" w:noVBand="1"/>
            </w:tblPr>
            <w:tblGrid>
              <w:gridCol w:w="1300"/>
              <w:gridCol w:w="1300"/>
            </w:tblGrid>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color w:val="FFFFFF" w:themeColor="background1"/>
                      <w:sz w:val="12"/>
                      <w:szCs w:val="12"/>
                      <w:lang w:eastAsia="en-AU"/>
                    </w:rPr>
                  </w:pP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total net debt as a per cent of GDP</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2002-03</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2.1</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2003-04</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0.3</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2004-05</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-1.8</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2005-06</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-4.9</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2006-07</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-6.8</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2007-08</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-6.8</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2008-09</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-3.2</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2009-10</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2.8</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2010-11</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6.0</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2011-12</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11.1</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2012-13</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12.4</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2013-14</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15.1</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2014-15</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17.9</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2015-16</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19.2</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2016-17</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19.9</w:t>
                  </w:r>
                </w:p>
              </w:tc>
            </w:tr>
            <w:tr w:rsidR="006A20B2" w:rsidRPr="006A20B2" w:rsidTr="0056392A">
              <w:trPr>
                <w:trHeight w:val="297"/>
              </w:trPr>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rPr>
                      <w:rFonts w:ascii="Calibri" w:eastAsia="Times New Roman" w:hAnsi="Calibri" w:cs="Times New Roman"/>
                      <w:b/>
                      <w:bCs/>
                      <w:color w:val="FFFFFF" w:themeColor="background1"/>
                      <w:sz w:val="12"/>
                      <w:szCs w:val="12"/>
                      <w:lang w:eastAsia="en-AU"/>
                    </w:rPr>
                  </w:pPr>
                  <w:r w:rsidRPr="006A20B2">
                    <w:rPr>
                      <w:rFonts w:ascii="Calibri" w:eastAsia="Times New Roman" w:hAnsi="Calibri" w:cs="Times New Roman"/>
                      <w:b/>
                      <w:bCs/>
                      <w:color w:val="FFFFFF" w:themeColor="background1"/>
                      <w:sz w:val="12"/>
                      <w:szCs w:val="12"/>
                      <w:lang w:eastAsia="en-AU"/>
                    </w:rPr>
                    <w:t>2017-18</w:t>
                  </w:r>
                </w:p>
              </w:tc>
              <w:tc>
                <w:tcPr>
                  <w:tcW w:w="1300" w:type="dxa"/>
                  <w:tcBorders>
                    <w:top w:val="nil"/>
                    <w:left w:val="nil"/>
                    <w:bottom w:val="nil"/>
                    <w:right w:val="nil"/>
                  </w:tcBorders>
                  <w:shd w:val="clear" w:color="auto" w:fill="auto"/>
                  <w:noWrap/>
                  <w:vAlign w:val="bottom"/>
                  <w:hideMark/>
                </w:tcPr>
                <w:p w:rsidR="006A20B2" w:rsidRPr="006A20B2" w:rsidRDefault="006A20B2" w:rsidP="0056392A">
                  <w:pPr>
                    <w:spacing w:line="240" w:lineRule="auto"/>
                    <w:jc w:val="right"/>
                    <w:rPr>
                      <w:rFonts w:ascii="Calibri" w:eastAsia="Times New Roman" w:hAnsi="Calibri" w:cs="Times New Roman"/>
                      <w:color w:val="FFFFFF" w:themeColor="background1"/>
                      <w:sz w:val="12"/>
                      <w:szCs w:val="12"/>
                      <w:lang w:eastAsia="en-AU"/>
                    </w:rPr>
                  </w:pPr>
                  <w:r w:rsidRPr="006A20B2">
                    <w:rPr>
                      <w:rFonts w:ascii="Calibri" w:eastAsia="Times New Roman" w:hAnsi="Calibri" w:cs="Times New Roman"/>
                      <w:color w:val="FFFFFF" w:themeColor="background1"/>
                      <w:sz w:val="12"/>
                      <w:szCs w:val="12"/>
                      <w:lang w:eastAsia="en-AU"/>
                    </w:rPr>
                    <w:t>19.5</w:t>
                  </w:r>
                </w:p>
              </w:tc>
            </w:tr>
          </w:tbl>
          <w:p w:rsidR="006A20B2" w:rsidRPr="006A20B2" w:rsidRDefault="006A20B2" w:rsidP="0056392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EC2461" w:rsidRDefault="00EC2461" w:rsidP="00811EA3">
      <w:pPr>
        <w:pStyle w:val="Source"/>
        <w:spacing w:before="360"/>
      </w:pPr>
      <w:r>
        <w:t>Source: ABS and Commonwealth and state budget papers.</w:t>
      </w:r>
    </w:p>
    <w:p w:rsidR="00EC2461" w:rsidRPr="00EC2461" w:rsidRDefault="00EC2461" w:rsidP="00EC2461">
      <w:pPr>
        <w:pStyle w:val="BodyText17ptAbove"/>
      </w:pPr>
      <w:r w:rsidRPr="00D9185A">
        <w:t xml:space="preserve">In contrast, the increase in state net debt was primarily associated with borrowing to fund capital expenditure in the form of infrastructure projects.  </w:t>
      </w:r>
      <w:r w:rsidR="00077870" w:rsidRPr="00D9185A">
        <w:t xml:space="preserve">The small operating surpluses accumulated during the first half of the decade (which included capital grants from the Commonwealth) were insufficient to fund overall state </w:t>
      </w:r>
      <w:r w:rsidR="00ED225A" w:rsidRPr="00D9185A">
        <w:t xml:space="preserve">investment, meaning that states </w:t>
      </w:r>
      <w:r w:rsidR="007605D6" w:rsidRPr="00D9185A">
        <w:t xml:space="preserve">incurred additional </w:t>
      </w:r>
      <w:r w:rsidR="00ED225A" w:rsidRPr="00D9185A">
        <w:t xml:space="preserve">borrowing. </w:t>
      </w:r>
      <w:r w:rsidR="00350AB8" w:rsidRPr="00D9185A">
        <w:t xml:space="preserve"> </w:t>
      </w:r>
      <w:r w:rsidR="00ED225A" w:rsidRPr="00D9185A">
        <w:t>As a result</w:t>
      </w:r>
      <w:r w:rsidR="00077870" w:rsidRPr="00D9185A">
        <w:t>, s</w:t>
      </w:r>
      <w:r w:rsidRPr="00D9185A">
        <w:t>tates moved from a net asset position of 1.3 per cent of GDP in 2002–03 to a net debt position of 2.2 per cent of GDP in 2012–13.</w:t>
      </w:r>
    </w:p>
    <w:p w:rsidR="00EC2461" w:rsidRPr="00503074" w:rsidRDefault="00EC2461" w:rsidP="00EC2461">
      <w:pPr>
        <w:pStyle w:val="BodyText"/>
      </w:pPr>
      <w:r w:rsidRPr="002C270F">
        <w:t xml:space="preserve">State and Commonwealth projections for improvements in the fiscal balance over the forward estimates period contribute to </w:t>
      </w:r>
      <w:r w:rsidR="00B3636F">
        <w:t xml:space="preserve">projected </w:t>
      </w:r>
      <w:r w:rsidRPr="002C270F">
        <w:t xml:space="preserve">national net debt peaking </w:t>
      </w:r>
      <w:r>
        <w:t xml:space="preserve">at </w:t>
      </w:r>
      <w:r w:rsidR="005307EC">
        <w:t>19.9</w:t>
      </w:r>
      <w:r>
        <w:t> per cent of GDP in 2016–</w:t>
      </w:r>
      <w:r w:rsidRPr="002C270F">
        <w:t>17 and then falling to 19.</w:t>
      </w:r>
      <w:r w:rsidR="005307EC">
        <w:t>5</w:t>
      </w:r>
      <w:r w:rsidRPr="002C270F">
        <w:t> per cent of GDP by 2017</w:t>
      </w:r>
      <w:r>
        <w:t>–</w:t>
      </w:r>
      <w:r w:rsidRPr="002C270F">
        <w:t>18.</w:t>
      </w:r>
    </w:p>
    <w:p w:rsidR="001D339B" w:rsidRDefault="00EC2461" w:rsidP="00EC2461">
      <w:pPr>
        <w:pStyle w:val="BodyText"/>
      </w:pPr>
      <w:r w:rsidRPr="00101976">
        <w:t xml:space="preserve">The following chapters explore in more detail revenue, expenses, net capital investment and </w:t>
      </w:r>
      <w:r>
        <w:t>net debt</w:t>
      </w:r>
      <w:r w:rsidRPr="00101976">
        <w:t>, with a particular focus on state governments and their interaction with the Commonwealth.</w:t>
      </w:r>
    </w:p>
    <w:p w:rsidR="001D339B" w:rsidRDefault="001D339B" w:rsidP="00EC2461">
      <w:pPr>
        <w:pStyle w:val="BodyText"/>
        <w:sectPr w:rsidR="001D339B" w:rsidSect="007C428D">
          <w:footerReference w:type="even" r:id="rId39"/>
          <w:footerReference w:type="default" r:id="rId40"/>
          <w:pgSz w:w="11906" w:h="16838" w:code="9"/>
          <w:pgMar w:top="1361" w:right="1797" w:bottom="1474" w:left="1797" w:header="284" w:footer="454" w:gutter="0"/>
          <w:pgNumType w:start="1"/>
          <w:cols w:space="708"/>
          <w:docGrid w:linePitch="360"/>
        </w:sectPr>
      </w:pPr>
    </w:p>
    <w:p w:rsidR="000B37C5" w:rsidRDefault="000B37C5" w:rsidP="000B37C5">
      <w:pPr>
        <w:pStyle w:val="Heading1"/>
      </w:pPr>
      <w:bookmarkStart w:id="72" w:name="_Toc415063464"/>
      <w:bookmarkStart w:id="73" w:name="_Toc415125649"/>
      <w:bookmarkStart w:id="74" w:name="_Toc415131840"/>
      <w:bookmarkStart w:id="75" w:name="_Toc415222934"/>
      <w:bookmarkStart w:id="76" w:name="_Toc418073723"/>
      <w:r>
        <w:lastRenderedPageBreak/>
        <w:t>Revenue</w:t>
      </w:r>
      <w:bookmarkEnd w:id="72"/>
      <w:bookmarkEnd w:id="73"/>
      <w:bookmarkEnd w:id="74"/>
      <w:bookmarkEnd w:id="75"/>
      <w:bookmarkEnd w:id="76"/>
    </w:p>
    <w:p w:rsidR="000B37C5" w:rsidRPr="008315E4" w:rsidRDefault="000B37C5" w:rsidP="000B37C5">
      <w:pPr>
        <w:pStyle w:val="BodyText"/>
      </w:pPr>
      <w:r w:rsidRPr="008315E4">
        <w:t>Revenue collected by all levels of government in Australia was 33.</w:t>
      </w:r>
      <w:r w:rsidR="00596D1F">
        <w:t>2</w:t>
      </w:r>
      <w:r w:rsidR="00596D1F" w:rsidRPr="008315E4">
        <w:t xml:space="preserve"> </w:t>
      </w:r>
      <w:r w:rsidRPr="008315E4">
        <w:t>per cent of nominal GDP in 2012–13, down from 35</w:t>
      </w:r>
      <w:r w:rsidR="002B5731">
        <w:t>.0</w:t>
      </w:r>
      <w:r w:rsidRPr="008315E4">
        <w:t xml:space="preserve"> per cent in 2002</w:t>
      </w:r>
      <w:r>
        <w:t>–</w:t>
      </w:r>
      <w:r w:rsidRPr="008315E4">
        <w:t xml:space="preserve">03. </w:t>
      </w:r>
      <w:r w:rsidR="001B093C">
        <w:t xml:space="preserve"> </w:t>
      </w:r>
      <w:r w:rsidRPr="008315E4">
        <w:t>According to Commonwealth and state budget papers, this is projected</w:t>
      </w:r>
      <w:r>
        <w:t xml:space="preserve"> to rise to 35</w:t>
      </w:r>
      <w:r w:rsidR="002B5731">
        <w:t>.0</w:t>
      </w:r>
      <w:r>
        <w:t> per cent by 2017–</w:t>
      </w:r>
      <w:r w:rsidRPr="008315E4">
        <w:t>18 (</w:t>
      </w:r>
      <w:r w:rsidR="009477E7">
        <w:fldChar w:fldCharType="begin"/>
      </w:r>
      <w:r w:rsidR="009477E7">
        <w:instrText xml:space="preserve"> REF _Ref415130860 \h </w:instrText>
      </w:r>
      <w:r w:rsidR="009477E7">
        <w:fldChar w:fldCharType="separate"/>
      </w:r>
      <w:r w:rsidR="008B68F4" w:rsidRPr="000B37C5">
        <w:t xml:space="preserve">Figure </w:t>
      </w:r>
      <w:r w:rsidR="008B68F4">
        <w:rPr>
          <w:noProof/>
        </w:rPr>
        <w:t>2</w:t>
      </w:r>
      <w:r w:rsidR="008B68F4">
        <w:noBreakHyphen/>
      </w:r>
      <w:r w:rsidR="008B68F4">
        <w:rPr>
          <w:noProof/>
        </w:rPr>
        <w:t>1</w:t>
      </w:r>
      <w:r w:rsidR="009477E7">
        <w:fldChar w:fldCharType="end"/>
      </w:r>
      <w:r w:rsidRPr="008315E4">
        <w:t>).</w:t>
      </w:r>
    </w:p>
    <w:p w:rsidR="00EC2461" w:rsidRDefault="004D5A07" w:rsidP="000B37C5">
      <w:pPr>
        <w:pStyle w:val="Caption"/>
      </w:pPr>
      <w:bookmarkStart w:id="77" w:name="_Ref415130860"/>
      <w:bookmarkStart w:id="78" w:name="_Toc415131852"/>
      <w:bookmarkStart w:id="79" w:name="_Toc415222950"/>
      <w:bookmarkStart w:id="80" w:name="_Toc418073811"/>
      <w:r w:rsidRPr="004D5A07">
        <w:rPr>
          <w:noProof/>
          <w:lang w:eastAsia="en-AU"/>
        </w:rPr>
        <w:drawing>
          <wp:anchor distT="0" distB="0" distL="114300" distR="114300" simplePos="0" relativeHeight="251665408" behindDoc="0" locked="0" layoutInCell="1" allowOverlap="1" wp14:anchorId="7C308A51" wp14:editId="6D3732D2">
            <wp:simplePos x="0" y="0"/>
            <wp:positionH relativeFrom="column">
              <wp:posOffset>1905</wp:posOffset>
            </wp:positionH>
            <wp:positionV relativeFrom="paragraph">
              <wp:posOffset>380365</wp:posOffset>
            </wp:positionV>
            <wp:extent cx="5278120" cy="35140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7C5" w:rsidRPr="000B37C5">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1</w:t>
      </w:r>
      <w:r w:rsidR="003A23CE">
        <w:rPr>
          <w:noProof/>
        </w:rPr>
        <w:fldChar w:fldCharType="end"/>
      </w:r>
      <w:bookmarkEnd w:id="77"/>
      <w:r w:rsidR="000B37C5" w:rsidRPr="000B37C5">
        <w:t xml:space="preserve">: </w:t>
      </w:r>
      <w:r w:rsidR="000B37C5">
        <w:t>Revenue for all levels of government as a proportion of nominal GDP</w:t>
      </w:r>
      <w:bookmarkEnd w:id="78"/>
      <w:bookmarkEnd w:id="79"/>
      <w:bookmarkEnd w:id="80"/>
    </w:p>
    <w:tbl>
      <w:tblPr>
        <w:tblStyle w:val="TableGrid"/>
        <w:tblW w:w="8448" w:type="dxa"/>
        <w:tblLook w:val="04A0" w:firstRow="1" w:lastRow="0" w:firstColumn="1" w:lastColumn="0" w:noHBand="0" w:noVBand="1"/>
      </w:tblPr>
      <w:tblGrid>
        <w:gridCol w:w="2673"/>
        <w:gridCol w:w="2741"/>
        <w:gridCol w:w="3034"/>
      </w:tblGrid>
      <w:tr w:rsidR="004D5A07" w:rsidRPr="004D5A07" w:rsidTr="004D5A07">
        <w:trPr>
          <w:cnfStyle w:val="100000000000" w:firstRow="1" w:lastRow="0" w:firstColumn="0" w:lastColumn="0" w:oddVBand="0" w:evenVBand="0" w:oddHBand="0" w:evenHBand="0" w:firstRowFirstColumn="0" w:firstRowLastColumn="0" w:lastRowFirstColumn="0" w:lastRowLastColumn="0"/>
          <w:trHeight w:val="5109"/>
        </w:trPr>
        <w:tc>
          <w:tcPr>
            <w:cnfStyle w:val="001000000100" w:firstRow="0" w:lastRow="0" w:firstColumn="1" w:lastColumn="0" w:oddVBand="0" w:evenVBand="0" w:oddHBand="0" w:evenHBand="0" w:firstRowFirstColumn="1" w:firstRowLastColumn="0" w:lastRowFirstColumn="0" w:lastRowLastColumn="0"/>
            <w:tcW w:w="236" w:type="dxa"/>
            <w:shd w:val="clear" w:color="auto" w:fill="auto"/>
          </w:tcPr>
          <w:tbl>
            <w:tblPr>
              <w:tblW w:w="2419" w:type="dxa"/>
              <w:tblLook w:val="04A0" w:firstRow="1" w:lastRow="0" w:firstColumn="1" w:lastColumn="0" w:noHBand="0" w:noVBand="1"/>
            </w:tblPr>
            <w:tblGrid>
              <w:gridCol w:w="960"/>
              <w:gridCol w:w="1459"/>
            </w:tblGrid>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 billions</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Commonwealth (excluding transfers)</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2002-03</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18.8</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2003-04</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18.9</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2004-05</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19.4</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2005-06</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19.4</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2006-07</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19.0</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2007-08</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19.1</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2008-09</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16.8</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2009-10</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14.6</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2010-11</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14.9</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2011-12</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15.8</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2012-13</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17.5</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2013-14</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17.5</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2014-15</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17.7</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2015-16</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18.1</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2016-17</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18.5</w:t>
                  </w:r>
                </w:p>
              </w:tc>
            </w:tr>
            <w:tr w:rsidR="004D5A07" w:rsidRPr="004D5A07" w:rsidTr="0056392A">
              <w:trPr>
                <w:trHeight w:val="300"/>
              </w:trPr>
              <w:tc>
                <w:tcPr>
                  <w:tcW w:w="960"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center"/>
                    <w:rPr>
                      <w:rFonts w:ascii="Calibri" w:eastAsia="Times New Roman" w:hAnsi="Calibri" w:cs="Times New Roman"/>
                      <w:b/>
                      <w:bCs/>
                      <w:color w:val="FFFFFF" w:themeColor="background1"/>
                      <w:sz w:val="12"/>
                      <w:szCs w:val="12"/>
                      <w:lang w:eastAsia="en-AU"/>
                    </w:rPr>
                  </w:pPr>
                  <w:r w:rsidRPr="004D5A07">
                    <w:rPr>
                      <w:rFonts w:ascii="Calibri" w:eastAsia="Times New Roman" w:hAnsi="Calibri" w:cs="Times New Roman"/>
                      <w:b/>
                      <w:bCs/>
                      <w:color w:val="FFFFFF" w:themeColor="background1"/>
                      <w:sz w:val="12"/>
                      <w:szCs w:val="12"/>
                      <w:lang w:eastAsia="en-AU"/>
                    </w:rPr>
                    <w:t>2017-18</w:t>
                  </w:r>
                </w:p>
              </w:tc>
              <w:tc>
                <w:tcPr>
                  <w:tcW w:w="1459" w:type="dxa"/>
                  <w:tcBorders>
                    <w:top w:val="nil"/>
                    <w:left w:val="nil"/>
                    <w:bottom w:val="nil"/>
                    <w:right w:val="nil"/>
                  </w:tcBorders>
                  <w:shd w:val="clear" w:color="auto" w:fill="auto"/>
                  <w:noWrap/>
                  <w:vAlign w:val="bottom"/>
                  <w:hideMark/>
                </w:tcPr>
                <w:p w:rsidR="004D5A07" w:rsidRPr="004D5A07" w:rsidRDefault="004D5A07" w:rsidP="0056392A">
                  <w:pPr>
                    <w:spacing w:line="240" w:lineRule="auto"/>
                    <w:jc w:val="right"/>
                    <w:rPr>
                      <w:rFonts w:ascii="Calibri" w:eastAsia="Times New Roman" w:hAnsi="Calibri" w:cs="Times New Roman"/>
                      <w:color w:val="FFFFFF" w:themeColor="background1"/>
                      <w:sz w:val="12"/>
                      <w:szCs w:val="12"/>
                      <w:lang w:eastAsia="en-AU"/>
                    </w:rPr>
                  </w:pPr>
                  <w:r w:rsidRPr="004D5A07">
                    <w:rPr>
                      <w:rFonts w:ascii="Calibri" w:eastAsia="Times New Roman" w:hAnsi="Calibri" w:cs="Times New Roman"/>
                      <w:color w:val="FFFFFF" w:themeColor="background1"/>
                      <w:sz w:val="12"/>
                      <w:szCs w:val="12"/>
                      <w:lang w:eastAsia="en-AU"/>
                    </w:rPr>
                    <w:t>19.2</w:t>
                  </w:r>
                </w:p>
              </w:tc>
            </w:tr>
          </w:tbl>
          <w:p w:rsidR="004D5A07" w:rsidRPr="004D5A07" w:rsidRDefault="004D5A07" w:rsidP="0056392A">
            <w:pPr>
              <w:pStyle w:val="BodyText"/>
              <w:rPr>
                <w:sz w:val="12"/>
                <w:szCs w:val="12"/>
              </w:rPr>
            </w:pPr>
          </w:p>
        </w:tc>
        <w:tc>
          <w:tcPr>
            <w:tcW w:w="236" w:type="dxa"/>
            <w:shd w:val="clear" w:color="auto" w:fill="auto"/>
          </w:tcPr>
          <w:tbl>
            <w:tblPr>
              <w:tblW w:w="2480" w:type="dxa"/>
              <w:tblLook w:val="04A0" w:firstRow="1" w:lastRow="0" w:firstColumn="1" w:lastColumn="0" w:noHBand="0" w:noVBand="1"/>
            </w:tblPr>
            <w:tblGrid>
              <w:gridCol w:w="882"/>
              <w:gridCol w:w="1598"/>
            </w:tblGrid>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rPr>
                      <w:rFonts w:ascii="Calibri" w:hAnsi="Calibri"/>
                      <w:b/>
                      <w:bCs/>
                      <w:color w:val="FFFFFF" w:themeColor="background1"/>
                      <w:sz w:val="12"/>
                      <w:szCs w:val="12"/>
                    </w:rPr>
                  </w:pPr>
                  <w:r w:rsidRPr="004D5A07">
                    <w:rPr>
                      <w:rFonts w:ascii="Calibri" w:hAnsi="Calibri"/>
                      <w:b/>
                      <w:bCs/>
                      <w:color w:val="FFFFFF" w:themeColor="background1"/>
                      <w:sz w:val="12"/>
                      <w:szCs w:val="12"/>
                    </w:rPr>
                    <w:t>$ billions</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rPr>
                      <w:rFonts w:ascii="Calibri" w:hAnsi="Calibri"/>
                      <w:color w:val="FFFFFF" w:themeColor="background1"/>
                      <w:sz w:val="12"/>
                      <w:szCs w:val="12"/>
                    </w:rPr>
                  </w:pPr>
                  <w:r w:rsidRPr="004D5A07">
                    <w:rPr>
                      <w:rFonts w:ascii="Calibri" w:hAnsi="Calibri"/>
                      <w:color w:val="FFFFFF" w:themeColor="background1"/>
                      <w:sz w:val="12"/>
                      <w:szCs w:val="12"/>
                    </w:rPr>
                    <w:t>State (excluding transfers)</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2002-03</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9.2</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2003-04</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9.6</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2004-05</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9.5</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2005-06</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9.6</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2006-07</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9.7</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2007-08</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9.1</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2008-09</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9.0</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2009-10</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9.1</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2010-11</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9.1</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2011-12</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9.1</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2012-13</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9.4</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2013-14</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9.9</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2014-15</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9.9</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2015-16</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9.8</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2016-17</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9.6</w:t>
                  </w:r>
                </w:p>
              </w:tc>
            </w:tr>
            <w:tr w:rsidR="004D5A07" w:rsidRPr="004D5A07" w:rsidTr="0056392A">
              <w:trPr>
                <w:trHeight w:val="297"/>
              </w:trPr>
              <w:tc>
                <w:tcPr>
                  <w:tcW w:w="882"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2017-18</w:t>
                  </w:r>
                </w:p>
              </w:tc>
              <w:tc>
                <w:tcPr>
                  <w:tcW w:w="1598"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9.6</w:t>
                  </w:r>
                </w:p>
              </w:tc>
            </w:tr>
          </w:tbl>
          <w:p w:rsidR="004D5A07" w:rsidRPr="004D5A07" w:rsidRDefault="004D5A07" w:rsidP="0056392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236" w:type="dxa"/>
            <w:shd w:val="clear" w:color="auto" w:fill="auto"/>
          </w:tcPr>
          <w:tbl>
            <w:tblPr>
              <w:tblW w:w="2745" w:type="dxa"/>
              <w:tblLook w:val="04A0" w:firstRow="1" w:lastRow="0" w:firstColumn="1" w:lastColumn="0" w:noHBand="0" w:noVBand="1"/>
            </w:tblPr>
            <w:tblGrid>
              <w:gridCol w:w="629"/>
              <w:gridCol w:w="2116"/>
            </w:tblGrid>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rPr>
                      <w:rFonts w:ascii="Calibri" w:hAnsi="Calibri"/>
                      <w:b/>
                      <w:bCs/>
                      <w:color w:val="FFFFFF" w:themeColor="background1"/>
                      <w:sz w:val="12"/>
                      <w:szCs w:val="12"/>
                    </w:rPr>
                  </w:pPr>
                  <w:r w:rsidRPr="004D5A07">
                    <w:rPr>
                      <w:rFonts w:ascii="Calibri" w:hAnsi="Calibri"/>
                      <w:b/>
                      <w:bCs/>
                      <w:color w:val="FFFFFF" w:themeColor="background1"/>
                      <w:sz w:val="12"/>
                      <w:szCs w:val="12"/>
                    </w:rPr>
                    <w:t>$ billions</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rPr>
                      <w:rFonts w:ascii="Calibri" w:hAnsi="Calibri"/>
                      <w:color w:val="FFFFFF" w:themeColor="background1"/>
                      <w:sz w:val="12"/>
                      <w:szCs w:val="12"/>
                    </w:rPr>
                  </w:pPr>
                  <w:r w:rsidRPr="004D5A07">
                    <w:rPr>
                      <w:rFonts w:ascii="Calibri" w:hAnsi="Calibri"/>
                      <w:color w:val="FFFFFF" w:themeColor="background1"/>
                      <w:sz w:val="12"/>
                      <w:szCs w:val="12"/>
                    </w:rPr>
                    <w:t>Transfers from Commonwealth to state</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2002-03</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6.9</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2003-04</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6.8</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2004-05</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6.8</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2005-06</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6.7</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2006-07</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6.5</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2007-08</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6.6</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2008-09</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6.8</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2009-10</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7.9</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2010-11</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7.0</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2011-12</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6.9</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2012-13</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6.2</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2013-14</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6.1</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2014-15</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6.3</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2015-16</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6.4</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2016-17</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6.5</w:t>
                  </w:r>
                </w:p>
              </w:tc>
            </w:tr>
            <w:tr w:rsidR="004D5A07" w:rsidRPr="004D5A07" w:rsidTr="0056392A">
              <w:trPr>
                <w:trHeight w:val="297"/>
              </w:trPr>
              <w:tc>
                <w:tcPr>
                  <w:tcW w:w="629" w:type="dxa"/>
                  <w:tcBorders>
                    <w:top w:val="nil"/>
                    <w:left w:val="nil"/>
                    <w:bottom w:val="nil"/>
                    <w:right w:val="nil"/>
                  </w:tcBorders>
                  <w:shd w:val="clear" w:color="auto" w:fill="auto"/>
                  <w:noWrap/>
                  <w:vAlign w:val="bottom"/>
                  <w:hideMark/>
                </w:tcPr>
                <w:p w:rsidR="004D5A07" w:rsidRPr="004D5A07" w:rsidRDefault="004D5A07" w:rsidP="0056392A">
                  <w:pPr>
                    <w:jc w:val="center"/>
                    <w:rPr>
                      <w:rFonts w:ascii="Calibri" w:hAnsi="Calibri"/>
                      <w:b/>
                      <w:bCs/>
                      <w:color w:val="FFFFFF" w:themeColor="background1"/>
                      <w:sz w:val="12"/>
                      <w:szCs w:val="12"/>
                    </w:rPr>
                  </w:pPr>
                  <w:r w:rsidRPr="004D5A07">
                    <w:rPr>
                      <w:rFonts w:ascii="Calibri" w:hAnsi="Calibri"/>
                      <w:b/>
                      <w:bCs/>
                      <w:color w:val="FFFFFF" w:themeColor="background1"/>
                      <w:sz w:val="12"/>
                      <w:szCs w:val="12"/>
                    </w:rPr>
                    <w:t>2017-18</w:t>
                  </w:r>
                </w:p>
              </w:tc>
              <w:tc>
                <w:tcPr>
                  <w:tcW w:w="2116" w:type="dxa"/>
                  <w:tcBorders>
                    <w:top w:val="nil"/>
                    <w:left w:val="nil"/>
                    <w:bottom w:val="nil"/>
                    <w:right w:val="nil"/>
                  </w:tcBorders>
                  <w:shd w:val="clear" w:color="auto" w:fill="auto"/>
                  <w:noWrap/>
                  <w:vAlign w:val="bottom"/>
                  <w:hideMark/>
                </w:tcPr>
                <w:p w:rsidR="004D5A07" w:rsidRPr="004D5A07" w:rsidRDefault="004D5A07" w:rsidP="0056392A">
                  <w:pPr>
                    <w:jc w:val="right"/>
                    <w:rPr>
                      <w:rFonts w:ascii="Calibri" w:hAnsi="Calibri"/>
                      <w:color w:val="FFFFFF" w:themeColor="background1"/>
                      <w:sz w:val="12"/>
                      <w:szCs w:val="12"/>
                    </w:rPr>
                  </w:pPr>
                  <w:r w:rsidRPr="004D5A07">
                    <w:rPr>
                      <w:rFonts w:ascii="Calibri" w:hAnsi="Calibri"/>
                      <w:color w:val="FFFFFF" w:themeColor="background1"/>
                      <w:sz w:val="12"/>
                      <w:szCs w:val="12"/>
                    </w:rPr>
                    <w:t>6.2</w:t>
                  </w:r>
                </w:p>
              </w:tc>
            </w:tr>
          </w:tbl>
          <w:p w:rsidR="004D5A07" w:rsidRPr="004D5A07" w:rsidRDefault="004D5A07" w:rsidP="0056392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0B37C5" w:rsidRDefault="000B37C5" w:rsidP="000B37C5">
      <w:pPr>
        <w:pStyle w:val="Source"/>
      </w:pPr>
      <w:r>
        <w:t xml:space="preserve">Source: </w:t>
      </w:r>
      <w:r w:rsidRPr="00750B07">
        <w:t xml:space="preserve">ABS and </w:t>
      </w:r>
      <w:r>
        <w:t>Commonwealth and state government budget papers.</w:t>
      </w:r>
    </w:p>
    <w:p w:rsidR="00343C53" w:rsidRPr="008315E4" w:rsidRDefault="00343C53" w:rsidP="00343C53">
      <w:pPr>
        <w:pStyle w:val="BodyText17ptAbove"/>
        <w:spacing w:before="260"/>
      </w:pPr>
      <w:r w:rsidRPr="008315E4">
        <w:t>Commonwealth government revenue (excluding revenue transferred to the states) fell from 18.8 per cent of GDP in 2002–03 to 17.5 per cent in 2012–13.  The Commonwealth projects this to increase to 19.2 per cent by 2017–18.</w:t>
      </w:r>
    </w:p>
    <w:p w:rsidR="00343C53" w:rsidRDefault="00343C53" w:rsidP="00343C53">
      <w:pPr>
        <w:pStyle w:val="BodyText"/>
      </w:pPr>
      <w:r w:rsidRPr="00275D1A">
        <w:t>State government revenue is made up of own</w:t>
      </w:r>
      <w:r>
        <w:noBreakHyphen/>
      </w:r>
      <w:r w:rsidRPr="00275D1A">
        <w:t xml:space="preserve">source revenue and transfers from the Commonwealth government. </w:t>
      </w:r>
      <w:r>
        <w:t xml:space="preserve"> </w:t>
      </w:r>
      <w:r w:rsidRPr="00275D1A">
        <w:t>As a proportion of GDP, transfers fell from 6.9 per cent in 2002</w:t>
      </w:r>
      <w:r>
        <w:t>–</w:t>
      </w:r>
      <w:r w:rsidRPr="00275D1A">
        <w:t>03 to 6.2 per cent in 2012</w:t>
      </w:r>
      <w:r>
        <w:t>–</w:t>
      </w:r>
      <w:r w:rsidRPr="00275D1A">
        <w:t xml:space="preserve">13. </w:t>
      </w:r>
      <w:r>
        <w:t xml:space="preserve"> </w:t>
      </w:r>
      <w:r w:rsidRPr="00275D1A">
        <w:t xml:space="preserve">According to </w:t>
      </w:r>
      <w:r w:rsidR="00B3636F">
        <w:t xml:space="preserve">the </w:t>
      </w:r>
      <w:r w:rsidRPr="00275D1A">
        <w:t xml:space="preserve">Commonwealth budget papers, </w:t>
      </w:r>
      <w:r w:rsidR="00B3636F">
        <w:t>transfers to the states</w:t>
      </w:r>
      <w:r w:rsidR="00B3636F" w:rsidRPr="00275D1A">
        <w:t xml:space="preserve"> </w:t>
      </w:r>
      <w:r w:rsidRPr="00275D1A">
        <w:t>are projected to remain at this level in 2017</w:t>
      </w:r>
      <w:r>
        <w:t>–</w:t>
      </w:r>
      <w:r w:rsidRPr="00275D1A">
        <w:t xml:space="preserve">18. </w:t>
      </w:r>
      <w:r>
        <w:t xml:space="preserve"> </w:t>
      </w:r>
      <w:r w:rsidRPr="00275D1A">
        <w:t>Transfers from the Commonwealth government are an important source of funding for state governments, accounting for 42 per cent of their total revenue on average between 2002</w:t>
      </w:r>
      <w:r>
        <w:t>–</w:t>
      </w:r>
      <w:r w:rsidRPr="00275D1A">
        <w:t>0</w:t>
      </w:r>
      <w:r>
        <w:t>3 and 2012–</w:t>
      </w:r>
      <w:r w:rsidRPr="00275D1A">
        <w:t>13.</w:t>
      </w:r>
    </w:p>
    <w:p w:rsidR="00343C53" w:rsidRDefault="00343C53" w:rsidP="00343C53">
      <w:pPr>
        <w:pStyle w:val="BodyText"/>
      </w:pPr>
      <w:r w:rsidRPr="00275D1A">
        <w:t>Over the past decade, state revenue (excluding Commonwealth transfers) remained fairly steady, increasing from 9</w:t>
      </w:r>
      <w:r>
        <w:t>.2 per cent of GDP in 2002–03 to 9.4 per cent in 2012–</w:t>
      </w:r>
      <w:r w:rsidRPr="00275D1A">
        <w:t xml:space="preserve">13. </w:t>
      </w:r>
      <w:r>
        <w:t xml:space="preserve"> </w:t>
      </w:r>
      <w:r w:rsidRPr="00275D1A">
        <w:t>Over the forward estimates, state government budget papers project that own</w:t>
      </w:r>
      <w:r>
        <w:noBreakHyphen/>
      </w:r>
      <w:r w:rsidR="00675C7C">
        <w:t>source</w:t>
      </w:r>
      <w:r w:rsidR="00675C7C" w:rsidRPr="00275D1A">
        <w:t xml:space="preserve"> </w:t>
      </w:r>
      <w:r w:rsidRPr="00275D1A">
        <w:t>revenue will increase</w:t>
      </w:r>
      <w:r>
        <w:t xml:space="preserve"> to 9.6 per cent of GDP in 2017–</w:t>
      </w:r>
      <w:r w:rsidRPr="00275D1A">
        <w:t>18.</w:t>
      </w:r>
    </w:p>
    <w:p w:rsidR="00683027" w:rsidRDefault="00683027" w:rsidP="00683027">
      <w:pPr>
        <w:pStyle w:val="Heading2"/>
      </w:pPr>
      <w:bookmarkStart w:id="81" w:name="_Toc414006832"/>
      <w:bookmarkStart w:id="82" w:name="_Toc414007407"/>
      <w:bookmarkStart w:id="83" w:name="_Toc414007712"/>
      <w:bookmarkStart w:id="84" w:name="_Toc414008335"/>
      <w:bookmarkStart w:id="85" w:name="_Toc415131841"/>
      <w:r>
        <w:lastRenderedPageBreak/>
        <w:t>Commonwealth government revenue</w:t>
      </w:r>
      <w:bookmarkEnd w:id="81"/>
      <w:bookmarkEnd w:id="82"/>
      <w:bookmarkEnd w:id="83"/>
      <w:bookmarkEnd w:id="84"/>
      <w:bookmarkEnd w:id="85"/>
    </w:p>
    <w:p w:rsidR="00683027" w:rsidRPr="00F86182" w:rsidRDefault="00683027" w:rsidP="00F86182">
      <w:pPr>
        <w:pStyle w:val="Heading3"/>
      </w:pPr>
      <w:bookmarkStart w:id="86" w:name="_Toc414006833"/>
      <w:bookmarkStart w:id="87" w:name="_Toc414007408"/>
      <w:bookmarkStart w:id="88" w:name="_Toc414007713"/>
      <w:bookmarkStart w:id="89" w:name="_Toc414008336"/>
      <w:r w:rsidRPr="00F86182">
        <w:t>Composition of Commonwealth revenue</w:t>
      </w:r>
      <w:bookmarkEnd w:id="86"/>
      <w:bookmarkEnd w:id="87"/>
      <w:bookmarkEnd w:id="88"/>
      <w:bookmarkEnd w:id="89"/>
    </w:p>
    <w:p w:rsidR="00683027" w:rsidRDefault="00683027" w:rsidP="00683027">
      <w:pPr>
        <w:pStyle w:val="BodyText"/>
      </w:pPr>
      <w:r w:rsidRPr="00275D1A">
        <w:t>Commonwealth government rev</w:t>
      </w:r>
      <w:r>
        <w:t>enue was $360.8 billion in 2012–</w:t>
      </w:r>
      <w:r w:rsidRPr="00275D1A">
        <w:t xml:space="preserve">13, or 23.7 per cent of GDP. </w:t>
      </w:r>
      <w:r>
        <w:t xml:space="preserve"> </w:t>
      </w:r>
      <w:r w:rsidRPr="00275D1A">
        <w:t>The Commonwealth projects that this will inc</w:t>
      </w:r>
      <w:r>
        <w:t>rease to $473.2 billion in 2017–</w:t>
      </w:r>
      <w:r w:rsidRPr="00275D1A">
        <w:t>18, or 25.5 per cent of GDP.</w:t>
      </w:r>
      <w:r w:rsidRPr="00B86531">
        <w:rPr>
          <w:rStyle w:val="FootnoteReference"/>
        </w:rPr>
        <w:footnoteReference w:id="8"/>
      </w:r>
      <w:r w:rsidRPr="00275D1A">
        <w:t xml:space="preserve"> </w:t>
      </w:r>
      <w:r>
        <w:t xml:space="preserve"> A breakdown of 2012–</w:t>
      </w:r>
      <w:r w:rsidRPr="00275D1A">
        <w:t xml:space="preserve">13 revenue is shown in </w:t>
      </w:r>
      <w:r w:rsidR="00537DFD">
        <w:fldChar w:fldCharType="begin"/>
      </w:r>
      <w:r w:rsidR="00537DFD">
        <w:instrText xml:space="preserve"> REF _Ref415131004 \h </w:instrText>
      </w:r>
      <w:r w:rsidR="00537DFD">
        <w:fldChar w:fldCharType="separate"/>
      </w:r>
      <w:r w:rsidR="008B68F4" w:rsidRPr="00683027">
        <w:t xml:space="preserve">Figure </w:t>
      </w:r>
      <w:r w:rsidR="008B68F4">
        <w:rPr>
          <w:noProof/>
        </w:rPr>
        <w:t>2</w:t>
      </w:r>
      <w:r w:rsidR="008B68F4">
        <w:noBreakHyphen/>
      </w:r>
      <w:r w:rsidR="008B68F4">
        <w:rPr>
          <w:noProof/>
        </w:rPr>
        <w:t>2</w:t>
      </w:r>
      <w:r w:rsidR="00537DFD">
        <w:fldChar w:fldCharType="end"/>
      </w:r>
      <w:r w:rsidRPr="00275D1A">
        <w:t>.</w:t>
      </w:r>
    </w:p>
    <w:p w:rsidR="000B37C5" w:rsidRDefault="00683027" w:rsidP="00683027">
      <w:pPr>
        <w:pStyle w:val="Caption"/>
      </w:pPr>
      <w:bookmarkStart w:id="90" w:name="_Ref415131004"/>
      <w:bookmarkStart w:id="91" w:name="_Toc415131853"/>
      <w:bookmarkStart w:id="92" w:name="_Toc415222951"/>
      <w:bookmarkStart w:id="93" w:name="_Toc418073812"/>
      <w:r w:rsidRPr="00683027">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2</w:t>
      </w:r>
      <w:r w:rsidR="003A23CE">
        <w:rPr>
          <w:noProof/>
        </w:rPr>
        <w:fldChar w:fldCharType="end"/>
      </w:r>
      <w:bookmarkEnd w:id="90"/>
      <w:r w:rsidRPr="00683027">
        <w:t xml:space="preserve">: </w:t>
      </w:r>
      <w:r>
        <w:t>Commonwealth government revenue in 2012–13</w:t>
      </w:r>
      <w:bookmarkEnd w:id="91"/>
      <w:bookmarkEnd w:id="92"/>
      <w:bookmarkEnd w:id="93"/>
    </w:p>
    <w:tbl>
      <w:tblPr>
        <w:tblW w:w="8339" w:type="dxa"/>
        <w:tblInd w:w="93" w:type="dxa"/>
        <w:tblLook w:val="04A0" w:firstRow="1" w:lastRow="0" w:firstColumn="1" w:lastColumn="0" w:noHBand="0" w:noVBand="1"/>
      </w:tblPr>
      <w:tblGrid>
        <w:gridCol w:w="4169"/>
        <w:gridCol w:w="4170"/>
      </w:tblGrid>
      <w:tr w:rsidR="0092762C" w:rsidRPr="0092762C" w:rsidTr="00F86182">
        <w:trPr>
          <w:trHeight w:val="508"/>
        </w:trPr>
        <w:tc>
          <w:tcPr>
            <w:tcW w:w="4169" w:type="dxa"/>
            <w:shd w:val="clear" w:color="auto" w:fill="auto"/>
            <w:noWrap/>
            <w:vAlign w:val="bottom"/>
            <w:hideMark/>
          </w:tcPr>
          <w:p w:rsidR="0092762C" w:rsidRPr="0092762C" w:rsidRDefault="0056392A" w:rsidP="0056392A">
            <w:pPr>
              <w:spacing w:line="240" w:lineRule="auto"/>
              <w:rPr>
                <w:rFonts w:ascii="Calibri" w:eastAsia="Times New Roman" w:hAnsi="Calibri" w:cs="Times New Roman"/>
                <w:color w:val="FFFFFF" w:themeColor="background1"/>
                <w:lang w:eastAsia="en-AU"/>
              </w:rPr>
            </w:pPr>
            <w:r w:rsidRPr="0056392A">
              <w:rPr>
                <w:noProof/>
                <w:lang w:eastAsia="en-AU"/>
              </w:rPr>
              <w:drawing>
                <wp:anchor distT="0" distB="0" distL="114300" distR="114300" simplePos="0" relativeHeight="251666432" behindDoc="0" locked="0" layoutInCell="1" allowOverlap="1" wp14:anchorId="79A5839E" wp14:editId="5DB742CD">
                  <wp:simplePos x="0" y="0"/>
                  <wp:positionH relativeFrom="column">
                    <wp:posOffset>-73660</wp:posOffset>
                  </wp:positionH>
                  <wp:positionV relativeFrom="paragraph">
                    <wp:posOffset>18415</wp:posOffset>
                  </wp:positionV>
                  <wp:extent cx="5278120" cy="280797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2807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70"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$billions</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Individuals' and other withholding taxes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157</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Company and resource rent taxes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67</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Sales taxes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51</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Excise and customs duties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34</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Non-tax revenue</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23</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Superannuation fund taxes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7</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CGT</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7</w:t>
            </w:r>
          </w:p>
        </w:tc>
      </w:tr>
      <w:tr w:rsidR="0092762C" w:rsidRPr="0092762C" w:rsidTr="00F86182">
        <w:trPr>
          <w:trHeight w:val="508"/>
        </w:trPr>
        <w:tc>
          <w:tcPr>
            <w:tcW w:w="4169" w:type="dxa"/>
            <w:shd w:val="clear" w:color="auto" w:fill="auto"/>
            <w:noWrap/>
            <w:vAlign w:val="bottom"/>
            <w:hideMark/>
          </w:tcPr>
          <w:p w:rsidR="0092762C" w:rsidRPr="0092762C" w:rsidRDefault="0092762C" w:rsidP="0056392A">
            <w:pPr>
              <w:spacing w:line="240" w:lineRule="auto"/>
              <w:rPr>
                <w:rFonts w:ascii="Calibri" w:eastAsia="Times New Roman" w:hAnsi="Calibri" w:cs="Times New Roman"/>
                <w:b/>
                <w:bCs/>
                <w:color w:val="FFFFFF" w:themeColor="background1"/>
                <w:lang w:eastAsia="en-AU"/>
              </w:rPr>
            </w:pPr>
            <w:r w:rsidRPr="0092762C">
              <w:rPr>
                <w:rFonts w:ascii="Calibri" w:eastAsia="Times New Roman" w:hAnsi="Calibri" w:cs="Times New Roman"/>
                <w:b/>
                <w:bCs/>
                <w:color w:val="FFFFFF" w:themeColor="background1"/>
                <w:lang w:eastAsia="en-AU"/>
              </w:rPr>
              <w:t>Other taxes</w:t>
            </w:r>
          </w:p>
        </w:tc>
        <w:tc>
          <w:tcPr>
            <w:tcW w:w="4170" w:type="dxa"/>
            <w:shd w:val="clear" w:color="auto" w:fill="auto"/>
            <w:noWrap/>
            <w:vAlign w:val="bottom"/>
            <w:hideMark/>
          </w:tcPr>
          <w:p w:rsidR="0092762C" w:rsidRPr="0092762C" w:rsidRDefault="0092762C" w:rsidP="0056392A">
            <w:pPr>
              <w:spacing w:line="240" w:lineRule="auto"/>
              <w:jc w:val="right"/>
              <w:rPr>
                <w:rFonts w:ascii="Calibri" w:eastAsia="Times New Roman" w:hAnsi="Calibri" w:cs="Times New Roman"/>
                <w:color w:val="FFFFFF" w:themeColor="background1"/>
                <w:lang w:eastAsia="en-AU"/>
              </w:rPr>
            </w:pPr>
            <w:r w:rsidRPr="0092762C">
              <w:rPr>
                <w:rFonts w:ascii="Calibri" w:eastAsia="Times New Roman" w:hAnsi="Calibri" w:cs="Times New Roman"/>
                <w:color w:val="FFFFFF" w:themeColor="background1"/>
                <w:lang w:eastAsia="en-AU"/>
              </w:rPr>
              <w:t>15</w:t>
            </w:r>
          </w:p>
        </w:tc>
      </w:tr>
    </w:tbl>
    <w:p w:rsidR="00537DFD" w:rsidRDefault="00537DFD" w:rsidP="0056392A">
      <w:pPr>
        <w:pStyle w:val="Source"/>
        <w:spacing w:before="0" w:after="0"/>
      </w:pPr>
      <w:r>
        <w:t>Source: ABS and Commonwealth budget papers.</w:t>
      </w:r>
    </w:p>
    <w:p w:rsidR="00F73C22" w:rsidRDefault="00F73C22" w:rsidP="00F73C22">
      <w:pPr>
        <w:pStyle w:val="BodyText17ptAbove"/>
      </w:pPr>
      <w:r>
        <w:t>Individuals’ and other withholding taxes are the largest source of revenue for the Commonwealth government, accounting for $156.8 billion or 43 per cent of total revenue in 2012–13 (</w:t>
      </w:r>
      <w:r>
        <w:fldChar w:fldCharType="begin"/>
      </w:r>
      <w:r>
        <w:instrText xml:space="preserve"> REF _Ref415131004 \h </w:instrText>
      </w:r>
      <w:r>
        <w:fldChar w:fldCharType="separate"/>
      </w:r>
      <w:r w:rsidR="008B68F4" w:rsidRPr="00683027">
        <w:t xml:space="preserve">Figure </w:t>
      </w:r>
      <w:r w:rsidR="008B68F4">
        <w:rPr>
          <w:noProof/>
        </w:rPr>
        <w:t>2</w:t>
      </w:r>
      <w:r w:rsidR="008B68F4">
        <w:noBreakHyphen/>
      </w:r>
      <w:r w:rsidR="008B68F4">
        <w:rPr>
          <w:noProof/>
        </w:rPr>
        <w:t>2</w:t>
      </w:r>
      <w:r>
        <w:fldChar w:fldCharType="end"/>
      </w:r>
      <w:r>
        <w:t>).  The large majority of this revenue comprises personal income tax.</w:t>
      </w:r>
    </w:p>
    <w:p w:rsidR="00F73C22" w:rsidRPr="00F73C22" w:rsidRDefault="00F73C22" w:rsidP="00F73C22">
      <w:pPr>
        <w:pStyle w:val="BodyText"/>
      </w:pPr>
      <w:r w:rsidRPr="00F73C22">
        <w:t>In 2012–13, company and resource rent taxes totalled $66.7 billion, or 18 per cent of total revenue.  This component includes taxes on company profits ($64.8 billion) and resource rent taxes, such as the mineral resources and petroleum resource rent taxes ($1.9 billion).</w:t>
      </w:r>
    </w:p>
    <w:p w:rsidR="0056392A" w:rsidRDefault="00F73C22" w:rsidP="00F73C22">
      <w:pPr>
        <w:pStyle w:val="BodyText"/>
      </w:pPr>
      <w:r w:rsidRPr="00F73C22">
        <w:t>Sales taxes totalled $51.5 billion or 14 per cent of total revenue in 2012–13, and are mostly comprised of th</w:t>
      </w:r>
      <w:r w:rsidRPr="006C33F1">
        <w:t xml:space="preserve">e GST ($50.3 billion), which is transferred to the states in the form of General Revenue Assistance (see Sections </w:t>
      </w:r>
      <w:r w:rsidRPr="006C33F1">
        <w:fldChar w:fldCharType="begin"/>
      </w:r>
      <w:r w:rsidRPr="006C33F1">
        <w:instrText xml:space="preserve"> REF _Ref409605359 \r \h  \* MERGEFORMAT </w:instrText>
      </w:r>
      <w:r w:rsidRPr="006C33F1">
        <w:fldChar w:fldCharType="separate"/>
      </w:r>
      <w:r w:rsidR="008B68F4">
        <w:t>2.3.1</w:t>
      </w:r>
      <w:r w:rsidRPr="006C33F1">
        <w:fldChar w:fldCharType="end"/>
      </w:r>
      <w:r w:rsidRPr="006C33F1">
        <w:t xml:space="preserve"> and </w:t>
      </w:r>
      <w:r w:rsidRPr="006C33F1">
        <w:fldChar w:fldCharType="begin"/>
      </w:r>
      <w:r w:rsidRPr="006C33F1">
        <w:instrText xml:space="preserve"> REF _Ref409428271 \r \h  \* MERGEFORMAT </w:instrText>
      </w:r>
      <w:r w:rsidRPr="006C33F1">
        <w:fldChar w:fldCharType="separate"/>
      </w:r>
      <w:r w:rsidR="008B68F4" w:rsidRPr="008B68F4">
        <w:rPr>
          <w:bCs/>
          <w:lang w:val="en-US"/>
        </w:rPr>
        <w:t>2.3.2</w:t>
      </w:r>
      <w:r w:rsidRPr="006C33F1">
        <w:fldChar w:fldCharType="end"/>
      </w:r>
      <w:r w:rsidRPr="006C33F1">
        <w:t>).</w:t>
      </w:r>
    </w:p>
    <w:p w:rsidR="00F73C22" w:rsidRDefault="00F73C22" w:rsidP="00F73C22">
      <w:pPr>
        <w:pStyle w:val="BodyText"/>
      </w:pPr>
      <w:r>
        <w:t>Excise and customs duties totalled $33.9 billion in 2012–13, or 9 per cent of total Commonwealth revenue.  This category includes petrol and diesel excises ($14.7 billion), customs and excise-equivalent duties ($8.2 billion), tobacco and other excises ($8.1 billion), and excises on alcoholic beverages ($2.9 billion).</w:t>
      </w:r>
      <w:r w:rsidRPr="00B86531">
        <w:rPr>
          <w:rStyle w:val="FootnoteReference"/>
        </w:rPr>
        <w:footnoteReference w:id="9"/>
      </w:r>
    </w:p>
    <w:p w:rsidR="00F73C22" w:rsidRDefault="00F73C22" w:rsidP="00F73C22">
      <w:pPr>
        <w:pStyle w:val="BodyText"/>
      </w:pPr>
      <w:r>
        <w:lastRenderedPageBreak/>
        <w:t>Non-tax revenue was $23.5 billion or 6 per cent of total revenue in 2012–13.  This primarily consists of sales of goods and services (such as fees for government and regulatory services), interest, and dividends.</w:t>
      </w:r>
    </w:p>
    <w:p w:rsidR="00F73C22" w:rsidRDefault="00F73C22" w:rsidP="00F73C22">
      <w:pPr>
        <w:pStyle w:val="BodyText"/>
      </w:pPr>
      <w:r>
        <w:t>Superannuation fund taxes totalled $7.</w:t>
      </w:r>
      <w:r w:rsidR="00596D1F">
        <w:t>3</w:t>
      </w:r>
      <w:r>
        <w:t xml:space="preserve"> billion in 2012–13, or 2 per cent of total Commonwealth revenue.</w:t>
      </w:r>
    </w:p>
    <w:p w:rsidR="00F73C22" w:rsidRDefault="00F73C22" w:rsidP="00F73C22">
      <w:pPr>
        <w:pStyle w:val="BodyText"/>
      </w:pPr>
      <w:r w:rsidRPr="00187407">
        <w:t>Capital gains tax (CGT) was $7</w:t>
      </w:r>
      <w:r w:rsidR="005E1B9D">
        <w:t>.0</w:t>
      </w:r>
      <w:r w:rsidRPr="00187407">
        <w:t xml:space="preserve"> billion or 2 per cent </w:t>
      </w:r>
      <w:r>
        <w:t>of Commonwealth revenue in 2012–</w:t>
      </w:r>
      <w:r w:rsidRPr="00187407">
        <w:t xml:space="preserve">13. </w:t>
      </w:r>
      <w:r>
        <w:t xml:space="preserve"> </w:t>
      </w:r>
      <w:r w:rsidRPr="00187407">
        <w:t>CGT is levied on the capital gains income of individuals, companies and superannuation funds.</w:t>
      </w:r>
      <w:r w:rsidRPr="00B86531">
        <w:rPr>
          <w:rStyle w:val="FootnoteReference"/>
        </w:rPr>
        <w:footnoteReference w:id="10"/>
      </w:r>
    </w:p>
    <w:p w:rsidR="00F73C22" w:rsidRDefault="00F73C22" w:rsidP="00F73C22">
      <w:pPr>
        <w:pStyle w:val="BodyText"/>
      </w:pPr>
      <w:r>
        <w:t>The remaining 4 per cent of Commonwealth government revenue in 2012–13 was ‘other taxes’, totalling $15.3 billion.</w:t>
      </w:r>
      <w:r w:rsidRPr="00B86531">
        <w:rPr>
          <w:rStyle w:val="FootnoteReference"/>
        </w:rPr>
        <w:footnoteReference w:id="11"/>
      </w:r>
      <w:r>
        <w:t xml:space="preserve">  This category includes the </w:t>
      </w:r>
      <w:r w:rsidR="00D33E7F">
        <w:t xml:space="preserve">former </w:t>
      </w:r>
      <w:r>
        <w:t>carbon pricing mechanism, agricultural levies, and financial institution supervisory levies.</w:t>
      </w:r>
      <w:r w:rsidRPr="00B86531">
        <w:rPr>
          <w:rStyle w:val="FootnoteReference"/>
        </w:rPr>
        <w:footnoteReference w:id="12"/>
      </w:r>
    </w:p>
    <w:p w:rsidR="00F73C22" w:rsidRPr="00E00FBF" w:rsidRDefault="00F73C22" w:rsidP="006A7ECB">
      <w:pPr>
        <w:pStyle w:val="Heading3"/>
        <w:spacing w:before="360"/>
      </w:pPr>
      <w:bookmarkStart w:id="94" w:name="_Toc414006834"/>
      <w:bookmarkStart w:id="95" w:name="_Toc414007409"/>
      <w:bookmarkStart w:id="96" w:name="_Toc414007714"/>
      <w:bookmarkStart w:id="97" w:name="_Toc414008337"/>
      <w:r>
        <w:t>Trends in Commonwealth revenue</w:t>
      </w:r>
      <w:bookmarkEnd w:id="94"/>
      <w:bookmarkEnd w:id="95"/>
      <w:bookmarkEnd w:id="96"/>
      <w:bookmarkEnd w:id="97"/>
    </w:p>
    <w:p w:rsidR="00F73C22" w:rsidRDefault="00F73C22" w:rsidP="00F73C22">
      <w:pPr>
        <w:pStyle w:val="BodyText"/>
      </w:pPr>
      <w:r>
        <w:t>Some Commonwealth taxes exhibit a significant degree of volatility (</w:t>
      </w:r>
      <w:r>
        <w:fldChar w:fldCharType="begin"/>
      </w:r>
      <w:r>
        <w:instrText xml:space="preserve"> REF _Ref415131243 \h </w:instrText>
      </w:r>
      <w:r>
        <w:fldChar w:fldCharType="separate"/>
      </w:r>
      <w:r w:rsidR="008B68F4" w:rsidRPr="00F73C22">
        <w:t xml:space="preserve">Figure </w:t>
      </w:r>
      <w:r w:rsidR="008B68F4">
        <w:rPr>
          <w:noProof/>
        </w:rPr>
        <w:t>2</w:t>
      </w:r>
      <w:r w:rsidR="008B68F4">
        <w:noBreakHyphen/>
      </w:r>
      <w:r w:rsidR="008B68F4">
        <w:rPr>
          <w:noProof/>
        </w:rPr>
        <w:t>3</w:t>
      </w:r>
      <w:r>
        <w:fldChar w:fldCharType="end"/>
      </w:r>
      <w:r>
        <w:t>).  Personal income tax revenue has seen the largest fluctuations as a proportion of GDP over the past decade, with the overall decline reflecting decisions to reduce marginal tax rates and increase tax thresholds.</w:t>
      </w:r>
      <w:r w:rsidR="00350AB8">
        <w:t xml:space="preserve"> </w:t>
      </w:r>
      <w:r w:rsidR="005165F2" w:rsidRPr="005165F2">
        <w:t xml:space="preserve"> </w:t>
      </w:r>
      <w:r w:rsidR="005165F2" w:rsidRPr="00275D1A">
        <w:t xml:space="preserve">Company tax and capital gains tax revenue </w:t>
      </w:r>
      <w:r w:rsidR="002B5731">
        <w:t xml:space="preserve">have </w:t>
      </w:r>
      <w:r w:rsidR="005165F2" w:rsidRPr="00275D1A">
        <w:t xml:space="preserve">also </w:t>
      </w:r>
      <w:r w:rsidR="002B5731">
        <w:t xml:space="preserve">been </w:t>
      </w:r>
      <w:r w:rsidR="005165F2" w:rsidRPr="00275D1A">
        <w:t>relatively volatile, reflecting changes in corporate profits and asset prices.</w:t>
      </w:r>
    </w:p>
    <w:p w:rsidR="007A7137" w:rsidRDefault="007A7137" w:rsidP="007A7137">
      <w:pPr>
        <w:pStyle w:val="Caption"/>
      </w:pPr>
      <w:bookmarkStart w:id="98" w:name="_Ref415131243"/>
      <w:bookmarkStart w:id="99" w:name="_Toc415131854"/>
      <w:bookmarkStart w:id="100" w:name="_Toc415222952"/>
      <w:bookmarkStart w:id="101" w:name="_Toc418073813"/>
      <w:r w:rsidRPr="00F73C22">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3</w:t>
      </w:r>
      <w:r w:rsidR="003A23CE">
        <w:rPr>
          <w:noProof/>
        </w:rPr>
        <w:fldChar w:fldCharType="end"/>
      </w:r>
      <w:bookmarkEnd w:id="98"/>
      <w:r w:rsidRPr="00F73C22">
        <w:t xml:space="preserve">: </w:t>
      </w:r>
      <w:r>
        <w:t>Trends in major sources of Commonwealth government revenue</w:t>
      </w:r>
      <w:bookmarkEnd w:id="99"/>
      <w:bookmarkEnd w:id="100"/>
      <w:bookmarkEnd w:id="101"/>
    </w:p>
    <w:tbl>
      <w:tblPr>
        <w:tblStyle w:val="TableGrid"/>
        <w:tblW w:w="8461" w:type="dxa"/>
        <w:tblLook w:val="04A0" w:firstRow="1" w:lastRow="0" w:firstColumn="1" w:lastColumn="0" w:noHBand="0" w:noVBand="1"/>
      </w:tblPr>
      <w:tblGrid>
        <w:gridCol w:w="1785"/>
        <w:gridCol w:w="1669"/>
        <w:gridCol w:w="1669"/>
        <w:gridCol w:w="1669"/>
        <w:gridCol w:w="1669"/>
      </w:tblGrid>
      <w:tr w:rsidR="007A7137" w:rsidRPr="0056392A" w:rsidTr="007A7137">
        <w:trPr>
          <w:cnfStyle w:val="100000000000" w:firstRow="1" w:lastRow="0" w:firstColumn="0" w:lastColumn="0" w:oddVBand="0" w:evenVBand="0" w:oddHBand="0" w:evenHBand="0" w:firstRowFirstColumn="0" w:firstRowLastColumn="0" w:lastRowFirstColumn="0" w:lastRowLastColumn="0"/>
          <w:trHeight w:hRule="exact" w:val="5103"/>
        </w:trPr>
        <w:tc>
          <w:tcPr>
            <w:cnfStyle w:val="001000000100" w:firstRow="0" w:lastRow="0" w:firstColumn="1" w:lastColumn="0" w:oddVBand="0" w:evenVBand="0" w:oddHBand="0" w:evenHBand="0" w:firstRowFirstColumn="1" w:firstRowLastColumn="0" w:lastRowFirstColumn="0" w:lastRowLastColumn="0"/>
            <w:tcW w:w="178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777" w:type="dxa"/>
              <w:tblLook w:val="04A0" w:firstRow="1" w:lastRow="0" w:firstColumn="1" w:lastColumn="0" w:noHBand="0" w:noVBand="1"/>
            </w:tblPr>
            <w:tblGrid>
              <w:gridCol w:w="947"/>
              <w:gridCol w:w="830"/>
            </w:tblGrid>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7A7137">
                    <w:rPr>
                      <w:noProof/>
                      <w:lang w:eastAsia="en-AU"/>
                    </w:rPr>
                    <w:drawing>
                      <wp:anchor distT="0" distB="0" distL="114300" distR="114300" simplePos="0" relativeHeight="251717632" behindDoc="0" locked="0" layoutInCell="1" allowOverlap="1" wp14:anchorId="5A8A9CCB" wp14:editId="12AE0E49">
                        <wp:simplePos x="0" y="0"/>
                        <wp:positionH relativeFrom="column">
                          <wp:posOffset>-635</wp:posOffset>
                        </wp:positionH>
                        <wp:positionV relativeFrom="paragraph">
                          <wp:posOffset>0</wp:posOffset>
                        </wp:positionV>
                        <wp:extent cx="5278120" cy="3159760"/>
                        <wp:effectExtent l="0" t="0" r="0" b="254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392A">
                    <w:rPr>
                      <w:rFonts w:ascii="Calibri" w:eastAsia="Times New Roman" w:hAnsi="Calibri" w:cs="Times New Roman"/>
                      <w:color w:val="FFFFFF" w:themeColor="background1"/>
                      <w:sz w:val="12"/>
                      <w:szCs w:val="12"/>
                      <w:lang w:eastAsia="en-AU"/>
                    </w:rPr>
                    <w:t>Individuals' and other withholding taxes</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$billions</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2002-03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11.2</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2003-04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11.3</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2004-05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11.5</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2005-06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11.1</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2006-07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10.4</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2007-08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10.0</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2008-09</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9.3</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2009-10</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9.1</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2010-11</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9.4</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2011-12</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9.9</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2012-13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10.3</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2013-14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10.4</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2014-15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11.0</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2015-16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11.5</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2016-17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11.7</w:t>
                  </w:r>
                </w:p>
              </w:tc>
            </w:tr>
            <w:tr w:rsidR="007A7137" w:rsidRPr="0056392A" w:rsidTr="006F0678">
              <w:trPr>
                <w:trHeight w:val="318"/>
              </w:trPr>
              <w:tc>
                <w:tcPr>
                  <w:tcW w:w="947"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2017-18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11.9</w:t>
                  </w:r>
                </w:p>
              </w:tc>
            </w:tr>
          </w:tbl>
          <w:p w:rsidR="007A7137" w:rsidRPr="0056392A" w:rsidRDefault="007A7137" w:rsidP="006F0678">
            <w:pPr>
              <w:pStyle w:val="BodyText"/>
              <w:jc w:val="center"/>
              <w:rPr>
                <w:sz w:val="12"/>
                <w:szCs w:val="12"/>
              </w:rPr>
            </w:pPr>
          </w:p>
        </w:tc>
        <w:tc>
          <w:tcPr>
            <w:tcW w:w="1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660" w:type="dxa"/>
              <w:tblLook w:val="04A0" w:firstRow="1" w:lastRow="0" w:firstColumn="1" w:lastColumn="0" w:noHBand="0" w:noVBand="1"/>
            </w:tblPr>
            <w:tblGrid>
              <w:gridCol w:w="830"/>
              <w:gridCol w:w="830"/>
            </w:tblGrid>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Company and resource rent taxes</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$billions</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2002-03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2003-04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2004-05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4.6</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2005-06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4.7</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2006-07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5.1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2007-08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5.1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2008-09</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4.6</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2009-10</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4.0</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2010-11</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4.0</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2011-12</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4.4</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2012-13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4.4</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2013-14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2014-15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2015-16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2016-17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2017-18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bl>
          <w:p w:rsidR="007A7137" w:rsidRPr="0056392A" w:rsidRDefault="007A7137" w:rsidP="006F0678">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660" w:type="dxa"/>
              <w:tblLook w:val="04A0" w:firstRow="1" w:lastRow="0" w:firstColumn="1" w:lastColumn="0" w:noHBand="0" w:noVBand="1"/>
            </w:tblPr>
            <w:tblGrid>
              <w:gridCol w:w="830"/>
              <w:gridCol w:w="830"/>
            </w:tblGrid>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Sales taxes</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$billions</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2002-03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2003-04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2004-05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4.6</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2005-06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4.7</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2006-07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5.1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2007-08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5.1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2008-09</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4.6</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2009-10</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4.0</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2010-11</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4.0</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2011-12</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4.4</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2012-13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4.4</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2013-14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2014-15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2015-16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2016-17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2017-18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4.3</w:t>
                  </w:r>
                </w:p>
              </w:tc>
            </w:tr>
          </w:tbl>
          <w:p w:rsidR="007A7137" w:rsidRPr="0056392A" w:rsidRDefault="007A7137" w:rsidP="006F0678">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660" w:type="dxa"/>
              <w:tblLook w:val="04A0" w:firstRow="1" w:lastRow="0" w:firstColumn="1" w:lastColumn="0" w:noHBand="0" w:noVBand="1"/>
            </w:tblPr>
            <w:tblGrid>
              <w:gridCol w:w="830"/>
              <w:gridCol w:w="830"/>
            </w:tblGrid>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Excise and customs duties</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$billions</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2002-03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3.3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2003-04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3.1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2004-05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3.0</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2005-06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2.7</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2006-07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2.6</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2007-08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2.5</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2008-09</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2.4</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2009-10</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2.3</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2010-11</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2011-12</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2.2</w:t>
                  </w:r>
                </w:p>
              </w:tc>
            </w:tr>
            <w:tr w:rsidR="007A7137" w:rsidRPr="0056392A" w:rsidTr="006F0678">
              <w:trPr>
                <w:trHeight w:val="73"/>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2012-13</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2013-14</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2.2</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2014-15</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2015-16</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2016-17</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2.1</w:t>
                  </w:r>
                </w:p>
              </w:tc>
            </w:tr>
            <w:tr w:rsidR="007A7137" w:rsidRPr="0056392A" w:rsidTr="006F0678">
              <w:trPr>
                <w:trHeight w:val="318"/>
              </w:trPr>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2017-18</w:t>
                  </w:r>
                </w:p>
              </w:tc>
              <w:tc>
                <w:tcPr>
                  <w:tcW w:w="83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2.1</w:t>
                  </w:r>
                </w:p>
              </w:tc>
            </w:tr>
          </w:tbl>
          <w:p w:rsidR="007A7137" w:rsidRPr="0056392A" w:rsidRDefault="007A7137" w:rsidP="006F0678">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66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620" w:type="dxa"/>
              <w:tblLook w:val="04A0" w:firstRow="1" w:lastRow="0" w:firstColumn="1" w:lastColumn="0" w:noHBand="0" w:noVBand="1"/>
            </w:tblPr>
            <w:tblGrid>
              <w:gridCol w:w="810"/>
              <w:gridCol w:w="810"/>
            </w:tblGrid>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Capital gains tax</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$billions</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2002-03</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0.5</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2003-04</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0.5</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2004-05</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0.7</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2005-06</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2006-07</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1.3</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2007-08</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1.6</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2008-09</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1.1</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2009-10</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0.6</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2010-11</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0.5</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2011-12</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0.4</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2012-13</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0.5</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2013-14</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0.5</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2014-15</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0.6</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2015-16</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0.7</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2016-17</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0.8</w:t>
                  </w:r>
                </w:p>
              </w:tc>
            </w:tr>
            <w:tr w:rsidR="007A7137" w:rsidRPr="0056392A" w:rsidTr="006F0678">
              <w:trPr>
                <w:trHeight w:val="265"/>
              </w:trPr>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rPr>
                      <w:rFonts w:ascii="Calibri" w:eastAsia="Times New Roman" w:hAnsi="Calibri" w:cs="Times New Roman"/>
                      <w:b/>
                      <w:bCs/>
                      <w:color w:val="FFFFFF" w:themeColor="background1"/>
                      <w:sz w:val="12"/>
                      <w:szCs w:val="12"/>
                      <w:lang w:eastAsia="en-AU"/>
                    </w:rPr>
                  </w:pPr>
                  <w:r w:rsidRPr="0056392A">
                    <w:rPr>
                      <w:rFonts w:ascii="Calibri" w:eastAsia="Times New Roman" w:hAnsi="Calibri" w:cs="Times New Roman"/>
                      <w:b/>
                      <w:bCs/>
                      <w:color w:val="FFFFFF" w:themeColor="background1"/>
                      <w:sz w:val="12"/>
                      <w:szCs w:val="12"/>
                      <w:lang w:eastAsia="en-AU"/>
                    </w:rPr>
                    <w:t>2017-18</w:t>
                  </w:r>
                </w:p>
              </w:tc>
              <w:tc>
                <w:tcPr>
                  <w:tcW w:w="810" w:type="dxa"/>
                  <w:tcBorders>
                    <w:top w:val="nil"/>
                    <w:left w:val="nil"/>
                    <w:bottom w:val="nil"/>
                    <w:right w:val="nil"/>
                  </w:tcBorders>
                  <w:shd w:val="clear" w:color="auto" w:fill="auto"/>
                  <w:noWrap/>
                  <w:vAlign w:val="bottom"/>
                  <w:hideMark/>
                </w:tcPr>
                <w:p w:rsidR="007A7137" w:rsidRPr="0056392A" w:rsidRDefault="007A7137" w:rsidP="006F0678">
                  <w:pPr>
                    <w:spacing w:line="240" w:lineRule="auto"/>
                    <w:jc w:val="right"/>
                    <w:rPr>
                      <w:rFonts w:ascii="Calibri" w:eastAsia="Times New Roman" w:hAnsi="Calibri" w:cs="Times New Roman"/>
                      <w:color w:val="FFFFFF" w:themeColor="background1"/>
                      <w:sz w:val="12"/>
                      <w:szCs w:val="12"/>
                      <w:lang w:eastAsia="en-AU"/>
                    </w:rPr>
                  </w:pPr>
                  <w:r w:rsidRPr="0056392A">
                    <w:rPr>
                      <w:rFonts w:ascii="Calibri" w:eastAsia="Times New Roman" w:hAnsi="Calibri" w:cs="Times New Roman"/>
                      <w:color w:val="FFFFFF" w:themeColor="background1"/>
                      <w:sz w:val="12"/>
                      <w:szCs w:val="12"/>
                      <w:lang w:eastAsia="en-AU"/>
                    </w:rPr>
                    <w:t>0.8</w:t>
                  </w:r>
                </w:p>
              </w:tc>
            </w:tr>
          </w:tbl>
          <w:p w:rsidR="007A7137" w:rsidRPr="0056392A" w:rsidRDefault="007A7137" w:rsidP="006F0678">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7A7137" w:rsidRDefault="007A7137" w:rsidP="007A7137">
      <w:pPr>
        <w:pStyle w:val="Source"/>
        <w:spacing w:before="0" w:after="0"/>
      </w:pPr>
      <w:r>
        <w:t>Source: ABS, Commonwealth and state government budget papers.</w:t>
      </w:r>
    </w:p>
    <w:p w:rsidR="00F73C22" w:rsidRDefault="00F73C22" w:rsidP="00F73C22">
      <w:pPr>
        <w:pStyle w:val="BodyText"/>
      </w:pPr>
      <w:r w:rsidRPr="00275D1A">
        <w:lastRenderedPageBreak/>
        <w:t xml:space="preserve">The Commonwealth is projecting an increase in </w:t>
      </w:r>
      <w:r w:rsidR="005165F2">
        <w:t>taxation revenue</w:t>
      </w:r>
      <w:r w:rsidR="00943C4D">
        <w:t xml:space="preserve"> as a proportion of GDP</w:t>
      </w:r>
      <w:r w:rsidRPr="00275D1A">
        <w:t xml:space="preserve"> over the forward estimates. </w:t>
      </w:r>
      <w:r>
        <w:t xml:space="preserve"> </w:t>
      </w:r>
      <w:r w:rsidRPr="00275D1A">
        <w:t xml:space="preserve">This is largely </w:t>
      </w:r>
      <w:r w:rsidR="004C3D95">
        <w:t>driven by</w:t>
      </w:r>
      <w:r w:rsidR="001370C2">
        <w:t xml:space="preserve"> personal income tax revenue, as a result of</w:t>
      </w:r>
      <w:r w:rsidRPr="00275D1A">
        <w:t xml:space="preserve"> </w:t>
      </w:r>
      <w:r w:rsidR="007F083C">
        <w:t>bracket creep</w:t>
      </w:r>
      <w:r w:rsidRPr="00275D1A">
        <w:t xml:space="preserve">, as </w:t>
      </w:r>
      <w:r w:rsidR="001654AB">
        <w:t xml:space="preserve">nominal </w:t>
      </w:r>
      <w:r w:rsidRPr="00275D1A">
        <w:t xml:space="preserve">wage increases move </w:t>
      </w:r>
      <w:r w:rsidR="00E034AC">
        <w:t xml:space="preserve">a higher proportion of </w:t>
      </w:r>
      <w:r w:rsidRPr="00275D1A">
        <w:t>individuals</w:t>
      </w:r>
      <w:r w:rsidR="00E034AC">
        <w:t>’</w:t>
      </w:r>
      <w:r w:rsidRPr="00275D1A">
        <w:t xml:space="preserve"> </w:t>
      </w:r>
      <w:r w:rsidR="00E034AC">
        <w:t xml:space="preserve">income </w:t>
      </w:r>
      <w:r w:rsidRPr="00275D1A">
        <w:t>into higher income tax brackets</w:t>
      </w:r>
      <w:r w:rsidR="001654AB">
        <w:t xml:space="preserve"> (which are not indexed to inflation)</w:t>
      </w:r>
      <w:r w:rsidRPr="00275D1A">
        <w:t xml:space="preserve">. </w:t>
      </w:r>
      <w:r>
        <w:t xml:space="preserve"> </w:t>
      </w:r>
      <w:r w:rsidR="002B5731">
        <w:t xml:space="preserve">Over the medium term, </w:t>
      </w:r>
      <w:r w:rsidRPr="00275D1A">
        <w:t>the Commonwealth government’s budget projections assume taxation revenue reaches 23.</w:t>
      </w:r>
      <w:r w:rsidR="002B5731" w:rsidRPr="00275D1A">
        <w:t>9</w:t>
      </w:r>
      <w:r w:rsidR="002B5731">
        <w:t> </w:t>
      </w:r>
      <w:r w:rsidRPr="00275D1A">
        <w:t>per cent of GDP in 2020</w:t>
      </w:r>
      <w:r>
        <w:t>–</w:t>
      </w:r>
      <w:r w:rsidRPr="00275D1A">
        <w:t>21 and is capped at t</w:t>
      </w:r>
      <w:r w:rsidR="0011590A">
        <w:t>hat level over the medium term.</w:t>
      </w:r>
    </w:p>
    <w:p w:rsidR="00F73C22" w:rsidRDefault="00F73C22" w:rsidP="006642E5">
      <w:pPr>
        <w:pStyle w:val="Heading2"/>
        <w:spacing w:before="360"/>
      </w:pPr>
      <w:bookmarkStart w:id="102" w:name="_Toc414006835"/>
      <w:bookmarkStart w:id="103" w:name="_Toc414007410"/>
      <w:bookmarkStart w:id="104" w:name="_Toc414007715"/>
      <w:bookmarkStart w:id="105" w:name="_Toc414008338"/>
      <w:bookmarkStart w:id="106" w:name="_Toc415131842"/>
      <w:r>
        <w:t>State own-source revenue</w:t>
      </w:r>
      <w:bookmarkEnd w:id="102"/>
      <w:bookmarkEnd w:id="103"/>
      <w:bookmarkEnd w:id="104"/>
      <w:bookmarkEnd w:id="105"/>
      <w:bookmarkEnd w:id="106"/>
    </w:p>
    <w:p w:rsidR="00F73C22" w:rsidRPr="00E00FBF" w:rsidRDefault="00F73C22" w:rsidP="00255BE3">
      <w:pPr>
        <w:pStyle w:val="Heading3"/>
        <w:spacing w:before="240"/>
      </w:pPr>
      <w:bookmarkStart w:id="107" w:name="_Toc414006836"/>
      <w:bookmarkStart w:id="108" w:name="_Toc414007411"/>
      <w:bookmarkStart w:id="109" w:name="_Toc414007716"/>
      <w:bookmarkStart w:id="110" w:name="_Toc414008339"/>
      <w:r>
        <w:t>Composition of state own-source revenue</w:t>
      </w:r>
      <w:bookmarkEnd w:id="107"/>
      <w:bookmarkEnd w:id="108"/>
      <w:bookmarkEnd w:id="109"/>
      <w:bookmarkEnd w:id="110"/>
    </w:p>
    <w:p w:rsidR="00F73C22" w:rsidRDefault="00F73C22" w:rsidP="00F73C22">
      <w:pPr>
        <w:pStyle w:val="BodyText"/>
      </w:pPr>
      <w:r w:rsidRPr="00187407">
        <w:t>State own-source rev</w:t>
      </w:r>
      <w:r>
        <w:t>enue was $143.5 billion in 2012–</w:t>
      </w:r>
      <w:r w:rsidRPr="00187407">
        <w:t xml:space="preserve">13, or 9.4 per cent of GDP. </w:t>
      </w:r>
      <w:r>
        <w:t xml:space="preserve"> </w:t>
      </w:r>
      <w:r w:rsidRPr="00187407">
        <w:t>According to state government budget papers, this is projected to inc</w:t>
      </w:r>
      <w:r>
        <w:t>rease to $177.5 billion in 2017–</w:t>
      </w:r>
      <w:r w:rsidRPr="00187407">
        <w:t>18, or</w:t>
      </w:r>
      <w:r>
        <w:t xml:space="preserve"> 9.6 per cent of GDP.  The composition of this revenue is shown in </w:t>
      </w:r>
      <w:r>
        <w:fldChar w:fldCharType="begin"/>
      </w:r>
      <w:r>
        <w:instrText xml:space="preserve"> REF _Ref415131296 \h </w:instrText>
      </w:r>
      <w:r>
        <w:fldChar w:fldCharType="separate"/>
      </w:r>
      <w:r w:rsidR="008B68F4" w:rsidRPr="00F73C22">
        <w:t xml:space="preserve">Figure </w:t>
      </w:r>
      <w:r w:rsidR="008B68F4">
        <w:rPr>
          <w:noProof/>
        </w:rPr>
        <w:t>2</w:t>
      </w:r>
      <w:r w:rsidR="008B68F4">
        <w:noBreakHyphen/>
      </w:r>
      <w:r w:rsidR="008B68F4">
        <w:rPr>
          <w:noProof/>
        </w:rPr>
        <w:t>4</w:t>
      </w:r>
      <w:r>
        <w:fldChar w:fldCharType="end"/>
      </w:r>
      <w:r>
        <w:t>.</w:t>
      </w:r>
    </w:p>
    <w:p w:rsidR="00F73C22" w:rsidRDefault="00F73C22" w:rsidP="00F73C22">
      <w:pPr>
        <w:pStyle w:val="Caption"/>
      </w:pPr>
      <w:bookmarkStart w:id="111" w:name="_Ref415131296"/>
      <w:bookmarkStart w:id="112" w:name="_Toc415131855"/>
      <w:bookmarkStart w:id="113" w:name="_Toc415222953"/>
      <w:bookmarkStart w:id="114" w:name="_Toc418073814"/>
      <w:r w:rsidRPr="00F73C22">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4</w:t>
      </w:r>
      <w:r w:rsidR="003A23CE">
        <w:rPr>
          <w:noProof/>
        </w:rPr>
        <w:fldChar w:fldCharType="end"/>
      </w:r>
      <w:bookmarkEnd w:id="111"/>
      <w:r w:rsidRPr="00F73C22">
        <w:t xml:space="preserve">: </w:t>
      </w:r>
      <w:r>
        <w:t>State own-source revenue in 2012–13</w:t>
      </w:r>
      <w:bookmarkEnd w:id="112"/>
      <w:bookmarkEnd w:id="113"/>
      <w:r w:rsidR="0081092D" w:rsidRPr="0081092D">
        <w:rPr>
          <w:noProof/>
          <w:lang w:eastAsia="en-AU"/>
        </w:rPr>
        <w:drawing>
          <wp:anchor distT="0" distB="0" distL="114300" distR="114300" simplePos="0" relativeHeight="251718656" behindDoc="0" locked="0" layoutInCell="1" allowOverlap="1" wp14:anchorId="3A66C7A2" wp14:editId="140565C6">
            <wp:simplePos x="0" y="0"/>
            <wp:positionH relativeFrom="column">
              <wp:posOffset>-635</wp:posOffset>
            </wp:positionH>
            <wp:positionV relativeFrom="paragraph">
              <wp:posOffset>332740</wp:posOffset>
            </wp:positionV>
            <wp:extent cx="5278120" cy="280670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2806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4"/>
    </w:p>
    <w:tbl>
      <w:tblPr>
        <w:tblW w:w="7656" w:type="dxa"/>
        <w:tblInd w:w="93" w:type="dxa"/>
        <w:tblLook w:val="04A0" w:firstRow="1" w:lastRow="0" w:firstColumn="1" w:lastColumn="0" w:noHBand="0" w:noVBand="1"/>
      </w:tblPr>
      <w:tblGrid>
        <w:gridCol w:w="6304"/>
        <w:gridCol w:w="1352"/>
      </w:tblGrid>
      <w:tr w:rsidR="00771812" w:rsidRPr="00771812" w:rsidTr="0081092D">
        <w:trPr>
          <w:trHeight w:hRule="exact" w:val="737"/>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color w:val="FFFFFF" w:themeColor="background1"/>
                <w:lang w:eastAsia="en-AU"/>
              </w:rPr>
            </w:pPr>
          </w:p>
        </w:tc>
        <w:tc>
          <w:tcPr>
            <w:tcW w:w="1352"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$billions</w:t>
            </w:r>
          </w:p>
        </w:tc>
      </w:tr>
      <w:tr w:rsidR="00771812" w:rsidRPr="00771812" w:rsidTr="0081092D">
        <w:trPr>
          <w:trHeight w:hRule="exact" w:val="737"/>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Taxation revenue</w:t>
            </w:r>
          </w:p>
        </w:tc>
        <w:tc>
          <w:tcPr>
            <w:tcW w:w="1352" w:type="dxa"/>
            <w:shd w:val="clear" w:color="auto" w:fill="auto"/>
            <w:noWrap/>
            <w:vAlign w:val="bottom"/>
            <w:hideMark/>
          </w:tcPr>
          <w:p w:rsidR="00771812" w:rsidRPr="00771812" w:rsidRDefault="00771812" w:rsidP="00977D1C">
            <w:pPr>
              <w:spacing w:line="240" w:lineRule="auto"/>
              <w:jc w:val="right"/>
              <w:rPr>
                <w:rFonts w:ascii="Calibri" w:eastAsia="Times New Roman" w:hAnsi="Calibri" w:cs="Times New Roman"/>
                <w:color w:val="FFFFFF" w:themeColor="background1"/>
                <w:lang w:eastAsia="en-AU"/>
              </w:rPr>
            </w:pPr>
            <w:r w:rsidRPr="00771812">
              <w:rPr>
                <w:rFonts w:ascii="Calibri" w:eastAsia="Times New Roman" w:hAnsi="Calibri" w:cs="Times New Roman"/>
                <w:color w:val="FFFFFF" w:themeColor="background1"/>
                <w:lang w:eastAsia="en-AU"/>
              </w:rPr>
              <w:t>77</w:t>
            </w:r>
          </w:p>
        </w:tc>
      </w:tr>
      <w:tr w:rsidR="00771812" w:rsidRPr="00771812" w:rsidTr="0081092D">
        <w:trPr>
          <w:trHeight w:hRule="exact" w:val="737"/>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Sales of goods and services</w:t>
            </w:r>
          </w:p>
        </w:tc>
        <w:tc>
          <w:tcPr>
            <w:tcW w:w="1352" w:type="dxa"/>
            <w:shd w:val="clear" w:color="auto" w:fill="auto"/>
            <w:noWrap/>
            <w:vAlign w:val="bottom"/>
            <w:hideMark/>
          </w:tcPr>
          <w:p w:rsidR="00771812" w:rsidRPr="00771812" w:rsidRDefault="00771812" w:rsidP="00977D1C">
            <w:pPr>
              <w:spacing w:line="240" w:lineRule="auto"/>
              <w:jc w:val="right"/>
              <w:rPr>
                <w:rFonts w:ascii="Calibri" w:eastAsia="Times New Roman" w:hAnsi="Calibri" w:cs="Times New Roman"/>
                <w:color w:val="FFFFFF" w:themeColor="background1"/>
                <w:lang w:eastAsia="en-AU"/>
              </w:rPr>
            </w:pPr>
            <w:r w:rsidRPr="00771812">
              <w:rPr>
                <w:rFonts w:ascii="Calibri" w:eastAsia="Times New Roman" w:hAnsi="Calibri" w:cs="Times New Roman"/>
                <w:color w:val="FFFFFF" w:themeColor="background1"/>
                <w:lang w:eastAsia="en-AU"/>
              </w:rPr>
              <w:t>30</w:t>
            </w:r>
          </w:p>
        </w:tc>
      </w:tr>
      <w:tr w:rsidR="00771812" w:rsidRPr="00771812" w:rsidTr="0081092D">
        <w:trPr>
          <w:trHeight w:hRule="exact" w:val="737"/>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Interest and Dividends</w:t>
            </w:r>
          </w:p>
        </w:tc>
        <w:tc>
          <w:tcPr>
            <w:tcW w:w="1352" w:type="dxa"/>
            <w:shd w:val="clear" w:color="auto" w:fill="auto"/>
            <w:noWrap/>
            <w:vAlign w:val="bottom"/>
            <w:hideMark/>
          </w:tcPr>
          <w:p w:rsidR="00771812" w:rsidRPr="00771812" w:rsidRDefault="00771812" w:rsidP="00977D1C">
            <w:pPr>
              <w:spacing w:line="240" w:lineRule="auto"/>
              <w:jc w:val="right"/>
              <w:rPr>
                <w:rFonts w:ascii="Calibri" w:eastAsia="Times New Roman" w:hAnsi="Calibri" w:cs="Times New Roman"/>
                <w:color w:val="FFFFFF" w:themeColor="background1"/>
                <w:lang w:eastAsia="en-AU"/>
              </w:rPr>
            </w:pPr>
            <w:r w:rsidRPr="00771812">
              <w:rPr>
                <w:rFonts w:ascii="Calibri" w:eastAsia="Times New Roman" w:hAnsi="Calibri" w:cs="Times New Roman"/>
                <w:color w:val="FFFFFF" w:themeColor="background1"/>
                <w:lang w:eastAsia="en-AU"/>
              </w:rPr>
              <w:t>12</w:t>
            </w:r>
          </w:p>
        </w:tc>
      </w:tr>
      <w:tr w:rsidR="00771812" w:rsidRPr="00771812" w:rsidTr="0081092D">
        <w:trPr>
          <w:trHeight w:hRule="exact" w:val="737"/>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Royalties</w:t>
            </w:r>
          </w:p>
        </w:tc>
        <w:tc>
          <w:tcPr>
            <w:tcW w:w="1352" w:type="dxa"/>
            <w:shd w:val="clear" w:color="auto" w:fill="auto"/>
            <w:noWrap/>
            <w:vAlign w:val="bottom"/>
            <w:hideMark/>
          </w:tcPr>
          <w:p w:rsidR="00771812" w:rsidRPr="00771812" w:rsidRDefault="00771812" w:rsidP="00977D1C">
            <w:pPr>
              <w:spacing w:line="240" w:lineRule="auto"/>
              <w:jc w:val="right"/>
              <w:rPr>
                <w:rFonts w:ascii="Calibri" w:eastAsia="Times New Roman" w:hAnsi="Calibri" w:cs="Times New Roman"/>
                <w:color w:val="FFFFFF" w:themeColor="background1"/>
                <w:lang w:eastAsia="en-AU"/>
              </w:rPr>
            </w:pPr>
            <w:r w:rsidRPr="00771812">
              <w:rPr>
                <w:rFonts w:ascii="Calibri" w:eastAsia="Times New Roman" w:hAnsi="Calibri" w:cs="Times New Roman"/>
                <w:color w:val="FFFFFF" w:themeColor="background1"/>
                <w:lang w:eastAsia="en-AU"/>
              </w:rPr>
              <w:t>8</w:t>
            </w:r>
          </w:p>
        </w:tc>
      </w:tr>
      <w:tr w:rsidR="00771812" w:rsidRPr="00771812" w:rsidTr="0081092D">
        <w:trPr>
          <w:trHeight w:hRule="exact" w:val="680"/>
        </w:trPr>
        <w:tc>
          <w:tcPr>
            <w:tcW w:w="6304" w:type="dxa"/>
            <w:shd w:val="clear" w:color="auto" w:fill="auto"/>
            <w:noWrap/>
            <w:vAlign w:val="bottom"/>
            <w:hideMark/>
          </w:tcPr>
          <w:p w:rsidR="00771812" w:rsidRPr="00771812" w:rsidRDefault="00771812" w:rsidP="00977D1C">
            <w:pPr>
              <w:spacing w:line="240" w:lineRule="auto"/>
              <w:rPr>
                <w:rFonts w:ascii="Calibri" w:eastAsia="Times New Roman" w:hAnsi="Calibri" w:cs="Times New Roman"/>
                <w:b/>
                <w:bCs/>
                <w:color w:val="FFFFFF" w:themeColor="background1"/>
                <w:lang w:eastAsia="en-AU"/>
              </w:rPr>
            </w:pPr>
            <w:r w:rsidRPr="00771812">
              <w:rPr>
                <w:rFonts w:ascii="Calibri" w:eastAsia="Times New Roman" w:hAnsi="Calibri" w:cs="Times New Roman"/>
                <w:b/>
                <w:bCs/>
                <w:color w:val="FFFFFF" w:themeColor="background1"/>
                <w:lang w:eastAsia="en-AU"/>
              </w:rPr>
              <w:t>Other</w:t>
            </w:r>
          </w:p>
        </w:tc>
        <w:tc>
          <w:tcPr>
            <w:tcW w:w="1352" w:type="dxa"/>
            <w:shd w:val="clear" w:color="auto" w:fill="auto"/>
            <w:noWrap/>
            <w:vAlign w:val="bottom"/>
            <w:hideMark/>
          </w:tcPr>
          <w:p w:rsidR="00771812" w:rsidRPr="00771812" w:rsidRDefault="00771812" w:rsidP="00977D1C">
            <w:pPr>
              <w:spacing w:line="240" w:lineRule="auto"/>
              <w:jc w:val="right"/>
              <w:rPr>
                <w:rFonts w:ascii="Calibri" w:eastAsia="Times New Roman" w:hAnsi="Calibri" w:cs="Times New Roman"/>
                <w:color w:val="FFFFFF" w:themeColor="background1"/>
                <w:lang w:eastAsia="en-AU"/>
              </w:rPr>
            </w:pPr>
            <w:r w:rsidRPr="00771812">
              <w:rPr>
                <w:rFonts w:ascii="Calibri" w:eastAsia="Times New Roman" w:hAnsi="Calibri" w:cs="Times New Roman"/>
                <w:color w:val="FFFFFF" w:themeColor="background1"/>
                <w:lang w:eastAsia="en-AU"/>
              </w:rPr>
              <w:t>17</w:t>
            </w:r>
          </w:p>
        </w:tc>
      </w:tr>
    </w:tbl>
    <w:p w:rsidR="00F73C22" w:rsidRDefault="00F73C22" w:rsidP="0081092D">
      <w:pPr>
        <w:pStyle w:val="Source"/>
        <w:spacing w:before="0"/>
      </w:pPr>
      <w:r>
        <w:t xml:space="preserve">Source: </w:t>
      </w:r>
      <w:r w:rsidRPr="00750B07">
        <w:t>ABS</w:t>
      </w:r>
      <w:r>
        <w:t>.</w:t>
      </w:r>
    </w:p>
    <w:p w:rsidR="00060710" w:rsidRDefault="00060710" w:rsidP="00060710">
      <w:pPr>
        <w:pStyle w:val="BodyText17ptAbove"/>
      </w:pPr>
      <w:r>
        <w:t>State government taxation revenue was $77.4 billion in 2012–13, accounting for over half of total own-source revenue.  State governments are less dependent on taxation revenue than the Commonwealth government, which gathers over 90 per cent of its revenue from taxes.  In 2012–13, state own</w:t>
      </w:r>
      <w:r>
        <w:noBreakHyphen/>
        <w:t>source revenue was largely made up of taxes on property such as land tax and municipal rates ($21.7 billion), payroll tax ($20.8 billion), conveyance stamp duty ($12.8 billion), motor vehicle taxes including stamp duty and registration fees ($8.5 billion), taxes on insurance ($5.5 billion) and taxes on gambling ($5.5 billion).</w:t>
      </w:r>
    </w:p>
    <w:p w:rsidR="00060710" w:rsidRPr="00060710" w:rsidRDefault="00060710" w:rsidP="00060710">
      <w:pPr>
        <w:pStyle w:val="BodyText"/>
      </w:pPr>
      <w:r w:rsidRPr="00060710">
        <w:t>Revenue from the sale of goods and services is a significant source of revenue for state governments, raising over 20 per cent of total own-source revenue in 2012–13 ($29.7 billion).  This compares to around 2 per cent fo</w:t>
      </w:r>
      <w:r w:rsidR="008F3F73">
        <w:t xml:space="preserve">r the Commonwealth government.  </w:t>
      </w:r>
      <w:r w:rsidRPr="00060710">
        <w:t xml:space="preserve">Revenue from the sale of goods and services includes revenue from the rent of property, entry fees for national </w:t>
      </w:r>
      <w:r w:rsidRPr="00060710">
        <w:lastRenderedPageBreak/>
        <w:t>parks and museums, court fees, tolls from government operated roads, hospital charges, fees charged by TAFE colleges, public transport revenue and certain licence fees.</w:t>
      </w:r>
    </w:p>
    <w:p w:rsidR="00060710" w:rsidRPr="00060710" w:rsidRDefault="00060710" w:rsidP="00060710">
      <w:pPr>
        <w:pStyle w:val="BodyText"/>
      </w:pPr>
      <w:r w:rsidRPr="00060710">
        <w:t>Interest and dividend revenue accounted for 8 per cent of state own</w:t>
      </w:r>
      <w:r w:rsidRPr="00060710">
        <w:noBreakHyphen/>
        <w:t>source revenue in</w:t>
      </w:r>
      <w:r w:rsidRPr="00060710">
        <w:br/>
        <w:t>2012–13 ($11.5 billion).  Dividends accounted for $6.3 billion of this, largely derived from state-owned corporations including electricity suppliers, water, port and transport authorities and investment corporations.</w:t>
      </w:r>
    </w:p>
    <w:p w:rsidR="00060710" w:rsidRDefault="00060710" w:rsidP="00060710">
      <w:pPr>
        <w:pStyle w:val="BodyText"/>
      </w:pPr>
      <w:r w:rsidRPr="00D9185A">
        <w:t>Royalty revenue accounted for 6 per cent of state own-source revenue in 2012–13 ($8.3 billion).  Royalty revenue is primarily payments made by entities for the use of mineral resources, such as iron ore and coal.</w:t>
      </w:r>
      <w:r w:rsidR="00350AB8" w:rsidRPr="00D9185A">
        <w:t xml:space="preserve"> </w:t>
      </w:r>
      <w:r w:rsidRPr="00D9185A">
        <w:t xml:space="preserve"> It is heavily concentrated in Western Australia, which collected over half of the total, with Queensland and New South Wales also generating significant royalty revenue.</w:t>
      </w:r>
      <w:r w:rsidR="002C7059" w:rsidRPr="00D9185A">
        <w:t xml:space="preserve"> </w:t>
      </w:r>
      <w:r w:rsidRPr="00D9185A">
        <w:t>Other sources of revenue account for the remaining 12 per cent of total own-source revenue ($16.5 billion)</w:t>
      </w:r>
      <w:r w:rsidR="00CE3B92" w:rsidRPr="00D9185A">
        <w:t>.  This</w:t>
      </w:r>
      <w:r w:rsidRPr="00D9185A">
        <w:t xml:space="preserve"> include</w:t>
      </w:r>
      <w:r w:rsidR="00713488" w:rsidRPr="00D9185A">
        <w:t>s</w:t>
      </w:r>
      <w:r w:rsidR="00212110" w:rsidRPr="00D9185A">
        <w:t xml:space="preserve"> </w:t>
      </w:r>
      <w:r w:rsidR="00A379B1" w:rsidRPr="00D9185A">
        <w:t xml:space="preserve">revenue from capital grants </w:t>
      </w:r>
      <w:r w:rsidR="00981EE1" w:rsidRPr="00D9185A">
        <w:t>(</w:t>
      </w:r>
      <w:r w:rsidR="00BA45A1" w:rsidRPr="00D9185A">
        <w:t xml:space="preserve">which peaked </w:t>
      </w:r>
      <w:r w:rsidR="00334149" w:rsidRPr="00D9185A">
        <w:t>under</w:t>
      </w:r>
      <w:r w:rsidR="00BA45A1" w:rsidRPr="00D9185A">
        <w:t xml:space="preserve"> fiscal stimulus)</w:t>
      </w:r>
      <w:r w:rsidR="00A379B1" w:rsidRPr="00D9185A">
        <w:t>, unclaimed monies</w:t>
      </w:r>
      <w:r w:rsidR="00AD0A4C" w:rsidRPr="00D9185A">
        <w:t xml:space="preserve">, </w:t>
      </w:r>
      <w:r w:rsidR="00A379B1" w:rsidRPr="00D9185A">
        <w:t>TAB dividend</w:t>
      </w:r>
      <w:r w:rsidR="00CE3B92" w:rsidRPr="00D9185A">
        <w:t>s</w:t>
      </w:r>
      <w:r w:rsidR="00A379B1" w:rsidRPr="00D9185A">
        <w:t>,</w:t>
      </w:r>
      <w:r w:rsidR="00CE3B92" w:rsidRPr="00D9185A">
        <w:t xml:space="preserve"> </w:t>
      </w:r>
      <w:r w:rsidRPr="00D9185A">
        <w:t>fines and penalties, mining exploration and production licence revenue, donations and gifts, and infrastructure contributions from property developers.</w:t>
      </w:r>
    </w:p>
    <w:p w:rsidR="00060710" w:rsidRPr="00E00FBF" w:rsidRDefault="00060710" w:rsidP="00255BE3">
      <w:pPr>
        <w:pStyle w:val="Heading3"/>
        <w:spacing w:before="360"/>
      </w:pPr>
      <w:bookmarkStart w:id="115" w:name="_Toc414006837"/>
      <w:bookmarkStart w:id="116" w:name="_Toc414007412"/>
      <w:bookmarkStart w:id="117" w:name="_Toc414007717"/>
      <w:bookmarkStart w:id="118" w:name="_Toc414008340"/>
      <w:r>
        <w:t>Trends in state own-source revenue</w:t>
      </w:r>
      <w:bookmarkEnd w:id="115"/>
      <w:bookmarkEnd w:id="116"/>
      <w:bookmarkEnd w:id="117"/>
      <w:bookmarkEnd w:id="118"/>
    </w:p>
    <w:p w:rsidR="00060710" w:rsidRDefault="00060710" w:rsidP="00060710">
      <w:pPr>
        <w:pStyle w:val="BodyText"/>
      </w:pPr>
      <w:r>
        <w:t>Over the past decade, state own-source revenue has been relatively stable, increasing from 9.2 per cent of GDP in 2002–03 to 9.4 per cent in 2012–13.  However, there have been changes in the composition of the major components of this revenue (</w:t>
      </w:r>
      <w:r w:rsidR="00476C16">
        <w:fldChar w:fldCharType="begin"/>
      </w:r>
      <w:r w:rsidR="00476C16">
        <w:instrText xml:space="preserve"> REF _Ref415142679 \h </w:instrText>
      </w:r>
      <w:r w:rsidR="00476C16">
        <w:fldChar w:fldCharType="separate"/>
      </w:r>
      <w:r w:rsidR="008B68F4" w:rsidRPr="00060710">
        <w:t xml:space="preserve">Figure </w:t>
      </w:r>
      <w:r w:rsidR="008B68F4">
        <w:rPr>
          <w:noProof/>
        </w:rPr>
        <w:t>2</w:t>
      </w:r>
      <w:r w:rsidR="008B68F4">
        <w:noBreakHyphen/>
      </w:r>
      <w:r w:rsidR="008B68F4">
        <w:rPr>
          <w:noProof/>
        </w:rPr>
        <w:t>5</w:t>
      </w:r>
      <w:r w:rsidR="00476C16">
        <w:fldChar w:fldCharType="end"/>
      </w:r>
      <w:r>
        <w:t>).  While payroll tax and taxes on property</w:t>
      </w:r>
      <w:r w:rsidR="00037D44" w:rsidRPr="00B86531">
        <w:rPr>
          <w:rStyle w:val="FootnoteReference"/>
        </w:rPr>
        <w:footnoteReference w:id="13"/>
      </w:r>
      <w:r>
        <w:t xml:space="preserve"> have remained relatively stable as a per cent of GDP, conveyance stamp duties, royalties and interest and dividend income have exhibited more volatility.</w:t>
      </w:r>
    </w:p>
    <w:p w:rsidR="00F73C22" w:rsidRDefault="00D53FA9" w:rsidP="00D53FA9">
      <w:pPr>
        <w:pStyle w:val="Caption"/>
        <w:tabs>
          <w:tab w:val="left" w:pos="6262"/>
        </w:tabs>
        <w:spacing w:before="240"/>
      </w:pPr>
      <w:bookmarkStart w:id="119" w:name="_Ref415142679"/>
      <w:bookmarkStart w:id="120" w:name="_Toc415131856"/>
      <w:bookmarkStart w:id="121" w:name="_Toc415222954"/>
      <w:bookmarkStart w:id="122" w:name="_Toc418073815"/>
      <w:r w:rsidRPr="00D53FA9">
        <w:rPr>
          <w:noProof/>
          <w:lang w:eastAsia="en-AU"/>
        </w:rPr>
        <w:drawing>
          <wp:anchor distT="0" distB="0" distL="114300" distR="114300" simplePos="0" relativeHeight="251728896" behindDoc="0" locked="0" layoutInCell="1" allowOverlap="1" wp14:anchorId="2E1E2131" wp14:editId="54EC1A7C">
            <wp:simplePos x="0" y="0"/>
            <wp:positionH relativeFrom="column">
              <wp:posOffset>-664</wp:posOffset>
            </wp:positionH>
            <wp:positionV relativeFrom="paragraph">
              <wp:posOffset>299371</wp:posOffset>
            </wp:positionV>
            <wp:extent cx="5280917" cy="2845942"/>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284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710" w:rsidRPr="00060710">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5</w:t>
      </w:r>
      <w:r w:rsidR="003A23CE">
        <w:rPr>
          <w:noProof/>
        </w:rPr>
        <w:fldChar w:fldCharType="end"/>
      </w:r>
      <w:bookmarkEnd w:id="119"/>
      <w:r w:rsidR="00060710" w:rsidRPr="00060710">
        <w:t xml:space="preserve">: </w:t>
      </w:r>
      <w:r w:rsidR="00060710" w:rsidRPr="00850C29">
        <w:t>Trends in major sources of state own-source revenue</w:t>
      </w:r>
      <w:r w:rsidR="00060710" w:rsidRPr="00B86531">
        <w:rPr>
          <w:rStyle w:val="FootnoteReference"/>
        </w:rPr>
        <w:footnoteReference w:id="14"/>
      </w:r>
      <w:bookmarkEnd w:id="120"/>
      <w:bookmarkEnd w:id="121"/>
      <w:bookmarkEnd w:id="122"/>
    </w:p>
    <w:tbl>
      <w:tblPr>
        <w:tblStyle w:val="TableGrid"/>
        <w:tblW w:w="8488" w:type="dxa"/>
        <w:tblLook w:val="04A0" w:firstRow="1" w:lastRow="0" w:firstColumn="1" w:lastColumn="0" w:noHBand="0" w:noVBand="1"/>
      </w:tblPr>
      <w:tblGrid>
        <w:gridCol w:w="1729"/>
        <w:gridCol w:w="1730"/>
        <w:gridCol w:w="1859"/>
        <w:gridCol w:w="1730"/>
        <w:gridCol w:w="1440"/>
      </w:tblGrid>
      <w:tr w:rsidR="002C11AC" w:rsidRPr="002C11AC" w:rsidTr="00255BE3">
        <w:trPr>
          <w:cnfStyle w:val="100000000000" w:firstRow="1" w:lastRow="0" w:firstColumn="0" w:lastColumn="0" w:oddVBand="0" w:evenVBand="0" w:oddHBand="0" w:evenHBand="0" w:firstRowFirstColumn="0" w:firstRowLastColumn="0" w:lastRowFirstColumn="0" w:lastRowLastColumn="0"/>
          <w:trHeight w:hRule="exact" w:val="4366"/>
        </w:trPr>
        <w:tc>
          <w:tcPr>
            <w:cnfStyle w:val="001000000100" w:firstRow="0" w:lastRow="0" w:firstColumn="1" w:lastColumn="0" w:oddVBand="0" w:evenVBand="0" w:oddHBand="0" w:evenHBand="0" w:firstRowFirstColumn="1" w:firstRowLastColumn="0" w:lastRowFirstColumn="0" w:lastRowLastColumn="0"/>
            <w:tcW w:w="1729" w:type="dxa"/>
            <w:shd w:val="clear" w:color="auto" w:fill="auto"/>
          </w:tcPr>
          <w:tbl>
            <w:tblPr>
              <w:tblW w:w="1719" w:type="dxa"/>
              <w:tblInd w:w="2" w:type="dxa"/>
              <w:tblLook w:val="04A0" w:firstRow="1" w:lastRow="0" w:firstColumn="1" w:lastColumn="0" w:noHBand="0" w:noVBand="1"/>
            </w:tblPr>
            <w:tblGrid>
              <w:gridCol w:w="859"/>
              <w:gridCol w:w="860"/>
            </w:tblGrid>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Payroll tax</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$billions</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2002-03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2003-04</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2004-05</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2005-06</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2006-07</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2007-08</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2008-09</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2009-10</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2010-11</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2011-12</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5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2012-13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bl>
          <w:p w:rsidR="002C11AC" w:rsidRPr="002C11AC" w:rsidRDefault="002C11AC" w:rsidP="00977D1C">
            <w:pPr>
              <w:pStyle w:val="BodyText"/>
              <w:rPr>
                <w:sz w:val="12"/>
                <w:szCs w:val="12"/>
              </w:rPr>
            </w:pPr>
          </w:p>
        </w:tc>
        <w:tc>
          <w:tcPr>
            <w:tcW w:w="1730" w:type="dxa"/>
            <w:shd w:val="clear" w:color="auto" w:fill="auto"/>
          </w:tcPr>
          <w:tbl>
            <w:tblPr>
              <w:tblW w:w="1720" w:type="dxa"/>
              <w:tblInd w:w="2" w:type="dxa"/>
              <w:tblLook w:val="04A0" w:firstRow="1" w:lastRow="0" w:firstColumn="1" w:lastColumn="0" w:noHBand="0" w:noVBand="1"/>
            </w:tblPr>
            <w:tblGrid>
              <w:gridCol w:w="860"/>
              <w:gridCol w:w="860"/>
            </w:tblGrid>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Taxes on property</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$billions</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2002-03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2003-04</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2004-05</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2005-06</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2006-07</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2007-08</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2008-09</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2009-10</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2010-11</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2011-12</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2012-13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1.4</w:t>
                  </w:r>
                </w:p>
              </w:tc>
            </w:tr>
          </w:tbl>
          <w:p w:rsidR="002C11AC" w:rsidRPr="002C11AC" w:rsidRDefault="002C11AC"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859" w:type="dxa"/>
            <w:shd w:val="clear" w:color="auto" w:fill="auto"/>
          </w:tcPr>
          <w:tbl>
            <w:tblPr>
              <w:tblW w:w="1849" w:type="dxa"/>
              <w:tblInd w:w="2" w:type="dxa"/>
              <w:tblLook w:val="04A0" w:firstRow="1" w:lastRow="0" w:firstColumn="1" w:lastColumn="0" w:noHBand="0" w:noVBand="1"/>
            </w:tblPr>
            <w:tblGrid>
              <w:gridCol w:w="989"/>
              <w:gridCol w:w="860"/>
            </w:tblGrid>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Conveyance stamp duty</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$billions</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2002-03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1.1</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2003-04</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1.2</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2004-05</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1.0</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2005-06</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1.1</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2006-07</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1.2</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2007-08</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1.2</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2008-09</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0.8</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2009-10</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0.9</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2010-11</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0.9</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2011-12</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0.8</w:t>
                  </w:r>
                </w:p>
              </w:tc>
            </w:tr>
            <w:tr w:rsidR="002C11AC" w:rsidRPr="002C11AC" w:rsidTr="00977D1C">
              <w:trPr>
                <w:trHeight w:val="307"/>
              </w:trPr>
              <w:tc>
                <w:tcPr>
                  <w:tcW w:w="989"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2012-13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0.8</w:t>
                  </w:r>
                </w:p>
              </w:tc>
            </w:tr>
          </w:tbl>
          <w:p w:rsidR="002C11AC" w:rsidRPr="002C11AC" w:rsidRDefault="002C11AC"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730" w:type="dxa"/>
            <w:shd w:val="clear" w:color="auto" w:fill="auto"/>
          </w:tcPr>
          <w:tbl>
            <w:tblPr>
              <w:tblW w:w="1720" w:type="dxa"/>
              <w:tblInd w:w="2" w:type="dxa"/>
              <w:tblLook w:val="04A0" w:firstRow="1" w:lastRow="0" w:firstColumn="1" w:lastColumn="0" w:noHBand="0" w:noVBand="1"/>
            </w:tblPr>
            <w:tblGrid>
              <w:gridCol w:w="860"/>
              <w:gridCol w:w="860"/>
            </w:tblGrid>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Royalties</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$billions</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2002-03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0.2</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2003-04</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0.2</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2004-05</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2005-06</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2006-07</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2007-08</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0.3</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2008-09</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2009-10</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0.4</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2010-11</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2011-12</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977D1C">
              <w:trPr>
                <w:trHeight w:val="307"/>
              </w:trPr>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2012-13</w:t>
                  </w:r>
                </w:p>
              </w:tc>
              <w:tc>
                <w:tcPr>
                  <w:tcW w:w="860"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0.5</w:t>
                  </w:r>
                </w:p>
              </w:tc>
            </w:tr>
          </w:tbl>
          <w:p w:rsidR="002C11AC" w:rsidRPr="002C11AC" w:rsidRDefault="002C11AC"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1440" w:type="dxa"/>
            <w:shd w:val="clear" w:color="auto" w:fill="auto"/>
          </w:tcPr>
          <w:tbl>
            <w:tblPr>
              <w:tblW w:w="1322" w:type="dxa"/>
              <w:tblInd w:w="2" w:type="dxa"/>
              <w:tblLook w:val="04A0" w:firstRow="1" w:lastRow="0" w:firstColumn="1" w:lastColumn="0" w:noHBand="0" w:noVBand="1"/>
            </w:tblPr>
            <w:tblGrid>
              <w:gridCol w:w="685"/>
              <w:gridCol w:w="661"/>
            </w:tblGrid>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Interest and dividends</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$billions</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2002-03</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2003-04</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0.9</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2004-05</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0.9</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2005-06</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1.0</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2006-07</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0.9</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2007-08</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0.5</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2008-09</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2009-10</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0.6</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2010-11</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0.7</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2011-12</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0.7</w:t>
                  </w:r>
                </w:p>
              </w:tc>
            </w:tr>
            <w:tr w:rsidR="002C11AC" w:rsidRPr="002C11AC" w:rsidTr="00255BE3">
              <w:trPr>
                <w:trHeight w:val="419"/>
              </w:trPr>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rPr>
                      <w:rFonts w:ascii="Calibri" w:eastAsia="Times New Roman" w:hAnsi="Calibri" w:cs="Times New Roman"/>
                      <w:b/>
                      <w:bCs/>
                      <w:color w:val="FFFFFF" w:themeColor="background1"/>
                      <w:sz w:val="12"/>
                      <w:szCs w:val="12"/>
                      <w:lang w:eastAsia="en-AU"/>
                    </w:rPr>
                  </w:pPr>
                  <w:r w:rsidRPr="002C11AC">
                    <w:rPr>
                      <w:rFonts w:ascii="Calibri" w:eastAsia="Times New Roman" w:hAnsi="Calibri" w:cs="Times New Roman"/>
                      <w:b/>
                      <w:bCs/>
                      <w:color w:val="FFFFFF" w:themeColor="background1"/>
                      <w:sz w:val="12"/>
                      <w:szCs w:val="12"/>
                      <w:lang w:eastAsia="en-AU"/>
                    </w:rPr>
                    <w:t>2012-13</w:t>
                  </w:r>
                </w:p>
              </w:tc>
              <w:tc>
                <w:tcPr>
                  <w:tcW w:w="661" w:type="dxa"/>
                  <w:tcBorders>
                    <w:top w:val="nil"/>
                    <w:left w:val="nil"/>
                    <w:bottom w:val="nil"/>
                    <w:right w:val="nil"/>
                  </w:tcBorders>
                  <w:shd w:val="clear" w:color="auto" w:fill="auto"/>
                  <w:noWrap/>
                  <w:vAlign w:val="bottom"/>
                  <w:hideMark/>
                </w:tcPr>
                <w:p w:rsidR="002C11AC" w:rsidRPr="002C11AC" w:rsidRDefault="002C11AC" w:rsidP="00977D1C">
                  <w:pPr>
                    <w:spacing w:line="240" w:lineRule="auto"/>
                    <w:jc w:val="right"/>
                    <w:rPr>
                      <w:rFonts w:ascii="Calibri" w:eastAsia="Times New Roman" w:hAnsi="Calibri" w:cs="Times New Roman"/>
                      <w:color w:val="FFFFFF" w:themeColor="background1"/>
                      <w:sz w:val="12"/>
                      <w:szCs w:val="12"/>
                      <w:lang w:eastAsia="en-AU"/>
                    </w:rPr>
                  </w:pPr>
                  <w:r w:rsidRPr="002C11AC">
                    <w:rPr>
                      <w:rFonts w:ascii="Calibri" w:eastAsia="Times New Roman" w:hAnsi="Calibri" w:cs="Times New Roman"/>
                      <w:color w:val="FFFFFF" w:themeColor="background1"/>
                      <w:sz w:val="12"/>
                      <w:szCs w:val="12"/>
                      <w:lang w:eastAsia="en-AU"/>
                    </w:rPr>
                    <w:t>0.8</w:t>
                  </w:r>
                </w:p>
              </w:tc>
            </w:tr>
          </w:tbl>
          <w:p w:rsidR="002C11AC" w:rsidRPr="002C11AC" w:rsidRDefault="002C11AC"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EB396B" w:rsidRDefault="00B63ADF" w:rsidP="00255BE3">
      <w:pPr>
        <w:pStyle w:val="Source"/>
        <w:spacing w:before="0"/>
      </w:pPr>
      <w:r>
        <w:t xml:space="preserve">Source: </w:t>
      </w:r>
      <w:r w:rsidRPr="00750B07">
        <w:t>ABS</w:t>
      </w:r>
      <w:r>
        <w:t>.</w:t>
      </w:r>
    </w:p>
    <w:p w:rsidR="00B63ADF" w:rsidRPr="00B56560" w:rsidRDefault="00B63ADF" w:rsidP="00B63ADF">
      <w:pPr>
        <w:pStyle w:val="Heading3"/>
      </w:pPr>
      <w:bookmarkStart w:id="123" w:name="_Toc414006838"/>
      <w:bookmarkStart w:id="124" w:name="_Toc414007413"/>
      <w:bookmarkStart w:id="125" w:name="_Toc414007718"/>
      <w:bookmarkStart w:id="126" w:name="_Toc414008341"/>
      <w:r>
        <w:lastRenderedPageBreak/>
        <w:t>Conveyance stamp duty</w:t>
      </w:r>
      <w:bookmarkEnd w:id="123"/>
      <w:bookmarkEnd w:id="124"/>
      <w:bookmarkEnd w:id="125"/>
      <w:bookmarkEnd w:id="126"/>
    </w:p>
    <w:p w:rsidR="00B63ADF" w:rsidRDefault="00B63ADF" w:rsidP="00060710">
      <w:pPr>
        <w:pStyle w:val="BodyText"/>
      </w:pPr>
      <w:r w:rsidRPr="00EA4525">
        <w:t>Conveyance stamp duty revenue fell f</w:t>
      </w:r>
      <w:r>
        <w:t>rom 1.1 per cent of GDP in 2002–</w:t>
      </w:r>
      <w:r w:rsidRPr="00EA4525">
        <w:t>03 to 0.8 per cent in 2012</w:t>
      </w:r>
      <w:r>
        <w:t>–</w:t>
      </w:r>
      <w:r w:rsidRPr="00EA4525">
        <w:t xml:space="preserve">13. </w:t>
      </w:r>
      <w:r>
        <w:t xml:space="preserve"> </w:t>
      </w:r>
      <w:r w:rsidRPr="00EA4525">
        <w:t>There was a s</w:t>
      </w:r>
      <w:r>
        <w:t>harp decline in revenue in 2008–</w:t>
      </w:r>
      <w:r w:rsidRPr="00EA4525">
        <w:t>09 as a result of the decreased value of transactions in the residential and non-residential property markets followi</w:t>
      </w:r>
      <w:r w:rsidR="00C7539E">
        <w:t>ng the global financial crisis.</w:t>
      </w:r>
    </w:p>
    <w:p w:rsidR="00B63ADF" w:rsidRPr="00EA4525" w:rsidRDefault="00B63ADF" w:rsidP="00B63ADF">
      <w:pPr>
        <w:pStyle w:val="BodyText"/>
      </w:pPr>
      <w:r w:rsidRPr="00EA4525">
        <w:t>This decline was reflected in broadly the same manner across all states (</w:t>
      </w:r>
      <w:r>
        <w:fldChar w:fldCharType="begin"/>
      </w:r>
      <w:r>
        <w:instrText xml:space="preserve"> REF _Ref415132028 \h </w:instrText>
      </w:r>
      <w:r>
        <w:fldChar w:fldCharType="separate"/>
      </w:r>
      <w:r w:rsidR="008B68F4" w:rsidRPr="00B63ADF">
        <w:t xml:space="preserve">Figure </w:t>
      </w:r>
      <w:r w:rsidR="008B68F4">
        <w:rPr>
          <w:noProof/>
        </w:rPr>
        <w:t>2</w:t>
      </w:r>
      <w:r w:rsidR="008B68F4">
        <w:noBreakHyphen/>
      </w:r>
      <w:r w:rsidR="008B68F4">
        <w:rPr>
          <w:noProof/>
        </w:rPr>
        <w:t>6</w:t>
      </w:r>
      <w:r>
        <w:fldChar w:fldCharType="end"/>
      </w:r>
      <w:r w:rsidRPr="00EA4525">
        <w:t xml:space="preserve">). </w:t>
      </w:r>
      <w:r>
        <w:t xml:space="preserve"> </w:t>
      </w:r>
      <w:r w:rsidRPr="00EA4525">
        <w:t xml:space="preserve">Prior to this, in New South Wales, there was a significant trend decline brought about by a lower volume of transactions and lower revenue due to the concessions </w:t>
      </w:r>
      <w:r>
        <w:t xml:space="preserve">for </w:t>
      </w:r>
      <w:r w:rsidRPr="00EA4525">
        <w:t>first home</w:t>
      </w:r>
      <w:r>
        <w:t xml:space="preserve"> </w:t>
      </w:r>
      <w:r w:rsidRPr="00EA4525">
        <w:t>buyers.</w:t>
      </w:r>
      <w:r>
        <w:t xml:space="preserve"> </w:t>
      </w:r>
      <w:r w:rsidRPr="00EA4525">
        <w:t xml:space="preserve"> While there has been a pick-up in</w:t>
      </w:r>
      <w:r>
        <w:t xml:space="preserve"> revenue in some states in 2012–</w:t>
      </w:r>
      <w:r w:rsidRPr="00EA4525">
        <w:t>13 (New</w:t>
      </w:r>
      <w:r>
        <w:t> </w:t>
      </w:r>
      <w:r w:rsidRPr="00EA4525">
        <w:t>South Wales and Western Australia), the inherent volatility in conveyance stamp duty can make it difficult to forecast future revenu</w:t>
      </w:r>
      <w:r>
        <w:t>e streams with any certainty.</w:t>
      </w:r>
    </w:p>
    <w:p w:rsidR="00060710" w:rsidRDefault="00B63ADF" w:rsidP="00B63ADF">
      <w:pPr>
        <w:pStyle w:val="Caption"/>
      </w:pPr>
      <w:bookmarkStart w:id="127" w:name="_Ref415132028"/>
      <w:bookmarkStart w:id="128" w:name="_Toc415222955"/>
      <w:bookmarkStart w:id="129" w:name="_Toc418073816"/>
      <w:r w:rsidRPr="00B63ADF">
        <w:t xml:space="preserve">Figure </w:t>
      </w:r>
      <w:r w:rsidR="003A23CE">
        <w:fldChar w:fldCharType="begin"/>
      </w:r>
      <w:r w:rsidR="003A23CE">
        <w:instrText xml:space="preserve"> STYLEREF 1 \s</w:instrText>
      </w:r>
      <w:r w:rsidR="003A23CE">
        <w:instrText xml:space="preserve">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6</w:t>
      </w:r>
      <w:r w:rsidR="003A23CE">
        <w:rPr>
          <w:noProof/>
        </w:rPr>
        <w:fldChar w:fldCharType="end"/>
      </w:r>
      <w:bookmarkEnd w:id="127"/>
      <w:r w:rsidRPr="00B63ADF">
        <w:t xml:space="preserve">: </w:t>
      </w:r>
      <w:r>
        <w:t>Conveyance stamp duty revenue for major states</w:t>
      </w:r>
      <w:r w:rsidRPr="00B86531">
        <w:rPr>
          <w:rStyle w:val="FootnoteReference"/>
        </w:rPr>
        <w:footnoteReference w:id="15"/>
      </w:r>
      <w:bookmarkEnd w:id="128"/>
      <w:bookmarkEnd w:id="129"/>
    </w:p>
    <w:tbl>
      <w:tblPr>
        <w:tblStyle w:val="TableGrid"/>
        <w:tblW w:w="8291" w:type="dxa"/>
        <w:tblLook w:val="04A0" w:firstRow="1" w:lastRow="0" w:firstColumn="1" w:lastColumn="0" w:noHBand="0" w:noVBand="1"/>
      </w:tblPr>
      <w:tblGrid>
        <w:gridCol w:w="2015"/>
        <w:gridCol w:w="2016"/>
        <w:gridCol w:w="2016"/>
        <w:gridCol w:w="2244"/>
      </w:tblGrid>
      <w:tr w:rsidR="00C2576A" w:rsidRPr="00C2576A" w:rsidTr="00093D49">
        <w:trPr>
          <w:cnfStyle w:val="100000000000" w:firstRow="1" w:lastRow="0" w:firstColumn="0" w:lastColumn="0" w:oddVBand="0" w:evenVBand="0" w:oddHBand="0" w:evenHBand="0" w:firstRowFirstColumn="0" w:firstRowLastColumn="0" w:lastRowFirstColumn="0" w:lastRowLastColumn="0"/>
          <w:trHeight w:hRule="exact" w:val="4536"/>
        </w:trPr>
        <w:tc>
          <w:tcPr>
            <w:cnfStyle w:val="001000000100" w:firstRow="0" w:lastRow="0" w:firstColumn="1" w:lastColumn="0" w:oddVBand="0" w:evenVBand="0" w:oddHBand="0" w:evenHBand="0" w:firstRowFirstColumn="1" w:firstRowLastColumn="0" w:lastRowFirstColumn="0" w:lastRowLastColumn="0"/>
            <w:tcW w:w="2015" w:type="dxa"/>
            <w:shd w:val="clear" w:color="auto" w:fill="auto"/>
          </w:tcPr>
          <w:tbl>
            <w:tblPr>
              <w:tblW w:w="1917" w:type="dxa"/>
              <w:tblLook w:val="04A0" w:firstRow="1" w:lastRow="0" w:firstColumn="1" w:lastColumn="0" w:noHBand="0" w:noVBand="1"/>
            </w:tblPr>
            <w:tblGrid>
              <w:gridCol w:w="957"/>
              <w:gridCol w:w="963"/>
            </w:tblGrid>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093D49" w:rsidP="00977D1C">
                  <w:pPr>
                    <w:spacing w:line="240" w:lineRule="auto"/>
                    <w:rPr>
                      <w:rFonts w:ascii="Calibri" w:eastAsia="Times New Roman" w:hAnsi="Calibri" w:cs="Times New Roman"/>
                      <w:color w:val="FFFFFF" w:themeColor="background1"/>
                      <w:lang w:eastAsia="en-AU"/>
                    </w:rPr>
                  </w:pPr>
                  <w:r w:rsidRPr="00093D49">
                    <w:rPr>
                      <w:noProof/>
                      <w:lang w:eastAsia="en-AU"/>
                    </w:rPr>
                    <w:drawing>
                      <wp:anchor distT="0" distB="0" distL="114300" distR="114300" simplePos="0" relativeHeight="251720704" behindDoc="0" locked="0" layoutInCell="1" allowOverlap="1" wp14:anchorId="00C0DE0B" wp14:editId="0212FB0E">
                        <wp:simplePos x="0" y="0"/>
                        <wp:positionH relativeFrom="column">
                          <wp:posOffset>-59690</wp:posOffset>
                        </wp:positionH>
                        <wp:positionV relativeFrom="paragraph">
                          <wp:posOffset>0</wp:posOffset>
                        </wp:positionV>
                        <wp:extent cx="5033645" cy="2868930"/>
                        <wp:effectExtent l="0" t="0" r="0" b="762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364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76A" w:rsidRPr="00C2576A">
                    <w:rPr>
                      <w:rFonts w:ascii="Calibri" w:eastAsia="Times New Roman" w:hAnsi="Calibri" w:cs="Times New Roman"/>
                      <w:color w:val="FFFFFF" w:themeColor="background1"/>
                      <w:lang w:eastAsia="en-AU"/>
                    </w:rPr>
                    <w:t>NSW</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$billions</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0.5</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0.5</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0.4</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0.4</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bl>
          <w:p w:rsidR="00C2576A" w:rsidRPr="00C2576A" w:rsidRDefault="00C2576A" w:rsidP="00977D1C">
            <w:pPr>
              <w:pStyle w:val="BodyText"/>
            </w:pPr>
          </w:p>
        </w:tc>
        <w:tc>
          <w:tcPr>
            <w:tcW w:w="2016" w:type="dxa"/>
            <w:shd w:val="clear" w:color="auto" w:fill="auto"/>
          </w:tcPr>
          <w:tbl>
            <w:tblPr>
              <w:tblW w:w="1917" w:type="dxa"/>
              <w:tblLook w:val="04A0" w:firstRow="1" w:lastRow="0" w:firstColumn="1" w:lastColumn="0" w:noHBand="0" w:noVBand="1"/>
            </w:tblPr>
            <w:tblGrid>
              <w:gridCol w:w="957"/>
              <w:gridCol w:w="963"/>
            </w:tblGrid>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Vic</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$billions</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0.3</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bl>
          <w:p w:rsidR="00C2576A" w:rsidRPr="00C2576A" w:rsidRDefault="00C2576A" w:rsidP="00977D1C">
            <w:pPr>
              <w:pStyle w:val="BodyText"/>
              <w:cnfStyle w:val="100000000000" w:firstRow="1" w:lastRow="0" w:firstColumn="0" w:lastColumn="0" w:oddVBand="0" w:evenVBand="0" w:oddHBand="0" w:evenHBand="0" w:firstRowFirstColumn="0" w:firstRowLastColumn="0" w:lastRowFirstColumn="0" w:lastRowLastColumn="0"/>
            </w:pPr>
          </w:p>
        </w:tc>
        <w:tc>
          <w:tcPr>
            <w:tcW w:w="2016" w:type="dxa"/>
            <w:shd w:val="clear" w:color="auto" w:fill="auto"/>
          </w:tcPr>
          <w:tbl>
            <w:tblPr>
              <w:tblW w:w="1917" w:type="dxa"/>
              <w:tblLook w:val="04A0" w:firstRow="1" w:lastRow="0" w:firstColumn="1" w:lastColumn="0" w:noHBand="0" w:noVBand="1"/>
            </w:tblPr>
            <w:tblGrid>
              <w:gridCol w:w="957"/>
              <w:gridCol w:w="963"/>
            </w:tblGrid>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Qld</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$billions</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295"/>
              </w:trPr>
              <w:tc>
                <w:tcPr>
                  <w:tcW w:w="957"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bl>
          <w:p w:rsidR="00C2576A" w:rsidRPr="00C2576A" w:rsidRDefault="00C2576A" w:rsidP="00977D1C">
            <w:pPr>
              <w:pStyle w:val="BodyText"/>
              <w:cnfStyle w:val="100000000000" w:firstRow="1" w:lastRow="0" w:firstColumn="0" w:lastColumn="0" w:oddVBand="0" w:evenVBand="0" w:oddHBand="0" w:evenHBand="0" w:firstRowFirstColumn="0" w:firstRowLastColumn="0" w:lastRowFirstColumn="0" w:lastRowLastColumn="0"/>
            </w:pPr>
          </w:p>
        </w:tc>
        <w:tc>
          <w:tcPr>
            <w:tcW w:w="2244" w:type="dxa"/>
            <w:shd w:val="clear" w:color="auto" w:fill="auto"/>
          </w:tcPr>
          <w:tbl>
            <w:tblPr>
              <w:tblW w:w="2244" w:type="dxa"/>
              <w:tblLook w:val="04A0" w:firstRow="1" w:lastRow="0" w:firstColumn="1" w:lastColumn="0" w:noHBand="0" w:noVBand="1"/>
            </w:tblPr>
            <w:tblGrid>
              <w:gridCol w:w="1120"/>
              <w:gridCol w:w="1124"/>
            </w:tblGrid>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WA</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$billions</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2002-03</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2003-04</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2004-05</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2005-06</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2006-07</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2007-08</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0.2</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2008-09</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2009-10</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2010-11</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2011-12</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r w:rsidR="00C2576A" w:rsidRPr="00C2576A" w:rsidTr="00C2576A">
              <w:trPr>
                <w:trHeight w:val="446"/>
              </w:trPr>
              <w:tc>
                <w:tcPr>
                  <w:tcW w:w="1120" w:type="dxa"/>
                  <w:tcBorders>
                    <w:top w:val="nil"/>
                    <w:left w:val="nil"/>
                    <w:bottom w:val="nil"/>
                    <w:right w:val="nil"/>
                  </w:tcBorders>
                  <w:shd w:val="clear" w:color="auto" w:fill="auto"/>
                  <w:noWrap/>
                  <w:vAlign w:val="bottom"/>
                  <w:hideMark/>
                </w:tcPr>
                <w:p w:rsidR="00C2576A" w:rsidRPr="00C2576A" w:rsidRDefault="00C2576A" w:rsidP="00977D1C">
                  <w:pPr>
                    <w:spacing w:line="240" w:lineRule="auto"/>
                    <w:rPr>
                      <w:rFonts w:ascii="Calibri" w:eastAsia="Times New Roman" w:hAnsi="Calibri" w:cs="Times New Roman"/>
                      <w:b/>
                      <w:bCs/>
                      <w:color w:val="FFFFFF" w:themeColor="background1"/>
                      <w:lang w:eastAsia="en-AU"/>
                    </w:rPr>
                  </w:pPr>
                  <w:r w:rsidRPr="00C2576A">
                    <w:rPr>
                      <w:rFonts w:ascii="Calibri" w:eastAsia="Times New Roman" w:hAnsi="Calibri" w:cs="Times New Roman"/>
                      <w:b/>
                      <w:bCs/>
                      <w:color w:val="FFFFFF" w:themeColor="background1"/>
                      <w:lang w:eastAsia="en-AU"/>
                    </w:rPr>
                    <w:t>2012-13</w:t>
                  </w:r>
                </w:p>
              </w:tc>
              <w:tc>
                <w:tcPr>
                  <w:tcW w:w="1124" w:type="dxa"/>
                  <w:tcBorders>
                    <w:top w:val="nil"/>
                    <w:left w:val="nil"/>
                    <w:bottom w:val="nil"/>
                    <w:right w:val="nil"/>
                  </w:tcBorders>
                  <w:shd w:val="clear" w:color="auto" w:fill="auto"/>
                  <w:noWrap/>
                  <w:vAlign w:val="bottom"/>
                  <w:hideMark/>
                </w:tcPr>
                <w:p w:rsidR="00C2576A" w:rsidRPr="00C2576A" w:rsidRDefault="00C2576A" w:rsidP="00977D1C">
                  <w:pPr>
                    <w:spacing w:line="240" w:lineRule="auto"/>
                    <w:jc w:val="right"/>
                    <w:rPr>
                      <w:rFonts w:ascii="Calibri" w:eastAsia="Times New Roman" w:hAnsi="Calibri" w:cs="Times New Roman"/>
                      <w:color w:val="FFFFFF" w:themeColor="background1"/>
                      <w:lang w:eastAsia="en-AU"/>
                    </w:rPr>
                  </w:pPr>
                  <w:r w:rsidRPr="00C2576A">
                    <w:rPr>
                      <w:rFonts w:ascii="Calibri" w:eastAsia="Times New Roman" w:hAnsi="Calibri" w:cs="Times New Roman"/>
                      <w:color w:val="FFFFFF" w:themeColor="background1"/>
                      <w:lang w:eastAsia="en-AU"/>
                    </w:rPr>
                    <w:t>0.1</w:t>
                  </w:r>
                </w:p>
              </w:tc>
            </w:tr>
          </w:tbl>
          <w:p w:rsidR="00C2576A" w:rsidRPr="00C2576A" w:rsidRDefault="00C2576A" w:rsidP="00977D1C">
            <w:pPr>
              <w:pStyle w:val="BodyText"/>
              <w:cnfStyle w:val="100000000000" w:firstRow="1" w:lastRow="0" w:firstColumn="0" w:lastColumn="0" w:oddVBand="0" w:evenVBand="0" w:oddHBand="0" w:evenHBand="0" w:firstRowFirstColumn="0" w:firstRowLastColumn="0" w:lastRowFirstColumn="0" w:lastRowLastColumn="0"/>
            </w:pPr>
          </w:p>
        </w:tc>
      </w:tr>
    </w:tbl>
    <w:p w:rsidR="00C2576A" w:rsidRPr="00C2576A" w:rsidRDefault="00B63ADF" w:rsidP="00C2576A">
      <w:pPr>
        <w:pStyle w:val="Source"/>
        <w:spacing w:before="0"/>
      </w:pPr>
      <w:r>
        <w:t>Source: ABS.</w:t>
      </w:r>
    </w:p>
    <w:p w:rsidR="00B63ADF" w:rsidRPr="00E21BE7" w:rsidRDefault="00B63ADF" w:rsidP="00B63ADF">
      <w:pPr>
        <w:pStyle w:val="Heading3"/>
      </w:pPr>
      <w:bookmarkStart w:id="130" w:name="_Toc414006839"/>
      <w:bookmarkStart w:id="131" w:name="_Toc414007414"/>
      <w:bookmarkStart w:id="132" w:name="_Toc414007719"/>
      <w:bookmarkStart w:id="133" w:name="_Toc414008342"/>
      <w:r w:rsidRPr="00E21BE7">
        <w:t>Royalties</w:t>
      </w:r>
      <w:bookmarkEnd w:id="130"/>
      <w:bookmarkEnd w:id="131"/>
      <w:bookmarkEnd w:id="132"/>
      <w:bookmarkEnd w:id="133"/>
    </w:p>
    <w:p w:rsidR="00B63ADF" w:rsidRDefault="00B63ADF" w:rsidP="00B63ADF">
      <w:pPr>
        <w:pStyle w:val="BodyText"/>
      </w:pPr>
      <w:r>
        <w:t>The decline in conveyance stamp duty over the past decade was more than offset by an increase in royalty revenue</w:t>
      </w:r>
      <w:r w:rsidR="00445D3A" w:rsidRPr="00B86531">
        <w:rPr>
          <w:rStyle w:val="FootnoteReference"/>
        </w:rPr>
        <w:footnoteReference w:id="16"/>
      </w:r>
      <w:r>
        <w:t xml:space="preserve"> over the same period, which grew from 0.2 per cent of GDP in 2002–03 to 0.5 per cent in 2012–13 as commodity prices and production increased.</w:t>
      </w:r>
    </w:p>
    <w:p w:rsidR="00B63ADF" w:rsidRDefault="00B63ADF" w:rsidP="00B63ADF">
      <w:pPr>
        <w:pStyle w:val="BodyText"/>
      </w:pPr>
      <w:r>
        <w:lastRenderedPageBreak/>
        <w:t>While the decline in conveyance stamp duty revenue was felt across all states, the rise in royalty revenue was concentrated in Western Australia, Queensland and New South Wales.  Western Australia was responsible for nearly two thirds of the overall growth in royalty revenue, with growth driven by a strong rise in iron ore prices.  The spike in royalty revenue in 2008–09 was primarily the result of a surge in the price of coal, which resulted in increased royalties in Queensland and New South Wales in that year (</w:t>
      </w:r>
      <w:r>
        <w:fldChar w:fldCharType="begin"/>
      </w:r>
      <w:r>
        <w:instrText xml:space="preserve"> REF _Ref415132169 \h </w:instrText>
      </w:r>
      <w:r>
        <w:fldChar w:fldCharType="separate"/>
      </w:r>
      <w:r w:rsidR="008B68F4" w:rsidRPr="00B63ADF">
        <w:t xml:space="preserve">Figure </w:t>
      </w:r>
      <w:r w:rsidR="008B68F4">
        <w:rPr>
          <w:noProof/>
        </w:rPr>
        <w:t>2</w:t>
      </w:r>
      <w:r w:rsidR="008B68F4">
        <w:noBreakHyphen/>
      </w:r>
      <w:r w:rsidR="008B68F4">
        <w:rPr>
          <w:noProof/>
        </w:rPr>
        <w:t>7</w:t>
      </w:r>
      <w:r>
        <w:fldChar w:fldCharType="end"/>
      </w:r>
      <w:r>
        <w:t>).</w:t>
      </w:r>
    </w:p>
    <w:p w:rsidR="008A1F1A" w:rsidRDefault="00B63ADF" w:rsidP="00B63ADF">
      <w:pPr>
        <w:pStyle w:val="Caption"/>
      </w:pPr>
      <w:bookmarkStart w:id="134" w:name="_Ref415132169"/>
      <w:bookmarkStart w:id="135" w:name="_Toc415222956"/>
      <w:bookmarkStart w:id="136" w:name="_Toc418073817"/>
      <w:r w:rsidRPr="00B63ADF">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7</w:t>
      </w:r>
      <w:r w:rsidR="003A23CE">
        <w:rPr>
          <w:noProof/>
        </w:rPr>
        <w:fldChar w:fldCharType="end"/>
      </w:r>
      <w:bookmarkEnd w:id="134"/>
      <w:r w:rsidRPr="00B63ADF">
        <w:t xml:space="preserve">: </w:t>
      </w:r>
      <w:r>
        <w:t>Royalty revenue and commodity prices</w:t>
      </w:r>
      <w:bookmarkEnd w:id="135"/>
      <w:bookmarkEnd w:id="136"/>
    </w:p>
    <w:tbl>
      <w:tblPr>
        <w:tblStyle w:val="TableGrid1"/>
        <w:tblW w:w="8448"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08"/>
        <w:gridCol w:w="2108"/>
      </w:tblGrid>
      <w:tr w:rsidR="00EB396B" w:rsidRPr="00EB396B" w:rsidTr="00EB396B">
        <w:trPr>
          <w:cnfStyle w:val="100000000000" w:firstRow="1" w:lastRow="0" w:firstColumn="0" w:lastColumn="0" w:oddVBand="0" w:evenVBand="0" w:oddHBand="0" w:evenHBand="0" w:firstRowFirstColumn="0" w:firstRowLastColumn="0" w:lastRowFirstColumn="0" w:lastRowLastColumn="0"/>
          <w:trHeight w:hRule="exact" w:val="1701"/>
        </w:trPr>
        <w:tc>
          <w:tcPr>
            <w:cnfStyle w:val="001000000100" w:firstRow="0" w:lastRow="0" w:firstColumn="1" w:lastColumn="0" w:oddVBand="0" w:evenVBand="0" w:oddHBand="0" w:evenHBand="0" w:firstRowFirstColumn="1" w:firstRowLastColumn="0" w:lastRowFirstColumn="0" w:lastRowLastColumn="0"/>
            <w:tcW w:w="4232" w:type="dxa"/>
            <w:gridSpan w:val="2"/>
            <w:shd w:val="clear" w:color="auto" w:fill="auto"/>
          </w:tcPr>
          <w:tbl>
            <w:tblPr>
              <w:tblW w:w="4171" w:type="dxa"/>
              <w:tblLook w:val="04A0" w:firstRow="1" w:lastRow="0" w:firstColumn="1" w:lastColumn="0" w:noHBand="0" w:noVBand="1"/>
            </w:tblPr>
            <w:tblGrid>
              <w:gridCol w:w="2694"/>
              <w:gridCol w:w="1477"/>
            </w:tblGrid>
            <w:tr w:rsidR="00EB396B" w:rsidRPr="00EB396B" w:rsidTr="00EB396B">
              <w:trPr>
                <w:trHeight w:val="301"/>
              </w:trPr>
              <w:tc>
                <w:tcPr>
                  <w:tcW w:w="4171" w:type="dxa"/>
                  <w:gridSpan w:val="2"/>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Pr>
                      <w:noProof/>
                      <w:lang w:eastAsia="en-AU"/>
                    </w:rPr>
                    <w:drawing>
                      <wp:anchor distT="0" distB="0" distL="114300" distR="114300" simplePos="0" relativeHeight="251697152" behindDoc="0" locked="0" layoutInCell="1" allowOverlap="1" wp14:anchorId="2D35FE43" wp14:editId="0B681BD5">
                        <wp:simplePos x="0" y="0"/>
                        <wp:positionH relativeFrom="column">
                          <wp:posOffset>22225</wp:posOffset>
                        </wp:positionH>
                        <wp:positionV relativeFrom="paragraph">
                          <wp:posOffset>36830</wp:posOffset>
                        </wp:positionV>
                        <wp:extent cx="2519680" cy="3599815"/>
                        <wp:effectExtent l="0" t="0" r="0" b="635"/>
                        <wp:wrapNone/>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D9185A">
                    <w:rPr>
                      <w:rFonts w:ascii="Calibri" w:eastAsia="Times New Roman" w:hAnsi="Calibri" w:cs="Times New Roman"/>
                      <w:color w:val="FFFFFF" w:themeColor="background1"/>
                      <w:sz w:val="12"/>
                      <w:szCs w:val="12"/>
                      <w:lang w:eastAsia="en-AU"/>
                    </w:rPr>
                    <w:t>WA royalties (% of GDP)</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0.08</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0.12</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0.14</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0.14</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0.18</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0.18</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0.30</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0.29</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0.29</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0.38</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0.27</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0.31</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0.32</w:t>
                  </w:r>
                </w:p>
              </w:tc>
            </w:tr>
            <w:tr w:rsidR="00EB396B" w:rsidRPr="00EB396B" w:rsidTr="00EB396B">
              <w:trPr>
                <w:trHeight w:val="301"/>
              </w:trPr>
              <w:tc>
                <w:tcPr>
                  <w:tcW w:w="269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1477"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0.32</w:t>
                  </w:r>
                </w:p>
              </w:tc>
            </w:tr>
          </w:tbl>
          <w:p w:rsidR="00EB396B" w:rsidRPr="00EB396B" w:rsidRDefault="00EB396B" w:rsidP="00EB396B">
            <w:pPr>
              <w:pStyle w:val="BodyText"/>
              <w:tabs>
                <w:tab w:val="left" w:pos="1035"/>
              </w:tabs>
              <w:ind w:left="0"/>
              <w:rPr>
                <w:sz w:val="12"/>
                <w:szCs w:val="12"/>
              </w:rPr>
            </w:pPr>
          </w:p>
        </w:tc>
        <w:tc>
          <w:tcPr>
            <w:tcW w:w="4216" w:type="dxa"/>
            <w:gridSpan w:val="2"/>
            <w:shd w:val="clear" w:color="auto" w:fill="auto"/>
          </w:tcPr>
          <w:tbl>
            <w:tblPr>
              <w:tblW w:w="4156" w:type="dxa"/>
              <w:tblLook w:val="04A0" w:firstRow="1" w:lastRow="0" w:firstColumn="1" w:lastColumn="0" w:noHBand="0" w:noVBand="1"/>
            </w:tblPr>
            <w:tblGrid>
              <w:gridCol w:w="2078"/>
              <w:gridCol w:w="2078"/>
            </w:tblGrid>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035A26" w:rsidP="00EB396B">
                  <w:pPr>
                    <w:spacing w:line="240" w:lineRule="auto"/>
                    <w:rPr>
                      <w:rFonts w:ascii="Calibri" w:eastAsia="Times New Roman" w:hAnsi="Calibri" w:cs="Times New Roman"/>
                      <w:color w:val="FFFFFF" w:themeColor="background1"/>
                      <w:sz w:val="12"/>
                      <w:szCs w:val="12"/>
                      <w:lang w:eastAsia="en-AU"/>
                    </w:rPr>
                  </w:pPr>
                  <w:r>
                    <w:rPr>
                      <w:noProof/>
                      <w:lang w:eastAsia="en-AU"/>
                    </w:rPr>
                    <w:drawing>
                      <wp:anchor distT="0" distB="0" distL="114300" distR="114300" simplePos="0" relativeHeight="251698176" behindDoc="0" locked="0" layoutInCell="1" allowOverlap="1" wp14:anchorId="34006A26" wp14:editId="0EF4F2A3">
                        <wp:simplePos x="0" y="0"/>
                        <wp:positionH relativeFrom="column">
                          <wp:posOffset>167640</wp:posOffset>
                        </wp:positionH>
                        <wp:positionV relativeFrom="paragraph">
                          <wp:posOffset>36830</wp:posOffset>
                        </wp:positionV>
                        <wp:extent cx="2519680" cy="3599815"/>
                        <wp:effectExtent l="0" t="0" r="0" b="0"/>
                        <wp:wrapNone/>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Iron ore price (AUD/t)</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31.1</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28.3</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37.1</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52.3</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59.0</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71.7</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98.5</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101.8</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134.3</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133.1</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120.5</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2078" w:type="dxa"/>
                  <w:tcBorders>
                    <w:top w:val="nil"/>
                    <w:left w:val="nil"/>
                    <w:bottom w:val="nil"/>
                    <w:right w:val="single" w:sz="4" w:space="0" w:color="auto"/>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116.4</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2078" w:type="dxa"/>
                  <w:tcBorders>
                    <w:top w:val="nil"/>
                    <w:left w:val="nil"/>
                    <w:bottom w:val="nil"/>
                    <w:right w:val="single" w:sz="4" w:space="0" w:color="auto"/>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88.6</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2078" w:type="dxa"/>
                  <w:tcBorders>
                    <w:top w:val="nil"/>
                    <w:left w:val="nil"/>
                    <w:bottom w:val="nil"/>
                    <w:right w:val="single" w:sz="4" w:space="0" w:color="auto"/>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75.6</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2078" w:type="dxa"/>
                  <w:tcBorders>
                    <w:top w:val="nil"/>
                    <w:left w:val="nil"/>
                    <w:bottom w:val="nil"/>
                    <w:right w:val="single" w:sz="4" w:space="0" w:color="auto"/>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79.3</w:t>
                  </w:r>
                </w:p>
              </w:tc>
            </w:tr>
            <w:tr w:rsidR="00EB396B" w:rsidRPr="00EB396B" w:rsidTr="00EB396B">
              <w:trPr>
                <w:trHeight w:val="298"/>
              </w:trPr>
              <w:tc>
                <w:tcPr>
                  <w:tcW w:w="2078"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2078" w:type="dxa"/>
                  <w:tcBorders>
                    <w:top w:val="nil"/>
                    <w:left w:val="nil"/>
                    <w:bottom w:val="nil"/>
                    <w:right w:val="single" w:sz="4" w:space="0" w:color="auto"/>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89.7</w:t>
                  </w:r>
                </w:p>
              </w:tc>
            </w:tr>
          </w:tbl>
          <w:p w:rsidR="00EB396B" w:rsidRPr="00EB396B" w:rsidRDefault="00EB396B" w:rsidP="00EB396B">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r>
      <w:tr w:rsidR="00EB396B" w:rsidRPr="00EB396B" w:rsidTr="00EB396B">
        <w:trPr>
          <w:cnfStyle w:val="000000100000" w:firstRow="0" w:lastRow="0" w:firstColumn="0" w:lastColumn="0" w:oddVBand="0" w:evenVBand="0" w:oddHBand="1" w:evenHBand="0" w:firstRowFirstColumn="0" w:firstRowLastColumn="0" w:lastRowFirstColumn="0" w:lastRowLastColumn="0"/>
          <w:trHeight w:hRule="exact" w:val="3925"/>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tcPr>
          <w:tbl>
            <w:tblPr>
              <w:tblW w:w="1920" w:type="dxa"/>
              <w:tblLook w:val="04A0" w:firstRow="1" w:lastRow="0" w:firstColumn="1" w:lastColumn="0" w:noHBand="0" w:noVBand="1"/>
            </w:tblPr>
            <w:tblGrid>
              <w:gridCol w:w="1134"/>
              <w:gridCol w:w="786"/>
            </w:tblGrid>
            <w:tr w:rsidR="00EB396B" w:rsidRPr="00EB396B" w:rsidTr="00EB396B">
              <w:trPr>
                <w:trHeight w:val="300"/>
              </w:trPr>
              <w:tc>
                <w:tcPr>
                  <w:tcW w:w="1920" w:type="dxa"/>
                  <w:gridSpan w:val="2"/>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Metallurgical coal price (AUD/t)</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80.4</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70.9</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107.7</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151.6</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140.2</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196.5</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281.5</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204.8</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242.9</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241.8</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179.4</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154.6</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143.9</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151.0</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156.1</w:t>
                  </w:r>
                </w:p>
              </w:tc>
            </w:tr>
            <w:tr w:rsidR="00EB396B" w:rsidRPr="00EB396B" w:rsidTr="00EB396B">
              <w:trPr>
                <w:trHeight w:val="300"/>
              </w:trPr>
              <w:tc>
                <w:tcPr>
                  <w:tcW w:w="1134"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786"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160.4</w:t>
                  </w:r>
                </w:p>
              </w:tc>
            </w:tr>
          </w:tbl>
          <w:p w:rsidR="00EB396B" w:rsidRPr="00D9185A" w:rsidRDefault="00EB396B" w:rsidP="00EB396B">
            <w:pPr>
              <w:pStyle w:val="BodyText"/>
              <w:ind w:left="0"/>
              <w:rPr>
                <w:color w:val="FFFFFF" w:themeColor="background1"/>
                <w:sz w:val="12"/>
                <w:szCs w:val="12"/>
              </w:rPr>
            </w:pPr>
          </w:p>
        </w:tc>
        <w:tc>
          <w:tcPr>
            <w:tcW w:w="2116" w:type="dxa"/>
            <w:shd w:val="clear" w:color="auto" w:fill="auto"/>
          </w:tcPr>
          <w:tbl>
            <w:tblPr>
              <w:tblW w:w="1920" w:type="dxa"/>
              <w:tblLook w:val="04A0" w:firstRow="1" w:lastRow="0" w:firstColumn="1" w:lastColumn="0" w:noHBand="0" w:noVBand="1"/>
            </w:tblPr>
            <w:tblGrid>
              <w:gridCol w:w="960"/>
              <w:gridCol w:w="960"/>
            </w:tblGrid>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Thermal coal price (AUD/t)</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45.8</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37.6</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59.9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70.4</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66.9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61.9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167.2</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79.6</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99.3</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126.0</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112.0</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103.4</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97.6</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90.3</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85.0</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84.2</w:t>
                  </w:r>
                </w:p>
              </w:tc>
            </w:tr>
          </w:tbl>
          <w:p w:rsidR="00EB396B" w:rsidRPr="00D9185A" w:rsidRDefault="00EB396B" w:rsidP="00EB396B">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08" w:type="dxa"/>
            <w:shd w:val="clear" w:color="auto" w:fill="auto"/>
          </w:tcPr>
          <w:tbl>
            <w:tblPr>
              <w:tblW w:w="1920" w:type="dxa"/>
              <w:tblLook w:val="04A0" w:firstRow="1" w:lastRow="0" w:firstColumn="1" w:lastColumn="0" w:noHBand="0" w:noVBand="1"/>
            </w:tblPr>
            <w:tblGrid>
              <w:gridCol w:w="960"/>
              <w:gridCol w:w="960"/>
            </w:tblGrid>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QLD royalties (% of GDP)</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0.07</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0.11</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0.15</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0.13</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0.12</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0.27</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0.16</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0.14</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0.15</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0.15</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0.21</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0.22</w:t>
                  </w:r>
                </w:p>
              </w:tc>
            </w:tr>
          </w:tbl>
          <w:p w:rsidR="00EB396B" w:rsidRPr="00D9185A" w:rsidRDefault="00EB396B" w:rsidP="00EB396B">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08" w:type="dxa"/>
            <w:shd w:val="clear" w:color="auto" w:fill="auto"/>
          </w:tcPr>
          <w:tbl>
            <w:tblPr>
              <w:tblW w:w="1920" w:type="dxa"/>
              <w:tblLook w:val="04A0" w:firstRow="1" w:lastRow="0" w:firstColumn="1" w:lastColumn="0" w:noHBand="0" w:noVBand="1"/>
            </w:tblPr>
            <w:tblGrid>
              <w:gridCol w:w="960"/>
              <w:gridCol w:w="960"/>
            </w:tblGrid>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NSW royalties (% of GDP)</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0.03</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0.03</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0.04</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0.05</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0.04</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0.05</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0.10</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0.08</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0.10</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2013-14</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0.08</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2014-15</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0.08</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2015-16</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2016-17</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0.09</w:t>
                  </w:r>
                </w:p>
              </w:tc>
            </w:tr>
            <w:tr w:rsidR="00EB396B" w:rsidRPr="00EB396B" w:rsidTr="00EB396B">
              <w:trPr>
                <w:trHeight w:val="300"/>
              </w:trPr>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rPr>
                      <w:rFonts w:ascii="Calibri" w:eastAsia="Times New Roman" w:hAnsi="Calibri" w:cs="Times New Roman"/>
                      <w:b/>
                      <w:bCs/>
                      <w:color w:val="FFFFFF" w:themeColor="background1"/>
                      <w:sz w:val="12"/>
                      <w:szCs w:val="12"/>
                      <w:lang w:eastAsia="en-AU"/>
                    </w:rPr>
                  </w:pPr>
                  <w:r w:rsidRPr="00D9185A">
                    <w:rPr>
                      <w:rFonts w:ascii="Calibri" w:eastAsia="Times New Roman" w:hAnsi="Calibri" w:cs="Times New Roman"/>
                      <w:b/>
                      <w:bCs/>
                      <w:color w:val="FFFFFF" w:themeColor="background1"/>
                      <w:sz w:val="12"/>
                      <w:szCs w:val="12"/>
                      <w:lang w:eastAsia="en-AU"/>
                    </w:rPr>
                    <w:t>2017-18</w:t>
                  </w:r>
                </w:p>
              </w:tc>
              <w:tc>
                <w:tcPr>
                  <w:tcW w:w="960" w:type="dxa"/>
                  <w:tcBorders>
                    <w:top w:val="nil"/>
                    <w:left w:val="nil"/>
                    <w:bottom w:val="nil"/>
                    <w:right w:val="nil"/>
                  </w:tcBorders>
                  <w:shd w:val="clear" w:color="auto" w:fill="auto"/>
                  <w:noWrap/>
                  <w:vAlign w:val="bottom"/>
                  <w:hideMark/>
                </w:tcPr>
                <w:p w:rsidR="00EB396B" w:rsidRPr="00D9185A" w:rsidRDefault="00EB396B" w:rsidP="00EB396B">
                  <w:pPr>
                    <w:spacing w:line="240" w:lineRule="auto"/>
                    <w:jc w:val="right"/>
                    <w:rPr>
                      <w:rFonts w:ascii="Calibri" w:eastAsia="Times New Roman" w:hAnsi="Calibri" w:cs="Times New Roman"/>
                      <w:color w:val="FFFFFF" w:themeColor="background1"/>
                      <w:sz w:val="12"/>
                      <w:szCs w:val="12"/>
                      <w:lang w:eastAsia="en-AU"/>
                    </w:rPr>
                  </w:pPr>
                  <w:r w:rsidRPr="00D9185A">
                    <w:rPr>
                      <w:rFonts w:ascii="Calibri" w:eastAsia="Times New Roman" w:hAnsi="Calibri" w:cs="Times New Roman"/>
                      <w:color w:val="FFFFFF" w:themeColor="background1"/>
                      <w:sz w:val="12"/>
                      <w:szCs w:val="12"/>
                      <w:lang w:eastAsia="en-AU"/>
                    </w:rPr>
                    <w:t>0.10</w:t>
                  </w:r>
                </w:p>
              </w:tc>
            </w:tr>
          </w:tbl>
          <w:p w:rsidR="00EB396B" w:rsidRPr="00D9185A" w:rsidRDefault="00EB396B" w:rsidP="00EB396B">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r>
    </w:tbl>
    <w:p w:rsidR="00B63ADF" w:rsidRDefault="00B63ADF" w:rsidP="00B63ADF">
      <w:pPr>
        <w:pStyle w:val="Source"/>
      </w:pPr>
      <w:r>
        <w:t>Source: ABS, Department of Industry and Science, Commonwealth and state budget papers, and PBO</w:t>
      </w:r>
      <w:r w:rsidR="00EB396B">
        <w:t xml:space="preserve"> </w:t>
      </w:r>
      <w:r>
        <w:t>analysis.</w:t>
      </w:r>
    </w:p>
    <w:p w:rsidR="00B63ADF" w:rsidRPr="00EA13B7" w:rsidRDefault="00B63ADF" w:rsidP="00B63ADF">
      <w:pPr>
        <w:pStyle w:val="BodyText17ptAbove"/>
      </w:pPr>
      <w:r w:rsidRPr="00187407">
        <w:t>Both iron ore and coal prices have declined from their peaks, with Commonwealth and state governments for</w:t>
      </w:r>
      <w:r>
        <w:t>ecasting subdued prices to 201</w:t>
      </w:r>
      <w:r w:rsidR="00806980">
        <w:t>7</w:t>
      </w:r>
      <w:r>
        <w:t>–</w:t>
      </w:r>
      <w:r w:rsidR="00806980" w:rsidRPr="00187407">
        <w:t>1</w:t>
      </w:r>
      <w:r w:rsidR="00806980">
        <w:t>8</w:t>
      </w:r>
      <w:r w:rsidRPr="00187407">
        <w:t>.</w:t>
      </w:r>
      <w:r>
        <w:t xml:space="preserve"> </w:t>
      </w:r>
      <w:r w:rsidRPr="00187407">
        <w:t xml:space="preserve"> There has been a substantial fall in the</w:t>
      </w:r>
      <w:r w:rsidRPr="00EA13B7">
        <w:t xml:space="preserve"> iron ore price recently, reflecting increasing global supply (primarily from Australia), and softening demand from China</w:t>
      </w:r>
      <w:r w:rsidRPr="00D9185A">
        <w:t xml:space="preserve">.  </w:t>
      </w:r>
      <w:r w:rsidR="00553B07" w:rsidRPr="00D9185A">
        <w:t xml:space="preserve">As part of its </w:t>
      </w:r>
      <w:r w:rsidR="00992393" w:rsidRPr="00D9185A">
        <w:t xml:space="preserve">latest </w:t>
      </w:r>
      <w:r w:rsidR="00553B07" w:rsidRPr="00D9185A">
        <w:rPr>
          <w:i/>
        </w:rPr>
        <w:t>Resources and Energy Quarterly</w:t>
      </w:r>
      <w:r w:rsidR="00553B07" w:rsidRPr="00D9185A">
        <w:t xml:space="preserve"> (released </w:t>
      </w:r>
      <w:r w:rsidR="00447935" w:rsidRPr="00D9185A">
        <w:t xml:space="preserve">in </w:t>
      </w:r>
      <w:r w:rsidR="00447935" w:rsidRPr="00F05B40">
        <w:t>March</w:t>
      </w:r>
      <w:r w:rsidR="00D9185A" w:rsidRPr="00F05B40">
        <w:t xml:space="preserve"> 2015</w:t>
      </w:r>
      <w:r w:rsidR="00553B07" w:rsidRPr="00F05B40">
        <w:t>) the</w:t>
      </w:r>
      <w:r w:rsidRPr="00EA13B7">
        <w:t xml:space="preserve"> </w:t>
      </w:r>
      <w:r w:rsidR="00517BF3">
        <w:t>Australian Department of Industry and Science</w:t>
      </w:r>
      <w:r w:rsidR="00D65F08">
        <w:t xml:space="preserve"> forecast</w:t>
      </w:r>
      <w:r w:rsidRPr="00EA13B7">
        <w:t xml:space="preserve"> an iron ore price of US$</w:t>
      </w:r>
      <w:r w:rsidR="00517BF3">
        <w:t>74</w:t>
      </w:r>
      <w:r w:rsidR="00517BF3" w:rsidRPr="00EA13B7">
        <w:t xml:space="preserve"> </w:t>
      </w:r>
      <w:r w:rsidRPr="00EA13B7">
        <w:t>per tonne in 2014</w:t>
      </w:r>
      <w:r>
        <w:t>–</w:t>
      </w:r>
      <w:r w:rsidRPr="00EA13B7">
        <w:t>15, falling to US$</w:t>
      </w:r>
      <w:r w:rsidR="00517BF3">
        <w:t>68</w:t>
      </w:r>
      <w:r w:rsidR="00517BF3" w:rsidRPr="00EA13B7">
        <w:t xml:space="preserve"> </w:t>
      </w:r>
      <w:r w:rsidRPr="00EA13B7">
        <w:t xml:space="preserve">per tonne in </w:t>
      </w:r>
      <w:r w:rsidR="00517BF3" w:rsidRPr="00EA13B7">
        <w:t>201</w:t>
      </w:r>
      <w:r w:rsidR="00517BF3">
        <w:t>7</w:t>
      </w:r>
      <w:r>
        <w:t>–</w:t>
      </w:r>
      <w:r w:rsidR="00517BF3" w:rsidRPr="00EA13B7">
        <w:t>1</w:t>
      </w:r>
      <w:r w:rsidR="00517BF3">
        <w:t>8</w:t>
      </w:r>
      <w:r w:rsidRPr="00EA13B7">
        <w:t>.</w:t>
      </w:r>
      <w:r>
        <w:t xml:space="preserve"> </w:t>
      </w:r>
      <w:r w:rsidRPr="00EA13B7">
        <w:t xml:space="preserve"> </w:t>
      </w:r>
      <w:r w:rsidR="00517BF3">
        <w:t xml:space="preserve">The thermal coal price </w:t>
      </w:r>
      <w:r w:rsidR="002716E3">
        <w:t xml:space="preserve">was </w:t>
      </w:r>
      <w:r w:rsidR="00444BD7">
        <w:t>forecast</w:t>
      </w:r>
      <w:r w:rsidR="00517BF3">
        <w:t xml:space="preserve"> to fall from US$82 per tonne in 2014–15 to $64 per tonne in 2017–18. </w:t>
      </w:r>
      <w:r w:rsidR="00350AB8">
        <w:t xml:space="preserve"> </w:t>
      </w:r>
      <w:r w:rsidR="00517BF3">
        <w:t>The metallurgical</w:t>
      </w:r>
      <w:r w:rsidR="00517BF3" w:rsidRPr="00EA13B7">
        <w:t xml:space="preserve"> </w:t>
      </w:r>
      <w:r w:rsidRPr="00EA13B7">
        <w:t xml:space="preserve">coal </w:t>
      </w:r>
      <w:r w:rsidR="00517BF3">
        <w:t xml:space="preserve">price </w:t>
      </w:r>
      <w:r w:rsidR="002716E3">
        <w:t xml:space="preserve">was </w:t>
      </w:r>
      <w:r w:rsidRPr="00EA13B7">
        <w:t xml:space="preserve">forecast to </w:t>
      </w:r>
      <w:r w:rsidR="00E75554">
        <w:t>rise slightly to US$122</w:t>
      </w:r>
      <w:r w:rsidR="00E75554" w:rsidRPr="00EA13B7">
        <w:t xml:space="preserve"> </w:t>
      </w:r>
      <w:r w:rsidR="00E75554">
        <w:t xml:space="preserve">per tonne in </w:t>
      </w:r>
      <w:r w:rsidR="00E75554" w:rsidRPr="00EA13B7">
        <w:t>201</w:t>
      </w:r>
      <w:r w:rsidR="00E75554">
        <w:t>7–</w:t>
      </w:r>
      <w:r w:rsidR="00E75554" w:rsidRPr="00EA13B7">
        <w:t>1</w:t>
      </w:r>
      <w:r w:rsidR="00E75554">
        <w:t xml:space="preserve">8, from </w:t>
      </w:r>
      <w:r w:rsidRPr="00EA13B7">
        <w:t>US$</w:t>
      </w:r>
      <w:r w:rsidR="00517BF3">
        <w:t>12</w:t>
      </w:r>
      <w:r w:rsidR="00E75554">
        <w:t>1</w:t>
      </w:r>
      <w:r w:rsidR="00517BF3" w:rsidRPr="00EA13B7">
        <w:t xml:space="preserve"> </w:t>
      </w:r>
      <w:r w:rsidRPr="00EA13B7">
        <w:t>per tonne</w:t>
      </w:r>
      <w:r w:rsidR="00E75554">
        <w:t xml:space="preserve"> in </w:t>
      </w:r>
      <w:r w:rsidR="00E75554" w:rsidRPr="00EA13B7">
        <w:t>2014</w:t>
      </w:r>
      <w:r w:rsidR="00E75554">
        <w:t>–</w:t>
      </w:r>
      <w:r w:rsidR="00E75554" w:rsidRPr="00EA13B7">
        <w:t>15</w:t>
      </w:r>
      <w:r w:rsidR="00553B07">
        <w:t>.</w:t>
      </w:r>
    </w:p>
    <w:p w:rsidR="00B63ADF" w:rsidRPr="00EA13B7" w:rsidRDefault="00B63ADF" w:rsidP="00B63ADF">
      <w:pPr>
        <w:pStyle w:val="BodyText"/>
      </w:pPr>
      <w:r w:rsidRPr="00EA13B7">
        <w:t xml:space="preserve">In recent budget updates, state governments have also revised down their commodity price forecasts. </w:t>
      </w:r>
      <w:r>
        <w:t xml:space="preserve"> </w:t>
      </w:r>
      <w:r w:rsidRPr="00EA13B7">
        <w:t xml:space="preserve">For example, in its mid-year budget update, the Western Australian government </w:t>
      </w:r>
      <w:r w:rsidRPr="00EA13B7">
        <w:lastRenderedPageBreak/>
        <w:t xml:space="preserve">forecast a </w:t>
      </w:r>
      <w:r w:rsidR="00095640" w:rsidRPr="00EA13B7">
        <w:t>201</w:t>
      </w:r>
      <w:r w:rsidR="00095640">
        <w:t>7</w:t>
      </w:r>
      <w:r>
        <w:t>–</w:t>
      </w:r>
      <w:r w:rsidR="00095640" w:rsidRPr="00EA13B7">
        <w:t>1</w:t>
      </w:r>
      <w:r w:rsidR="00095640">
        <w:t>8</w:t>
      </w:r>
      <w:r w:rsidR="00095640" w:rsidRPr="00EA13B7">
        <w:t xml:space="preserve"> </w:t>
      </w:r>
      <w:r w:rsidRPr="00EA13B7">
        <w:t>iron ore price of US$</w:t>
      </w:r>
      <w:r w:rsidR="00095640">
        <w:t>73</w:t>
      </w:r>
      <w:r w:rsidR="00095640" w:rsidRPr="00EA13B7">
        <w:t xml:space="preserve"> </w:t>
      </w:r>
      <w:r w:rsidRPr="00EA13B7">
        <w:t>per tonne</w:t>
      </w:r>
      <w:r w:rsidRPr="00B86531">
        <w:rPr>
          <w:rStyle w:val="FootnoteReference"/>
        </w:rPr>
        <w:footnoteReference w:id="17"/>
      </w:r>
      <w:r w:rsidRPr="00EA13B7">
        <w:t>, down from the state budget forecast of US$</w:t>
      </w:r>
      <w:r w:rsidR="00095640" w:rsidRPr="00EA13B7">
        <w:t>1</w:t>
      </w:r>
      <w:r w:rsidR="00095640">
        <w:t>05</w:t>
      </w:r>
      <w:r w:rsidR="00095640" w:rsidRPr="00EA13B7">
        <w:t xml:space="preserve"> </w:t>
      </w:r>
      <w:r w:rsidRPr="00EA13B7">
        <w:t>per tonne</w:t>
      </w:r>
      <w:r w:rsidRPr="00B86531">
        <w:rPr>
          <w:rStyle w:val="FootnoteReference"/>
        </w:rPr>
        <w:footnoteReference w:id="18"/>
      </w:r>
      <w:r w:rsidRPr="00EA13B7">
        <w:t>.</w:t>
      </w:r>
    </w:p>
    <w:p w:rsidR="00AF6D68" w:rsidRDefault="00B63ADF" w:rsidP="00AF6D68">
      <w:pPr>
        <w:pStyle w:val="BodyText"/>
      </w:pPr>
      <w:r w:rsidRPr="00EA13B7">
        <w:t xml:space="preserve">While factoring in declining commodity prices, state government budget papers indicate that royalty revenue is </w:t>
      </w:r>
      <w:r>
        <w:t>projected</w:t>
      </w:r>
      <w:r w:rsidRPr="00EA13B7">
        <w:t xml:space="preserve"> to continue to increase, reach</w:t>
      </w:r>
      <w:r>
        <w:t>ing 0.</w:t>
      </w:r>
      <w:r w:rsidR="00943C4D">
        <w:t>7 </w:t>
      </w:r>
      <w:r>
        <w:t>per cent of GDP by</w:t>
      </w:r>
      <w:r>
        <w:br/>
        <w:t>2017–</w:t>
      </w:r>
      <w:r w:rsidRPr="00EA13B7">
        <w:t>18.</w:t>
      </w:r>
      <w:r>
        <w:t xml:space="preserve"> </w:t>
      </w:r>
      <w:r w:rsidRPr="00EA13B7">
        <w:t xml:space="preserve"> Western Australia’s royalty revenue is projected to increase from $4.4 billion in 2012</w:t>
      </w:r>
      <w:r>
        <w:t>–</w:t>
      </w:r>
      <w:r w:rsidRPr="00EA13B7">
        <w:t>13 to $6 billion in 2017</w:t>
      </w:r>
      <w:r>
        <w:t>–</w:t>
      </w:r>
      <w:r w:rsidRPr="00EA13B7">
        <w:t>18, representing an annu</w:t>
      </w:r>
      <w:r>
        <w:t>al growth rate of 6.2 per cent.</w:t>
      </w:r>
      <w:r w:rsidR="005661D9">
        <w:t xml:space="preserve"> </w:t>
      </w:r>
      <w:r w:rsidR="00350AB8">
        <w:t xml:space="preserve"> </w:t>
      </w:r>
      <w:r w:rsidR="00AF6D68" w:rsidRPr="00EA13B7">
        <w:t>Queensla</w:t>
      </w:r>
      <w:r w:rsidR="00AF6D68">
        <w:t>nd’s royalty revenue is projected</w:t>
      </w:r>
      <w:r w:rsidR="00AF6D68" w:rsidRPr="00EA13B7">
        <w:t xml:space="preserve"> to grow at 14 per cent annually over the same period, from $2.1 billion to $4.1 billion. </w:t>
      </w:r>
      <w:r w:rsidR="00AF6D68">
        <w:t xml:space="preserve"> </w:t>
      </w:r>
      <w:r w:rsidR="00AF6D68" w:rsidRPr="00EA13B7">
        <w:t xml:space="preserve">These </w:t>
      </w:r>
      <w:r w:rsidR="00F77487">
        <w:t xml:space="preserve">states’ </w:t>
      </w:r>
      <w:r w:rsidR="00AF6D68" w:rsidRPr="00EA13B7">
        <w:t xml:space="preserve">projections </w:t>
      </w:r>
      <w:r w:rsidR="00C16FF7">
        <w:t xml:space="preserve">primarily </w:t>
      </w:r>
      <w:r w:rsidR="00AF6D68" w:rsidRPr="00EA13B7">
        <w:t>reflect forecast increases in production volumes</w:t>
      </w:r>
      <w:r w:rsidR="00AF6D68">
        <w:t>.  However, significant uncertainties around the outlook for commodity prices and the exchange rate reflect a key risk to state royalty revenue.</w:t>
      </w:r>
    </w:p>
    <w:p w:rsidR="00AF6D68" w:rsidRPr="004523FA" w:rsidRDefault="00AF6D68" w:rsidP="00AF6D68">
      <w:pPr>
        <w:pStyle w:val="Heading3"/>
      </w:pPr>
      <w:bookmarkStart w:id="137" w:name="_Toc414006840"/>
      <w:bookmarkStart w:id="138" w:name="_Toc414007415"/>
      <w:bookmarkStart w:id="139" w:name="_Toc414007720"/>
      <w:bookmarkStart w:id="140" w:name="_Toc414008343"/>
      <w:r>
        <w:t>Interest and dividends</w:t>
      </w:r>
      <w:bookmarkEnd w:id="137"/>
      <w:bookmarkEnd w:id="138"/>
      <w:bookmarkEnd w:id="139"/>
      <w:bookmarkEnd w:id="140"/>
    </w:p>
    <w:p w:rsidR="00AF6D68" w:rsidRDefault="00AF6D68" w:rsidP="00AF6D68">
      <w:pPr>
        <w:pStyle w:val="BodyText"/>
      </w:pPr>
      <w:r>
        <w:t>Income from interest and dividends experienced a sharp decline in 2007–08 largely as a result of falls in returns on assets invested by the Queensland government (from assets invested with the Queensland Investment Corporation) and the New South Wales government (from lower interest and managed fund earnings).  This followed an increase in 2003–04 largely due to increased investment income for the Queensland government.</w:t>
      </w:r>
    </w:p>
    <w:p w:rsidR="00AF6D68" w:rsidRDefault="00AF6D68" w:rsidP="008A1F1A">
      <w:pPr>
        <w:pStyle w:val="Heading2"/>
        <w:spacing w:before="360"/>
      </w:pPr>
      <w:bookmarkStart w:id="141" w:name="_Toc414006841"/>
      <w:bookmarkStart w:id="142" w:name="_Toc414007416"/>
      <w:bookmarkStart w:id="143" w:name="_Toc414007721"/>
      <w:bookmarkStart w:id="144" w:name="_Toc414008344"/>
      <w:r>
        <w:t>Commonwealth transfers to states</w:t>
      </w:r>
      <w:bookmarkEnd w:id="141"/>
      <w:bookmarkEnd w:id="142"/>
      <w:bookmarkEnd w:id="143"/>
      <w:bookmarkEnd w:id="144"/>
    </w:p>
    <w:p w:rsidR="00E755F0" w:rsidRDefault="00E755F0" w:rsidP="00E755F0">
      <w:pPr>
        <w:pStyle w:val="BodyText"/>
      </w:pPr>
      <w:r w:rsidRPr="00187407">
        <w:t>Revenue received by state governments from the Commonwealth government totalled $95.0 billion in 2012</w:t>
      </w:r>
      <w:r>
        <w:t>–</w:t>
      </w:r>
      <w:r w:rsidRPr="00187407">
        <w:t xml:space="preserve">13, or 6.2 per cent of GDP. </w:t>
      </w:r>
      <w:r>
        <w:t xml:space="preserve"> </w:t>
      </w:r>
      <w:r w:rsidRPr="00187407">
        <w:t>The Commonwealth projects that this will</w:t>
      </w:r>
      <w:r>
        <w:t xml:space="preserve"> increase to $115.8 billion in 2017–18, remaining at 6.2 per cent of GDP.  A breakdown of 2012–13 transfers is shown in </w:t>
      </w:r>
      <w:r>
        <w:fldChar w:fldCharType="begin"/>
      </w:r>
      <w:r>
        <w:instrText xml:space="preserve"> REF _Ref415132556 \h </w:instrText>
      </w:r>
      <w:r>
        <w:fldChar w:fldCharType="separate"/>
      </w:r>
      <w:r w:rsidR="008B68F4" w:rsidRPr="00416B00">
        <w:t xml:space="preserve">Figure </w:t>
      </w:r>
      <w:r w:rsidR="008B68F4">
        <w:rPr>
          <w:noProof/>
        </w:rPr>
        <w:t>2</w:t>
      </w:r>
      <w:r w:rsidR="008B68F4">
        <w:noBreakHyphen/>
      </w:r>
      <w:r w:rsidR="008B68F4">
        <w:rPr>
          <w:noProof/>
        </w:rPr>
        <w:t>8</w:t>
      </w:r>
      <w:r>
        <w:fldChar w:fldCharType="end"/>
      </w:r>
      <w:r>
        <w:t>.</w:t>
      </w:r>
    </w:p>
    <w:p w:rsidR="00060710" w:rsidRPr="00416B00" w:rsidRDefault="00DB45A4" w:rsidP="008A1F1A">
      <w:pPr>
        <w:pStyle w:val="Caption"/>
        <w:spacing w:before="240"/>
      </w:pPr>
      <w:bookmarkStart w:id="145" w:name="_Ref415132556"/>
      <w:bookmarkStart w:id="146" w:name="_Toc415222957"/>
      <w:bookmarkStart w:id="147" w:name="_Toc418073818"/>
      <w:r w:rsidRPr="00DB45A4">
        <w:rPr>
          <w:noProof/>
          <w:lang w:eastAsia="en-AU"/>
        </w:rPr>
        <w:drawing>
          <wp:anchor distT="0" distB="0" distL="114300" distR="114300" simplePos="0" relativeHeight="251721728" behindDoc="0" locked="0" layoutInCell="1" allowOverlap="1" wp14:anchorId="660D033C" wp14:editId="1C41F6D8">
            <wp:simplePos x="0" y="0"/>
            <wp:positionH relativeFrom="column">
              <wp:posOffset>-635</wp:posOffset>
            </wp:positionH>
            <wp:positionV relativeFrom="paragraph">
              <wp:posOffset>249555</wp:posOffset>
            </wp:positionV>
            <wp:extent cx="5033645" cy="28689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364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755F0" w:rsidRPr="00416B00">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8</w:t>
      </w:r>
      <w:r w:rsidR="003A23CE">
        <w:rPr>
          <w:noProof/>
        </w:rPr>
        <w:fldChar w:fldCharType="end"/>
      </w:r>
      <w:bookmarkEnd w:id="145"/>
      <w:r w:rsidR="00E755F0" w:rsidRPr="00416B00">
        <w:t>: Commonwealth transfer to states in 2012–13</w:t>
      </w:r>
      <w:bookmarkEnd w:id="146"/>
      <w:bookmarkEnd w:id="147"/>
    </w:p>
    <w:tbl>
      <w:tblPr>
        <w:tblW w:w="8518" w:type="dxa"/>
        <w:tblInd w:w="93" w:type="dxa"/>
        <w:tblLook w:val="04A0" w:firstRow="1" w:lastRow="0" w:firstColumn="1" w:lastColumn="0" w:noHBand="0" w:noVBand="1"/>
      </w:tblPr>
      <w:tblGrid>
        <w:gridCol w:w="6791"/>
        <w:gridCol w:w="1727"/>
      </w:tblGrid>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p>
        </w:tc>
        <w:tc>
          <w:tcPr>
            <w:tcW w:w="1727"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b/>
                <w:bCs/>
                <w:color w:val="FFFFFF" w:themeColor="background1"/>
                <w:lang w:eastAsia="en-AU"/>
              </w:rPr>
            </w:pPr>
            <w:r w:rsidRPr="008A1F1A">
              <w:rPr>
                <w:rFonts w:ascii="Calibri" w:eastAsia="Times New Roman" w:hAnsi="Calibri" w:cs="Times New Roman"/>
                <w:b/>
                <w:bCs/>
                <w:color w:val="FFFFFF" w:themeColor="background1"/>
                <w:lang w:eastAsia="en-AU"/>
              </w:rPr>
              <w:t>$billions</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GST</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48</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Health</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17</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Other</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7</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Transport and communications</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4</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Social security and welfare</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2</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Housing and community amenities</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2</w:t>
            </w:r>
          </w:p>
        </w:tc>
      </w:tr>
      <w:tr w:rsidR="008A1F1A" w:rsidRPr="008A1F1A" w:rsidTr="00DB45A4">
        <w:trPr>
          <w:trHeight w:hRule="exact" w:val="533"/>
        </w:trPr>
        <w:tc>
          <w:tcPr>
            <w:tcW w:w="6791" w:type="dxa"/>
            <w:shd w:val="clear" w:color="auto" w:fill="auto"/>
            <w:noWrap/>
            <w:vAlign w:val="bottom"/>
            <w:hideMark/>
          </w:tcPr>
          <w:p w:rsidR="008A1F1A" w:rsidRPr="008A1F1A" w:rsidRDefault="008A1F1A" w:rsidP="00977D1C">
            <w:pPr>
              <w:spacing w:line="240" w:lineRule="auto"/>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Education</w:t>
            </w:r>
          </w:p>
        </w:tc>
        <w:tc>
          <w:tcPr>
            <w:tcW w:w="1727" w:type="dxa"/>
            <w:shd w:val="clear" w:color="auto" w:fill="auto"/>
            <w:noWrap/>
            <w:vAlign w:val="bottom"/>
            <w:hideMark/>
          </w:tcPr>
          <w:p w:rsidR="008A1F1A" w:rsidRPr="008A1F1A" w:rsidRDefault="008A1F1A" w:rsidP="00977D1C">
            <w:pPr>
              <w:spacing w:line="240" w:lineRule="auto"/>
              <w:jc w:val="right"/>
              <w:rPr>
                <w:rFonts w:ascii="Calibri" w:eastAsia="Times New Roman" w:hAnsi="Calibri" w:cs="Times New Roman"/>
                <w:color w:val="FFFFFF" w:themeColor="background1"/>
                <w:lang w:eastAsia="en-AU"/>
              </w:rPr>
            </w:pPr>
            <w:r w:rsidRPr="008A1F1A">
              <w:rPr>
                <w:rFonts w:ascii="Calibri" w:eastAsia="Times New Roman" w:hAnsi="Calibri" w:cs="Times New Roman"/>
                <w:color w:val="FFFFFF" w:themeColor="background1"/>
                <w:lang w:eastAsia="en-AU"/>
              </w:rPr>
              <w:t>15</w:t>
            </w:r>
          </w:p>
        </w:tc>
      </w:tr>
    </w:tbl>
    <w:p w:rsidR="00060710" w:rsidRDefault="00E755F0" w:rsidP="008A1F1A">
      <w:pPr>
        <w:pStyle w:val="Source"/>
        <w:spacing w:before="0"/>
      </w:pPr>
      <w:r>
        <w:t xml:space="preserve">Source: </w:t>
      </w:r>
      <w:r w:rsidRPr="00750B07">
        <w:t>ABS, Commonwealth budget</w:t>
      </w:r>
      <w:r>
        <w:t xml:space="preserve"> paper</w:t>
      </w:r>
      <w:r w:rsidRPr="00750B07">
        <w:t>s and PBO analysis</w:t>
      </w:r>
      <w:r>
        <w:t>.</w:t>
      </w:r>
    </w:p>
    <w:p w:rsidR="00E755F0" w:rsidRDefault="00E755F0" w:rsidP="00E755F0">
      <w:pPr>
        <w:pStyle w:val="BodyText"/>
      </w:pPr>
      <w:r>
        <w:lastRenderedPageBreak/>
        <w:t xml:space="preserve">The payment of goods and services tax (GST) collections to the states is the largest component of revenue received by states from the Commonwealth government, accounting for just over half of total transfers ($48.1 billion) in 2012–13.  Payments for health care and education purposes made up an additional third of total Commonwealth transfers.  Together, these payments account for around </w:t>
      </w:r>
      <w:r w:rsidR="00596D1F">
        <w:t xml:space="preserve">84 </w:t>
      </w:r>
      <w:r>
        <w:t>per cent of revenue received from the Commonwealth.</w:t>
      </w:r>
    </w:p>
    <w:p w:rsidR="007C428D" w:rsidRPr="00C22267" w:rsidRDefault="007C428D" w:rsidP="007C428D">
      <w:pPr>
        <w:pStyle w:val="Heading3"/>
      </w:pPr>
      <w:bookmarkStart w:id="148" w:name="_Ref409605359"/>
      <w:bookmarkStart w:id="149" w:name="_Toc414006842"/>
      <w:bookmarkStart w:id="150" w:name="_Toc414007417"/>
      <w:bookmarkStart w:id="151" w:name="_Toc414007722"/>
      <w:bookmarkStart w:id="152" w:name="_Toc414008345"/>
      <w:r>
        <w:t>Trends in the composition of Commonwealth transfers</w:t>
      </w:r>
      <w:bookmarkEnd w:id="148"/>
      <w:bookmarkEnd w:id="149"/>
      <w:bookmarkEnd w:id="150"/>
      <w:bookmarkEnd w:id="151"/>
      <w:bookmarkEnd w:id="152"/>
    </w:p>
    <w:p w:rsidR="007C428D" w:rsidRDefault="007C428D" w:rsidP="007C428D">
      <w:pPr>
        <w:pStyle w:val="BodyText"/>
      </w:pPr>
      <w:r>
        <w:t xml:space="preserve">Revenue received by state governments is made up of </w:t>
      </w:r>
      <w:r w:rsidRPr="009A2E08">
        <w:t xml:space="preserve">general revenue assistance for use at the discretion of </w:t>
      </w:r>
      <w:r>
        <w:t xml:space="preserve">the </w:t>
      </w:r>
      <w:r w:rsidRPr="009A2E08">
        <w:t xml:space="preserve">recipient </w:t>
      </w:r>
      <w:r>
        <w:t>government</w:t>
      </w:r>
      <w:r w:rsidRPr="009A2E08">
        <w:t xml:space="preserve"> and</w:t>
      </w:r>
      <w:r>
        <w:t xml:space="preserve"> specific purpose payments which are</w:t>
      </w:r>
      <w:r w:rsidRPr="009A2E08">
        <w:t xml:space="preserve"> to be used in specific sectors or to deliver programs agreed in partnership </w:t>
      </w:r>
      <w:r>
        <w:t>with</w:t>
      </w:r>
      <w:r w:rsidRPr="009A2E08">
        <w:t xml:space="preserve"> the </w:t>
      </w:r>
      <w:r>
        <w:t>Commonwealth government.  General revenue assistance mainly comprises the transfer of GST revenue to the states.</w:t>
      </w:r>
    </w:p>
    <w:p w:rsidR="007C428D" w:rsidRDefault="007C428D" w:rsidP="007C428D">
      <w:pPr>
        <w:pStyle w:val="BodyText"/>
      </w:pPr>
      <w:r w:rsidRPr="00187407">
        <w:t>Commonwealth transfers to the states have averaged 6.8 per cent of GDP over the past</w:t>
      </w:r>
      <w:r>
        <w:t xml:space="preserve"> decade (</w:t>
      </w:r>
      <w:r>
        <w:fldChar w:fldCharType="begin"/>
      </w:r>
      <w:r>
        <w:instrText xml:space="preserve"> REF _Ref415132735 \h </w:instrText>
      </w:r>
      <w:r>
        <w:fldChar w:fldCharType="separate"/>
      </w:r>
      <w:r w:rsidR="008B68F4" w:rsidRPr="007C428D">
        <w:t xml:space="preserve">Figure </w:t>
      </w:r>
      <w:r w:rsidR="008B68F4">
        <w:rPr>
          <w:noProof/>
        </w:rPr>
        <w:t>2</w:t>
      </w:r>
      <w:r w:rsidR="008B68F4">
        <w:noBreakHyphen/>
      </w:r>
      <w:r w:rsidR="008B68F4">
        <w:rPr>
          <w:noProof/>
        </w:rPr>
        <w:t>9</w:t>
      </w:r>
      <w:r>
        <w:fldChar w:fldCharType="end"/>
      </w:r>
      <w:r>
        <w:t xml:space="preserve">).  Commonwealth transfers reached a high of 7.9 per cent of GDP in 2009–10 as a result of additional specific purpose payments made to state governments under the </w:t>
      </w:r>
      <w:r w:rsidRPr="00F55114">
        <w:rPr>
          <w:i/>
        </w:rPr>
        <w:t>Nation Building and Jobs Plan</w:t>
      </w:r>
      <w:r>
        <w:t xml:space="preserve"> and the </w:t>
      </w:r>
      <w:r w:rsidRPr="00F55114">
        <w:rPr>
          <w:i/>
        </w:rPr>
        <w:t>Nation Building Package</w:t>
      </w:r>
      <w:r>
        <w:t xml:space="preserve">.  This included payments for the </w:t>
      </w:r>
      <w:r w:rsidRPr="00D65F08">
        <w:rPr>
          <w:i/>
        </w:rPr>
        <w:t>Building the Education Revolution program</w:t>
      </w:r>
      <w:r>
        <w:t xml:space="preserve"> and additional money</w:t>
      </w:r>
      <w:r w:rsidR="00855EC1">
        <w:t xml:space="preserve"> on road and rail projects and</w:t>
      </w:r>
      <w:r>
        <w:t xml:space="preserve"> to support social housing.  Commonwealth transfers reached a low of 6.2 per cent of GDP in 2012–13, partly reflecting the bringing forward of </w:t>
      </w:r>
      <w:r w:rsidR="00B037AC">
        <w:t xml:space="preserve">certain </w:t>
      </w:r>
      <w:r>
        <w:t>specific purpose payments to 2011–12.</w:t>
      </w:r>
    </w:p>
    <w:p w:rsidR="00E755F0" w:rsidRDefault="007C428D" w:rsidP="007C428D">
      <w:pPr>
        <w:pStyle w:val="Caption"/>
      </w:pPr>
      <w:bookmarkStart w:id="153" w:name="_Ref415132735"/>
      <w:bookmarkStart w:id="154" w:name="_Toc415222958"/>
      <w:bookmarkStart w:id="155" w:name="_Toc418073819"/>
      <w:r w:rsidRPr="007C428D">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9</w:t>
      </w:r>
      <w:r w:rsidR="003A23CE">
        <w:rPr>
          <w:noProof/>
        </w:rPr>
        <w:fldChar w:fldCharType="end"/>
      </w:r>
      <w:bookmarkEnd w:id="153"/>
      <w:r w:rsidRPr="007C428D">
        <w:t xml:space="preserve">: </w:t>
      </w:r>
      <w:r w:rsidRPr="00850C29">
        <w:t xml:space="preserve">Trends in </w:t>
      </w:r>
      <w:r>
        <w:t>the composition of Commonwealth transfers</w:t>
      </w:r>
      <w:bookmarkEnd w:id="154"/>
      <w:bookmarkEnd w:id="155"/>
    </w:p>
    <w:tbl>
      <w:tblPr>
        <w:tblStyle w:val="TableGrid"/>
        <w:tblW w:w="8652" w:type="dxa"/>
        <w:tblLayout w:type="fixed"/>
        <w:tblLook w:val="04A0" w:firstRow="1" w:lastRow="0" w:firstColumn="1" w:lastColumn="0" w:noHBand="0" w:noVBand="1"/>
      </w:tblPr>
      <w:tblGrid>
        <w:gridCol w:w="4170"/>
        <w:gridCol w:w="4482"/>
      </w:tblGrid>
      <w:tr w:rsidR="006C6E20" w:rsidRPr="006C6E20" w:rsidTr="006C6E20">
        <w:trPr>
          <w:cnfStyle w:val="100000000000" w:firstRow="1" w:lastRow="0" w:firstColumn="0" w:lastColumn="0" w:oddVBand="0" w:evenVBand="0" w:oddHBand="0" w:evenHBand="0" w:firstRowFirstColumn="0" w:firstRowLastColumn="0" w:lastRowFirstColumn="0" w:lastRowLastColumn="0"/>
          <w:trHeight w:val="5676"/>
        </w:trPr>
        <w:tc>
          <w:tcPr>
            <w:cnfStyle w:val="001000000100" w:firstRow="0" w:lastRow="0" w:firstColumn="1" w:lastColumn="0" w:oddVBand="0" w:evenVBand="0" w:oddHBand="0" w:evenHBand="0" w:firstRowFirstColumn="1" w:firstRowLastColumn="0" w:lastRowFirstColumn="0" w:lastRowLastColumn="0"/>
            <w:tcW w:w="4170" w:type="dxa"/>
            <w:shd w:val="clear" w:color="auto" w:fill="auto"/>
          </w:tcPr>
          <w:tbl>
            <w:tblPr>
              <w:tblW w:w="4115" w:type="dxa"/>
              <w:tblLayout w:type="fixed"/>
              <w:tblLook w:val="04A0" w:firstRow="1" w:lastRow="0" w:firstColumn="1" w:lastColumn="0" w:noHBand="0" w:noVBand="1"/>
            </w:tblPr>
            <w:tblGrid>
              <w:gridCol w:w="2223"/>
              <w:gridCol w:w="1892"/>
            </w:tblGrid>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EB1788" w:rsidP="00977D1C">
                  <w:pPr>
                    <w:spacing w:line="240" w:lineRule="auto"/>
                    <w:rPr>
                      <w:rFonts w:ascii="Calibri" w:eastAsia="Times New Roman" w:hAnsi="Calibri" w:cs="Times New Roman"/>
                      <w:color w:val="FFFFFF" w:themeColor="background1"/>
                      <w:sz w:val="12"/>
                      <w:szCs w:val="12"/>
                      <w:lang w:eastAsia="en-AU"/>
                    </w:rPr>
                  </w:pPr>
                  <w:r w:rsidRPr="00EB1788">
                    <w:rPr>
                      <w:noProof/>
                      <w:lang w:eastAsia="en-AU"/>
                    </w:rPr>
                    <w:drawing>
                      <wp:anchor distT="0" distB="0" distL="114300" distR="114300" simplePos="0" relativeHeight="251729920" behindDoc="0" locked="0" layoutInCell="1" allowOverlap="1" wp14:anchorId="29A776C4" wp14:editId="1883FCD2">
                        <wp:simplePos x="0" y="0"/>
                        <wp:positionH relativeFrom="column">
                          <wp:posOffset>-2540</wp:posOffset>
                        </wp:positionH>
                        <wp:positionV relativeFrom="paragraph">
                          <wp:posOffset>-1270</wp:posOffset>
                        </wp:positionV>
                        <wp:extent cx="5278120" cy="337248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6E20" w:rsidRPr="006C6E20">
                    <w:rPr>
                      <w:rFonts w:ascii="Calibri" w:eastAsia="Times New Roman" w:hAnsi="Calibri" w:cs="Times New Roman"/>
                      <w:color w:val="FFFFFF" w:themeColor="background1"/>
                      <w:sz w:val="12"/>
                      <w:szCs w:val="12"/>
                      <w:lang w:eastAsia="en-AU"/>
                    </w:rPr>
                    <w:t>General revenue assistance</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 of GDP</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2002-03</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4.1</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2003-04</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4.0</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2004-05</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4.0</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2005-06</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3.9</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2006-07</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3.7</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2007-08</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3.7</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2008-09</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2009-10</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2010-11</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3.3</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2011-12</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3.2</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2012-13</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3.2</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2013-14</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3.3</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2014-15</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3.3</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2015-16</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2016-17</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r w:rsidR="006C6E20" w:rsidRPr="006C6E20" w:rsidTr="00977D1C">
              <w:trPr>
                <w:trHeight w:val="311"/>
              </w:trPr>
              <w:tc>
                <w:tcPr>
                  <w:tcW w:w="2223"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2017-18</w:t>
                  </w:r>
                </w:p>
              </w:tc>
              <w:tc>
                <w:tcPr>
                  <w:tcW w:w="1892"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bl>
          <w:p w:rsidR="006C6E20" w:rsidRPr="006C6E20" w:rsidRDefault="006C6E20" w:rsidP="00977D1C">
            <w:pPr>
              <w:pStyle w:val="BodyText"/>
              <w:rPr>
                <w:sz w:val="12"/>
                <w:szCs w:val="12"/>
              </w:rPr>
            </w:pPr>
          </w:p>
        </w:tc>
        <w:tc>
          <w:tcPr>
            <w:tcW w:w="4482" w:type="dxa"/>
            <w:shd w:val="clear" w:color="auto" w:fill="auto"/>
          </w:tcPr>
          <w:tbl>
            <w:tblPr>
              <w:tblW w:w="4509" w:type="dxa"/>
              <w:tblLayout w:type="fixed"/>
              <w:tblLook w:val="04A0" w:firstRow="1" w:lastRow="0" w:firstColumn="1" w:lastColumn="0" w:noHBand="0" w:noVBand="1"/>
            </w:tblPr>
            <w:tblGrid>
              <w:gridCol w:w="2298"/>
              <w:gridCol w:w="2211"/>
            </w:tblGrid>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Special purpose payments</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 of GDP</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2002-03</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2003-04</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2004-05</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2005-06</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2006-07</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2007-08</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2.9</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2008-09</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3.4</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2009-10</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4.4</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2010-11</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3.7</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2011-12</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2012-13</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3.0</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2013-14</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2014-15</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3.0</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2015-16</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3.0</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2016-17</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3.1</w:t>
                  </w:r>
                </w:p>
              </w:tc>
            </w:tr>
            <w:tr w:rsidR="006C6E20" w:rsidRPr="006C6E20" w:rsidTr="00977D1C">
              <w:trPr>
                <w:trHeight w:val="312"/>
              </w:trPr>
              <w:tc>
                <w:tcPr>
                  <w:tcW w:w="2298"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center"/>
                    <w:rPr>
                      <w:rFonts w:ascii="Calibri" w:eastAsia="Times New Roman" w:hAnsi="Calibri" w:cs="Times New Roman"/>
                      <w:b/>
                      <w:bCs/>
                      <w:color w:val="FFFFFF" w:themeColor="background1"/>
                      <w:sz w:val="12"/>
                      <w:szCs w:val="12"/>
                      <w:lang w:eastAsia="en-AU"/>
                    </w:rPr>
                  </w:pPr>
                  <w:r w:rsidRPr="006C6E20">
                    <w:rPr>
                      <w:rFonts w:ascii="Calibri" w:eastAsia="Times New Roman" w:hAnsi="Calibri" w:cs="Times New Roman"/>
                      <w:b/>
                      <w:bCs/>
                      <w:color w:val="FFFFFF" w:themeColor="background1"/>
                      <w:sz w:val="12"/>
                      <w:szCs w:val="12"/>
                      <w:lang w:eastAsia="en-AU"/>
                    </w:rPr>
                    <w:t>2017-18</w:t>
                  </w:r>
                </w:p>
              </w:tc>
              <w:tc>
                <w:tcPr>
                  <w:tcW w:w="2211" w:type="dxa"/>
                  <w:tcBorders>
                    <w:top w:val="nil"/>
                    <w:left w:val="nil"/>
                    <w:bottom w:val="nil"/>
                    <w:right w:val="nil"/>
                  </w:tcBorders>
                  <w:shd w:val="clear" w:color="auto" w:fill="auto"/>
                  <w:noWrap/>
                  <w:vAlign w:val="bottom"/>
                  <w:hideMark/>
                </w:tcPr>
                <w:p w:rsidR="006C6E20" w:rsidRPr="006C6E20" w:rsidRDefault="006C6E20" w:rsidP="00977D1C">
                  <w:pPr>
                    <w:spacing w:line="240" w:lineRule="auto"/>
                    <w:jc w:val="right"/>
                    <w:rPr>
                      <w:rFonts w:ascii="Calibri" w:eastAsia="Times New Roman" w:hAnsi="Calibri" w:cs="Times New Roman"/>
                      <w:color w:val="FFFFFF" w:themeColor="background1"/>
                      <w:sz w:val="12"/>
                      <w:szCs w:val="12"/>
                      <w:lang w:eastAsia="en-AU"/>
                    </w:rPr>
                  </w:pPr>
                  <w:r w:rsidRPr="006C6E20">
                    <w:rPr>
                      <w:rFonts w:ascii="Calibri" w:eastAsia="Times New Roman" w:hAnsi="Calibri" w:cs="Times New Roman"/>
                      <w:color w:val="FFFFFF" w:themeColor="background1"/>
                      <w:sz w:val="12"/>
                      <w:szCs w:val="12"/>
                      <w:lang w:eastAsia="en-AU"/>
                    </w:rPr>
                    <w:t>2.8</w:t>
                  </w:r>
                </w:p>
              </w:tc>
            </w:tr>
          </w:tbl>
          <w:p w:rsidR="006C6E20" w:rsidRPr="006C6E20" w:rsidRDefault="006C6E20"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7C428D" w:rsidRDefault="007C428D" w:rsidP="006C6E20">
      <w:pPr>
        <w:pStyle w:val="Source"/>
        <w:spacing w:before="0"/>
      </w:pPr>
      <w:r>
        <w:t>Source: ABS</w:t>
      </w:r>
      <w:r w:rsidR="00596D1F">
        <w:t xml:space="preserve">, </w:t>
      </w:r>
      <w:r w:rsidR="00596D1F" w:rsidRPr="00596D1F">
        <w:t>Commonwealth Grants Commission</w:t>
      </w:r>
      <w:r>
        <w:t xml:space="preserve"> and Commonwealth budget papers.</w:t>
      </w:r>
    </w:p>
    <w:p w:rsidR="007C428D" w:rsidRDefault="007C428D" w:rsidP="007C428D">
      <w:pPr>
        <w:pStyle w:val="BodyText"/>
      </w:pPr>
      <w:r w:rsidRPr="00275D1A">
        <w:lastRenderedPageBreak/>
        <w:t xml:space="preserve">Over the past decade, specific purpose payments have been increasing as a share of total transfers. </w:t>
      </w:r>
      <w:r>
        <w:t xml:space="preserve"> </w:t>
      </w:r>
      <w:r w:rsidRPr="00275D1A">
        <w:t>General revenue assistance fell f</w:t>
      </w:r>
      <w:r>
        <w:t>rom 4.</w:t>
      </w:r>
      <w:r w:rsidR="00596D1F">
        <w:t xml:space="preserve">1 </w:t>
      </w:r>
      <w:r>
        <w:t>per cent of GDP in 2002–</w:t>
      </w:r>
      <w:r w:rsidRPr="00275D1A">
        <w:t>03 to 3.</w:t>
      </w:r>
      <w:r w:rsidR="00596D1F">
        <w:t>2</w:t>
      </w:r>
      <w:r w:rsidR="00596D1F" w:rsidRPr="00275D1A">
        <w:t xml:space="preserve"> </w:t>
      </w:r>
      <w:r w:rsidRPr="00275D1A">
        <w:t>per cent</w:t>
      </w:r>
      <w:r>
        <w:t xml:space="preserve"> in 2012–13.  Conversely, specific purpose payments rose from 2.</w:t>
      </w:r>
      <w:r w:rsidR="00596D1F">
        <w:t xml:space="preserve">8 </w:t>
      </w:r>
      <w:r>
        <w:t xml:space="preserve">per cent of GDP to </w:t>
      </w:r>
      <w:r w:rsidR="00596D1F">
        <w:t>3</w:t>
      </w:r>
      <w:r w:rsidR="0094107C">
        <w:t>.0</w:t>
      </w:r>
      <w:r>
        <w:t> per cent over the same period.  Taken together, the reduction</w:t>
      </w:r>
      <w:r w:rsidRPr="00FA5B12">
        <w:t xml:space="preserve"> </w:t>
      </w:r>
      <w:r>
        <w:t xml:space="preserve">in </w:t>
      </w:r>
      <w:r w:rsidRPr="00FA5B12">
        <w:t xml:space="preserve">general revenue assistance funding and the moderate increase in specific purpose funding </w:t>
      </w:r>
      <w:r>
        <w:t xml:space="preserve">have </w:t>
      </w:r>
      <w:r w:rsidRPr="00FA5B12">
        <w:t xml:space="preserve">reduced the proportion of more flexible funding available to </w:t>
      </w:r>
      <w:r>
        <w:t>state governments.</w:t>
      </w:r>
    </w:p>
    <w:p w:rsidR="007C428D" w:rsidRPr="007C428D" w:rsidRDefault="007C428D" w:rsidP="007C428D">
      <w:pPr>
        <w:pStyle w:val="BodyText"/>
      </w:pPr>
      <w:r w:rsidRPr="007C428D">
        <w:t>Despite some scheduled increases in payments for schools and hospitals over the forward estimates, the Commonwealth is projecting that transfers will return to their 2012–13 level of 6.2 per cent of GDP in 2017</w:t>
      </w:r>
      <w:r w:rsidRPr="007C428D">
        <w:noBreakHyphen/>
        <w:t>18.</w:t>
      </w:r>
    </w:p>
    <w:p w:rsidR="007C428D" w:rsidRPr="008713ED" w:rsidRDefault="007C428D" w:rsidP="007C428D">
      <w:pPr>
        <w:pStyle w:val="Heading3"/>
      </w:pPr>
      <w:bookmarkStart w:id="156" w:name="_Ref409428271"/>
      <w:bookmarkStart w:id="157" w:name="_Toc414006843"/>
      <w:bookmarkStart w:id="158" w:name="_Toc414007418"/>
      <w:bookmarkStart w:id="159" w:name="_Toc414007723"/>
      <w:bookmarkStart w:id="160" w:name="_Toc414008346"/>
      <w:r w:rsidRPr="00D25523">
        <w:t>Outlook for GST revenue</w:t>
      </w:r>
      <w:bookmarkEnd w:id="156"/>
      <w:bookmarkEnd w:id="157"/>
      <w:bookmarkEnd w:id="158"/>
      <w:bookmarkEnd w:id="159"/>
      <w:bookmarkEnd w:id="160"/>
    </w:p>
    <w:p w:rsidR="007C428D" w:rsidRPr="00D9185A" w:rsidRDefault="007C428D" w:rsidP="007C428D">
      <w:pPr>
        <w:pStyle w:val="BodyText"/>
      </w:pPr>
      <w:r w:rsidRPr="00D9185A">
        <w:t xml:space="preserve">In addition to being the largest source of funding from the Commonwealth government, the GST is the single largest revenue stream for state governments, comprising around 20 per cent of total revenue in 2012–13.  Given the importance of GST revenue to state governments, the outlook for GST collections will have a significant impact on their budget position over the </w:t>
      </w:r>
      <w:r w:rsidR="00800D11" w:rsidRPr="00D9185A">
        <w:t>forward estimates</w:t>
      </w:r>
      <w:r w:rsidRPr="00D9185A">
        <w:t>.</w:t>
      </w:r>
    </w:p>
    <w:p w:rsidR="007C428D" w:rsidRDefault="007C428D" w:rsidP="007C428D">
      <w:pPr>
        <w:pStyle w:val="BodyText"/>
      </w:pPr>
      <w:r w:rsidRPr="00D9185A">
        <w:t xml:space="preserve">As shown in </w:t>
      </w:r>
      <w:r w:rsidR="00DE04C6" w:rsidRPr="00D9185A">
        <w:fldChar w:fldCharType="begin"/>
      </w:r>
      <w:r w:rsidR="00DE04C6" w:rsidRPr="00D9185A">
        <w:instrText xml:space="preserve"> REF _Ref415142760 \h </w:instrText>
      </w:r>
      <w:r w:rsidR="00D9185A">
        <w:instrText xml:space="preserve"> \* MERGEFORMAT </w:instrText>
      </w:r>
      <w:r w:rsidR="00DE04C6" w:rsidRPr="00D9185A">
        <w:fldChar w:fldCharType="separate"/>
      </w:r>
      <w:r w:rsidR="008B68F4" w:rsidRPr="00D9185A">
        <w:t xml:space="preserve">Figure </w:t>
      </w:r>
      <w:r w:rsidR="008B68F4">
        <w:rPr>
          <w:noProof/>
        </w:rPr>
        <w:t>2</w:t>
      </w:r>
      <w:r w:rsidR="008B68F4">
        <w:rPr>
          <w:noProof/>
        </w:rPr>
        <w:noBreakHyphen/>
        <w:t>10</w:t>
      </w:r>
      <w:r w:rsidR="00DE04C6" w:rsidRPr="00D9185A">
        <w:fldChar w:fldCharType="end"/>
      </w:r>
      <w:r w:rsidRPr="00D9185A">
        <w:t>, GST transfers to the states fell from 3.8 per cent of GDP in 2002–03 ($30.7 billion) to 3.2 per cent of GDP in 2013–14 ($51.1 billion).  According to Commonwealth budget papers, GST transfers are projected to increase to 3.4 per cent of GDP by 20</w:t>
      </w:r>
      <w:r w:rsidR="00800D11" w:rsidRPr="00D9185A">
        <w:t>17</w:t>
      </w:r>
      <w:r w:rsidRPr="00D9185A">
        <w:t>–</w:t>
      </w:r>
      <w:r w:rsidR="00800D11" w:rsidRPr="00D9185A">
        <w:t>18</w:t>
      </w:r>
      <w:r w:rsidRPr="00D9185A">
        <w:t xml:space="preserve"> ($</w:t>
      </w:r>
      <w:r w:rsidR="00800D11" w:rsidRPr="00D9185A">
        <w:t>63.6</w:t>
      </w:r>
      <w:r w:rsidRPr="00D9185A">
        <w:t xml:space="preserve"> billion).</w:t>
      </w:r>
    </w:p>
    <w:p w:rsidR="00980906" w:rsidRPr="00980906" w:rsidRDefault="00D7233D" w:rsidP="00980906">
      <w:pPr>
        <w:pStyle w:val="Caption"/>
      </w:pPr>
      <w:bookmarkStart w:id="161" w:name="_Ref415142760"/>
      <w:bookmarkStart w:id="162" w:name="_Toc415222959"/>
      <w:bookmarkStart w:id="163" w:name="_Toc418073820"/>
      <w:r w:rsidRPr="00D9185A">
        <w:rPr>
          <w:noProof/>
          <w:lang w:eastAsia="en-AU"/>
        </w:rPr>
        <w:drawing>
          <wp:anchor distT="0" distB="0" distL="114300" distR="114300" simplePos="0" relativeHeight="251700224" behindDoc="0" locked="0" layoutInCell="1" allowOverlap="1" wp14:anchorId="1A86BFEF" wp14:editId="3E7DFDC7">
            <wp:simplePos x="0" y="0"/>
            <wp:positionH relativeFrom="column">
              <wp:posOffset>3810</wp:posOffset>
            </wp:positionH>
            <wp:positionV relativeFrom="paragraph">
              <wp:posOffset>364938</wp:posOffset>
            </wp:positionV>
            <wp:extent cx="5278120" cy="35109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120" cy="351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28D" w:rsidRPr="00D9185A">
        <w:t xml:space="preserve">Figure </w:t>
      </w:r>
      <w:r w:rsidR="003A23CE">
        <w:fldChar w:fldCharType="begin"/>
      </w:r>
      <w:r w:rsidR="003A23CE">
        <w:instrText xml:space="preserve"> STYLEREF 1 \s </w:instrText>
      </w:r>
      <w:r w:rsidR="003A23CE">
        <w:fldChar w:fldCharType="separate"/>
      </w:r>
      <w:r w:rsidR="008B68F4">
        <w:rPr>
          <w:noProof/>
        </w:rPr>
        <w:t>2</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10</w:t>
      </w:r>
      <w:r w:rsidR="003A23CE">
        <w:rPr>
          <w:noProof/>
        </w:rPr>
        <w:fldChar w:fldCharType="end"/>
      </w:r>
      <w:bookmarkEnd w:id="161"/>
      <w:r w:rsidR="007C428D" w:rsidRPr="00D9185A">
        <w:t>: GST transfers to the states</w:t>
      </w:r>
      <w:bookmarkEnd w:id="162"/>
      <w:bookmarkEnd w:id="163"/>
    </w:p>
    <w:tbl>
      <w:tblPr>
        <w:tblW w:w="8103" w:type="dxa"/>
        <w:tblInd w:w="93" w:type="dxa"/>
        <w:tblLayout w:type="fixed"/>
        <w:tblLook w:val="04A0" w:firstRow="1" w:lastRow="0" w:firstColumn="1" w:lastColumn="0" w:noHBand="0" w:noVBand="1"/>
      </w:tblPr>
      <w:tblGrid>
        <w:gridCol w:w="4051"/>
        <w:gridCol w:w="4052"/>
      </w:tblGrid>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color w:val="FFFFFF" w:themeColor="background1"/>
                <w:sz w:val="12"/>
                <w:szCs w:val="12"/>
                <w:lang w:eastAsia="en-AU"/>
              </w:rPr>
            </w:pPr>
          </w:p>
        </w:tc>
        <w:tc>
          <w:tcPr>
            <w:tcW w:w="4052"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 per cent of GDP</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2002-03</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3.8</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2003-04</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3.9</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2004-05</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3.8</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2005-06</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3.8</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2006-07</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3.6</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2007-08</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3.6</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2008-09</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3.3</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2009-10</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3.4</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2010-11</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3.3</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2011-12</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3.1</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2012-13</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3.2</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2013-14</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3.2</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2014-15</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3.3</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2015-16</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3.4</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2016-17</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3.4</w:t>
            </w:r>
          </w:p>
        </w:tc>
      </w:tr>
      <w:tr w:rsidR="00D7233D" w:rsidRPr="00D7233D" w:rsidTr="00D7233D">
        <w:trPr>
          <w:trHeight w:val="316"/>
        </w:trPr>
        <w:tc>
          <w:tcPr>
            <w:tcW w:w="4051" w:type="dxa"/>
            <w:shd w:val="clear" w:color="auto" w:fill="auto"/>
            <w:noWrap/>
            <w:vAlign w:val="bottom"/>
            <w:hideMark/>
          </w:tcPr>
          <w:p w:rsidR="008D0E74" w:rsidRPr="00D7233D" w:rsidRDefault="008D0E74" w:rsidP="00977D1C">
            <w:pPr>
              <w:spacing w:line="240" w:lineRule="auto"/>
              <w:rPr>
                <w:rFonts w:ascii="Calibri" w:eastAsia="Times New Roman" w:hAnsi="Calibri" w:cs="Times New Roman"/>
                <w:b/>
                <w:bCs/>
                <w:color w:val="FFFFFF" w:themeColor="background1"/>
                <w:sz w:val="12"/>
                <w:szCs w:val="12"/>
                <w:lang w:eastAsia="en-AU"/>
              </w:rPr>
            </w:pPr>
            <w:r w:rsidRPr="00D7233D">
              <w:rPr>
                <w:rFonts w:ascii="Calibri" w:eastAsia="Times New Roman" w:hAnsi="Calibri" w:cs="Times New Roman"/>
                <w:b/>
                <w:bCs/>
                <w:color w:val="FFFFFF" w:themeColor="background1"/>
                <w:sz w:val="12"/>
                <w:szCs w:val="12"/>
                <w:lang w:eastAsia="en-AU"/>
              </w:rPr>
              <w:t>2017-18</w:t>
            </w:r>
          </w:p>
        </w:tc>
        <w:tc>
          <w:tcPr>
            <w:tcW w:w="4052" w:type="dxa"/>
            <w:shd w:val="clear" w:color="auto" w:fill="auto"/>
            <w:noWrap/>
            <w:vAlign w:val="bottom"/>
            <w:hideMark/>
          </w:tcPr>
          <w:p w:rsidR="008D0E74" w:rsidRPr="00D7233D" w:rsidRDefault="008D0E74" w:rsidP="00977D1C">
            <w:pPr>
              <w:spacing w:line="240" w:lineRule="auto"/>
              <w:jc w:val="right"/>
              <w:rPr>
                <w:rFonts w:ascii="Calibri" w:eastAsia="Times New Roman" w:hAnsi="Calibri" w:cs="Times New Roman"/>
                <w:color w:val="FFFFFF" w:themeColor="background1"/>
                <w:sz w:val="12"/>
                <w:szCs w:val="12"/>
                <w:lang w:eastAsia="en-AU"/>
              </w:rPr>
            </w:pPr>
            <w:r w:rsidRPr="00D7233D">
              <w:rPr>
                <w:rFonts w:ascii="Calibri" w:eastAsia="Times New Roman" w:hAnsi="Calibri" w:cs="Times New Roman"/>
                <w:color w:val="FFFFFF" w:themeColor="background1"/>
                <w:sz w:val="12"/>
                <w:szCs w:val="12"/>
                <w:lang w:eastAsia="en-AU"/>
              </w:rPr>
              <w:t>3.4</w:t>
            </w:r>
          </w:p>
        </w:tc>
      </w:tr>
    </w:tbl>
    <w:p w:rsidR="007C428D" w:rsidRDefault="00BC3ADC" w:rsidP="00D9185A">
      <w:pPr>
        <w:pStyle w:val="Source"/>
        <w:spacing w:before="240"/>
      </w:pPr>
      <w:r>
        <w:t>Source: Commonwealth budget papers.</w:t>
      </w:r>
    </w:p>
    <w:p w:rsidR="00AB63D0" w:rsidRDefault="00F13E5A" w:rsidP="00F13E5A">
      <w:pPr>
        <w:pStyle w:val="BodyText"/>
      </w:pPr>
      <w:r w:rsidRPr="00001592">
        <w:lastRenderedPageBreak/>
        <w:t>The fall in GST as a proportion of GDP over the historical period was drive</w:t>
      </w:r>
      <w:r>
        <w:t>n</w:t>
      </w:r>
      <w:r w:rsidRPr="00001592">
        <w:t xml:space="preserve"> by a decline in consumption as a proportion of GDP (a rise in household saving)</w:t>
      </w:r>
      <w:r w:rsidR="00DF2483">
        <w:t>.</w:t>
      </w:r>
      <w:r w:rsidR="00350AB8">
        <w:t xml:space="preserve"> </w:t>
      </w:r>
      <w:r w:rsidR="00DF2483">
        <w:t xml:space="preserve"> It was also driven by goods </w:t>
      </w:r>
      <w:r w:rsidR="00090507">
        <w:t>exempt from the</w:t>
      </w:r>
      <w:r w:rsidR="00DF2483">
        <w:t xml:space="preserve"> GST</w:t>
      </w:r>
      <w:r w:rsidR="00DD724F">
        <w:t xml:space="preserve"> (in particular, rent and other dwelling services, education and health) </w:t>
      </w:r>
      <w:r w:rsidR="00990599">
        <w:t>comprising</w:t>
      </w:r>
      <w:r w:rsidR="00DD724F">
        <w:t xml:space="preserve"> an increasing share of </w:t>
      </w:r>
      <w:r w:rsidR="00990599">
        <w:t xml:space="preserve">total </w:t>
      </w:r>
      <w:r w:rsidR="00DD724F">
        <w:t>consumption</w:t>
      </w:r>
      <w:r w:rsidR="00AB63D0">
        <w:t xml:space="preserve">. </w:t>
      </w:r>
      <w:r w:rsidR="00350AB8">
        <w:t xml:space="preserve"> </w:t>
      </w:r>
      <w:r w:rsidR="00AB63D0">
        <w:t>This increase was</w:t>
      </w:r>
      <w:r w:rsidR="00DF2483">
        <w:t xml:space="preserve"> </w:t>
      </w:r>
      <w:r w:rsidR="005352D3">
        <w:t xml:space="preserve">largely </w:t>
      </w:r>
      <w:r w:rsidR="00DF2483">
        <w:t xml:space="preserve">due to </w:t>
      </w:r>
      <w:r>
        <w:t xml:space="preserve">faster growth in </w:t>
      </w:r>
      <w:r w:rsidR="00DF2483">
        <w:t xml:space="preserve">the </w:t>
      </w:r>
      <w:r>
        <w:t>prices</w:t>
      </w:r>
      <w:r w:rsidR="00AB63D0">
        <w:t xml:space="preserve"> of</w:t>
      </w:r>
      <w:r>
        <w:t xml:space="preserve"> </w:t>
      </w:r>
      <w:r w:rsidR="00DF2483">
        <w:t>these goods</w:t>
      </w:r>
      <w:r w:rsidR="00AB63D0">
        <w:t>,</w:t>
      </w:r>
      <w:r>
        <w:t xml:space="preserve"> relative to those subject to the GST</w:t>
      </w:r>
      <w:r w:rsidR="00AB63D0" w:rsidRPr="00AB63D0">
        <w:rPr>
          <w:rStyle w:val="FootnoteReference"/>
        </w:rPr>
        <w:t xml:space="preserve"> </w:t>
      </w:r>
      <w:r w:rsidR="00AB63D0" w:rsidRPr="00B86531">
        <w:rPr>
          <w:rStyle w:val="FootnoteReference"/>
        </w:rPr>
        <w:footnoteReference w:id="19"/>
      </w:r>
      <w:r w:rsidRPr="00001592">
        <w:t>.</w:t>
      </w:r>
    </w:p>
    <w:p w:rsidR="00F13E5A" w:rsidRPr="00001592" w:rsidRDefault="00F13E5A">
      <w:pPr>
        <w:pStyle w:val="BodyText"/>
      </w:pPr>
      <w:r w:rsidRPr="00B23DA1">
        <w:t xml:space="preserve">The projected increase in GST transfers as a proportion of GDP over the </w:t>
      </w:r>
      <w:r w:rsidR="007A746C" w:rsidRPr="00B23DA1">
        <w:t>forward estimates period</w:t>
      </w:r>
      <w:r w:rsidRPr="00B23DA1">
        <w:t xml:space="preserve"> is </w:t>
      </w:r>
      <w:r w:rsidR="005352D3" w:rsidRPr="00B23DA1">
        <w:t xml:space="preserve">conditional on </w:t>
      </w:r>
      <w:r w:rsidR="00D90027" w:rsidRPr="00B23DA1">
        <w:t xml:space="preserve">no further </w:t>
      </w:r>
      <w:r w:rsidR="00C36CB4" w:rsidRPr="00B23DA1">
        <w:t>increase</w:t>
      </w:r>
      <w:r w:rsidR="00D90027" w:rsidRPr="00B23DA1">
        <w:t xml:space="preserve"> in the proportion of household consumption that is </w:t>
      </w:r>
      <w:r w:rsidR="00C36CB4" w:rsidRPr="00B23DA1">
        <w:t>e</w:t>
      </w:r>
      <w:r w:rsidR="007D6575" w:rsidRPr="00B23DA1">
        <w:t>x</w:t>
      </w:r>
      <w:r w:rsidR="00C36CB4" w:rsidRPr="00B23DA1">
        <w:t>empt from</w:t>
      </w:r>
      <w:r w:rsidR="00D90027" w:rsidRPr="00B23DA1">
        <w:t xml:space="preserve"> GST.</w:t>
      </w:r>
      <w:r w:rsidR="00ED225A" w:rsidRPr="00B23DA1">
        <w:t xml:space="preserve">  </w:t>
      </w:r>
      <w:r w:rsidRPr="00B23DA1">
        <w:t>However</w:t>
      </w:r>
      <w:r w:rsidR="009222AD" w:rsidRPr="00B23DA1">
        <w:t>,</w:t>
      </w:r>
      <w:r w:rsidR="004A3E2D" w:rsidRPr="00B23DA1">
        <w:t xml:space="preserve"> </w:t>
      </w:r>
      <w:r w:rsidR="002056AE" w:rsidRPr="00B23DA1">
        <w:t xml:space="preserve">if </w:t>
      </w:r>
      <w:r w:rsidR="007D7934" w:rsidRPr="00B23DA1">
        <w:t>consumption</w:t>
      </w:r>
      <w:r w:rsidR="009222AD" w:rsidRPr="00B23DA1">
        <w:t xml:space="preserve"> patterns </w:t>
      </w:r>
      <w:r w:rsidR="007D7934" w:rsidRPr="00B23DA1">
        <w:t xml:space="preserve">continue as they have </w:t>
      </w:r>
      <w:r w:rsidR="004A3E2D" w:rsidRPr="00B23DA1">
        <w:t>over the latter half of the past decade</w:t>
      </w:r>
      <w:r w:rsidR="00E034AC" w:rsidRPr="00B23DA1">
        <w:t>,</w:t>
      </w:r>
      <w:r w:rsidR="004A3E2D" w:rsidRPr="00B23DA1">
        <w:t xml:space="preserve"> whereby the proportion of household consumption that is exempt from GST has been increasing</w:t>
      </w:r>
      <w:r w:rsidRPr="00B23DA1">
        <w:t xml:space="preserve">, this </w:t>
      </w:r>
      <w:r w:rsidR="00E543A7">
        <w:t>would</w:t>
      </w:r>
      <w:r w:rsidRPr="00B23DA1">
        <w:t xml:space="preserve"> flow through to GST revenue, and </w:t>
      </w:r>
      <w:r w:rsidR="00285630" w:rsidRPr="00B23DA1">
        <w:t xml:space="preserve">could </w:t>
      </w:r>
      <w:r w:rsidRPr="00B23DA1">
        <w:t>potentially</w:t>
      </w:r>
      <w:r w:rsidR="00285630" w:rsidRPr="00B23DA1">
        <w:t xml:space="preserve"> result in</w:t>
      </w:r>
      <w:r w:rsidRPr="00B23DA1">
        <w:t xml:space="preserve"> lower </w:t>
      </w:r>
      <w:r w:rsidR="00E543A7">
        <w:t xml:space="preserve">than projected </w:t>
      </w:r>
      <w:r w:rsidRPr="00B23DA1">
        <w:t>GST transfers to the states.</w:t>
      </w:r>
    </w:p>
    <w:p w:rsidR="00F13E5A" w:rsidRDefault="00F13E5A" w:rsidP="00F13E5A">
      <w:pPr>
        <w:pStyle w:val="BodyText"/>
      </w:pPr>
    </w:p>
    <w:p w:rsidR="00F13E5A" w:rsidRDefault="00F13E5A" w:rsidP="00F13E5A">
      <w:pPr>
        <w:pStyle w:val="BodyText"/>
        <w:sectPr w:rsidR="00F13E5A" w:rsidSect="0052503A">
          <w:pgSz w:w="11906" w:h="16838" w:code="9"/>
          <w:pgMar w:top="1361" w:right="1797" w:bottom="1474" w:left="1797" w:header="284" w:footer="454" w:gutter="0"/>
          <w:cols w:space="708"/>
          <w:docGrid w:linePitch="360"/>
        </w:sectPr>
      </w:pPr>
    </w:p>
    <w:p w:rsidR="00F13E5A" w:rsidRDefault="00F13E5A" w:rsidP="00F13E5A">
      <w:pPr>
        <w:pStyle w:val="Heading1"/>
      </w:pPr>
      <w:bookmarkStart w:id="164" w:name="_Toc415062438"/>
      <w:bookmarkStart w:id="165" w:name="_Toc415125650"/>
      <w:bookmarkStart w:id="166" w:name="_Toc415222935"/>
      <w:bookmarkStart w:id="167" w:name="_Toc418073724"/>
      <w:r>
        <w:lastRenderedPageBreak/>
        <w:t>Expenses</w:t>
      </w:r>
      <w:bookmarkEnd w:id="164"/>
      <w:bookmarkEnd w:id="165"/>
      <w:bookmarkEnd w:id="166"/>
      <w:bookmarkEnd w:id="167"/>
    </w:p>
    <w:p w:rsidR="00F13E5A" w:rsidRDefault="00F13E5A" w:rsidP="00F13E5A">
      <w:pPr>
        <w:pStyle w:val="BodyText"/>
      </w:pPr>
      <w:r w:rsidRPr="0087023D">
        <w:t>Total expenses across all levels of governm</w:t>
      </w:r>
      <w:r>
        <w:t>ent were $525.2 billion in 2012–</w:t>
      </w:r>
      <w:r w:rsidRPr="0087023D">
        <w:t>13 (34.5 per cent of GDP), up from $268.5 billion</w:t>
      </w:r>
      <w:r>
        <w:t xml:space="preserve"> (33.5 per cent of GDP) in 2002–</w:t>
      </w:r>
      <w:r w:rsidRPr="0087023D">
        <w:t>03 (</w:t>
      </w:r>
      <w:r w:rsidR="00CE6351">
        <w:fldChar w:fldCharType="begin"/>
      </w:r>
      <w:r w:rsidR="00CE6351">
        <w:instrText xml:space="preserve"> REF _Ref415134951 \h </w:instrText>
      </w:r>
      <w:r w:rsidR="00CE6351">
        <w:fldChar w:fldCharType="separate"/>
      </w:r>
      <w:r w:rsidR="008B68F4" w:rsidRPr="00F13E5A">
        <w:t xml:space="preserve">Figure </w:t>
      </w:r>
      <w:r w:rsidR="008B68F4">
        <w:rPr>
          <w:noProof/>
        </w:rPr>
        <w:t>3</w:t>
      </w:r>
      <w:r w:rsidR="008B68F4">
        <w:noBreakHyphen/>
      </w:r>
      <w:r w:rsidR="008B68F4">
        <w:rPr>
          <w:noProof/>
        </w:rPr>
        <w:t>1</w:t>
      </w:r>
      <w:r w:rsidR="00CE6351">
        <w:fldChar w:fldCharType="end"/>
      </w:r>
      <w:r w:rsidRPr="0087023D">
        <w:t xml:space="preserve">). </w:t>
      </w:r>
      <w:r>
        <w:t xml:space="preserve"> </w:t>
      </w:r>
      <w:r w:rsidRPr="0087023D">
        <w:t>According to Commonwealth and state budget papers, total government expenses are projected to be $637.7 billion in 2017</w:t>
      </w:r>
      <w:r>
        <w:t>–</w:t>
      </w:r>
      <w:r w:rsidRPr="0087023D">
        <w:t>18 (34.3 per cent of GDP).</w:t>
      </w:r>
    </w:p>
    <w:p w:rsidR="00F13E5A" w:rsidRDefault="00F13E5A" w:rsidP="00F13E5A">
      <w:pPr>
        <w:pStyle w:val="Caption"/>
      </w:pPr>
      <w:bookmarkStart w:id="168" w:name="_Ref415134951"/>
      <w:bookmarkStart w:id="169" w:name="_Toc415222960"/>
      <w:bookmarkStart w:id="170" w:name="_Toc418073821"/>
      <w:r w:rsidRPr="00F13E5A">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1</w:t>
      </w:r>
      <w:r w:rsidR="003A23CE">
        <w:rPr>
          <w:noProof/>
        </w:rPr>
        <w:fldChar w:fldCharType="end"/>
      </w:r>
      <w:bookmarkEnd w:id="168"/>
      <w:r w:rsidRPr="00F13E5A">
        <w:t xml:space="preserve">: </w:t>
      </w:r>
      <w:r>
        <w:t>Expenses</w:t>
      </w:r>
      <w:r w:rsidRPr="005E690A">
        <w:t xml:space="preserve"> for all levels of government as a proportion of nominal GDP</w:t>
      </w:r>
      <w:r w:rsidRPr="00B86531">
        <w:rPr>
          <w:rStyle w:val="FootnoteReference"/>
        </w:rPr>
        <w:footnoteReference w:id="20"/>
      </w:r>
      <w:bookmarkEnd w:id="169"/>
      <w:bookmarkEnd w:id="170"/>
    </w:p>
    <w:tbl>
      <w:tblPr>
        <w:tblStyle w:val="TableGrid"/>
        <w:tblW w:w="8568" w:type="dxa"/>
        <w:tblLook w:val="04A0" w:firstRow="1" w:lastRow="0" w:firstColumn="1" w:lastColumn="0" w:noHBand="0" w:noVBand="1"/>
      </w:tblPr>
      <w:tblGrid>
        <w:gridCol w:w="3307"/>
        <w:gridCol w:w="2631"/>
        <w:gridCol w:w="2630"/>
      </w:tblGrid>
      <w:tr w:rsidR="007006A1" w:rsidRPr="007006A1" w:rsidTr="00047F00">
        <w:trPr>
          <w:cnfStyle w:val="100000000000" w:firstRow="1" w:lastRow="0" w:firstColumn="0" w:lastColumn="0" w:oddVBand="0" w:evenVBand="0" w:oddHBand="0" w:evenHBand="0" w:firstRowFirstColumn="0" w:firstRowLastColumn="0" w:lastRowFirstColumn="0" w:lastRowLastColumn="0"/>
          <w:trHeight w:val="5103"/>
        </w:trPr>
        <w:tc>
          <w:tcPr>
            <w:cnfStyle w:val="001000000100" w:firstRow="0" w:lastRow="0" w:firstColumn="1" w:lastColumn="0" w:oddVBand="0" w:evenVBand="0" w:oddHBand="0" w:evenHBand="0" w:firstRowFirstColumn="1" w:firstRowLastColumn="0" w:lastRowFirstColumn="0" w:lastRowLastColumn="0"/>
            <w:tcW w:w="3307" w:type="dxa"/>
            <w:shd w:val="clear" w:color="auto" w:fill="auto"/>
          </w:tcPr>
          <w:tbl>
            <w:tblPr>
              <w:tblW w:w="2642" w:type="dxa"/>
              <w:tblInd w:w="2" w:type="dxa"/>
              <w:tblLook w:val="04A0" w:firstRow="1" w:lastRow="0" w:firstColumn="1" w:lastColumn="0" w:noHBand="0" w:noVBand="1"/>
            </w:tblPr>
            <w:tblGrid>
              <w:gridCol w:w="974"/>
              <w:gridCol w:w="1668"/>
            </w:tblGrid>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047F00" w:rsidP="00977D1C">
                  <w:pPr>
                    <w:spacing w:line="240" w:lineRule="auto"/>
                    <w:rPr>
                      <w:rFonts w:ascii="Calibri" w:eastAsia="Times New Roman" w:hAnsi="Calibri" w:cs="Times New Roman"/>
                      <w:b/>
                      <w:bCs/>
                      <w:color w:val="FFFFFF" w:themeColor="background1"/>
                      <w:sz w:val="12"/>
                      <w:szCs w:val="12"/>
                      <w:lang w:eastAsia="en-AU"/>
                    </w:rPr>
                  </w:pPr>
                  <w:r w:rsidRPr="00047F00">
                    <w:rPr>
                      <w:noProof/>
                      <w:lang w:eastAsia="en-AU"/>
                    </w:rPr>
                    <w:drawing>
                      <wp:anchor distT="0" distB="0" distL="114300" distR="114300" simplePos="0" relativeHeight="251722752" behindDoc="0" locked="0" layoutInCell="1" allowOverlap="1" wp14:anchorId="027D9FDA" wp14:editId="286A1888">
                        <wp:simplePos x="0" y="0"/>
                        <wp:positionH relativeFrom="column">
                          <wp:posOffset>-86360</wp:posOffset>
                        </wp:positionH>
                        <wp:positionV relativeFrom="paragraph">
                          <wp:posOffset>-50800</wp:posOffset>
                        </wp:positionV>
                        <wp:extent cx="5278120" cy="3159760"/>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8120" cy="3159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Commonwealth own-purpose</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2002-03</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18.1</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2003-04</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18.2</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2004-05</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18.1</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2005-06</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17.5</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2006-07</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17.3</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2007-08</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17.2</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2008-09</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18.9</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2009-10</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18.5</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2010-11</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18.2</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2011-12</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2012-13</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18.9</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2013-14</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20.0</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2014-15</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20.0</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2015-16</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19.6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2016-17</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19.3</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2017-18</w:t>
                  </w:r>
                </w:p>
              </w:tc>
              <w:tc>
                <w:tcPr>
                  <w:tcW w:w="1668"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19.4</w:t>
                  </w:r>
                </w:p>
              </w:tc>
            </w:tr>
          </w:tbl>
          <w:p w:rsidR="007006A1" w:rsidRPr="007006A1" w:rsidRDefault="007006A1" w:rsidP="00977D1C">
            <w:pPr>
              <w:pStyle w:val="BodyText"/>
              <w:rPr>
                <w:sz w:val="12"/>
                <w:szCs w:val="12"/>
              </w:rPr>
            </w:pPr>
          </w:p>
        </w:tc>
        <w:tc>
          <w:tcPr>
            <w:tcW w:w="2631" w:type="dxa"/>
            <w:shd w:val="clear" w:color="auto" w:fill="auto"/>
          </w:tcPr>
          <w:tbl>
            <w:tblPr>
              <w:tblW w:w="2094" w:type="dxa"/>
              <w:tblInd w:w="2" w:type="dxa"/>
              <w:tblLook w:val="04A0" w:firstRow="1" w:lastRow="0" w:firstColumn="1" w:lastColumn="0" w:noHBand="0" w:noVBand="1"/>
            </w:tblPr>
            <w:tblGrid>
              <w:gridCol w:w="974"/>
              <w:gridCol w:w="1120"/>
            </w:tblGrid>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rPr>
                      <w:rFonts w:ascii="Calibri" w:eastAsia="Times New Roman" w:hAnsi="Calibri" w:cs="Times New Roman"/>
                      <w:b/>
                      <w:bCs/>
                      <w:color w:val="FFFFFF" w:themeColor="background1"/>
                      <w:sz w:val="12"/>
                      <w:szCs w:val="12"/>
                      <w:lang w:eastAsia="en-AU"/>
                    </w:rPr>
                  </w:pP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Transfers (GST and transfers for specific purposes)</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2002-03</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2003-04</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2004-05</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2005-06</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2006-07</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6.3</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2007-08</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6.4</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2008-09</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2009-10</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7.6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2010-11</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7.1</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2011-12</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2012-13</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6.2</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2013-14</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6.1</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2014-15</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6.3</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2015-16</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6.4</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2016-17</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6.5</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2017-18</w:t>
                  </w:r>
                </w:p>
              </w:tc>
              <w:tc>
                <w:tcPr>
                  <w:tcW w:w="1120"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6.2</w:t>
                  </w:r>
                </w:p>
              </w:tc>
            </w:tr>
          </w:tbl>
          <w:p w:rsidR="007006A1" w:rsidRPr="007006A1" w:rsidRDefault="007006A1"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c>
          <w:tcPr>
            <w:tcW w:w="2630" w:type="dxa"/>
            <w:shd w:val="clear" w:color="auto" w:fill="auto"/>
          </w:tcPr>
          <w:tbl>
            <w:tblPr>
              <w:tblW w:w="1948" w:type="dxa"/>
              <w:tblInd w:w="2" w:type="dxa"/>
              <w:tblLook w:val="04A0" w:firstRow="1" w:lastRow="0" w:firstColumn="1" w:lastColumn="0" w:noHBand="0" w:noVBand="1"/>
            </w:tblPr>
            <w:tblGrid>
              <w:gridCol w:w="974"/>
              <w:gridCol w:w="974"/>
            </w:tblGrid>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rPr>
                      <w:rFonts w:ascii="Calibri" w:eastAsia="Times New Roman" w:hAnsi="Calibri" w:cs="Times New Roman"/>
                      <w:b/>
                      <w:bCs/>
                      <w:color w:val="FFFFFF" w:themeColor="background1"/>
                      <w:sz w:val="12"/>
                      <w:szCs w:val="12"/>
                      <w:lang w:eastAsia="en-AU"/>
                    </w:rPr>
                  </w:pP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State own-purpose</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2002-03</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2003-04</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2004-05</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2005-06</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2006-07</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2007-08</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2008-09</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2009-10</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2010-11</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8.6</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2011-12</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9.0</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2012-13</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9.4</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2013-14</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9.5</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2014-15</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9.7</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2015-16</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9.2</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2016-17</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8.8</w:t>
                  </w:r>
                </w:p>
              </w:tc>
            </w:tr>
            <w:tr w:rsidR="007006A1" w:rsidRPr="007006A1" w:rsidTr="00977D1C">
              <w:trPr>
                <w:trHeight w:val="249"/>
              </w:trPr>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center"/>
                    <w:rPr>
                      <w:rFonts w:ascii="Calibri" w:eastAsia="Times New Roman" w:hAnsi="Calibri" w:cs="Times New Roman"/>
                      <w:b/>
                      <w:bCs/>
                      <w:color w:val="FFFFFF" w:themeColor="background1"/>
                      <w:sz w:val="12"/>
                      <w:szCs w:val="12"/>
                      <w:lang w:eastAsia="en-AU"/>
                    </w:rPr>
                  </w:pPr>
                  <w:r w:rsidRPr="007006A1">
                    <w:rPr>
                      <w:rFonts w:ascii="Calibri" w:eastAsia="Times New Roman" w:hAnsi="Calibri" w:cs="Times New Roman"/>
                      <w:b/>
                      <w:bCs/>
                      <w:color w:val="FFFFFF" w:themeColor="background1"/>
                      <w:sz w:val="12"/>
                      <w:szCs w:val="12"/>
                      <w:lang w:eastAsia="en-AU"/>
                    </w:rPr>
                    <w:t>2017-18</w:t>
                  </w:r>
                </w:p>
              </w:tc>
              <w:tc>
                <w:tcPr>
                  <w:tcW w:w="974" w:type="dxa"/>
                  <w:tcBorders>
                    <w:top w:val="nil"/>
                    <w:left w:val="nil"/>
                    <w:bottom w:val="nil"/>
                    <w:right w:val="nil"/>
                  </w:tcBorders>
                  <w:shd w:val="clear" w:color="auto" w:fill="auto"/>
                  <w:noWrap/>
                  <w:vAlign w:val="bottom"/>
                  <w:hideMark/>
                </w:tcPr>
                <w:p w:rsidR="007006A1" w:rsidRPr="007006A1" w:rsidRDefault="007006A1" w:rsidP="00977D1C">
                  <w:pPr>
                    <w:spacing w:line="240" w:lineRule="auto"/>
                    <w:jc w:val="right"/>
                    <w:rPr>
                      <w:rFonts w:ascii="Calibri" w:eastAsia="Times New Roman" w:hAnsi="Calibri" w:cs="Times New Roman"/>
                      <w:color w:val="FFFFFF" w:themeColor="background1"/>
                      <w:sz w:val="12"/>
                      <w:szCs w:val="12"/>
                      <w:lang w:eastAsia="en-AU"/>
                    </w:rPr>
                  </w:pPr>
                  <w:r w:rsidRPr="007006A1">
                    <w:rPr>
                      <w:rFonts w:ascii="Calibri" w:eastAsia="Times New Roman" w:hAnsi="Calibri" w:cs="Times New Roman"/>
                      <w:color w:val="FFFFFF" w:themeColor="background1"/>
                      <w:sz w:val="12"/>
                      <w:szCs w:val="12"/>
                      <w:lang w:eastAsia="en-AU"/>
                    </w:rPr>
                    <w:t>8.7</w:t>
                  </w:r>
                </w:p>
              </w:tc>
            </w:tr>
          </w:tbl>
          <w:p w:rsidR="007006A1" w:rsidRPr="007006A1" w:rsidRDefault="007006A1" w:rsidP="00977D1C">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F13E5A" w:rsidRDefault="00F13E5A" w:rsidP="008612FF">
      <w:pPr>
        <w:pStyle w:val="Source"/>
        <w:spacing w:before="0"/>
      </w:pPr>
      <w:r>
        <w:t>Source: ABS.</w:t>
      </w:r>
    </w:p>
    <w:p w:rsidR="00F13E5A" w:rsidRPr="0087023D" w:rsidRDefault="00F13E5A" w:rsidP="00F13E5A">
      <w:pPr>
        <w:pStyle w:val="BodyText17ptAbove"/>
      </w:pPr>
      <w:r w:rsidRPr="0087023D">
        <w:t>Over the past decade, Commonwealth own-purpose expenditure as a proportion of GDP ranged from 18.1 per cent in 2002</w:t>
      </w:r>
      <w:r>
        <w:t>–</w:t>
      </w:r>
      <w:r w:rsidRPr="0087023D">
        <w:t>03 to 18.9 per cent in 2012</w:t>
      </w:r>
      <w:r>
        <w:t>–</w:t>
      </w:r>
      <w:r w:rsidRPr="0087023D">
        <w:t xml:space="preserve">13. </w:t>
      </w:r>
      <w:r>
        <w:t xml:space="preserve"> </w:t>
      </w:r>
      <w:r w:rsidRPr="0087023D">
        <w:t xml:space="preserve">The Commonwealth projects own-purpose expenses to increase </w:t>
      </w:r>
      <w:r>
        <w:t>to 19.4 per cent of GDP by 2017–</w:t>
      </w:r>
      <w:r w:rsidRPr="0087023D">
        <w:t>18.</w:t>
      </w:r>
    </w:p>
    <w:p w:rsidR="00F13E5A" w:rsidRPr="0087023D" w:rsidRDefault="00F13E5A" w:rsidP="00F13E5A">
      <w:pPr>
        <w:pStyle w:val="BodyText"/>
      </w:pPr>
      <w:r w:rsidRPr="0087023D">
        <w:t>In 2002</w:t>
      </w:r>
      <w:r>
        <w:t>–</w:t>
      </w:r>
      <w:r w:rsidRPr="0087023D">
        <w:t xml:space="preserve">03, transfers to state governments were 6.8 per cent of GDP, </w:t>
      </w:r>
      <w:r>
        <w:t>falling to 6.2 per cent by 2012–</w:t>
      </w:r>
      <w:r w:rsidRPr="0087023D">
        <w:t>13.</w:t>
      </w:r>
      <w:r>
        <w:t xml:space="preserve"> </w:t>
      </w:r>
      <w:r w:rsidRPr="0087023D">
        <w:t xml:space="preserve"> Over the forward estimates, the Commonwealth projects transfers to increase and then return</w:t>
      </w:r>
      <w:r>
        <w:t xml:space="preserve"> to 6.2 per cent of GDP in 2017–</w:t>
      </w:r>
      <w:r w:rsidRPr="0087023D">
        <w:t>18.</w:t>
      </w:r>
    </w:p>
    <w:p w:rsidR="00F13E5A" w:rsidRDefault="00F13E5A" w:rsidP="00F13E5A">
      <w:pPr>
        <w:pStyle w:val="BodyText"/>
      </w:pPr>
      <w:r w:rsidRPr="0087023D">
        <w:t>State government own-purpose expenses (that is, excluding expenses funded by transfers from the Commonwealth) ranged from 8.6 per cent of GDP in 2002</w:t>
      </w:r>
      <w:r>
        <w:t>–</w:t>
      </w:r>
      <w:r w:rsidRPr="0087023D">
        <w:t>03 to 9.4 per cent in 2012</w:t>
      </w:r>
      <w:r>
        <w:t>–</w:t>
      </w:r>
      <w:r w:rsidRPr="0087023D">
        <w:t xml:space="preserve">13. </w:t>
      </w:r>
      <w:r>
        <w:t xml:space="preserve"> </w:t>
      </w:r>
      <w:r w:rsidRPr="0087023D">
        <w:t>According to state government budget papers, own-purpose expenses are projected to fall</w:t>
      </w:r>
      <w:r>
        <w:t xml:space="preserve"> to 8.7 per cent of GDP by 2017–</w:t>
      </w:r>
      <w:r w:rsidRPr="0087023D">
        <w:t>18.</w:t>
      </w:r>
    </w:p>
    <w:p w:rsidR="00936C71" w:rsidRPr="00B47204" w:rsidRDefault="00936C71" w:rsidP="00936C71">
      <w:pPr>
        <w:pStyle w:val="Heading2"/>
      </w:pPr>
      <w:bookmarkStart w:id="171" w:name="_Toc414006845"/>
      <w:bookmarkStart w:id="172" w:name="_Toc414007420"/>
      <w:bookmarkStart w:id="173" w:name="_Toc414007725"/>
      <w:bookmarkStart w:id="174" w:name="_Toc414008348"/>
      <w:r>
        <w:lastRenderedPageBreak/>
        <w:t>Composition of expenses</w:t>
      </w:r>
      <w:bookmarkEnd w:id="171"/>
      <w:bookmarkEnd w:id="172"/>
      <w:bookmarkEnd w:id="173"/>
      <w:bookmarkEnd w:id="174"/>
    </w:p>
    <w:p w:rsidR="00936C71" w:rsidRDefault="00936C71" w:rsidP="00936C71">
      <w:pPr>
        <w:pStyle w:val="BodyText"/>
      </w:pPr>
      <w:r>
        <w:t>In 2012–13, the largest category of expenditure across all levels of government was social security and welfare, which totalled $146.3 billion</w:t>
      </w:r>
      <w:r w:rsidR="005145B0">
        <w:t xml:space="preserve"> (</w:t>
      </w:r>
      <w:r w:rsidR="009336D9">
        <w:t>9.6</w:t>
      </w:r>
      <w:r w:rsidR="005145B0">
        <w:t xml:space="preserve"> per cent of GDP)</w:t>
      </w:r>
      <w:r>
        <w:t>.  The large majority of this expenditure ($129.5 billion) was at the Commonwealth level (</w:t>
      </w:r>
      <w:r w:rsidR="00DE04C6">
        <w:fldChar w:fldCharType="begin"/>
      </w:r>
      <w:r w:rsidR="00DE04C6">
        <w:instrText xml:space="preserve"> REF _Ref415142802 \h </w:instrText>
      </w:r>
      <w:r w:rsidR="00DE04C6">
        <w:fldChar w:fldCharType="separate"/>
      </w:r>
      <w:r w:rsidR="008B68F4" w:rsidRPr="00936C71">
        <w:t xml:space="preserve">Figure </w:t>
      </w:r>
      <w:r w:rsidR="008B68F4">
        <w:rPr>
          <w:noProof/>
        </w:rPr>
        <w:t>3</w:t>
      </w:r>
      <w:r w:rsidR="008B68F4">
        <w:noBreakHyphen/>
      </w:r>
      <w:r w:rsidR="008B68F4">
        <w:rPr>
          <w:noProof/>
        </w:rPr>
        <w:t>2</w:t>
      </w:r>
      <w:r w:rsidR="00DE04C6">
        <w:fldChar w:fldCharType="end"/>
      </w:r>
      <w:r>
        <w:t>).</w:t>
      </w:r>
    </w:p>
    <w:p w:rsidR="00936C71" w:rsidRPr="00936C71" w:rsidRDefault="00936C71" w:rsidP="00936C71">
      <w:pPr>
        <w:pStyle w:val="Caption"/>
      </w:pPr>
      <w:bookmarkStart w:id="175" w:name="_Ref415142802"/>
      <w:bookmarkStart w:id="176" w:name="_Toc415222961"/>
      <w:bookmarkStart w:id="177" w:name="_Toc418073822"/>
      <w:r w:rsidRPr="00936C71">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2</w:t>
      </w:r>
      <w:r w:rsidR="003A23CE">
        <w:rPr>
          <w:noProof/>
        </w:rPr>
        <w:fldChar w:fldCharType="end"/>
      </w:r>
      <w:bookmarkEnd w:id="175"/>
      <w:r w:rsidRPr="00936C71">
        <w:t xml:space="preserve">: </w:t>
      </w:r>
      <w:r>
        <w:t>Commonwealth and state expenses by function in 2012–13</w:t>
      </w:r>
      <w:r w:rsidRPr="00B86531">
        <w:rPr>
          <w:rStyle w:val="FootnoteReference"/>
        </w:rPr>
        <w:footnoteReference w:id="21"/>
      </w:r>
      <w:bookmarkEnd w:id="176"/>
      <w:r w:rsidR="00CD2E76" w:rsidRPr="00CD2E76">
        <w:rPr>
          <w:noProof/>
          <w:lang w:eastAsia="en-AU"/>
        </w:rPr>
        <w:drawing>
          <wp:anchor distT="0" distB="0" distL="114300" distR="114300" simplePos="0" relativeHeight="251723776" behindDoc="0" locked="0" layoutInCell="1" allowOverlap="1" wp14:anchorId="093BE4F1" wp14:editId="59CA9943">
            <wp:simplePos x="0" y="0"/>
            <wp:positionH relativeFrom="column">
              <wp:posOffset>-635</wp:posOffset>
            </wp:positionH>
            <wp:positionV relativeFrom="paragraph">
              <wp:posOffset>331470</wp:posOffset>
            </wp:positionV>
            <wp:extent cx="5278120" cy="3159760"/>
            <wp:effectExtent l="0" t="0" r="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8120" cy="31597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7"/>
    </w:p>
    <w:tbl>
      <w:tblPr>
        <w:tblW w:w="8113" w:type="dxa"/>
        <w:tblInd w:w="93" w:type="dxa"/>
        <w:tblLook w:val="04A0" w:firstRow="1" w:lastRow="0" w:firstColumn="1" w:lastColumn="0" w:noHBand="0" w:noVBand="1"/>
      </w:tblPr>
      <w:tblGrid>
        <w:gridCol w:w="4318"/>
        <w:gridCol w:w="1659"/>
        <w:gridCol w:w="1068"/>
        <w:gridCol w:w="1068"/>
      </w:tblGrid>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 billions</w:t>
            </w:r>
          </w:p>
        </w:tc>
        <w:tc>
          <w:tcPr>
            <w:tcW w:w="1659"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Commonwealth own-purpose</w:t>
            </w:r>
          </w:p>
        </w:tc>
        <w:tc>
          <w:tcPr>
            <w:tcW w:w="106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Transfers for specific purposes</w:t>
            </w:r>
          </w:p>
        </w:tc>
        <w:tc>
          <w:tcPr>
            <w:tcW w:w="106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State</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Recreation and culture</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3.6</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0.0</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9.4</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Industry</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21.3</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0.5</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9.7</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Defence</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20.7</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0.0</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0.0</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Housing and community amenities</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6.1</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2.0</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13.8</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Public order and safety</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3.7</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0.2</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21.7</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Transport and communications</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2.0</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3.6</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24.0</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General public services</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21.5</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0.1</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12.1</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Other</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21.3</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0.0</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12.6</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 xml:space="preserve">Education </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14.2</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15.1</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37.6</w:t>
            </w:r>
          </w:p>
        </w:tc>
      </w:tr>
      <w:tr w:rsidR="00977D1C" w:rsidRPr="00977D1C" w:rsidTr="00CD2E76">
        <w:trPr>
          <w:trHeight w:val="379"/>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Health</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44.1</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16.8</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41.2</w:t>
            </w:r>
          </w:p>
        </w:tc>
      </w:tr>
      <w:tr w:rsidR="00977D1C" w:rsidRPr="00977D1C" w:rsidTr="00CD2E76">
        <w:trPr>
          <w:trHeight w:val="550"/>
        </w:trPr>
        <w:tc>
          <w:tcPr>
            <w:tcW w:w="4318" w:type="dxa"/>
            <w:shd w:val="clear" w:color="auto" w:fill="auto"/>
            <w:noWrap/>
            <w:vAlign w:val="bottom"/>
            <w:hideMark/>
          </w:tcPr>
          <w:p w:rsidR="00977D1C" w:rsidRPr="00977D1C" w:rsidRDefault="00977D1C" w:rsidP="00977D1C">
            <w:pPr>
              <w:spacing w:line="240" w:lineRule="auto"/>
              <w:rPr>
                <w:rFonts w:ascii="Calibri" w:eastAsia="Times New Roman" w:hAnsi="Calibri" w:cs="Times New Roman"/>
                <w:b/>
                <w:bCs/>
                <w:color w:val="FFFFFF" w:themeColor="background1"/>
                <w:sz w:val="12"/>
                <w:szCs w:val="12"/>
                <w:lang w:eastAsia="en-AU"/>
              </w:rPr>
            </w:pPr>
            <w:r w:rsidRPr="00977D1C">
              <w:rPr>
                <w:rFonts w:ascii="Calibri" w:eastAsia="Times New Roman" w:hAnsi="Calibri" w:cs="Times New Roman"/>
                <w:b/>
                <w:bCs/>
                <w:color w:val="FFFFFF" w:themeColor="background1"/>
                <w:sz w:val="12"/>
                <w:szCs w:val="12"/>
                <w:lang w:eastAsia="en-AU"/>
              </w:rPr>
              <w:t>Social security and welfare</w:t>
            </w:r>
          </w:p>
        </w:tc>
        <w:tc>
          <w:tcPr>
            <w:tcW w:w="1659"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129.5</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2.3</w:t>
            </w:r>
          </w:p>
        </w:tc>
        <w:tc>
          <w:tcPr>
            <w:tcW w:w="1068" w:type="dxa"/>
            <w:shd w:val="clear" w:color="auto" w:fill="auto"/>
            <w:noWrap/>
            <w:vAlign w:val="bottom"/>
            <w:hideMark/>
          </w:tcPr>
          <w:p w:rsidR="00977D1C" w:rsidRPr="00977D1C" w:rsidRDefault="00977D1C" w:rsidP="00977D1C">
            <w:pPr>
              <w:spacing w:line="240" w:lineRule="auto"/>
              <w:jc w:val="right"/>
              <w:rPr>
                <w:rFonts w:ascii="Calibri" w:eastAsia="Times New Roman" w:hAnsi="Calibri" w:cs="Times New Roman"/>
                <w:color w:val="FFFFFF" w:themeColor="background1"/>
                <w:sz w:val="12"/>
                <w:szCs w:val="12"/>
                <w:lang w:eastAsia="en-AU"/>
              </w:rPr>
            </w:pPr>
            <w:r w:rsidRPr="00977D1C">
              <w:rPr>
                <w:rFonts w:ascii="Calibri" w:eastAsia="Times New Roman" w:hAnsi="Calibri" w:cs="Times New Roman"/>
                <w:color w:val="FFFFFF" w:themeColor="background1"/>
                <w:sz w:val="12"/>
                <w:szCs w:val="12"/>
                <w:lang w:eastAsia="en-AU"/>
              </w:rPr>
              <w:t>14.6</w:t>
            </w:r>
          </w:p>
        </w:tc>
      </w:tr>
    </w:tbl>
    <w:p w:rsidR="00936C71" w:rsidRDefault="00936C71" w:rsidP="00CD2E76">
      <w:pPr>
        <w:pStyle w:val="Source"/>
        <w:spacing w:before="0"/>
      </w:pPr>
      <w:r>
        <w:t>Source: ABS.</w:t>
      </w:r>
    </w:p>
    <w:p w:rsidR="00CD2E76" w:rsidRDefault="00936C71" w:rsidP="0011590A">
      <w:pPr>
        <w:pStyle w:val="BodyText17ptAbove"/>
      </w:pPr>
      <w:r w:rsidRPr="00B23DA1">
        <w:t>The second-largest area of expenditure was health.  Commonwealth government own</w:t>
      </w:r>
      <w:r w:rsidRPr="00B23DA1">
        <w:noBreakHyphen/>
        <w:t xml:space="preserve">purpose expenditure on health totalled $44.1 billion </w:t>
      </w:r>
      <w:r w:rsidR="009336D9" w:rsidRPr="00B23DA1">
        <w:t>(</w:t>
      </w:r>
      <w:r w:rsidR="007A06CD" w:rsidRPr="00B23DA1">
        <w:t>2.9</w:t>
      </w:r>
      <w:r w:rsidR="009336D9" w:rsidRPr="00B23DA1">
        <w:t xml:space="preserve"> per cent of GDP) </w:t>
      </w:r>
      <w:r w:rsidRPr="00B23DA1">
        <w:t>in 2012-13.  This expenditure includes large Commonwealth programs such as Medicare and the Pharmaceutical Benefits Scheme.  State health expenses are dominated by spending on hospitals, and accounted for $41.2 billion</w:t>
      </w:r>
      <w:r w:rsidR="009336D9" w:rsidRPr="00B23DA1">
        <w:t xml:space="preserve"> (</w:t>
      </w:r>
      <w:r w:rsidR="007A06CD" w:rsidRPr="00B23DA1">
        <w:t>2.7</w:t>
      </w:r>
      <w:r w:rsidR="009336D9" w:rsidRPr="00B23DA1">
        <w:t xml:space="preserve"> per cent of GDP)</w:t>
      </w:r>
      <w:r w:rsidRPr="00B23DA1">
        <w:t xml:space="preserve">, or 40.3 per cent, of a total $102.1 billion </w:t>
      </w:r>
      <w:r w:rsidR="009336D9" w:rsidRPr="00B23DA1">
        <w:t>(</w:t>
      </w:r>
      <w:r w:rsidR="007A06CD" w:rsidRPr="00B23DA1">
        <w:t>6.7</w:t>
      </w:r>
      <w:r w:rsidR="009336D9" w:rsidRPr="00B23DA1">
        <w:t xml:space="preserve"> per cent of GDP) </w:t>
      </w:r>
      <w:r w:rsidRPr="00B23DA1">
        <w:t xml:space="preserve">in health expenses across all levels of government in 2012–13.  Transfers from the Commonwealth to state governments specifically for health purposes totalled $16.8 billion </w:t>
      </w:r>
      <w:r w:rsidR="009336D9" w:rsidRPr="00B23DA1">
        <w:t>(</w:t>
      </w:r>
      <w:r w:rsidR="007A06CD" w:rsidRPr="00B23DA1">
        <w:t>1.1</w:t>
      </w:r>
      <w:r w:rsidR="009336D9" w:rsidRPr="00B23DA1">
        <w:t xml:space="preserve"> per cent of GDP) </w:t>
      </w:r>
      <w:r w:rsidRPr="00B23DA1">
        <w:t>or 16.5 per cent of total government health expenditure in 2012–13—the largest transfer of all the areas of expenditure.</w:t>
      </w:r>
    </w:p>
    <w:p w:rsidR="00936C71" w:rsidRPr="00B23DA1" w:rsidRDefault="00936C71" w:rsidP="00F13E5A">
      <w:pPr>
        <w:pStyle w:val="BodyText"/>
      </w:pPr>
      <w:r w:rsidRPr="00B23DA1">
        <w:t xml:space="preserve">Education was the third-largest area of expenditure.  State government own-purpose expenditure on </w:t>
      </w:r>
      <w:r w:rsidR="001940C2" w:rsidRPr="00B23DA1">
        <w:t xml:space="preserve">education </w:t>
      </w:r>
      <w:r w:rsidRPr="00B23DA1">
        <w:t xml:space="preserve">was $37.6 billion </w:t>
      </w:r>
      <w:r w:rsidR="009336D9" w:rsidRPr="00B23DA1">
        <w:t>(</w:t>
      </w:r>
      <w:r w:rsidR="007A06CD" w:rsidRPr="00B23DA1">
        <w:t>2.5</w:t>
      </w:r>
      <w:r w:rsidR="009336D9" w:rsidRPr="00B23DA1">
        <w:t xml:space="preserve"> per cent of GDP) </w:t>
      </w:r>
      <w:r w:rsidRPr="00B23DA1">
        <w:t xml:space="preserve">in 2012–13, representing 56.2 per cent of total education expenditure across all levels of governments.  The transfer component of education expenses was $15.1 billion </w:t>
      </w:r>
      <w:r w:rsidR="009336D9" w:rsidRPr="00B23DA1">
        <w:t>(</w:t>
      </w:r>
      <w:r w:rsidR="007A06CD" w:rsidRPr="00B23DA1">
        <w:t>1.0</w:t>
      </w:r>
      <w:r w:rsidR="009336D9" w:rsidRPr="00B23DA1">
        <w:t xml:space="preserve"> per cent of GDP) </w:t>
      </w:r>
      <w:r w:rsidRPr="00B23DA1">
        <w:t>or 22.6 per cent of total government education expenditure in 2012–13.</w:t>
      </w:r>
    </w:p>
    <w:p w:rsidR="00936C71" w:rsidRPr="00BA5D21" w:rsidRDefault="00936C71" w:rsidP="00936C71">
      <w:pPr>
        <w:pStyle w:val="BodyText"/>
      </w:pPr>
      <w:r w:rsidRPr="00B23DA1">
        <w:lastRenderedPageBreak/>
        <w:t>For states, the education function is dominated by expenditure on schools, while the majority</w:t>
      </w:r>
      <w:r w:rsidRPr="00BA5D21">
        <w:t xml:space="preserve"> of own-purpose Commonwealth education expenditure is on higher education and vocational education and training.</w:t>
      </w:r>
    </w:p>
    <w:p w:rsidR="00936C71" w:rsidRPr="00BA5D21" w:rsidRDefault="00936C71" w:rsidP="00936C71">
      <w:pPr>
        <w:pStyle w:val="BodyText"/>
      </w:pPr>
      <w:r w:rsidRPr="00BA5D21">
        <w:t xml:space="preserve">Commonwealth expenditure dominates in areas such as </w:t>
      </w:r>
      <w:r w:rsidR="00745E98">
        <w:t>‘</w:t>
      </w:r>
      <w:r w:rsidRPr="00BA5D21">
        <w:t>other expenditure</w:t>
      </w:r>
      <w:r w:rsidR="00745E98">
        <w:t>’</w:t>
      </w:r>
      <w:r w:rsidRPr="00BA5D21">
        <w:t xml:space="preserve"> (</w:t>
      </w:r>
      <w:r w:rsidR="00745E98">
        <w:t xml:space="preserve">primarily </w:t>
      </w:r>
      <w:r w:rsidRPr="00BA5D21">
        <w:t>reflecting public debt interest expenditure), general public services (</w:t>
      </w:r>
      <w:r w:rsidR="00745E98">
        <w:t>which includes public sector</w:t>
      </w:r>
      <w:r w:rsidRPr="00BA5D21">
        <w:t xml:space="preserve"> superannuation benefits expenses, foreign affairs, and foreign aid), and defence (in which other levels of g</w:t>
      </w:r>
      <w:r>
        <w:t>overnment have no expenditure).</w:t>
      </w:r>
    </w:p>
    <w:p w:rsidR="00936C71" w:rsidRDefault="00936C71" w:rsidP="00936C71">
      <w:pPr>
        <w:pStyle w:val="BodyText"/>
      </w:pPr>
      <w:r w:rsidRPr="00BA5D21">
        <w:t>State governments are most prominent in areas such as transport and communications (which includes infrastructure spending)</w:t>
      </w:r>
      <w:r w:rsidR="001F316B">
        <w:t>,</w:t>
      </w:r>
      <w:r w:rsidRPr="00BA5D21">
        <w:t xml:space="preserve"> and public order and safety (which includes police and fire protection services).</w:t>
      </w:r>
    </w:p>
    <w:p w:rsidR="00936C71" w:rsidRPr="00B47204" w:rsidRDefault="00936C71" w:rsidP="00637B53">
      <w:pPr>
        <w:pStyle w:val="Heading2"/>
        <w:spacing w:before="360"/>
      </w:pPr>
      <w:bookmarkStart w:id="178" w:name="_Toc414006846"/>
      <w:bookmarkStart w:id="179" w:name="_Toc414007421"/>
      <w:bookmarkStart w:id="180" w:name="_Toc414007726"/>
      <w:bookmarkStart w:id="181" w:name="_Toc414008349"/>
      <w:r>
        <w:t>Growth in expenses</w:t>
      </w:r>
      <w:bookmarkEnd w:id="178"/>
      <w:bookmarkEnd w:id="179"/>
      <w:bookmarkEnd w:id="180"/>
      <w:bookmarkEnd w:id="181"/>
    </w:p>
    <w:p w:rsidR="00936C71" w:rsidRPr="0087023D" w:rsidRDefault="00936C71" w:rsidP="00936C71">
      <w:pPr>
        <w:pStyle w:val="BodyText"/>
      </w:pPr>
      <w:r w:rsidRPr="0087023D">
        <w:t>From 2002</w:t>
      </w:r>
      <w:r>
        <w:t>–03 to 2012–</w:t>
      </w:r>
      <w:r w:rsidRPr="0087023D">
        <w:t xml:space="preserve">13, total expenses for all levels of government grew by 4.1 per cent annually in real terms. </w:t>
      </w:r>
      <w:r>
        <w:t xml:space="preserve"> </w:t>
      </w:r>
      <w:r w:rsidRPr="0087023D">
        <w:t>Over the same period, own-purpose expenses for state governments grew by 4.7 per cent annually</w:t>
      </w:r>
      <w:r w:rsidR="005702A8">
        <w:t xml:space="preserve"> in real terms</w:t>
      </w:r>
      <w:r w:rsidRPr="0087023D">
        <w:t>, while Commonwealth own</w:t>
      </w:r>
      <w:r w:rsidRPr="0087023D">
        <w:noBreakHyphen/>
        <w:t xml:space="preserve">purpose expenditure grew by 4.3 per cent annually </w:t>
      </w:r>
      <w:r w:rsidR="005702A8">
        <w:t>in real terms</w:t>
      </w:r>
      <w:r w:rsidR="00992393">
        <w:t xml:space="preserve"> </w:t>
      </w:r>
      <w:r w:rsidRPr="0087023D">
        <w:t xml:space="preserve">(see </w:t>
      </w:r>
      <w:r w:rsidR="00E61DA7">
        <w:fldChar w:fldCharType="begin"/>
      </w:r>
      <w:r w:rsidR="00E61DA7">
        <w:instrText xml:space="preserve"> REF _Ref415135223 \h </w:instrText>
      </w:r>
      <w:r w:rsidR="00E61DA7">
        <w:fldChar w:fldCharType="separate"/>
      </w:r>
      <w:r w:rsidR="008B68F4" w:rsidRPr="00936C71">
        <w:t xml:space="preserve">Figure </w:t>
      </w:r>
      <w:r w:rsidR="008B68F4">
        <w:rPr>
          <w:noProof/>
        </w:rPr>
        <w:t>3</w:t>
      </w:r>
      <w:r w:rsidR="008B68F4">
        <w:noBreakHyphen/>
      </w:r>
      <w:r w:rsidR="008B68F4">
        <w:rPr>
          <w:noProof/>
        </w:rPr>
        <w:t>3</w:t>
      </w:r>
      <w:r w:rsidR="00E61DA7">
        <w:fldChar w:fldCharType="end"/>
      </w:r>
      <w:r w:rsidRPr="0087023D">
        <w:t xml:space="preserve">). </w:t>
      </w:r>
      <w:r>
        <w:t xml:space="preserve"> </w:t>
      </w:r>
      <w:r w:rsidRPr="0087023D">
        <w:t>Transfers from the Commonwealth to state governments (including untied funding) grew by 2.8 per cent annually</w:t>
      </w:r>
      <w:r w:rsidR="005702A8">
        <w:t xml:space="preserve"> in real terms</w:t>
      </w:r>
      <w:r w:rsidRPr="0087023D">
        <w:t>.</w:t>
      </w:r>
    </w:p>
    <w:p w:rsidR="00936C71" w:rsidRPr="0087023D" w:rsidRDefault="00936C71" w:rsidP="00936C71">
      <w:pPr>
        <w:pStyle w:val="BodyText"/>
      </w:pPr>
      <w:r w:rsidRPr="0087023D">
        <w:t xml:space="preserve">According to Commonwealth and state government budget papers, growth in expenses is projected to slow across all levels of government over the forward estimates. </w:t>
      </w:r>
      <w:r>
        <w:t xml:space="preserve"> </w:t>
      </w:r>
      <w:r w:rsidR="005702A8">
        <w:t xml:space="preserve">In real terms, </w:t>
      </w:r>
      <w:r w:rsidRPr="0087023D">
        <w:t>Commonwealth own-purpose expenditure is projected to slow to 2</w:t>
      </w:r>
      <w:r w:rsidR="00E70943">
        <w:t>.0</w:t>
      </w:r>
      <w:r w:rsidRPr="0087023D">
        <w:t xml:space="preserve"> per cent annually, state government own</w:t>
      </w:r>
      <w:r>
        <w:noBreakHyphen/>
      </w:r>
      <w:r w:rsidRPr="0087023D">
        <w:t>purpose expenditure to 0.1 per cent annually, and transfers to 1.7 per cent annually.</w:t>
      </w:r>
    </w:p>
    <w:p w:rsidR="00936C71" w:rsidRDefault="00B03A8C" w:rsidP="00637B53">
      <w:pPr>
        <w:pStyle w:val="Caption"/>
        <w:spacing w:before="120"/>
      </w:pPr>
      <w:bookmarkStart w:id="182" w:name="_Ref415135223"/>
      <w:bookmarkStart w:id="183" w:name="_Toc415222962"/>
      <w:bookmarkStart w:id="184" w:name="_Toc418073823"/>
      <w:r w:rsidRPr="00B03A8C">
        <w:rPr>
          <w:noProof/>
          <w:lang w:eastAsia="en-AU"/>
        </w:rPr>
        <w:drawing>
          <wp:anchor distT="0" distB="0" distL="114300" distR="114300" simplePos="0" relativeHeight="251724800" behindDoc="0" locked="0" layoutInCell="1" allowOverlap="1" wp14:anchorId="4C668385" wp14:editId="13D0598A">
            <wp:simplePos x="0" y="0"/>
            <wp:positionH relativeFrom="column">
              <wp:posOffset>-635</wp:posOffset>
            </wp:positionH>
            <wp:positionV relativeFrom="paragraph">
              <wp:posOffset>208280</wp:posOffset>
            </wp:positionV>
            <wp:extent cx="5278120" cy="28067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12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C71" w:rsidRPr="00936C71">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3</w:t>
      </w:r>
      <w:r w:rsidR="003A23CE">
        <w:rPr>
          <w:noProof/>
        </w:rPr>
        <w:fldChar w:fldCharType="end"/>
      </w:r>
      <w:bookmarkEnd w:id="182"/>
      <w:r w:rsidR="00936C71" w:rsidRPr="00936C71">
        <w:t xml:space="preserve">: </w:t>
      </w:r>
      <w:r w:rsidR="00936C71" w:rsidRPr="0087023D">
        <w:t>Annual real growth in Commonwealth and state expenses</w:t>
      </w:r>
      <w:bookmarkEnd w:id="183"/>
      <w:bookmarkEnd w:id="184"/>
    </w:p>
    <w:tbl>
      <w:tblPr>
        <w:tblStyle w:val="TableGrid"/>
        <w:tblW w:w="8450" w:type="dxa"/>
        <w:tblLayout w:type="fixed"/>
        <w:tblLook w:val="04A0" w:firstRow="1" w:lastRow="0" w:firstColumn="1" w:lastColumn="0" w:noHBand="0" w:noVBand="1"/>
      </w:tblPr>
      <w:tblGrid>
        <w:gridCol w:w="4225"/>
        <w:gridCol w:w="4225"/>
      </w:tblGrid>
      <w:tr w:rsidR="00637B53" w:rsidRPr="00637B53" w:rsidTr="00834F71">
        <w:trPr>
          <w:cnfStyle w:val="100000000000" w:firstRow="1" w:lastRow="0" w:firstColumn="0" w:lastColumn="0" w:oddVBand="0" w:evenVBand="0" w:oddHBand="0" w:evenHBand="0" w:firstRowFirstColumn="0" w:firstRowLastColumn="0" w:lastRowFirstColumn="0" w:lastRowLastColumn="0"/>
          <w:trHeight w:hRule="exact" w:val="4277"/>
        </w:trPr>
        <w:tc>
          <w:tcPr>
            <w:cnfStyle w:val="001000000100" w:firstRow="0" w:lastRow="0" w:firstColumn="1" w:lastColumn="0" w:oddVBand="0" w:evenVBand="0" w:oddHBand="0" w:evenHBand="0" w:firstRowFirstColumn="1" w:firstRowLastColumn="0" w:lastRowFirstColumn="0" w:lastRowLastColumn="0"/>
            <w:tcW w:w="42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715" w:type="dxa"/>
              <w:tblInd w:w="2" w:type="dxa"/>
              <w:tblLayout w:type="fixed"/>
              <w:tblLook w:val="04A0" w:firstRow="1" w:lastRow="0" w:firstColumn="1" w:lastColumn="0" w:noHBand="0" w:noVBand="1"/>
            </w:tblPr>
            <w:tblGrid>
              <w:gridCol w:w="2740"/>
              <w:gridCol w:w="975"/>
            </w:tblGrid>
            <w:tr w:rsidR="00637B53" w:rsidRPr="00637B53" w:rsidTr="00834F71">
              <w:trPr>
                <w:trHeight w:val="210"/>
              </w:trPr>
              <w:tc>
                <w:tcPr>
                  <w:tcW w:w="2740"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b/>
                      <w:bCs/>
                      <w:color w:val="FFFFFF" w:themeColor="background1"/>
                      <w:sz w:val="12"/>
                      <w:szCs w:val="12"/>
                      <w:lang w:eastAsia="en-AU"/>
                    </w:rPr>
                  </w:pPr>
                  <w:r w:rsidRPr="00637B53">
                    <w:rPr>
                      <w:rFonts w:ascii="Calibri" w:eastAsia="Times New Roman" w:hAnsi="Calibri" w:cs="Times New Roman"/>
                      <w:b/>
                      <w:bCs/>
                      <w:color w:val="FFFFFF" w:themeColor="background1"/>
                      <w:sz w:val="12"/>
                      <w:szCs w:val="12"/>
                      <w:lang w:eastAsia="en-AU"/>
                    </w:rPr>
                    <w:t>2002-03 to 2012-13</w:t>
                  </w:r>
                </w:p>
              </w:tc>
              <w:tc>
                <w:tcPr>
                  <w:tcW w:w="975"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b/>
                      <w:bCs/>
                      <w:color w:val="FFFFFF" w:themeColor="background1"/>
                      <w:sz w:val="12"/>
                      <w:szCs w:val="12"/>
                      <w:lang w:eastAsia="en-AU"/>
                    </w:rPr>
                  </w:pPr>
                  <w:r w:rsidRPr="00637B53">
                    <w:rPr>
                      <w:rFonts w:ascii="Calibri" w:eastAsia="Times New Roman" w:hAnsi="Calibri" w:cs="Times New Roman"/>
                      <w:b/>
                      <w:bCs/>
                      <w:color w:val="FFFFFF" w:themeColor="background1"/>
                      <w:sz w:val="12"/>
                      <w:szCs w:val="12"/>
                      <w:lang w:eastAsia="en-AU"/>
                    </w:rPr>
                    <w:t>Annual real growth</w:t>
                  </w:r>
                </w:p>
              </w:tc>
            </w:tr>
            <w:tr w:rsidR="00637B53" w:rsidRPr="00637B53" w:rsidTr="00834F71">
              <w:trPr>
                <w:trHeight w:val="210"/>
              </w:trPr>
              <w:tc>
                <w:tcPr>
                  <w:tcW w:w="2740"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Commonwealth own-purpose</w:t>
                  </w:r>
                </w:p>
              </w:tc>
              <w:tc>
                <w:tcPr>
                  <w:tcW w:w="975"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right"/>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4.3</w:t>
                  </w:r>
                </w:p>
              </w:tc>
            </w:tr>
            <w:tr w:rsidR="00637B53" w:rsidRPr="00637B53" w:rsidTr="00834F71">
              <w:trPr>
                <w:trHeight w:val="210"/>
              </w:trPr>
              <w:tc>
                <w:tcPr>
                  <w:tcW w:w="2740"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Transfers (GST and transfers for specific purposes)</w:t>
                  </w:r>
                </w:p>
              </w:tc>
              <w:tc>
                <w:tcPr>
                  <w:tcW w:w="975"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right"/>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2.8</w:t>
                  </w:r>
                </w:p>
              </w:tc>
            </w:tr>
            <w:tr w:rsidR="00637B53" w:rsidRPr="00637B53" w:rsidTr="00834F71">
              <w:trPr>
                <w:trHeight w:val="210"/>
              </w:trPr>
              <w:tc>
                <w:tcPr>
                  <w:tcW w:w="2740"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State own-purpose</w:t>
                  </w:r>
                </w:p>
              </w:tc>
              <w:tc>
                <w:tcPr>
                  <w:tcW w:w="975"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right"/>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4.7</w:t>
                  </w:r>
                </w:p>
              </w:tc>
            </w:tr>
          </w:tbl>
          <w:p w:rsidR="00637B53" w:rsidRPr="00637B53" w:rsidRDefault="00637B53" w:rsidP="001D45DA">
            <w:pPr>
              <w:pStyle w:val="BodyText"/>
              <w:rPr>
                <w:sz w:val="12"/>
                <w:szCs w:val="12"/>
              </w:rPr>
            </w:pPr>
          </w:p>
        </w:tc>
        <w:tc>
          <w:tcPr>
            <w:tcW w:w="4225"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984" w:type="dxa"/>
              <w:tblInd w:w="2" w:type="dxa"/>
              <w:tblLayout w:type="fixed"/>
              <w:tblLook w:val="04A0" w:firstRow="1" w:lastRow="0" w:firstColumn="1" w:lastColumn="0" w:noHBand="0" w:noVBand="1"/>
            </w:tblPr>
            <w:tblGrid>
              <w:gridCol w:w="2258"/>
              <w:gridCol w:w="1726"/>
            </w:tblGrid>
            <w:tr w:rsidR="00637B53" w:rsidRPr="00637B53" w:rsidTr="00834F71">
              <w:trPr>
                <w:trHeight w:val="210"/>
              </w:trPr>
              <w:tc>
                <w:tcPr>
                  <w:tcW w:w="2258"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b/>
                      <w:bCs/>
                      <w:color w:val="FFFFFF" w:themeColor="background1"/>
                      <w:sz w:val="12"/>
                      <w:szCs w:val="12"/>
                      <w:lang w:eastAsia="en-AU"/>
                    </w:rPr>
                  </w:pPr>
                  <w:r w:rsidRPr="00637B53">
                    <w:rPr>
                      <w:rFonts w:ascii="Calibri" w:eastAsia="Times New Roman" w:hAnsi="Calibri" w:cs="Times New Roman"/>
                      <w:b/>
                      <w:bCs/>
                      <w:color w:val="FFFFFF" w:themeColor="background1"/>
                      <w:sz w:val="12"/>
                      <w:szCs w:val="12"/>
                      <w:lang w:eastAsia="en-AU"/>
                    </w:rPr>
                    <w:t>2012-13 to 2017-18</w:t>
                  </w:r>
                </w:p>
              </w:tc>
              <w:tc>
                <w:tcPr>
                  <w:tcW w:w="1726"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center"/>
                    <w:rPr>
                      <w:rFonts w:ascii="Calibri" w:eastAsia="Times New Roman" w:hAnsi="Calibri" w:cs="Times New Roman"/>
                      <w:b/>
                      <w:bCs/>
                      <w:color w:val="FFFFFF" w:themeColor="background1"/>
                      <w:sz w:val="12"/>
                      <w:szCs w:val="12"/>
                      <w:lang w:eastAsia="en-AU"/>
                    </w:rPr>
                  </w:pPr>
                  <w:r w:rsidRPr="00637B53">
                    <w:rPr>
                      <w:rFonts w:ascii="Calibri" w:eastAsia="Times New Roman" w:hAnsi="Calibri" w:cs="Times New Roman"/>
                      <w:b/>
                      <w:bCs/>
                      <w:color w:val="FFFFFF" w:themeColor="background1"/>
                      <w:sz w:val="12"/>
                      <w:szCs w:val="12"/>
                      <w:lang w:eastAsia="en-AU"/>
                    </w:rPr>
                    <w:t>Annual real growth</w:t>
                  </w:r>
                </w:p>
              </w:tc>
            </w:tr>
            <w:tr w:rsidR="00637B53" w:rsidRPr="00637B53" w:rsidTr="00834F71">
              <w:trPr>
                <w:trHeight w:val="210"/>
              </w:trPr>
              <w:tc>
                <w:tcPr>
                  <w:tcW w:w="2258"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Commonwealth own-purpose</w:t>
                  </w:r>
                </w:p>
              </w:tc>
              <w:tc>
                <w:tcPr>
                  <w:tcW w:w="1726"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center"/>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2.0</w:t>
                  </w:r>
                </w:p>
              </w:tc>
            </w:tr>
            <w:tr w:rsidR="00637B53" w:rsidRPr="00637B53" w:rsidTr="00834F71">
              <w:trPr>
                <w:trHeight w:val="210"/>
              </w:trPr>
              <w:tc>
                <w:tcPr>
                  <w:tcW w:w="2258"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Transfers (GST and transfers for specific purposes)</w:t>
                  </w:r>
                </w:p>
              </w:tc>
              <w:tc>
                <w:tcPr>
                  <w:tcW w:w="1726"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center"/>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1.7</w:t>
                  </w:r>
                </w:p>
              </w:tc>
            </w:tr>
            <w:tr w:rsidR="00637B53" w:rsidRPr="00637B53" w:rsidTr="00834F71">
              <w:trPr>
                <w:trHeight w:val="210"/>
              </w:trPr>
              <w:tc>
                <w:tcPr>
                  <w:tcW w:w="2258" w:type="dxa"/>
                  <w:tcBorders>
                    <w:top w:val="nil"/>
                    <w:left w:val="nil"/>
                    <w:bottom w:val="nil"/>
                    <w:right w:val="nil"/>
                  </w:tcBorders>
                  <w:shd w:val="clear" w:color="auto" w:fill="auto"/>
                  <w:noWrap/>
                  <w:vAlign w:val="bottom"/>
                  <w:hideMark/>
                </w:tcPr>
                <w:p w:rsidR="00637B53" w:rsidRPr="00637B53" w:rsidRDefault="00637B53" w:rsidP="001D45DA">
                  <w:pPr>
                    <w:spacing w:line="240" w:lineRule="auto"/>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State own-purpose</w:t>
                  </w:r>
                </w:p>
              </w:tc>
              <w:tc>
                <w:tcPr>
                  <w:tcW w:w="1726" w:type="dxa"/>
                  <w:tcBorders>
                    <w:top w:val="nil"/>
                    <w:left w:val="nil"/>
                    <w:bottom w:val="nil"/>
                    <w:right w:val="nil"/>
                  </w:tcBorders>
                  <w:shd w:val="clear" w:color="auto" w:fill="auto"/>
                  <w:noWrap/>
                  <w:vAlign w:val="bottom"/>
                  <w:hideMark/>
                </w:tcPr>
                <w:p w:rsidR="00637B53" w:rsidRPr="00637B53" w:rsidRDefault="00637B53" w:rsidP="001D45DA">
                  <w:pPr>
                    <w:spacing w:line="240" w:lineRule="auto"/>
                    <w:jc w:val="center"/>
                    <w:rPr>
                      <w:rFonts w:ascii="Calibri" w:eastAsia="Times New Roman" w:hAnsi="Calibri" w:cs="Times New Roman"/>
                      <w:color w:val="FFFFFF" w:themeColor="background1"/>
                      <w:sz w:val="12"/>
                      <w:szCs w:val="12"/>
                      <w:lang w:eastAsia="en-AU"/>
                    </w:rPr>
                  </w:pPr>
                  <w:r w:rsidRPr="00637B53">
                    <w:rPr>
                      <w:rFonts w:ascii="Calibri" w:eastAsia="Times New Roman" w:hAnsi="Calibri" w:cs="Times New Roman"/>
                      <w:color w:val="FFFFFF" w:themeColor="background1"/>
                      <w:sz w:val="12"/>
                      <w:szCs w:val="12"/>
                      <w:lang w:eastAsia="en-AU"/>
                    </w:rPr>
                    <w:t>0.1</w:t>
                  </w:r>
                </w:p>
              </w:tc>
            </w:tr>
          </w:tbl>
          <w:p w:rsidR="00637B53" w:rsidRPr="00637B53" w:rsidRDefault="00637B53" w:rsidP="001D45D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936C71" w:rsidRDefault="00936C71" w:rsidP="00E61DA7">
      <w:pPr>
        <w:pStyle w:val="Source"/>
      </w:pPr>
      <w:r>
        <w:t xml:space="preserve">Source: ABS and </w:t>
      </w:r>
      <w:r w:rsidR="00E70943">
        <w:t xml:space="preserve">Commonwealth </w:t>
      </w:r>
      <w:r>
        <w:t>state government budget papers.</w:t>
      </w:r>
    </w:p>
    <w:p w:rsidR="008F3F73" w:rsidRDefault="008F3F73" w:rsidP="0011590A">
      <w:pPr>
        <w:pStyle w:val="BodyText17ptAbove"/>
      </w:pPr>
      <w:bookmarkStart w:id="185" w:name="_Ref401756103"/>
      <w:r>
        <w:br w:type="page"/>
      </w:r>
    </w:p>
    <w:p w:rsidR="0068328D" w:rsidRDefault="0068328D" w:rsidP="005A3873">
      <w:pPr>
        <w:pStyle w:val="BodyText"/>
      </w:pPr>
      <w:r w:rsidRPr="005D3510">
        <w:lastRenderedPageBreak/>
        <w:t xml:space="preserve">Total expenses across all levels of government </w:t>
      </w:r>
      <w:r>
        <w:t xml:space="preserve">grew by 49.1 per cent </w:t>
      </w:r>
      <w:r w:rsidR="0042173E">
        <w:t>i</w:t>
      </w:r>
      <w:r w:rsidR="007A06CD">
        <w:t>n real terms</w:t>
      </w:r>
      <w:r w:rsidR="00873EEF">
        <w:t xml:space="preserve"> </w:t>
      </w:r>
      <w:r>
        <w:t xml:space="preserve">from </w:t>
      </w:r>
      <w:r w:rsidR="00992393">
        <w:br/>
      </w:r>
      <w:r>
        <w:t>2002–</w:t>
      </w:r>
      <w:r w:rsidRPr="005D3510">
        <w:t>03 to 2012</w:t>
      </w:r>
      <w:r w:rsidRPr="005D3510">
        <w:noBreakHyphen/>
        <w:t>13.</w:t>
      </w:r>
      <w:r>
        <w:t xml:space="preserve">  </w:t>
      </w:r>
      <w:r w:rsidR="009B0447">
        <w:fldChar w:fldCharType="begin"/>
      </w:r>
      <w:r w:rsidR="009B0447">
        <w:instrText xml:space="preserve"> REF _Ref415136078 \h </w:instrText>
      </w:r>
      <w:r w:rsidR="0011590A">
        <w:instrText xml:space="preserve"> \* MERGEFORMAT </w:instrText>
      </w:r>
      <w:r w:rsidR="009B0447">
        <w:fldChar w:fldCharType="separate"/>
      </w:r>
      <w:r w:rsidR="008B68F4" w:rsidRPr="0068328D">
        <w:t xml:space="preserve">Figure </w:t>
      </w:r>
      <w:r w:rsidR="008B68F4">
        <w:rPr>
          <w:noProof/>
        </w:rPr>
        <w:t>3</w:t>
      </w:r>
      <w:r w:rsidR="008B68F4">
        <w:rPr>
          <w:noProof/>
        </w:rPr>
        <w:noBreakHyphen/>
        <w:t>4</w:t>
      </w:r>
      <w:r w:rsidR="009B0447">
        <w:fldChar w:fldCharType="end"/>
      </w:r>
      <w:r w:rsidRPr="005D3510">
        <w:t xml:space="preserve"> takes into account both the size and rate of growth for each function, with each bar representing the contribution of that function to total </w:t>
      </w:r>
      <w:r w:rsidR="007A06CD">
        <w:t>real</w:t>
      </w:r>
      <w:r w:rsidR="00873EEF">
        <w:t xml:space="preserve"> </w:t>
      </w:r>
      <w:r w:rsidRPr="005D3510">
        <w:t>expenses growth.</w:t>
      </w:r>
      <w:r>
        <w:t xml:space="preserve">  </w:t>
      </w:r>
      <w:r w:rsidRPr="00F32EFE">
        <w:t xml:space="preserve">This data, along with annual growth rates and nominal expenditure for each function, is shown in </w:t>
      </w:r>
      <w:r w:rsidRPr="0087023D">
        <w:t xml:space="preserve">further detail in </w:t>
      </w:r>
      <w:r w:rsidR="006E5375">
        <w:fldChar w:fldCharType="begin"/>
      </w:r>
      <w:r w:rsidR="006E5375">
        <w:instrText xml:space="preserve"> REF _Ref415489137 \h </w:instrText>
      </w:r>
      <w:r w:rsidR="0011590A">
        <w:instrText xml:space="preserve"> \* MERGEFORMAT </w:instrText>
      </w:r>
      <w:r w:rsidR="006E5375">
        <w:fldChar w:fldCharType="separate"/>
      </w:r>
      <w:r w:rsidR="008B68F4" w:rsidRPr="0057716F">
        <w:t xml:space="preserve">Table </w:t>
      </w:r>
      <w:r w:rsidR="008B68F4">
        <w:rPr>
          <w:noProof/>
        </w:rPr>
        <w:t>3</w:t>
      </w:r>
      <w:r w:rsidR="008B68F4">
        <w:rPr>
          <w:noProof/>
        </w:rPr>
        <w:noBreakHyphen/>
        <w:t>1</w:t>
      </w:r>
      <w:r w:rsidR="006E5375">
        <w:fldChar w:fldCharType="end"/>
      </w:r>
      <w:r w:rsidRPr="0087023D">
        <w:t>.</w:t>
      </w:r>
    </w:p>
    <w:p w:rsidR="0068328D" w:rsidRPr="0068328D" w:rsidRDefault="007B7842" w:rsidP="0068328D">
      <w:pPr>
        <w:pStyle w:val="Caption"/>
      </w:pPr>
      <w:bookmarkStart w:id="186" w:name="_Ref415136078"/>
      <w:bookmarkStart w:id="187" w:name="_Toc415222963"/>
      <w:bookmarkStart w:id="188" w:name="_Toc418073824"/>
      <w:bookmarkEnd w:id="185"/>
      <w:r w:rsidRPr="007B7842">
        <w:rPr>
          <w:noProof/>
          <w:color w:val="FFFFFF" w:themeColor="background1"/>
          <w:lang w:eastAsia="en-AU"/>
        </w:rPr>
        <w:drawing>
          <wp:anchor distT="0" distB="0" distL="114300" distR="114300" simplePos="0" relativeHeight="251677696" behindDoc="0" locked="0" layoutInCell="1" allowOverlap="1" wp14:anchorId="3B07BCE7" wp14:editId="32E6C57B">
            <wp:simplePos x="0" y="0"/>
            <wp:positionH relativeFrom="column">
              <wp:posOffset>-48895</wp:posOffset>
            </wp:positionH>
            <wp:positionV relativeFrom="paragraph">
              <wp:posOffset>367030</wp:posOffset>
            </wp:positionV>
            <wp:extent cx="5399405" cy="3234055"/>
            <wp:effectExtent l="0" t="0" r="0" b="44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9405" cy="323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28D" w:rsidRPr="0068328D">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4</w:t>
      </w:r>
      <w:r w:rsidR="003A23CE">
        <w:rPr>
          <w:noProof/>
        </w:rPr>
        <w:fldChar w:fldCharType="end"/>
      </w:r>
      <w:bookmarkEnd w:id="186"/>
      <w:r w:rsidR="0068328D" w:rsidRPr="0068328D">
        <w:t xml:space="preserve">: </w:t>
      </w:r>
      <w:r w:rsidR="0068328D">
        <w:t>Contributions to cumulative real expenditure growth from 2002–03 to 2012–13</w:t>
      </w:r>
      <w:r w:rsidR="0068328D" w:rsidRPr="00B86531">
        <w:rPr>
          <w:rStyle w:val="FootnoteReference"/>
        </w:rPr>
        <w:footnoteReference w:id="22"/>
      </w:r>
      <w:bookmarkEnd w:id="187"/>
      <w:bookmarkEnd w:id="188"/>
    </w:p>
    <w:tbl>
      <w:tblPr>
        <w:tblW w:w="8416" w:type="dxa"/>
        <w:tblInd w:w="93" w:type="dxa"/>
        <w:tblLook w:val="04A0" w:firstRow="1" w:lastRow="0" w:firstColumn="1" w:lastColumn="0" w:noHBand="0" w:noVBand="1"/>
      </w:tblPr>
      <w:tblGrid>
        <w:gridCol w:w="4477"/>
        <w:gridCol w:w="1721"/>
        <w:gridCol w:w="1109"/>
        <w:gridCol w:w="1109"/>
      </w:tblGrid>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 billions</w:t>
            </w:r>
          </w:p>
        </w:tc>
        <w:tc>
          <w:tcPr>
            <w:tcW w:w="1721"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Commonwealth own-purpose</w:t>
            </w:r>
          </w:p>
        </w:tc>
        <w:tc>
          <w:tcPr>
            <w:tcW w:w="1109"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Transfers for specific purposes</w:t>
            </w:r>
          </w:p>
        </w:tc>
        <w:tc>
          <w:tcPr>
            <w:tcW w:w="1109"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State</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Recreation and culture</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0.5</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1.4</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Defence</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2.3</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Industry</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4.3</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0.4</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Public order and safety</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0.7</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4.1</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Housing and community amenities</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2.9</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0.3</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1.8</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Transport and communications</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0.3</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1.1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3.9</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Other</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4.4</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2.2</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General public services</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5.2</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2.4</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 xml:space="preserve">Education </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3.9</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3.5</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4.8</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Health</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10.1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3.1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10.2</w:t>
            </w:r>
          </w:p>
        </w:tc>
      </w:tr>
      <w:tr w:rsidR="007B7842" w:rsidRPr="007B7842" w:rsidTr="007B7842">
        <w:trPr>
          <w:trHeight w:val="421"/>
        </w:trPr>
        <w:tc>
          <w:tcPr>
            <w:tcW w:w="4477" w:type="dxa"/>
            <w:shd w:val="clear" w:color="auto" w:fill="auto"/>
            <w:noWrap/>
            <w:vAlign w:val="bottom"/>
            <w:hideMark/>
          </w:tcPr>
          <w:p w:rsidR="007B7842" w:rsidRPr="007B7842" w:rsidRDefault="007B7842" w:rsidP="001D45DA">
            <w:pPr>
              <w:spacing w:line="240" w:lineRule="auto"/>
              <w:rPr>
                <w:rFonts w:ascii="Calibri" w:eastAsia="Times New Roman" w:hAnsi="Calibri" w:cs="Times New Roman"/>
                <w:b/>
                <w:bCs/>
                <w:color w:val="FFFFFF" w:themeColor="background1"/>
                <w:sz w:val="12"/>
                <w:szCs w:val="12"/>
                <w:lang w:eastAsia="en-AU"/>
              </w:rPr>
            </w:pPr>
            <w:r w:rsidRPr="007B7842">
              <w:rPr>
                <w:rFonts w:ascii="Calibri" w:eastAsia="Times New Roman" w:hAnsi="Calibri" w:cs="Times New Roman"/>
                <w:b/>
                <w:bCs/>
                <w:color w:val="FFFFFF" w:themeColor="background1"/>
                <w:sz w:val="12"/>
                <w:szCs w:val="12"/>
                <w:lang w:eastAsia="en-AU"/>
              </w:rPr>
              <w:t>Social security and welfare</w:t>
            </w:r>
          </w:p>
        </w:tc>
        <w:tc>
          <w:tcPr>
            <w:tcW w:w="1721"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22.1</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0.0</w:t>
            </w:r>
          </w:p>
        </w:tc>
        <w:tc>
          <w:tcPr>
            <w:tcW w:w="1109" w:type="dxa"/>
            <w:shd w:val="clear" w:color="auto" w:fill="auto"/>
            <w:noWrap/>
            <w:vAlign w:val="bottom"/>
            <w:hideMark/>
          </w:tcPr>
          <w:p w:rsidR="007B7842" w:rsidRPr="007B7842" w:rsidRDefault="007B7842" w:rsidP="001D45DA">
            <w:pPr>
              <w:spacing w:line="240" w:lineRule="auto"/>
              <w:jc w:val="right"/>
              <w:rPr>
                <w:rFonts w:ascii="Calibri" w:eastAsia="Times New Roman" w:hAnsi="Calibri" w:cs="Times New Roman"/>
                <w:color w:val="FFFFFF" w:themeColor="background1"/>
                <w:sz w:val="12"/>
                <w:szCs w:val="12"/>
                <w:lang w:eastAsia="en-AU"/>
              </w:rPr>
            </w:pPr>
            <w:r w:rsidRPr="007B7842">
              <w:rPr>
                <w:rFonts w:ascii="Calibri" w:eastAsia="Times New Roman" w:hAnsi="Calibri" w:cs="Times New Roman"/>
                <w:color w:val="FFFFFF" w:themeColor="background1"/>
                <w:sz w:val="12"/>
                <w:szCs w:val="12"/>
                <w:lang w:eastAsia="en-AU"/>
              </w:rPr>
              <w:t>3.7</w:t>
            </w:r>
          </w:p>
        </w:tc>
      </w:tr>
    </w:tbl>
    <w:p w:rsidR="00936C71" w:rsidRDefault="0068328D" w:rsidP="007B7842">
      <w:pPr>
        <w:pStyle w:val="Source"/>
        <w:spacing w:before="0"/>
      </w:pPr>
      <w:r>
        <w:t>Source: ABS and PBO analysis.</w:t>
      </w:r>
    </w:p>
    <w:p w:rsidR="009B0447" w:rsidRDefault="009B0447" w:rsidP="009B0447">
      <w:pPr>
        <w:pStyle w:val="BodyText17ptAbove"/>
      </w:pPr>
      <w:r w:rsidRPr="00F32EFE">
        <w:t xml:space="preserve">Commonwealth own-purpose expenditure over the past decade accounted for 57 per cent of total expenditure growth, while state own-purpose expenditure accounted for 30 per cent. </w:t>
      </w:r>
      <w:r>
        <w:t xml:space="preserve"> </w:t>
      </w:r>
      <w:r w:rsidRPr="00F32EFE">
        <w:t>The remaining 13 per cent of total expenditure growth came from growth in transfers from the Commonwealth to state governments.</w:t>
      </w:r>
    </w:p>
    <w:p w:rsidR="008F3F73" w:rsidRDefault="009B0447" w:rsidP="009B0447">
      <w:pPr>
        <w:pStyle w:val="BodyText"/>
      </w:pPr>
      <w:r>
        <w:t xml:space="preserve">Commonwealth own-purpose </w:t>
      </w:r>
      <w:r w:rsidRPr="00AD3D40">
        <w:rPr>
          <w:b/>
        </w:rPr>
        <w:t>social security and welfare</w:t>
      </w:r>
      <w:r>
        <w:t xml:space="preserve"> expenditure is the largest contributor to total expenses growth across all levels of government, accounting for 22.1 per cent of growth over the last decade.  Commonwealth expenditure on this function</w:t>
      </w:r>
      <w:r w:rsidRPr="005D3510">
        <w:t xml:space="preserve"> </w:t>
      </w:r>
      <w:r>
        <w:t>grew by</w:t>
      </w:r>
      <w:r w:rsidRPr="005D3510">
        <w:t xml:space="preserve"> 3.6 per cent annually</w:t>
      </w:r>
      <w:r w:rsidR="00873EEF">
        <w:t xml:space="preserve"> in real terms</w:t>
      </w:r>
      <w:r>
        <w:t>, while state government expenditure grew more strongly at 6</w:t>
      </w:r>
      <w:r w:rsidR="00E70943">
        <w:t>.0</w:t>
      </w:r>
      <w:r>
        <w:t> per cent annually</w:t>
      </w:r>
      <w:r w:rsidR="00873EEF">
        <w:t xml:space="preserve"> in real terms</w:t>
      </w:r>
      <w:r>
        <w:t>.  However, the large majority of expenses are at the Commonwealth level, as the federal government has primary responsibility for this function.</w:t>
      </w:r>
      <w:r w:rsidR="008F3F73">
        <w:br w:type="page"/>
      </w:r>
    </w:p>
    <w:p w:rsidR="00B472F1" w:rsidRDefault="009B0447" w:rsidP="009B0447">
      <w:pPr>
        <w:pStyle w:val="BodyText"/>
      </w:pPr>
      <w:r>
        <w:lastRenderedPageBreak/>
        <w:t xml:space="preserve">Because of its size, </w:t>
      </w:r>
      <w:r w:rsidRPr="00556998">
        <w:rPr>
          <w:b/>
        </w:rPr>
        <w:t>health</w:t>
      </w:r>
      <w:r>
        <w:t xml:space="preserve"> is a significant driver of overall expenses growth, accounting for 23.4 per cent of total expenditure growth across all levels of government.</w:t>
      </w:r>
      <w:r w:rsidR="0042173E">
        <w:t xml:space="preserve">  </w:t>
      </w:r>
      <w:r>
        <w:t>Of this, own</w:t>
      </w:r>
      <w:r>
        <w:noBreakHyphen/>
        <w:t xml:space="preserve">purpose expenditure at both the Commonwealth and state levels each accounted for </w:t>
      </w:r>
      <w:r w:rsidRPr="004631CC">
        <w:t>about 10 percentage points, while the transfer component contributed 3.1 percentage points.</w:t>
      </w:r>
      <w:r>
        <w:t xml:space="preserve">  Health expenditure and its drivers are discussed in more detail in </w:t>
      </w:r>
      <w:r w:rsidRPr="00E53786">
        <w:t xml:space="preserve">Section </w:t>
      </w:r>
      <w:r w:rsidR="0026114D" w:rsidRPr="00E53786">
        <w:fldChar w:fldCharType="begin"/>
      </w:r>
      <w:r w:rsidR="0026114D" w:rsidRPr="00E53786">
        <w:instrText xml:space="preserve"> REF  _Ref415477133 \h \r  \* MERGEFORMAT </w:instrText>
      </w:r>
      <w:r w:rsidR="0026114D" w:rsidRPr="00E53786">
        <w:fldChar w:fldCharType="separate"/>
      </w:r>
      <w:r w:rsidR="008B68F4">
        <w:t>3.3</w:t>
      </w:r>
      <w:r w:rsidR="0026114D" w:rsidRPr="00E53786">
        <w:fldChar w:fldCharType="end"/>
      </w:r>
      <w:r w:rsidR="0026114D" w:rsidRPr="00E53786">
        <w:t>.</w:t>
      </w:r>
    </w:p>
    <w:p w:rsidR="009B0447" w:rsidRPr="00E53786" w:rsidRDefault="009B0447" w:rsidP="009B0447">
      <w:pPr>
        <w:pStyle w:val="BodyText"/>
      </w:pPr>
      <w:r w:rsidRPr="00AD3D40">
        <w:rPr>
          <w:b/>
        </w:rPr>
        <w:t>Education</w:t>
      </w:r>
      <w:r>
        <w:t xml:space="preserve"> is the third-largest driver of expenses growth, accounting for 12.3 per cent of </w:t>
      </w:r>
      <w:r w:rsidRPr="004631CC">
        <w:t xml:space="preserve">expenses growth across all levels of government over the past decade. </w:t>
      </w:r>
      <w:r>
        <w:t xml:space="preserve"> </w:t>
      </w:r>
      <w:r w:rsidRPr="004631CC">
        <w:t>Of this, growth due to Commonwealth expenditure was 3.9 percentage points, while state expenditure accounted for 4.8 percentage points, and the transfer component contributed 3.5 percentage points.</w:t>
      </w:r>
      <w:r>
        <w:t xml:space="preserve"> </w:t>
      </w:r>
      <w:r w:rsidRPr="004631CC">
        <w:t xml:space="preserve"> </w:t>
      </w:r>
      <w:r w:rsidRPr="00E53786">
        <w:t xml:space="preserve">Education expenditure and its drivers are discussed in more detail in Section </w:t>
      </w:r>
      <w:r w:rsidR="0026114D" w:rsidRPr="00E53786">
        <w:fldChar w:fldCharType="begin"/>
      </w:r>
      <w:r w:rsidR="0026114D" w:rsidRPr="00E53786">
        <w:instrText xml:space="preserve"> REF  _Ref405977111 \h \r  \* MERGEFORMAT </w:instrText>
      </w:r>
      <w:r w:rsidR="0026114D" w:rsidRPr="00E53786">
        <w:fldChar w:fldCharType="separate"/>
      </w:r>
      <w:r w:rsidR="008B68F4">
        <w:t>3.4</w:t>
      </w:r>
      <w:r w:rsidR="0026114D" w:rsidRPr="00E53786">
        <w:fldChar w:fldCharType="end"/>
      </w:r>
      <w:r w:rsidRPr="00E53786">
        <w:t>.</w:t>
      </w:r>
    </w:p>
    <w:p w:rsidR="00CD7161" w:rsidRPr="004631CC" w:rsidRDefault="00CD7161" w:rsidP="00CD7161">
      <w:pPr>
        <w:pStyle w:val="BodyText"/>
      </w:pPr>
      <w:r w:rsidRPr="004631CC">
        <w:rPr>
          <w:b/>
        </w:rPr>
        <w:t>General public services</w:t>
      </w:r>
      <w:r w:rsidRPr="004631CC">
        <w:t xml:space="preserve"> expenses accounted for 7.6 per cent of overall expenses growth across all levels of government. </w:t>
      </w:r>
      <w:r>
        <w:t xml:space="preserve"> </w:t>
      </w:r>
      <w:r w:rsidRPr="004631CC">
        <w:t xml:space="preserve">The majority of this growth (5.2 percentage points) was due to Commonwealth own-purpose expenditure. </w:t>
      </w:r>
      <w:r>
        <w:t xml:space="preserve"> </w:t>
      </w:r>
      <w:r w:rsidRPr="004631CC">
        <w:t>Commonwealth expenditure in this area includes government superannuation benefits, financial and fiscal affairs, and foreign affairs and economic aid.</w:t>
      </w:r>
    </w:p>
    <w:p w:rsidR="009B0447" w:rsidRPr="004631CC" w:rsidRDefault="009B0447" w:rsidP="009B0447">
      <w:pPr>
        <w:pStyle w:val="BodyText"/>
      </w:pPr>
      <w:r w:rsidRPr="00F32EFE">
        <w:t xml:space="preserve">The </w:t>
      </w:r>
      <w:r w:rsidRPr="00F32EFE">
        <w:rPr>
          <w:b/>
        </w:rPr>
        <w:t>‘other’</w:t>
      </w:r>
      <w:r w:rsidRPr="00F32EFE">
        <w:t xml:space="preserve"> category of expenses includes interest paid on public debt, the nominal interest expense on unfunded superannuation liabilities, and natural disaster relief. </w:t>
      </w:r>
      <w:r>
        <w:t xml:space="preserve"> </w:t>
      </w:r>
      <w:r w:rsidRPr="00F32EFE">
        <w:t xml:space="preserve">Commonwealth own-purpose expenditure in this area grew by </w:t>
      </w:r>
      <w:r w:rsidR="005F5CBB">
        <w:t>4.6</w:t>
      </w:r>
      <w:r w:rsidRPr="00F32EFE">
        <w:t xml:space="preserve"> per cent </w:t>
      </w:r>
      <w:r w:rsidR="00BA24E8">
        <w:t xml:space="preserve">annually </w:t>
      </w:r>
      <w:r w:rsidR="00873EEF">
        <w:t xml:space="preserve">in real terms </w:t>
      </w:r>
      <w:r w:rsidRPr="00F32EFE">
        <w:t xml:space="preserve">from </w:t>
      </w:r>
      <w:r w:rsidR="0042173E">
        <w:br/>
      </w:r>
      <w:r>
        <w:t>2002–</w:t>
      </w:r>
      <w:r w:rsidRPr="00F32EFE">
        <w:t>03 to</w:t>
      </w:r>
      <w:r w:rsidR="0042173E">
        <w:t xml:space="preserve"> </w:t>
      </w:r>
      <w:r w:rsidRPr="00F32EFE">
        <w:t>2012</w:t>
      </w:r>
      <w:r w:rsidR="00BA24E8">
        <w:t>–</w:t>
      </w:r>
      <w:r w:rsidRPr="00F32EFE">
        <w:t xml:space="preserve">13, and state own-purpose expenditure grew by </w:t>
      </w:r>
      <w:r w:rsidR="005F5CBB">
        <w:t>3.6</w:t>
      </w:r>
      <w:r w:rsidRPr="00F32EFE">
        <w:t xml:space="preserve"> per cent</w:t>
      </w:r>
      <w:r w:rsidR="00873EEF">
        <w:t xml:space="preserve"> annually in real terms</w:t>
      </w:r>
      <w:r w:rsidRPr="00D34FDC">
        <w:t>.</w:t>
      </w:r>
      <w:r w:rsidRPr="00B86531">
        <w:rPr>
          <w:rStyle w:val="FootnoteReference"/>
        </w:rPr>
        <w:footnoteReference w:id="23"/>
      </w:r>
      <w:r w:rsidRPr="00D34FDC">
        <w:t xml:space="preserve">  The majority of this category’s contribution to overall expenditure growth occur</w:t>
      </w:r>
      <w:r w:rsidR="00873EEF">
        <w:t>red</w:t>
      </w:r>
      <w:r w:rsidRPr="00D34FDC">
        <w:t xml:space="preserve"> at the Commonwealth level (</w:t>
      </w:r>
      <w:r w:rsidR="005F5CBB" w:rsidRPr="00D34FDC">
        <w:t>4.4</w:t>
      </w:r>
      <w:r w:rsidRPr="00D34FDC">
        <w:t xml:space="preserve"> percentage points of a total </w:t>
      </w:r>
      <w:r w:rsidR="005F5CBB" w:rsidRPr="00D34FDC">
        <w:t>6.6</w:t>
      </w:r>
      <w:r w:rsidRPr="00D34FDC">
        <w:t xml:space="preserve"> per cent overall contribution), partly reflecting</w:t>
      </w:r>
      <w:r w:rsidRPr="00F32EFE">
        <w:t xml:space="preserve"> the Commonwealth’s larger contribution to growth in national </w:t>
      </w:r>
      <w:r w:rsidRPr="0037520E">
        <w:t>debt</w:t>
      </w:r>
      <w:r w:rsidR="0042173E" w:rsidRPr="0037520E">
        <w:t xml:space="preserve"> and hence increased public debt interest payments</w:t>
      </w:r>
      <w:r w:rsidRPr="0037520E">
        <w:t>.</w:t>
      </w:r>
    </w:p>
    <w:p w:rsidR="009B0447" w:rsidRPr="00820B6C" w:rsidRDefault="009B0447" w:rsidP="009B0447">
      <w:pPr>
        <w:pStyle w:val="BodyText"/>
      </w:pPr>
      <w:r w:rsidRPr="004631CC">
        <w:t xml:space="preserve">Over the past decade, transfers from the Commonwealth to the states for </w:t>
      </w:r>
      <w:r w:rsidRPr="004631CC">
        <w:rPr>
          <w:b/>
        </w:rPr>
        <w:t>transport and communications</w:t>
      </w:r>
      <w:r w:rsidRPr="004631CC">
        <w:t xml:space="preserve"> have grown rapidly at 7.9 per cent annually</w:t>
      </w:r>
      <w:r w:rsidR="0049255C">
        <w:t xml:space="preserve"> in real terms</w:t>
      </w:r>
      <w:r w:rsidRPr="004631CC">
        <w:t xml:space="preserve">. </w:t>
      </w:r>
      <w:r>
        <w:t xml:space="preserve"> </w:t>
      </w:r>
      <w:r w:rsidRPr="004631CC">
        <w:t>This is compared to 2.9</w:t>
      </w:r>
      <w:r>
        <w:t> </w:t>
      </w:r>
      <w:r w:rsidRPr="004631CC">
        <w:t>per</w:t>
      </w:r>
      <w:r>
        <w:t> </w:t>
      </w:r>
      <w:r w:rsidRPr="004631CC">
        <w:t>cent annual</w:t>
      </w:r>
      <w:r w:rsidR="0049255C">
        <w:t xml:space="preserve"> growth in real terms</w:t>
      </w:r>
      <w:r w:rsidRPr="004631CC">
        <w:t xml:space="preserve"> for Commonwealth own-purpose transport and communications expenses, and 3.4 per cent </w:t>
      </w:r>
      <w:r w:rsidR="0049255C">
        <w:t xml:space="preserve">growth in real terms </w:t>
      </w:r>
      <w:r w:rsidRPr="004631CC">
        <w:t xml:space="preserve">at the state level. </w:t>
      </w:r>
      <w:r>
        <w:t xml:space="preserve"> </w:t>
      </w:r>
      <w:r w:rsidRPr="004631CC">
        <w:t>The large majority of this function’s contribution to overall expenditure growth (5.1 percentage points of a total 5.3 per cent overall contribution) is attributable to the transfer and state own</w:t>
      </w:r>
      <w:r w:rsidR="00E0563F">
        <w:noBreakHyphen/>
      </w:r>
      <w:r w:rsidRPr="004631CC">
        <w:t xml:space="preserve">purpose components, reflecting the primary role that states have in </w:t>
      </w:r>
      <w:r w:rsidR="0049255C">
        <w:t xml:space="preserve">providing </w:t>
      </w:r>
      <w:r w:rsidRPr="004631CC">
        <w:t xml:space="preserve">infrastructure. </w:t>
      </w:r>
      <w:r>
        <w:t xml:space="preserve"> </w:t>
      </w:r>
      <w:r w:rsidRPr="004631CC">
        <w:t xml:space="preserve">The rapid growth </w:t>
      </w:r>
      <w:r w:rsidR="0049255C">
        <w:t xml:space="preserve">in transfers from the Commonwealth to the states </w:t>
      </w:r>
      <w:r w:rsidRPr="004631CC">
        <w:t xml:space="preserve">is due to the establishment of funding agreements between the Commonwealth and states, such as </w:t>
      </w:r>
      <w:proofErr w:type="spellStart"/>
      <w:r w:rsidRPr="00E1601A">
        <w:rPr>
          <w:i/>
        </w:rPr>
        <w:t>AusLink</w:t>
      </w:r>
      <w:proofErr w:type="spellEnd"/>
      <w:r w:rsidRPr="00E1601A">
        <w:rPr>
          <w:i/>
        </w:rPr>
        <w:t>/Nation Building Program</w:t>
      </w:r>
      <w:r w:rsidRPr="004631CC">
        <w:t xml:space="preserve"> and the </w:t>
      </w:r>
      <w:r w:rsidRPr="00E1601A">
        <w:rPr>
          <w:i/>
        </w:rPr>
        <w:t>Building Australia Fund</w:t>
      </w:r>
      <w:r w:rsidRPr="004631CC">
        <w:t>.</w:t>
      </w:r>
    </w:p>
    <w:p w:rsidR="009B0447" w:rsidRDefault="009B0447" w:rsidP="009B0447">
      <w:pPr>
        <w:pStyle w:val="BodyText"/>
      </w:pPr>
      <w:r w:rsidRPr="00820B6C">
        <w:t>At the Commonwealth level, the fastest growing expense function from 2002</w:t>
      </w:r>
      <w:r>
        <w:t>–</w:t>
      </w:r>
      <w:r w:rsidRPr="00820B6C">
        <w:t>03 to 2012</w:t>
      </w:r>
      <w:r>
        <w:t>–</w:t>
      </w:r>
      <w:r w:rsidRPr="00820B6C">
        <w:t xml:space="preserve">13 was </w:t>
      </w:r>
      <w:r w:rsidRPr="00AD3D40">
        <w:rPr>
          <w:b/>
        </w:rPr>
        <w:t>housing and community amenities</w:t>
      </w:r>
      <w:r w:rsidRPr="00820B6C">
        <w:t xml:space="preserve">, growing </w:t>
      </w:r>
      <w:r>
        <w:t>by</w:t>
      </w:r>
      <w:r w:rsidRPr="00820B6C">
        <w:t xml:space="preserve"> 19.3 per cent annually</w:t>
      </w:r>
      <w:r w:rsidR="0049255C">
        <w:t xml:space="preserve"> in real terms</w:t>
      </w:r>
      <w:r w:rsidRPr="00820B6C">
        <w:t xml:space="preserve">. </w:t>
      </w:r>
      <w:r>
        <w:t xml:space="preserve"> </w:t>
      </w:r>
      <w:r w:rsidRPr="004116F5">
        <w:t xml:space="preserve">Despite </w:t>
      </w:r>
      <w:r>
        <w:t>this rapid growth</w:t>
      </w:r>
      <w:r w:rsidRPr="004116F5">
        <w:t>,</w:t>
      </w:r>
      <w:r w:rsidRPr="00820B6C">
        <w:t xml:space="preserve"> Commonwealth expenditure on this function </w:t>
      </w:r>
      <w:r w:rsidRPr="004116F5">
        <w:t xml:space="preserve">contributed </w:t>
      </w:r>
      <w:r w:rsidRPr="00820B6C">
        <w:t xml:space="preserve">only </w:t>
      </w:r>
      <w:r w:rsidRPr="004116F5">
        <w:t>2.9</w:t>
      </w:r>
      <w:r w:rsidR="00E0563F">
        <w:t> </w:t>
      </w:r>
      <w:r w:rsidRPr="004116F5">
        <w:t xml:space="preserve">per cent of total expenses growth due to </w:t>
      </w:r>
      <w:r w:rsidRPr="00820B6C">
        <w:t>its</w:t>
      </w:r>
      <w:r w:rsidRPr="004116F5">
        <w:t xml:space="preserve"> relatively small size.</w:t>
      </w:r>
      <w:r w:rsidRPr="00820B6C">
        <w:t xml:space="preserve"> </w:t>
      </w:r>
      <w:r>
        <w:t xml:space="preserve"> </w:t>
      </w:r>
      <w:r w:rsidRPr="00820B6C">
        <w:t xml:space="preserve">This function includes environmental protection, </w:t>
      </w:r>
      <w:r>
        <w:t>and strong growth was</w:t>
      </w:r>
      <w:r w:rsidRPr="00820B6C">
        <w:t xml:space="preserve"> driven by industry assistance provided under the Clean Energy Future package.</w:t>
      </w:r>
    </w:p>
    <w:p w:rsidR="0057716F" w:rsidRPr="0057716F" w:rsidRDefault="009B0447" w:rsidP="0057716F">
      <w:pPr>
        <w:pStyle w:val="BodyText"/>
      </w:pPr>
      <w:r w:rsidRPr="00F32EFE">
        <w:lastRenderedPageBreak/>
        <w:t xml:space="preserve">Expenditure on </w:t>
      </w:r>
      <w:r w:rsidRPr="00F32EFE">
        <w:rPr>
          <w:b/>
        </w:rPr>
        <w:t>public order and safety</w:t>
      </w:r>
      <w:r w:rsidRPr="00F32EFE">
        <w:t xml:space="preserve"> was the third largest contributor to growth in state own-purpose expenses.</w:t>
      </w:r>
      <w:r>
        <w:t xml:space="preserve"> </w:t>
      </w:r>
      <w:r w:rsidRPr="00F32EFE">
        <w:t xml:space="preserve"> This reflects the role of state governments as the primary funder</w:t>
      </w:r>
      <w:r w:rsidR="0049255C">
        <w:t>s</w:t>
      </w:r>
      <w:r w:rsidRPr="00F32EFE">
        <w:t xml:space="preserve"> of</w:t>
      </w:r>
      <w:r w:rsidRPr="009B0447">
        <w:t xml:space="preserve"> </w:t>
      </w:r>
      <w:r w:rsidRPr="00F32EFE">
        <w:t>police, fire and protection services, prisons and corrective services.</w:t>
      </w:r>
      <w:r w:rsidR="005F5CBB">
        <w:t xml:space="preserve"> </w:t>
      </w:r>
      <w:r w:rsidR="00350AB8">
        <w:t xml:space="preserve"> </w:t>
      </w:r>
      <w:r w:rsidR="0057716F" w:rsidRPr="0057716F">
        <w:t>Over the decade, state own-purpose expenditure on public order and safety grew by 4 per cent annually in real terms, increasing from $11.1 billion in 2002–03 to $21.7 billion in 2012–13.</w:t>
      </w:r>
    </w:p>
    <w:p w:rsidR="00CD7161" w:rsidRDefault="00CD7161" w:rsidP="00CD7161">
      <w:pPr>
        <w:pStyle w:val="BodyText"/>
        <w:keepNext/>
      </w:pPr>
      <w:r w:rsidRPr="005F5CBB">
        <w:t xml:space="preserve">Expenditure on </w:t>
      </w:r>
      <w:r w:rsidRPr="00F31DE2">
        <w:rPr>
          <w:b/>
        </w:rPr>
        <w:t>industry</w:t>
      </w:r>
      <w:r w:rsidRPr="005F5CBB">
        <w:t xml:space="preserve"> and economic affairs contributed 4.9 per cent to overall expenditure growth </w:t>
      </w:r>
      <w:r w:rsidR="0049255C">
        <w:t xml:space="preserve">in real terms </w:t>
      </w:r>
      <w:r w:rsidRPr="005F5CBB">
        <w:t>over the past decade. The majority of this contribution occur</w:t>
      </w:r>
      <w:r w:rsidR="0049255C">
        <w:t>red</w:t>
      </w:r>
      <w:r w:rsidRPr="005F5CBB">
        <w:t xml:space="preserve"> at the Commonwealth level.  This includes expenditure on immigration and industry assistance and development programs.</w:t>
      </w:r>
    </w:p>
    <w:p w:rsidR="0057716F" w:rsidRPr="0057716F" w:rsidRDefault="0057716F" w:rsidP="0057716F">
      <w:pPr>
        <w:pStyle w:val="BodyText"/>
      </w:pPr>
      <w:r w:rsidRPr="00E32CB0">
        <w:rPr>
          <w:b/>
        </w:rPr>
        <w:t>Defence</w:t>
      </w:r>
      <w:r w:rsidRPr="0057716F">
        <w:t xml:space="preserve"> expenditure occurs solely at the Commonwealth level.  Over the period, it grew by 2.1 per cent annually</w:t>
      </w:r>
      <w:r w:rsidR="0049255C">
        <w:t xml:space="preserve"> in real terms</w:t>
      </w:r>
      <w:r w:rsidRPr="0057716F">
        <w:t>, and accounted for 2.3 per cent of total expenses growth across all levels of government.</w:t>
      </w:r>
    </w:p>
    <w:p w:rsidR="0057716F" w:rsidRPr="0057716F" w:rsidRDefault="0057716F" w:rsidP="0057716F">
      <w:pPr>
        <w:pStyle w:val="BodyText"/>
      </w:pPr>
      <w:r w:rsidRPr="0057716F">
        <w:t xml:space="preserve">Transfers from the Commonwealth to the states for </w:t>
      </w:r>
      <w:r w:rsidRPr="00BD60AF">
        <w:rPr>
          <w:b/>
        </w:rPr>
        <w:t>recreation and culture</w:t>
      </w:r>
      <w:r w:rsidRPr="0057716F">
        <w:t xml:space="preserve"> expenses totalled </w:t>
      </w:r>
      <w:r w:rsidRPr="005B57C1">
        <w:t>$</w:t>
      </w:r>
      <w:r w:rsidR="00883B58" w:rsidRPr="00BD60AF">
        <w:t>29</w:t>
      </w:r>
      <w:r w:rsidRPr="005B57C1">
        <w:t xml:space="preserve"> million</w:t>
      </w:r>
      <w:r w:rsidRPr="0057716F">
        <w:t xml:space="preserve"> in 2002–03, and were $28 million in 2012–13.  This results in a negative growth rate of 3 per cent annually</w:t>
      </w:r>
      <w:r w:rsidR="006028E6">
        <w:t xml:space="preserve"> in real terms</w:t>
      </w:r>
      <w:r w:rsidRPr="0057716F">
        <w:t>.  This function accounts for 1.9 per cent of overall government expenditure growth.</w:t>
      </w:r>
    </w:p>
    <w:p w:rsidR="00765D3D" w:rsidRDefault="0057716F" w:rsidP="0057716F">
      <w:pPr>
        <w:pStyle w:val="BodyText"/>
        <w:keepNext/>
      </w:pPr>
      <w:r w:rsidRPr="0057716F">
        <w:t>Given that health and education are two of the three largest areas of expenditure across all levels of government, and because they are key areas of shared responsibility between Commonwealth and state governments, they are discussed in further detail in the following sections.</w:t>
      </w:r>
    </w:p>
    <w:p w:rsidR="00765D3D" w:rsidRDefault="00765D3D" w:rsidP="0057716F">
      <w:pPr>
        <w:pStyle w:val="BodyText"/>
        <w:keepNext/>
        <w:sectPr w:rsidR="00765D3D" w:rsidSect="00F13E5A">
          <w:type w:val="oddPage"/>
          <w:pgSz w:w="11906" w:h="16838" w:code="9"/>
          <w:pgMar w:top="1361" w:right="1797" w:bottom="1474" w:left="1797" w:header="284" w:footer="454" w:gutter="0"/>
          <w:cols w:space="708"/>
          <w:docGrid w:linePitch="360"/>
        </w:sectPr>
      </w:pPr>
    </w:p>
    <w:p w:rsidR="0057716F" w:rsidRDefault="0057716F" w:rsidP="003817C0">
      <w:pPr>
        <w:pStyle w:val="Caption"/>
        <w:spacing w:before="0" w:after="0"/>
      </w:pPr>
      <w:bookmarkStart w:id="189" w:name="_Ref415489137"/>
      <w:bookmarkStart w:id="190" w:name="_Toc415222939"/>
      <w:bookmarkStart w:id="191" w:name="_Toc418077581"/>
      <w:r w:rsidRPr="0057716F">
        <w:lastRenderedPageBreak/>
        <w:t xml:space="preserve">Table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Table \* ARABIC \s 1 </w:instrText>
      </w:r>
      <w:r w:rsidR="003A23CE">
        <w:fldChar w:fldCharType="separate"/>
      </w:r>
      <w:r w:rsidR="008B68F4">
        <w:rPr>
          <w:noProof/>
        </w:rPr>
        <w:t>1</w:t>
      </w:r>
      <w:r w:rsidR="003A23CE">
        <w:rPr>
          <w:noProof/>
        </w:rPr>
        <w:fldChar w:fldCharType="end"/>
      </w:r>
      <w:bookmarkEnd w:id="189"/>
      <w:r w:rsidRPr="0057716F">
        <w:t xml:space="preserve">: </w:t>
      </w:r>
      <w:r w:rsidRPr="0087023D">
        <w:t>Real growth and contributions to growth in government expenses</w:t>
      </w:r>
      <w:bookmarkEnd w:id="190"/>
      <w:r w:rsidR="007771DC" w:rsidRPr="00AD3310">
        <w:t xml:space="preserve"> </w:t>
      </w:r>
      <w:r w:rsidR="007771DC" w:rsidRPr="00AD3310">
        <w:rPr>
          <w:vertAlign w:val="superscript"/>
        </w:rPr>
        <w:t>(a</w:t>
      </w:r>
      <w:proofErr w:type="gramStart"/>
      <w:r w:rsidR="007771DC" w:rsidRPr="00AD3310">
        <w:rPr>
          <w:vertAlign w:val="superscript"/>
        </w:rPr>
        <w:t>)(</w:t>
      </w:r>
      <w:proofErr w:type="gramEnd"/>
      <w:r w:rsidR="00E70943" w:rsidRPr="00AD3310">
        <w:rPr>
          <w:vertAlign w:val="superscript"/>
        </w:rPr>
        <w:t>b</w:t>
      </w:r>
      <w:r w:rsidR="007771DC" w:rsidRPr="00AD3310">
        <w:rPr>
          <w:vertAlign w:val="superscript"/>
        </w:rPr>
        <w:t>)</w:t>
      </w:r>
      <w:bookmarkEnd w:id="191"/>
    </w:p>
    <w:tbl>
      <w:tblPr>
        <w:tblW w:w="8931" w:type="dxa"/>
        <w:tblInd w:w="108" w:type="dxa"/>
        <w:tblLayout w:type="fixed"/>
        <w:tblLook w:val="04A0" w:firstRow="1" w:lastRow="0" w:firstColumn="1" w:lastColumn="0" w:noHBand="0" w:noVBand="1"/>
      </w:tblPr>
      <w:tblGrid>
        <w:gridCol w:w="2835"/>
        <w:gridCol w:w="851"/>
        <w:gridCol w:w="850"/>
        <w:gridCol w:w="898"/>
        <w:gridCol w:w="1229"/>
        <w:gridCol w:w="1275"/>
        <w:gridCol w:w="993"/>
      </w:tblGrid>
      <w:tr w:rsidR="00CD7161" w:rsidRPr="00C80C2D" w:rsidTr="007F3FB0">
        <w:trPr>
          <w:trHeight w:val="227"/>
          <w:tblHeader/>
        </w:trPr>
        <w:tc>
          <w:tcPr>
            <w:tcW w:w="2835" w:type="dxa"/>
            <w:vMerge w:val="restart"/>
            <w:tcBorders>
              <w:top w:val="nil"/>
              <w:left w:val="nil"/>
              <w:right w:val="nil"/>
            </w:tcBorders>
            <w:shd w:val="clear" w:color="000000" w:fill="2B3B5F"/>
            <w:vAlign w:val="center"/>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Category</w:t>
            </w:r>
          </w:p>
        </w:tc>
        <w:tc>
          <w:tcPr>
            <w:tcW w:w="1701" w:type="dxa"/>
            <w:gridSpan w:val="2"/>
            <w:vMerge w:val="restart"/>
            <w:tcBorders>
              <w:top w:val="nil"/>
              <w:left w:val="single" w:sz="4" w:space="0" w:color="auto"/>
              <w:right w:val="nil"/>
            </w:tcBorders>
            <w:shd w:val="clear" w:color="000000" w:fill="2B3B5F"/>
            <w:vAlign w:val="center"/>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Nominal expenses ($b)</w:t>
            </w:r>
          </w:p>
        </w:tc>
        <w:tc>
          <w:tcPr>
            <w:tcW w:w="3402" w:type="dxa"/>
            <w:gridSpan w:val="3"/>
            <w:tcBorders>
              <w:top w:val="nil"/>
              <w:left w:val="single" w:sz="4" w:space="0" w:color="auto"/>
              <w:bottom w:val="single" w:sz="4" w:space="0" w:color="000000"/>
              <w:right w:val="single" w:sz="4" w:space="0" w:color="auto"/>
            </w:tcBorders>
            <w:shd w:val="clear" w:color="000000" w:fill="2B3B5F"/>
            <w:vAlign w:val="center"/>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2002-03 to 2012-13</w:t>
            </w:r>
          </w:p>
        </w:tc>
        <w:tc>
          <w:tcPr>
            <w:tcW w:w="993" w:type="dxa"/>
            <w:vMerge w:val="restart"/>
            <w:tcBorders>
              <w:top w:val="nil"/>
              <w:left w:val="single" w:sz="4" w:space="0" w:color="auto"/>
              <w:right w:val="nil"/>
            </w:tcBorders>
            <w:shd w:val="clear" w:color="000000" w:fill="2B3B5F"/>
            <w:vAlign w:val="center"/>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Share of total expenses 2012-13 (%)</w:t>
            </w:r>
          </w:p>
        </w:tc>
      </w:tr>
      <w:tr w:rsidR="00CD7161" w:rsidRPr="00C80C2D" w:rsidTr="007F3FB0">
        <w:trPr>
          <w:trHeight w:val="227"/>
          <w:tblHeader/>
        </w:trPr>
        <w:tc>
          <w:tcPr>
            <w:tcW w:w="2835" w:type="dxa"/>
            <w:vMerge/>
            <w:tcBorders>
              <w:left w:val="nil"/>
              <w:right w:val="nil"/>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1701" w:type="dxa"/>
            <w:gridSpan w:val="2"/>
            <w:vMerge/>
            <w:tcBorders>
              <w:left w:val="single" w:sz="4" w:space="0" w:color="auto"/>
              <w:bottom w:val="single" w:sz="4" w:space="0" w:color="auto"/>
              <w:right w:val="nil"/>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898" w:type="dxa"/>
            <w:vMerge w:val="restart"/>
            <w:tcBorders>
              <w:top w:val="nil"/>
              <w:left w:val="single" w:sz="4" w:space="0" w:color="auto"/>
              <w:bottom w:val="single" w:sz="4" w:space="0" w:color="000000"/>
              <w:right w:val="single" w:sz="4" w:space="0" w:color="auto"/>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 xml:space="preserve">Annual real growth </w:t>
            </w:r>
            <w:r w:rsidRPr="00C80C2D">
              <w:rPr>
                <w:rFonts w:ascii="Arial" w:eastAsia="Times New Roman" w:hAnsi="Arial" w:cs="Arial"/>
                <w:b/>
                <w:bCs/>
                <w:color w:val="FFFFFF"/>
                <w:sz w:val="16"/>
                <w:szCs w:val="14"/>
                <w:lang w:eastAsia="en-AU"/>
              </w:rPr>
              <w:br/>
              <w:t>(%)</w:t>
            </w:r>
          </w:p>
        </w:tc>
        <w:tc>
          <w:tcPr>
            <w:tcW w:w="1229" w:type="dxa"/>
            <w:vMerge w:val="restart"/>
            <w:tcBorders>
              <w:top w:val="nil"/>
              <w:left w:val="single" w:sz="4" w:space="0" w:color="auto"/>
              <w:bottom w:val="single" w:sz="4" w:space="0" w:color="000000"/>
              <w:right w:val="single" w:sz="4" w:space="0" w:color="auto"/>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Contribution to total growth (pp)</w:t>
            </w:r>
            <w:r w:rsidRPr="00C80C2D">
              <w:rPr>
                <w:rFonts w:ascii="Arial" w:eastAsia="Times New Roman" w:hAnsi="Arial" w:cs="Arial"/>
                <w:b/>
                <w:bCs/>
                <w:color w:val="FFFFFF"/>
                <w:sz w:val="16"/>
                <w:szCs w:val="14"/>
                <w:vertAlign w:val="superscript"/>
                <w:lang w:eastAsia="en-AU"/>
              </w:rPr>
              <w:t>(</w:t>
            </w:r>
            <w:r w:rsidR="00E70943">
              <w:rPr>
                <w:rFonts w:ascii="Arial" w:eastAsia="Times New Roman" w:hAnsi="Arial" w:cs="Arial"/>
                <w:b/>
                <w:bCs/>
                <w:color w:val="FFFFFF"/>
                <w:sz w:val="16"/>
                <w:szCs w:val="14"/>
                <w:vertAlign w:val="superscript"/>
                <w:lang w:eastAsia="en-AU"/>
              </w:rPr>
              <w:t>c</w:t>
            </w:r>
            <w:r w:rsidRPr="00C80C2D">
              <w:rPr>
                <w:rFonts w:ascii="Arial" w:eastAsia="Times New Roman" w:hAnsi="Arial" w:cs="Arial"/>
                <w:b/>
                <w:bCs/>
                <w:color w:val="FFFFFF"/>
                <w:sz w:val="16"/>
                <w:szCs w:val="14"/>
                <w:vertAlign w:val="superscript"/>
                <w:lang w:eastAsia="en-AU"/>
              </w:rPr>
              <w:t>)</w:t>
            </w:r>
          </w:p>
        </w:tc>
        <w:tc>
          <w:tcPr>
            <w:tcW w:w="1275" w:type="dxa"/>
            <w:vMerge w:val="restart"/>
            <w:tcBorders>
              <w:top w:val="nil"/>
              <w:left w:val="single" w:sz="4" w:space="0" w:color="auto"/>
              <w:bottom w:val="single" w:sz="4" w:space="0" w:color="000000"/>
              <w:right w:val="single" w:sz="4" w:space="0" w:color="auto"/>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Share of total growth (%)</w:t>
            </w:r>
          </w:p>
        </w:tc>
        <w:tc>
          <w:tcPr>
            <w:tcW w:w="993" w:type="dxa"/>
            <w:vMerge/>
            <w:tcBorders>
              <w:left w:val="single" w:sz="4" w:space="0" w:color="auto"/>
              <w:right w:val="nil"/>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r>
      <w:tr w:rsidR="00CD7161" w:rsidRPr="00C80C2D" w:rsidTr="007F3FB0">
        <w:trPr>
          <w:trHeight w:val="227"/>
          <w:tblHeader/>
        </w:trPr>
        <w:tc>
          <w:tcPr>
            <w:tcW w:w="2835" w:type="dxa"/>
            <w:vMerge/>
            <w:tcBorders>
              <w:left w:val="nil"/>
              <w:bottom w:val="single" w:sz="4" w:space="0" w:color="000000"/>
              <w:right w:val="nil"/>
            </w:tcBorders>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851" w:type="dxa"/>
            <w:tcBorders>
              <w:top w:val="nil"/>
              <w:left w:val="single" w:sz="4" w:space="0" w:color="auto"/>
              <w:bottom w:val="single" w:sz="4" w:space="0" w:color="auto"/>
              <w:right w:val="nil"/>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2002-03</w:t>
            </w:r>
          </w:p>
        </w:tc>
        <w:tc>
          <w:tcPr>
            <w:tcW w:w="850" w:type="dxa"/>
            <w:tcBorders>
              <w:top w:val="nil"/>
              <w:left w:val="single" w:sz="4" w:space="0" w:color="auto"/>
              <w:bottom w:val="single" w:sz="4" w:space="0" w:color="auto"/>
              <w:right w:val="single" w:sz="4" w:space="0" w:color="auto"/>
            </w:tcBorders>
            <w:shd w:val="clear" w:color="000000" w:fill="2B3B5F"/>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r w:rsidRPr="00C80C2D">
              <w:rPr>
                <w:rFonts w:ascii="Arial" w:eastAsia="Times New Roman" w:hAnsi="Arial" w:cs="Arial"/>
                <w:b/>
                <w:bCs/>
                <w:color w:val="FFFFFF"/>
                <w:sz w:val="16"/>
                <w:szCs w:val="14"/>
                <w:lang w:eastAsia="en-AU"/>
              </w:rPr>
              <w:t>2012-13</w:t>
            </w:r>
          </w:p>
        </w:tc>
        <w:tc>
          <w:tcPr>
            <w:tcW w:w="898" w:type="dxa"/>
            <w:vMerge/>
            <w:tcBorders>
              <w:top w:val="nil"/>
              <w:left w:val="single" w:sz="4" w:space="0" w:color="auto"/>
              <w:bottom w:val="single" w:sz="4" w:space="0" w:color="000000"/>
              <w:right w:val="single" w:sz="4" w:space="0" w:color="auto"/>
            </w:tcBorders>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1229" w:type="dxa"/>
            <w:vMerge/>
            <w:tcBorders>
              <w:top w:val="nil"/>
              <w:left w:val="single" w:sz="4" w:space="0" w:color="auto"/>
              <w:bottom w:val="single" w:sz="4" w:space="0" w:color="000000"/>
              <w:right w:val="single" w:sz="4" w:space="0" w:color="auto"/>
            </w:tcBorders>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1275" w:type="dxa"/>
            <w:vMerge/>
            <w:tcBorders>
              <w:top w:val="nil"/>
              <w:left w:val="single" w:sz="4" w:space="0" w:color="auto"/>
              <w:bottom w:val="single" w:sz="4" w:space="0" w:color="000000"/>
              <w:right w:val="single" w:sz="4" w:space="0" w:color="auto"/>
            </w:tcBorders>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c>
          <w:tcPr>
            <w:tcW w:w="993" w:type="dxa"/>
            <w:vMerge/>
            <w:tcBorders>
              <w:left w:val="single" w:sz="4" w:space="0" w:color="auto"/>
              <w:bottom w:val="single" w:sz="4" w:space="0" w:color="000000"/>
              <w:right w:val="nil"/>
            </w:tcBorders>
            <w:vAlign w:val="center"/>
            <w:hideMark/>
          </w:tcPr>
          <w:p w:rsidR="00CD7161" w:rsidRPr="00C80C2D" w:rsidRDefault="00CD7161" w:rsidP="007F3FB0">
            <w:pPr>
              <w:spacing w:line="240" w:lineRule="auto"/>
              <w:jc w:val="center"/>
              <w:rPr>
                <w:rFonts w:ascii="Arial" w:eastAsia="Times New Roman" w:hAnsi="Arial" w:cs="Arial"/>
                <w:b/>
                <w:bCs/>
                <w:color w:val="FFFFFF"/>
                <w:sz w:val="16"/>
                <w:szCs w:val="14"/>
                <w:lang w:eastAsia="en-AU"/>
              </w:rPr>
            </w:pPr>
          </w:p>
        </w:tc>
      </w:tr>
      <w:tr w:rsidR="00CD7161" w:rsidRPr="00B800CF" w:rsidTr="007F3FB0">
        <w:trPr>
          <w:trHeight w:val="227"/>
        </w:trPr>
        <w:tc>
          <w:tcPr>
            <w:tcW w:w="2835" w:type="dxa"/>
            <w:tcBorders>
              <w:top w:val="nil"/>
              <w:left w:val="nil"/>
              <w:bottom w:val="nil"/>
              <w:right w:val="nil"/>
            </w:tcBorders>
            <w:shd w:val="clear" w:color="000000" w:fill="CCD5E8"/>
            <w:vAlign w:val="center"/>
            <w:hideMark/>
          </w:tcPr>
          <w:p w:rsidR="00CD7161" w:rsidRDefault="00CD7161" w:rsidP="007F3FB0">
            <w:pPr>
              <w:spacing w:line="240" w:lineRule="auto"/>
              <w:rPr>
                <w:rFonts w:ascii="Arial" w:hAnsi="Arial" w:cs="Arial"/>
                <w:b/>
                <w:bCs/>
                <w:sz w:val="16"/>
                <w:szCs w:val="16"/>
              </w:rPr>
            </w:pPr>
            <w:r>
              <w:rPr>
                <w:rFonts w:ascii="Arial" w:hAnsi="Arial" w:cs="Arial"/>
                <w:b/>
                <w:bCs/>
                <w:sz w:val="16"/>
                <w:szCs w:val="16"/>
              </w:rPr>
              <w:t>Social security and welfare</w:t>
            </w:r>
          </w:p>
        </w:tc>
        <w:tc>
          <w:tcPr>
            <w:tcW w:w="851"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78</w:t>
            </w:r>
          </w:p>
        </w:tc>
        <w:tc>
          <w:tcPr>
            <w:tcW w:w="850" w:type="dxa"/>
            <w:tcBorders>
              <w:top w:val="nil"/>
              <w:left w:val="single" w:sz="4" w:space="0" w:color="auto"/>
              <w:bottom w:val="nil"/>
              <w:right w:val="single" w:sz="4" w:space="0" w:color="auto"/>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146</w:t>
            </w:r>
          </w:p>
        </w:tc>
        <w:tc>
          <w:tcPr>
            <w:tcW w:w="898" w:type="dxa"/>
            <w:tcBorders>
              <w:top w:val="nil"/>
              <w:left w:val="nil"/>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3.7</w:t>
            </w:r>
          </w:p>
        </w:tc>
        <w:tc>
          <w:tcPr>
            <w:tcW w:w="1229"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12.7</w:t>
            </w:r>
          </w:p>
        </w:tc>
        <w:tc>
          <w:tcPr>
            <w:tcW w:w="1275"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26</w:t>
            </w:r>
          </w:p>
        </w:tc>
        <w:tc>
          <w:tcPr>
            <w:tcW w:w="993"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28</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AB63D0">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70</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129</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3.6</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10.9</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22</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25</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6</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15</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6.0</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1.8</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-0.2</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0.0</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0</w:t>
            </w:r>
          </w:p>
        </w:tc>
      </w:tr>
      <w:tr w:rsidR="00CD7161" w:rsidRPr="00B800CF" w:rsidTr="007F3FB0">
        <w:trPr>
          <w:trHeight w:val="227"/>
        </w:trPr>
        <w:tc>
          <w:tcPr>
            <w:tcW w:w="2835" w:type="dxa"/>
            <w:tcBorders>
              <w:top w:val="nil"/>
              <w:left w:val="nil"/>
              <w:bottom w:val="nil"/>
              <w:right w:val="nil"/>
            </w:tcBorders>
            <w:shd w:val="clear" w:color="auto" w:fill="CCD5E8"/>
            <w:vAlign w:val="center"/>
            <w:hideMark/>
          </w:tcPr>
          <w:p w:rsidR="00CD7161" w:rsidRDefault="00CD7161" w:rsidP="007F3FB0">
            <w:pPr>
              <w:spacing w:line="240" w:lineRule="auto"/>
              <w:rPr>
                <w:rFonts w:ascii="Arial" w:hAnsi="Arial" w:cs="Arial"/>
                <w:b/>
                <w:bCs/>
                <w:sz w:val="16"/>
                <w:szCs w:val="16"/>
              </w:rPr>
            </w:pPr>
            <w:r>
              <w:rPr>
                <w:rFonts w:ascii="Arial" w:hAnsi="Arial" w:cs="Arial"/>
                <w:b/>
                <w:bCs/>
                <w:sz w:val="16"/>
                <w:szCs w:val="16"/>
              </w:rPr>
              <w:t>Health</w:t>
            </w:r>
          </w:p>
        </w:tc>
        <w:tc>
          <w:tcPr>
            <w:tcW w:w="851" w:type="dxa"/>
            <w:tcBorders>
              <w:top w:val="nil"/>
              <w:left w:val="single" w:sz="4" w:space="0" w:color="auto"/>
              <w:bottom w:val="nil"/>
              <w:right w:val="nil"/>
            </w:tcBorders>
            <w:shd w:val="clear" w:color="auto"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47</w:t>
            </w:r>
          </w:p>
        </w:tc>
        <w:tc>
          <w:tcPr>
            <w:tcW w:w="850" w:type="dxa"/>
            <w:tcBorders>
              <w:top w:val="nil"/>
              <w:left w:val="single" w:sz="4" w:space="0" w:color="auto"/>
              <w:bottom w:val="nil"/>
              <w:right w:val="single" w:sz="4" w:space="0" w:color="auto"/>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102</w:t>
            </w:r>
          </w:p>
        </w:tc>
        <w:tc>
          <w:tcPr>
            <w:tcW w:w="898" w:type="dxa"/>
            <w:tcBorders>
              <w:top w:val="nil"/>
              <w:left w:val="nil"/>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5.2</w:t>
            </w:r>
          </w:p>
        </w:tc>
        <w:tc>
          <w:tcPr>
            <w:tcW w:w="1229"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11.5</w:t>
            </w:r>
          </w:p>
        </w:tc>
        <w:tc>
          <w:tcPr>
            <w:tcW w:w="1275"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23</w:t>
            </w:r>
          </w:p>
        </w:tc>
        <w:tc>
          <w:tcPr>
            <w:tcW w:w="993"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19</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20</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44</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5.1</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4.9</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10</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8</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18</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41</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5.8</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5.0</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10</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8</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9</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17</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3.9</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1.5</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r>
      <w:tr w:rsidR="00CD7161" w:rsidRPr="00B800CF" w:rsidTr="007F3FB0">
        <w:trPr>
          <w:trHeight w:val="227"/>
        </w:trPr>
        <w:tc>
          <w:tcPr>
            <w:tcW w:w="2835" w:type="dxa"/>
            <w:tcBorders>
              <w:top w:val="nil"/>
              <w:left w:val="nil"/>
              <w:bottom w:val="nil"/>
              <w:right w:val="nil"/>
            </w:tcBorders>
            <w:shd w:val="clear" w:color="000000" w:fill="CCD5E8"/>
            <w:vAlign w:val="center"/>
            <w:hideMark/>
          </w:tcPr>
          <w:p w:rsidR="00CD7161" w:rsidRDefault="00CD7161" w:rsidP="007F3FB0">
            <w:pPr>
              <w:spacing w:line="240" w:lineRule="auto"/>
              <w:rPr>
                <w:rFonts w:ascii="Arial" w:hAnsi="Arial" w:cs="Arial"/>
                <w:b/>
                <w:bCs/>
                <w:sz w:val="16"/>
                <w:szCs w:val="16"/>
              </w:rPr>
            </w:pPr>
            <w:r>
              <w:rPr>
                <w:rFonts w:ascii="Arial" w:hAnsi="Arial" w:cs="Arial"/>
                <w:b/>
                <w:bCs/>
                <w:sz w:val="16"/>
                <w:szCs w:val="16"/>
              </w:rPr>
              <w:t>Education</w:t>
            </w:r>
          </w:p>
        </w:tc>
        <w:tc>
          <w:tcPr>
            <w:tcW w:w="851"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35</w:t>
            </w:r>
          </w:p>
        </w:tc>
        <w:tc>
          <w:tcPr>
            <w:tcW w:w="850" w:type="dxa"/>
            <w:tcBorders>
              <w:top w:val="nil"/>
              <w:left w:val="single" w:sz="4" w:space="0" w:color="auto"/>
              <w:bottom w:val="nil"/>
              <w:right w:val="single" w:sz="4" w:space="0" w:color="auto"/>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67</w:t>
            </w:r>
          </w:p>
        </w:tc>
        <w:tc>
          <w:tcPr>
            <w:tcW w:w="898" w:type="dxa"/>
            <w:tcBorders>
              <w:top w:val="nil"/>
              <w:left w:val="nil"/>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3.9</w:t>
            </w:r>
          </w:p>
        </w:tc>
        <w:tc>
          <w:tcPr>
            <w:tcW w:w="1229"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6.0</w:t>
            </w:r>
          </w:p>
        </w:tc>
        <w:tc>
          <w:tcPr>
            <w:tcW w:w="1275"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12</w:t>
            </w:r>
          </w:p>
        </w:tc>
        <w:tc>
          <w:tcPr>
            <w:tcW w:w="993" w:type="dxa"/>
            <w:tcBorders>
              <w:top w:val="nil"/>
              <w:left w:val="single" w:sz="4" w:space="0" w:color="auto"/>
              <w:bottom w:val="nil"/>
              <w:right w:val="nil"/>
            </w:tcBorders>
            <w:shd w:val="clear" w:color="000000" w:fill="CCD5E8"/>
            <w:vAlign w:val="center"/>
            <w:hideMark/>
          </w:tcPr>
          <w:p w:rsidR="00CD7161" w:rsidRPr="00DC7E1F" w:rsidRDefault="00CD7161" w:rsidP="007F3FB0">
            <w:pPr>
              <w:spacing w:line="240" w:lineRule="auto"/>
              <w:jc w:val="center"/>
              <w:rPr>
                <w:rFonts w:ascii="Arial" w:hAnsi="Arial" w:cs="Arial"/>
                <w:b/>
                <w:bCs/>
                <w:sz w:val="16"/>
                <w:szCs w:val="16"/>
              </w:rPr>
            </w:pPr>
            <w:r w:rsidRPr="00DC7E1F">
              <w:rPr>
                <w:rFonts w:ascii="Arial" w:hAnsi="Arial" w:cs="Arial"/>
                <w:b/>
                <w:bCs/>
                <w:sz w:val="16"/>
                <w:szCs w:val="16"/>
              </w:rPr>
              <w:t>13</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6</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14</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6.8</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1.9</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22</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38</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2.5</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2.4</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5</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7</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B800CF" w:rsidRDefault="00CD7161" w:rsidP="00DD724F">
            <w:pPr>
              <w:spacing w:line="240" w:lineRule="auto"/>
              <w:ind w:firstLineChars="100" w:firstLine="160"/>
              <w:rPr>
                <w:rFonts w:ascii="Arial" w:hAnsi="Arial" w:cs="Arial"/>
                <w:i/>
                <w:iCs/>
                <w:color w:val="808080" w:themeColor="background1" w:themeShade="80"/>
                <w:sz w:val="16"/>
                <w:szCs w:val="16"/>
              </w:rPr>
            </w:pPr>
            <w:r w:rsidRPr="00B800CF">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7</w:t>
            </w:r>
          </w:p>
        </w:tc>
        <w:tc>
          <w:tcPr>
            <w:tcW w:w="850" w:type="dxa"/>
            <w:tcBorders>
              <w:top w:val="nil"/>
              <w:left w:val="single" w:sz="4" w:space="0" w:color="auto"/>
              <w:bottom w:val="nil"/>
              <w:right w:val="single" w:sz="4" w:space="0" w:color="auto"/>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15</w:t>
            </w:r>
          </w:p>
        </w:tc>
        <w:tc>
          <w:tcPr>
            <w:tcW w:w="898" w:type="dxa"/>
            <w:tcBorders>
              <w:top w:val="nil"/>
              <w:left w:val="nil"/>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5.2</w:t>
            </w:r>
          </w:p>
        </w:tc>
        <w:tc>
          <w:tcPr>
            <w:tcW w:w="1229"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1.7</w:t>
            </w:r>
          </w:p>
        </w:tc>
        <w:tc>
          <w:tcPr>
            <w:tcW w:w="1275"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DC7E1F">
              <w:rPr>
                <w:rFonts w:ascii="Arial" w:hAnsi="Arial" w:cs="Arial"/>
                <w:color w:val="808080" w:themeColor="background1" w:themeShade="80"/>
                <w:sz w:val="16"/>
                <w:szCs w:val="16"/>
              </w:rPr>
              <w:t>3</w:t>
            </w:r>
          </w:p>
        </w:tc>
      </w:tr>
      <w:tr w:rsidR="00CD7161" w:rsidRPr="006946FB" w:rsidTr="007F3FB0">
        <w:trPr>
          <w:trHeight w:val="227"/>
        </w:trPr>
        <w:tc>
          <w:tcPr>
            <w:tcW w:w="2835" w:type="dxa"/>
            <w:tcBorders>
              <w:top w:val="nil"/>
              <w:left w:val="nil"/>
              <w:bottom w:val="nil"/>
              <w:right w:val="nil"/>
            </w:tcBorders>
            <w:shd w:val="clear" w:color="000000" w:fill="CCD5E8"/>
            <w:vAlign w:val="center"/>
            <w:hideMark/>
          </w:tcPr>
          <w:p w:rsidR="00CD7161" w:rsidRPr="006946FB" w:rsidRDefault="00CD7161" w:rsidP="007F3FB0">
            <w:pPr>
              <w:spacing w:line="240" w:lineRule="auto"/>
              <w:rPr>
                <w:rFonts w:ascii="Arial" w:hAnsi="Arial" w:cs="Arial"/>
                <w:b/>
                <w:bCs/>
                <w:sz w:val="16"/>
                <w:szCs w:val="16"/>
              </w:rPr>
            </w:pPr>
            <w:r w:rsidRPr="006946FB">
              <w:rPr>
                <w:rFonts w:ascii="Arial" w:hAnsi="Arial" w:cs="Arial"/>
                <w:b/>
                <w:bCs/>
                <w:sz w:val="16"/>
                <w:szCs w:val="16"/>
              </w:rPr>
              <w:t>General public services</w:t>
            </w:r>
          </w:p>
        </w:tc>
        <w:tc>
          <w:tcPr>
            <w:tcW w:w="851" w:type="dxa"/>
            <w:tcBorders>
              <w:top w:val="nil"/>
              <w:left w:val="single" w:sz="4" w:space="0" w:color="auto"/>
              <w:bottom w:val="nil"/>
              <w:right w:val="nil"/>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16</w:t>
            </w:r>
          </w:p>
        </w:tc>
        <w:tc>
          <w:tcPr>
            <w:tcW w:w="850" w:type="dxa"/>
            <w:tcBorders>
              <w:top w:val="nil"/>
              <w:left w:val="single" w:sz="4" w:space="0" w:color="auto"/>
              <w:bottom w:val="nil"/>
              <w:right w:val="single" w:sz="4" w:space="0" w:color="auto"/>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34</w:t>
            </w:r>
          </w:p>
        </w:tc>
        <w:tc>
          <w:tcPr>
            <w:tcW w:w="898" w:type="dxa"/>
            <w:tcBorders>
              <w:top w:val="nil"/>
              <w:left w:val="nil"/>
              <w:bottom w:val="nil"/>
              <w:right w:val="nil"/>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5.1</w:t>
            </w:r>
          </w:p>
        </w:tc>
        <w:tc>
          <w:tcPr>
            <w:tcW w:w="1229" w:type="dxa"/>
            <w:tcBorders>
              <w:top w:val="nil"/>
              <w:left w:val="single" w:sz="4" w:space="0" w:color="auto"/>
              <w:bottom w:val="nil"/>
              <w:right w:val="nil"/>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3.7</w:t>
            </w:r>
          </w:p>
        </w:tc>
        <w:tc>
          <w:tcPr>
            <w:tcW w:w="1275" w:type="dxa"/>
            <w:tcBorders>
              <w:top w:val="nil"/>
              <w:left w:val="single" w:sz="4" w:space="0" w:color="auto"/>
              <w:bottom w:val="nil"/>
              <w:right w:val="nil"/>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8</w:t>
            </w:r>
          </w:p>
        </w:tc>
        <w:tc>
          <w:tcPr>
            <w:tcW w:w="993" w:type="dxa"/>
            <w:tcBorders>
              <w:top w:val="nil"/>
              <w:left w:val="single" w:sz="4" w:space="0" w:color="auto"/>
              <w:bottom w:val="nil"/>
              <w:right w:val="nil"/>
            </w:tcBorders>
            <w:shd w:val="clear" w:color="000000" w:fill="CCD5E8"/>
            <w:vAlign w:val="center"/>
            <w:hideMark/>
          </w:tcPr>
          <w:p w:rsidR="00CD7161" w:rsidRPr="006946FB" w:rsidRDefault="00CD7161" w:rsidP="007F3FB0">
            <w:pPr>
              <w:spacing w:line="240" w:lineRule="auto"/>
              <w:jc w:val="center"/>
              <w:rPr>
                <w:rFonts w:ascii="Arial" w:hAnsi="Arial" w:cs="Arial"/>
                <w:b/>
                <w:bCs/>
                <w:sz w:val="16"/>
                <w:szCs w:val="16"/>
              </w:rPr>
            </w:pPr>
            <w:r w:rsidRPr="006946FB">
              <w:rPr>
                <w:rFonts w:ascii="Arial" w:hAnsi="Arial" w:cs="Arial"/>
                <w:b/>
                <w:bCs/>
                <w:sz w:val="16"/>
                <w:szCs w:val="16"/>
              </w:rPr>
              <w:t>6</w:t>
            </w:r>
          </w:p>
        </w:tc>
      </w:tr>
      <w:tr w:rsidR="00CD7161" w:rsidRPr="006946FB" w:rsidTr="007F3FB0">
        <w:trPr>
          <w:trHeight w:val="227"/>
        </w:trPr>
        <w:tc>
          <w:tcPr>
            <w:tcW w:w="2835" w:type="dxa"/>
            <w:tcBorders>
              <w:top w:val="nil"/>
              <w:left w:val="nil"/>
              <w:bottom w:val="nil"/>
              <w:right w:val="nil"/>
            </w:tcBorders>
            <w:shd w:val="clear" w:color="auto" w:fill="auto"/>
            <w:vAlign w:val="center"/>
            <w:hideMark/>
          </w:tcPr>
          <w:p w:rsidR="00CD7161" w:rsidRPr="006946FB" w:rsidRDefault="00CD7161" w:rsidP="00DD724F">
            <w:pPr>
              <w:spacing w:line="240" w:lineRule="auto"/>
              <w:ind w:firstLineChars="100" w:firstLine="160"/>
              <w:rPr>
                <w:rFonts w:ascii="Arial" w:hAnsi="Arial" w:cs="Arial"/>
                <w:i/>
                <w:iCs/>
                <w:color w:val="808080" w:themeColor="background1" w:themeShade="80"/>
                <w:sz w:val="16"/>
                <w:szCs w:val="16"/>
              </w:rPr>
            </w:pPr>
            <w:r w:rsidRPr="006946FB">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10</w:t>
            </w:r>
          </w:p>
        </w:tc>
        <w:tc>
          <w:tcPr>
            <w:tcW w:w="850" w:type="dxa"/>
            <w:tcBorders>
              <w:top w:val="nil"/>
              <w:left w:val="single" w:sz="4" w:space="0" w:color="auto"/>
              <w:bottom w:val="nil"/>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21</w:t>
            </w:r>
          </w:p>
        </w:tc>
        <w:tc>
          <w:tcPr>
            <w:tcW w:w="898" w:type="dxa"/>
            <w:tcBorders>
              <w:top w:val="nil"/>
              <w:left w:val="nil"/>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5.6</w:t>
            </w:r>
          </w:p>
        </w:tc>
        <w:tc>
          <w:tcPr>
            <w:tcW w:w="1229"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2.5</w:t>
            </w:r>
          </w:p>
        </w:tc>
        <w:tc>
          <w:tcPr>
            <w:tcW w:w="1275"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5</w:t>
            </w:r>
          </w:p>
        </w:tc>
        <w:tc>
          <w:tcPr>
            <w:tcW w:w="993"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4</w:t>
            </w:r>
          </w:p>
        </w:tc>
      </w:tr>
      <w:tr w:rsidR="00CD7161" w:rsidRPr="006946FB" w:rsidTr="007F3FB0">
        <w:trPr>
          <w:trHeight w:val="227"/>
        </w:trPr>
        <w:tc>
          <w:tcPr>
            <w:tcW w:w="2835" w:type="dxa"/>
            <w:tcBorders>
              <w:top w:val="nil"/>
              <w:left w:val="nil"/>
              <w:bottom w:val="nil"/>
              <w:right w:val="nil"/>
            </w:tcBorders>
            <w:shd w:val="clear" w:color="auto" w:fill="auto"/>
            <w:vAlign w:val="center"/>
            <w:hideMark/>
          </w:tcPr>
          <w:p w:rsidR="00CD7161" w:rsidRPr="006946FB" w:rsidRDefault="00CD7161" w:rsidP="00DD724F">
            <w:pPr>
              <w:spacing w:line="240" w:lineRule="auto"/>
              <w:ind w:firstLineChars="100" w:firstLine="160"/>
              <w:rPr>
                <w:rFonts w:ascii="Arial" w:hAnsi="Arial" w:cs="Arial"/>
                <w:i/>
                <w:iCs/>
                <w:color w:val="808080" w:themeColor="background1" w:themeShade="80"/>
                <w:sz w:val="16"/>
                <w:szCs w:val="16"/>
              </w:rPr>
            </w:pPr>
            <w:r w:rsidRPr="006946FB">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6</w:t>
            </w:r>
          </w:p>
        </w:tc>
        <w:tc>
          <w:tcPr>
            <w:tcW w:w="850" w:type="dxa"/>
            <w:tcBorders>
              <w:top w:val="nil"/>
              <w:left w:val="single" w:sz="4" w:space="0" w:color="auto"/>
              <w:bottom w:val="nil"/>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12</w:t>
            </w:r>
          </w:p>
        </w:tc>
        <w:tc>
          <w:tcPr>
            <w:tcW w:w="898" w:type="dxa"/>
            <w:tcBorders>
              <w:top w:val="nil"/>
              <w:left w:val="nil"/>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4.2</w:t>
            </w:r>
          </w:p>
        </w:tc>
        <w:tc>
          <w:tcPr>
            <w:tcW w:w="1229"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1.2</w:t>
            </w:r>
          </w:p>
        </w:tc>
        <w:tc>
          <w:tcPr>
            <w:tcW w:w="1275"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2</w:t>
            </w:r>
          </w:p>
        </w:tc>
        <w:tc>
          <w:tcPr>
            <w:tcW w:w="993"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2</w:t>
            </w:r>
          </w:p>
        </w:tc>
      </w:tr>
      <w:tr w:rsidR="00CD7161" w:rsidRPr="00B800CF" w:rsidTr="007F3FB0">
        <w:trPr>
          <w:trHeight w:val="227"/>
        </w:trPr>
        <w:tc>
          <w:tcPr>
            <w:tcW w:w="2835" w:type="dxa"/>
            <w:tcBorders>
              <w:top w:val="nil"/>
              <w:left w:val="nil"/>
              <w:bottom w:val="nil"/>
              <w:right w:val="nil"/>
            </w:tcBorders>
            <w:shd w:val="clear" w:color="auto" w:fill="auto"/>
            <w:vAlign w:val="center"/>
            <w:hideMark/>
          </w:tcPr>
          <w:p w:rsidR="00CD7161" w:rsidRPr="006946FB" w:rsidRDefault="00CD7161" w:rsidP="00DD724F">
            <w:pPr>
              <w:spacing w:line="240" w:lineRule="auto"/>
              <w:ind w:firstLineChars="100" w:firstLine="160"/>
              <w:rPr>
                <w:rFonts w:ascii="Arial" w:hAnsi="Arial" w:cs="Arial"/>
                <w:i/>
                <w:iCs/>
                <w:color w:val="808080" w:themeColor="background1" w:themeShade="80"/>
                <w:sz w:val="16"/>
                <w:szCs w:val="16"/>
              </w:rPr>
            </w:pPr>
            <w:r w:rsidRPr="006946FB">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0</w:t>
            </w:r>
          </w:p>
        </w:tc>
        <w:tc>
          <w:tcPr>
            <w:tcW w:w="850" w:type="dxa"/>
            <w:tcBorders>
              <w:top w:val="nil"/>
              <w:left w:val="single" w:sz="4" w:space="0" w:color="auto"/>
              <w:bottom w:val="nil"/>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0</w:t>
            </w:r>
          </w:p>
        </w:tc>
        <w:tc>
          <w:tcPr>
            <w:tcW w:w="898" w:type="dxa"/>
            <w:tcBorders>
              <w:top w:val="nil"/>
              <w:left w:val="nil"/>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w:t>
            </w:r>
          </w:p>
        </w:tc>
        <w:tc>
          <w:tcPr>
            <w:tcW w:w="1229"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0.0</w:t>
            </w:r>
          </w:p>
        </w:tc>
        <w:tc>
          <w:tcPr>
            <w:tcW w:w="1275"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6946FB">
              <w:rPr>
                <w:rFonts w:ascii="Arial" w:hAnsi="Arial" w:cs="Arial"/>
                <w:color w:val="808080" w:themeColor="background1" w:themeShade="80"/>
                <w:sz w:val="16"/>
                <w:szCs w:val="16"/>
              </w:rPr>
              <w:t>0</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 xml:space="preserve">Other </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17</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34</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4.2</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3.2</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7</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6</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10</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21</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4.6</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2.2</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7</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13</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3.6</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1.1</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D34FDC" w:rsidRDefault="00CD7161" w:rsidP="007F3FB0">
            <w:pPr>
              <w:spacing w:line="240" w:lineRule="auto"/>
              <w:rPr>
                <w:rFonts w:ascii="Arial" w:hAnsi="Arial" w:cs="Arial"/>
                <w:b/>
                <w:bCs/>
                <w:sz w:val="16"/>
                <w:szCs w:val="16"/>
              </w:rPr>
            </w:pPr>
            <w:r w:rsidRPr="00D34FDC">
              <w:rPr>
                <w:rFonts w:ascii="Arial" w:hAnsi="Arial" w:cs="Arial"/>
                <w:b/>
                <w:bCs/>
                <w:sz w:val="16"/>
                <w:szCs w:val="16"/>
              </w:rPr>
              <w:t>Transport and communications</w:t>
            </w:r>
          </w:p>
        </w:tc>
        <w:tc>
          <w:tcPr>
            <w:tcW w:w="851" w:type="dxa"/>
            <w:tcBorders>
              <w:top w:val="nil"/>
              <w:left w:val="single" w:sz="4" w:space="0" w:color="auto"/>
              <w:bottom w:val="nil"/>
              <w:right w:val="nil"/>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16</w:t>
            </w:r>
          </w:p>
        </w:tc>
        <w:tc>
          <w:tcPr>
            <w:tcW w:w="850" w:type="dxa"/>
            <w:tcBorders>
              <w:top w:val="nil"/>
              <w:left w:val="single" w:sz="4" w:space="0" w:color="auto"/>
              <w:bottom w:val="nil"/>
              <w:right w:val="single" w:sz="4" w:space="0" w:color="auto"/>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30</w:t>
            </w:r>
          </w:p>
        </w:tc>
        <w:tc>
          <w:tcPr>
            <w:tcW w:w="898" w:type="dxa"/>
            <w:tcBorders>
              <w:top w:val="nil"/>
              <w:left w:val="nil"/>
              <w:bottom w:val="nil"/>
              <w:right w:val="nil"/>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3.8</w:t>
            </w:r>
          </w:p>
        </w:tc>
        <w:tc>
          <w:tcPr>
            <w:tcW w:w="1229" w:type="dxa"/>
            <w:tcBorders>
              <w:top w:val="nil"/>
              <w:left w:val="single" w:sz="4" w:space="0" w:color="auto"/>
              <w:bottom w:val="nil"/>
              <w:right w:val="nil"/>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2.6</w:t>
            </w:r>
          </w:p>
        </w:tc>
        <w:tc>
          <w:tcPr>
            <w:tcW w:w="1275" w:type="dxa"/>
            <w:tcBorders>
              <w:top w:val="nil"/>
              <w:left w:val="single" w:sz="4" w:space="0" w:color="auto"/>
              <w:bottom w:val="nil"/>
              <w:right w:val="nil"/>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5</w:t>
            </w:r>
          </w:p>
        </w:tc>
        <w:tc>
          <w:tcPr>
            <w:tcW w:w="993" w:type="dxa"/>
            <w:tcBorders>
              <w:top w:val="nil"/>
              <w:left w:val="single" w:sz="4" w:space="0" w:color="auto"/>
              <w:bottom w:val="nil"/>
              <w:right w:val="nil"/>
            </w:tcBorders>
            <w:shd w:val="clear" w:color="auto" w:fill="CCD5E8"/>
            <w:vAlign w:val="center"/>
            <w:hideMark/>
          </w:tcPr>
          <w:p w:rsidR="00CD7161" w:rsidRPr="00D34FDC" w:rsidRDefault="00CD7161" w:rsidP="007F3FB0">
            <w:pPr>
              <w:spacing w:line="240" w:lineRule="auto"/>
              <w:jc w:val="center"/>
              <w:rPr>
                <w:rFonts w:ascii="Arial" w:hAnsi="Arial" w:cs="Arial"/>
                <w:b/>
                <w:bCs/>
                <w:sz w:val="16"/>
                <w:szCs w:val="16"/>
              </w:rPr>
            </w:pPr>
            <w:r w:rsidRPr="00D34FDC">
              <w:rPr>
                <w:rFonts w:ascii="Arial" w:hAnsi="Arial" w:cs="Arial"/>
                <w:b/>
                <w:bCs/>
                <w:sz w:val="16"/>
                <w:szCs w:val="16"/>
              </w:rPr>
              <w:t>6</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D34FDC" w:rsidRDefault="00CD7161" w:rsidP="00DD724F">
            <w:pPr>
              <w:spacing w:line="240" w:lineRule="auto"/>
              <w:ind w:firstLineChars="100" w:firstLine="160"/>
              <w:rPr>
                <w:rFonts w:ascii="Arial" w:hAnsi="Arial" w:cs="Arial"/>
                <w:i/>
                <w:iCs/>
                <w:color w:val="808080" w:themeColor="background1" w:themeShade="80"/>
                <w:sz w:val="16"/>
                <w:szCs w:val="16"/>
              </w:rPr>
            </w:pPr>
            <w:r w:rsidRPr="00D34FDC">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w:t>
            </w:r>
          </w:p>
        </w:tc>
        <w:tc>
          <w:tcPr>
            <w:tcW w:w="850" w:type="dxa"/>
            <w:tcBorders>
              <w:top w:val="nil"/>
              <w:left w:val="single" w:sz="4" w:space="0" w:color="auto"/>
              <w:bottom w:val="nil"/>
              <w:right w:val="single" w:sz="4" w:space="0" w:color="auto"/>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2</w:t>
            </w:r>
          </w:p>
        </w:tc>
        <w:tc>
          <w:tcPr>
            <w:tcW w:w="898" w:type="dxa"/>
            <w:tcBorders>
              <w:top w:val="nil"/>
              <w:left w:val="nil"/>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2.9</w:t>
            </w:r>
          </w:p>
        </w:tc>
        <w:tc>
          <w:tcPr>
            <w:tcW w:w="1229"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0.1</w:t>
            </w:r>
          </w:p>
        </w:tc>
        <w:tc>
          <w:tcPr>
            <w:tcW w:w="1275"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0</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D34FDC" w:rsidRDefault="00CD7161" w:rsidP="00DD724F">
            <w:pPr>
              <w:spacing w:line="240" w:lineRule="auto"/>
              <w:ind w:firstLineChars="100" w:firstLine="160"/>
              <w:rPr>
                <w:rFonts w:ascii="Arial" w:hAnsi="Arial" w:cs="Arial"/>
                <w:i/>
                <w:iCs/>
                <w:color w:val="808080" w:themeColor="background1" w:themeShade="80"/>
                <w:sz w:val="16"/>
                <w:szCs w:val="16"/>
              </w:rPr>
            </w:pPr>
            <w:r w:rsidRPr="00D34FDC">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13</w:t>
            </w:r>
          </w:p>
        </w:tc>
        <w:tc>
          <w:tcPr>
            <w:tcW w:w="850" w:type="dxa"/>
            <w:tcBorders>
              <w:top w:val="nil"/>
              <w:left w:val="single" w:sz="4" w:space="0" w:color="auto"/>
              <w:bottom w:val="nil"/>
              <w:right w:val="single" w:sz="4" w:space="0" w:color="auto"/>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24</w:t>
            </w:r>
          </w:p>
        </w:tc>
        <w:tc>
          <w:tcPr>
            <w:tcW w:w="898" w:type="dxa"/>
            <w:tcBorders>
              <w:top w:val="nil"/>
              <w:left w:val="nil"/>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3.4</w:t>
            </w:r>
          </w:p>
        </w:tc>
        <w:tc>
          <w:tcPr>
            <w:tcW w:w="1229"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1.9</w:t>
            </w:r>
          </w:p>
        </w:tc>
        <w:tc>
          <w:tcPr>
            <w:tcW w:w="1275"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5</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D34FDC" w:rsidRDefault="00CD7161" w:rsidP="00DD724F">
            <w:pPr>
              <w:spacing w:line="240" w:lineRule="auto"/>
              <w:ind w:firstLineChars="100" w:firstLine="160"/>
              <w:rPr>
                <w:rFonts w:ascii="Arial" w:hAnsi="Arial" w:cs="Arial"/>
                <w:i/>
                <w:iCs/>
                <w:color w:val="808080" w:themeColor="background1" w:themeShade="80"/>
                <w:sz w:val="16"/>
                <w:szCs w:val="16"/>
              </w:rPr>
            </w:pPr>
            <w:r w:rsidRPr="00D34FDC">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w:t>
            </w:r>
          </w:p>
        </w:tc>
        <w:tc>
          <w:tcPr>
            <w:tcW w:w="850" w:type="dxa"/>
            <w:tcBorders>
              <w:top w:val="nil"/>
              <w:left w:val="single" w:sz="4" w:space="0" w:color="auto"/>
              <w:bottom w:val="nil"/>
              <w:right w:val="single" w:sz="4" w:space="0" w:color="auto"/>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4</w:t>
            </w:r>
          </w:p>
        </w:tc>
        <w:tc>
          <w:tcPr>
            <w:tcW w:w="898" w:type="dxa"/>
            <w:tcBorders>
              <w:top w:val="nil"/>
              <w:left w:val="nil"/>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7.9</w:t>
            </w:r>
          </w:p>
        </w:tc>
        <w:tc>
          <w:tcPr>
            <w:tcW w:w="1229"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0.5</w:t>
            </w:r>
          </w:p>
        </w:tc>
        <w:tc>
          <w:tcPr>
            <w:tcW w:w="1275"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D34FDC">
              <w:rPr>
                <w:rFonts w:ascii="Arial" w:hAnsi="Arial" w:cs="Arial"/>
                <w:color w:val="808080" w:themeColor="background1" w:themeShade="80"/>
                <w:sz w:val="16"/>
                <w:szCs w:val="16"/>
              </w:rPr>
              <w:t>1</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Housing and community amenities</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10</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22</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5.3</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2.5</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5</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4</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6</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19.3</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1.4</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8</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14</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2.7</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0.9</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3.6</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0.2</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Public order and safety</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13</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26</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4.1</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2.4</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5</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5</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4.2</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0.4</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11</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22</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4.0</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2.0</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10.3</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0.0</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Industry</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18</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32</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3.2</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2.4</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5</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6</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11</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21</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4.4</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2.1</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7</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10</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0.8</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0.2</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6.7</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0.1</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 xml:space="preserve">Defence </w:t>
            </w:r>
            <w:r w:rsidRPr="009B0551">
              <w:rPr>
                <w:rFonts w:ascii="Arial" w:hAnsi="Arial" w:cs="Arial"/>
                <w:b/>
                <w:bCs/>
                <w:sz w:val="16"/>
                <w:szCs w:val="16"/>
                <w:vertAlign w:val="superscript"/>
              </w:rPr>
              <w:t>(</w:t>
            </w:r>
            <w:r w:rsidR="00E70943">
              <w:rPr>
                <w:rFonts w:ascii="Arial" w:hAnsi="Arial" w:cs="Arial"/>
                <w:b/>
                <w:bCs/>
                <w:sz w:val="16"/>
                <w:szCs w:val="16"/>
                <w:vertAlign w:val="superscript"/>
              </w:rPr>
              <w:t>d</w:t>
            </w:r>
            <w:r w:rsidRPr="009B0551">
              <w:rPr>
                <w:rFonts w:ascii="Arial" w:hAnsi="Arial" w:cs="Arial"/>
                <w:b/>
                <w:bCs/>
                <w:sz w:val="16"/>
                <w:szCs w:val="16"/>
                <w:vertAlign w:val="superscript"/>
              </w:rPr>
              <w:t>)</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13</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21</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2.1</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1.1</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4</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13</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21</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2.1</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1.1</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iCs/>
                <w:color w:val="808080" w:themeColor="background1" w:themeShade="80"/>
                <w:sz w:val="16"/>
                <w:szCs w:val="16"/>
              </w:rPr>
            </w:pPr>
            <w:r w:rsidRPr="009B0551">
              <w:rPr>
                <w:rFonts w:ascii="Arial" w:hAnsi="Arial" w:cs="Arial"/>
                <w:iCs/>
                <w:color w:val="808080" w:themeColor="background1" w:themeShade="80"/>
                <w:sz w:val="16"/>
                <w:szCs w:val="16"/>
              </w:rPr>
              <w:t>2</w:t>
            </w:r>
          </w:p>
        </w:tc>
        <w:tc>
          <w:tcPr>
            <w:tcW w:w="993" w:type="dxa"/>
            <w:tcBorders>
              <w:top w:val="nil"/>
              <w:left w:val="single" w:sz="4" w:space="0" w:color="auto"/>
              <w:bottom w:val="nil"/>
              <w:right w:val="nil"/>
            </w:tcBorders>
            <w:shd w:val="clear" w:color="auto" w:fill="auto"/>
            <w:vAlign w:val="center"/>
            <w:hideMark/>
          </w:tcPr>
          <w:p w:rsidR="00CD7161" w:rsidRPr="00D34FDC"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4</w:t>
            </w:r>
          </w:p>
        </w:tc>
      </w:tr>
      <w:tr w:rsidR="00CD7161" w:rsidRPr="00D34FDC" w:rsidTr="007F3FB0">
        <w:trPr>
          <w:trHeight w:val="227"/>
        </w:trPr>
        <w:tc>
          <w:tcPr>
            <w:tcW w:w="2835" w:type="dxa"/>
            <w:tcBorders>
              <w:top w:val="nil"/>
              <w:left w:val="nil"/>
              <w:bottom w:val="nil"/>
              <w:right w:val="nil"/>
            </w:tcBorders>
            <w:shd w:val="clear" w:color="auto" w:fill="CCD5E8"/>
            <w:vAlign w:val="center"/>
            <w:hideMark/>
          </w:tcPr>
          <w:p w:rsidR="00CD7161" w:rsidRPr="009B0551" w:rsidRDefault="00CD7161" w:rsidP="007F3FB0">
            <w:pPr>
              <w:spacing w:line="240" w:lineRule="auto"/>
              <w:rPr>
                <w:rFonts w:ascii="Arial" w:hAnsi="Arial" w:cs="Arial"/>
                <w:b/>
                <w:bCs/>
                <w:sz w:val="16"/>
                <w:szCs w:val="16"/>
              </w:rPr>
            </w:pPr>
            <w:r w:rsidRPr="009B0551">
              <w:rPr>
                <w:rFonts w:ascii="Arial" w:hAnsi="Arial" w:cs="Arial"/>
                <w:b/>
                <w:bCs/>
                <w:sz w:val="16"/>
                <w:szCs w:val="16"/>
              </w:rPr>
              <w:t>Recreation and culture</w:t>
            </w:r>
          </w:p>
        </w:tc>
        <w:tc>
          <w:tcPr>
            <w:tcW w:w="851"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7</w:t>
            </w:r>
          </w:p>
        </w:tc>
        <w:tc>
          <w:tcPr>
            <w:tcW w:w="850" w:type="dxa"/>
            <w:tcBorders>
              <w:top w:val="nil"/>
              <w:left w:val="single" w:sz="4" w:space="0" w:color="auto"/>
              <w:bottom w:val="nil"/>
              <w:right w:val="single" w:sz="4" w:space="0" w:color="auto"/>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13</w:t>
            </w:r>
          </w:p>
        </w:tc>
        <w:tc>
          <w:tcPr>
            <w:tcW w:w="898" w:type="dxa"/>
            <w:tcBorders>
              <w:top w:val="nil"/>
              <w:left w:val="nil"/>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2.9</w:t>
            </w:r>
          </w:p>
        </w:tc>
        <w:tc>
          <w:tcPr>
            <w:tcW w:w="1229"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0.9</w:t>
            </w:r>
          </w:p>
        </w:tc>
        <w:tc>
          <w:tcPr>
            <w:tcW w:w="1275"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w:t>
            </w:r>
          </w:p>
        </w:tc>
        <w:tc>
          <w:tcPr>
            <w:tcW w:w="993" w:type="dxa"/>
            <w:tcBorders>
              <w:top w:val="nil"/>
              <w:left w:val="single" w:sz="4" w:space="0" w:color="auto"/>
              <w:bottom w:val="nil"/>
              <w:right w:val="nil"/>
            </w:tcBorders>
            <w:shd w:val="clear" w:color="auto" w:fill="CCD5E8"/>
            <w:vAlign w:val="center"/>
            <w:hideMark/>
          </w:tcPr>
          <w:p w:rsidR="00CD7161" w:rsidRPr="009B0551" w:rsidRDefault="00CD7161" w:rsidP="007F3FB0">
            <w:pPr>
              <w:spacing w:line="240" w:lineRule="auto"/>
              <w:jc w:val="center"/>
              <w:rPr>
                <w:rFonts w:ascii="Arial" w:hAnsi="Arial" w:cs="Arial"/>
                <w:b/>
                <w:bCs/>
                <w:sz w:val="16"/>
                <w:szCs w:val="16"/>
              </w:rPr>
            </w:pPr>
            <w:r w:rsidRPr="009B0551">
              <w:rPr>
                <w:rFonts w:ascii="Arial" w:hAnsi="Arial" w:cs="Arial"/>
                <w:b/>
                <w:bCs/>
                <w:sz w:val="16"/>
                <w:szCs w:val="16"/>
              </w:rPr>
              <w:t>2</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DD724F">
            <w:pPr>
              <w:spacing w:line="240" w:lineRule="auto"/>
              <w:ind w:firstLineChars="100" w:firstLine="160"/>
              <w:jc w:val="center"/>
              <w:rPr>
                <w:rFonts w:ascii="Arial" w:hAnsi="Arial" w:cs="Arial"/>
                <w:iCs/>
                <w:color w:val="808080" w:themeColor="background1" w:themeShade="80"/>
                <w:sz w:val="16"/>
                <w:szCs w:val="16"/>
              </w:rPr>
            </w:pPr>
            <w:r w:rsidRPr="009B0551">
              <w:rPr>
                <w:rFonts w:ascii="Arial" w:hAnsi="Arial" w:cs="Arial"/>
                <w:iCs/>
                <w:color w:val="808080" w:themeColor="background1" w:themeShade="80"/>
                <w:sz w:val="16"/>
                <w:szCs w:val="16"/>
              </w:rPr>
              <w:t>4</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2.7</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0.2</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r>
      <w:tr w:rsidR="00CD7161" w:rsidRPr="00D34FDC"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State own-purpose</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5</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DD724F">
            <w:pPr>
              <w:spacing w:line="240" w:lineRule="auto"/>
              <w:ind w:firstLineChars="100" w:firstLine="160"/>
              <w:jc w:val="center"/>
              <w:rPr>
                <w:rFonts w:ascii="Arial" w:hAnsi="Arial" w:cs="Arial"/>
                <w:iCs/>
                <w:color w:val="808080" w:themeColor="background1" w:themeShade="80"/>
                <w:sz w:val="16"/>
                <w:szCs w:val="16"/>
              </w:rPr>
            </w:pPr>
            <w:r w:rsidRPr="009B0551">
              <w:rPr>
                <w:rFonts w:ascii="Arial" w:hAnsi="Arial" w:cs="Arial"/>
                <w:iCs/>
                <w:color w:val="808080" w:themeColor="background1" w:themeShade="80"/>
                <w:sz w:val="16"/>
                <w:szCs w:val="16"/>
              </w:rPr>
              <w:t>9</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3.1</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0.7</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1</w:t>
            </w:r>
          </w:p>
        </w:tc>
        <w:tc>
          <w:tcPr>
            <w:tcW w:w="993"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2</w:t>
            </w:r>
          </w:p>
        </w:tc>
      </w:tr>
      <w:tr w:rsidR="00CD7161" w:rsidRPr="00DC7E1F" w:rsidTr="007F3FB0">
        <w:trPr>
          <w:trHeight w:val="227"/>
        </w:trPr>
        <w:tc>
          <w:tcPr>
            <w:tcW w:w="2835" w:type="dxa"/>
            <w:tcBorders>
              <w:top w:val="nil"/>
              <w:left w:val="nil"/>
              <w:bottom w:val="nil"/>
              <w:right w:val="nil"/>
            </w:tcBorders>
            <w:shd w:val="clear" w:color="auto" w:fill="auto"/>
            <w:vAlign w:val="center"/>
            <w:hideMark/>
          </w:tcPr>
          <w:p w:rsidR="00CD7161" w:rsidRPr="009B0551" w:rsidRDefault="00CD7161" w:rsidP="00DD724F">
            <w:pPr>
              <w:spacing w:line="240" w:lineRule="auto"/>
              <w:ind w:firstLineChars="100" w:firstLine="160"/>
              <w:rPr>
                <w:rFonts w:ascii="Arial" w:hAnsi="Arial" w:cs="Arial"/>
                <w:i/>
                <w:iCs/>
                <w:color w:val="808080" w:themeColor="background1" w:themeShade="80"/>
                <w:sz w:val="16"/>
                <w:szCs w:val="16"/>
              </w:rPr>
            </w:pPr>
            <w:r w:rsidRPr="009B0551">
              <w:rPr>
                <w:rFonts w:ascii="Arial" w:hAnsi="Arial" w:cs="Arial"/>
                <w:i/>
                <w:iCs/>
                <w:color w:val="808080" w:themeColor="background1" w:themeShade="80"/>
                <w:sz w:val="16"/>
                <w:szCs w:val="16"/>
              </w:rPr>
              <w:t>Transfers to states</w:t>
            </w:r>
          </w:p>
        </w:tc>
        <w:tc>
          <w:tcPr>
            <w:tcW w:w="851"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850" w:type="dxa"/>
            <w:tcBorders>
              <w:top w:val="nil"/>
              <w:left w:val="single" w:sz="4" w:space="0" w:color="auto"/>
              <w:bottom w:val="nil"/>
              <w:right w:val="single" w:sz="4" w:space="0" w:color="auto"/>
            </w:tcBorders>
            <w:shd w:val="clear" w:color="auto" w:fill="auto"/>
            <w:vAlign w:val="center"/>
            <w:hideMark/>
          </w:tcPr>
          <w:p w:rsidR="00CD7161" w:rsidRPr="009B0551" w:rsidRDefault="00CD7161" w:rsidP="00DD724F">
            <w:pPr>
              <w:spacing w:line="240" w:lineRule="auto"/>
              <w:ind w:firstLineChars="100" w:firstLine="160"/>
              <w:jc w:val="center"/>
              <w:rPr>
                <w:rFonts w:ascii="Arial" w:hAnsi="Arial" w:cs="Arial"/>
                <w:iCs/>
                <w:color w:val="808080" w:themeColor="background1" w:themeShade="80"/>
                <w:sz w:val="16"/>
                <w:szCs w:val="16"/>
              </w:rPr>
            </w:pPr>
            <w:r w:rsidRPr="009B0551">
              <w:rPr>
                <w:rFonts w:ascii="Arial" w:hAnsi="Arial" w:cs="Arial"/>
                <w:iCs/>
                <w:color w:val="808080" w:themeColor="background1" w:themeShade="80"/>
                <w:sz w:val="16"/>
                <w:szCs w:val="16"/>
              </w:rPr>
              <w:t>0</w:t>
            </w:r>
          </w:p>
        </w:tc>
        <w:tc>
          <w:tcPr>
            <w:tcW w:w="898" w:type="dxa"/>
            <w:tcBorders>
              <w:top w:val="nil"/>
              <w:left w:val="nil"/>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-3.0</w:t>
            </w:r>
          </w:p>
        </w:tc>
        <w:tc>
          <w:tcPr>
            <w:tcW w:w="1229"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0.0</w:t>
            </w:r>
          </w:p>
        </w:tc>
        <w:tc>
          <w:tcPr>
            <w:tcW w:w="1275" w:type="dxa"/>
            <w:tcBorders>
              <w:top w:val="nil"/>
              <w:left w:val="single" w:sz="4" w:space="0" w:color="auto"/>
              <w:bottom w:val="nil"/>
              <w:right w:val="nil"/>
            </w:tcBorders>
            <w:shd w:val="clear" w:color="auto" w:fill="auto"/>
            <w:vAlign w:val="center"/>
            <w:hideMark/>
          </w:tcPr>
          <w:p w:rsidR="00CD7161" w:rsidRPr="009B0551"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c>
          <w:tcPr>
            <w:tcW w:w="993" w:type="dxa"/>
            <w:tcBorders>
              <w:top w:val="nil"/>
              <w:left w:val="single" w:sz="4" w:space="0" w:color="auto"/>
              <w:bottom w:val="nil"/>
              <w:right w:val="nil"/>
            </w:tcBorders>
            <w:shd w:val="clear" w:color="auto" w:fill="auto"/>
            <w:vAlign w:val="center"/>
            <w:hideMark/>
          </w:tcPr>
          <w:p w:rsidR="00CD7161" w:rsidRPr="00DC7E1F" w:rsidRDefault="00CD7161" w:rsidP="007F3FB0">
            <w:pPr>
              <w:spacing w:line="240" w:lineRule="auto"/>
              <w:jc w:val="center"/>
              <w:rPr>
                <w:rFonts w:ascii="Arial" w:hAnsi="Arial" w:cs="Arial"/>
                <w:color w:val="808080" w:themeColor="background1" w:themeShade="80"/>
                <w:sz w:val="16"/>
                <w:szCs w:val="16"/>
              </w:rPr>
            </w:pPr>
            <w:r w:rsidRPr="009B0551">
              <w:rPr>
                <w:rFonts w:ascii="Arial" w:hAnsi="Arial" w:cs="Arial"/>
                <w:color w:val="808080" w:themeColor="background1" w:themeShade="80"/>
                <w:sz w:val="16"/>
                <w:szCs w:val="16"/>
              </w:rPr>
              <w:t>0</w:t>
            </w:r>
          </w:p>
        </w:tc>
      </w:tr>
      <w:tr w:rsidR="00CD7161" w:rsidRPr="00C80C2D" w:rsidTr="007F3FB0">
        <w:trPr>
          <w:trHeight w:val="227"/>
        </w:trPr>
        <w:tc>
          <w:tcPr>
            <w:tcW w:w="2835" w:type="dxa"/>
            <w:tcBorders>
              <w:top w:val="nil"/>
              <w:left w:val="nil"/>
              <w:bottom w:val="single" w:sz="4" w:space="0" w:color="FFFFFF"/>
              <w:right w:val="nil"/>
            </w:tcBorders>
            <w:shd w:val="clear" w:color="000000" w:fill="2B3B5F"/>
            <w:vAlign w:val="center"/>
            <w:hideMark/>
          </w:tcPr>
          <w:p w:rsidR="00CD7161" w:rsidRDefault="00CD7161" w:rsidP="007F3FB0">
            <w:pPr>
              <w:spacing w:line="240" w:lineRule="auto"/>
              <w:rPr>
                <w:rFonts w:ascii="Arial" w:hAnsi="Arial" w:cs="Arial"/>
                <w:b/>
                <w:bCs/>
                <w:color w:val="FFFFFF"/>
                <w:sz w:val="16"/>
                <w:szCs w:val="16"/>
              </w:rPr>
            </w:pPr>
            <w:r>
              <w:rPr>
                <w:rFonts w:ascii="Arial" w:hAnsi="Arial" w:cs="Arial"/>
                <w:b/>
                <w:bCs/>
                <w:color w:val="FFFFFF"/>
                <w:sz w:val="16"/>
                <w:szCs w:val="16"/>
              </w:rPr>
              <w:t>Total</w:t>
            </w:r>
          </w:p>
        </w:tc>
        <w:tc>
          <w:tcPr>
            <w:tcW w:w="851" w:type="dxa"/>
            <w:tcBorders>
              <w:top w:val="nil"/>
              <w:left w:val="single" w:sz="4" w:space="0" w:color="auto"/>
              <w:bottom w:val="single" w:sz="4" w:space="0" w:color="FFFFFF"/>
              <w:right w:val="nil"/>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269</w:t>
            </w:r>
          </w:p>
        </w:tc>
        <w:tc>
          <w:tcPr>
            <w:tcW w:w="850" w:type="dxa"/>
            <w:tcBorders>
              <w:top w:val="nil"/>
              <w:left w:val="single" w:sz="4" w:space="0" w:color="auto"/>
              <w:bottom w:val="single" w:sz="4" w:space="0" w:color="FFFFFF"/>
              <w:right w:val="single" w:sz="4" w:space="0" w:color="auto"/>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525</w:t>
            </w:r>
          </w:p>
        </w:tc>
        <w:tc>
          <w:tcPr>
            <w:tcW w:w="898" w:type="dxa"/>
            <w:tcBorders>
              <w:top w:val="nil"/>
              <w:left w:val="nil"/>
              <w:bottom w:val="single" w:sz="4" w:space="0" w:color="FFFFFF"/>
              <w:right w:val="nil"/>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4.1</w:t>
            </w:r>
          </w:p>
        </w:tc>
        <w:tc>
          <w:tcPr>
            <w:tcW w:w="1229" w:type="dxa"/>
            <w:tcBorders>
              <w:top w:val="nil"/>
              <w:left w:val="single" w:sz="4" w:space="0" w:color="auto"/>
              <w:bottom w:val="single" w:sz="4" w:space="0" w:color="FFFFFF"/>
              <w:right w:val="nil"/>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49.1</w:t>
            </w:r>
          </w:p>
        </w:tc>
        <w:tc>
          <w:tcPr>
            <w:tcW w:w="1275" w:type="dxa"/>
            <w:tcBorders>
              <w:top w:val="nil"/>
              <w:left w:val="single" w:sz="4" w:space="0" w:color="auto"/>
              <w:bottom w:val="single" w:sz="4" w:space="0" w:color="FFFFFF"/>
              <w:right w:val="nil"/>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100</w:t>
            </w:r>
          </w:p>
        </w:tc>
        <w:tc>
          <w:tcPr>
            <w:tcW w:w="993" w:type="dxa"/>
            <w:tcBorders>
              <w:top w:val="nil"/>
              <w:left w:val="single" w:sz="4" w:space="0" w:color="auto"/>
              <w:bottom w:val="single" w:sz="4" w:space="0" w:color="FFFFFF"/>
              <w:right w:val="nil"/>
            </w:tcBorders>
            <w:shd w:val="clear" w:color="000000" w:fill="2B3B5F"/>
            <w:vAlign w:val="center"/>
            <w:hideMark/>
          </w:tcPr>
          <w:p w:rsidR="00CD7161" w:rsidRPr="00DC7E1F" w:rsidRDefault="00CD7161" w:rsidP="007F3FB0">
            <w:pPr>
              <w:spacing w:line="240" w:lineRule="auto"/>
              <w:jc w:val="center"/>
              <w:rPr>
                <w:rFonts w:ascii="Arial" w:hAnsi="Arial" w:cs="Arial"/>
                <w:b/>
                <w:bCs/>
                <w:color w:val="FFFFFF"/>
                <w:sz w:val="16"/>
                <w:szCs w:val="16"/>
              </w:rPr>
            </w:pPr>
            <w:r w:rsidRPr="00DC7E1F">
              <w:rPr>
                <w:rFonts w:ascii="Arial" w:hAnsi="Arial" w:cs="Arial"/>
                <w:b/>
                <w:bCs/>
                <w:color w:val="FFFFFF"/>
                <w:sz w:val="16"/>
                <w:szCs w:val="16"/>
              </w:rPr>
              <w:t>100</w:t>
            </w:r>
          </w:p>
        </w:tc>
      </w:tr>
      <w:tr w:rsidR="00CD7161" w:rsidRPr="00DC7E1F" w:rsidTr="007F3FB0">
        <w:trPr>
          <w:trHeight w:val="227"/>
        </w:trPr>
        <w:tc>
          <w:tcPr>
            <w:tcW w:w="2835" w:type="dxa"/>
            <w:tcBorders>
              <w:top w:val="nil"/>
              <w:left w:val="nil"/>
              <w:bottom w:val="nil"/>
              <w:right w:val="nil"/>
            </w:tcBorders>
            <w:shd w:val="clear" w:color="auto" w:fill="auto"/>
            <w:vAlign w:val="center"/>
            <w:hideMark/>
          </w:tcPr>
          <w:p w:rsidR="00CD7161" w:rsidRPr="00DC7E1F" w:rsidRDefault="00CD7161" w:rsidP="00DD724F">
            <w:pPr>
              <w:spacing w:line="240" w:lineRule="auto"/>
              <w:ind w:firstLineChars="100" w:firstLine="160"/>
              <w:rPr>
                <w:rFonts w:ascii="Arial" w:hAnsi="Arial" w:cs="Arial"/>
                <w:i/>
                <w:iCs/>
                <w:sz w:val="16"/>
                <w:szCs w:val="16"/>
              </w:rPr>
            </w:pPr>
            <w:r w:rsidRPr="00DC7E1F">
              <w:rPr>
                <w:rFonts w:ascii="Arial" w:hAnsi="Arial" w:cs="Arial"/>
                <w:i/>
                <w:iCs/>
                <w:sz w:val="16"/>
                <w:szCs w:val="16"/>
              </w:rPr>
              <w:t>Commonwealth own-purpose</w:t>
            </w:r>
          </w:p>
        </w:tc>
        <w:tc>
          <w:tcPr>
            <w:tcW w:w="851"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145</w:t>
            </w:r>
          </w:p>
        </w:tc>
        <w:tc>
          <w:tcPr>
            <w:tcW w:w="850" w:type="dxa"/>
            <w:tcBorders>
              <w:top w:val="nil"/>
              <w:left w:val="single" w:sz="4" w:space="0" w:color="auto"/>
              <w:bottom w:val="nil"/>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288</w:t>
            </w:r>
          </w:p>
        </w:tc>
        <w:tc>
          <w:tcPr>
            <w:tcW w:w="898" w:type="dxa"/>
            <w:tcBorders>
              <w:top w:val="nil"/>
              <w:left w:val="nil"/>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4.3</w:t>
            </w:r>
          </w:p>
        </w:tc>
        <w:tc>
          <w:tcPr>
            <w:tcW w:w="1229"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27.9</w:t>
            </w:r>
          </w:p>
        </w:tc>
        <w:tc>
          <w:tcPr>
            <w:tcW w:w="1275"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57</w:t>
            </w:r>
          </w:p>
        </w:tc>
        <w:tc>
          <w:tcPr>
            <w:tcW w:w="993" w:type="dxa"/>
            <w:tcBorders>
              <w:top w:val="nil"/>
              <w:left w:val="single" w:sz="4" w:space="0" w:color="auto"/>
              <w:bottom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55</w:t>
            </w:r>
          </w:p>
        </w:tc>
      </w:tr>
      <w:tr w:rsidR="00CD7161" w:rsidRPr="00DC7E1F" w:rsidTr="007F3FB0">
        <w:trPr>
          <w:trHeight w:val="227"/>
        </w:trPr>
        <w:tc>
          <w:tcPr>
            <w:tcW w:w="2835" w:type="dxa"/>
            <w:tcBorders>
              <w:top w:val="nil"/>
              <w:left w:val="nil"/>
              <w:right w:val="nil"/>
            </w:tcBorders>
            <w:shd w:val="clear" w:color="auto" w:fill="auto"/>
            <w:vAlign w:val="center"/>
            <w:hideMark/>
          </w:tcPr>
          <w:p w:rsidR="00CD7161" w:rsidRPr="00DC7E1F" w:rsidRDefault="00CD7161" w:rsidP="00DD724F">
            <w:pPr>
              <w:spacing w:line="240" w:lineRule="auto"/>
              <w:ind w:firstLineChars="100" w:firstLine="160"/>
              <w:rPr>
                <w:rFonts w:ascii="Arial" w:hAnsi="Arial" w:cs="Arial"/>
                <w:i/>
                <w:iCs/>
                <w:sz w:val="16"/>
                <w:szCs w:val="16"/>
              </w:rPr>
            </w:pPr>
            <w:r w:rsidRPr="00DC7E1F">
              <w:rPr>
                <w:rFonts w:ascii="Arial" w:hAnsi="Arial" w:cs="Arial"/>
                <w:i/>
                <w:iCs/>
                <w:sz w:val="16"/>
                <w:szCs w:val="16"/>
              </w:rPr>
              <w:t>State own-purpose</w:t>
            </w:r>
          </w:p>
        </w:tc>
        <w:tc>
          <w:tcPr>
            <w:tcW w:w="851" w:type="dxa"/>
            <w:tcBorders>
              <w:top w:val="nil"/>
              <w:left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69</w:t>
            </w:r>
          </w:p>
        </w:tc>
        <w:tc>
          <w:tcPr>
            <w:tcW w:w="850" w:type="dxa"/>
            <w:tcBorders>
              <w:top w:val="nil"/>
              <w:left w:val="single" w:sz="4" w:space="0" w:color="auto"/>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143</w:t>
            </w:r>
          </w:p>
        </w:tc>
        <w:tc>
          <w:tcPr>
            <w:tcW w:w="898" w:type="dxa"/>
            <w:tcBorders>
              <w:top w:val="nil"/>
              <w:left w:val="nil"/>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4.7</w:t>
            </w:r>
          </w:p>
        </w:tc>
        <w:tc>
          <w:tcPr>
            <w:tcW w:w="1229" w:type="dxa"/>
            <w:tcBorders>
              <w:top w:val="nil"/>
              <w:left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14.9</w:t>
            </w:r>
          </w:p>
        </w:tc>
        <w:tc>
          <w:tcPr>
            <w:tcW w:w="1275" w:type="dxa"/>
            <w:tcBorders>
              <w:top w:val="nil"/>
              <w:left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30</w:t>
            </w:r>
          </w:p>
        </w:tc>
        <w:tc>
          <w:tcPr>
            <w:tcW w:w="993" w:type="dxa"/>
            <w:tcBorders>
              <w:top w:val="nil"/>
              <w:left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27</w:t>
            </w:r>
          </w:p>
        </w:tc>
      </w:tr>
      <w:tr w:rsidR="00CD7161" w:rsidRPr="00DC7E1F" w:rsidTr="007F3FB0">
        <w:trPr>
          <w:trHeight w:val="227"/>
        </w:trPr>
        <w:tc>
          <w:tcPr>
            <w:tcW w:w="2835" w:type="dxa"/>
            <w:tcBorders>
              <w:top w:val="nil"/>
              <w:left w:val="nil"/>
              <w:bottom w:val="single" w:sz="4" w:space="0" w:color="auto"/>
              <w:right w:val="nil"/>
            </w:tcBorders>
            <w:shd w:val="clear" w:color="auto" w:fill="auto"/>
            <w:vAlign w:val="center"/>
            <w:hideMark/>
          </w:tcPr>
          <w:p w:rsidR="00CD7161" w:rsidRPr="00DC7E1F" w:rsidRDefault="00CD7161" w:rsidP="00DD724F">
            <w:pPr>
              <w:spacing w:line="240" w:lineRule="auto"/>
              <w:ind w:firstLineChars="100" w:firstLine="160"/>
              <w:rPr>
                <w:rFonts w:ascii="Arial" w:hAnsi="Arial" w:cs="Arial"/>
                <w:i/>
                <w:iCs/>
                <w:sz w:val="16"/>
                <w:szCs w:val="16"/>
              </w:rPr>
            </w:pPr>
            <w:r w:rsidRPr="00DC7E1F">
              <w:rPr>
                <w:rFonts w:ascii="Arial" w:hAnsi="Arial" w:cs="Arial"/>
                <w:i/>
                <w:iCs/>
                <w:sz w:val="16"/>
                <w:szCs w:val="16"/>
              </w:rPr>
              <w:t>Transfers to states</w:t>
            </w:r>
          </w:p>
        </w:tc>
        <w:tc>
          <w:tcPr>
            <w:tcW w:w="851" w:type="dxa"/>
            <w:tcBorders>
              <w:top w:val="nil"/>
              <w:left w:val="single" w:sz="4" w:space="0" w:color="auto"/>
              <w:bottom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55</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94</w:t>
            </w:r>
          </w:p>
        </w:tc>
        <w:tc>
          <w:tcPr>
            <w:tcW w:w="898" w:type="dxa"/>
            <w:tcBorders>
              <w:top w:val="nil"/>
              <w:left w:val="nil"/>
              <w:bottom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2.8</w:t>
            </w:r>
          </w:p>
        </w:tc>
        <w:tc>
          <w:tcPr>
            <w:tcW w:w="1229" w:type="dxa"/>
            <w:tcBorders>
              <w:top w:val="nil"/>
              <w:left w:val="single" w:sz="4" w:space="0" w:color="auto"/>
              <w:bottom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6.4</w:t>
            </w:r>
          </w:p>
        </w:tc>
        <w:tc>
          <w:tcPr>
            <w:tcW w:w="1275" w:type="dxa"/>
            <w:tcBorders>
              <w:top w:val="nil"/>
              <w:left w:val="single" w:sz="4" w:space="0" w:color="auto"/>
              <w:bottom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13</w:t>
            </w:r>
          </w:p>
        </w:tc>
        <w:tc>
          <w:tcPr>
            <w:tcW w:w="993" w:type="dxa"/>
            <w:tcBorders>
              <w:top w:val="nil"/>
              <w:left w:val="single" w:sz="4" w:space="0" w:color="auto"/>
              <w:bottom w:val="single" w:sz="4" w:space="0" w:color="auto"/>
              <w:right w:val="nil"/>
            </w:tcBorders>
            <w:shd w:val="clear" w:color="auto" w:fill="auto"/>
            <w:vAlign w:val="center"/>
            <w:hideMark/>
          </w:tcPr>
          <w:p w:rsidR="00CD7161" w:rsidRPr="006946FB" w:rsidRDefault="00CD7161" w:rsidP="007F3FB0">
            <w:pPr>
              <w:spacing w:line="240" w:lineRule="auto"/>
              <w:jc w:val="center"/>
              <w:rPr>
                <w:rFonts w:ascii="Arial" w:hAnsi="Arial" w:cs="Arial"/>
                <w:sz w:val="16"/>
                <w:szCs w:val="16"/>
              </w:rPr>
            </w:pPr>
            <w:r w:rsidRPr="006946FB">
              <w:rPr>
                <w:rFonts w:ascii="Arial" w:hAnsi="Arial" w:cs="Arial"/>
                <w:sz w:val="16"/>
                <w:szCs w:val="16"/>
              </w:rPr>
              <w:t>18</w:t>
            </w:r>
          </w:p>
        </w:tc>
      </w:tr>
    </w:tbl>
    <w:p w:rsidR="00765D3D" w:rsidRDefault="00765D3D" w:rsidP="00765D3D">
      <w:pPr>
        <w:pStyle w:val="ListParagraph"/>
        <w:numPr>
          <w:ilvl w:val="0"/>
          <w:numId w:val="44"/>
        </w:numPr>
        <w:spacing w:line="240" w:lineRule="auto"/>
        <w:rPr>
          <w:rFonts w:asciiTheme="minorHAnsi" w:eastAsia="Times New Roman" w:hAnsiTheme="minorHAnsi"/>
          <w:color w:val="000000"/>
          <w:sz w:val="16"/>
          <w:szCs w:val="18"/>
          <w:lang w:eastAsia="en-AU"/>
        </w:rPr>
      </w:pPr>
      <w:r w:rsidRPr="002E4828">
        <w:rPr>
          <w:rFonts w:asciiTheme="minorHAnsi" w:eastAsia="Times New Roman" w:hAnsiTheme="minorHAnsi"/>
          <w:color w:val="000000"/>
          <w:sz w:val="16"/>
          <w:szCs w:val="18"/>
          <w:lang w:eastAsia="en-AU"/>
        </w:rPr>
        <w:t>State own-purpose expenses in this table include local government.</w:t>
      </w:r>
    </w:p>
    <w:p w:rsidR="00E70943" w:rsidRDefault="00E70943" w:rsidP="00E70943">
      <w:pPr>
        <w:pStyle w:val="ListParagraph"/>
        <w:numPr>
          <w:ilvl w:val="0"/>
          <w:numId w:val="44"/>
        </w:numPr>
        <w:spacing w:line="240" w:lineRule="auto"/>
        <w:rPr>
          <w:rFonts w:asciiTheme="minorHAnsi" w:eastAsia="Times New Roman" w:hAnsiTheme="minorHAnsi"/>
          <w:color w:val="000000"/>
          <w:sz w:val="16"/>
          <w:szCs w:val="18"/>
          <w:lang w:eastAsia="en-AU"/>
        </w:rPr>
      </w:pPr>
      <w:r w:rsidRPr="002E4828">
        <w:rPr>
          <w:rFonts w:asciiTheme="minorHAnsi" w:eastAsia="Times New Roman" w:hAnsiTheme="minorHAnsi"/>
          <w:color w:val="000000"/>
          <w:sz w:val="16"/>
          <w:szCs w:val="18"/>
          <w:lang w:eastAsia="en-AU"/>
        </w:rPr>
        <w:t>The transfer component shown for individual functions relates only to Commonwealth payments to state governments that can be attributed to specific expenditure functions (</w:t>
      </w:r>
      <w:proofErr w:type="spellStart"/>
      <w:r>
        <w:rPr>
          <w:rFonts w:asciiTheme="minorHAnsi" w:eastAsia="Times New Roman" w:hAnsiTheme="minorHAnsi"/>
          <w:color w:val="000000"/>
          <w:sz w:val="16"/>
          <w:szCs w:val="18"/>
          <w:lang w:eastAsia="en-AU"/>
        </w:rPr>
        <w:t>ie</w:t>
      </w:r>
      <w:proofErr w:type="spellEnd"/>
      <w:r w:rsidRPr="002E4828">
        <w:rPr>
          <w:rFonts w:asciiTheme="minorHAnsi" w:eastAsia="Times New Roman" w:hAnsiTheme="minorHAnsi"/>
          <w:color w:val="000000"/>
          <w:sz w:val="16"/>
          <w:szCs w:val="18"/>
          <w:lang w:eastAsia="en-AU"/>
        </w:rPr>
        <w:t xml:space="preserve"> tied funding). </w:t>
      </w:r>
      <w:r w:rsidR="00350AB8">
        <w:rPr>
          <w:rFonts w:asciiTheme="minorHAnsi" w:eastAsia="Times New Roman" w:hAnsiTheme="minorHAnsi"/>
          <w:color w:val="000000"/>
          <w:sz w:val="16"/>
          <w:szCs w:val="18"/>
          <w:lang w:eastAsia="en-AU"/>
        </w:rPr>
        <w:t xml:space="preserve"> </w:t>
      </w:r>
      <w:r w:rsidRPr="002E4828">
        <w:rPr>
          <w:rFonts w:asciiTheme="minorHAnsi" w:eastAsia="Times New Roman" w:hAnsiTheme="minorHAnsi"/>
          <w:color w:val="000000"/>
          <w:sz w:val="16"/>
          <w:szCs w:val="18"/>
          <w:lang w:eastAsia="en-AU"/>
        </w:rPr>
        <w:t>It does not include untied funding (</w:t>
      </w:r>
      <w:proofErr w:type="spellStart"/>
      <w:r w:rsidRPr="002E4828">
        <w:rPr>
          <w:rFonts w:asciiTheme="minorHAnsi" w:eastAsia="Times New Roman" w:hAnsiTheme="minorHAnsi"/>
          <w:color w:val="000000"/>
          <w:sz w:val="16"/>
          <w:szCs w:val="18"/>
          <w:lang w:eastAsia="en-AU"/>
        </w:rPr>
        <w:t>ie</w:t>
      </w:r>
      <w:proofErr w:type="spellEnd"/>
      <w:r w:rsidRPr="002E4828">
        <w:rPr>
          <w:rFonts w:asciiTheme="minorHAnsi" w:eastAsia="Times New Roman" w:hAnsiTheme="minorHAnsi"/>
          <w:color w:val="000000"/>
          <w:sz w:val="16"/>
          <w:szCs w:val="18"/>
          <w:lang w:eastAsia="en-AU"/>
        </w:rPr>
        <w:t xml:space="preserve"> GST payments to the states), which cannot be attributed to specific functions and is included in the state component. </w:t>
      </w:r>
      <w:r w:rsidR="00350AB8">
        <w:rPr>
          <w:rFonts w:asciiTheme="minorHAnsi" w:eastAsia="Times New Roman" w:hAnsiTheme="minorHAnsi"/>
          <w:color w:val="000000"/>
          <w:sz w:val="16"/>
          <w:szCs w:val="18"/>
          <w:lang w:eastAsia="en-AU"/>
        </w:rPr>
        <w:t xml:space="preserve"> </w:t>
      </w:r>
      <w:r w:rsidRPr="002E4828">
        <w:rPr>
          <w:rFonts w:asciiTheme="minorHAnsi" w:eastAsia="Times New Roman" w:hAnsiTheme="minorHAnsi"/>
          <w:color w:val="000000"/>
          <w:sz w:val="16"/>
          <w:szCs w:val="18"/>
          <w:lang w:eastAsia="en-AU"/>
        </w:rPr>
        <w:t xml:space="preserve">This means that some state expenditure is funded by Commonwealth transfers. The transfer component also includes funding to states for capital purposes. </w:t>
      </w:r>
      <w:r w:rsidR="00350AB8">
        <w:rPr>
          <w:rFonts w:asciiTheme="minorHAnsi" w:eastAsia="Times New Roman" w:hAnsiTheme="minorHAnsi"/>
          <w:color w:val="000000"/>
          <w:sz w:val="16"/>
          <w:szCs w:val="18"/>
          <w:lang w:eastAsia="en-AU"/>
        </w:rPr>
        <w:t xml:space="preserve"> </w:t>
      </w:r>
      <w:r w:rsidRPr="002E4828">
        <w:rPr>
          <w:rFonts w:asciiTheme="minorHAnsi" w:eastAsia="Times New Roman" w:hAnsiTheme="minorHAnsi"/>
          <w:color w:val="000000"/>
          <w:sz w:val="16"/>
          <w:szCs w:val="18"/>
          <w:lang w:eastAsia="en-AU"/>
        </w:rPr>
        <w:t>This is discussed in more detail in Chapter 4.</w:t>
      </w:r>
    </w:p>
    <w:p w:rsidR="00E70943" w:rsidRDefault="00E70943" w:rsidP="00E70943">
      <w:pPr>
        <w:pStyle w:val="ListParagraph"/>
        <w:numPr>
          <w:ilvl w:val="0"/>
          <w:numId w:val="44"/>
        </w:numPr>
        <w:spacing w:line="240" w:lineRule="auto"/>
        <w:rPr>
          <w:rFonts w:asciiTheme="minorHAnsi" w:eastAsia="Times New Roman" w:hAnsiTheme="minorHAnsi"/>
          <w:color w:val="000000"/>
          <w:sz w:val="16"/>
          <w:szCs w:val="18"/>
          <w:lang w:eastAsia="en-AU"/>
        </w:rPr>
      </w:pPr>
      <w:r w:rsidRPr="002E4828">
        <w:rPr>
          <w:rFonts w:asciiTheme="minorHAnsi" w:eastAsia="Times New Roman" w:hAnsiTheme="minorHAnsi"/>
          <w:color w:val="000000"/>
          <w:sz w:val="16"/>
          <w:szCs w:val="18"/>
          <w:lang w:eastAsia="en-AU"/>
        </w:rPr>
        <w:t>Total growth refers to expenses for all levels of government.</w:t>
      </w:r>
      <w:r>
        <w:rPr>
          <w:rFonts w:asciiTheme="minorHAnsi" w:eastAsia="Times New Roman" w:hAnsiTheme="minorHAnsi"/>
          <w:color w:val="000000"/>
          <w:sz w:val="16"/>
          <w:szCs w:val="18"/>
          <w:lang w:eastAsia="en-AU"/>
        </w:rPr>
        <w:t xml:space="preserve"> PP refers percentage points.</w:t>
      </w:r>
    </w:p>
    <w:p w:rsidR="009B0551" w:rsidRPr="002E4828" w:rsidRDefault="009B0551" w:rsidP="00E70943">
      <w:pPr>
        <w:pStyle w:val="ListParagraph"/>
        <w:numPr>
          <w:ilvl w:val="0"/>
          <w:numId w:val="44"/>
        </w:numPr>
        <w:spacing w:line="240" w:lineRule="auto"/>
        <w:rPr>
          <w:rFonts w:asciiTheme="minorHAnsi" w:eastAsia="Times New Roman" w:hAnsiTheme="minorHAnsi"/>
          <w:color w:val="000000"/>
          <w:sz w:val="16"/>
          <w:szCs w:val="18"/>
          <w:lang w:eastAsia="en-AU"/>
        </w:rPr>
      </w:pPr>
      <w:r w:rsidRPr="002E4828">
        <w:rPr>
          <w:rFonts w:asciiTheme="minorHAnsi" w:eastAsia="Times New Roman" w:hAnsiTheme="minorHAnsi"/>
          <w:color w:val="000000"/>
          <w:sz w:val="16"/>
          <w:szCs w:val="18"/>
          <w:lang w:eastAsia="en-AU"/>
        </w:rPr>
        <w:t>The Commonwealth has exclusive responsibility for defence expenditure</w:t>
      </w:r>
      <w:r>
        <w:rPr>
          <w:rFonts w:asciiTheme="minorHAnsi" w:eastAsia="Times New Roman" w:hAnsiTheme="minorHAnsi"/>
          <w:color w:val="000000"/>
          <w:sz w:val="16"/>
          <w:szCs w:val="18"/>
          <w:lang w:eastAsia="en-AU"/>
        </w:rPr>
        <w:t>.</w:t>
      </w:r>
    </w:p>
    <w:p w:rsidR="00765D3D" w:rsidRPr="00765D3D" w:rsidRDefault="00765D3D" w:rsidP="00765D3D">
      <w:pPr>
        <w:pStyle w:val="Source"/>
        <w:spacing w:before="0"/>
        <w:rPr>
          <w:lang w:eastAsia="en-AU"/>
        </w:rPr>
      </w:pPr>
      <w:r>
        <w:rPr>
          <w:lang w:eastAsia="en-AU"/>
        </w:rPr>
        <w:t xml:space="preserve">Source: </w:t>
      </w:r>
      <w:r w:rsidRPr="003475B0">
        <w:t xml:space="preserve">ABS, </w:t>
      </w:r>
      <w:r>
        <w:t xml:space="preserve">Commonwealth and </w:t>
      </w:r>
      <w:r w:rsidRPr="003475B0">
        <w:t>state government budget papers</w:t>
      </w:r>
      <w:r>
        <w:t>,</w:t>
      </w:r>
      <w:r w:rsidRPr="003475B0">
        <w:t xml:space="preserve"> and PBO analysis.</w:t>
      </w:r>
    </w:p>
    <w:p w:rsidR="00CE5380" w:rsidRPr="00E0563F" w:rsidRDefault="00CE5380" w:rsidP="00CE5380">
      <w:pPr>
        <w:pStyle w:val="Heading2"/>
      </w:pPr>
      <w:bookmarkStart w:id="192" w:name="_Toc414006847"/>
      <w:bookmarkStart w:id="193" w:name="_Toc414007422"/>
      <w:bookmarkStart w:id="194" w:name="_Toc414007727"/>
      <w:bookmarkStart w:id="195" w:name="_Toc414008350"/>
      <w:bookmarkStart w:id="196" w:name="_Ref415477133"/>
      <w:r w:rsidRPr="00E0563F">
        <w:lastRenderedPageBreak/>
        <w:t>Health expenses</w:t>
      </w:r>
      <w:bookmarkEnd w:id="192"/>
      <w:bookmarkEnd w:id="193"/>
      <w:bookmarkEnd w:id="194"/>
      <w:bookmarkEnd w:id="195"/>
      <w:bookmarkEnd w:id="196"/>
    </w:p>
    <w:p w:rsidR="00CE5380" w:rsidRDefault="00CE5380" w:rsidP="00CE5380">
      <w:pPr>
        <w:pStyle w:val="BodyText"/>
      </w:pPr>
      <w:r>
        <w:t xml:space="preserve">Commonwealth own-purpose health expenditure grew by 5.1 per cent annually from </w:t>
      </w:r>
      <w:r>
        <w:br/>
        <w:t xml:space="preserve">2002–03 to 2012–13, in real terms.  State government own-purpose health expenditure grew by </w:t>
      </w:r>
      <w:r w:rsidRPr="00531117">
        <w:t>5.</w:t>
      </w:r>
      <w:r w:rsidR="004A5ACF" w:rsidRPr="00BD60AF">
        <w:t>8</w:t>
      </w:r>
      <w:r w:rsidRPr="00531117">
        <w:t> per cent</w:t>
      </w:r>
      <w:r>
        <w:t xml:space="preserve"> annually </w:t>
      </w:r>
      <w:r w:rsidR="0067422F">
        <w:t xml:space="preserve">in real terms </w:t>
      </w:r>
      <w:r>
        <w:t xml:space="preserve">over the same period.  The component of state expenditure that was funded through recurrent transfers from </w:t>
      </w:r>
      <w:r w:rsidRPr="00F32EFE">
        <w:t>the Commonwealth government</w:t>
      </w:r>
      <w:r>
        <w:t xml:space="preserve"> </w:t>
      </w:r>
      <w:r w:rsidRPr="004631CC">
        <w:t>(that is, excluding transfers for capital purposes)</w:t>
      </w:r>
      <w:r>
        <w:t xml:space="preserve"> grew more slowly, at 3.6 per cent annually</w:t>
      </w:r>
      <w:r w:rsidR="00C45774" w:rsidRPr="00B86531">
        <w:rPr>
          <w:rStyle w:val="FootnoteReference"/>
        </w:rPr>
        <w:footnoteReference w:id="24"/>
      </w:r>
      <w:r w:rsidR="0067422F">
        <w:t>in real terms</w:t>
      </w:r>
      <w:r>
        <w:t xml:space="preserve">.  </w:t>
      </w:r>
      <w:r w:rsidR="00AB7280">
        <w:fldChar w:fldCharType="begin"/>
      </w:r>
      <w:r w:rsidR="00AB7280">
        <w:instrText xml:space="preserve"> REF _Ref415138446 \h </w:instrText>
      </w:r>
      <w:r w:rsidR="00AB7280">
        <w:fldChar w:fldCharType="separate"/>
      </w:r>
      <w:r w:rsidR="008B68F4" w:rsidRPr="00CE5380">
        <w:t xml:space="preserve">Figure </w:t>
      </w:r>
      <w:r w:rsidR="008B68F4">
        <w:rPr>
          <w:noProof/>
        </w:rPr>
        <w:t>3</w:t>
      </w:r>
      <w:r w:rsidR="008B68F4">
        <w:noBreakHyphen/>
      </w:r>
      <w:r w:rsidR="008B68F4">
        <w:rPr>
          <w:noProof/>
        </w:rPr>
        <w:t>5</w:t>
      </w:r>
      <w:r w:rsidR="00AB7280">
        <w:fldChar w:fldCharType="end"/>
      </w:r>
      <w:r>
        <w:t xml:space="preserve"> shows the trends in health expenses over the past decade.</w:t>
      </w:r>
    </w:p>
    <w:p w:rsidR="00CE5380" w:rsidRDefault="00CE5380" w:rsidP="00CE5380">
      <w:pPr>
        <w:pStyle w:val="Caption"/>
      </w:pPr>
      <w:bookmarkStart w:id="197" w:name="_Ref415138446"/>
      <w:bookmarkStart w:id="198" w:name="_Toc415222964"/>
      <w:bookmarkStart w:id="199" w:name="_Toc418073825"/>
      <w:r w:rsidRPr="00CE5380">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5</w:t>
      </w:r>
      <w:r w:rsidR="003A23CE">
        <w:rPr>
          <w:noProof/>
        </w:rPr>
        <w:fldChar w:fldCharType="end"/>
      </w:r>
      <w:bookmarkEnd w:id="197"/>
      <w:r w:rsidRPr="00CE5380">
        <w:t xml:space="preserve">: </w:t>
      </w:r>
      <w:r>
        <w:t>Trends in Commonwealth and state health expenditure</w:t>
      </w:r>
      <w:bookmarkEnd w:id="198"/>
      <w:bookmarkEnd w:id="199"/>
    </w:p>
    <w:tbl>
      <w:tblPr>
        <w:tblStyle w:val="TableGrid"/>
        <w:tblW w:w="8510" w:type="dxa"/>
        <w:tblLayout w:type="fixed"/>
        <w:tblLook w:val="04A0" w:firstRow="1" w:lastRow="0" w:firstColumn="1" w:lastColumn="0" w:noHBand="0" w:noVBand="1"/>
      </w:tblPr>
      <w:tblGrid>
        <w:gridCol w:w="4255"/>
        <w:gridCol w:w="4255"/>
      </w:tblGrid>
      <w:tr w:rsidR="00B472F1" w:rsidRPr="00B472F1" w:rsidTr="00B472F1">
        <w:trPr>
          <w:cnfStyle w:val="100000000000" w:firstRow="1" w:lastRow="0" w:firstColumn="0" w:lastColumn="0" w:oddVBand="0" w:evenVBand="0" w:oddHBand="0" w:evenHBand="0" w:firstRowFirstColumn="0" w:firstRowLastColumn="0" w:lastRowFirstColumn="0" w:lastRowLastColumn="0"/>
          <w:trHeight w:hRule="exact" w:val="5387"/>
        </w:trPr>
        <w:tc>
          <w:tcPr>
            <w:cnfStyle w:val="001000000100" w:firstRow="0" w:lastRow="0" w:firstColumn="1" w:lastColumn="0" w:oddVBand="0" w:evenVBand="0" w:oddHBand="0" w:evenHBand="0" w:firstRowFirstColumn="1" w:firstRowLastColumn="0" w:lastRowFirstColumn="0" w:lastRowLastColumn="0"/>
            <w:tcW w:w="4255" w:type="dxa"/>
            <w:shd w:val="clear" w:color="auto" w:fill="auto"/>
          </w:tcPr>
          <w:tbl>
            <w:tblPr>
              <w:tblW w:w="4050" w:type="dxa"/>
              <w:tblLayout w:type="fixed"/>
              <w:tblLook w:val="04A0" w:firstRow="1" w:lastRow="0" w:firstColumn="1" w:lastColumn="0" w:noHBand="0" w:noVBand="1"/>
            </w:tblPr>
            <w:tblGrid>
              <w:gridCol w:w="445"/>
              <w:gridCol w:w="584"/>
              <w:gridCol w:w="985"/>
              <w:gridCol w:w="1027"/>
              <w:gridCol w:w="1009"/>
            </w:tblGrid>
            <w:tr w:rsidR="00B472F1" w:rsidRPr="00B472F1" w:rsidTr="001D45DA">
              <w:trPr>
                <w:trHeight w:val="421"/>
              </w:trPr>
              <w:tc>
                <w:tcPr>
                  <w:tcW w:w="4049" w:type="dxa"/>
                  <w:gridSpan w:val="5"/>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color w:val="FFFFFF" w:themeColor="background1"/>
                      <w:sz w:val="12"/>
                      <w:szCs w:val="12"/>
                      <w:lang w:eastAsia="en-AU"/>
                    </w:rPr>
                  </w:pPr>
                  <w:r w:rsidRPr="00B472F1">
                    <w:rPr>
                      <w:noProof/>
                      <w:lang w:eastAsia="en-AU"/>
                    </w:rPr>
                    <w:drawing>
                      <wp:anchor distT="0" distB="0" distL="114300" distR="114300" simplePos="0" relativeHeight="251678720" behindDoc="0" locked="0" layoutInCell="1" allowOverlap="1" wp14:anchorId="5A32D82C" wp14:editId="6B9BFDAD">
                        <wp:simplePos x="0" y="0"/>
                        <wp:positionH relativeFrom="column">
                          <wp:posOffset>-81280</wp:posOffset>
                        </wp:positionH>
                        <wp:positionV relativeFrom="paragraph">
                          <wp:posOffset>12065</wp:posOffset>
                        </wp:positionV>
                        <wp:extent cx="5278120" cy="3522980"/>
                        <wp:effectExtent l="0" t="0" r="0" b="127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352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2F1">
                    <w:rPr>
                      <w:rFonts w:ascii="Calibri" w:eastAsia="Times New Roman" w:hAnsi="Calibri" w:cs="Times New Roman"/>
                      <w:color w:val="FFFFFF" w:themeColor="background1"/>
                      <w:sz w:val="12"/>
                      <w:szCs w:val="12"/>
                      <w:lang w:eastAsia="en-AU"/>
                    </w:rPr>
                    <w:t>Annual real growth %</w:t>
                  </w:r>
                </w:p>
              </w:tc>
            </w:tr>
            <w:tr w:rsidR="00B472F1" w:rsidRPr="00B472F1" w:rsidTr="001D45DA">
              <w:trPr>
                <w:trHeight w:val="421"/>
              </w:trPr>
              <w:tc>
                <w:tcPr>
                  <w:tcW w:w="44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b/>
                      <w:bCs/>
                      <w:color w:val="FFFFFF" w:themeColor="background1"/>
                      <w:sz w:val="12"/>
                      <w:szCs w:val="12"/>
                      <w:lang w:eastAsia="en-AU"/>
                    </w:rPr>
                  </w:pPr>
                </w:p>
              </w:tc>
              <w:tc>
                <w:tcPr>
                  <w:tcW w:w="156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Commonwealth own-purpose</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Recurrent transfers</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State own-purpose</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2002-03</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2003-04</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8</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0</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7</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2004-05</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11</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6</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8</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2005-06</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7</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2006-07</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7</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2007-08</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6</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10</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6</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2008-09</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7</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10</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2009-10</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6</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-7</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11</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2010-11</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8</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2011-12</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8</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5</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w:t>
                  </w:r>
                </w:p>
              </w:tc>
            </w:tr>
            <w:tr w:rsidR="00B472F1" w:rsidRPr="00B472F1" w:rsidTr="001D45DA">
              <w:trPr>
                <w:trHeight w:val="421"/>
              </w:trPr>
              <w:tc>
                <w:tcPr>
                  <w:tcW w:w="1029"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2012-13</w:t>
                  </w:r>
                </w:p>
              </w:tc>
              <w:tc>
                <w:tcPr>
                  <w:tcW w:w="985"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w:t>
                  </w:r>
                </w:p>
              </w:tc>
              <w:tc>
                <w:tcPr>
                  <w:tcW w:w="1027"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w:t>
                  </w:r>
                </w:p>
              </w:tc>
              <w:tc>
                <w:tcPr>
                  <w:tcW w:w="100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w:t>
                  </w:r>
                </w:p>
              </w:tc>
            </w:tr>
          </w:tbl>
          <w:p w:rsidR="00B472F1" w:rsidRPr="00B472F1" w:rsidRDefault="00B472F1" w:rsidP="001D45DA">
            <w:pPr>
              <w:pStyle w:val="BodyText"/>
            </w:pPr>
          </w:p>
        </w:tc>
        <w:tc>
          <w:tcPr>
            <w:tcW w:w="4255" w:type="dxa"/>
            <w:shd w:val="clear" w:color="auto" w:fill="auto"/>
          </w:tcPr>
          <w:tbl>
            <w:tblPr>
              <w:tblW w:w="4095" w:type="dxa"/>
              <w:tblLayout w:type="fixed"/>
              <w:tblLook w:val="04A0" w:firstRow="1" w:lastRow="0" w:firstColumn="1" w:lastColumn="0" w:noHBand="0" w:noVBand="1"/>
            </w:tblPr>
            <w:tblGrid>
              <w:gridCol w:w="451"/>
              <w:gridCol w:w="939"/>
              <w:gridCol w:w="647"/>
              <w:gridCol w:w="1039"/>
              <w:gridCol w:w="1019"/>
            </w:tblGrid>
            <w:tr w:rsidR="00B472F1" w:rsidRPr="00B472F1" w:rsidTr="001D45DA">
              <w:trPr>
                <w:trHeight w:val="426"/>
              </w:trPr>
              <w:tc>
                <w:tcPr>
                  <w:tcW w:w="4095" w:type="dxa"/>
                  <w:gridSpan w:val="5"/>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Nominal $ billions</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b/>
                      <w:bCs/>
                      <w:color w:val="FFFFFF" w:themeColor="background1"/>
                      <w:sz w:val="12"/>
                      <w:szCs w:val="12"/>
                      <w:lang w:eastAsia="en-AU"/>
                    </w:rPr>
                  </w:pPr>
                </w:p>
              </w:tc>
              <w:tc>
                <w:tcPr>
                  <w:tcW w:w="15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Commonwealth own-purpose</w:t>
                  </w:r>
                </w:p>
              </w:tc>
              <w:tc>
                <w:tcPr>
                  <w:tcW w:w="10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Recurrent transfers</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State own-purpose</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2002-03</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20</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9</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18</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2003-04</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23</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9</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20</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2004-05</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26</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10</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22</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2005-06</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27</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10</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24</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2006-07</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29</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11</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27</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2007-08</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32</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12</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29</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2008-09</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35</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14</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31</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2009-10</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38</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13</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35</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2010-11</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41</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15</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37</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2011-12</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45</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16</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39</w:t>
                  </w:r>
                </w:p>
              </w:tc>
            </w:tr>
            <w:tr w:rsidR="00B472F1" w:rsidRPr="00B472F1" w:rsidTr="001D45DA">
              <w:trPr>
                <w:trHeight w:val="426"/>
              </w:trPr>
              <w:tc>
                <w:tcPr>
                  <w:tcW w:w="451"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center"/>
                    <w:rPr>
                      <w:rFonts w:ascii="Calibri" w:eastAsia="Times New Roman" w:hAnsi="Calibri" w:cs="Times New Roman"/>
                      <w:b/>
                      <w:bCs/>
                      <w:color w:val="FFFFFF" w:themeColor="background1"/>
                      <w:sz w:val="12"/>
                      <w:szCs w:val="12"/>
                      <w:lang w:eastAsia="en-AU"/>
                    </w:rPr>
                  </w:pPr>
                  <w:r w:rsidRPr="00B472F1">
                    <w:rPr>
                      <w:rFonts w:ascii="Calibri" w:eastAsia="Times New Roman" w:hAnsi="Calibri" w:cs="Times New Roman"/>
                      <w:b/>
                      <w:bCs/>
                      <w:color w:val="FFFFFF" w:themeColor="background1"/>
                      <w:sz w:val="12"/>
                      <w:szCs w:val="12"/>
                      <w:lang w:eastAsia="en-AU"/>
                    </w:rPr>
                    <w:t>2012-13</w:t>
                  </w:r>
                </w:p>
              </w:tc>
              <w:tc>
                <w:tcPr>
                  <w:tcW w:w="93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44</w:t>
                  </w:r>
                </w:p>
              </w:tc>
              <w:tc>
                <w:tcPr>
                  <w:tcW w:w="1686" w:type="dxa"/>
                  <w:gridSpan w:val="2"/>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16</w:t>
                  </w:r>
                </w:p>
              </w:tc>
              <w:tc>
                <w:tcPr>
                  <w:tcW w:w="1019" w:type="dxa"/>
                  <w:tcBorders>
                    <w:top w:val="nil"/>
                    <w:left w:val="nil"/>
                    <w:bottom w:val="nil"/>
                    <w:right w:val="nil"/>
                  </w:tcBorders>
                  <w:shd w:val="clear" w:color="auto" w:fill="auto"/>
                  <w:noWrap/>
                  <w:vAlign w:val="bottom"/>
                  <w:hideMark/>
                </w:tcPr>
                <w:p w:rsidR="00B472F1" w:rsidRPr="00B472F1" w:rsidRDefault="00B472F1" w:rsidP="001D45DA">
                  <w:pPr>
                    <w:spacing w:line="240" w:lineRule="auto"/>
                    <w:jc w:val="right"/>
                    <w:rPr>
                      <w:rFonts w:ascii="Calibri" w:eastAsia="Times New Roman" w:hAnsi="Calibri" w:cs="Times New Roman"/>
                      <w:color w:val="FFFFFF" w:themeColor="background1"/>
                      <w:sz w:val="12"/>
                      <w:szCs w:val="12"/>
                      <w:lang w:eastAsia="en-AU"/>
                    </w:rPr>
                  </w:pPr>
                  <w:r w:rsidRPr="00B472F1">
                    <w:rPr>
                      <w:rFonts w:ascii="Calibri" w:eastAsia="Times New Roman" w:hAnsi="Calibri" w:cs="Times New Roman"/>
                      <w:color w:val="FFFFFF" w:themeColor="background1"/>
                      <w:sz w:val="12"/>
                      <w:szCs w:val="12"/>
                      <w:lang w:eastAsia="en-AU"/>
                    </w:rPr>
                    <w:t>42</w:t>
                  </w:r>
                </w:p>
              </w:tc>
            </w:tr>
          </w:tbl>
          <w:p w:rsidR="00B472F1" w:rsidRPr="00B472F1" w:rsidRDefault="00B472F1" w:rsidP="001D45DA">
            <w:pPr>
              <w:pStyle w:val="BodyText"/>
              <w:cnfStyle w:val="100000000000" w:firstRow="1" w:lastRow="0" w:firstColumn="0" w:lastColumn="0" w:oddVBand="0" w:evenVBand="0" w:oddHBand="0" w:evenHBand="0" w:firstRowFirstColumn="0" w:firstRowLastColumn="0" w:lastRowFirstColumn="0" w:lastRowLastColumn="0"/>
            </w:pPr>
          </w:p>
        </w:tc>
      </w:tr>
    </w:tbl>
    <w:p w:rsidR="00AB7280" w:rsidRDefault="00AB7280" w:rsidP="00AB7280">
      <w:pPr>
        <w:pStyle w:val="Source"/>
      </w:pPr>
      <w:r>
        <w:t xml:space="preserve">Source: </w:t>
      </w:r>
      <w:r w:rsidRPr="00571BB7">
        <w:t xml:space="preserve">ABS </w:t>
      </w:r>
      <w:r>
        <w:t>and PBO analysis.</w:t>
      </w:r>
    </w:p>
    <w:p w:rsidR="00AB7280" w:rsidRDefault="00AB7280" w:rsidP="00AB7280">
      <w:pPr>
        <w:pStyle w:val="BodyText17ptAbove"/>
      </w:pPr>
      <w:r w:rsidRPr="001A6CFC">
        <w:t xml:space="preserve">As </w:t>
      </w:r>
      <w:r w:rsidRPr="00201259">
        <w:t xml:space="preserve">shown in </w:t>
      </w:r>
      <w:r>
        <w:fldChar w:fldCharType="begin"/>
      </w:r>
      <w:r>
        <w:instrText xml:space="preserve"> REF _Ref415138514 \h </w:instrText>
      </w:r>
      <w:r>
        <w:fldChar w:fldCharType="separate"/>
      </w:r>
      <w:r w:rsidR="008B68F4" w:rsidRPr="00AB7280">
        <w:t xml:space="preserve">Table </w:t>
      </w:r>
      <w:r w:rsidR="008B68F4">
        <w:rPr>
          <w:noProof/>
        </w:rPr>
        <w:t>3</w:t>
      </w:r>
      <w:r w:rsidR="008B68F4">
        <w:noBreakHyphen/>
      </w:r>
      <w:r w:rsidR="008B68F4">
        <w:rPr>
          <w:noProof/>
        </w:rPr>
        <w:t>2</w:t>
      </w:r>
      <w:r>
        <w:fldChar w:fldCharType="end"/>
      </w:r>
      <w:r w:rsidRPr="00201259">
        <w:t xml:space="preserve">, Commonwealth government own-purpose per capita health expenditure has </w:t>
      </w:r>
      <w:r w:rsidRPr="00820B6C">
        <w:t>grown</w:t>
      </w:r>
      <w:r w:rsidRPr="00201259">
        <w:t xml:space="preserve"> faster </w:t>
      </w:r>
      <w:r w:rsidR="00787EE7">
        <w:t xml:space="preserve">in real terms </w:t>
      </w:r>
      <w:r w:rsidRPr="00201259">
        <w:t>than real GDP</w:t>
      </w:r>
      <w:r>
        <w:t xml:space="preserve"> per capita</w:t>
      </w:r>
      <w:r w:rsidRPr="00201259">
        <w:t xml:space="preserve"> over the period. </w:t>
      </w:r>
      <w:r>
        <w:t xml:space="preserve"> </w:t>
      </w:r>
      <w:r w:rsidRPr="00201259">
        <w:t>This growth is driven primarily by the Medical Benefits Schedule (Medicare), the Private Health Insurance Rebate, and Pharmaceutical Benefits</w:t>
      </w:r>
      <w:r>
        <w:t xml:space="preserve"> and Services (PBS).  These three programs together account for 10.2 per cent of the growth in total Commonwealth expenses over the past decade.</w:t>
      </w:r>
      <w:r w:rsidRPr="00B86531">
        <w:rPr>
          <w:rStyle w:val="FootnoteReference"/>
        </w:rPr>
        <w:footnoteReference w:id="25"/>
      </w:r>
      <w:r>
        <w:t xml:space="preserve">  In particular, Medicare was the key driver, growing by 5.8 per cent annually </w:t>
      </w:r>
      <w:r w:rsidR="00787EE7">
        <w:t xml:space="preserve">in real terms </w:t>
      </w:r>
      <w:r>
        <w:t xml:space="preserve">from 2002–03 to 2012–13, largely reflecting the introduction of new policy </w:t>
      </w:r>
      <w:r w:rsidRPr="0037520E">
        <w:t>initiatives</w:t>
      </w:r>
      <w:r w:rsidR="00271A1B" w:rsidRPr="0037520E">
        <w:t xml:space="preserve">, in particular the listing of new items, the introduction of the Enhanced Medicare Safety Net and </w:t>
      </w:r>
      <w:r w:rsidR="00FC2C0C" w:rsidRPr="0037520E">
        <w:t>the removal of the gap payment for GP services.</w:t>
      </w:r>
    </w:p>
    <w:p w:rsidR="00AB7280" w:rsidRPr="00AB7280" w:rsidRDefault="00AB7280" w:rsidP="00AB7280">
      <w:pPr>
        <w:pStyle w:val="Caption"/>
      </w:pPr>
      <w:bookmarkStart w:id="200" w:name="_Ref415138514"/>
      <w:bookmarkStart w:id="201" w:name="_Toc415222940"/>
      <w:bookmarkStart w:id="202" w:name="_Toc418077582"/>
      <w:r w:rsidRPr="00AB7280">
        <w:lastRenderedPageBreak/>
        <w:t xml:space="preserve">Table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Table \* ARABIC \s 1 </w:instrText>
      </w:r>
      <w:r w:rsidR="003A23CE">
        <w:fldChar w:fldCharType="separate"/>
      </w:r>
      <w:r w:rsidR="008B68F4">
        <w:rPr>
          <w:noProof/>
        </w:rPr>
        <w:t>2</w:t>
      </w:r>
      <w:r w:rsidR="003A23CE">
        <w:rPr>
          <w:noProof/>
        </w:rPr>
        <w:fldChar w:fldCharType="end"/>
      </w:r>
      <w:bookmarkEnd w:id="200"/>
      <w:r w:rsidRPr="00AB7280">
        <w:t xml:space="preserve">: </w:t>
      </w:r>
      <w:r>
        <w:t>Health expenditure by jurisdiction</w:t>
      </w:r>
      <w:r w:rsidRPr="00B86531">
        <w:rPr>
          <w:rStyle w:val="FootnoteReference"/>
        </w:rPr>
        <w:footnoteReference w:id="26"/>
      </w:r>
      <w:bookmarkEnd w:id="201"/>
      <w:bookmarkEnd w:id="202"/>
    </w:p>
    <w:tbl>
      <w:tblPr>
        <w:tblStyle w:val="TableGrid"/>
        <w:tblW w:w="5000" w:type="pct"/>
        <w:tblLook w:val="04A0" w:firstRow="1" w:lastRow="0" w:firstColumn="1" w:lastColumn="0" w:noHBand="0" w:noVBand="1"/>
      </w:tblPr>
      <w:tblGrid>
        <w:gridCol w:w="2552"/>
        <w:gridCol w:w="1920"/>
        <w:gridCol w:w="1920"/>
        <w:gridCol w:w="1920"/>
      </w:tblGrid>
      <w:tr w:rsidR="00AB7280" w:rsidRPr="002B02BA" w:rsidTr="005250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35" w:type="pct"/>
            <w:noWrap/>
            <w:hideMark/>
          </w:tcPr>
          <w:p w:rsidR="00AB7280" w:rsidRPr="0037520E" w:rsidRDefault="00AB7280" w:rsidP="007F6BC2">
            <w:pPr>
              <w:pStyle w:val="TableHeadingCentred"/>
              <w:rPr>
                <w:rFonts w:ascii="Arial" w:hAnsi="Arial" w:cs="Arial"/>
                <w:sz w:val="16"/>
                <w:szCs w:val="16"/>
              </w:rPr>
            </w:pPr>
            <w:bookmarkStart w:id="203" w:name="Title_2" w:colFirst="0" w:colLast="0"/>
          </w:p>
        </w:tc>
        <w:tc>
          <w:tcPr>
            <w:tcW w:w="1155" w:type="pct"/>
            <w:hideMark/>
          </w:tcPr>
          <w:p w:rsidR="00AB7280" w:rsidRPr="0037520E" w:rsidRDefault="00AB7280" w:rsidP="007F6BC2">
            <w:pPr>
              <w:pStyle w:val="TableHeadingCentred"/>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Health (real average annual per capita growth) (%)</w:t>
            </w:r>
          </w:p>
        </w:tc>
        <w:tc>
          <w:tcPr>
            <w:tcW w:w="1155" w:type="pct"/>
            <w:hideMark/>
          </w:tcPr>
          <w:p w:rsidR="00AB7280" w:rsidRPr="0037520E" w:rsidRDefault="00AB7280" w:rsidP="007F6BC2">
            <w:pPr>
              <w:pStyle w:val="TableHeadingCentred"/>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GSP (real average annual per capita growth) (%)</w:t>
            </w:r>
          </w:p>
        </w:tc>
        <w:tc>
          <w:tcPr>
            <w:tcW w:w="1155" w:type="pct"/>
            <w:hideMark/>
          </w:tcPr>
          <w:p w:rsidR="00AB7280" w:rsidRPr="0037520E" w:rsidRDefault="00AB7280" w:rsidP="007F6BC2">
            <w:pPr>
              <w:pStyle w:val="TableHeadingCentred"/>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Nominal health expenditure</w:t>
            </w:r>
            <w:r w:rsidRPr="0037520E">
              <w:rPr>
                <w:rFonts w:ascii="Arial" w:hAnsi="Arial" w:cs="Arial"/>
                <w:sz w:val="16"/>
                <w:szCs w:val="16"/>
              </w:rPr>
              <w:br/>
              <w:t>per capita ($)</w:t>
            </w:r>
          </w:p>
        </w:tc>
      </w:tr>
      <w:bookmarkEnd w:id="203"/>
      <w:tr w:rsidR="00AB7280" w:rsidRPr="002B02BA" w:rsidTr="00F1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shd w:val="clear" w:color="auto" w:fill="auto"/>
            <w:noWrap/>
            <w:hideMark/>
          </w:tcPr>
          <w:p w:rsidR="00AB7280" w:rsidRPr="0037520E" w:rsidRDefault="00AB7280" w:rsidP="007F6BC2">
            <w:pPr>
              <w:pStyle w:val="TableText"/>
              <w:rPr>
                <w:rFonts w:ascii="Arial" w:hAnsi="Arial" w:cs="Arial"/>
                <w:sz w:val="16"/>
                <w:szCs w:val="16"/>
              </w:rPr>
            </w:pPr>
          </w:p>
        </w:tc>
        <w:tc>
          <w:tcPr>
            <w:tcW w:w="1155" w:type="pct"/>
            <w:shd w:val="clear" w:color="auto" w:fill="auto"/>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7520E">
              <w:rPr>
                <w:rFonts w:ascii="Arial" w:hAnsi="Arial" w:cs="Arial"/>
                <w:b/>
                <w:sz w:val="16"/>
                <w:szCs w:val="16"/>
              </w:rPr>
              <w:t>2002–03 to 2012–13</w:t>
            </w:r>
          </w:p>
        </w:tc>
        <w:tc>
          <w:tcPr>
            <w:tcW w:w="1155" w:type="pct"/>
            <w:shd w:val="clear" w:color="auto" w:fill="auto"/>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7520E">
              <w:rPr>
                <w:rFonts w:ascii="Arial" w:hAnsi="Arial" w:cs="Arial"/>
                <w:b/>
                <w:sz w:val="16"/>
                <w:szCs w:val="16"/>
              </w:rPr>
              <w:t>2002–03 to 2012–13</w:t>
            </w:r>
          </w:p>
        </w:tc>
        <w:tc>
          <w:tcPr>
            <w:tcW w:w="1155" w:type="pct"/>
            <w:shd w:val="clear" w:color="auto" w:fill="auto"/>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37520E">
              <w:rPr>
                <w:rFonts w:ascii="Arial" w:hAnsi="Arial" w:cs="Arial"/>
                <w:b/>
                <w:sz w:val="16"/>
                <w:szCs w:val="16"/>
              </w:rPr>
              <w:t>2012–13</w:t>
            </w:r>
          </w:p>
        </w:tc>
      </w:tr>
      <w:tr w:rsidR="00AB7280" w:rsidRPr="002B02BA" w:rsidTr="00F15E4F">
        <w:tc>
          <w:tcPr>
            <w:cnfStyle w:val="001000000000" w:firstRow="0" w:lastRow="0" w:firstColumn="1" w:lastColumn="0" w:oddVBand="0" w:evenVBand="0" w:oddHBand="0" w:evenHBand="0" w:firstRowFirstColumn="0" w:firstRowLastColumn="0" w:lastRowFirstColumn="0" w:lastRowLastColumn="0"/>
            <w:tcW w:w="1535" w:type="pct"/>
            <w:shd w:val="clear" w:color="auto" w:fill="D7DDE9"/>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Northern Territory</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4.</w:t>
            </w:r>
            <w:r w:rsidR="00BA24E8" w:rsidRPr="0037520E">
              <w:rPr>
                <w:rFonts w:ascii="Arial" w:hAnsi="Arial" w:cs="Arial"/>
                <w:sz w:val="16"/>
                <w:szCs w:val="16"/>
              </w:rPr>
              <w:t>4</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2.</w:t>
            </w:r>
            <w:r w:rsidR="00BA24E8" w:rsidRPr="0037520E">
              <w:rPr>
                <w:rFonts w:ascii="Arial" w:hAnsi="Arial" w:cs="Arial"/>
                <w:sz w:val="16"/>
                <w:szCs w:val="16"/>
              </w:rPr>
              <w:t>0</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4,8</w:t>
            </w:r>
            <w:r w:rsidR="00BA24E8" w:rsidRPr="0037520E">
              <w:rPr>
                <w:rFonts w:ascii="Arial" w:hAnsi="Arial" w:cs="Arial"/>
                <w:sz w:val="16"/>
                <w:szCs w:val="16"/>
              </w:rPr>
              <w:t>03</w:t>
            </w:r>
          </w:p>
        </w:tc>
      </w:tr>
      <w:tr w:rsidR="00AB7280" w:rsidRPr="002B02BA" w:rsidTr="00F1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shd w:val="clear" w:color="auto" w:fill="auto"/>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Australian Capital Territory</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5.5</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1.</w:t>
            </w:r>
            <w:r w:rsidR="00BA24E8" w:rsidRPr="0037520E">
              <w:rPr>
                <w:rFonts w:ascii="Arial" w:hAnsi="Arial" w:cs="Arial"/>
                <w:sz w:val="16"/>
                <w:szCs w:val="16"/>
              </w:rPr>
              <w:t>3</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3,22</w:t>
            </w:r>
            <w:r w:rsidR="00BA24E8" w:rsidRPr="0037520E">
              <w:rPr>
                <w:rFonts w:ascii="Arial" w:hAnsi="Arial" w:cs="Arial"/>
                <w:sz w:val="16"/>
                <w:szCs w:val="16"/>
              </w:rPr>
              <w:t>3</w:t>
            </w:r>
          </w:p>
        </w:tc>
      </w:tr>
      <w:tr w:rsidR="00AB7280" w:rsidRPr="002B02BA" w:rsidTr="00F15E4F">
        <w:tc>
          <w:tcPr>
            <w:cnfStyle w:val="001000000000" w:firstRow="0" w:lastRow="0" w:firstColumn="1" w:lastColumn="0" w:oddVBand="0" w:evenVBand="0" w:oddHBand="0" w:evenHBand="0" w:firstRowFirstColumn="0" w:firstRowLastColumn="0" w:lastRowFirstColumn="0" w:lastRowLastColumn="0"/>
            <w:tcW w:w="1535" w:type="pct"/>
            <w:shd w:val="clear" w:color="auto" w:fill="D7DDE9"/>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South Australia</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4.7</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1.</w:t>
            </w:r>
            <w:r w:rsidR="00BA24E8" w:rsidRPr="0037520E">
              <w:rPr>
                <w:rFonts w:ascii="Arial" w:hAnsi="Arial" w:cs="Arial"/>
                <w:sz w:val="16"/>
                <w:szCs w:val="16"/>
              </w:rPr>
              <w:t>4</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3,07</w:t>
            </w:r>
            <w:r w:rsidR="00BA24E8" w:rsidRPr="0037520E">
              <w:rPr>
                <w:rFonts w:ascii="Arial" w:hAnsi="Arial" w:cs="Arial"/>
                <w:sz w:val="16"/>
                <w:szCs w:val="16"/>
              </w:rPr>
              <w:t>9</w:t>
            </w:r>
          </w:p>
        </w:tc>
      </w:tr>
      <w:tr w:rsidR="00AB7280" w:rsidRPr="002B02BA" w:rsidTr="00F1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shd w:val="clear" w:color="auto" w:fill="auto"/>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Tasmania</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6.0</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1.1</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2,91</w:t>
            </w:r>
            <w:r w:rsidR="00BA24E8" w:rsidRPr="0037520E">
              <w:rPr>
                <w:rFonts w:ascii="Arial" w:hAnsi="Arial" w:cs="Arial"/>
                <w:sz w:val="16"/>
                <w:szCs w:val="16"/>
              </w:rPr>
              <w:t>6</w:t>
            </w:r>
          </w:p>
        </w:tc>
      </w:tr>
      <w:tr w:rsidR="00AB7280" w:rsidRPr="002B02BA" w:rsidTr="00F15E4F">
        <w:tc>
          <w:tcPr>
            <w:cnfStyle w:val="001000000000" w:firstRow="0" w:lastRow="0" w:firstColumn="1" w:lastColumn="0" w:oddVBand="0" w:evenVBand="0" w:oddHBand="0" w:evenHBand="0" w:firstRowFirstColumn="0" w:firstRowLastColumn="0" w:lastRowFirstColumn="0" w:lastRowLastColumn="0"/>
            <w:tcW w:w="1535" w:type="pct"/>
            <w:shd w:val="clear" w:color="auto" w:fill="D7DDE9"/>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Western Australia</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3.8</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2.</w:t>
            </w:r>
            <w:r w:rsidR="00BA24E8" w:rsidRPr="0037520E">
              <w:rPr>
                <w:rFonts w:ascii="Arial" w:hAnsi="Arial" w:cs="Arial"/>
                <w:sz w:val="16"/>
                <w:szCs w:val="16"/>
              </w:rPr>
              <w:t>4</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2,76</w:t>
            </w:r>
            <w:r w:rsidR="00BA24E8" w:rsidRPr="0037520E">
              <w:rPr>
                <w:rFonts w:ascii="Arial" w:hAnsi="Arial" w:cs="Arial"/>
                <w:sz w:val="16"/>
                <w:szCs w:val="16"/>
              </w:rPr>
              <w:t>4</w:t>
            </w:r>
          </w:p>
        </w:tc>
      </w:tr>
      <w:tr w:rsidR="00AB7280" w:rsidRPr="002B02BA" w:rsidTr="00F1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shd w:val="clear" w:color="auto" w:fill="auto"/>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Queensland</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5.5</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1.7</w:t>
            </w:r>
          </w:p>
        </w:tc>
        <w:tc>
          <w:tcPr>
            <w:tcW w:w="1155" w:type="pct"/>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2,66</w:t>
            </w:r>
            <w:r w:rsidR="00BA24E8" w:rsidRPr="0037520E">
              <w:rPr>
                <w:rFonts w:ascii="Arial" w:hAnsi="Arial" w:cs="Arial"/>
                <w:sz w:val="16"/>
                <w:szCs w:val="16"/>
              </w:rPr>
              <w:t>6</w:t>
            </w:r>
          </w:p>
        </w:tc>
      </w:tr>
      <w:tr w:rsidR="00AB7280" w:rsidRPr="002B02BA" w:rsidTr="00F15E4F">
        <w:tc>
          <w:tcPr>
            <w:cnfStyle w:val="001000000000" w:firstRow="0" w:lastRow="0" w:firstColumn="1" w:lastColumn="0" w:oddVBand="0" w:evenVBand="0" w:oddHBand="0" w:evenHBand="0" w:firstRowFirstColumn="0" w:firstRowLastColumn="0" w:lastRowFirstColumn="0" w:lastRowLastColumn="0"/>
            <w:tcW w:w="1535" w:type="pct"/>
            <w:shd w:val="clear" w:color="auto" w:fill="D7DDE9"/>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Victoria</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2.2</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1.0</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2,</w:t>
            </w:r>
            <w:r w:rsidR="00BA24E8" w:rsidRPr="0037520E">
              <w:rPr>
                <w:rFonts w:ascii="Arial" w:hAnsi="Arial" w:cs="Arial"/>
                <w:sz w:val="16"/>
                <w:szCs w:val="16"/>
              </w:rPr>
              <w:t>301</w:t>
            </w:r>
          </w:p>
        </w:tc>
      </w:tr>
      <w:tr w:rsidR="00AB7280" w:rsidRPr="002B02BA" w:rsidTr="00F1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pct"/>
            <w:tcBorders>
              <w:bottom w:val="none" w:sz="0" w:space="0" w:color="auto"/>
            </w:tcBorders>
            <w:shd w:val="clear" w:color="auto" w:fill="auto"/>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New South Wales</w:t>
            </w:r>
          </w:p>
        </w:tc>
        <w:tc>
          <w:tcPr>
            <w:tcW w:w="1155" w:type="pct"/>
            <w:tcBorders>
              <w:bottom w:val="none" w:sz="0" w:space="0" w:color="auto"/>
            </w:tcBorders>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2.6</w:t>
            </w:r>
          </w:p>
        </w:tc>
        <w:tc>
          <w:tcPr>
            <w:tcW w:w="1155" w:type="pct"/>
            <w:tcBorders>
              <w:bottom w:val="none" w:sz="0" w:space="0" w:color="auto"/>
            </w:tcBorders>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0.9</w:t>
            </w:r>
          </w:p>
        </w:tc>
        <w:tc>
          <w:tcPr>
            <w:tcW w:w="1155" w:type="pct"/>
            <w:tcBorders>
              <w:bottom w:val="none" w:sz="0" w:space="0" w:color="auto"/>
            </w:tcBorders>
            <w:shd w:val="clear" w:color="auto" w:fill="auto"/>
            <w:noWrap/>
            <w:hideMark/>
          </w:tcPr>
          <w:p w:rsidR="00AB7280" w:rsidRPr="0037520E" w:rsidRDefault="00AB7280" w:rsidP="007F6BC2">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7520E">
              <w:rPr>
                <w:rFonts w:ascii="Arial" w:hAnsi="Arial" w:cs="Arial"/>
                <w:sz w:val="16"/>
                <w:szCs w:val="16"/>
              </w:rPr>
              <w:t>2,280</w:t>
            </w:r>
          </w:p>
        </w:tc>
      </w:tr>
      <w:tr w:rsidR="00AB7280" w:rsidRPr="002B02BA" w:rsidTr="00F15E4F">
        <w:tc>
          <w:tcPr>
            <w:cnfStyle w:val="001000000000" w:firstRow="0" w:lastRow="0" w:firstColumn="1" w:lastColumn="0" w:oddVBand="0" w:evenVBand="0" w:oddHBand="0" w:evenHBand="0" w:firstRowFirstColumn="0" w:firstRowLastColumn="0" w:lastRowFirstColumn="0" w:lastRowLastColumn="0"/>
            <w:tcW w:w="1535" w:type="pct"/>
            <w:shd w:val="clear" w:color="auto" w:fill="D7DDE9"/>
            <w:noWrap/>
            <w:hideMark/>
          </w:tcPr>
          <w:p w:rsidR="00AB7280" w:rsidRPr="0037520E" w:rsidRDefault="00AB7280" w:rsidP="007F6BC2">
            <w:pPr>
              <w:pStyle w:val="TableText"/>
              <w:rPr>
                <w:rFonts w:ascii="Arial" w:hAnsi="Arial" w:cs="Arial"/>
                <w:sz w:val="16"/>
                <w:szCs w:val="16"/>
              </w:rPr>
            </w:pPr>
            <w:r w:rsidRPr="0037520E">
              <w:rPr>
                <w:rFonts w:ascii="Arial" w:hAnsi="Arial" w:cs="Arial"/>
                <w:sz w:val="16"/>
                <w:szCs w:val="16"/>
              </w:rPr>
              <w:t>Commonwealth</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3.5</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1.4 (GDP)</w:t>
            </w:r>
          </w:p>
        </w:tc>
        <w:tc>
          <w:tcPr>
            <w:tcW w:w="1155" w:type="pct"/>
            <w:shd w:val="clear" w:color="auto" w:fill="D7DDE9"/>
            <w:noWrap/>
            <w:hideMark/>
          </w:tcPr>
          <w:p w:rsidR="00AB7280" w:rsidRPr="0037520E" w:rsidRDefault="00AB7280" w:rsidP="007F6BC2">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1,90</w:t>
            </w:r>
            <w:r w:rsidR="00BA24E8" w:rsidRPr="0037520E">
              <w:rPr>
                <w:rFonts w:ascii="Arial" w:hAnsi="Arial" w:cs="Arial"/>
                <w:sz w:val="16"/>
                <w:szCs w:val="16"/>
              </w:rPr>
              <w:t>8</w:t>
            </w:r>
          </w:p>
        </w:tc>
      </w:tr>
    </w:tbl>
    <w:p w:rsidR="00AB7280" w:rsidRDefault="00AB7280" w:rsidP="00AB7280">
      <w:pPr>
        <w:pStyle w:val="Source"/>
      </w:pPr>
      <w:r>
        <w:t>Source: ABS and PBO analysis.</w:t>
      </w:r>
    </w:p>
    <w:p w:rsidR="007F6BC2" w:rsidRPr="007F6BC2" w:rsidRDefault="007F6BC2" w:rsidP="007F6BC2">
      <w:pPr>
        <w:pStyle w:val="BodyText17ptAbove"/>
      </w:pPr>
      <w:r w:rsidRPr="007F6BC2">
        <w:t xml:space="preserve">Annual </w:t>
      </w:r>
      <w:r w:rsidR="00787EE7">
        <w:t xml:space="preserve">real </w:t>
      </w:r>
      <w:r w:rsidRPr="007F6BC2">
        <w:t xml:space="preserve">growth in state government per capita health expenditure has exceeded that of </w:t>
      </w:r>
      <w:r w:rsidR="00232C05">
        <w:t>gross state product (</w:t>
      </w:r>
      <w:r w:rsidRPr="007F6BC2">
        <w:t>GSP</w:t>
      </w:r>
      <w:r w:rsidR="00232C05">
        <w:t>)</w:t>
      </w:r>
      <w:r w:rsidRPr="007F6BC2">
        <w:t xml:space="preserve"> per capita in all states (although there were wide variations), with Tasmania, Queensland and the Australian Capital Territory recording the strongest growth.  The Northern Territory has consistently had the highest per capita health expenditure over the past decade, reflecting </w:t>
      </w:r>
      <w:proofErr w:type="gramStart"/>
      <w:r w:rsidRPr="007F6BC2">
        <w:t>its</w:t>
      </w:r>
      <w:proofErr w:type="gramEnd"/>
      <w:r w:rsidRPr="007F6BC2">
        <w:t xml:space="preserve"> higher than average costs to deliver services compared to other states.  This is taken into account in the relatively high proportion of the GST which is distributed to the Northern Territory.</w:t>
      </w:r>
    </w:p>
    <w:p w:rsidR="007F6BC2" w:rsidRDefault="007F6BC2" w:rsidP="007F6BC2">
      <w:pPr>
        <w:pStyle w:val="BodyText"/>
      </w:pPr>
      <w:r>
        <w:t>For state governments, the key driver of growth in health expenditure has been public hospitals, which are discussed in the following section.</w:t>
      </w:r>
    </w:p>
    <w:p w:rsidR="007F6BC2" w:rsidRDefault="007F6BC2" w:rsidP="007F6BC2">
      <w:pPr>
        <w:pStyle w:val="Heading3"/>
      </w:pPr>
      <w:bookmarkStart w:id="204" w:name="_Toc414006848"/>
      <w:bookmarkStart w:id="205" w:name="_Toc414007423"/>
      <w:bookmarkStart w:id="206" w:name="_Toc414007728"/>
      <w:bookmarkStart w:id="207" w:name="_Toc414008351"/>
      <w:r>
        <w:t>Hospital expenses</w:t>
      </w:r>
      <w:bookmarkEnd w:id="204"/>
      <w:bookmarkEnd w:id="205"/>
      <w:bookmarkEnd w:id="206"/>
      <w:bookmarkEnd w:id="207"/>
    </w:p>
    <w:p w:rsidR="0011590A" w:rsidRDefault="007F6BC2" w:rsidP="007F6BC2">
      <w:pPr>
        <w:pStyle w:val="BodyText"/>
      </w:pPr>
      <w:r w:rsidRPr="00BA5D21">
        <w:t>Public hospitals are the largest area of health e</w:t>
      </w:r>
      <w:r>
        <w:t>xpenditure for states.  In 2012–</w:t>
      </w:r>
      <w:r w:rsidRPr="00BA5D21">
        <w:t>13, around</w:t>
      </w:r>
      <w:r w:rsidRPr="00397A85">
        <w:t xml:space="preserve"> 69 per cent of state health expenses (including those funded by Commonwealth transfers) were for public hospital services, with hospitals accounting for around 19 per cent of total </w:t>
      </w:r>
      <w:r w:rsidRPr="00BA5D21">
        <w:t>state government expenses.</w:t>
      </w:r>
      <w:r w:rsidRPr="00B86531">
        <w:rPr>
          <w:rStyle w:val="FootnoteReference"/>
        </w:rPr>
        <w:footnoteReference w:id="27"/>
      </w:r>
      <w:r w:rsidR="0011590A">
        <w:t xml:space="preserve"> </w:t>
      </w:r>
    </w:p>
    <w:p w:rsidR="007F6BC2" w:rsidRPr="00397A85" w:rsidRDefault="007F6BC2" w:rsidP="007F6BC2">
      <w:pPr>
        <w:pStyle w:val="BodyText"/>
      </w:pPr>
      <w:r w:rsidRPr="00BA5D21">
        <w:lastRenderedPageBreak/>
        <w:t>States have assumed greater responsibility for public</w:t>
      </w:r>
      <w:r w:rsidRPr="00397A85">
        <w:t xml:space="preserve"> hospital funding over the past decade, with their contribution rising from 58 per cent in 2002</w:t>
      </w:r>
      <w:r>
        <w:t>–03 to 63 per cent in</w:t>
      </w:r>
      <w:r>
        <w:br/>
        <w:t>2012–</w:t>
      </w:r>
      <w:r w:rsidRPr="00397A85">
        <w:t>13.</w:t>
      </w:r>
      <w:r w:rsidRPr="00B86531">
        <w:rPr>
          <w:rStyle w:val="FootnoteReference"/>
        </w:rPr>
        <w:footnoteReference w:id="28"/>
      </w:r>
    </w:p>
    <w:p w:rsidR="007F6BC2" w:rsidRPr="00725E8A" w:rsidRDefault="007F6BC2" w:rsidP="007F6BC2">
      <w:pPr>
        <w:pStyle w:val="BodyText"/>
        <w:rPr>
          <w:b/>
          <w:bCs/>
        </w:rPr>
      </w:pPr>
      <w:r w:rsidRPr="00397A85">
        <w:t>From 2002</w:t>
      </w:r>
      <w:r>
        <w:t>–</w:t>
      </w:r>
      <w:r w:rsidRPr="00397A85">
        <w:t>03 to 2012</w:t>
      </w:r>
      <w:r>
        <w:t>–</w:t>
      </w:r>
      <w:r w:rsidRPr="00397A85">
        <w:t>13, state own-purpose expenditure on public hospitals grew by 5.5 per cent annually</w:t>
      </w:r>
      <w:r w:rsidR="00787EE7">
        <w:t xml:space="preserve"> in real terms</w:t>
      </w:r>
      <w:r w:rsidRPr="00397A85">
        <w:t>.  Public hospitals are funded in part through a Commonwealth payment to states</w:t>
      </w:r>
      <w:r>
        <w:t>, with</w:t>
      </w:r>
      <w:r w:rsidRPr="00397A85">
        <w:t xml:space="preserve"> this payment gr</w:t>
      </w:r>
      <w:r>
        <w:t>owing</w:t>
      </w:r>
      <w:r w:rsidRPr="00397A85">
        <w:t xml:space="preserve"> by 3.6 per cent annually </w:t>
      </w:r>
      <w:r w:rsidR="00787EE7">
        <w:t xml:space="preserve">in real </w:t>
      </w:r>
      <w:r w:rsidR="00787EE7" w:rsidRPr="00990599">
        <w:t xml:space="preserve">terms </w:t>
      </w:r>
      <w:r w:rsidR="0011590A" w:rsidRPr="00990599">
        <w:t>(</w:t>
      </w:r>
      <w:r w:rsidR="0011590A" w:rsidRPr="00990599">
        <w:fldChar w:fldCharType="begin"/>
      </w:r>
      <w:r w:rsidR="0011590A" w:rsidRPr="00990599">
        <w:instrText xml:space="preserve"> REF _Ref415142842 \h </w:instrText>
      </w:r>
      <w:r w:rsidR="00990599">
        <w:instrText xml:space="preserve"> \* MERGEFORMAT </w:instrText>
      </w:r>
      <w:r w:rsidR="0011590A" w:rsidRPr="00990599">
        <w:fldChar w:fldCharType="separate"/>
      </w:r>
      <w:r w:rsidR="008B68F4" w:rsidRPr="00990599">
        <w:t xml:space="preserve">Figure </w:t>
      </w:r>
      <w:r w:rsidR="008B68F4">
        <w:rPr>
          <w:noProof/>
        </w:rPr>
        <w:t>3</w:t>
      </w:r>
      <w:r w:rsidR="008B68F4">
        <w:rPr>
          <w:noProof/>
        </w:rPr>
        <w:noBreakHyphen/>
        <w:t>6</w:t>
      </w:r>
      <w:r w:rsidR="0011590A" w:rsidRPr="00990599">
        <w:fldChar w:fldCharType="end"/>
      </w:r>
      <w:r w:rsidR="0011590A" w:rsidRPr="00990599">
        <w:t>)</w:t>
      </w:r>
      <w:r w:rsidRPr="00990599">
        <w:t>.</w:t>
      </w:r>
      <w:r w:rsidRPr="00990599">
        <w:rPr>
          <w:rStyle w:val="FootnoteReference"/>
        </w:rPr>
        <w:footnoteReference w:id="29"/>
      </w:r>
    </w:p>
    <w:p w:rsidR="007F6BC2" w:rsidRPr="007F6BC2" w:rsidRDefault="007F6BC2" w:rsidP="007F6BC2">
      <w:pPr>
        <w:pStyle w:val="Caption"/>
      </w:pPr>
      <w:bookmarkStart w:id="208" w:name="_Ref415142842"/>
      <w:bookmarkStart w:id="209" w:name="_Toc415222965"/>
      <w:bookmarkStart w:id="210" w:name="_Toc418073826"/>
      <w:r w:rsidRPr="00990599">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6</w:t>
      </w:r>
      <w:r w:rsidR="003A23CE">
        <w:rPr>
          <w:noProof/>
        </w:rPr>
        <w:fldChar w:fldCharType="end"/>
      </w:r>
      <w:bookmarkEnd w:id="208"/>
      <w:r w:rsidRPr="00990599">
        <w:t>: Nominal historical and projected spending on hospitals by level of government</w:t>
      </w:r>
      <w:bookmarkEnd w:id="209"/>
      <w:bookmarkEnd w:id="210"/>
    </w:p>
    <w:tbl>
      <w:tblPr>
        <w:tblStyle w:val="TableGrid"/>
        <w:tblW w:w="8674" w:type="dxa"/>
        <w:tblLayout w:type="fixed"/>
        <w:tblLook w:val="04A0" w:firstRow="1" w:lastRow="0" w:firstColumn="1" w:lastColumn="0" w:noHBand="0" w:noVBand="1"/>
      </w:tblPr>
      <w:tblGrid>
        <w:gridCol w:w="4172"/>
        <w:gridCol w:w="4502"/>
      </w:tblGrid>
      <w:tr w:rsidR="00FA45F2" w:rsidRPr="00FA45F2" w:rsidTr="00FA45F2">
        <w:trPr>
          <w:cnfStyle w:val="100000000000" w:firstRow="1" w:lastRow="0" w:firstColumn="0" w:lastColumn="0" w:oddVBand="0" w:evenVBand="0" w:oddHBand="0" w:evenHBand="0" w:firstRowFirstColumn="0" w:firstRowLastColumn="0" w:lastRowFirstColumn="0" w:lastRowLastColumn="0"/>
          <w:trHeight w:hRule="exact" w:val="5332"/>
        </w:trPr>
        <w:tc>
          <w:tcPr>
            <w:cnfStyle w:val="001000000100" w:firstRow="0" w:lastRow="0" w:firstColumn="1" w:lastColumn="0" w:oddVBand="0" w:evenVBand="0" w:oddHBand="0" w:evenHBand="0" w:firstRowFirstColumn="1" w:firstRowLastColumn="0" w:lastRowFirstColumn="0" w:lastRowLastColumn="0"/>
            <w:tcW w:w="4172" w:type="dxa"/>
            <w:shd w:val="clear" w:color="auto" w:fill="auto"/>
          </w:tcPr>
          <w:tbl>
            <w:tblPr>
              <w:tblW w:w="4121" w:type="dxa"/>
              <w:tblLayout w:type="fixed"/>
              <w:tblLook w:val="04A0" w:firstRow="1" w:lastRow="0" w:firstColumn="1" w:lastColumn="0" w:noHBand="0" w:noVBand="1"/>
            </w:tblPr>
            <w:tblGrid>
              <w:gridCol w:w="1427"/>
              <w:gridCol w:w="2694"/>
            </w:tblGrid>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rPr>
                      <w:rFonts w:ascii="Calibri" w:eastAsia="Times New Roman" w:hAnsi="Calibri" w:cs="Times New Roman"/>
                      <w:b/>
                      <w:bCs/>
                      <w:color w:val="FFFFFF" w:themeColor="background1"/>
                      <w:sz w:val="12"/>
                      <w:szCs w:val="12"/>
                      <w:lang w:eastAsia="en-AU"/>
                    </w:rPr>
                  </w:pPr>
                  <w:r>
                    <w:rPr>
                      <w:noProof/>
                      <w:lang w:eastAsia="en-AU"/>
                    </w:rPr>
                    <w:drawing>
                      <wp:anchor distT="0" distB="0" distL="114300" distR="114300" simplePos="0" relativeHeight="251679744" behindDoc="0" locked="0" layoutInCell="1" allowOverlap="1" wp14:anchorId="5A5FD30D" wp14:editId="293087A5">
                        <wp:simplePos x="0" y="0"/>
                        <wp:positionH relativeFrom="column">
                          <wp:posOffset>-64135</wp:posOffset>
                        </wp:positionH>
                        <wp:positionV relativeFrom="paragraph">
                          <wp:posOffset>22860</wp:posOffset>
                        </wp:positionV>
                        <wp:extent cx="5279390" cy="34385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9390" cy="3438525"/>
                                </a:xfrm>
                                <a:prstGeom prst="rect">
                                  <a:avLst/>
                                </a:prstGeom>
                                <a:noFill/>
                              </pic:spPr>
                            </pic:pic>
                          </a:graphicData>
                        </a:graphic>
                        <wp14:sizeRelH relativeFrom="page">
                          <wp14:pctWidth>0</wp14:pctWidth>
                        </wp14:sizeRelH>
                        <wp14:sizeRelV relativeFrom="page">
                          <wp14:pctHeight>0</wp14:pctHeight>
                        </wp14:sizeRelV>
                      </wp:anchor>
                    </w:drawing>
                  </w:r>
                  <w:r w:rsidRPr="00FA45F2">
                    <w:rPr>
                      <w:rFonts w:ascii="Calibri" w:eastAsia="Times New Roman" w:hAnsi="Calibri" w:cs="Times New Roman"/>
                      <w:b/>
                      <w:bCs/>
                      <w:color w:val="FFFFFF" w:themeColor="background1"/>
                      <w:sz w:val="12"/>
                      <w:szCs w:val="12"/>
                      <w:lang w:eastAsia="en-AU"/>
                    </w:rPr>
                    <w:t>Nominal $ billions</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State own-purpose expenses for hospitals</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2002-03</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12</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2003-04</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13</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2004-05</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15</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2005-06</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16</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2006-07</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18</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2007-08</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21</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2008-09</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23</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2009-10</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25</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2010-11</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26</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2011-12</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27</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2012-13</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27</w:t>
                  </w:r>
                </w:p>
              </w:tc>
            </w:tr>
            <w:tr w:rsidR="00FA45F2" w:rsidRPr="00FA45F2" w:rsidTr="00FA45F2">
              <w:trPr>
                <w:trHeight w:val="290"/>
              </w:trPr>
              <w:tc>
                <w:tcPr>
                  <w:tcW w:w="1427"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2013-14</w:t>
                  </w:r>
                </w:p>
              </w:tc>
              <w:tc>
                <w:tcPr>
                  <w:tcW w:w="2694"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29</w:t>
                  </w:r>
                </w:p>
              </w:tc>
            </w:tr>
          </w:tbl>
          <w:p w:rsidR="00FA45F2" w:rsidRPr="00FA45F2" w:rsidRDefault="00FA45F2" w:rsidP="001D45DA">
            <w:pPr>
              <w:pStyle w:val="BodyText"/>
              <w:rPr>
                <w:sz w:val="12"/>
                <w:szCs w:val="12"/>
              </w:rPr>
            </w:pPr>
          </w:p>
        </w:tc>
        <w:tc>
          <w:tcPr>
            <w:tcW w:w="4502" w:type="dxa"/>
            <w:shd w:val="clear" w:color="auto" w:fill="auto"/>
          </w:tcPr>
          <w:tbl>
            <w:tblPr>
              <w:tblW w:w="3934" w:type="dxa"/>
              <w:tblLayout w:type="fixed"/>
              <w:tblLook w:val="04A0" w:firstRow="1" w:lastRow="0" w:firstColumn="1" w:lastColumn="0" w:noHBand="0" w:noVBand="1"/>
            </w:tblPr>
            <w:tblGrid>
              <w:gridCol w:w="962"/>
              <w:gridCol w:w="2972"/>
            </w:tblGrid>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rPr>
                      <w:rFonts w:ascii="Calibri" w:eastAsia="Times New Roman" w:hAnsi="Calibri" w:cs="Times New Roman"/>
                      <w:b/>
                      <w:bCs/>
                      <w:color w:val="FFFFFF" w:themeColor="background1"/>
                      <w:sz w:val="12"/>
                      <w:szCs w:val="12"/>
                      <w:lang w:eastAsia="en-AU"/>
                    </w:rPr>
                  </w:pP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State own-purpose expenses for hospitals</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2002-03</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7</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2003-04</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7</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2004-05</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8</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2005-06</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8</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2006-07</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9</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2007-08</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10</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2008-09</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10</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2009-10</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11</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2010-11</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12</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2011-12</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13</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2012-13</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13</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2013-14</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14</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2014-15</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15</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2015-16</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17</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2016-17</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18</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2017-18</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19</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2018-19</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20</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2019-20</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21</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2020-21</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21</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2021-22</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22</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2022-23</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23</w:t>
                  </w:r>
                </w:p>
              </w:tc>
            </w:tr>
            <w:tr w:rsidR="00FA45F2" w:rsidRPr="00FA45F2" w:rsidTr="00FA45F2">
              <w:trPr>
                <w:trHeight w:val="282"/>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2023-24</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24</w:t>
                  </w:r>
                </w:p>
              </w:tc>
            </w:tr>
            <w:tr w:rsidR="00FA45F2" w:rsidRPr="00FA45F2" w:rsidTr="00FA45F2">
              <w:trPr>
                <w:trHeight w:val="75"/>
              </w:trPr>
              <w:tc>
                <w:tcPr>
                  <w:tcW w:w="96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center"/>
                    <w:rPr>
                      <w:rFonts w:ascii="Calibri" w:eastAsia="Times New Roman" w:hAnsi="Calibri" w:cs="Times New Roman"/>
                      <w:b/>
                      <w:bCs/>
                      <w:color w:val="FFFFFF" w:themeColor="background1"/>
                      <w:sz w:val="12"/>
                      <w:szCs w:val="12"/>
                      <w:lang w:eastAsia="en-AU"/>
                    </w:rPr>
                  </w:pPr>
                  <w:r w:rsidRPr="00FA45F2">
                    <w:rPr>
                      <w:rFonts w:ascii="Calibri" w:eastAsia="Times New Roman" w:hAnsi="Calibri" w:cs="Times New Roman"/>
                      <w:b/>
                      <w:bCs/>
                      <w:color w:val="FFFFFF" w:themeColor="background1"/>
                      <w:sz w:val="12"/>
                      <w:szCs w:val="12"/>
                      <w:lang w:eastAsia="en-AU"/>
                    </w:rPr>
                    <w:t>2024-25</w:t>
                  </w:r>
                </w:p>
              </w:tc>
              <w:tc>
                <w:tcPr>
                  <w:tcW w:w="2972" w:type="dxa"/>
                  <w:tcBorders>
                    <w:top w:val="nil"/>
                    <w:left w:val="nil"/>
                    <w:bottom w:val="nil"/>
                    <w:right w:val="nil"/>
                  </w:tcBorders>
                  <w:shd w:val="clear" w:color="auto" w:fill="auto"/>
                  <w:noWrap/>
                  <w:vAlign w:val="bottom"/>
                  <w:hideMark/>
                </w:tcPr>
                <w:p w:rsidR="00FA45F2" w:rsidRPr="00FA45F2" w:rsidRDefault="00FA45F2" w:rsidP="001D45DA">
                  <w:pPr>
                    <w:spacing w:line="240" w:lineRule="auto"/>
                    <w:jc w:val="right"/>
                    <w:rPr>
                      <w:rFonts w:ascii="Calibri" w:eastAsia="Times New Roman" w:hAnsi="Calibri" w:cs="Times New Roman"/>
                      <w:color w:val="FFFFFF" w:themeColor="background1"/>
                      <w:sz w:val="12"/>
                      <w:szCs w:val="12"/>
                      <w:lang w:eastAsia="en-AU"/>
                    </w:rPr>
                  </w:pPr>
                  <w:r w:rsidRPr="00FA45F2">
                    <w:rPr>
                      <w:rFonts w:ascii="Calibri" w:eastAsia="Times New Roman" w:hAnsi="Calibri" w:cs="Times New Roman"/>
                      <w:color w:val="FFFFFF" w:themeColor="background1"/>
                      <w:sz w:val="12"/>
                      <w:szCs w:val="12"/>
                      <w:lang w:eastAsia="en-AU"/>
                    </w:rPr>
                    <w:t>25</w:t>
                  </w:r>
                </w:p>
              </w:tc>
            </w:tr>
          </w:tbl>
          <w:p w:rsidR="00FA45F2" w:rsidRPr="00FA45F2" w:rsidRDefault="00FA45F2" w:rsidP="001D45DA">
            <w:pPr>
              <w:pStyle w:val="BodyText"/>
              <w:cnfStyle w:val="100000000000" w:firstRow="1" w:lastRow="0" w:firstColumn="0" w:lastColumn="0" w:oddVBand="0" w:evenVBand="0" w:oddHBand="0" w:evenHBand="0" w:firstRowFirstColumn="0" w:firstRowLastColumn="0" w:lastRowFirstColumn="0" w:lastRowLastColumn="0"/>
              <w:rPr>
                <w:sz w:val="12"/>
                <w:szCs w:val="12"/>
              </w:rPr>
            </w:pPr>
          </w:p>
        </w:tc>
      </w:tr>
    </w:tbl>
    <w:p w:rsidR="00AB7280" w:rsidRDefault="007F6BC2" w:rsidP="007F6BC2">
      <w:pPr>
        <w:pStyle w:val="Source"/>
      </w:pPr>
      <w:r>
        <w:t>Source: ABS, state government budget papers and PBO analysis.</w:t>
      </w:r>
    </w:p>
    <w:p w:rsidR="0011590A" w:rsidRDefault="007F6BC2" w:rsidP="00350AB8">
      <w:pPr>
        <w:pStyle w:val="BodyText17ptAbove"/>
      </w:pPr>
      <w:r w:rsidRPr="0087023D">
        <w:t>The relatively strong historical growth in state government expenditure on hospitals over the past decade has been driven by a range of factors including new medical technology, the use of new diagnostic and treatment techniques, increasing community expectations for access to these services, and demographic factors.</w:t>
      </w:r>
      <w:r w:rsidRPr="00B86531">
        <w:rPr>
          <w:rStyle w:val="FootnoteReference"/>
        </w:rPr>
        <w:footnoteReference w:id="30"/>
      </w:r>
    </w:p>
    <w:p w:rsidR="00217C38" w:rsidRDefault="007F6BC2" w:rsidP="007F6BC2">
      <w:pPr>
        <w:pStyle w:val="BodyText"/>
      </w:pPr>
      <w:r w:rsidRPr="00F32EFE">
        <w:t>The share of hospital expenditure has also been influenced by the changes to funding</w:t>
      </w:r>
      <w:r w:rsidRPr="0035155B">
        <w:t xml:space="preserve"> arrangements between the Commonwealth and states over the past decade. </w:t>
      </w:r>
      <w:r>
        <w:t xml:space="preserve"> From 2002–</w:t>
      </w:r>
      <w:r w:rsidRPr="0035155B">
        <w:t>03 to 2007</w:t>
      </w:r>
      <w:r>
        <w:t>–</w:t>
      </w:r>
      <w:r w:rsidRPr="0035155B">
        <w:t xml:space="preserve">08, Commonwealth payments were delivered under </w:t>
      </w:r>
      <w:r w:rsidRPr="00727F01">
        <w:rPr>
          <w:i/>
        </w:rPr>
        <w:t>Australian Health Care Agreements (AHCAs)</w:t>
      </w:r>
      <w:r w:rsidR="00787EE7">
        <w:t xml:space="preserve"> </w:t>
      </w:r>
      <w:r w:rsidRPr="0035155B">
        <w:t>that specified the level of funding to be provided to states.</w:t>
      </w:r>
    </w:p>
    <w:p w:rsidR="007F6BC2" w:rsidRPr="0035155B" w:rsidRDefault="007F6BC2" w:rsidP="007F6BC2">
      <w:pPr>
        <w:pStyle w:val="BodyText"/>
      </w:pPr>
      <w:r w:rsidRPr="0035155B">
        <w:lastRenderedPageBreak/>
        <w:t xml:space="preserve">Under these arrangements Commonwealth payments to states grew by 3.6 per cent annually in real terms while state own-purpose </w:t>
      </w:r>
      <w:r>
        <w:t>spending grew by 8.7 per cent</w:t>
      </w:r>
      <w:r w:rsidR="00787EE7">
        <w:t xml:space="preserve"> in real terms</w:t>
      </w:r>
      <w:r>
        <w:t>.</w:t>
      </w:r>
    </w:p>
    <w:p w:rsidR="00217C38" w:rsidRPr="0035155B" w:rsidRDefault="00217C38" w:rsidP="00217C38">
      <w:pPr>
        <w:pStyle w:val="BodyText"/>
      </w:pPr>
      <w:r>
        <w:t>From 2008–</w:t>
      </w:r>
      <w:r w:rsidRPr="0035155B">
        <w:t>09 to 2011</w:t>
      </w:r>
      <w:r>
        <w:t>–</w:t>
      </w:r>
      <w:r w:rsidRPr="0035155B">
        <w:t xml:space="preserve">12, Commonwealth funding to states for public hospitals was </w:t>
      </w:r>
      <w:r>
        <w:t>provided</w:t>
      </w:r>
      <w:r w:rsidRPr="0035155B">
        <w:t xml:space="preserve"> under </w:t>
      </w:r>
      <w:r w:rsidRPr="00727F01">
        <w:rPr>
          <w:i/>
        </w:rPr>
        <w:t>National Healthcare Specific Purpose Payment</w:t>
      </w:r>
      <w:r w:rsidRPr="0035155B">
        <w:t xml:space="preserve"> arrangements.  These were based on a health specific cost index, growth in population estimates weighted for hospital utilisation, and a technology factor.</w:t>
      </w:r>
      <w:r w:rsidRPr="00B86531">
        <w:rPr>
          <w:rStyle w:val="FootnoteReference"/>
        </w:rPr>
        <w:footnoteReference w:id="31"/>
      </w:r>
      <w:r w:rsidRPr="0035155B">
        <w:t xml:space="preserve"> </w:t>
      </w:r>
      <w:r>
        <w:t xml:space="preserve"> </w:t>
      </w:r>
      <w:r w:rsidRPr="0035155B">
        <w:t>Over this period, growth in Commonwealth funding to states for hospitals increased to 4.3 per cent annually in real terms while state own-purpose spending slowed to 2.2 per cent annually</w:t>
      </w:r>
      <w:r w:rsidR="00787EE7">
        <w:t xml:space="preserve"> in real terms</w:t>
      </w:r>
      <w:r w:rsidRPr="0035155B">
        <w:t>.</w:t>
      </w:r>
    </w:p>
    <w:p w:rsidR="00217C38" w:rsidRPr="0035155B" w:rsidRDefault="00217C38" w:rsidP="00217C38">
      <w:pPr>
        <w:pStyle w:val="BodyText"/>
      </w:pPr>
      <w:r w:rsidRPr="0035155B">
        <w:t>From 2012</w:t>
      </w:r>
      <w:r>
        <w:t>–</w:t>
      </w:r>
      <w:r w:rsidRPr="0035155B">
        <w:t>13 to 2016</w:t>
      </w:r>
      <w:r>
        <w:t>–</w:t>
      </w:r>
      <w:r w:rsidRPr="0035155B">
        <w:t xml:space="preserve">17, Commonwealth funding to states for public hospitals is to be allocated under </w:t>
      </w:r>
      <w:r w:rsidRPr="00FF0F72">
        <w:rPr>
          <w:i/>
        </w:rPr>
        <w:t>National Health Reform Agreement</w:t>
      </w:r>
      <w:r w:rsidRPr="0035155B">
        <w:t xml:space="preserve"> funding arrangements.  States are to be funded based on 50 per cent of the efficient growth in the cost of public hospital services.  Over the period, Commonwealth funding to states for hospital</w:t>
      </w:r>
      <w:r>
        <w:t>s is project</w:t>
      </w:r>
      <w:r w:rsidRPr="0035155B">
        <w:t>ed to grow by 5.4 per cent annually in real terms.  Comparable estimates of state own-purpose spending on hospitals ove</w:t>
      </w:r>
      <w:r>
        <w:t>r the period are not available.</w:t>
      </w:r>
    </w:p>
    <w:p w:rsidR="00217C38" w:rsidRPr="0035155B" w:rsidRDefault="00217C38" w:rsidP="00217C38">
      <w:pPr>
        <w:pStyle w:val="BodyText"/>
      </w:pPr>
      <w:r w:rsidRPr="00BA5D21">
        <w:t>From 2017</w:t>
      </w:r>
      <w:r>
        <w:t>–</w:t>
      </w:r>
      <w:r w:rsidRPr="00BA5D21">
        <w:t>18 to 2024</w:t>
      </w:r>
      <w:r>
        <w:t>–</w:t>
      </w:r>
      <w:r w:rsidRPr="00BA5D21">
        <w:t xml:space="preserve">25, Commonwealth funding to states is </w:t>
      </w:r>
      <w:r>
        <w:t xml:space="preserve">projected </w:t>
      </w:r>
      <w:r w:rsidRPr="00BA5D21">
        <w:t>to grow by 1.7 per cent annually in real terms.  The sharp slowing in growth over the period reflects the 2014</w:t>
      </w:r>
      <w:r>
        <w:t>–</w:t>
      </w:r>
      <w:r w:rsidRPr="00BA5D21">
        <w:t>15 Budget measure to index public hospitals funding by CPI increases and population growth from 1 July 2017.</w:t>
      </w:r>
    </w:p>
    <w:p w:rsidR="00217C38" w:rsidRPr="00990599" w:rsidRDefault="00217C38" w:rsidP="00217C38">
      <w:pPr>
        <w:pStyle w:val="BodyText"/>
      </w:pPr>
      <w:r w:rsidRPr="0035155B">
        <w:t xml:space="preserve">While </w:t>
      </w:r>
      <w:r>
        <w:t>consistent</w:t>
      </w:r>
      <w:r w:rsidRPr="0035155B">
        <w:t xml:space="preserve"> state data beyond 2013</w:t>
      </w:r>
      <w:r>
        <w:t>–</w:t>
      </w:r>
      <w:r w:rsidRPr="0035155B">
        <w:t xml:space="preserve">14 is not available, if demand for hospital services continues to grow as it has over the past decade, a greater share of the associated funding burden will fall on state governments over the medium term as a result of the new Commonwealth government indexation arrangements.  </w:t>
      </w:r>
      <w:r w:rsidRPr="00990599">
        <w:t>This will intensify the</w:t>
      </w:r>
      <w:r w:rsidR="0086106D" w:rsidRPr="00990599">
        <w:t xml:space="preserve"> recent trend which has seen</w:t>
      </w:r>
      <w:r w:rsidRPr="00990599">
        <w:t xml:space="preserve"> state governments increase their share of total hospital funding.</w:t>
      </w:r>
    </w:p>
    <w:p w:rsidR="0011590A" w:rsidRDefault="00217C38" w:rsidP="00217C38">
      <w:pPr>
        <w:pStyle w:val="BodyText"/>
        <w:rPr>
          <w:highlight w:val="green"/>
        </w:rPr>
      </w:pPr>
      <w:r w:rsidRPr="00990599">
        <w:t>Given that hospitals form such a significant share of state government expenditure, adjusting to these new arrangements is likely to pose challenges to the management of state government budgets over the medium term</w:t>
      </w:r>
      <w:r w:rsidR="0011590A">
        <w:rPr>
          <w:highlight w:val="green"/>
        </w:rPr>
        <w:br w:type="page"/>
      </w:r>
    </w:p>
    <w:p w:rsidR="00217C38" w:rsidRPr="00EE1690" w:rsidRDefault="00217C38" w:rsidP="00217C38">
      <w:pPr>
        <w:pStyle w:val="Heading2"/>
      </w:pPr>
      <w:bookmarkStart w:id="211" w:name="_Ref405977111"/>
      <w:bookmarkStart w:id="212" w:name="_Toc414006849"/>
      <w:bookmarkStart w:id="213" w:name="_Toc414007424"/>
      <w:bookmarkStart w:id="214" w:name="_Toc414007729"/>
      <w:bookmarkStart w:id="215" w:name="_Toc414008352"/>
      <w:r>
        <w:lastRenderedPageBreak/>
        <w:t>Education expenses</w:t>
      </w:r>
      <w:bookmarkEnd w:id="211"/>
      <w:bookmarkEnd w:id="212"/>
      <w:bookmarkEnd w:id="213"/>
      <w:bookmarkEnd w:id="214"/>
      <w:bookmarkEnd w:id="215"/>
    </w:p>
    <w:p w:rsidR="00217C38" w:rsidRDefault="00217C38" w:rsidP="00217C38">
      <w:pPr>
        <w:pStyle w:val="BodyText"/>
      </w:pPr>
      <w:r w:rsidRPr="00FC7568">
        <w:t>Between 2002</w:t>
      </w:r>
      <w:r>
        <w:t>–</w:t>
      </w:r>
      <w:r w:rsidRPr="00FC7568">
        <w:t>03 and 2012</w:t>
      </w:r>
      <w:r>
        <w:t>–</w:t>
      </w:r>
      <w:r w:rsidRPr="00FC7568">
        <w:t>13, Commonwealth government own-purpose education expenses grew by 6.8 per cent annually</w:t>
      </w:r>
      <w:r w:rsidR="007A6DDF">
        <w:t xml:space="preserve"> in real terms</w:t>
      </w:r>
      <w:r w:rsidRPr="00FC7568">
        <w:t xml:space="preserve">. </w:t>
      </w:r>
      <w:r>
        <w:t xml:space="preserve"> </w:t>
      </w:r>
      <w:r w:rsidRPr="00FC7568">
        <w:t xml:space="preserve">State government own-purpose education expenses grew by 2.5 per cent annually </w:t>
      </w:r>
      <w:r w:rsidR="00B972B5">
        <w:t xml:space="preserve">in real terms </w:t>
      </w:r>
      <w:r w:rsidRPr="00FC7568">
        <w:t xml:space="preserve">over the same period. </w:t>
      </w:r>
      <w:r>
        <w:t xml:space="preserve"> </w:t>
      </w:r>
      <w:r w:rsidRPr="00FC7568">
        <w:t>The component of this spending that</w:t>
      </w:r>
      <w:r>
        <w:t xml:space="preserve"> was funded through recurrent transfers from the Commonwealth government </w:t>
      </w:r>
      <w:r w:rsidR="007A6DDF" w:rsidRPr="004631CC">
        <w:t>(that is, excluding transfers for capital purposes)</w:t>
      </w:r>
      <w:r w:rsidR="007A6DDF">
        <w:t xml:space="preserve"> </w:t>
      </w:r>
      <w:r>
        <w:t>grew more quickly, at 5.</w:t>
      </w:r>
      <w:r w:rsidRPr="000F1F1E">
        <w:t xml:space="preserve">4 </w:t>
      </w:r>
      <w:r>
        <w:t>per cent annually</w:t>
      </w:r>
      <w:r w:rsidR="00C45774" w:rsidRPr="00B86531">
        <w:rPr>
          <w:rStyle w:val="FootnoteReference"/>
        </w:rPr>
        <w:footnoteReference w:id="32"/>
      </w:r>
      <w:r w:rsidR="00B972B5">
        <w:t>in real terms</w:t>
      </w:r>
      <w:r>
        <w:t>.</w:t>
      </w:r>
    </w:p>
    <w:p w:rsidR="00217C38" w:rsidRDefault="00217C38" w:rsidP="00217C38">
      <w:pPr>
        <w:pStyle w:val="BodyText"/>
      </w:pPr>
      <w:r w:rsidRPr="00F32EFE">
        <w:t xml:space="preserve">Growth in Commonwealth own-purpose education expenditure is primarily driven by higher education. </w:t>
      </w:r>
      <w:r>
        <w:t xml:space="preserve"> </w:t>
      </w:r>
      <w:r w:rsidRPr="00F32EFE">
        <w:t>Over the period 2002</w:t>
      </w:r>
      <w:r>
        <w:t>–</w:t>
      </w:r>
      <w:r w:rsidRPr="00F32EFE">
        <w:t>03 to 2012</w:t>
      </w:r>
      <w:r>
        <w:t>–</w:t>
      </w:r>
      <w:r w:rsidRPr="00F32EFE">
        <w:t xml:space="preserve">13, Commonwealth spending on higher </w:t>
      </w:r>
      <w:r w:rsidRPr="0087023D">
        <w:t>education grew by 5.2 per cent annually in real terms</w:t>
      </w:r>
      <w:r w:rsidR="00F610A8" w:rsidRPr="00B86531">
        <w:rPr>
          <w:rStyle w:val="FootnoteReference"/>
        </w:rPr>
        <w:footnoteReference w:id="33"/>
      </w:r>
      <w:r w:rsidRPr="0087023D">
        <w:t xml:space="preserve">. </w:t>
      </w:r>
      <w:r>
        <w:t xml:space="preserve"> </w:t>
      </w:r>
      <w:r w:rsidRPr="0087023D">
        <w:t>This was partly driven by measures</w:t>
      </w:r>
      <w:r>
        <w:t xml:space="preserve"> from 2003–04 to 2007–08 to increase Commonwealth funding per student by 2.5 per cent in 2005, 5.0 per cent in 2006, </w:t>
      </w:r>
      <w:proofErr w:type="gramStart"/>
      <w:r>
        <w:t>7.5</w:t>
      </w:r>
      <w:proofErr w:type="gramEnd"/>
      <w:r>
        <w:t xml:space="preserve"> per cent in 2007, and expand the number of Commonwealth supported places by linking these to population growth.</w:t>
      </w:r>
    </w:p>
    <w:p w:rsidR="006D7898" w:rsidRDefault="006D7898" w:rsidP="006D7898">
      <w:pPr>
        <w:pStyle w:val="BodyText"/>
      </w:pPr>
      <w:r>
        <w:t xml:space="preserve">From 2007–08 to 2012–13, increases in student numbers </w:t>
      </w:r>
      <w:r w:rsidR="00B972B5">
        <w:t xml:space="preserve">were </w:t>
      </w:r>
      <w:r>
        <w:t>primarily driven by the progressive uncapping and eventual move to the current demand-driven enrolment model which has underpinned significant growth in higher education spending over the second half of the decade.  Since the introduction of a demand driven system of funding for higher education enrolment between 2009 and 2013, the number of Commonwealth-subsidised undergraduate university places has increased by 22 per cent</w:t>
      </w:r>
      <w:r w:rsidR="00F610A8" w:rsidRPr="00B86531">
        <w:rPr>
          <w:rStyle w:val="FootnoteReference"/>
        </w:rPr>
        <w:footnoteReference w:id="34"/>
      </w:r>
      <w:r>
        <w:t>.</w:t>
      </w:r>
    </w:p>
    <w:p w:rsidR="006D7898" w:rsidRDefault="006D7898" w:rsidP="006D7898">
      <w:pPr>
        <w:pStyle w:val="BodyText"/>
      </w:pPr>
      <w:r>
        <w:t xml:space="preserve">Within the education function, the largest area of expenditure for state governments is schools.  Primary and secondary schools constituted around 76 per cent of state government education expenditure in </w:t>
      </w:r>
      <w:r w:rsidRPr="004824C0">
        <w:t>2012</w:t>
      </w:r>
      <w:r>
        <w:t>–</w:t>
      </w:r>
      <w:r w:rsidRPr="004824C0">
        <w:t>13</w:t>
      </w:r>
      <w:r>
        <w:t xml:space="preserve"> (including expenditure funded by Commonwealth transfers).  Schools are discussed in further detail in the following section.</w:t>
      </w:r>
    </w:p>
    <w:p w:rsidR="000F1F1E" w:rsidRDefault="006D7898" w:rsidP="006D7898">
      <w:pPr>
        <w:pStyle w:val="BodyText"/>
      </w:pPr>
      <w:bookmarkStart w:id="216" w:name="_Ref401756214"/>
      <w:r>
        <w:t xml:space="preserve">As shown in </w:t>
      </w:r>
      <w:r w:rsidR="00F93962">
        <w:fldChar w:fldCharType="begin"/>
      </w:r>
      <w:r w:rsidR="00F93962">
        <w:instrText xml:space="preserve"> REF _Ref415143977 \h </w:instrText>
      </w:r>
      <w:r w:rsidR="00F93962">
        <w:fldChar w:fldCharType="separate"/>
      </w:r>
      <w:r w:rsidR="008B68F4" w:rsidRPr="006D7898">
        <w:t xml:space="preserve">Figure </w:t>
      </w:r>
      <w:r w:rsidR="008B68F4">
        <w:rPr>
          <w:noProof/>
        </w:rPr>
        <w:t>3</w:t>
      </w:r>
      <w:r w:rsidR="008B68F4">
        <w:noBreakHyphen/>
      </w:r>
      <w:r w:rsidR="008B68F4">
        <w:rPr>
          <w:noProof/>
        </w:rPr>
        <w:t>7</w:t>
      </w:r>
      <w:r w:rsidR="00F93962">
        <w:fldChar w:fldCharType="end"/>
      </w:r>
      <w:r>
        <w:t xml:space="preserve">, the strongest growth in both state education expenses and recurrent </w:t>
      </w:r>
      <w:r w:rsidRPr="002E64BE">
        <w:t>transfers from the Commonwealth government (that is, excluding transfers for capital</w:t>
      </w:r>
      <w:r w:rsidRPr="00BA5D21">
        <w:t xml:space="preserve"> purposes)</w:t>
      </w:r>
      <w:r>
        <w:t xml:space="preserve"> occurred in 2009–10.  This was primarily a result of increased Commonwealth government payments to the states for the </w:t>
      </w:r>
      <w:r w:rsidRPr="00727F01">
        <w:rPr>
          <w:i/>
        </w:rPr>
        <w:t>Building the Education Revolution program</w:t>
      </w:r>
      <w:r>
        <w:t xml:space="preserve"> as part of the fiscal stimulus package</w:t>
      </w:r>
      <w:r w:rsidR="002F7BEB">
        <w:t xml:space="preserve"> and for digital education and a range of numeracy, literacy and quality improvement programs in schools</w:t>
      </w:r>
      <w:r w:rsidR="0011590A">
        <w:t>.</w:t>
      </w:r>
    </w:p>
    <w:p w:rsidR="006D7898" w:rsidRDefault="006D7898" w:rsidP="006D7898">
      <w:pPr>
        <w:pStyle w:val="BodyText"/>
      </w:pPr>
      <w:r>
        <w:t>Measures contained in the</w:t>
      </w:r>
      <w:r w:rsidR="000F1F1E">
        <w:t xml:space="preserve"> </w:t>
      </w:r>
      <w:r>
        <w:t xml:space="preserve">2009–10 Commonwealth Budget also resulted in increased education transfers, including a more generous indexation arrangement for the government schools component of the </w:t>
      </w:r>
      <w:r w:rsidRPr="00727F01">
        <w:rPr>
          <w:i/>
        </w:rPr>
        <w:t>National Schools Specific Purpose Payment (SPP)</w:t>
      </w:r>
      <w:r>
        <w:t>, and increased funding for some National Partnership Payments (such as the Low Socio-</w:t>
      </w:r>
      <w:r w:rsidRPr="00073B15">
        <w:t>economic</w:t>
      </w:r>
      <w:r>
        <w:t xml:space="preserve"> Status School Communities payment).</w:t>
      </w:r>
    </w:p>
    <w:p w:rsidR="006D7898" w:rsidRDefault="006D7898" w:rsidP="006D7898">
      <w:pPr>
        <w:pStyle w:val="Caption"/>
        <w:spacing w:before="200"/>
      </w:pPr>
      <w:bookmarkStart w:id="217" w:name="_Ref415143977"/>
      <w:bookmarkStart w:id="218" w:name="_Toc415222966"/>
      <w:bookmarkStart w:id="219" w:name="_Toc418073827"/>
      <w:bookmarkEnd w:id="216"/>
      <w:r w:rsidRPr="006D7898">
        <w:lastRenderedPageBreak/>
        <w:t xml:space="preserve">Figure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7</w:t>
      </w:r>
      <w:r w:rsidR="003A23CE">
        <w:rPr>
          <w:noProof/>
        </w:rPr>
        <w:fldChar w:fldCharType="end"/>
      </w:r>
      <w:bookmarkEnd w:id="217"/>
      <w:r w:rsidRPr="006D7898">
        <w:t xml:space="preserve">: </w:t>
      </w:r>
      <w:r>
        <w:t>Trends in Commonwealth and state education expenditure</w:t>
      </w:r>
      <w:bookmarkEnd w:id="218"/>
      <w:bookmarkEnd w:id="219"/>
    </w:p>
    <w:tbl>
      <w:tblPr>
        <w:tblStyle w:val="TableGrid"/>
        <w:tblW w:w="8520" w:type="dxa"/>
        <w:tblLayout w:type="fixed"/>
        <w:tblLook w:val="04A0" w:firstRow="1" w:lastRow="0" w:firstColumn="1" w:lastColumn="0" w:noHBand="0" w:noVBand="1"/>
      </w:tblPr>
      <w:tblGrid>
        <w:gridCol w:w="4260"/>
        <w:gridCol w:w="4260"/>
      </w:tblGrid>
      <w:tr w:rsidR="003003DC" w:rsidRPr="003003DC" w:rsidTr="003003DC">
        <w:trPr>
          <w:cnfStyle w:val="100000000000" w:firstRow="1" w:lastRow="0" w:firstColumn="0" w:lastColumn="0" w:oddVBand="0" w:evenVBand="0" w:oddHBand="0" w:evenHBand="0" w:firstRowFirstColumn="0" w:firstRowLastColumn="0" w:lastRowFirstColumn="0" w:lastRowLastColumn="0"/>
          <w:trHeight w:val="5118"/>
        </w:trPr>
        <w:tc>
          <w:tcPr>
            <w:cnfStyle w:val="001000000100" w:firstRow="0" w:lastRow="0" w:firstColumn="1" w:lastColumn="0" w:oddVBand="0" w:evenVBand="0" w:oddHBand="0" w:evenHBand="0" w:firstRowFirstColumn="1" w:firstRowLastColumn="0" w:lastRowFirstColumn="0" w:lastRowLastColumn="0"/>
            <w:tcW w:w="4260" w:type="dxa"/>
            <w:shd w:val="clear" w:color="auto" w:fill="auto"/>
          </w:tcPr>
          <w:tbl>
            <w:tblPr>
              <w:tblW w:w="4100" w:type="dxa"/>
              <w:tblInd w:w="2" w:type="dxa"/>
              <w:tblLayout w:type="fixed"/>
              <w:tblLook w:val="04A0" w:firstRow="1" w:lastRow="0" w:firstColumn="1" w:lastColumn="0" w:noHBand="0" w:noVBand="1"/>
            </w:tblPr>
            <w:tblGrid>
              <w:gridCol w:w="857"/>
              <w:gridCol w:w="1182"/>
              <w:gridCol w:w="1039"/>
              <w:gridCol w:w="1022"/>
            </w:tblGrid>
            <w:tr w:rsidR="003003DC" w:rsidRPr="003003DC" w:rsidTr="003003DC">
              <w:trPr>
                <w:trHeight w:val="269"/>
              </w:trPr>
              <w:tc>
                <w:tcPr>
                  <w:tcW w:w="4100" w:type="dxa"/>
                  <w:gridSpan w:val="4"/>
                  <w:tcBorders>
                    <w:top w:val="nil"/>
                    <w:left w:val="nil"/>
                    <w:bottom w:val="nil"/>
                    <w:right w:val="nil"/>
                  </w:tcBorders>
                  <w:shd w:val="clear" w:color="auto" w:fill="auto"/>
                  <w:noWrap/>
                  <w:vAlign w:val="bottom"/>
                  <w:hideMark/>
                </w:tcPr>
                <w:p w:rsidR="003003DC" w:rsidRPr="003003DC" w:rsidRDefault="000C5321" w:rsidP="001D45DA">
                  <w:pPr>
                    <w:spacing w:line="240" w:lineRule="auto"/>
                    <w:jc w:val="center"/>
                    <w:rPr>
                      <w:rFonts w:ascii="Calibri" w:eastAsia="Times New Roman" w:hAnsi="Calibri" w:cs="Times New Roman"/>
                      <w:color w:val="FFFFFF" w:themeColor="background1"/>
                      <w:sz w:val="12"/>
                      <w:szCs w:val="12"/>
                      <w:lang w:eastAsia="en-AU"/>
                    </w:rPr>
                  </w:pPr>
                  <w:r w:rsidRPr="000C5321">
                    <w:rPr>
                      <w:noProof/>
                      <w:lang w:eastAsia="en-AU"/>
                    </w:rPr>
                    <w:drawing>
                      <wp:anchor distT="0" distB="0" distL="114300" distR="114300" simplePos="0" relativeHeight="251725824" behindDoc="0" locked="0" layoutInCell="1" allowOverlap="1" wp14:anchorId="45D08A53" wp14:editId="6C5773A2">
                        <wp:simplePos x="0" y="0"/>
                        <wp:positionH relativeFrom="column">
                          <wp:posOffset>-51435</wp:posOffset>
                        </wp:positionH>
                        <wp:positionV relativeFrom="paragraph">
                          <wp:posOffset>-1905</wp:posOffset>
                        </wp:positionV>
                        <wp:extent cx="5278120" cy="3174365"/>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317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3DC" w:rsidRPr="003003DC">
                    <w:rPr>
                      <w:rFonts w:ascii="Calibri" w:eastAsia="Times New Roman" w:hAnsi="Calibri" w:cs="Times New Roman"/>
                      <w:color w:val="FFFFFF" w:themeColor="background1"/>
                      <w:sz w:val="12"/>
                      <w:szCs w:val="12"/>
                      <w:lang w:eastAsia="en-AU"/>
                    </w:rPr>
                    <w:t>Annual real growth</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b/>
                      <w:bCs/>
                      <w:color w:val="FFFFFF" w:themeColor="background1"/>
                      <w:sz w:val="12"/>
                      <w:szCs w:val="12"/>
                      <w:lang w:eastAsia="en-AU"/>
                    </w:rPr>
                  </w:pP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Commonwealth own-purpose</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Recurrent transfers</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State own-purpose</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2002-03</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2003-04</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5</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6</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2004-05</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5</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2005-06</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2006-07</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-4</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5</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2007-08</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22</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4</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2008-09</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11</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5</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2009-10</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50</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31</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4</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2010-11</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-4</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0</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2011-12</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w:t>
                  </w:r>
                </w:p>
              </w:tc>
            </w:tr>
            <w:tr w:rsidR="003003DC" w:rsidRPr="003003DC" w:rsidTr="003003DC">
              <w:trPr>
                <w:trHeight w:val="269"/>
              </w:trPr>
              <w:tc>
                <w:tcPr>
                  <w:tcW w:w="857"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2012-13</w:t>
                  </w:r>
                </w:p>
              </w:tc>
              <w:tc>
                <w:tcPr>
                  <w:tcW w:w="1182"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4</w:t>
                  </w:r>
                </w:p>
              </w:tc>
              <w:tc>
                <w:tcPr>
                  <w:tcW w:w="1039"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0</w:t>
                  </w:r>
                </w:p>
              </w:tc>
              <w:tc>
                <w:tcPr>
                  <w:tcW w:w="102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w:t>
                  </w:r>
                </w:p>
              </w:tc>
            </w:tr>
          </w:tbl>
          <w:p w:rsidR="003003DC" w:rsidRPr="003003DC" w:rsidRDefault="003003DC" w:rsidP="001D45DA">
            <w:pPr>
              <w:pStyle w:val="BodyText"/>
            </w:pPr>
          </w:p>
        </w:tc>
        <w:tc>
          <w:tcPr>
            <w:tcW w:w="4260" w:type="dxa"/>
            <w:shd w:val="clear" w:color="auto" w:fill="auto"/>
          </w:tcPr>
          <w:tbl>
            <w:tblPr>
              <w:tblW w:w="4147" w:type="dxa"/>
              <w:tblInd w:w="2" w:type="dxa"/>
              <w:tblLayout w:type="fixed"/>
              <w:tblLook w:val="04A0" w:firstRow="1" w:lastRow="0" w:firstColumn="1" w:lastColumn="0" w:noHBand="0" w:noVBand="1"/>
            </w:tblPr>
            <w:tblGrid>
              <w:gridCol w:w="854"/>
              <w:gridCol w:w="1208"/>
              <w:gridCol w:w="1051"/>
              <w:gridCol w:w="1034"/>
            </w:tblGrid>
            <w:tr w:rsidR="003003DC" w:rsidRPr="003003DC" w:rsidTr="003003DC">
              <w:trPr>
                <w:trHeight w:val="269"/>
              </w:trPr>
              <w:tc>
                <w:tcPr>
                  <w:tcW w:w="4147" w:type="dxa"/>
                  <w:gridSpan w:val="4"/>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Nominal $ billions</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b/>
                      <w:bCs/>
                      <w:color w:val="FFFFFF" w:themeColor="background1"/>
                      <w:sz w:val="12"/>
                      <w:szCs w:val="12"/>
                      <w:lang w:eastAsia="en-AU"/>
                    </w:rPr>
                  </w:pP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Commonwealth own-purpose</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Recurrent transfers</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State own-purpose</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2002-03</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6</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23</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2003-04</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6</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24</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2004-05</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6</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8</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26</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2005-06</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8</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27</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2006-07</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7</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9</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29</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2007-08</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9</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9</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30</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2008-09</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9</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11</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33</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2009-10</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35</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2010-11</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15</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36</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2011-12</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13</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37</w:t>
                  </w:r>
                </w:p>
              </w:tc>
            </w:tr>
            <w:tr w:rsidR="003003DC" w:rsidRPr="003003DC" w:rsidTr="003003DC">
              <w:trPr>
                <w:trHeight w:val="269"/>
              </w:trPr>
              <w:tc>
                <w:tcPr>
                  <w:tcW w:w="854"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center"/>
                    <w:rPr>
                      <w:rFonts w:ascii="Calibri" w:eastAsia="Times New Roman" w:hAnsi="Calibri" w:cs="Times New Roman"/>
                      <w:b/>
                      <w:bCs/>
                      <w:color w:val="FFFFFF" w:themeColor="background1"/>
                      <w:sz w:val="12"/>
                      <w:szCs w:val="12"/>
                      <w:lang w:eastAsia="en-AU"/>
                    </w:rPr>
                  </w:pPr>
                  <w:r w:rsidRPr="003003DC">
                    <w:rPr>
                      <w:rFonts w:ascii="Calibri" w:eastAsia="Times New Roman" w:hAnsi="Calibri" w:cs="Times New Roman"/>
                      <w:b/>
                      <w:bCs/>
                      <w:color w:val="FFFFFF" w:themeColor="background1"/>
                      <w:sz w:val="12"/>
                      <w:szCs w:val="12"/>
                      <w:lang w:eastAsia="en-AU"/>
                    </w:rPr>
                    <w:t>2012-13</w:t>
                  </w:r>
                </w:p>
              </w:tc>
              <w:tc>
                <w:tcPr>
                  <w:tcW w:w="1208"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14</w:t>
                  </w:r>
                </w:p>
              </w:tc>
              <w:tc>
                <w:tcPr>
                  <w:tcW w:w="1051"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15</w:t>
                  </w:r>
                </w:p>
              </w:tc>
              <w:tc>
                <w:tcPr>
                  <w:tcW w:w="1033" w:type="dxa"/>
                  <w:tcBorders>
                    <w:top w:val="nil"/>
                    <w:left w:val="nil"/>
                    <w:bottom w:val="nil"/>
                    <w:right w:val="nil"/>
                  </w:tcBorders>
                  <w:shd w:val="clear" w:color="auto" w:fill="auto"/>
                  <w:noWrap/>
                  <w:vAlign w:val="bottom"/>
                  <w:hideMark/>
                </w:tcPr>
                <w:p w:rsidR="003003DC" w:rsidRPr="003003DC" w:rsidRDefault="003003DC" w:rsidP="001D45DA">
                  <w:pPr>
                    <w:spacing w:line="240" w:lineRule="auto"/>
                    <w:jc w:val="right"/>
                    <w:rPr>
                      <w:rFonts w:ascii="Calibri" w:eastAsia="Times New Roman" w:hAnsi="Calibri" w:cs="Times New Roman"/>
                      <w:color w:val="FFFFFF" w:themeColor="background1"/>
                      <w:sz w:val="12"/>
                      <w:szCs w:val="12"/>
                      <w:lang w:eastAsia="en-AU"/>
                    </w:rPr>
                  </w:pPr>
                  <w:r w:rsidRPr="003003DC">
                    <w:rPr>
                      <w:rFonts w:ascii="Calibri" w:eastAsia="Times New Roman" w:hAnsi="Calibri" w:cs="Times New Roman"/>
                      <w:color w:val="FFFFFF" w:themeColor="background1"/>
                      <w:sz w:val="12"/>
                      <w:szCs w:val="12"/>
                      <w:lang w:eastAsia="en-AU"/>
                    </w:rPr>
                    <w:t>38</w:t>
                  </w:r>
                </w:p>
              </w:tc>
            </w:tr>
          </w:tbl>
          <w:p w:rsidR="003003DC" w:rsidRPr="003003DC" w:rsidRDefault="003003DC" w:rsidP="001D45DA">
            <w:pPr>
              <w:pStyle w:val="BodyText"/>
              <w:jc w:val="left"/>
              <w:cnfStyle w:val="100000000000" w:firstRow="1" w:lastRow="0" w:firstColumn="0" w:lastColumn="0" w:oddVBand="0" w:evenVBand="0" w:oddHBand="0" w:evenHBand="0" w:firstRowFirstColumn="0" w:firstRowLastColumn="0" w:lastRowFirstColumn="0" w:lastRowLastColumn="0"/>
            </w:pPr>
          </w:p>
        </w:tc>
      </w:tr>
    </w:tbl>
    <w:p w:rsidR="006D7898" w:rsidRDefault="006D7898" w:rsidP="003003DC">
      <w:pPr>
        <w:pStyle w:val="Source"/>
        <w:spacing w:before="0"/>
      </w:pPr>
      <w:r>
        <w:t>Source: ABS and PBO analysis.</w:t>
      </w:r>
    </w:p>
    <w:p w:rsidR="00316D7C" w:rsidRDefault="00316D7C" w:rsidP="003003DC">
      <w:pPr>
        <w:pStyle w:val="Heading3"/>
        <w:spacing w:before="480"/>
      </w:pPr>
      <w:bookmarkStart w:id="220" w:name="_Toc414006850"/>
      <w:bookmarkStart w:id="221" w:name="_Toc414007425"/>
      <w:bookmarkStart w:id="222" w:name="_Toc414007730"/>
      <w:bookmarkStart w:id="223" w:name="_Toc414008353"/>
      <w:r>
        <w:t>School expenses</w:t>
      </w:r>
      <w:bookmarkEnd w:id="220"/>
      <w:bookmarkEnd w:id="221"/>
      <w:bookmarkEnd w:id="222"/>
      <w:bookmarkEnd w:id="223"/>
    </w:p>
    <w:p w:rsidR="003003DC" w:rsidRDefault="00316D7C" w:rsidP="00316D7C">
      <w:pPr>
        <w:pStyle w:val="BodyText"/>
        <w:keepNext/>
      </w:pPr>
      <w:r w:rsidRPr="00BA5D21">
        <w:t xml:space="preserve">Schools are the largest area of education expenditure by states. </w:t>
      </w:r>
      <w:r>
        <w:t xml:space="preserve"> </w:t>
      </w:r>
      <w:r w:rsidRPr="00BA5D21">
        <w:t>In 2012</w:t>
      </w:r>
      <w:r>
        <w:t>–</w:t>
      </w:r>
      <w:r w:rsidRPr="00BA5D21">
        <w:t>13, around</w:t>
      </w:r>
      <w:r>
        <w:t xml:space="preserve"> 76 per cent </w:t>
      </w:r>
      <w:r w:rsidRPr="0035155B">
        <w:t>of total</w:t>
      </w:r>
      <w:r>
        <w:t xml:space="preserve"> spending on education by states</w:t>
      </w:r>
      <w:r w:rsidRPr="0035155B">
        <w:t xml:space="preserve"> </w:t>
      </w:r>
      <w:r w:rsidRPr="00397A85">
        <w:t xml:space="preserve">(including those funded by Commonwealth transfers) </w:t>
      </w:r>
      <w:r>
        <w:t>was on schools</w:t>
      </w:r>
      <w:r w:rsidRPr="0035155B">
        <w:t xml:space="preserve">.  </w:t>
      </w:r>
      <w:proofErr w:type="gramStart"/>
      <w:r w:rsidRPr="00144A9A">
        <w:t>(</w:t>
      </w:r>
      <w:r>
        <w:fldChar w:fldCharType="begin"/>
      </w:r>
      <w:r>
        <w:instrText xml:space="preserve"> REF _Ref415139786 \h </w:instrText>
      </w:r>
      <w:r>
        <w:fldChar w:fldCharType="separate"/>
      </w:r>
      <w:r w:rsidR="008B68F4" w:rsidRPr="00316D7C">
        <w:t xml:space="preserve">Table </w:t>
      </w:r>
      <w:r w:rsidR="008B68F4">
        <w:rPr>
          <w:noProof/>
        </w:rPr>
        <w:t>3</w:t>
      </w:r>
      <w:r w:rsidR="008B68F4">
        <w:noBreakHyphen/>
      </w:r>
      <w:r w:rsidR="008B68F4">
        <w:rPr>
          <w:noProof/>
        </w:rPr>
        <w:t>3</w:t>
      </w:r>
      <w:r>
        <w:fldChar w:fldCharType="end"/>
      </w:r>
      <w:r>
        <w:t>).</w:t>
      </w:r>
      <w:proofErr w:type="gramEnd"/>
      <w:r>
        <w:t xml:space="preserve">  </w:t>
      </w:r>
      <w:r w:rsidR="00727F01">
        <w:t>T</w:t>
      </w:r>
      <w:r w:rsidRPr="00144A9A">
        <w:t xml:space="preserve">he Northern Territory has consistently had the highest per student schools expenditure </w:t>
      </w:r>
      <w:r>
        <w:t>from 2002–03 to 2012–13</w:t>
      </w:r>
    </w:p>
    <w:p w:rsidR="00316D7C" w:rsidRPr="00316D7C" w:rsidRDefault="00316D7C" w:rsidP="003003DC">
      <w:pPr>
        <w:pStyle w:val="Caption"/>
        <w:spacing w:before="240"/>
      </w:pPr>
      <w:bookmarkStart w:id="224" w:name="_Ref415139786"/>
      <w:bookmarkStart w:id="225" w:name="_Toc415222941"/>
      <w:bookmarkStart w:id="226" w:name="_Toc418077583"/>
      <w:r w:rsidRPr="00316D7C">
        <w:t xml:space="preserve">Table </w:t>
      </w:r>
      <w:r w:rsidR="003A23CE">
        <w:fldChar w:fldCharType="begin"/>
      </w:r>
      <w:r w:rsidR="003A23CE">
        <w:instrText xml:space="preserve"> STYLEREF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Table \* ARABIC \s 1 </w:instrText>
      </w:r>
      <w:r w:rsidR="003A23CE">
        <w:fldChar w:fldCharType="separate"/>
      </w:r>
      <w:r w:rsidR="008B68F4">
        <w:rPr>
          <w:noProof/>
        </w:rPr>
        <w:t>3</w:t>
      </w:r>
      <w:r w:rsidR="003A23CE">
        <w:rPr>
          <w:noProof/>
        </w:rPr>
        <w:fldChar w:fldCharType="end"/>
      </w:r>
      <w:bookmarkEnd w:id="224"/>
      <w:r w:rsidRPr="00316D7C">
        <w:t xml:space="preserve">: </w:t>
      </w:r>
      <w:r>
        <w:t>Schools expenditure by jurisdiction</w:t>
      </w:r>
      <w:r w:rsidRPr="00B86531">
        <w:rPr>
          <w:rStyle w:val="FootnoteReference"/>
        </w:rPr>
        <w:footnoteReference w:id="35"/>
      </w:r>
      <w:bookmarkEnd w:id="225"/>
      <w:bookmarkEnd w:id="226"/>
    </w:p>
    <w:tbl>
      <w:tblPr>
        <w:tblStyle w:val="TableGrid"/>
        <w:tblW w:w="5000" w:type="pct"/>
        <w:tblLook w:val="04A0" w:firstRow="1" w:lastRow="0" w:firstColumn="1" w:lastColumn="0" w:noHBand="0" w:noVBand="1"/>
      </w:tblPr>
      <w:tblGrid>
        <w:gridCol w:w="2771"/>
        <w:gridCol w:w="2918"/>
        <w:gridCol w:w="2623"/>
      </w:tblGrid>
      <w:tr w:rsidR="00316D7C" w:rsidRPr="002B02BA" w:rsidTr="005250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7" w:type="pct"/>
            <w:noWrap/>
            <w:hideMark/>
          </w:tcPr>
          <w:p w:rsidR="00316D7C" w:rsidRPr="0037520E" w:rsidRDefault="00316D7C" w:rsidP="0052503A">
            <w:pPr>
              <w:pStyle w:val="TableHeadingCentred"/>
              <w:rPr>
                <w:rFonts w:ascii="Arial" w:hAnsi="Arial" w:cs="Arial"/>
                <w:sz w:val="16"/>
                <w:szCs w:val="16"/>
              </w:rPr>
            </w:pPr>
            <w:bookmarkStart w:id="227" w:name="Title_3" w:colFirst="0" w:colLast="0"/>
          </w:p>
        </w:tc>
        <w:tc>
          <w:tcPr>
            <w:tcW w:w="1755" w:type="pct"/>
            <w:hideMark/>
          </w:tcPr>
          <w:p w:rsidR="00316D7C" w:rsidRPr="0037520E" w:rsidRDefault="00316D7C" w:rsidP="0052503A">
            <w:pPr>
              <w:pStyle w:val="TableHeadingCentred"/>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Schools (real average annual per student growth) (%)</w:t>
            </w:r>
          </w:p>
        </w:tc>
        <w:tc>
          <w:tcPr>
            <w:tcW w:w="1578" w:type="pct"/>
            <w:hideMark/>
          </w:tcPr>
          <w:p w:rsidR="00316D7C" w:rsidRPr="0037520E" w:rsidRDefault="00316D7C" w:rsidP="0052503A">
            <w:pPr>
              <w:pStyle w:val="TableHeadingCentred"/>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7520E">
              <w:rPr>
                <w:rFonts w:ascii="Arial" w:hAnsi="Arial" w:cs="Arial"/>
                <w:sz w:val="16"/>
                <w:szCs w:val="16"/>
              </w:rPr>
              <w:t>Nominal schools expenditure per student ($)</w:t>
            </w:r>
          </w:p>
        </w:tc>
      </w:tr>
      <w:bookmarkEnd w:id="227"/>
      <w:tr w:rsidR="00316D7C" w:rsidRPr="002B02BA" w:rsidTr="00525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hideMark/>
          </w:tcPr>
          <w:p w:rsidR="00316D7C" w:rsidRPr="0037520E" w:rsidRDefault="00316D7C" w:rsidP="0052503A">
            <w:pPr>
              <w:pStyle w:val="TableText"/>
              <w:rPr>
                <w:rFonts w:ascii="Arial" w:hAnsi="Arial" w:cs="Arial"/>
                <w:sz w:val="16"/>
                <w:szCs w:val="16"/>
              </w:rPr>
            </w:pPr>
          </w:p>
        </w:tc>
        <w:tc>
          <w:tcPr>
            <w:tcW w:w="1755" w:type="pct"/>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37520E">
              <w:rPr>
                <w:rFonts w:ascii="Arial" w:hAnsi="Arial" w:cs="Arial"/>
                <w:b/>
                <w:bCs/>
                <w:sz w:val="16"/>
                <w:szCs w:val="16"/>
              </w:rPr>
              <w:t>2002–03 to 2012–13</w:t>
            </w:r>
          </w:p>
        </w:tc>
        <w:tc>
          <w:tcPr>
            <w:tcW w:w="1578" w:type="pct"/>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37520E">
              <w:rPr>
                <w:rFonts w:ascii="Arial" w:hAnsi="Arial" w:cs="Arial"/>
                <w:b/>
                <w:bCs/>
                <w:sz w:val="16"/>
                <w:szCs w:val="16"/>
              </w:rPr>
              <w:t>2012–13</w:t>
            </w:r>
          </w:p>
        </w:tc>
      </w:tr>
      <w:tr w:rsidR="00316D7C" w:rsidRPr="002B02BA" w:rsidTr="0052503A">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Northern Territory</w:t>
            </w:r>
          </w:p>
        </w:tc>
        <w:tc>
          <w:tcPr>
            <w:tcW w:w="1755"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1.1</w:t>
            </w:r>
          </w:p>
        </w:tc>
        <w:tc>
          <w:tcPr>
            <w:tcW w:w="1578"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16,866</w:t>
            </w:r>
          </w:p>
        </w:tc>
      </w:tr>
      <w:tr w:rsidR="00316D7C" w:rsidRPr="002B02BA" w:rsidTr="00525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Western Australia</w:t>
            </w:r>
          </w:p>
        </w:tc>
        <w:tc>
          <w:tcPr>
            <w:tcW w:w="1755"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2.6</w:t>
            </w:r>
          </w:p>
        </w:tc>
        <w:tc>
          <w:tcPr>
            <w:tcW w:w="1578"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12,392</w:t>
            </w:r>
          </w:p>
        </w:tc>
      </w:tr>
      <w:tr w:rsidR="00316D7C" w:rsidRPr="002B02BA" w:rsidTr="0052503A">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Australian Capital Territory</w:t>
            </w:r>
          </w:p>
        </w:tc>
        <w:tc>
          <w:tcPr>
            <w:tcW w:w="1755"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2.8</w:t>
            </w:r>
          </w:p>
        </w:tc>
        <w:tc>
          <w:tcPr>
            <w:tcW w:w="1578"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11,930</w:t>
            </w:r>
          </w:p>
        </w:tc>
      </w:tr>
      <w:tr w:rsidR="00316D7C" w:rsidRPr="002B02BA" w:rsidTr="00525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Tasmania</w:t>
            </w:r>
          </w:p>
        </w:tc>
        <w:tc>
          <w:tcPr>
            <w:tcW w:w="1755"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0.8</w:t>
            </w:r>
          </w:p>
        </w:tc>
        <w:tc>
          <w:tcPr>
            <w:tcW w:w="1578"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10,603</w:t>
            </w:r>
          </w:p>
        </w:tc>
      </w:tr>
      <w:tr w:rsidR="00316D7C" w:rsidRPr="002B02BA" w:rsidTr="0052503A">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Queensland</w:t>
            </w:r>
          </w:p>
        </w:tc>
        <w:tc>
          <w:tcPr>
            <w:tcW w:w="1755"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1.2</w:t>
            </w:r>
          </w:p>
        </w:tc>
        <w:tc>
          <w:tcPr>
            <w:tcW w:w="1578"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9,997</w:t>
            </w:r>
          </w:p>
        </w:tc>
      </w:tr>
      <w:tr w:rsidR="00316D7C" w:rsidRPr="002B02BA" w:rsidTr="00525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South Australia</w:t>
            </w:r>
          </w:p>
        </w:tc>
        <w:tc>
          <w:tcPr>
            <w:tcW w:w="1755"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0.9</w:t>
            </w:r>
          </w:p>
        </w:tc>
        <w:tc>
          <w:tcPr>
            <w:tcW w:w="1578"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9,690</w:t>
            </w:r>
          </w:p>
        </w:tc>
      </w:tr>
      <w:tr w:rsidR="00316D7C" w:rsidRPr="002B02BA" w:rsidTr="0052503A">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New South Wales</w:t>
            </w:r>
          </w:p>
        </w:tc>
        <w:tc>
          <w:tcPr>
            <w:tcW w:w="1755"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0.0</w:t>
            </w:r>
          </w:p>
        </w:tc>
        <w:tc>
          <w:tcPr>
            <w:tcW w:w="1578" w:type="pct"/>
            <w:noWrap/>
            <w:hideMark/>
          </w:tcPr>
          <w:p w:rsidR="00316D7C" w:rsidRPr="0037520E" w:rsidRDefault="00316D7C" w:rsidP="0052503A">
            <w:pPr>
              <w:pStyle w:val="Table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9,625</w:t>
            </w:r>
          </w:p>
        </w:tc>
      </w:tr>
      <w:tr w:rsidR="00316D7C" w:rsidRPr="002B02BA" w:rsidTr="00525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noWrap/>
            <w:hideMark/>
          </w:tcPr>
          <w:p w:rsidR="00316D7C" w:rsidRPr="0037520E" w:rsidRDefault="00316D7C" w:rsidP="0052503A">
            <w:pPr>
              <w:pStyle w:val="TableText"/>
              <w:rPr>
                <w:rFonts w:ascii="Arial" w:hAnsi="Arial" w:cs="Arial"/>
                <w:sz w:val="16"/>
                <w:szCs w:val="16"/>
              </w:rPr>
            </w:pPr>
            <w:r w:rsidRPr="0037520E">
              <w:rPr>
                <w:rFonts w:ascii="Arial" w:hAnsi="Arial" w:cs="Arial"/>
                <w:sz w:val="16"/>
                <w:szCs w:val="16"/>
              </w:rPr>
              <w:t>Victoria</w:t>
            </w:r>
          </w:p>
        </w:tc>
        <w:tc>
          <w:tcPr>
            <w:tcW w:w="1755"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0.2</w:t>
            </w:r>
          </w:p>
        </w:tc>
        <w:tc>
          <w:tcPr>
            <w:tcW w:w="1578" w:type="pct"/>
            <w:noWrap/>
            <w:hideMark/>
          </w:tcPr>
          <w:p w:rsidR="00316D7C" w:rsidRPr="0037520E" w:rsidRDefault="00316D7C" w:rsidP="0052503A">
            <w:pPr>
              <w:pStyle w:val="Table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37520E">
              <w:rPr>
                <w:rFonts w:ascii="Arial" w:hAnsi="Arial" w:cs="Arial"/>
                <w:color w:val="000000"/>
                <w:sz w:val="16"/>
                <w:szCs w:val="16"/>
              </w:rPr>
              <w:t>8,237</w:t>
            </w:r>
          </w:p>
        </w:tc>
      </w:tr>
    </w:tbl>
    <w:p w:rsidR="006D7898" w:rsidRDefault="00316D7C" w:rsidP="003003DC">
      <w:pPr>
        <w:pStyle w:val="Source"/>
        <w:spacing w:before="0"/>
      </w:pPr>
      <w:r>
        <w:t>Source: ABS, Productivity Commission and PBO analysis.</w:t>
      </w:r>
    </w:p>
    <w:p w:rsidR="00316D7C" w:rsidRPr="00BA5D21" w:rsidRDefault="009810BC" w:rsidP="00316D7C">
      <w:pPr>
        <w:pStyle w:val="BodyText"/>
      </w:pPr>
      <w:r>
        <w:lastRenderedPageBreak/>
        <w:fldChar w:fldCharType="begin"/>
      </w:r>
      <w:r>
        <w:instrText xml:space="preserve"> REF _Ref415144889 \h </w:instrText>
      </w:r>
      <w:r>
        <w:fldChar w:fldCharType="separate"/>
      </w:r>
      <w:r w:rsidR="008B68F4" w:rsidRPr="00316D7C">
        <w:t xml:space="preserve">Figure </w:t>
      </w:r>
      <w:r w:rsidR="008B68F4">
        <w:rPr>
          <w:noProof/>
        </w:rPr>
        <w:t>3</w:t>
      </w:r>
      <w:r w:rsidR="008B68F4">
        <w:noBreakHyphen/>
      </w:r>
      <w:r w:rsidR="008B68F4">
        <w:rPr>
          <w:noProof/>
        </w:rPr>
        <w:t>8</w:t>
      </w:r>
      <w:r>
        <w:fldChar w:fldCharType="end"/>
      </w:r>
      <w:r w:rsidR="00316D7C" w:rsidRPr="00B41E81">
        <w:t xml:space="preserve"> shows historical and projected expenditure on schools b</w:t>
      </w:r>
      <w:r w:rsidR="00316D7C">
        <w:t xml:space="preserve">y the Commonwealth and states.  </w:t>
      </w:r>
      <w:r w:rsidR="00316D7C" w:rsidRPr="00B41E81">
        <w:t xml:space="preserve">Commonwealth payments to states for schools grew by 5.5 per cent annually in real </w:t>
      </w:r>
      <w:r w:rsidR="00316D7C" w:rsidRPr="00BA5D21">
        <w:t>terms over the past decade.  Around two-thirds of the payment to states is for non</w:t>
      </w:r>
      <w:r w:rsidR="00316D7C" w:rsidRPr="00BA5D21">
        <w:noBreakHyphen/>
        <w:t>government schools of which the Commo</w:t>
      </w:r>
      <w:r w:rsidR="00316D7C">
        <w:t>nwealth is the primary funder.</w:t>
      </w:r>
    </w:p>
    <w:p w:rsidR="006D7898" w:rsidRDefault="00316D7C" w:rsidP="00316D7C">
      <w:pPr>
        <w:pStyle w:val="BodyText"/>
      </w:pPr>
      <w:r w:rsidRPr="0037520E">
        <w:t xml:space="preserve">Historically, Commonwealth funding for schools has been indexed by the Australian Government School Recurrent Cost (AGSRC) index taking into account changes in enrolments, capital requirements and the socio-economic status of the school.  The index was used to calculate funding for government and independent schools throughout the decade while the arrangement was applicable for Catholic schools from 2005.  The AGSRC index grew by 5.6 per cent annually </w:t>
      </w:r>
      <w:r w:rsidR="00727F01" w:rsidRPr="0037520E">
        <w:t>in nominal terms</w:t>
      </w:r>
      <w:r w:rsidR="00B972B5" w:rsidRPr="0037520E">
        <w:t xml:space="preserve"> </w:t>
      </w:r>
      <w:r w:rsidRPr="0037520E">
        <w:t>between 2003 and 2012.</w:t>
      </w:r>
    </w:p>
    <w:p w:rsidR="00316D7C" w:rsidRPr="00316D7C" w:rsidRDefault="006D1922" w:rsidP="00316D7C">
      <w:pPr>
        <w:pStyle w:val="Caption"/>
      </w:pPr>
      <w:bookmarkStart w:id="228" w:name="_Ref415144889"/>
      <w:bookmarkStart w:id="229" w:name="_Toc415222967"/>
      <w:bookmarkStart w:id="230" w:name="_Toc418073828"/>
      <w:r w:rsidRPr="006D1922">
        <w:rPr>
          <w:noProof/>
          <w:lang w:eastAsia="en-AU"/>
        </w:rPr>
        <w:drawing>
          <wp:anchor distT="0" distB="0" distL="114300" distR="114300" simplePos="0" relativeHeight="251681792" behindDoc="0" locked="0" layoutInCell="1" allowOverlap="1" wp14:anchorId="71FBF3C0" wp14:editId="69C30E26">
            <wp:simplePos x="0" y="0"/>
            <wp:positionH relativeFrom="column">
              <wp:posOffset>-38100</wp:posOffset>
            </wp:positionH>
            <wp:positionV relativeFrom="paragraph">
              <wp:posOffset>374650</wp:posOffset>
            </wp:positionV>
            <wp:extent cx="5278120" cy="351409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D7C" w:rsidRPr="00316D7C">
        <w:t xml:space="preserve">Figure </w:t>
      </w:r>
      <w:r w:rsidR="003A23CE">
        <w:fldChar w:fldCharType="begin"/>
      </w:r>
      <w:r w:rsidR="003A23CE">
        <w:instrText xml:space="preserve"> STYLE</w:instrText>
      </w:r>
      <w:r w:rsidR="003A23CE">
        <w:instrText xml:space="preserve">REF 1 \s </w:instrText>
      </w:r>
      <w:r w:rsidR="003A23CE">
        <w:fldChar w:fldCharType="separate"/>
      </w:r>
      <w:r w:rsidR="008B68F4">
        <w:rPr>
          <w:noProof/>
        </w:rPr>
        <w:t>3</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8</w:t>
      </w:r>
      <w:r w:rsidR="003A23CE">
        <w:rPr>
          <w:noProof/>
        </w:rPr>
        <w:fldChar w:fldCharType="end"/>
      </w:r>
      <w:bookmarkEnd w:id="228"/>
      <w:r w:rsidR="00316D7C" w:rsidRPr="00316D7C">
        <w:t xml:space="preserve">: </w:t>
      </w:r>
      <w:r w:rsidR="00316D7C" w:rsidRPr="00326B64">
        <w:t>Nominal historical and projected spending on schools by level of government</w:t>
      </w:r>
      <w:bookmarkEnd w:id="229"/>
      <w:bookmarkEnd w:id="230"/>
    </w:p>
    <w:tbl>
      <w:tblPr>
        <w:tblStyle w:val="TableGrid"/>
        <w:tblW w:w="8575" w:type="dxa"/>
        <w:tblLayout w:type="fixed"/>
        <w:tblLook w:val="04A0" w:firstRow="1" w:lastRow="0" w:firstColumn="1" w:lastColumn="0" w:noHBand="0" w:noVBand="1"/>
      </w:tblPr>
      <w:tblGrid>
        <w:gridCol w:w="4124"/>
        <w:gridCol w:w="4451"/>
      </w:tblGrid>
      <w:tr w:rsidR="006D1922" w:rsidRPr="006D1922" w:rsidTr="006D1922">
        <w:trPr>
          <w:cnfStyle w:val="100000000000" w:firstRow="1" w:lastRow="0" w:firstColumn="0" w:lastColumn="0" w:oddVBand="0" w:evenVBand="0" w:oddHBand="0" w:evenHBand="0" w:firstRowFirstColumn="0" w:firstRowLastColumn="0" w:lastRowFirstColumn="0" w:lastRowLastColumn="0"/>
          <w:trHeight w:hRule="exact" w:val="5245"/>
        </w:trPr>
        <w:tc>
          <w:tcPr>
            <w:cnfStyle w:val="001000000100" w:firstRow="0" w:lastRow="0" w:firstColumn="1" w:lastColumn="0" w:oddVBand="0" w:evenVBand="0" w:oddHBand="0" w:evenHBand="0" w:firstRowFirstColumn="1" w:firstRowLastColumn="0" w:lastRowFirstColumn="0" w:lastRowLastColumn="0"/>
            <w:tcW w:w="4124" w:type="dxa"/>
            <w:shd w:val="clear" w:color="auto" w:fill="auto"/>
          </w:tcPr>
          <w:tbl>
            <w:tblPr>
              <w:tblW w:w="4060" w:type="dxa"/>
              <w:tblLayout w:type="fixed"/>
              <w:tblLook w:val="04A0" w:firstRow="1" w:lastRow="0" w:firstColumn="1" w:lastColumn="0" w:noHBand="0" w:noVBand="1"/>
            </w:tblPr>
            <w:tblGrid>
              <w:gridCol w:w="2030"/>
              <w:gridCol w:w="2030"/>
            </w:tblGrid>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Nominal $billions</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State own-purpose expenses for schools</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2002-03</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17</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2003-04</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18</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2004-05</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19</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2005-06</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20</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2006-07</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21</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2007-08</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22</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2008-09</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25</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2009-10</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29</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2010-11</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28</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2011-12</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27</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2012-13</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28</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2013-14</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28</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2014-15</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28</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2015-16</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29</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2016-17</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30</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2017-18</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31</w:t>
                  </w:r>
                </w:p>
              </w:tc>
            </w:tr>
            <w:tr w:rsidR="006D1922" w:rsidRPr="006D1922" w:rsidTr="006D1922">
              <w:trPr>
                <w:trHeight w:val="275"/>
              </w:trPr>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2018-19</w:t>
                  </w:r>
                </w:p>
              </w:tc>
              <w:tc>
                <w:tcPr>
                  <w:tcW w:w="2030"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33</w:t>
                  </w:r>
                </w:p>
              </w:tc>
            </w:tr>
          </w:tbl>
          <w:p w:rsidR="006D1922" w:rsidRPr="006D1922" w:rsidRDefault="006D1922" w:rsidP="001D45DA">
            <w:pPr>
              <w:pStyle w:val="BodyText"/>
              <w:rPr>
                <w:sz w:val="12"/>
                <w:szCs w:val="12"/>
              </w:rPr>
            </w:pPr>
          </w:p>
        </w:tc>
        <w:tc>
          <w:tcPr>
            <w:tcW w:w="4451" w:type="dxa"/>
            <w:shd w:val="clear" w:color="auto" w:fill="auto"/>
          </w:tcPr>
          <w:tbl>
            <w:tblPr>
              <w:tblW w:w="4171" w:type="dxa"/>
              <w:tblLayout w:type="fixed"/>
              <w:tblLook w:val="04A0" w:firstRow="1" w:lastRow="0" w:firstColumn="1" w:lastColumn="0" w:noHBand="0" w:noVBand="1"/>
            </w:tblPr>
            <w:tblGrid>
              <w:gridCol w:w="952"/>
              <w:gridCol w:w="3219"/>
            </w:tblGrid>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Nominal $billion</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State own-purpose expenses for schools</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2002-03</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5</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2003-04</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6</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2004-05</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7</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2005-06</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7</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2006-07</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8</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2007-08</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8</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2008-09</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9</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2009-10</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10</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2010-11</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11</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2011-12</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11</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2012-13</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12</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2013-14</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13</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2014-15</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14</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2015-16</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16</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2016-17</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17</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2017-18</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18</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2018-19</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19</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2019-20</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20</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2020-21</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21</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2021-22</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22</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2022-23</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23</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2023-24</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24</w:t>
                  </w:r>
                </w:p>
              </w:tc>
            </w:tr>
            <w:tr w:rsidR="006D1922" w:rsidRPr="006D1922" w:rsidTr="006D1922">
              <w:trPr>
                <w:trHeight w:val="278"/>
              </w:trPr>
              <w:tc>
                <w:tcPr>
                  <w:tcW w:w="952"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center"/>
                    <w:rPr>
                      <w:rFonts w:ascii="Calibri" w:eastAsia="Times New Roman" w:hAnsi="Calibri" w:cs="Times New Roman"/>
                      <w:b/>
                      <w:bCs/>
                      <w:color w:val="FFFFFF" w:themeColor="background1"/>
                      <w:sz w:val="12"/>
                      <w:szCs w:val="12"/>
                      <w:lang w:eastAsia="en-AU"/>
                    </w:rPr>
                  </w:pPr>
                  <w:r w:rsidRPr="006D1922">
                    <w:rPr>
                      <w:rFonts w:ascii="Calibri" w:eastAsia="Times New Roman" w:hAnsi="Calibri" w:cs="Times New Roman"/>
                      <w:b/>
                      <w:bCs/>
                      <w:color w:val="FFFFFF" w:themeColor="background1"/>
                      <w:sz w:val="12"/>
                      <w:szCs w:val="12"/>
                      <w:lang w:eastAsia="en-AU"/>
                    </w:rPr>
                    <w:t>2024-25</w:t>
                  </w:r>
                </w:p>
              </w:tc>
              <w:tc>
                <w:tcPr>
                  <w:tcW w:w="3219" w:type="dxa"/>
                  <w:tcBorders>
                    <w:top w:val="nil"/>
                    <w:left w:val="nil"/>
                    <w:bottom w:val="nil"/>
                    <w:right w:val="nil"/>
                  </w:tcBorders>
                  <w:shd w:val="clear" w:color="auto" w:fill="auto"/>
                  <w:noWrap/>
                  <w:vAlign w:val="bottom"/>
                  <w:hideMark/>
                </w:tcPr>
                <w:p w:rsidR="006D1922" w:rsidRPr="006D1922" w:rsidRDefault="006D1922" w:rsidP="001D45DA">
                  <w:pPr>
                    <w:spacing w:line="240" w:lineRule="auto"/>
                    <w:jc w:val="right"/>
                    <w:rPr>
                      <w:rFonts w:ascii="Calibri" w:eastAsia="Times New Roman" w:hAnsi="Calibri" w:cs="Times New Roman"/>
                      <w:color w:val="FFFFFF" w:themeColor="background1"/>
                      <w:sz w:val="12"/>
                      <w:szCs w:val="12"/>
                      <w:lang w:eastAsia="en-AU"/>
                    </w:rPr>
                  </w:pPr>
                  <w:r w:rsidRPr="006D1922">
                    <w:rPr>
                      <w:rFonts w:ascii="Calibri" w:eastAsia="Times New Roman" w:hAnsi="Calibri" w:cs="Times New Roman"/>
                      <w:color w:val="FFFFFF" w:themeColor="background1"/>
                      <w:sz w:val="12"/>
                      <w:szCs w:val="12"/>
                      <w:lang w:eastAsia="en-AU"/>
                    </w:rPr>
                    <w:t>25</w:t>
                  </w:r>
                </w:p>
              </w:tc>
            </w:tr>
          </w:tbl>
          <w:p w:rsidR="006D1922" w:rsidRPr="006D1922" w:rsidRDefault="006D1922" w:rsidP="001D45DA">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r>
    </w:tbl>
    <w:p w:rsidR="00316D7C" w:rsidRDefault="00316D7C" w:rsidP="00316D7C">
      <w:pPr>
        <w:pStyle w:val="Source"/>
      </w:pPr>
      <w:r>
        <w:t xml:space="preserve">Source: </w:t>
      </w:r>
      <w:r w:rsidRPr="00BA5D21">
        <w:t xml:space="preserve">ABS, state </w:t>
      </w:r>
      <w:r>
        <w:t xml:space="preserve">government </w:t>
      </w:r>
      <w:r w:rsidRPr="00BA5D21">
        <w:t>budget papers and PBO analysis.</w:t>
      </w:r>
    </w:p>
    <w:p w:rsidR="00764725" w:rsidRDefault="00316D7C" w:rsidP="00316D7C">
      <w:pPr>
        <w:pStyle w:val="BodyText17ptAbove"/>
      </w:pPr>
      <w:r w:rsidRPr="00BA5D21">
        <w:t>State own-purpose expenses for schools grew by 2.2 per cent annually in real terms from 2002</w:t>
      </w:r>
      <w:r>
        <w:t>–</w:t>
      </w:r>
      <w:r w:rsidRPr="00BA5D21">
        <w:t>03 to 2012</w:t>
      </w:r>
      <w:r>
        <w:t>–</w:t>
      </w:r>
      <w:r w:rsidRPr="00BA5D21">
        <w:t xml:space="preserve">13. </w:t>
      </w:r>
      <w:r>
        <w:t xml:space="preserve"> </w:t>
      </w:r>
      <w:r w:rsidRPr="00BA5D21">
        <w:t>From 2013</w:t>
      </w:r>
      <w:r>
        <w:t>–</w:t>
      </w:r>
      <w:r w:rsidRPr="00BA5D21">
        <w:t>14 to 2017</w:t>
      </w:r>
      <w:r>
        <w:t>–</w:t>
      </w:r>
      <w:r w:rsidRPr="00BA5D21">
        <w:t>18 growth in state own-purpose expenses is</w:t>
      </w:r>
      <w:r w:rsidRPr="00B41E81">
        <w:t xml:space="preserve"> </w:t>
      </w:r>
      <w:r>
        <w:t xml:space="preserve">projected </w:t>
      </w:r>
      <w:r w:rsidRPr="00B41E81">
        <w:t xml:space="preserve">to slow reflecting arrangements under the </w:t>
      </w:r>
      <w:r w:rsidRPr="00927977">
        <w:rPr>
          <w:i/>
        </w:rPr>
        <w:t>National Education Reform Agreement (NERA)</w:t>
      </w:r>
      <w:r w:rsidRPr="00B41E81">
        <w:t>.  Under these arrangements states generally</w:t>
      </w:r>
      <w:r>
        <w:t xml:space="preserve"> </w:t>
      </w:r>
      <w:r w:rsidRPr="00B41E81">
        <w:t>agreed to increase base funding for schools by 3.0 per cent annually</w:t>
      </w:r>
      <w:r>
        <w:t xml:space="preserve"> in nominal terms</w:t>
      </w:r>
      <w:r w:rsidRPr="00B86531">
        <w:rPr>
          <w:rStyle w:val="FootnoteReference"/>
        </w:rPr>
        <w:footnoteReference w:id="36"/>
      </w:r>
      <w:r w:rsidRPr="00B41E81">
        <w:t xml:space="preserve"> over the period with a smaller component of additional funding to account for </w:t>
      </w:r>
      <w:r w:rsidRPr="005D7A20">
        <w:t>soc</w:t>
      </w:r>
      <w:r w:rsidR="00764725">
        <w:t>io-economic and other factors.</w:t>
      </w:r>
      <w:r w:rsidR="00764725">
        <w:br w:type="page"/>
      </w:r>
    </w:p>
    <w:p w:rsidR="00316D7C" w:rsidRPr="00B41E81" w:rsidRDefault="00316D7C" w:rsidP="00B12841">
      <w:pPr>
        <w:pStyle w:val="BodyText"/>
      </w:pPr>
      <w:r w:rsidRPr="005D7A20">
        <w:lastRenderedPageBreak/>
        <w:t>Commonwealth base funding is to increase by 4.7 per cent annually in nominal terms based</w:t>
      </w:r>
      <w:r w:rsidRPr="00B41E81">
        <w:t xml:space="preserve"> on the Schooling Resource Standard</w:t>
      </w:r>
      <w:r>
        <w:t xml:space="preserve"> (SRS)</w:t>
      </w:r>
      <w:r w:rsidRPr="00B41E81">
        <w:t xml:space="preserve"> rather than AGSRC</w:t>
      </w:r>
      <w:r>
        <w:t xml:space="preserve"> index</w:t>
      </w:r>
      <w:r w:rsidRPr="00B41E81">
        <w:t>.</w:t>
      </w:r>
    </w:p>
    <w:p w:rsidR="00316D7C" w:rsidRDefault="00316D7C" w:rsidP="00B12841">
      <w:pPr>
        <w:pStyle w:val="BodyText"/>
      </w:pPr>
      <w:r w:rsidRPr="00B41E81">
        <w:t>As part of the 2014</w:t>
      </w:r>
      <w:r>
        <w:t>–</w:t>
      </w:r>
      <w:r w:rsidRPr="00B41E81">
        <w:t xml:space="preserve">15 Budget, the Commonwealth announced measures to index Commonwealth funding for schools to movements in the CPI with an allowance for changes in enrolments from 1 January 2018.  </w:t>
      </w:r>
      <w:r>
        <w:t>From 2017–18 to 2024–25</w:t>
      </w:r>
      <w:r w:rsidRPr="00B41E81">
        <w:t xml:space="preserve"> Commonwealth funding to states is </w:t>
      </w:r>
      <w:r>
        <w:t>projected</w:t>
      </w:r>
      <w:r w:rsidRPr="00B41E81">
        <w:t xml:space="preserve"> to grow by 2.0 per cent annually in real terms.</w:t>
      </w:r>
      <w:r>
        <w:t xml:space="preserve"> </w:t>
      </w:r>
      <w:r w:rsidRPr="00B41E81">
        <w:t xml:space="preserve"> This supersedes the NERA arrangements discussed above which were originally scheduled over six years to 2018.</w:t>
      </w:r>
    </w:p>
    <w:p w:rsidR="00DA0C96" w:rsidRDefault="00AF3DFD" w:rsidP="00B12841">
      <w:pPr>
        <w:pStyle w:val="BodyText"/>
      </w:pPr>
      <w:r w:rsidRPr="0037520E">
        <w:t>T</w:t>
      </w:r>
      <w:r w:rsidR="00316D7C" w:rsidRPr="0037520E">
        <w:t>he changes to the indexation arrangements for schools represent a partial shift in funding responsibility to the states</w:t>
      </w:r>
      <w:r w:rsidR="00927977" w:rsidRPr="0037520E">
        <w:t>, as the majority of Commonwealth funding for schools relates to non-government schools, for which the states do not have primary funding responsibility.</w:t>
      </w:r>
    </w:p>
    <w:p w:rsidR="0011590A" w:rsidRDefault="0011590A" w:rsidP="00B12841">
      <w:pPr>
        <w:pStyle w:val="BodyText"/>
        <w:sectPr w:rsidR="0011590A" w:rsidSect="00316D7C">
          <w:footerReference w:type="default" r:id="rId60"/>
          <w:pgSz w:w="11906" w:h="16838" w:code="9"/>
          <w:pgMar w:top="1361" w:right="1797" w:bottom="1474" w:left="1797" w:header="284" w:footer="454" w:gutter="0"/>
          <w:cols w:space="708"/>
          <w:docGrid w:linePitch="360"/>
        </w:sectPr>
      </w:pPr>
    </w:p>
    <w:p w:rsidR="00316D7C" w:rsidRDefault="00316D7C" w:rsidP="00316D7C">
      <w:pPr>
        <w:pStyle w:val="Heading1"/>
        <w:numPr>
          <w:ilvl w:val="0"/>
          <w:numId w:val="45"/>
        </w:numPr>
      </w:pPr>
      <w:bookmarkStart w:id="231" w:name="_Toc415062439"/>
      <w:bookmarkStart w:id="232" w:name="_Toc415125651"/>
      <w:bookmarkStart w:id="233" w:name="_Toc415222936"/>
      <w:bookmarkStart w:id="234" w:name="_Toc418073725"/>
      <w:r w:rsidRPr="00B84A8D">
        <w:lastRenderedPageBreak/>
        <w:t>Net capital investment</w:t>
      </w:r>
      <w:bookmarkEnd w:id="231"/>
      <w:bookmarkEnd w:id="232"/>
      <w:bookmarkEnd w:id="233"/>
      <w:bookmarkEnd w:id="234"/>
    </w:p>
    <w:p w:rsidR="001E584C" w:rsidRDefault="008A1442" w:rsidP="001E584C">
      <w:pPr>
        <w:pStyle w:val="BodyText"/>
      </w:pPr>
      <w:r w:rsidRPr="001C7A80">
        <w:t>Net capital investment across all levels of government increased from $</w:t>
      </w:r>
      <w:r>
        <w:t>4.2</w:t>
      </w:r>
      <w:r w:rsidRPr="001C7A80">
        <w:t xml:space="preserve"> billion (0.</w:t>
      </w:r>
      <w:r>
        <w:t>5 </w:t>
      </w:r>
      <w:r w:rsidRPr="001C7A80">
        <w:t>per</w:t>
      </w:r>
      <w:r>
        <w:t> </w:t>
      </w:r>
      <w:r w:rsidRPr="001C7A80">
        <w:t>cent of GDP) in 2002</w:t>
      </w:r>
      <w:r>
        <w:t>–</w:t>
      </w:r>
      <w:r w:rsidRPr="001C7A80">
        <w:t xml:space="preserve">03 to </w:t>
      </w:r>
      <w:r w:rsidR="001E584C">
        <w:t xml:space="preserve">peak at $30.3 billion (2.3 per cent of GDP), largely due to the fiscal stimulus, before settling at </w:t>
      </w:r>
      <w:r w:rsidRPr="001C7A80">
        <w:t>$</w:t>
      </w:r>
      <w:r>
        <w:t>15.</w:t>
      </w:r>
      <w:r w:rsidR="00A4662C">
        <w:t>6</w:t>
      </w:r>
      <w:r w:rsidRPr="001C7A80">
        <w:t> billion (1.</w:t>
      </w:r>
      <w:r>
        <w:t>0</w:t>
      </w:r>
      <w:r w:rsidRPr="001C7A80">
        <w:t xml:space="preserve"> per cent of GDP) in 2012</w:t>
      </w:r>
      <w:r>
        <w:t>–</w:t>
      </w:r>
      <w:r w:rsidRPr="001C7A80">
        <w:t>13</w:t>
      </w:r>
      <w:r w:rsidR="001E584C">
        <w:t xml:space="preserve">.  Over the decade net capital investment by all levels of government </w:t>
      </w:r>
      <w:r w:rsidRPr="001C7A80">
        <w:t>gr</w:t>
      </w:r>
      <w:r w:rsidR="001E584C">
        <w:t>ew</w:t>
      </w:r>
      <w:r w:rsidRPr="001C7A80">
        <w:t xml:space="preserve"> by </w:t>
      </w:r>
      <w:r>
        <w:t>11.</w:t>
      </w:r>
      <w:r w:rsidR="00A4662C">
        <w:t>1</w:t>
      </w:r>
      <w:r w:rsidRPr="001C7A80">
        <w:t> per cent annual</w:t>
      </w:r>
      <w:r>
        <w:t>ly in real terms (</w:t>
      </w:r>
      <w:r w:rsidR="009810BC">
        <w:fldChar w:fldCharType="begin"/>
      </w:r>
      <w:r w:rsidR="009810BC">
        <w:instrText xml:space="preserve"> REF _Ref415144930 \h </w:instrText>
      </w:r>
      <w:r w:rsidR="009810BC">
        <w:fldChar w:fldCharType="separate"/>
      </w:r>
      <w:r w:rsidR="008B68F4" w:rsidRPr="008A1442">
        <w:t xml:space="preserve">Figure </w:t>
      </w:r>
      <w:r w:rsidR="008B68F4">
        <w:rPr>
          <w:noProof/>
        </w:rPr>
        <w:t>4</w:t>
      </w:r>
      <w:r w:rsidR="008B68F4">
        <w:noBreakHyphen/>
      </w:r>
      <w:r w:rsidR="008B68F4">
        <w:rPr>
          <w:noProof/>
        </w:rPr>
        <w:t>1</w:t>
      </w:r>
      <w:r w:rsidR="009810BC">
        <w:fldChar w:fldCharType="end"/>
      </w:r>
      <w:r>
        <w:t>).</w:t>
      </w:r>
      <w:r w:rsidR="001E584C">
        <w:t xml:space="preserve">  Funding</w:t>
      </w:r>
      <w:r w:rsidR="001E584C" w:rsidRPr="00575AF3">
        <w:t xml:space="preserve"> included significant</w:t>
      </w:r>
      <w:r w:rsidR="001E584C">
        <w:t xml:space="preserve"> transfers to states discussed later in this chapter.</w:t>
      </w:r>
    </w:p>
    <w:p w:rsidR="00316D7C" w:rsidRDefault="00904D56" w:rsidP="008A1442">
      <w:pPr>
        <w:pStyle w:val="Caption"/>
      </w:pPr>
      <w:bookmarkStart w:id="235" w:name="_Ref415144930"/>
      <w:bookmarkStart w:id="236" w:name="_Toc415222968"/>
      <w:bookmarkStart w:id="237" w:name="_Toc418073829"/>
      <w:r>
        <w:rPr>
          <w:noProof/>
          <w:lang w:eastAsia="en-AU"/>
        </w:rPr>
        <w:drawing>
          <wp:anchor distT="0" distB="0" distL="114300" distR="114300" simplePos="0" relativeHeight="251682816" behindDoc="0" locked="0" layoutInCell="1" allowOverlap="1" wp14:anchorId="7B02BC51" wp14:editId="32FF5A93">
            <wp:simplePos x="0" y="0"/>
            <wp:positionH relativeFrom="column">
              <wp:posOffset>-33655</wp:posOffset>
            </wp:positionH>
            <wp:positionV relativeFrom="paragraph">
              <wp:posOffset>365125</wp:posOffset>
            </wp:positionV>
            <wp:extent cx="5279390" cy="29749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9390" cy="2974975"/>
                    </a:xfrm>
                    <a:prstGeom prst="rect">
                      <a:avLst/>
                    </a:prstGeom>
                    <a:noFill/>
                  </pic:spPr>
                </pic:pic>
              </a:graphicData>
            </a:graphic>
            <wp14:sizeRelH relativeFrom="page">
              <wp14:pctWidth>0</wp14:pctWidth>
            </wp14:sizeRelH>
            <wp14:sizeRelV relativeFrom="page">
              <wp14:pctHeight>0</wp14:pctHeight>
            </wp14:sizeRelV>
          </wp:anchor>
        </w:drawing>
      </w:r>
      <w:r w:rsidR="008A1442" w:rsidRPr="008A1442">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1</w:t>
      </w:r>
      <w:r w:rsidR="003A23CE">
        <w:rPr>
          <w:noProof/>
        </w:rPr>
        <w:fldChar w:fldCharType="end"/>
      </w:r>
      <w:bookmarkEnd w:id="235"/>
      <w:r w:rsidR="008A1442" w:rsidRPr="008A1442">
        <w:t xml:space="preserve">: </w:t>
      </w:r>
      <w:r w:rsidR="008A1442">
        <w:t>N</w:t>
      </w:r>
      <w:r w:rsidR="008A1442" w:rsidRPr="001C7A80">
        <w:t>et capital investment across all levels of government</w:t>
      </w:r>
      <w:bookmarkEnd w:id="236"/>
      <w:bookmarkEnd w:id="237"/>
    </w:p>
    <w:tbl>
      <w:tblPr>
        <w:tblW w:w="7776" w:type="dxa"/>
        <w:tblInd w:w="93" w:type="dxa"/>
        <w:tblLook w:val="04A0" w:firstRow="1" w:lastRow="0" w:firstColumn="1" w:lastColumn="0" w:noHBand="0" w:noVBand="1"/>
      </w:tblPr>
      <w:tblGrid>
        <w:gridCol w:w="3888"/>
        <w:gridCol w:w="3888"/>
      </w:tblGrid>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rPr>
                <w:rFonts w:ascii="Calibri" w:eastAsia="Times New Roman" w:hAnsi="Calibri" w:cs="Times New Roman"/>
                <w:b/>
                <w:bCs/>
                <w:color w:val="FFFFFF" w:themeColor="background1"/>
                <w:lang w:eastAsia="en-AU"/>
              </w:rPr>
            </w:pPr>
          </w:p>
        </w:tc>
        <w:tc>
          <w:tcPr>
            <w:tcW w:w="3888" w:type="dxa"/>
            <w:shd w:val="clear" w:color="auto" w:fill="auto"/>
            <w:noWrap/>
            <w:vAlign w:val="bottom"/>
            <w:hideMark/>
          </w:tcPr>
          <w:p w:rsidR="00904D56" w:rsidRPr="00904D56" w:rsidRDefault="00904D56" w:rsidP="00904D56">
            <w:pPr>
              <w:spacing w:line="240" w:lineRule="auto"/>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 of GDP</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2002-03</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0.5</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2003-04</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0.6</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2004-05</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0.7</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2005-06</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1.0</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2006-07</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1.2</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2007-08</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1.3</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2008-09</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1.7</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2009-10</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2.3</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2010-11</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2.0</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2011-12</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1.7</w:t>
            </w:r>
          </w:p>
        </w:tc>
      </w:tr>
      <w:tr w:rsidR="00904D56" w:rsidRPr="00904D56" w:rsidTr="00904D56">
        <w:trPr>
          <w:trHeight w:val="367"/>
        </w:trPr>
        <w:tc>
          <w:tcPr>
            <w:tcW w:w="3888" w:type="dxa"/>
            <w:shd w:val="clear" w:color="auto" w:fill="auto"/>
            <w:noWrap/>
            <w:vAlign w:val="bottom"/>
            <w:hideMark/>
          </w:tcPr>
          <w:p w:rsidR="00904D56" w:rsidRPr="00904D56" w:rsidRDefault="00904D56" w:rsidP="00904D56">
            <w:pPr>
              <w:spacing w:line="240" w:lineRule="auto"/>
              <w:jc w:val="center"/>
              <w:rPr>
                <w:rFonts w:ascii="Calibri" w:eastAsia="Times New Roman" w:hAnsi="Calibri" w:cs="Times New Roman"/>
                <w:b/>
                <w:bCs/>
                <w:color w:val="FFFFFF" w:themeColor="background1"/>
                <w:lang w:eastAsia="en-AU"/>
              </w:rPr>
            </w:pPr>
            <w:r w:rsidRPr="00904D56">
              <w:rPr>
                <w:rFonts w:ascii="Calibri" w:eastAsia="Times New Roman" w:hAnsi="Calibri" w:cs="Times New Roman"/>
                <w:b/>
                <w:bCs/>
                <w:color w:val="FFFFFF" w:themeColor="background1"/>
                <w:lang w:eastAsia="en-AU"/>
              </w:rPr>
              <w:t>2012-13</w:t>
            </w:r>
          </w:p>
        </w:tc>
        <w:tc>
          <w:tcPr>
            <w:tcW w:w="3888" w:type="dxa"/>
            <w:shd w:val="clear" w:color="auto" w:fill="auto"/>
            <w:noWrap/>
            <w:vAlign w:val="bottom"/>
            <w:hideMark/>
          </w:tcPr>
          <w:p w:rsidR="00904D56" w:rsidRPr="00904D56" w:rsidRDefault="00904D56" w:rsidP="00904D56">
            <w:pPr>
              <w:spacing w:line="240" w:lineRule="auto"/>
              <w:jc w:val="right"/>
              <w:rPr>
                <w:rFonts w:ascii="Calibri" w:eastAsia="Times New Roman" w:hAnsi="Calibri" w:cs="Times New Roman"/>
                <w:color w:val="FFFFFF" w:themeColor="background1"/>
                <w:lang w:eastAsia="en-AU"/>
              </w:rPr>
            </w:pPr>
            <w:r w:rsidRPr="00904D56">
              <w:rPr>
                <w:rFonts w:ascii="Calibri" w:eastAsia="Times New Roman" w:hAnsi="Calibri" w:cs="Times New Roman"/>
                <w:color w:val="FFFFFF" w:themeColor="background1"/>
                <w:lang w:eastAsia="en-AU"/>
              </w:rPr>
              <w:t>1.0</w:t>
            </w:r>
          </w:p>
        </w:tc>
      </w:tr>
    </w:tbl>
    <w:p w:rsidR="008A1442" w:rsidRDefault="008A1442" w:rsidP="008A1442">
      <w:pPr>
        <w:pStyle w:val="Source"/>
      </w:pPr>
      <w:r>
        <w:t>Source: ABS.</w:t>
      </w:r>
    </w:p>
    <w:p w:rsidR="008A1442" w:rsidRDefault="008A1442" w:rsidP="00927977">
      <w:pPr>
        <w:pStyle w:val="Heading2"/>
        <w:rPr>
          <w:rFonts w:ascii="Georgia" w:eastAsia="Calibri" w:hAnsi="Georgia"/>
          <w:color w:val="2B3B5F"/>
        </w:rPr>
      </w:pPr>
      <w:r w:rsidRPr="008E1FA8">
        <w:rPr>
          <w:rFonts w:ascii="Georgia" w:eastAsia="Calibri" w:hAnsi="Georgia"/>
          <w:bCs w:val="0"/>
          <w:iCs w:val="0"/>
          <w:color w:val="2B3B5F"/>
        </w:rPr>
        <w:t>Net capital investment by function</w:t>
      </w:r>
    </w:p>
    <w:p w:rsidR="008A1442" w:rsidRPr="001C7A80" w:rsidRDefault="008A1442" w:rsidP="008A1442">
      <w:pPr>
        <w:pStyle w:val="BodyText"/>
      </w:pPr>
      <w:r w:rsidRPr="001C7A80">
        <w:t xml:space="preserve">There are four key areas </w:t>
      </w:r>
      <w:r>
        <w:t xml:space="preserve">(functions) </w:t>
      </w:r>
      <w:r w:rsidRPr="001C7A80">
        <w:t>of general government sector net capital investment in Australia</w:t>
      </w:r>
      <w:r>
        <w:t>—</w:t>
      </w:r>
      <w:r w:rsidRPr="001C7A80">
        <w:t xml:space="preserve">transport, </w:t>
      </w:r>
      <w:r>
        <w:t>education, defence and health.</w:t>
      </w:r>
    </w:p>
    <w:p w:rsidR="008A1442" w:rsidRDefault="008A1442" w:rsidP="008A1442">
      <w:pPr>
        <w:pStyle w:val="BodyText"/>
      </w:pPr>
      <w:r w:rsidRPr="00575AF3">
        <w:t xml:space="preserve">Consistent data on net capital investment by function across all levels of government is not available.  However, information on gross fixed capital formation, which is the largest component of net capital investment, is available. </w:t>
      </w:r>
      <w:r>
        <w:t xml:space="preserve"> </w:t>
      </w:r>
      <w:r w:rsidRPr="00575AF3">
        <w:t>Gross fixed capital formation largely reflects capital purchases.</w:t>
      </w:r>
      <w:r w:rsidRPr="00B86531">
        <w:rPr>
          <w:rStyle w:val="FootnoteReference"/>
        </w:rPr>
        <w:footnoteReference w:id="37"/>
      </w:r>
      <w:r w:rsidRPr="00575AF3">
        <w:t xml:space="preserve">  Trends in gross fixed capital formation broadly follow net capital investment and provide an indication of the capital investment decisions of governments.</w:t>
      </w:r>
    </w:p>
    <w:p w:rsidR="008A1442" w:rsidRPr="001C7A80" w:rsidRDefault="009810BC" w:rsidP="008A1442">
      <w:pPr>
        <w:pStyle w:val="BodyText"/>
      </w:pPr>
      <w:r>
        <w:fldChar w:fldCharType="begin"/>
      </w:r>
      <w:r>
        <w:instrText xml:space="preserve"> REF _Ref415144998 \h </w:instrText>
      </w:r>
      <w:r>
        <w:fldChar w:fldCharType="separate"/>
      </w:r>
      <w:r w:rsidR="008B68F4" w:rsidRPr="008A1442">
        <w:t xml:space="preserve">Figure </w:t>
      </w:r>
      <w:r w:rsidR="008B68F4">
        <w:rPr>
          <w:noProof/>
        </w:rPr>
        <w:t>4</w:t>
      </w:r>
      <w:r w:rsidR="008B68F4">
        <w:noBreakHyphen/>
      </w:r>
      <w:r w:rsidR="008B68F4">
        <w:rPr>
          <w:noProof/>
        </w:rPr>
        <w:t>2</w:t>
      </w:r>
      <w:r>
        <w:fldChar w:fldCharType="end"/>
      </w:r>
      <w:r w:rsidR="008A1442" w:rsidRPr="001C7A80">
        <w:t xml:space="preserve"> shows the largest areas of general government sector gross fixed capital formation across all levels of gove</w:t>
      </w:r>
      <w:r w:rsidR="008A1442">
        <w:t>rnment.</w:t>
      </w:r>
    </w:p>
    <w:p w:rsidR="008A1442" w:rsidRDefault="00535821" w:rsidP="008A1442">
      <w:pPr>
        <w:pStyle w:val="Caption"/>
      </w:pPr>
      <w:bookmarkStart w:id="238" w:name="_Ref415144998"/>
      <w:bookmarkStart w:id="239" w:name="_Toc415222969"/>
      <w:bookmarkStart w:id="240" w:name="_Toc418073830"/>
      <w:r>
        <w:rPr>
          <w:noProof/>
          <w:lang w:eastAsia="en-AU"/>
        </w:rPr>
        <w:lastRenderedPageBreak/>
        <w:drawing>
          <wp:anchor distT="0" distB="0" distL="114300" distR="114300" simplePos="0" relativeHeight="251683840" behindDoc="0" locked="0" layoutInCell="1" allowOverlap="1" wp14:anchorId="09428981" wp14:editId="58A1D402">
            <wp:simplePos x="0" y="0"/>
            <wp:positionH relativeFrom="column">
              <wp:posOffset>6350</wp:posOffset>
            </wp:positionH>
            <wp:positionV relativeFrom="paragraph">
              <wp:posOffset>255270</wp:posOffset>
            </wp:positionV>
            <wp:extent cx="5279390" cy="3517900"/>
            <wp:effectExtent l="0" t="0" r="0" b="635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9390" cy="3517900"/>
                    </a:xfrm>
                    <a:prstGeom prst="rect">
                      <a:avLst/>
                    </a:prstGeom>
                    <a:noFill/>
                  </pic:spPr>
                </pic:pic>
              </a:graphicData>
            </a:graphic>
            <wp14:sizeRelH relativeFrom="page">
              <wp14:pctWidth>0</wp14:pctWidth>
            </wp14:sizeRelH>
            <wp14:sizeRelV relativeFrom="page">
              <wp14:pctHeight>0</wp14:pctHeight>
            </wp14:sizeRelV>
          </wp:anchor>
        </w:drawing>
      </w:r>
      <w:r w:rsidR="008A1442" w:rsidRPr="008A1442">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2</w:t>
      </w:r>
      <w:r w:rsidR="003A23CE">
        <w:rPr>
          <w:noProof/>
        </w:rPr>
        <w:fldChar w:fldCharType="end"/>
      </w:r>
      <w:bookmarkEnd w:id="238"/>
      <w:r w:rsidR="008A1442" w:rsidRPr="008A1442">
        <w:t xml:space="preserve">: </w:t>
      </w:r>
      <w:r w:rsidR="008A1442" w:rsidRPr="001C7A80">
        <w:t>General government gross fixed capital formation by function</w:t>
      </w:r>
      <w:bookmarkEnd w:id="239"/>
      <w:bookmarkEnd w:id="240"/>
    </w:p>
    <w:tbl>
      <w:tblPr>
        <w:tblStyle w:val="TableGrid"/>
        <w:tblW w:w="8505" w:type="dxa"/>
        <w:tblLook w:val="04A0" w:firstRow="1" w:lastRow="0" w:firstColumn="1" w:lastColumn="0" w:noHBand="0" w:noVBand="1"/>
      </w:tblPr>
      <w:tblGrid>
        <w:gridCol w:w="1923"/>
        <w:gridCol w:w="2072"/>
        <w:gridCol w:w="1923"/>
        <w:gridCol w:w="2662"/>
      </w:tblGrid>
      <w:tr w:rsidR="00CE6312" w:rsidRPr="00CE6312" w:rsidTr="00535821">
        <w:trPr>
          <w:cnfStyle w:val="100000000000" w:firstRow="1" w:lastRow="0" w:firstColumn="0" w:lastColumn="0" w:oddVBand="0" w:evenVBand="0" w:oddHBand="0" w:evenHBand="0" w:firstRowFirstColumn="0" w:firstRowLastColumn="0" w:lastRowFirstColumn="0" w:lastRowLastColumn="0"/>
          <w:trHeight w:val="5387"/>
        </w:trPr>
        <w:tc>
          <w:tcPr>
            <w:cnfStyle w:val="001000000100" w:firstRow="0" w:lastRow="0" w:firstColumn="1" w:lastColumn="0" w:oddVBand="0" w:evenVBand="0" w:oddHBand="0" w:evenHBand="0" w:firstRowFirstColumn="1" w:firstRowLastColumn="0" w:lastRowFirstColumn="0" w:lastRowLastColumn="0"/>
            <w:tcW w:w="2132" w:type="dxa"/>
            <w:shd w:val="clear" w:color="auto" w:fill="auto"/>
          </w:tcPr>
          <w:tbl>
            <w:tblPr>
              <w:tblW w:w="1920" w:type="dxa"/>
              <w:tblLook w:val="04A0" w:firstRow="1" w:lastRow="0" w:firstColumn="1" w:lastColumn="0" w:noHBand="0" w:noVBand="1"/>
            </w:tblPr>
            <w:tblGrid>
              <w:gridCol w:w="960"/>
              <w:gridCol w:w="963"/>
            </w:tblGrid>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Defence</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$billions</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4.5</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4.1</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5.0</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5.7</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6.2</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7.3</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7.8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7.7</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7.0</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2013-14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6.8</w:t>
                  </w:r>
                </w:p>
              </w:tc>
            </w:tr>
          </w:tbl>
          <w:p w:rsidR="00CE6312" w:rsidRPr="00CE6312" w:rsidRDefault="00CE6312" w:rsidP="001D45DA">
            <w:pPr>
              <w:tabs>
                <w:tab w:val="left" w:pos="2400"/>
              </w:tabs>
              <w:rPr>
                <w:b/>
              </w:rPr>
            </w:pPr>
          </w:p>
        </w:tc>
        <w:tc>
          <w:tcPr>
            <w:tcW w:w="2132" w:type="dxa"/>
            <w:shd w:val="clear" w:color="auto" w:fill="auto"/>
          </w:tcPr>
          <w:tbl>
            <w:tblPr>
              <w:tblW w:w="1920" w:type="dxa"/>
              <w:tblLook w:val="04A0" w:firstRow="1" w:lastRow="0" w:firstColumn="1" w:lastColumn="0" w:noHBand="0" w:noVBand="1"/>
            </w:tblPr>
            <w:tblGrid>
              <w:gridCol w:w="1109"/>
              <w:gridCol w:w="963"/>
            </w:tblGrid>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Education</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$billions</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2.7</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3.2</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3.5</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3.9</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4.5</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5.4</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11.2</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10.8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7.1</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2013-14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6.8</w:t>
                  </w:r>
                </w:p>
              </w:tc>
            </w:tr>
          </w:tbl>
          <w:p w:rsidR="00CE6312" w:rsidRPr="00CE6312" w:rsidRDefault="00CE6312" w:rsidP="001D45DA">
            <w:pPr>
              <w:tabs>
                <w:tab w:val="left" w:pos="2400"/>
              </w:tabs>
              <w:ind w:left="0"/>
              <w:jc w:val="left"/>
              <w:cnfStyle w:val="100000000000" w:firstRow="1" w:lastRow="0" w:firstColumn="0" w:lastColumn="0" w:oddVBand="0" w:evenVBand="0" w:oddHBand="0" w:evenHBand="0" w:firstRowFirstColumn="0" w:firstRowLastColumn="0" w:lastRowFirstColumn="0" w:lastRowLastColumn="0"/>
              <w:rPr>
                <w:b/>
              </w:rPr>
            </w:pPr>
          </w:p>
        </w:tc>
        <w:tc>
          <w:tcPr>
            <w:tcW w:w="2132" w:type="dxa"/>
            <w:shd w:val="clear" w:color="auto" w:fill="auto"/>
          </w:tcPr>
          <w:tbl>
            <w:tblPr>
              <w:tblW w:w="1920" w:type="dxa"/>
              <w:tblLook w:val="04A0" w:firstRow="1" w:lastRow="0" w:firstColumn="1" w:lastColumn="0" w:noHBand="0" w:noVBand="1"/>
            </w:tblPr>
            <w:tblGrid>
              <w:gridCol w:w="960"/>
              <w:gridCol w:w="963"/>
            </w:tblGrid>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Health</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$billions</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2.1</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2.2</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2.4</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3.0</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2.9</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3.4</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4.1</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4.7</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6.0</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6.8</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6.0</w:t>
                  </w:r>
                </w:p>
              </w:tc>
            </w:tr>
            <w:tr w:rsidR="00CE6312" w:rsidRPr="00DF10B0" w:rsidTr="001D45DA">
              <w:trPr>
                <w:trHeight w:val="300"/>
              </w:trPr>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2013-14</w:t>
                  </w:r>
                </w:p>
              </w:tc>
              <w:tc>
                <w:tcPr>
                  <w:tcW w:w="960"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6.4</w:t>
                  </w:r>
                </w:p>
              </w:tc>
            </w:tr>
          </w:tbl>
          <w:p w:rsidR="00CE6312" w:rsidRPr="00CE6312" w:rsidRDefault="00CE6312" w:rsidP="001D45DA">
            <w:pPr>
              <w:tabs>
                <w:tab w:val="left" w:pos="2400"/>
              </w:tabs>
              <w:ind w:left="0"/>
              <w:jc w:val="left"/>
              <w:cnfStyle w:val="100000000000" w:firstRow="1" w:lastRow="0" w:firstColumn="0" w:lastColumn="0" w:oddVBand="0" w:evenVBand="0" w:oddHBand="0" w:evenHBand="0" w:firstRowFirstColumn="0" w:firstRowLastColumn="0" w:lastRowFirstColumn="0" w:lastRowLastColumn="0"/>
              <w:rPr>
                <w:b/>
              </w:rPr>
            </w:pPr>
          </w:p>
        </w:tc>
        <w:tc>
          <w:tcPr>
            <w:tcW w:w="2132" w:type="dxa"/>
            <w:shd w:val="clear" w:color="auto" w:fill="auto"/>
          </w:tcPr>
          <w:tbl>
            <w:tblPr>
              <w:tblW w:w="2388" w:type="dxa"/>
              <w:tblLook w:val="04A0" w:firstRow="1" w:lastRow="0" w:firstColumn="1" w:lastColumn="0" w:noHBand="0" w:noVBand="1"/>
            </w:tblPr>
            <w:tblGrid>
              <w:gridCol w:w="1699"/>
              <w:gridCol w:w="963"/>
            </w:tblGrid>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Transport and communications</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$billions</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2002-03</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5.1</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2003-04</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5.4</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2004-05</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5.7</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2005-06</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6.6</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2006-07</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8.3</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2007-08</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10.0</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2008-09</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12.0</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2009-10</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12.0</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2010-11</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12.2</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2011-12</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13.6</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2012-13</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15.6</w:t>
                  </w:r>
                </w:p>
              </w:tc>
            </w:tr>
            <w:tr w:rsidR="00CE6312" w:rsidRPr="00DF10B0" w:rsidTr="00CE6312">
              <w:trPr>
                <w:trHeight w:val="323"/>
              </w:trPr>
              <w:tc>
                <w:tcPr>
                  <w:tcW w:w="152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rPr>
                      <w:rFonts w:ascii="Calibri" w:eastAsia="Times New Roman" w:hAnsi="Calibri" w:cs="Times New Roman"/>
                      <w:b/>
                      <w:bCs/>
                      <w:color w:val="FFFFFF" w:themeColor="background1"/>
                      <w:lang w:eastAsia="en-AU"/>
                    </w:rPr>
                  </w:pPr>
                  <w:r w:rsidRPr="00DF10B0">
                    <w:rPr>
                      <w:rFonts w:ascii="Calibri" w:eastAsia="Times New Roman" w:hAnsi="Calibri" w:cs="Times New Roman"/>
                      <w:b/>
                      <w:bCs/>
                      <w:color w:val="FFFFFF" w:themeColor="background1"/>
                      <w:lang w:eastAsia="en-AU"/>
                    </w:rPr>
                    <w:t>2013-14</w:t>
                  </w:r>
                </w:p>
              </w:tc>
              <w:tc>
                <w:tcPr>
                  <w:tcW w:w="864" w:type="dxa"/>
                  <w:tcBorders>
                    <w:top w:val="nil"/>
                    <w:left w:val="nil"/>
                    <w:bottom w:val="nil"/>
                    <w:right w:val="nil"/>
                  </w:tcBorders>
                  <w:shd w:val="clear" w:color="auto" w:fill="auto"/>
                  <w:noWrap/>
                  <w:vAlign w:val="bottom"/>
                  <w:hideMark/>
                </w:tcPr>
                <w:p w:rsidR="00CE6312" w:rsidRPr="00DF10B0" w:rsidRDefault="00CE6312" w:rsidP="001D45DA">
                  <w:pPr>
                    <w:spacing w:line="240" w:lineRule="auto"/>
                    <w:jc w:val="right"/>
                    <w:rPr>
                      <w:rFonts w:ascii="Calibri" w:eastAsia="Times New Roman" w:hAnsi="Calibri" w:cs="Times New Roman"/>
                      <w:color w:val="FFFFFF" w:themeColor="background1"/>
                      <w:lang w:eastAsia="en-AU"/>
                    </w:rPr>
                  </w:pPr>
                  <w:r w:rsidRPr="00DF10B0">
                    <w:rPr>
                      <w:rFonts w:ascii="Calibri" w:eastAsia="Times New Roman" w:hAnsi="Calibri" w:cs="Times New Roman"/>
                      <w:color w:val="FFFFFF" w:themeColor="background1"/>
                      <w:lang w:eastAsia="en-AU"/>
                    </w:rPr>
                    <w:t>16.8</w:t>
                  </w:r>
                </w:p>
              </w:tc>
            </w:tr>
          </w:tbl>
          <w:p w:rsidR="00CE6312" w:rsidRPr="00CE6312" w:rsidRDefault="00CE6312" w:rsidP="001D45DA">
            <w:pPr>
              <w:tabs>
                <w:tab w:val="left" w:pos="2400"/>
              </w:tabs>
              <w:ind w:left="0"/>
              <w:jc w:val="left"/>
              <w:cnfStyle w:val="100000000000" w:firstRow="1" w:lastRow="0" w:firstColumn="0" w:lastColumn="0" w:oddVBand="0" w:evenVBand="0" w:oddHBand="0" w:evenHBand="0" w:firstRowFirstColumn="0" w:firstRowLastColumn="0" w:lastRowFirstColumn="0" w:lastRowLastColumn="0"/>
              <w:rPr>
                <w:b/>
              </w:rPr>
            </w:pPr>
          </w:p>
        </w:tc>
      </w:tr>
    </w:tbl>
    <w:p w:rsidR="008A1442" w:rsidRDefault="008A1442" w:rsidP="008A1442">
      <w:pPr>
        <w:pStyle w:val="Source"/>
      </w:pPr>
      <w:r>
        <w:t>Source: ABS.</w:t>
      </w:r>
    </w:p>
    <w:p w:rsidR="008A1442" w:rsidRPr="00EA35F6" w:rsidRDefault="008A1442" w:rsidP="008A1442">
      <w:pPr>
        <w:pStyle w:val="BodyText17ptAbove"/>
      </w:pPr>
      <w:r w:rsidRPr="00EA35F6">
        <w:t xml:space="preserve">Over the </w:t>
      </w:r>
      <w:r>
        <w:t>period</w:t>
      </w:r>
      <w:r w:rsidRPr="00EA35F6">
        <w:t xml:space="preserve"> from 2002</w:t>
      </w:r>
      <w:r>
        <w:t>–</w:t>
      </w:r>
      <w:r w:rsidRPr="00EA35F6">
        <w:t>03 to 2013</w:t>
      </w:r>
      <w:r>
        <w:t>–</w:t>
      </w:r>
      <w:r w:rsidRPr="00EA35F6">
        <w:t>14, transport</w:t>
      </w:r>
      <w:r>
        <w:t xml:space="preserve"> and communications</w:t>
      </w:r>
      <w:r w:rsidRPr="00EA35F6">
        <w:t xml:space="preserve"> infrastructure was the largest and fastest growing area of general government investment. </w:t>
      </w:r>
      <w:r>
        <w:t xml:space="preserve"> </w:t>
      </w:r>
      <w:r w:rsidRPr="00EA35F6">
        <w:t>Primarily delivered by the states, investment in this area grew by 8.</w:t>
      </w:r>
      <w:r w:rsidR="00FB353C">
        <w:t>5</w:t>
      </w:r>
      <w:r w:rsidRPr="00EA35F6">
        <w:t xml:space="preserve"> per cent annually</w:t>
      </w:r>
      <w:r w:rsidR="001E584C">
        <w:t xml:space="preserve"> in real terms</w:t>
      </w:r>
      <w:r w:rsidRPr="00EA35F6">
        <w:t>, largely reflecting spending on road and rail projects.</w:t>
      </w:r>
    </w:p>
    <w:p w:rsidR="008A1442" w:rsidRPr="00EA35F6" w:rsidRDefault="008A1442" w:rsidP="008A1442">
      <w:pPr>
        <w:pStyle w:val="BodyText"/>
      </w:pPr>
      <w:r w:rsidRPr="00EA35F6">
        <w:t>Education (largely schools) was the second largest area of general government sector investment growing by 5.</w:t>
      </w:r>
      <w:r w:rsidR="00FB353C">
        <w:t>4</w:t>
      </w:r>
      <w:r w:rsidRPr="00EA35F6">
        <w:t xml:space="preserve"> per cent annually</w:t>
      </w:r>
      <w:r w:rsidR="001E584C">
        <w:t xml:space="preserve"> in real terms</w:t>
      </w:r>
      <w:r w:rsidRPr="00EA35F6">
        <w:t xml:space="preserve">. </w:t>
      </w:r>
      <w:r>
        <w:t xml:space="preserve"> </w:t>
      </w:r>
      <w:r w:rsidRPr="00EA35F6">
        <w:t xml:space="preserve">Investment in schools was </w:t>
      </w:r>
      <w:r w:rsidR="001E584C">
        <w:t>boosted</w:t>
      </w:r>
      <w:r w:rsidR="001E584C" w:rsidRPr="00EA35F6">
        <w:t xml:space="preserve"> </w:t>
      </w:r>
      <w:r w:rsidRPr="00EA35F6">
        <w:t xml:space="preserve">by stimulus spending under the </w:t>
      </w:r>
      <w:r w:rsidRPr="00EA35F6">
        <w:rPr>
          <w:i/>
        </w:rPr>
        <w:t>Nation Building and Jobs Plan</w:t>
      </w:r>
      <w:r w:rsidRPr="00EA35F6">
        <w:t xml:space="preserve"> and the </w:t>
      </w:r>
      <w:r w:rsidRPr="00EA35F6">
        <w:rPr>
          <w:i/>
        </w:rPr>
        <w:t>Nation Building Package</w:t>
      </w:r>
      <w:r w:rsidRPr="00EA35F6">
        <w:t xml:space="preserve"> from 2008</w:t>
      </w:r>
      <w:r>
        <w:t>–</w:t>
      </w:r>
      <w:r w:rsidRPr="00EA35F6">
        <w:t>09 to 2011</w:t>
      </w:r>
      <w:r>
        <w:t>–</w:t>
      </w:r>
      <w:r w:rsidRPr="00EA35F6">
        <w:t>12.</w:t>
      </w:r>
    </w:p>
    <w:p w:rsidR="008A1442" w:rsidRPr="00EA35F6" w:rsidRDefault="008A1442" w:rsidP="008A1442">
      <w:pPr>
        <w:pStyle w:val="BodyText"/>
      </w:pPr>
      <w:r w:rsidRPr="00EA35F6">
        <w:t>The Commonwealth general government sector accounts for all defence net capital investment.  Defence gross fixed capital formation grew by 1.</w:t>
      </w:r>
      <w:r w:rsidR="00FB353C">
        <w:t>2</w:t>
      </w:r>
      <w:r w:rsidRPr="00EA35F6">
        <w:t xml:space="preserve"> per cen</w:t>
      </w:r>
      <w:r>
        <w:t xml:space="preserve">t annually </w:t>
      </w:r>
      <w:r w:rsidR="001E584C">
        <w:t xml:space="preserve">in real terms </w:t>
      </w:r>
      <w:r>
        <w:t>from</w:t>
      </w:r>
      <w:r w:rsidR="00130D9A">
        <w:t xml:space="preserve"> </w:t>
      </w:r>
      <w:r>
        <w:t>2002–03 to 2013–</w:t>
      </w:r>
      <w:r w:rsidRPr="00EA35F6">
        <w:t>14.</w:t>
      </w:r>
    </w:p>
    <w:p w:rsidR="00130D9A" w:rsidRDefault="008A1442" w:rsidP="008A1442">
      <w:pPr>
        <w:pStyle w:val="BodyText"/>
      </w:pPr>
      <w:r w:rsidRPr="00EA35F6">
        <w:t xml:space="preserve">Health, which was a large and fast growing area, </w:t>
      </w:r>
      <w:r>
        <w:t>grew</w:t>
      </w:r>
      <w:r w:rsidRPr="00EA35F6">
        <w:t xml:space="preserve"> by </w:t>
      </w:r>
      <w:r>
        <w:t>7.</w:t>
      </w:r>
      <w:r w:rsidR="00FB353C">
        <w:t>5</w:t>
      </w:r>
      <w:r>
        <w:t xml:space="preserve"> per cent annually </w:t>
      </w:r>
      <w:r w:rsidR="001E584C">
        <w:t>in real terms</w:t>
      </w:r>
      <w:r w:rsidR="00927977">
        <w:t xml:space="preserve"> </w:t>
      </w:r>
      <w:r w:rsidR="00755808">
        <w:t>from </w:t>
      </w:r>
      <w:r>
        <w:t>2002–</w:t>
      </w:r>
      <w:r w:rsidRPr="00EA35F6">
        <w:t>03 to 2013</w:t>
      </w:r>
      <w:r>
        <w:t>–</w:t>
      </w:r>
      <w:r w:rsidRPr="00EA35F6">
        <w:t>14.  Investment in this area largely related to spending on hospitals.</w:t>
      </w:r>
      <w:r w:rsidR="00130D9A">
        <w:br w:type="page"/>
      </w:r>
    </w:p>
    <w:p w:rsidR="008A1442" w:rsidRDefault="008A1442" w:rsidP="008A1442">
      <w:pPr>
        <w:pStyle w:val="Heading2"/>
        <w:rPr>
          <w:rFonts w:ascii="Georgia" w:eastAsia="Calibri" w:hAnsi="Georgia"/>
          <w:bCs w:val="0"/>
          <w:iCs w:val="0"/>
          <w:color w:val="2B3B5F"/>
        </w:rPr>
      </w:pPr>
      <w:r w:rsidRPr="00B84A8D">
        <w:rPr>
          <w:rFonts w:ascii="Georgia" w:eastAsia="Calibri" w:hAnsi="Georgia"/>
          <w:bCs w:val="0"/>
          <w:iCs w:val="0"/>
          <w:color w:val="2B3B5F"/>
        </w:rPr>
        <w:lastRenderedPageBreak/>
        <w:t>Investment by level of government</w:t>
      </w:r>
    </w:p>
    <w:p w:rsidR="008A1442" w:rsidRPr="00B84A8D" w:rsidRDefault="008A1442" w:rsidP="008A1442">
      <w:pPr>
        <w:pStyle w:val="BodyText"/>
      </w:pPr>
      <w:r w:rsidRPr="004F5733">
        <w:t xml:space="preserve">Over the past decade, states accounted for an average of </w:t>
      </w:r>
      <w:r>
        <w:t>5</w:t>
      </w:r>
      <w:r w:rsidR="000325B2">
        <w:t>4</w:t>
      </w:r>
      <w:r w:rsidRPr="004F5733">
        <w:t xml:space="preserve"> per cent of total net capital</w:t>
      </w:r>
      <w:r>
        <w:t xml:space="preserve"> investment, </w:t>
      </w:r>
      <w:r w:rsidRPr="00B84A8D">
        <w:t>while local</w:t>
      </w:r>
      <w:r>
        <w:t xml:space="preserve"> government accounted for 2</w:t>
      </w:r>
      <w:r w:rsidR="000325B2">
        <w:t>6</w:t>
      </w:r>
      <w:r>
        <w:t xml:space="preserve"> </w:t>
      </w:r>
      <w:r w:rsidRPr="00B84A8D">
        <w:t>per cent</w:t>
      </w:r>
      <w:r>
        <w:t xml:space="preserve">, and the </w:t>
      </w:r>
      <w:r w:rsidRPr="00B84A8D">
        <w:t>Commonwealth</w:t>
      </w:r>
      <w:r>
        <w:t>, the remaining</w:t>
      </w:r>
      <w:r w:rsidRPr="00B84A8D">
        <w:t xml:space="preserve"> </w:t>
      </w:r>
      <w:r>
        <w:t>20 per cent.</w:t>
      </w:r>
    </w:p>
    <w:p w:rsidR="008A1442" w:rsidRPr="00646D5C" w:rsidRDefault="009810BC" w:rsidP="008A1442">
      <w:pPr>
        <w:pStyle w:val="BodyText"/>
      </w:pPr>
      <w:r>
        <w:fldChar w:fldCharType="begin"/>
      </w:r>
      <w:r>
        <w:instrText xml:space="preserve"> REF _Ref415145056 \h </w:instrText>
      </w:r>
      <w:r>
        <w:fldChar w:fldCharType="separate"/>
      </w:r>
      <w:r w:rsidR="008B68F4" w:rsidRPr="007757D9">
        <w:t xml:space="preserve">Figure </w:t>
      </w:r>
      <w:r w:rsidR="008B68F4">
        <w:rPr>
          <w:noProof/>
        </w:rPr>
        <w:t>4</w:t>
      </w:r>
      <w:r w:rsidR="008B68F4">
        <w:noBreakHyphen/>
      </w:r>
      <w:r w:rsidR="008B68F4">
        <w:rPr>
          <w:noProof/>
        </w:rPr>
        <w:t>3</w:t>
      </w:r>
      <w:r>
        <w:fldChar w:fldCharType="end"/>
      </w:r>
      <w:r w:rsidR="008A1442" w:rsidRPr="00646D5C">
        <w:t xml:space="preserve"> shows the composition of net capital investment by all levels of government in Australia from 2002</w:t>
      </w:r>
      <w:r w:rsidR="008A1442">
        <w:t>–</w:t>
      </w:r>
      <w:r w:rsidR="008A1442" w:rsidRPr="00646D5C">
        <w:t>03 to 2012</w:t>
      </w:r>
      <w:r w:rsidR="008A1442">
        <w:t>–</w:t>
      </w:r>
      <w:r w:rsidR="008A1442" w:rsidRPr="00646D5C">
        <w:t>13.</w:t>
      </w:r>
    </w:p>
    <w:p w:rsidR="008A1442" w:rsidRDefault="00ED7961" w:rsidP="007757D9">
      <w:pPr>
        <w:pStyle w:val="Caption"/>
      </w:pPr>
      <w:bookmarkStart w:id="241" w:name="_Ref415145056"/>
      <w:bookmarkStart w:id="242" w:name="_Toc415222970"/>
      <w:bookmarkStart w:id="243" w:name="_Toc418073831"/>
      <w:r w:rsidRPr="00ED7961">
        <w:rPr>
          <w:noProof/>
          <w:color w:val="FFFFFF" w:themeColor="background1"/>
          <w:lang w:eastAsia="en-AU"/>
        </w:rPr>
        <w:drawing>
          <wp:anchor distT="0" distB="0" distL="114300" distR="114300" simplePos="0" relativeHeight="251684864" behindDoc="0" locked="0" layoutInCell="1" allowOverlap="1" wp14:anchorId="534F28C4" wp14:editId="1EDBD174">
            <wp:simplePos x="0" y="0"/>
            <wp:positionH relativeFrom="column">
              <wp:posOffset>-5334</wp:posOffset>
            </wp:positionH>
            <wp:positionV relativeFrom="paragraph">
              <wp:posOffset>344636</wp:posOffset>
            </wp:positionV>
            <wp:extent cx="5401310" cy="360299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14:sizeRelH relativeFrom="page">
              <wp14:pctWidth>0</wp14:pctWidth>
            </wp14:sizeRelH>
            <wp14:sizeRelV relativeFrom="page">
              <wp14:pctHeight>0</wp14:pctHeight>
            </wp14:sizeRelV>
          </wp:anchor>
        </w:drawing>
      </w:r>
      <w:r w:rsidR="007757D9" w:rsidRPr="007757D9">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3</w:t>
      </w:r>
      <w:r w:rsidR="003A23CE">
        <w:rPr>
          <w:noProof/>
        </w:rPr>
        <w:fldChar w:fldCharType="end"/>
      </w:r>
      <w:bookmarkEnd w:id="241"/>
      <w:r w:rsidR="007757D9" w:rsidRPr="007757D9">
        <w:t xml:space="preserve">: </w:t>
      </w:r>
      <w:r w:rsidR="007757D9">
        <w:t>N</w:t>
      </w:r>
      <w:r w:rsidR="007757D9" w:rsidRPr="00376AD7">
        <w:t xml:space="preserve">et capital investment </w:t>
      </w:r>
      <w:r w:rsidR="007757D9">
        <w:t>by level of government</w:t>
      </w:r>
      <w:bookmarkEnd w:id="242"/>
      <w:bookmarkEnd w:id="243"/>
    </w:p>
    <w:tbl>
      <w:tblPr>
        <w:tblStyle w:val="TableGrid"/>
        <w:tblW w:w="0" w:type="auto"/>
        <w:tblLook w:val="04A0" w:firstRow="1" w:lastRow="0" w:firstColumn="1" w:lastColumn="0" w:noHBand="0" w:noVBand="1"/>
      </w:tblPr>
      <w:tblGrid>
        <w:gridCol w:w="2818"/>
        <w:gridCol w:w="2747"/>
        <w:gridCol w:w="2747"/>
      </w:tblGrid>
      <w:tr w:rsidR="00ED7961" w:rsidRPr="00ED7961" w:rsidTr="00ED7961">
        <w:trPr>
          <w:cnfStyle w:val="100000000000" w:firstRow="1" w:lastRow="0" w:firstColumn="0" w:lastColumn="0" w:oddVBand="0" w:evenVBand="0" w:oddHBand="0" w:evenHBand="0" w:firstRowFirstColumn="0" w:firstRowLastColumn="0" w:lastRowFirstColumn="0" w:lastRowLastColumn="0"/>
          <w:trHeight w:hRule="exact" w:val="5387"/>
        </w:trPr>
        <w:tc>
          <w:tcPr>
            <w:cnfStyle w:val="001000000100" w:firstRow="0" w:lastRow="0" w:firstColumn="1" w:lastColumn="0" w:oddVBand="0" w:evenVBand="0" w:oddHBand="0" w:evenHBand="0" w:firstRowFirstColumn="1" w:firstRowLastColumn="0" w:lastRowFirstColumn="0" w:lastRowLastColumn="0"/>
            <w:tcW w:w="2842" w:type="dxa"/>
            <w:shd w:val="clear" w:color="auto" w:fill="auto"/>
          </w:tcPr>
          <w:tbl>
            <w:tblPr>
              <w:tblW w:w="2419" w:type="dxa"/>
              <w:tblLook w:val="04A0" w:firstRow="1" w:lastRow="0" w:firstColumn="1" w:lastColumn="0" w:noHBand="0" w:noVBand="1"/>
            </w:tblPr>
            <w:tblGrid>
              <w:gridCol w:w="1645"/>
              <w:gridCol w:w="963"/>
            </w:tblGrid>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Commonwealth</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$billions</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0.6</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1.1</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1.7</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2.9</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2.9</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3.6</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4.8</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6.9</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5.9</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5.2</w:t>
                  </w:r>
                </w:p>
              </w:tc>
            </w:tr>
            <w:tr w:rsidR="00ED7961" w:rsidRPr="001E3F4A" w:rsidTr="001D45DA">
              <w:trPr>
                <w:trHeight w:val="300"/>
              </w:trPr>
              <w:tc>
                <w:tcPr>
                  <w:tcW w:w="1459"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-0.7</w:t>
                  </w:r>
                </w:p>
              </w:tc>
            </w:tr>
          </w:tbl>
          <w:p w:rsidR="00ED7961" w:rsidRPr="00ED7961" w:rsidRDefault="00ED7961" w:rsidP="001D45DA">
            <w:pPr>
              <w:tabs>
                <w:tab w:val="left" w:pos="2400"/>
              </w:tabs>
              <w:rPr>
                <w:b/>
              </w:rPr>
            </w:pPr>
          </w:p>
        </w:tc>
        <w:tc>
          <w:tcPr>
            <w:tcW w:w="2843" w:type="dxa"/>
            <w:shd w:val="clear" w:color="auto" w:fill="auto"/>
          </w:tcPr>
          <w:tbl>
            <w:tblPr>
              <w:tblW w:w="1920" w:type="dxa"/>
              <w:tblLook w:val="04A0" w:firstRow="1" w:lastRow="0" w:firstColumn="1" w:lastColumn="0" w:noHBand="0" w:noVBand="1"/>
            </w:tblPr>
            <w:tblGrid>
              <w:gridCol w:w="960"/>
              <w:gridCol w:w="963"/>
            </w:tblGrid>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 xml:space="preserve">State </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$billions</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2.4</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2.2</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2.7</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4.6</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6.5</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8.3</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10.9</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17.7</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17.4</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14.7</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11.0</w:t>
                  </w:r>
                </w:p>
              </w:tc>
            </w:tr>
          </w:tbl>
          <w:p w:rsidR="00ED7961" w:rsidRPr="00ED7961" w:rsidRDefault="00ED7961" w:rsidP="001D45DA">
            <w:pPr>
              <w:tabs>
                <w:tab w:val="left" w:pos="2400"/>
              </w:tabs>
              <w:ind w:left="0"/>
              <w:jc w:val="left"/>
              <w:cnfStyle w:val="100000000000" w:firstRow="1" w:lastRow="0" w:firstColumn="0" w:lastColumn="0" w:oddVBand="0" w:evenVBand="0" w:oddHBand="0" w:evenHBand="0" w:firstRowFirstColumn="0" w:firstRowLastColumn="0" w:lastRowFirstColumn="0" w:lastRowLastColumn="0"/>
              <w:rPr>
                <w:b/>
              </w:rPr>
            </w:pPr>
          </w:p>
        </w:tc>
        <w:tc>
          <w:tcPr>
            <w:tcW w:w="2843" w:type="dxa"/>
            <w:shd w:val="clear" w:color="auto" w:fill="auto"/>
          </w:tcPr>
          <w:tbl>
            <w:tblPr>
              <w:tblW w:w="1920" w:type="dxa"/>
              <w:tblLook w:val="04A0" w:firstRow="1" w:lastRow="0" w:firstColumn="1" w:lastColumn="0" w:noHBand="0" w:noVBand="1"/>
            </w:tblPr>
            <w:tblGrid>
              <w:gridCol w:w="960"/>
              <w:gridCol w:w="963"/>
            </w:tblGrid>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Local</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$billions</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1.2</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1.8</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2.4</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2.6</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3.5</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3.7</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5.1</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5.8</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4.6</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5.0</w:t>
                  </w:r>
                </w:p>
              </w:tc>
            </w:tr>
            <w:tr w:rsidR="00ED7961" w:rsidRPr="001E3F4A" w:rsidTr="001D45DA">
              <w:trPr>
                <w:trHeight w:val="300"/>
              </w:trPr>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rPr>
                      <w:rFonts w:ascii="Calibri" w:eastAsia="Times New Roman" w:hAnsi="Calibri" w:cs="Times New Roman"/>
                      <w:b/>
                      <w:bCs/>
                      <w:color w:val="FFFFFF" w:themeColor="background1"/>
                      <w:lang w:eastAsia="en-AU"/>
                    </w:rPr>
                  </w:pPr>
                  <w:r w:rsidRPr="001E3F4A">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ED7961" w:rsidRPr="001E3F4A" w:rsidRDefault="00ED7961" w:rsidP="001D45DA">
                  <w:pPr>
                    <w:spacing w:line="240" w:lineRule="auto"/>
                    <w:jc w:val="right"/>
                    <w:rPr>
                      <w:rFonts w:ascii="Calibri" w:eastAsia="Times New Roman" w:hAnsi="Calibri" w:cs="Times New Roman"/>
                      <w:color w:val="FFFFFF" w:themeColor="background1"/>
                      <w:lang w:eastAsia="en-AU"/>
                    </w:rPr>
                  </w:pPr>
                  <w:r w:rsidRPr="001E3F4A">
                    <w:rPr>
                      <w:rFonts w:ascii="Calibri" w:eastAsia="Times New Roman" w:hAnsi="Calibri" w:cs="Times New Roman"/>
                      <w:color w:val="FFFFFF" w:themeColor="background1"/>
                      <w:lang w:eastAsia="en-AU"/>
                    </w:rPr>
                    <w:t>5.3</w:t>
                  </w:r>
                </w:p>
              </w:tc>
            </w:tr>
          </w:tbl>
          <w:p w:rsidR="00ED7961" w:rsidRPr="00ED7961" w:rsidRDefault="00ED7961" w:rsidP="001D45DA">
            <w:pPr>
              <w:tabs>
                <w:tab w:val="left" w:pos="2400"/>
              </w:tabs>
              <w:ind w:left="0"/>
              <w:jc w:val="left"/>
              <w:cnfStyle w:val="100000000000" w:firstRow="1" w:lastRow="0" w:firstColumn="0" w:lastColumn="0" w:oddVBand="0" w:evenVBand="0" w:oddHBand="0" w:evenHBand="0" w:firstRowFirstColumn="0" w:firstRowLastColumn="0" w:lastRowFirstColumn="0" w:lastRowLastColumn="0"/>
              <w:rPr>
                <w:b/>
              </w:rPr>
            </w:pPr>
          </w:p>
        </w:tc>
      </w:tr>
    </w:tbl>
    <w:p w:rsidR="007757D9" w:rsidRDefault="007757D9" w:rsidP="007757D9">
      <w:pPr>
        <w:pStyle w:val="Source"/>
      </w:pPr>
      <w:r>
        <w:t>Source: ABS.</w:t>
      </w:r>
    </w:p>
    <w:p w:rsidR="007757D9" w:rsidRDefault="007757D9" w:rsidP="007757D9">
      <w:pPr>
        <w:pStyle w:val="Heading3"/>
      </w:pPr>
      <w:r w:rsidRPr="007757D9">
        <w:t>Commonwealth net capital investment</w:t>
      </w:r>
    </w:p>
    <w:p w:rsidR="00927977" w:rsidRDefault="00927977" w:rsidP="007757D9">
      <w:pPr>
        <w:pStyle w:val="BodyText"/>
      </w:pPr>
      <w:r w:rsidRPr="0037520E">
        <w:t>Apart from transfers to the states, Commonwealth net capital investment is relatively small and largely directed towards defence.</w:t>
      </w:r>
    </w:p>
    <w:p w:rsidR="007757D9" w:rsidRPr="00B84A8D" w:rsidRDefault="007757D9" w:rsidP="007757D9">
      <w:pPr>
        <w:pStyle w:val="BodyText"/>
      </w:pPr>
      <w:r w:rsidRPr="00B84A8D">
        <w:t xml:space="preserve">Commonwealth </w:t>
      </w:r>
      <w:r>
        <w:t>net</w:t>
      </w:r>
      <w:r w:rsidRPr="00B84A8D">
        <w:t xml:space="preserve"> capital investment totalled less than $1 billion in 2002</w:t>
      </w:r>
      <w:r>
        <w:t>–</w:t>
      </w:r>
      <w:r w:rsidRPr="00B84A8D">
        <w:t>03 and recorded a net reduction in 2012</w:t>
      </w:r>
      <w:r>
        <w:t>–</w:t>
      </w:r>
      <w:r w:rsidRPr="00B84A8D">
        <w:t>13</w:t>
      </w:r>
      <w:r w:rsidRPr="00927977">
        <w:t>.</w:t>
      </w:r>
      <w:r w:rsidRPr="00B84A8D">
        <w:t xml:space="preserve"> </w:t>
      </w:r>
      <w:r>
        <w:t xml:space="preserve"> </w:t>
      </w:r>
      <w:r w:rsidRPr="00B84A8D">
        <w:t>Over the deca</w:t>
      </w:r>
      <w:r>
        <w:t>de, Commonwealth net capital investment peaked at $</w:t>
      </w:r>
      <w:r w:rsidR="000325B2">
        <w:t>6.9</w:t>
      </w:r>
      <w:r>
        <w:t xml:space="preserve"> billion in 2009–</w:t>
      </w:r>
      <w:r w:rsidRPr="00B84A8D">
        <w:t xml:space="preserve">10 reflecting the purchase of specialist military equipment including Bridging Air Combat Super Hornets, the Air Warfare destroyer and Multi Role Helicopter.  The majority of </w:t>
      </w:r>
      <w:r>
        <w:t xml:space="preserve">Commonwealth net </w:t>
      </w:r>
      <w:r w:rsidRPr="00B84A8D">
        <w:t>capital investm</w:t>
      </w:r>
      <w:r>
        <w:t>ent over the decade was on</w:t>
      </w:r>
      <w:r w:rsidRPr="00B84A8D">
        <w:t xml:space="preserve"> defence with the net reduct</w:t>
      </w:r>
      <w:r>
        <w:t>ion in 2012–</w:t>
      </w:r>
      <w:r w:rsidRPr="00B84A8D">
        <w:t>13 resulting from the sale of spectrum licences that generated almost $1.5</w:t>
      </w:r>
      <w:r>
        <w:t> billion.</w:t>
      </w:r>
    </w:p>
    <w:p w:rsidR="007757D9" w:rsidRDefault="007757D9" w:rsidP="007757D9">
      <w:pPr>
        <w:pStyle w:val="Heading3"/>
      </w:pPr>
      <w:r>
        <w:lastRenderedPageBreak/>
        <w:t>State net capital investment</w:t>
      </w:r>
    </w:p>
    <w:p w:rsidR="007757D9" w:rsidRPr="0037520E" w:rsidRDefault="007757D9" w:rsidP="00940413">
      <w:pPr>
        <w:pStyle w:val="BodyText"/>
      </w:pPr>
      <w:r w:rsidRPr="0037520E">
        <w:t>States account for the large majority of net capital investment in Australia.  From 2002–03 to 2012–13, net capital investment by states grew by 13.</w:t>
      </w:r>
      <w:r w:rsidR="000325B2" w:rsidRPr="0037520E">
        <w:t xml:space="preserve">4 </w:t>
      </w:r>
      <w:r w:rsidRPr="0037520E">
        <w:t xml:space="preserve">per cent annually </w:t>
      </w:r>
      <w:r w:rsidR="00003783" w:rsidRPr="0037520E">
        <w:t xml:space="preserve">in real terms </w:t>
      </w:r>
      <w:r w:rsidRPr="0037520E">
        <w:t>increasing from $2.4 billion in 2002–03 to $11.</w:t>
      </w:r>
      <w:r w:rsidR="000325B2" w:rsidRPr="0037520E">
        <w:t>0</w:t>
      </w:r>
      <w:r w:rsidRPr="0037520E">
        <w:t xml:space="preserve"> billion in 2012–13 (</w:t>
      </w:r>
      <w:r w:rsidR="009810BC" w:rsidRPr="0037520E">
        <w:fldChar w:fldCharType="begin"/>
      </w:r>
      <w:r w:rsidR="009810BC" w:rsidRPr="0037520E">
        <w:instrText xml:space="preserve"> REF _Ref415145107 \h </w:instrText>
      </w:r>
      <w:r w:rsidR="00940413" w:rsidRPr="0037520E">
        <w:instrText xml:space="preserve"> \* MERGEFORMAT </w:instrText>
      </w:r>
      <w:r w:rsidR="009810BC" w:rsidRPr="0037520E">
        <w:fldChar w:fldCharType="separate"/>
      </w:r>
      <w:r w:rsidR="008B68F4" w:rsidRPr="007757D9">
        <w:t xml:space="preserve">Figure </w:t>
      </w:r>
      <w:r w:rsidR="008B68F4">
        <w:rPr>
          <w:noProof/>
        </w:rPr>
        <w:t>4</w:t>
      </w:r>
      <w:r w:rsidR="008B68F4">
        <w:rPr>
          <w:noProof/>
        </w:rPr>
        <w:noBreakHyphen/>
        <w:t>4</w:t>
      </w:r>
      <w:r w:rsidR="009810BC" w:rsidRPr="0037520E">
        <w:fldChar w:fldCharType="end"/>
      </w:r>
      <w:r w:rsidRPr="0037520E">
        <w:t>).</w:t>
      </w:r>
      <w:r w:rsidR="00003783" w:rsidRPr="0037520E">
        <w:t xml:space="preserve">  </w:t>
      </w:r>
      <w:r w:rsidR="00AF33A3" w:rsidRPr="0037520E">
        <w:t>State net capital investment peaked at $17.7 billion in 2009-10</w:t>
      </w:r>
      <w:r w:rsidR="00A10D72" w:rsidRPr="0037520E">
        <w:t>.</w:t>
      </w:r>
    </w:p>
    <w:p w:rsidR="007757D9" w:rsidRPr="00762E69" w:rsidRDefault="007757D9" w:rsidP="00940413">
      <w:pPr>
        <w:pStyle w:val="BodyText"/>
      </w:pPr>
      <w:r w:rsidRPr="0037520E">
        <w:t>By 2017–18 states are projecting net capital investment to fall to $8.</w:t>
      </w:r>
      <w:r w:rsidR="00D91607" w:rsidRPr="0037520E">
        <w:t>8</w:t>
      </w:r>
      <w:r w:rsidRPr="0037520E">
        <w:t xml:space="preserve"> billion, after strong historical growth in most jurisdictions (</w:t>
      </w:r>
      <w:r w:rsidR="009810BC" w:rsidRPr="0037520E">
        <w:rPr>
          <w:color w:val="000000" w:themeColor="text1"/>
        </w:rPr>
        <w:fldChar w:fldCharType="begin"/>
      </w:r>
      <w:r w:rsidR="009810BC" w:rsidRPr="0037520E">
        <w:rPr>
          <w:color w:val="000000" w:themeColor="text1"/>
        </w:rPr>
        <w:instrText xml:space="preserve"> REF _Ref415145107 \h </w:instrText>
      </w:r>
      <w:r w:rsidR="00940413" w:rsidRPr="0037520E">
        <w:rPr>
          <w:color w:val="000000" w:themeColor="text1"/>
        </w:rPr>
        <w:instrText xml:space="preserve"> \* MERGEFORMAT </w:instrText>
      </w:r>
      <w:r w:rsidR="009810BC" w:rsidRPr="0037520E">
        <w:rPr>
          <w:color w:val="000000" w:themeColor="text1"/>
        </w:rPr>
      </w:r>
      <w:r w:rsidR="009810BC" w:rsidRPr="0037520E">
        <w:rPr>
          <w:color w:val="000000" w:themeColor="text1"/>
        </w:rPr>
        <w:fldChar w:fldCharType="separate"/>
      </w:r>
      <w:r w:rsidR="008B68F4" w:rsidRPr="007757D9">
        <w:t xml:space="preserve">Figure </w:t>
      </w:r>
      <w:r w:rsidR="008B68F4">
        <w:rPr>
          <w:noProof/>
        </w:rPr>
        <w:t>4</w:t>
      </w:r>
      <w:r w:rsidR="008B68F4">
        <w:rPr>
          <w:noProof/>
        </w:rPr>
        <w:noBreakHyphen/>
        <w:t>4</w:t>
      </w:r>
      <w:r w:rsidR="009810BC" w:rsidRPr="0037520E">
        <w:rPr>
          <w:color w:val="000000" w:themeColor="text1"/>
        </w:rPr>
        <w:fldChar w:fldCharType="end"/>
      </w:r>
      <w:r w:rsidRPr="0037520E">
        <w:t>).  The increase in net capital investment in 2016–17 largely reflects the capitalisation of the finance lease for the new Royal Adelaide Hospital.</w:t>
      </w:r>
    </w:p>
    <w:p w:rsidR="007757D9" w:rsidRDefault="00DA5515" w:rsidP="007757D9">
      <w:pPr>
        <w:pStyle w:val="Caption"/>
        <w:spacing w:before="120"/>
      </w:pPr>
      <w:bookmarkStart w:id="244" w:name="_Ref415145107"/>
      <w:bookmarkStart w:id="245" w:name="_Toc415222971"/>
      <w:bookmarkStart w:id="246" w:name="_Toc418073832"/>
      <w:r>
        <w:rPr>
          <w:noProof/>
          <w:lang w:eastAsia="en-AU"/>
        </w:rPr>
        <w:drawing>
          <wp:anchor distT="0" distB="0" distL="114300" distR="114300" simplePos="0" relativeHeight="251685888" behindDoc="0" locked="0" layoutInCell="1" allowOverlap="1" wp14:anchorId="71FF1858" wp14:editId="6255D390">
            <wp:simplePos x="0" y="0"/>
            <wp:positionH relativeFrom="column">
              <wp:posOffset>-19050</wp:posOffset>
            </wp:positionH>
            <wp:positionV relativeFrom="paragraph">
              <wp:posOffset>233045</wp:posOffset>
            </wp:positionV>
            <wp:extent cx="5279390" cy="348742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9390" cy="3487420"/>
                    </a:xfrm>
                    <a:prstGeom prst="rect">
                      <a:avLst/>
                    </a:prstGeom>
                    <a:noFill/>
                  </pic:spPr>
                </pic:pic>
              </a:graphicData>
            </a:graphic>
            <wp14:sizeRelH relativeFrom="page">
              <wp14:pctWidth>0</wp14:pctWidth>
            </wp14:sizeRelH>
            <wp14:sizeRelV relativeFrom="page">
              <wp14:pctHeight>0</wp14:pctHeight>
            </wp14:sizeRelV>
          </wp:anchor>
        </w:drawing>
      </w:r>
      <w:r w:rsidR="007757D9" w:rsidRPr="007757D9">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4</w:t>
      </w:r>
      <w:r w:rsidR="003A23CE">
        <w:rPr>
          <w:noProof/>
        </w:rPr>
        <w:fldChar w:fldCharType="end"/>
      </w:r>
      <w:bookmarkEnd w:id="244"/>
      <w:r w:rsidR="007757D9" w:rsidRPr="007757D9">
        <w:t xml:space="preserve">: </w:t>
      </w:r>
      <w:r w:rsidR="007757D9" w:rsidRPr="00444190">
        <w:t>State</w:t>
      </w:r>
      <w:r w:rsidR="007757D9">
        <w:t xml:space="preserve"> </w:t>
      </w:r>
      <w:r w:rsidR="007757D9" w:rsidRPr="00444190">
        <w:t>net capital investment</w:t>
      </w:r>
      <w:r w:rsidR="007757D9" w:rsidRPr="00B86531">
        <w:rPr>
          <w:rStyle w:val="FootnoteReference"/>
        </w:rPr>
        <w:footnoteReference w:id="38"/>
      </w:r>
      <w:bookmarkEnd w:id="245"/>
      <w:bookmarkEnd w:id="246"/>
    </w:p>
    <w:tbl>
      <w:tblPr>
        <w:tblW w:w="7961" w:type="dxa"/>
        <w:tblInd w:w="93" w:type="dxa"/>
        <w:tblLook w:val="04A0" w:firstRow="1" w:lastRow="0" w:firstColumn="1" w:lastColumn="0" w:noHBand="0" w:noVBand="1"/>
      </w:tblPr>
      <w:tblGrid>
        <w:gridCol w:w="4459"/>
        <w:gridCol w:w="3502"/>
      </w:tblGrid>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State net capital investment</w:t>
            </w:r>
          </w:p>
        </w:tc>
        <w:tc>
          <w:tcPr>
            <w:tcW w:w="3502" w:type="dxa"/>
            <w:shd w:val="clear" w:color="auto" w:fill="auto"/>
            <w:noWrap/>
            <w:vAlign w:val="bottom"/>
            <w:hideMark/>
          </w:tcPr>
          <w:p w:rsidR="00DA5515" w:rsidRPr="00DA5515" w:rsidRDefault="00DA5515" w:rsidP="00DA5515">
            <w:pPr>
              <w:spacing w:line="240" w:lineRule="auto"/>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$billions</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2002-03</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2</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2003-04</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2</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2004-05</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3</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2005-06</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5</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2006-07</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7</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2007-08</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8</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2008-09</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11</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2009-10</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18</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2010-11</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17</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2011-12</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15</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2012-13</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11</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2013-14</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9</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2014-15</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10</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2015-16</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9</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2016-17</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13</w:t>
            </w:r>
          </w:p>
        </w:tc>
      </w:tr>
      <w:tr w:rsidR="00DA5515" w:rsidRPr="00DA5515" w:rsidTr="00DA5515">
        <w:trPr>
          <w:trHeight w:val="318"/>
        </w:trPr>
        <w:tc>
          <w:tcPr>
            <w:tcW w:w="4459" w:type="dxa"/>
            <w:shd w:val="clear" w:color="auto" w:fill="auto"/>
            <w:noWrap/>
            <w:vAlign w:val="bottom"/>
            <w:hideMark/>
          </w:tcPr>
          <w:p w:rsidR="00DA5515" w:rsidRPr="00DA5515" w:rsidRDefault="00DA5515" w:rsidP="00DA5515">
            <w:pPr>
              <w:spacing w:line="240" w:lineRule="auto"/>
              <w:jc w:val="center"/>
              <w:rPr>
                <w:rFonts w:ascii="Calibri" w:eastAsia="Times New Roman" w:hAnsi="Calibri" w:cs="Times New Roman"/>
                <w:b/>
                <w:bCs/>
                <w:color w:val="FFFFFF" w:themeColor="background1"/>
                <w:lang w:eastAsia="en-AU"/>
              </w:rPr>
            </w:pPr>
            <w:r w:rsidRPr="00DA5515">
              <w:rPr>
                <w:rFonts w:ascii="Calibri" w:eastAsia="Times New Roman" w:hAnsi="Calibri" w:cs="Times New Roman"/>
                <w:b/>
                <w:bCs/>
                <w:color w:val="FFFFFF" w:themeColor="background1"/>
                <w:lang w:eastAsia="en-AU"/>
              </w:rPr>
              <w:t>2017-18</w:t>
            </w:r>
          </w:p>
        </w:tc>
        <w:tc>
          <w:tcPr>
            <w:tcW w:w="3502" w:type="dxa"/>
            <w:shd w:val="clear" w:color="auto" w:fill="auto"/>
            <w:noWrap/>
            <w:vAlign w:val="bottom"/>
            <w:hideMark/>
          </w:tcPr>
          <w:p w:rsidR="00DA5515" w:rsidRPr="00DA5515" w:rsidRDefault="00DA5515" w:rsidP="00DA5515">
            <w:pPr>
              <w:spacing w:line="240" w:lineRule="auto"/>
              <w:jc w:val="right"/>
              <w:rPr>
                <w:rFonts w:ascii="Calibri" w:eastAsia="Times New Roman" w:hAnsi="Calibri" w:cs="Times New Roman"/>
                <w:color w:val="FFFFFF" w:themeColor="background1"/>
                <w:lang w:eastAsia="en-AU"/>
              </w:rPr>
            </w:pPr>
            <w:r w:rsidRPr="00DA5515">
              <w:rPr>
                <w:rFonts w:ascii="Calibri" w:eastAsia="Times New Roman" w:hAnsi="Calibri" w:cs="Times New Roman"/>
                <w:color w:val="FFFFFF" w:themeColor="background1"/>
                <w:lang w:eastAsia="en-AU"/>
              </w:rPr>
              <w:t>9</w:t>
            </w:r>
          </w:p>
        </w:tc>
      </w:tr>
    </w:tbl>
    <w:p w:rsidR="007757D9" w:rsidRDefault="007757D9" w:rsidP="007757D9">
      <w:pPr>
        <w:pStyle w:val="Source"/>
        <w:spacing w:before="0"/>
      </w:pPr>
      <w:r>
        <w:t>Source: ABS and s</w:t>
      </w:r>
      <w:r w:rsidRPr="006979D6">
        <w:t>tate government financial statements and budget papers.</w:t>
      </w:r>
    </w:p>
    <w:p w:rsidR="007757D9" w:rsidRDefault="00012EC0" w:rsidP="00012EC0">
      <w:pPr>
        <w:pStyle w:val="Heading3"/>
      </w:pPr>
      <w:r w:rsidRPr="00012EC0">
        <w:t>Local government net capital investment</w:t>
      </w:r>
    </w:p>
    <w:p w:rsidR="00012EC0" w:rsidRPr="00B12841" w:rsidRDefault="00012EC0" w:rsidP="00B12841">
      <w:pPr>
        <w:pStyle w:val="BodyText"/>
      </w:pPr>
      <w:r w:rsidRPr="00B12841">
        <w:t>Local government accounted for an average of 2</w:t>
      </w:r>
      <w:r w:rsidR="00B856E0" w:rsidRPr="00B12841">
        <w:t>6</w:t>
      </w:r>
      <w:r w:rsidRPr="00B12841">
        <w:t xml:space="preserve"> per cent of total general government net capital investment increasing from $1.2 billion in 2002–03 to $5.3 billion in 2012–13, growing by 12.8 per cent annually</w:t>
      </w:r>
      <w:r w:rsidR="00003783" w:rsidRPr="00B12841">
        <w:t xml:space="preserve"> in real terms</w:t>
      </w:r>
      <w:r w:rsidRPr="00B12841">
        <w:t>.</w:t>
      </w:r>
    </w:p>
    <w:p w:rsidR="00012EC0" w:rsidRPr="00B84A8D" w:rsidRDefault="00012EC0" w:rsidP="00012EC0">
      <w:pPr>
        <w:pStyle w:val="BodyText"/>
      </w:pPr>
      <w:r>
        <w:t>Local government n</w:t>
      </w:r>
      <w:r w:rsidRPr="004F5733">
        <w:t>et capital investment peak</w:t>
      </w:r>
      <w:r>
        <w:t>ed at $5.8 billion in 2009–</w:t>
      </w:r>
      <w:r w:rsidRPr="004F5733">
        <w:t>10</w:t>
      </w:r>
      <w:r>
        <w:t>.  H</w:t>
      </w:r>
      <w:r w:rsidRPr="004F5733">
        <w:t xml:space="preserve">igh levels of net capital investment over the latter part of the decade reflect natural disaster recovery works.  Nearly all local government </w:t>
      </w:r>
      <w:r>
        <w:t xml:space="preserve">net capital investment </w:t>
      </w:r>
      <w:r w:rsidRPr="00B84A8D">
        <w:t>relates to local roads</w:t>
      </w:r>
      <w:r>
        <w:t>, bridges,</w:t>
      </w:r>
      <w:r w:rsidRPr="00B84A8D">
        <w:t xml:space="preserve"> transport, waste and water management, parks, and other municipal </w:t>
      </w:r>
      <w:r>
        <w:t>services.</w:t>
      </w:r>
    </w:p>
    <w:p w:rsidR="00012EC0" w:rsidRDefault="00012EC0" w:rsidP="00012EC0">
      <w:pPr>
        <w:pStyle w:val="Heading2"/>
      </w:pPr>
      <w:r w:rsidRPr="00012EC0">
        <w:lastRenderedPageBreak/>
        <w:t>Net capital investment by jurisdiction</w:t>
      </w:r>
    </w:p>
    <w:p w:rsidR="00012EC0" w:rsidRPr="00B84A8D" w:rsidRDefault="00012EC0" w:rsidP="00012EC0">
      <w:pPr>
        <w:pStyle w:val="BodyText"/>
      </w:pPr>
      <w:r>
        <w:t>The profile of net capital investment has varied across governments</w:t>
      </w:r>
      <w:r w:rsidRPr="003109DB">
        <w:t xml:space="preserve"> </w:t>
      </w:r>
      <w:r>
        <w:t>over the decade to</w:t>
      </w:r>
      <w:r>
        <w:br/>
        <w:t>2012–13</w:t>
      </w:r>
      <w:r w:rsidRPr="00AC4F53">
        <w:t xml:space="preserve">.  </w:t>
      </w:r>
      <w:r w:rsidR="00B86531" w:rsidRPr="00AC4F53">
        <w:fldChar w:fldCharType="begin"/>
      </w:r>
      <w:r w:rsidR="00B86531" w:rsidRPr="00AC4F53">
        <w:instrText xml:space="preserve"> REF _Ref417653583 \h  \* MERGEFORMAT </w:instrText>
      </w:r>
      <w:r w:rsidR="00B86531" w:rsidRPr="00AC4F53">
        <w:fldChar w:fldCharType="separate"/>
      </w:r>
      <w:r w:rsidR="008B68F4" w:rsidRPr="00416B00">
        <w:t xml:space="preserve">Figure </w:t>
      </w:r>
      <w:r w:rsidR="008B68F4">
        <w:rPr>
          <w:noProof/>
        </w:rPr>
        <w:t>4</w:t>
      </w:r>
      <w:r w:rsidR="008B68F4">
        <w:rPr>
          <w:noProof/>
        </w:rPr>
        <w:noBreakHyphen/>
        <w:t>5</w:t>
      </w:r>
      <w:r w:rsidR="00B86531" w:rsidRPr="00AC4F53">
        <w:fldChar w:fldCharType="end"/>
      </w:r>
      <w:r w:rsidR="009767D5">
        <w:t xml:space="preserve"> </w:t>
      </w:r>
      <w:r w:rsidRPr="00B84A8D">
        <w:t xml:space="preserve">shows </w:t>
      </w:r>
      <w:r>
        <w:t>net capital investment</w:t>
      </w:r>
      <w:r w:rsidRPr="00B84A8D">
        <w:t xml:space="preserve"> </w:t>
      </w:r>
      <w:r>
        <w:t xml:space="preserve">for the Commonwealth and states </w:t>
      </w:r>
      <w:r w:rsidR="00D7299C">
        <w:t xml:space="preserve">(excluding local government) </w:t>
      </w:r>
      <w:r>
        <w:t>as a percentage of nominal gross state product (or nominal GDP for the Commonwealth).</w:t>
      </w:r>
    </w:p>
    <w:p w:rsidR="00416B00" w:rsidRPr="00416B00" w:rsidRDefault="00CB0A40" w:rsidP="00416B00">
      <w:pPr>
        <w:pStyle w:val="Caption"/>
      </w:pPr>
      <w:bookmarkStart w:id="247" w:name="_Ref417653583"/>
      <w:bookmarkStart w:id="248" w:name="_Toc418073833"/>
      <w:r>
        <w:rPr>
          <w:noProof/>
          <w:lang w:eastAsia="en-AU"/>
        </w:rPr>
        <w:drawing>
          <wp:anchor distT="0" distB="0" distL="114300" distR="114300" simplePos="0" relativeHeight="251686912" behindDoc="0" locked="0" layoutInCell="1" allowOverlap="1" wp14:anchorId="11A23539" wp14:editId="16E0937E">
            <wp:simplePos x="0" y="0"/>
            <wp:positionH relativeFrom="column">
              <wp:posOffset>-19050</wp:posOffset>
            </wp:positionH>
            <wp:positionV relativeFrom="paragraph">
              <wp:posOffset>353060</wp:posOffset>
            </wp:positionV>
            <wp:extent cx="5356225" cy="4926330"/>
            <wp:effectExtent l="0" t="0" r="0" b="762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6225" cy="4926330"/>
                    </a:xfrm>
                    <a:prstGeom prst="rect">
                      <a:avLst/>
                    </a:prstGeom>
                    <a:noFill/>
                  </pic:spPr>
                </pic:pic>
              </a:graphicData>
            </a:graphic>
            <wp14:sizeRelH relativeFrom="page">
              <wp14:pctWidth>0</wp14:pctWidth>
            </wp14:sizeRelH>
            <wp14:sizeRelV relativeFrom="page">
              <wp14:pctHeight>0</wp14:pctHeight>
            </wp14:sizeRelV>
          </wp:anchor>
        </w:drawing>
      </w:r>
      <w:r w:rsidR="00416B00" w:rsidRPr="00416B00">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5</w:t>
      </w:r>
      <w:r w:rsidR="003A23CE">
        <w:rPr>
          <w:noProof/>
        </w:rPr>
        <w:fldChar w:fldCharType="end"/>
      </w:r>
      <w:bookmarkEnd w:id="247"/>
      <w:r w:rsidR="00416B00" w:rsidRPr="00416B00">
        <w:t xml:space="preserve">: </w:t>
      </w:r>
      <w:r w:rsidR="00416B00">
        <w:t>Net capital investment across jurisdictions</w:t>
      </w:r>
      <w:bookmarkEnd w:id="248"/>
    </w:p>
    <w:tbl>
      <w:tblPr>
        <w:tblStyle w:val="TableGrid"/>
        <w:tblW w:w="0" w:type="auto"/>
        <w:tblLook w:val="04A0" w:firstRow="1" w:lastRow="0" w:firstColumn="1" w:lastColumn="0" w:noHBand="0" w:noVBand="1"/>
      </w:tblPr>
      <w:tblGrid>
        <w:gridCol w:w="2078"/>
        <w:gridCol w:w="2078"/>
        <w:gridCol w:w="2078"/>
        <w:gridCol w:w="2078"/>
      </w:tblGrid>
      <w:tr w:rsidR="00CB0A40" w:rsidRPr="00CB0A40" w:rsidTr="00CB0A40">
        <w:trPr>
          <w:cnfStyle w:val="100000000000" w:firstRow="1" w:lastRow="0" w:firstColumn="0" w:lastColumn="0" w:oddVBand="0" w:evenVBand="0" w:oddHBand="0" w:evenHBand="0" w:firstRowFirstColumn="0" w:firstRowLastColumn="0" w:lastRowFirstColumn="0" w:lastRowLastColumn="0"/>
          <w:trHeight w:hRule="exact" w:val="3799"/>
        </w:trPr>
        <w:tc>
          <w:tcPr>
            <w:cnfStyle w:val="001000000100" w:firstRow="0" w:lastRow="0" w:firstColumn="1" w:lastColumn="0" w:oddVBand="0" w:evenVBand="0" w:oddHBand="0" w:evenHBand="0" w:firstRowFirstColumn="1" w:firstRowLastColumn="0" w:lastRowFirstColumn="0" w:lastRowLastColumn="0"/>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proofErr w:type="spellStart"/>
                  <w:r w:rsidRPr="00CB0A40">
                    <w:rPr>
                      <w:rFonts w:ascii="Calibri" w:eastAsia="Times New Roman" w:hAnsi="Calibri" w:cs="Times New Roman"/>
                      <w:color w:val="FFFFFF" w:themeColor="background1"/>
                      <w:sz w:val="12"/>
                      <w:szCs w:val="12"/>
                      <w:lang w:eastAsia="en-AU"/>
                    </w:rPr>
                    <w:t>Cth</w:t>
                  </w:r>
                  <w:proofErr w:type="spellEnd"/>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0.0</w:t>
                  </w:r>
                </w:p>
              </w:tc>
            </w:tr>
          </w:tbl>
          <w:p w:rsidR="001D45DA" w:rsidRPr="00CB0A40" w:rsidRDefault="001D45DA" w:rsidP="00012EC0">
            <w:pPr>
              <w:pStyle w:val="BodyText"/>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Vic</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0.7</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bl>
          <w:p w:rsidR="001D45DA" w:rsidRPr="00CB0A40" w:rsidRDefault="001D45DA" w:rsidP="001D45DA">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Qld</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1.0</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1.7</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2.6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2.1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1.2</w:t>
                  </w:r>
                </w:p>
              </w:tc>
            </w:tr>
          </w:tbl>
          <w:p w:rsidR="001D45DA" w:rsidRPr="00CB0A40" w:rsidRDefault="001D45DA" w:rsidP="001D45DA">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WA</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0.7</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1.0</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bl>
          <w:p w:rsidR="001D45DA" w:rsidRPr="00CB0A40" w:rsidRDefault="001D45DA" w:rsidP="001D45DA">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r>
      <w:tr w:rsidR="00CB0A40" w:rsidRPr="00CB0A40" w:rsidTr="00CB0A40">
        <w:trPr>
          <w:cnfStyle w:val="000000100000" w:firstRow="0" w:lastRow="0" w:firstColumn="0" w:lastColumn="0" w:oddVBand="0" w:evenVBand="0" w:oddHBand="1" w:evenHBand="0" w:firstRowFirstColumn="0" w:firstRowLastColumn="0" w:lastRowFirstColumn="0" w:lastRowLastColumn="0"/>
          <w:trHeight w:hRule="exact" w:val="3799"/>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NT</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3.6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4.3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3.6</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1.1</w:t>
                  </w:r>
                </w:p>
              </w:tc>
            </w:tr>
          </w:tbl>
          <w:p w:rsidR="001D45DA" w:rsidRPr="00CB0A40" w:rsidRDefault="001D45DA" w:rsidP="00012EC0">
            <w:pPr>
              <w:pStyle w:val="BodyText"/>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proofErr w:type="spellStart"/>
                  <w:r w:rsidRPr="00CB0A40">
                    <w:rPr>
                      <w:rFonts w:ascii="Calibri" w:eastAsia="Times New Roman" w:hAnsi="Calibri" w:cs="Times New Roman"/>
                      <w:color w:val="FFFFFF" w:themeColor="background1"/>
                      <w:sz w:val="12"/>
                      <w:szCs w:val="12"/>
                      <w:lang w:eastAsia="en-AU"/>
                    </w:rPr>
                    <w:t>Tas</w:t>
                  </w:r>
                  <w:proofErr w:type="spellEnd"/>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1.7</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bl>
          <w:p w:rsidR="001D45DA" w:rsidRPr="00CB0A40" w:rsidRDefault="001D45DA" w:rsidP="00012EC0">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ACT</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0.4</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1.0</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1.2</w:t>
                  </w:r>
                </w:p>
              </w:tc>
            </w:tr>
          </w:tbl>
          <w:p w:rsidR="001D45DA" w:rsidRPr="00CB0A40" w:rsidRDefault="001D45DA" w:rsidP="00012EC0">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SA</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0.2</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0.3</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0.8</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1.5</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0.9</w:t>
                  </w:r>
                </w:p>
              </w:tc>
            </w:tr>
            <w:tr w:rsidR="001D45DA" w:rsidRPr="00CB0A40" w:rsidTr="001D45DA">
              <w:trPr>
                <w:trHeight w:val="300"/>
              </w:trPr>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rPr>
                      <w:rFonts w:ascii="Calibri" w:eastAsia="Times New Roman" w:hAnsi="Calibri" w:cs="Times New Roman"/>
                      <w:b/>
                      <w:bCs/>
                      <w:color w:val="FFFFFF" w:themeColor="background1"/>
                      <w:sz w:val="12"/>
                      <w:szCs w:val="12"/>
                      <w:lang w:eastAsia="en-AU"/>
                    </w:rPr>
                  </w:pPr>
                  <w:r w:rsidRPr="00CB0A40">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1D45DA" w:rsidRPr="00CB0A40" w:rsidRDefault="001D45DA" w:rsidP="001D45DA">
                  <w:pPr>
                    <w:spacing w:line="240" w:lineRule="auto"/>
                    <w:jc w:val="right"/>
                    <w:rPr>
                      <w:rFonts w:ascii="Calibri" w:eastAsia="Times New Roman" w:hAnsi="Calibri" w:cs="Times New Roman"/>
                      <w:color w:val="FFFFFF" w:themeColor="background1"/>
                      <w:sz w:val="12"/>
                      <w:szCs w:val="12"/>
                      <w:lang w:eastAsia="en-AU"/>
                    </w:rPr>
                  </w:pPr>
                  <w:r w:rsidRPr="00CB0A40">
                    <w:rPr>
                      <w:rFonts w:ascii="Calibri" w:eastAsia="Times New Roman" w:hAnsi="Calibri" w:cs="Times New Roman"/>
                      <w:color w:val="FFFFFF" w:themeColor="background1"/>
                      <w:sz w:val="12"/>
                      <w:szCs w:val="12"/>
                      <w:lang w:eastAsia="en-AU"/>
                    </w:rPr>
                    <w:t>0.1</w:t>
                  </w:r>
                </w:p>
              </w:tc>
            </w:tr>
          </w:tbl>
          <w:p w:rsidR="001D45DA" w:rsidRPr="00CB0A40" w:rsidRDefault="001D45DA" w:rsidP="00012EC0">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r>
    </w:tbl>
    <w:p w:rsidR="00012EC0" w:rsidRDefault="00012EC0" w:rsidP="002003A9">
      <w:pPr>
        <w:pStyle w:val="Source"/>
        <w:spacing w:before="0"/>
      </w:pPr>
      <w:r>
        <w:t>Source: ABS.</w:t>
      </w:r>
    </w:p>
    <w:p w:rsidR="002003A9" w:rsidRDefault="002003A9" w:rsidP="00940413">
      <w:pPr>
        <w:pStyle w:val="BodyText17ptAbove"/>
      </w:pPr>
      <w:r>
        <w:t xml:space="preserve">The higher level net capital investment by the Northern Territory partly reflects the cost of delivering infrastructure with the peak in 2010–11 driven by </w:t>
      </w:r>
      <w:r w:rsidR="00003783">
        <w:t xml:space="preserve">the fiscal </w:t>
      </w:r>
      <w:r>
        <w:t xml:space="preserve">stimulus including significant grants for </w:t>
      </w:r>
      <w:r w:rsidRPr="004F5733">
        <w:t>capital purposes from the Commonwealth.  As part of the distribution of GST to states,</w:t>
      </w:r>
      <w:r>
        <w:t xml:space="preserve"> adjustments are made to account for the higher cost </w:t>
      </w:r>
      <w:r w:rsidR="00003783">
        <w:t xml:space="preserve">of </w:t>
      </w:r>
      <w:r>
        <w:t>infrastructure in the Northern Territory.</w:t>
      </w:r>
    </w:p>
    <w:p w:rsidR="002003A9" w:rsidRDefault="002003A9" w:rsidP="002003A9">
      <w:pPr>
        <w:pStyle w:val="BodyText"/>
      </w:pPr>
      <w:r w:rsidRPr="0037520E">
        <w:t xml:space="preserve">The negative results recorded in the Australian Capital Territory </w:t>
      </w:r>
      <w:r w:rsidR="00E400D2" w:rsidRPr="0037520E">
        <w:t>for net capital investment early in</w:t>
      </w:r>
      <w:r w:rsidRPr="0037520E">
        <w:t xml:space="preserve"> the decade were largely due to the sale of land.  Negative results in Tasmania over the decade largely reflect capital investment not keeping pace with depreciation</w:t>
      </w:r>
      <w:r w:rsidR="00D65559" w:rsidRPr="0037520E">
        <w:t>.</w:t>
      </w:r>
    </w:p>
    <w:p w:rsidR="002003A9" w:rsidRDefault="002003A9" w:rsidP="002003A9">
      <w:pPr>
        <w:pStyle w:val="BodyText"/>
      </w:pPr>
      <w:r>
        <w:lastRenderedPageBreak/>
        <w:t>Queensland,</w:t>
      </w:r>
      <w:r w:rsidRPr="00444190">
        <w:t xml:space="preserve"> Western Australia</w:t>
      </w:r>
      <w:r>
        <w:t>,</w:t>
      </w:r>
      <w:r w:rsidRPr="00444190">
        <w:t xml:space="preserve"> </w:t>
      </w:r>
      <w:r>
        <w:t>Victoria and New South Wales</w:t>
      </w:r>
      <w:r w:rsidRPr="00444190">
        <w:t xml:space="preserve"> accounted for </w:t>
      </w:r>
      <w:r>
        <w:t>71 per cent</w:t>
      </w:r>
      <w:r w:rsidRPr="00444190">
        <w:t xml:space="preserve"> of total growth in net capital investment over the decade to 2012</w:t>
      </w:r>
      <w:r>
        <w:t>–</w:t>
      </w:r>
      <w:r w:rsidRPr="00444190">
        <w:t xml:space="preserve">13. </w:t>
      </w:r>
      <w:r>
        <w:t xml:space="preserve"> </w:t>
      </w:r>
      <w:r w:rsidRPr="00444190">
        <w:t xml:space="preserve">Trends in these states are discussed </w:t>
      </w:r>
      <w:r w:rsidR="00746570">
        <w:t>below</w:t>
      </w:r>
      <w:r>
        <w:t>.</w:t>
      </w:r>
    </w:p>
    <w:p w:rsidR="00012EC0" w:rsidRDefault="002003A9" w:rsidP="002003A9">
      <w:pPr>
        <w:pStyle w:val="Heading3"/>
      </w:pPr>
      <w:r w:rsidRPr="002003A9">
        <w:t>Queensland</w:t>
      </w:r>
    </w:p>
    <w:p w:rsidR="002003A9" w:rsidRPr="00CF08C5" w:rsidRDefault="002003A9" w:rsidP="002003A9">
      <w:pPr>
        <w:pStyle w:val="BodyText"/>
      </w:pPr>
      <w:r>
        <w:t xml:space="preserve">Queensland </w:t>
      </w:r>
      <w:r w:rsidRPr="00CF08C5">
        <w:t>was the largest contributor to grow</w:t>
      </w:r>
      <w:r>
        <w:t xml:space="preserve">th in </w:t>
      </w:r>
      <w:r w:rsidRPr="00CF08C5">
        <w:t>n</w:t>
      </w:r>
      <w:r>
        <w:t>et capital investment from 2002–</w:t>
      </w:r>
      <w:r w:rsidRPr="00CF08C5">
        <w:t>03 to 2012</w:t>
      </w:r>
      <w:r>
        <w:t>–</w:t>
      </w:r>
      <w:r w:rsidRPr="00CF08C5">
        <w:t xml:space="preserve">13, accounting </w:t>
      </w:r>
      <w:r>
        <w:t>for 31 per cent of total growth</w:t>
      </w:r>
      <w:r w:rsidRPr="00CF08C5">
        <w:t>.  Over the period, net capital inves</w:t>
      </w:r>
      <w:r>
        <w:t xml:space="preserve">tment in Queensland grew by </w:t>
      </w:r>
      <w:r w:rsidR="00986F5D">
        <w:t>32.3</w:t>
      </w:r>
      <w:r w:rsidRPr="00CF08C5">
        <w:t xml:space="preserve"> per cent annually</w:t>
      </w:r>
      <w:r>
        <w:t xml:space="preserve"> in real terms.</w:t>
      </w:r>
    </w:p>
    <w:p w:rsidR="002003A9" w:rsidRPr="00B84A8D" w:rsidRDefault="002003A9" w:rsidP="002003A9">
      <w:pPr>
        <w:pStyle w:val="BodyText"/>
      </w:pPr>
      <w:r>
        <w:t>N</w:t>
      </w:r>
      <w:r w:rsidRPr="00CF146C">
        <w:t xml:space="preserve">et capital investment ramped up in Queensland </w:t>
      </w:r>
      <w:r>
        <w:t>over the first half of the decade to peak at $6.5 billion in 2009–</w:t>
      </w:r>
      <w:r w:rsidRPr="00CF146C">
        <w:t xml:space="preserve">10. </w:t>
      </w:r>
      <w:r>
        <w:t xml:space="preserve"> </w:t>
      </w:r>
      <w:r w:rsidRPr="00CF146C">
        <w:t>This peak in investment was driven by state and Commonwealth fiscal stimulus and significant underlying growth in transport and health infrastructure investment</w:t>
      </w:r>
      <w:r w:rsidRPr="00EB6C74">
        <w:t xml:space="preserve">. </w:t>
      </w:r>
      <w:r w:rsidRPr="00662937">
        <w:t xml:space="preserve"> Over the decade, transport infrastructure investment grew by 16</w:t>
      </w:r>
      <w:r w:rsidR="00662937">
        <w:t>.2</w:t>
      </w:r>
      <w:r w:rsidRPr="00662937">
        <w:t xml:space="preserve"> per cent annually </w:t>
      </w:r>
      <w:r w:rsidR="00003783">
        <w:t xml:space="preserve">in real terms </w:t>
      </w:r>
      <w:r w:rsidRPr="00662937">
        <w:t xml:space="preserve">rising from $0.7 billion in 2002–03 to $4.2 billion in 2012–13, while health </w:t>
      </w:r>
      <w:r w:rsidR="00003783">
        <w:t xml:space="preserve">infrastructure investment </w:t>
      </w:r>
      <w:r w:rsidRPr="00662937">
        <w:t>grew by 16</w:t>
      </w:r>
      <w:r w:rsidR="00662937">
        <w:t>.7</w:t>
      </w:r>
      <w:r w:rsidRPr="00662937">
        <w:t xml:space="preserve"> per cent annually </w:t>
      </w:r>
      <w:r w:rsidR="00003783">
        <w:t xml:space="preserve">in real terms </w:t>
      </w:r>
      <w:r w:rsidRPr="00662937">
        <w:t>rising from $0.3 billion in 2002–</w:t>
      </w:r>
      <w:r w:rsidRPr="003155EE">
        <w:t>03 to $1.5 billion in 2012–13.</w:t>
      </w:r>
    </w:p>
    <w:p w:rsidR="002003A9" w:rsidRDefault="002003A9" w:rsidP="002003A9">
      <w:pPr>
        <w:pStyle w:val="Heading3"/>
      </w:pPr>
      <w:r w:rsidRPr="002003A9">
        <w:t>Western Australia</w:t>
      </w:r>
    </w:p>
    <w:p w:rsidR="002003A9" w:rsidRDefault="002003A9" w:rsidP="002003A9">
      <w:pPr>
        <w:pStyle w:val="BodyText"/>
      </w:pPr>
      <w:r>
        <w:t>Western Australia accounted for 19 per cent of total growth in net capital investment from 2002–03 to 2012–13.  Over the period, net capital investment by the West</w:t>
      </w:r>
      <w:r w:rsidR="00EB6C74">
        <w:t>ern</w:t>
      </w:r>
      <w:r>
        <w:t xml:space="preserve"> Australian government grew by 29.3 per cent annually</w:t>
      </w:r>
      <w:r w:rsidR="00FB23FE">
        <w:t xml:space="preserve"> in real terms</w:t>
      </w:r>
      <w:r>
        <w:t>.</w:t>
      </w:r>
    </w:p>
    <w:p w:rsidR="002003A9" w:rsidRDefault="002003A9" w:rsidP="002003A9">
      <w:pPr>
        <w:pStyle w:val="BodyText"/>
      </w:pPr>
      <w:r>
        <w:t>West</w:t>
      </w:r>
      <w:r w:rsidR="00EB6C74">
        <w:t>ern</w:t>
      </w:r>
      <w:r>
        <w:t xml:space="preserve"> Australian net capital investment increased from $123 million in 2002–03 to peak at $2.2 billion in 2011–12 before falling slightly to $2.1 billion in 2012–13.  Over the decade, growth was largely attributable to </w:t>
      </w:r>
      <w:r w:rsidR="00FB23FE">
        <w:t>investment in</w:t>
      </w:r>
      <w:r>
        <w:t xml:space="preserve"> hospitals, road transport, and schools.  Western Australia was the only state with a higher share of health infrastructure investment over the past decade than transport growing by </w:t>
      </w:r>
      <w:r w:rsidRPr="003155EE">
        <w:t>21.9 per cent annually</w:t>
      </w:r>
      <w:r w:rsidR="00FB23FE">
        <w:t xml:space="preserve"> in real terms</w:t>
      </w:r>
      <w:r w:rsidRPr="003155EE">
        <w:t>.</w:t>
      </w:r>
    </w:p>
    <w:p w:rsidR="002003A9" w:rsidRDefault="002003A9" w:rsidP="002003A9">
      <w:pPr>
        <w:pStyle w:val="Heading3"/>
      </w:pPr>
      <w:r w:rsidRPr="002003A9">
        <w:t>Victoria</w:t>
      </w:r>
    </w:p>
    <w:p w:rsidR="002003A9" w:rsidRDefault="002003A9" w:rsidP="002003A9">
      <w:pPr>
        <w:pStyle w:val="BodyText"/>
      </w:pPr>
      <w:r w:rsidRPr="00CF08C5">
        <w:t xml:space="preserve">Victoria </w:t>
      </w:r>
      <w:r>
        <w:t>accounted for</w:t>
      </w:r>
      <w:r w:rsidRPr="00CF08C5">
        <w:t xml:space="preserve"> </w:t>
      </w:r>
      <w:r>
        <w:t xml:space="preserve">14 per cent of total </w:t>
      </w:r>
      <w:r w:rsidRPr="00CF08C5">
        <w:t>growth</w:t>
      </w:r>
      <w:r>
        <w:t xml:space="preserve"> in net capital investment</w:t>
      </w:r>
      <w:r w:rsidRPr="00CF08C5">
        <w:t xml:space="preserve"> nationally. </w:t>
      </w:r>
      <w:r>
        <w:t xml:space="preserve"> </w:t>
      </w:r>
      <w:r w:rsidRPr="00CF08C5">
        <w:t>Over the p</w:t>
      </w:r>
      <w:r>
        <w:t xml:space="preserve">eriod, Victorian government </w:t>
      </w:r>
      <w:r w:rsidRPr="00CF08C5">
        <w:t>net</w:t>
      </w:r>
      <w:r>
        <w:t xml:space="preserve"> capital investment grew by 8.2</w:t>
      </w:r>
      <w:r w:rsidRPr="00CF08C5">
        <w:t xml:space="preserve"> per cent annually</w:t>
      </w:r>
      <w:r>
        <w:t xml:space="preserve"> </w:t>
      </w:r>
      <w:r w:rsidR="00FB23FE">
        <w:t xml:space="preserve">in real terms </w:t>
      </w:r>
      <w:r>
        <w:t>increasing from $0.9 billion in 2002–03 to $2.6 billion in 2012–13</w:t>
      </w:r>
      <w:r w:rsidRPr="00CF08C5">
        <w:t>.</w:t>
      </w:r>
      <w:r w:rsidRPr="00150F78">
        <w:t xml:space="preserve"> </w:t>
      </w:r>
      <w:r>
        <w:t xml:space="preserve"> Net</w:t>
      </w:r>
      <w:r w:rsidRPr="00B84A8D">
        <w:t xml:space="preserve"> capital investment in Victoria </w:t>
      </w:r>
      <w:r>
        <w:t>peaked at $3.</w:t>
      </w:r>
      <w:r w:rsidR="00327A29">
        <w:t>1</w:t>
      </w:r>
      <w:r>
        <w:t xml:space="preserve"> billion in 20</w:t>
      </w:r>
      <w:r w:rsidR="00327A29">
        <w:t>09-10</w:t>
      </w:r>
      <w:r>
        <w:t xml:space="preserve"> driven by investment in roads, public transport and health infrastructure.</w:t>
      </w:r>
    </w:p>
    <w:p w:rsidR="002003A9" w:rsidRDefault="002003A9" w:rsidP="002003A9">
      <w:pPr>
        <w:pStyle w:val="Heading3"/>
      </w:pPr>
      <w:r w:rsidRPr="002003A9">
        <w:t>New South Wales</w:t>
      </w:r>
    </w:p>
    <w:p w:rsidR="002003A9" w:rsidRDefault="002003A9" w:rsidP="002003A9">
      <w:pPr>
        <w:pStyle w:val="BodyText"/>
      </w:pPr>
      <w:r w:rsidRPr="00CF08C5">
        <w:t xml:space="preserve">New South Wales </w:t>
      </w:r>
      <w:r>
        <w:t xml:space="preserve">accounted for </w:t>
      </w:r>
      <w:r w:rsidR="00D7299C">
        <w:t>7</w:t>
      </w:r>
      <w:r>
        <w:t xml:space="preserve"> per cent of total growth in government</w:t>
      </w:r>
      <w:r w:rsidRPr="00CF08C5">
        <w:t xml:space="preserve"> net capital investment from</w:t>
      </w:r>
      <w:r>
        <w:t xml:space="preserve"> 2002–03 to 2012–13.  Over the period, New South Wales net capital investment grew by 3.</w:t>
      </w:r>
      <w:r w:rsidR="00327A29">
        <w:t>6</w:t>
      </w:r>
      <w:r>
        <w:t xml:space="preserve"> per cent annually </w:t>
      </w:r>
      <w:r w:rsidR="00FB23FE">
        <w:t xml:space="preserve">in real terms </w:t>
      </w:r>
      <w:r>
        <w:t>increasing from $1.3 billion in 2002–03 to $2.</w:t>
      </w:r>
      <w:r w:rsidR="00327A29">
        <w:t>4</w:t>
      </w:r>
      <w:r>
        <w:t xml:space="preserve"> billion in 2012–13.  This growth was largely driven by road and transport projects with </w:t>
      </w:r>
      <w:r w:rsidR="00D65559">
        <w:t>investment</w:t>
      </w:r>
      <w:r>
        <w:t xml:space="preserve"> in this area growing by 1</w:t>
      </w:r>
      <w:r w:rsidR="003155EE">
        <w:t>0</w:t>
      </w:r>
      <w:r>
        <w:t>.3 per cent annually over the decade.</w:t>
      </w:r>
    </w:p>
    <w:p w:rsidR="002003A9" w:rsidRDefault="002003A9" w:rsidP="002003A9">
      <w:pPr>
        <w:pStyle w:val="BodyText"/>
      </w:pPr>
      <w:r>
        <w:lastRenderedPageBreak/>
        <w:t>New South Wales net capital investment peaked at $4.3 billion in 2010–11 driven by increased spending on education and transport projects including significant investment as part of fiscal stimulus.</w:t>
      </w:r>
    </w:p>
    <w:p w:rsidR="002003A9" w:rsidRDefault="00B86531" w:rsidP="002003A9">
      <w:pPr>
        <w:pStyle w:val="BodyText"/>
      </w:pPr>
      <w:r w:rsidRPr="00AC4F53">
        <w:fldChar w:fldCharType="begin"/>
      </w:r>
      <w:r w:rsidRPr="00AC4F53">
        <w:instrText xml:space="preserve"> REF _Ref417653634 \h  \* MERGEFORMAT </w:instrText>
      </w:r>
      <w:r w:rsidRPr="00AC4F53">
        <w:fldChar w:fldCharType="separate"/>
      </w:r>
      <w:r w:rsidR="008B68F4" w:rsidRPr="00416B00">
        <w:t xml:space="preserve">Figure </w:t>
      </w:r>
      <w:r w:rsidR="008B68F4">
        <w:rPr>
          <w:noProof/>
        </w:rPr>
        <w:t>4</w:t>
      </w:r>
      <w:r w:rsidR="008B68F4">
        <w:rPr>
          <w:noProof/>
        </w:rPr>
        <w:noBreakHyphen/>
        <w:t>6</w:t>
      </w:r>
      <w:r w:rsidRPr="00AC4F53">
        <w:fldChar w:fldCharType="end"/>
      </w:r>
      <w:r w:rsidRPr="00AC4F53">
        <w:t xml:space="preserve"> </w:t>
      </w:r>
      <w:r w:rsidR="002003A9" w:rsidRPr="00AC4F53">
        <w:t>shows general government net capital investment for Western Australia, Queensland, Victoria and New South Wales</w:t>
      </w:r>
      <w:r w:rsidR="00477C9F">
        <w:t xml:space="preserve"> (excluding local government)</w:t>
      </w:r>
      <w:r w:rsidR="002003A9" w:rsidRPr="00AC4F53">
        <w:t>.</w:t>
      </w:r>
    </w:p>
    <w:p w:rsidR="00416B00" w:rsidRPr="00416B00" w:rsidRDefault="006B73E8" w:rsidP="00416B00">
      <w:pPr>
        <w:pStyle w:val="Caption"/>
      </w:pPr>
      <w:bookmarkStart w:id="249" w:name="_Ref417653634"/>
      <w:bookmarkStart w:id="250" w:name="_Toc418073834"/>
      <w:r>
        <w:rPr>
          <w:noProof/>
          <w:lang w:eastAsia="en-AU"/>
        </w:rPr>
        <w:drawing>
          <wp:anchor distT="0" distB="0" distL="114300" distR="114300" simplePos="0" relativeHeight="251687936" behindDoc="0" locked="0" layoutInCell="1" allowOverlap="1" wp14:anchorId="4086FCB3" wp14:editId="15993426">
            <wp:simplePos x="0" y="0"/>
            <wp:positionH relativeFrom="column">
              <wp:posOffset>-7620</wp:posOffset>
            </wp:positionH>
            <wp:positionV relativeFrom="paragraph">
              <wp:posOffset>401955</wp:posOffset>
            </wp:positionV>
            <wp:extent cx="5279390" cy="3517900"/>
            <wp:effectExtent l="0" t="0" r="0" b="635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9390" cy="3517900"/>
                    </a:xfrm>
                    <a:prstGeom prst="rect">
                      <a:avLst/>
                    </a:prstGeom>
                    <a:noFill/>
                  </pic:spPr>
                </pic:pic>
              </a:graphicData>
            </a:graphic>
            <wp14:sizeRelH relativeFrom="page">
              <wp14:pctWidth>0</wp14:pctWidth>
            </wp14:sizeRelH>
            <wp14:sizeRelV relativeFrom="page">
              <wp14:pctHeight>0</wp14:pctHeight>
            </wp14:sizeRelV>
          </wp:anchor>
        </w:drawing>
      </w:r>
      <w:r w:rsidR="00416B00" w:rsidRPr="00416B00">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6</w:t>
      </w:r>
      <w:r w:rsidR="003A23CE">
        <w:rPr>
          <w:noProof/>
        </w:rPr>
        <w:fldChar w:fldCharType="end"/>
      </w:r>
      <w:bookmarkEnd w:id="249"/>
      <w:r w:rsidR="00416B00" w:rsidRPr="00416B00">
        <w:t xml:space="preserve">: </w:t>
      </w:r>
      <w:r w:rsidR="00B86531">
        <w:t>Net capital investment for selected states</w:t>
      </w:r>
      <w:bookmarkEnd w:id="250"/>
    </w:p>
    <w:tbl>
      <w:tblPr>
        <w:tblStyle w:val="TableGrid"/>
        <w:tblW w:w="0" w:type="auto"/>
        <w:tblLook w:val="04A0" w:firstRow="1" w:lastRow="0" w:firstColumn="1" w:lastColumn="0" w:noHBand="0" w:noVBand="1"/>
      </w:tblPr>
      <w:tblGrid>
        <w:gridCol w:w="2022"/>
        <w:gridCol w:w="2021"/>
        <w:gridCol w:w="2248"/>
        <w:gridCol w:w="2021"/>
      </w:tblGrid>
      <w:tr w:rsidR="006B73E8" w:rsidRPr="006B73E8" w:rsidTr="006B73E8">
        <w:trPr>
          <w:cnfStyle w:val="100000000000" w:firstRow="1" w:lastRow="0" w:firstColumn="0" w:lastColumn="0" w:oddVBand="0" w:evenVBand="0" w:oddHBand="0" w:evenHBand="0" w:firstRowFirstColumn="0" w:firstRowLastColumn="0" w:lastRowFirstColumn="0" w:lastRowLastColumn="0"/>
          <w:trHeight w:hRule="exact" w:val="5387"/>
        </w:trPr>
        <w:tc>
          <w:tcPr>
            <w:cnfStyle w:val="001000000100" w:firstRow="0" w:lastRow="0" w:firstColumn="1" w:lastColumn="0" w:oddVBand="0" w:evenVBand="0" w:oddHBand="0" w:evenHBand="0" w:firstRowFirstColumn="1" w:firstRowLastColumn="0" w:lastRowFirstColumn="0" w:lastRowLastColumn="0"/>
            <w:tcW w:w="21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920" w:type="dxa"/>
              <w:tblLook w:val="04A0" w:firstRow="1" w:lastRow="0" w:firstColumn="1" w:lastColumn="0" w:noHBand="0" w:noVBand="1"/>
            </w:tblPr>
            <w:tblGrid>
              <w:gridCol w:w="960"/>
              <w:gridCol w:w="960"/>
            </w:tblGrid>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 billions</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NSW</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4</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4</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3</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bl>
          <w:p w:rsidR="006B73E8" w:rsidRPr="006B73E8" w:rsidRDefault="006B73E8" w:rsidP="006B73E8">
            <w:pPr>
              <w:pStyle w:val="Source"/>
              <w:ind w:left="0"/>
              <w:rPr>
                <w:color w:val="FFFFFF" w:themeColor="background1"/>
              </w:rPr>
            </w:pPr>
          </w:p>
        </w:tc>
        <w:tc>
          <w:tcPr>
            <w:tcW w:w="21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920" w:type="dxa"/>
              <w:tblLook w:val="04A0" w:firstRow="1" w:lastRow="0" w:firstColumn="1" w:lastColumn="0" w:noHBand="0" w:noVBand="1"/>
            </w:tblPr>
            <w:tblGrid>
              <w:gridCol w:w="960"/>
              <w:gridCol w:w="960"/>
            </w:tblGrid>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 billions</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Victoria</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3</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3</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3</w:t>
                  </w:r>
                </w:p>
              </w:tc>
            </w:tr>
          </w:tbl>
          <w:p w:rsidR="006B73E8" w:rsidRPr="006B73E8" w:rsidRDefault="006B73E8" w:rsidP="0052503A">
            <w:pPr>
              <w:pStyle w:val="Source"/>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1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2062" w:type="dxa"/>
              <w:tblLook w:val="04A0" w:firstRow="1" w:lastRow="0" w:firstColumn="1" w:lastColumn="0" w:noHBand="0" w:noVBand="1"/>
            </w:tblPr>
            <w:tblGrid>
              <w:gridCol w:w="960"/>
              <w:gridCol w:w="1288"/>
            </w:tblGrid>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 billions</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Queensland</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2002-03</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2003-04</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2004-05</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2005-06</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2006-07</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2007-08</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4</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2008-09</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4</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2009-10</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7</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2010-11</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6</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2011-12</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5</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2012-13</w:t>
                  </w:r>
                </w:p>
              </w:tc>
              <w:tc>
                <w:tcPr>
                  <w:tcW w:w="1102"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3</w:t>
                  </w:r>
                </w:p>
              </w:tc>
            </w:tr>
          </w:tbl>
          <w:p w:rsidR="006B73E8" w:rsidRPr="006B73E8" w:rsidRDefault="006B73E8" w:rsidP="006B73E8">
            <w:pPr>
              <w:cnfStyle w:val="100000000000" w:firstRow="1" w:lastRow="0" w:firstColumn="0" w:lastColumn="0" w:oddVBand="0" w:evenVBand="0" w:oddHBand="0" w:evenHBand="0" w:firstRowFirstColumn="0" w:firstRowLastColumn="0" w:lastRowFirstColumn="0" w:lastRowLastColumn="0"/>
            </w:pPr>
          </w:p>
        </w:tc>
        <w:tc>
          <w:tcPr>
            <w:tcW w:w="21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920" w:type="dxa"/>
              <w:tblLook w:val="04A0" w:firstRow="1" w:lastRow="0" w:firstColumn="1" w:lastColumn="0" w:noHBand="0" w:noVBand="1"/>
            </w:tblPr>
            <w:tblGrid>
              <w:gridCol w:w="960"/>
              <w:gridCol w:w="960"/>
            </w:tblGrid>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 billions</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WA</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0</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1</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r w:rsidR="006B73E8" w:rsidRPr="006B73E8" w:rsidTr="006B73E8">
              <w:trPr>
                <w:trHeight w:val="300"/>
              </w:trPr>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center"/>
                    <w:rPr>
                      <w:rFonts w:ascii="Calibri" w:eastAsia="Times New Roman" w:hAnsi="Calibri" w:cs="Times New Roman"/>
                      <w:b/>
                      <w:bCs/>
                      <w:color w:val="FFFFFF" w:themeColor="background1"/>
                      <w:lang w:eastAsia="en-AU"/>
                    </w:rPr>
                  </w:pPr>
                  <w:r w:rsidRPr="006B73E8">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6B73E8" w:rsidRPr="006B73E8" w:rsidRDefault="006B73E8" w:rsidP="006B73E8">
                  <w:pPr>
                    <w:spacing w:line="240" w:lineRule="auto"/>
                    <w:jc w:val="right"/>
                    <w:rPr>
                      <w:rFonts w:ascii="Calibri" w:eastAsia="Times New Roman" w:hAnsi="Calibri" w:cs="Times New Roman"/>
                      <w:color w:val="FFFFFF" w:themeColor="background1"/>
                      <w:lang w:eastAsia="en-AU"/>
                    </w:rPr>
                  </w:pPr>
                  <w:r w:rsidRPr="006B73E8">
                    <w:rPr>
                      <w:rFonts w:ascii="Calibri" w:eastAsia="Times New Roman" w:hAnsi="Calibri" w:cs="Times New Roman"/>
                      <w:color w:val="FFFFFF" w:themeColor="background1"/>
                      <w:lang w:eastAsia="en-AU"/>
                    </w:rPr>
                    <w:t>2</w:t>
                  </w:r>
                </w:p>
              </w:tc>
            </w:tr>
          </w:tbl>
          <w:p w:rsidR="006B73E8" w:rsidRPr="006B73E8" w:rsidRDefault="006B73E8" w:rsidP="006B73E8">
            <w:pPr>
              <w:pStyle w:val="Source"/>
              <w:ind w:left="0"/>
              <w:jc w:val="left"/>
              <w:cnfStyle w:val="100000000000" w:firstRow="1" w:lastRow="0" w:firstColumn="0" w:lastColumn="0" w:oddVBand="0" w:evenVBand="0" w:oddHBand="0" w:evenHBand="0" w:firstRowFirstColumn="0" w:firstRowLastColumn="0" w:lastRowFirstColumn="0" w:lastRowLastColumn="0"/>
              <w:rPr>
                <w:color w:val="FFFFFF" w:themeColor="background1"/>
              </w:rPr>
            </w:pPr>
          </w:p>
        </w:tc>
      </w:tr>
    </w:tbl>
    <w:p w:rsidR="0052503A" w:rsidRDefault="0052503A" w:rsidP="0052503A">
      <w:pPr>
        <w:pStyle w:val="Source"/>
      </w:pPr>
      <w:r>
        <w:t>Source: ABS.</w:t>
      </w:r>
    </w:p>
    <w:p w:rsidR="0052503A" w:rsidRDefault="0052503A" w:rsidP="0052503A">
      <w:pPr>
        <w:pStyle w:val="BodyText17ptAbove"/>
      </w:pPr>
      <w:r w:rsidRPr="00936B03">
        <w:t>Summaries of trends for all states and territories are at</w:t>
      </w:r>
      <w:r w:rsidRPr="00F978CC">
        <w:t xml:space="preserve"> Appendix A t</w:t>
      </w:r>
      <w:r w:rsidRPr="00936B03">
        <w:t>o this report.</w:t>
      </w:r>
    </w:p>
    <w:p w:rsidR="0052503A" w:rsidRDefault="0052503A" w:rsidP="0052503A">
      <w:pPr>
        <w:pStyle w:val="Heading2"/>
      </w:pPr>
      <w:r w:rsidRPr="0052503A">
        <w:t>Commonwealth transfers for capital purchases</w:t>
      </w:r>
    </w:p>
    <w:p w:rsidR="0052503A" w:rsidRDefault="0052503A" w:rsidP="0052503A">
      <w:pPr>
        <w:pStyle w:val="BodyText"/>
      </w:pPr>
      <w:r w:rsidRPr="00B84A8D">
        <w:t xml:space="preserve">As noted in previous chapters, the Commonwealth provides specific purpose </w:t>
      </w:r>
      <w:r>
        <w:t>payments to states to be spent o</w:t>
      </w:r>
      <w:r w:rsidRPr="00B84A8D">
        <w:t>n particular areas.  These transfers are provided for both recurrent and capital purposes across a</w:t>
      </w:r>
      <w:r>
        <w:t xml:space="preserve"> range of government functions.</w:t>
      </w:r>
    </w:p>
    <w:p w:rsidR="0052503A" w:rsidRPr="00B84A8D" w:rsidRDefault="0052503A" w:rsidP="0052503A">
      <w:pPr>
        <w:pStyle w:val="BodyText"/>
      </w:pPr>
      <w:r w:rsidRPr="00CF146C">
        <w:t xml:space="preserve">Commonwealth grants to </w:t>
      </w:r>
      <w:r>
        <w:t>states</w:t>
      </w:r>
      <w:r w:rsidRPr="00CF146C">
        <w:t xml:space="preserve"> for capital purposes totalled $7.5 billion </w:t>
      </w:r>
      <w:r>
        <w:t>in 2012–</w:t>
      </w:r>
      <w:r w:rsidRPr="00444190">
        <w:t>13.  Over the past decade these grants grew by 8.3 per cent annually</w:t>
      </w:r>
      <w:r>
        <w:t xml:space="preserve"> in real terms</w:t>
      </w:r>
      <w:r w:rsidRPr="00444190">
        <w:t xml:space="preserve">.  This compares with state own-purpose net capital investment which </w:t>
      </w:r>
      <w:r>
        <w:t>grew by 14.5 per cent annually</w:t>
      </w:r>
      <w:r w:rsidR="00FB23FE">
        <w:t xml:space="preserve"> in real terms</w:t>
      </w:r>
      <w:r>
        <w:t xml:space="preserve">.  </w:t>
      </w:r>
      <w:r w:rsidRPr="00444190">
        <w:t>Most Commonwealth transfers for capital purposes relate to transport, education, health</w:t>
      </w:r>
      <w:r>
        <w:t xml:space="preserve"> and social housing.</w:t>
      </w:r>
    </w:p>
    <w:p w:rsidR="00764725" w:rsidRDefault="0052503A" w:rsidP="0052503A">
      <w:pPr>
        <w:pStyle w:val="BodyText"/>
      </w:pPr>
      <w:r>
        <w:t>The above</w:t>
      </w:r>
      <w:r w:rsidRPr="00CB47A0">
        <w:t xml:space="preserve"> areas of investment were affected by stimulus spending under the </w:t>
      </w:r>
      <w:r w:rsidRPr="00CB47A0">
        <w:rPr>
          <w:i/>
        </w:rPr>
        <w:t>Nation Building and Jobs Plan</w:t>
      </w:r>
      <w:r w:rsidRPr="00CB47A0">
        <w:t xml:space="preserve"> and the </w:t>
      </w:r>
      <w:r w:rsidRPr="00CB47A0">
        <w:rPr>
          <w:i/>
        </w:rPr>
        <w:t>Nation Building Package</w:t>
      </w:r>
      <w:r w:rsidR="00764725">
        <w:t>.</w:t>
      </w:r>
      <w:r w:rsidR="00764725">
        <w:br w:type="page"/>
      </w:r>
    </w:p>
    <w:p w:rsidR="0052503A" w:rsidRPr="00B84A8D" w:rsidRDefault="0052503A" w:rsidP="0052503A">
      <w:pPr>
        <w:pStyle w:val="BodyText"/>
      </w:pPr>
      <w:r w:rsidRPr="00B84A8D">
        <w:lastRenderedPageBreak/>
        <w:t>As part of fisc</w:t>
      </w:r>
      <w:r>
        <w:t>al stimulus measures, from 2008–09 to 2011–</w:t>
      </w:r>
      <w:r w:rsidRPr="00B84A8D">
        <w:t xml:space="preserve">12, the Commonwealth government spent $33 billion on payments </w:t>
      </w:r>
      <w:r>
        <w:t>to states for capital purposes.  In some instances t</w:t>
      </w:r>
      <w:r w:rsidRPr="00B84A8D">
        <w:t>hese payments required a level of contribution from the recipients and also involve ongoing depreciation and maintenance costs.</w:t>
      </w:r>
      <w:r>
        <w:t xml:space="preserve">  Most grants were for capital projects in schools, followed by transport and health.  Fiscal stimulus also accounts for a</w:t>
      </w:r>
      <w:r w:rsidRPr="00B84A8D">
        <w:t xml:space="preserve"> large increase in housi</w:t>
      </w:r>
      <w:r>
        <w:t>ng transfers in 2009–10 reflecting</w:t>
      </w:r>
      <w:r w:rsidRPr="00B84A8D">
        <w:t xml:space="preserve"> payments under the </w:t>
      </w:r>
      <w:r w:rsidRPr="00B2442B">
        <w:rPr>
          <w:i/>
        </w:rPr>
        <w:t>Nation Building and Jobs Plan</w:t>
      </w:r>
      <w:r w:rsidRPr="00B84A8D">
        <w:t xml:space="preserve"> for social housing.</w:t>
      </w:r>
    </w:p>
    <w:p w:rsidR="0052503A" w:rsidRPr="00AC4F53" w:rsidRDefault="00B86531" w:rsidP="0052503A">
      <w:pPr>
        <w:pStyle w:val="BodyText"/>
      </w:pPr>
      <w:r w:rsidRPr="00AC4F53">
        <w:fldChar w:fldCharType="begin"/>
      </w:r>
      <w:r w:rsidRPr="00AC4F53">
        <w:instrText xml:space="preserve"> REF _Ref417653771 \h </w:instrText>
      </w:r>
      <w:r w:rsidR="00AC4F53">
        <w:instrText xml:space="preserve"> \* MERGEFORMAT </w:instrText>
      </w:r>
      <w:r w:rsidRPr="00AC4F53">
        <w:fldChar w:fldCharType="separate"/>
      </w:r>
      <w:r w:rsidR="008B68F4" w:rsidRPr="00AC4F53">
        <w:t xml:space="preserve">Figure </w:t>
      </w:r>
      <w:r w:rsidR="008B68F4">
        <w:rPr>
          <w:noProof/>
        </w:rPr>
        <w:t>4</w:t>
      </w:r>
      <w:r w:rsidR="008B68F4">
        <w:rPr>
          <w:noProof/>
        </w:rPr>
        <w:noBreakHyphen/>
        <w:t>7</w:t>
      </w:r>
      <w:r w:rsidRPr="00AC4F53">
        <w:fldChar w:fldCharType="end"/>
      </w:r>
      <w:r w:rsidR="0052503A" w:rsidRPr="00AC4F53">
        <w:t xml:space="preserve"> shows the contribution of Commonwealth grants for capital purposes in funding state general government net capital investment</w:t>
      </w:r>
      <w:r w:rsidR="00477C9F">
        <w:t xml:space="preserve"> (excluding local government)</w:t>
      </w:r>
      <w:r w:rsidR="0052503A" w:rsidRPr="00AC4F53">
        <w:t>.</w:t>
      </w:r>
    </w:p>
    <w:p w:rsidR="00B86531" w:rsidRPr="00AC4F53" w:rsidRDefault="00B86531" w:rsidP="00B86531">
      <w:pPr>
        <w:pStyle w:val="Caption"/>
      </w:pPr>
      <w:bookmarkStart w:id="251" w:name="_Ref417653771"/>
      <w:bookmarkStart w:id="252" w:name="_Toc418073835"/>
      <w:bookmarkStart w:id="253" w:name="_Ref415145437"/>
      <w:bookmarkStart w:id="254" w:name="_Toc415222976"/>
      <w:r w:rsidRPr="00AC4F53">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7</w:t>
      </w:r>
      <w:r w:rsidR="003A23CE">
        <w:rPr>
          <w:noProof/>
        </w:rPr>
        <w:fldChar w:fldCharType="end"/>
      </w:r>
      <w:bookmarkEnd w:id="251"/>
      <w:r w:rsidRPr="00AC4F53">
        <w:t>: State own-purpose gross fixed capital formation an</w:t>
      </w:r>
      <w:r w:rsidR="00F7586D">
        <w:t>d revenue from capital grants</w:t>
      </w:r>
      <w:bookmarkEnd w:id="252"/>
    </w:p>
    <w:tbl>
      <w:tblPr>
        <w:tblW w:w="8423" w:type="dxa"/>
        <w:tblInd w:w="93" w:type="dxa"/>
        <w:tblLook w:val="04A0" w:firstRow="1" w:lastRow="0" w:firstColumn="1" w:lastColumn="0" w:noHBand="0" w:noVBand="1"/>
      </w:tblPr>
      <w:tblGrid>
        <w:gridCol w:w="2720"/>
        <w:gridCol w:w="2983"/>
        <w:gridCol w:w="2720"/>
      </w:tblGrid>
      <w:tr w:rsidR="009A12A8" w:rsidRPr="009A12A8" w:rsidTr="009A12A8">
        <w:trPr>
          <w:trHeight w:val="444"/>
        </w:trPr>
        <w:tc>
          <w:tcPr>
            <w:tcW w:w="2720" w:type="dxa"/>
            <w:shd w:val="clear" w:color="auto" w:fill="auto"/>
            <w:noWrap/>
            <w:vAlign w:val="bottom"/>
            <w:hideMark/>
          </w:tcPr>
          <w:bookmarkEnd w:id="253"/>
          <w:bookmarkEnd w:id="254"/>
          <w:p w:rsidR="009A12A8" w:rsidRPr="009A12A8" w:rsidRDefault="009A12A8" w:rsidP="009A12A8">
            <w:pPr>
              <w:spacing w:line="240" w:lineRule="auto"/>
              <w:rPr>
                <w:rFonts w:ascii="Calibri" w:eastAsia="Times New Roman" w:hAnsi="Calibri" w:cs="Times New Roman"/>
                <w:b/>
                <w:bCs/>
                <w:color w:val="FFFFFF" w:themeColor="background1"/>
                <w:sz w:val="20"/>
                <w:szCs w:val="20"/>
                <w:lang w:eastAsia="en-AU"/>
              </w:rPr>
            </w:pPr>
            <w:r w:rsidRPr="009A12A8">
              <w:rPr>
                <w:noProof/>
                <w:lang w:eastAsia="en-AU"/>
              </w:rPr>
              <w:drawing>
                <wp:anchor distT="0" distB="0" distL="114300" distR="114300" simplePos="0" relativeHeight="251688960" behindDoc="0" locked="0" layoutInCell="1" allowOverlap="1" wp14:anchorId="31725678" wp14:editId="0A6C0A12">
                  <wp:simplePos x="0" y="0"/>
                  <wp:positionH relativeFrom="column">
                    <wp:posOffset>-43180</wp:posOffset>
                  </wp:positionH>
                  <wp:positionV relativeFrom="paragraph">
                    <wp:posOffset>35560</wp:posOffset>
                  </wp:positionV>
                  <wp:extent cx="5278120" cy="351409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12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12A8">
              <w:rPr>
                <w:rFonts w:ascii="Calibri" w:eastAsia="Times New Roman" w:hAnsi="Calibri" w:cs="Times New Roman"/>
                <w:b/>
                <w:bCs/>
                <w:color w:val="FFFFFF" w:themeColor="background1"/>
                <w:sz w:val="20"/>
                <w:szCs w:val="20"/>
                <w:lang w:eastAsia="en-AU"/>
              </w:rPr>
              <w:t>$ billion</w:t>
            </w:r>
          </w:p>
        </w:tc>
        <w:tc>
          <w:tcPr>
            <w:tcW w:w="2983" w:type="dxa"/>
            <w:shd w:val="clear" w:color="auto" w:fill="auto"/>
            <w:noWrap/>
            <w:vAlign w:val="bottom"/>
            <w:hideMark/>
          </w:tcPr>
          <w:p w:rsidR="009A12A8" w:rsidRPr="009A12A8" w:rsidRDefault="009A12A8" w:rsidP="009A12A8">
            <w:pPr>
              <w:spacing w:line="240" w:lineRule="auto"/>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State own-purpose gross fixed capital formation</w:t>
            </w:r>
          </w:p>
        </w:tc>
        <w:tc>
          <w:tcPr>
            <w:tcW w:w="2720" w:type="dxa"/>
            <w:shd w:val="clear" w:color="auto" w:fill="auto"/>
            <w:noWrap/>
            <w:vAlign w:val="bottom"/>
            <w:hideMark/>
          </w:tcPr>
          <w:p w:rsidR="009A12A8" w:rsidRPr="009A12A8" w:rsidRDefault="009A12A8" w:rsidP="009A12A8">
            <w:pPr>
              <w:spacing w:line="240" w:lineRule="auto"/>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Revenue from capital grants</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2002-03</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5.5</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2.5</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2003-04</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5.7</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2.4</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2004-05</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6.2</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2.9</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2005-06</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7.5</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3.2</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2006-07</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9.3</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3.9</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2007-08</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10.3</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4.8</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2008-09</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11.2</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7.3</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2009-10</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10.1</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15.6</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2010-11</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14.0</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11.9</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2011-12</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9.6</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13.9</w:t>
            </w:r>
          </w:p>
        </w:tc>
      </w:tr>
      <w:tr w:rsidR="009A12A8" w:rsidRPr="009A12A8" w:rsidTr="009A12A8">
        <w:trPr>
          <w:trHeight w:val="444"/>
        </w:trPr>
        <w:tc>
          <w:tcPr>
            <w:tcW w:w="2720"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sz w:val="20"/>
                <w:szCs w:val="20"/>
                <w:lang w:eastAsia="en-AU"/>
              </w:rPr>
            </w:pPr>
            <w:r w:rsidRPr="009A12A8">
              <w:rPr>
                <w:rFonts w:ascii="Calibri" w:eastAsia="Times New Roman" w:hAnsi="Calibri" w:cs="Times New Roman"/>
                <w:b/>
                <w:bCs/>
                <w:color w:val="FFFFFF" w:themeColor="background1"/>
                <w:sz w:val="20"/>
                <w:szCs w:val="20"/>
                <w:lang w:eastAsia="en-AU"/>
              </w:rPr>
              <w:t>2012-13</w:t>
            </w:r>
          </w:p>
        </w:tc>
        <w:tc>
          <w:tcPr>
            <w:tcW w:w="2983"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19.3</w:t>
            </w:r>
          </w:p>
        </w:tc>
        <w:tc>
          <w:tcPr>
            <w:tcW w:w="272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4.5</w:t>
            </w:r>
          </w:p>
        </w:tc>
      </w:tr>
    </w:tbl>
    <w:p w:rsidR="00F14342" w:rsidRDefault="00F14342" w:rsidP="00F14342">
      <w:pPr>
        <w:pStyle w:val="Source"/>
      </w:pPr>
      <w:r>
        <w:t xml:space="preserve">Source: </w:t>
      </w:r>
      <w:r w:rsidRPr="006979D6">
        <w:t>ABS</w:t>
      </w:r>
      <w:r w:rsidR="00D619DA">
        <w:t xml:space="preserve"> and PBO analysis.</w:t>
      </w:r>
    </w:p>
    <w:p w:rsidR="00BF034B" w:rsidRPr="00BF034B" w:rsidRDefault="00BF034B" w:rsidP="00BF034B">
      <w:pPr>
        <w:pStyle w:val="Heading2"/>
      </w:pPr>
      <w:r w:rsidRPr="00BF034B">
        <w:t>Public non-financial corporation net capital investment</w:t>
      </w:r>
    </w:p>
    <w:p w:rsidR="00BF034B" w:rsidRPr="00764725" w:rsidRDefault="00BF034B" w:rsidP="00764725">
      <w:pPr>
        <w:pStyle w:val="BodyText"/>
      </w:pPr>
      <w:r w:rsidRPr="00764725">
        <w:t>The analysis in this report focusses on the general government sector.  This sector primarily consists of government departments and agencies providing non-market public services which are funded mainly through taxes.</w:t>
      </w:r>
    </w:p>
    <w:p w:rsidR="00764725" w:rsidRDefault="00BF034B" w:rsidP="00764725">
      <w:pPr>
        <w:pStyle w:val="BodyText"/>
      </w:pPr>
      <w:r w:rsidRPr="00764725">
        <w:t>The general government sector does not include public non-financial corporations (PNFCs) which are government-owned entities providing services to consumers on a fee for service basis.  These corporations are funded through a combination of revenue from the provision of goods and services and government grants</w:t>
      </w:r>
      <w:r w:rsidRPr="002E4828">
        <w:t>.</w:t>
      </w:r>
      <w:r w:rsidR="00764725">
        <w:br w:type="page"/>
      </w:r>
    </w:p>
    <w:p w:rsidR="00BF034B" w:rsidRPr="002E4828" w:rsidRDefault="00BF034B" w:rsidP="00764725">
      <w:pPr>
        <w:pStyle w:val="BodyText"/>
      </w:pPr>
      <w:r w:rsidRPr="002E4828">
        <w:lastRenderedPageBreak/>
        <w:t>Public non-financial corporations, particularly for states, typically have significant capital costs reflecting the goods and services they provide, such as el</w:t>
      </w:r>
      <w:r>
        <w:t xml:space="preserve">ectricity, water and transport. </w:t>
      </w:r>
      <w:r w:rsidR="00350AB8">
        <w:t xml:space="preserve"> </w:t>
      </w:r>
      <w:r>
        <w:t>For example, within the electricity sector, PNFCs may be responsible for the generation, transmission and distribution of electricity.</w:t>
      </w:r>
    </w:p>
    <w:p w:rsidR="00BF034B" w:rsidRPr="00AC4F53" w:rsidRDefault="00B86531" w:rsidP="00764725">
      <w:pPr>
        <w:pStyle w:val="BodyText"/>
      </w:pPr>
      <w:r w:rsidRPr="00AC4F53">
        <w:fldChar w:fldCharType="begin"/>
      </w:r>
      <w:r w:rsidRPr="00AC4F53">
        <w:instrText xml:space="preserve"> REF _Ref417653840 \h  \* MERGEFORMAT </w:instrText>
      </w:r>
      <w:r w:rsidRPr="00AC4F53">
        <w:fldChar w:fldCharType="separate"/>
      </w:r>
      <w:r w:rsidR="008B68F4" w:rsidRPr="00AC4F53">
        <w:t xml:space="preserve">Figure </w:t>
      </w:r>
      <w:r w:rsidR="008B68F4">
        <w:rPr>
          <w:noProof/>
        </w:rPr>
        <w:t>4</w:t>
      </w:r>
      <w:r w:rsidR="008B68F4">
        <w:rPr>
          <w:noProof/>
        </w:rPr>
        <w:noBreakHyphen/>
        <w:t>8</w:t>
      </w:r>
      <w:r w:rsidRPr="00AC4F53">
        <w:fldChar w:fldCharType="end"/>
      </w:r>
      <w:r w:rsidR="00BF034B" w:rsidRPr="00AC4F53">
        <w:t xml:space="preserve"> shows general government and PNFC net capital investment across all levels of government.</w:t>
      </w:r>
    </w:p>
    <w:p w:rsidR="00B86531" w:rsidRPr="00B86531" w:rsidRDefault="009A12A8" w:rsidP="00B86531">
      <w:pPr>
        <w:pStyle w:val="Caption"/>
      </w:pPr>
      <w:bookmarkStart w:id="255" w:name="ReturnHere"/>
      <w:bookmarkStart w:id="256" w:name="_Ref417653840"/>
      <w:bookmarkStart w:id="257" w:name="_Toc418073836"/>
      <w:bookmarkStart w:id="258" w:name="_Ref415145268"/>
      <w:bookmarkStart w:id="259" w:name="_Toc415222973"/>
      <w:bookmarkEnd w:id="255"/>
      <w:r>
        <w:rPr>
          <w:noProof/>
          <w:lang w:eastAsia="en-AU"/>
        </w:rPr>
        <w:drawing>
          <wp:anchor distT="0" distB="0" distL="114300" distR="114300" simplePos="0" relativeHeight="251689984" behindDoc="0" locked="0" layoutInCell="1" allowOverlap="1" wp14:anchorId="6DCB0B29" wp14:editId="21780DB2">
            <wp:simplePos x="0" y="0"/>
            <wp:positionH relativeFrom="column">
              <wp:posOffset>0</wp:posOffset>
            </wp:positionH>
            <wp:positionV relativeFrom="paragraph">
              <wp:posOffset>384175</wp:posOffset>
            </wp:positionV>
            <wp:extent cx="4996180" cy="336232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96180" cy="3362325"/>
                    </a:xfrm>
                    <a:prstGeom prst="rect">
                      <a:avLst/>
                    </a:prstGeom>
                    <a:noFill/>
                  </pic:spPr>
                </pic:pic>
              </a:graphicData>
            </a:graphic>
            <wp14:sizeRelH relativeFrom="page">
              <wp14:pctWidth>0</wp14:pctWidth>
            </wp14:sizeRelH>
            <wp14:sizeRelV relativeFrom="page">
              <wp14:pctHeight>0</wp14:pctHeight>
            </wp14:sizeRelV>
          </wp:anchor>
        </w:drawing>
      </w:r>
      <w:r w:rsidR="00B86531" w:rsidRPr="00AC4F53">
        <w:t xml:space="preserve">Figure </w:t>
      </w:r>
      <w:r w:rsidR="003A23CE">
        <w:fldChar w:fldCharType="begin"/>
      </w:r>
      <w:r w:rsidR="003A23CE">
        <w:instrText xml:space="preserve"> STYLEREF 1 \s </w:instrText>
      </w:r>
      <w:r w:rsidR="003A23CE">
        <w:fldChar w:fldCharType="separate"/>
      </w:r>
      <w:r w:rsidR="008B68F4">
        <w:rPr>
          <w:noProof/>
        </w:rPr>
        <w:t>4</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8</w:t>
      </w:r>
      <w:r w:rsidR="003A23CE">
        <w:rPr>
          <w:noProof/>
        </w:rPr>
        <w:fldChar w:fldCharType="end"/>
      </w:r>
      <w:bookmarkEnd w:id="256"/>
      <w:r w:rsidR="00B86531" w:rsidRPr="00AC4F53">
        <w:t>: Net capital investment across all levels of government by sector</w:t>
      </w:r>
      <w:bookmarkEnd w:id="257"/>
    </w:p>
    <w:tbl>
      <w:tblPr>
        <w:tblStyle w:val="TableGrid"/>
        <w:tblW w:w="0" w:type="auto"/>
        <w:tblLook w:val="04A0" w:firstRow="1" w:lastRow="0" w:firstColumn="1" w:lastColumn="0" w:noHBand="0" w:noVBand="1"/>
      </w:tblPr>
      <w:tblGrid>
        <w:gridCol w:w="4100"/>
        <w:gridCol w:w="4102"/>
      </w:tblGrid>
      <w:tr w:rsidR="009A12A8" w:rsidRPr="009A12A8" w:rsidTr="009A12A8">
        <w:trPr>
          <w:cnfStyle w:val="100000000000" w:firstRow="1" w:lastRow="0" w:firstColumn="0" w:lastColumn="0" w:oddVBand="0" w:evenVBand="0" w:oddHBand="0" w:evenHBand="0" w:firstRowFirstColumn="0" w:firstRowLastColumn="0" w:lastRowFirstColumn="0" w:lastRowLastColumn="0"/>
          <w:trHeight w:val="5150"/>
        </w:trPr>
        <w:tc>
          <w:tcPr>
            <w:cnfStyle w:val="001000000100" w:firstRow="0" w:lastRow="0" w:firstColumn="1" w:lastColumn="0" w:oddVBand="0" w:evenVBand="0" w:oddHBand="0" w:evenHBand="0" w:firstRowFirstColumn="1" w:firstRowLastColumn="0" w:lastRowFirstColumn="0" w:lastRowLastColumn="0"/>
            <w:tcW w:w="410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805" w:type="dxa"/>
              <w:tblLook w:val="04A0" w:firstRow="1" w:lastRow="0" w:firstColumn="1" w:lastColumn="0" w:noHBand="0" w:noVBand="1"/>
            </w:tblPr>
            <w:tblGrid>
              <w:gridCol w:w="1595"/>
              <w:gridCol w:w="2210"/>
            </w:tblGrid>
            <w:tr w:rsidR="009A12A8" w:rsidRPr="009A12A8" w:rsidTr="009A12A8">
              <w:trPr>
                <w:trHeight w:val="328"/>
              </w:trPr>
              <w:tc>
                <w:tcPr>
                  <w:tcW w:w="1595" w:type="dxa"/>
                  <w:shd w:val="clear" w:color="auto" w:fill="auto"/>
                  <w:noWrap/>
                  <w:vAlign w:val="bottom"/>
                  <w:hideMark/>
                </w:tcPr>
                <w:bookmarkEnd w:id="258"/>
                <w:bookmarkEnd w:id="259"/>
                <w:p w:rsidR="009A12A8" w:rsidRPr="009A12A8" w:rsidRDefault="009A12A8" w:rsidP="009A12A8">
                  <w:pPr>
                    <w:spacing w:line="240" w:lineRule="auto"/>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 of GDP</w:t>
                  </w:r>
                </w:p>
              </w:tc>
              <w:tc>
                <w:tcPr>
                  <w:tcW w:w="2210" w:type="dxa"/>
                  <w:shd w:val="clear" w:color="auto" w:fill="auto"/>
                  <w:noWrap/>
                  <w:vAlign w:val="bottom"/>
                  <w:hideMark/>
                </w:tcPr>
                <w:p w:rsidR="009A12A8" w:rsidRPr="009A12A8" w:rsidRDefault="009A12A8" w:rsidP="009A12A8">
                  <w:pPr>
                    <w:spacing w:line="240" w:lineRule="auto"/>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General government</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2002-03</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0.5</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2003-04</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0.6</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2004-05</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0.7</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2005-06</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1.0</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2006-07</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1.2</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2007-08</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1.3</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2008-09</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1.7</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2009-10</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2.3</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2010-11</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2.0</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2011-12</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1.7</w:t>
                  </w:r>
                </w:p>
              </w:tc>
            </w:tr>
            <w:tr w:rsidR="009A12A8" w:rsidRPr="009A12A8" w:rsidTr="009A12A8">
              <w:trPr>
                <w:trHeight w:val="328"/>
              </w:trPr>
              <w:tc>
                <w:tcPr>
                  <w:tcW w:w="1595" w:type="dxa"/>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2012-13</w:t>
                  </w:r>
                </w:p>
              </w:tc>
              <w:tc>
                <w:tcPr>
                  <w:tcW w:w="2210" w:type="dxa"/>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1.0</w:t>
                  </w:r>
                </w:p>
              </w:tc>
            </w:tr>
          </w:tbl>
          <w:p w:rsidR="009A12A8" w:rsidRPr="009A12A8" w:rsidRDefault="009A12A8" w:rsidP="009A12A8">
            <w:pPr>
              <w:pStyle w:val="PullOutBoxBodyText"/>
              <w:spacing w:after="0"/>
              <w:ind w:left="0"/>
            </w:pPr>
          </w:p>
        </w:tc>
        <w:tc>
          <w:tcPr>
            <w:tcW w:w="410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3546" w:type="dxa"/>
              <w:tblLook w:val="04A0" w:firstRow="1" w:lastRow="0" w:firstColumn="1" w:lastColumn="0" w:noHBand="0" w:noVBand="1"/>
            </w:tblPr>
            <w:tblGrid>
              <w:gridCol w:w="1457"/>
              <w:gridCol w:w="2089"/>
            </w:tblGrid>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 of GDP</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Public non-financial corporations</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2002-03</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0.3</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2003-04</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0.4</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2004-05</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0.6</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2005-06</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0.9</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2006-07</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1.1</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2007-08</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1.3</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2008-09</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1.6</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2009-10</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1.4</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2010-11</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1.0</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2011-12</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0.9</w:t>
                  </w:r>
                </w:p>
              </w:tc>
            </w:tr>
            <w:tr w:rsidR="009A12A8" w:rsidRPr="009A12A8" w:rsidTr="009A12A8">
              <w:trPr>
                <w:trHeight w:val="313"/>
              </w:trPr>
              <w:tc>
                <w:tcPr>
                  <w:tcW w:w="1457"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center"/>
                    <w:rPr>
                      <w:rFonts w:ascii="Calibri" w:eastAsia="Times New Roman" w:hAnsi="Calibri" w:cs="Times New Roman"/>
                      <w:b/>
                      <w:bCs/>
                      <w:color w:val="FFFFFF" w:themeColor="background1"/>
                      <w:lang w:eastAsia="en-AU"/>
                    </w:rPr>
                  </w:pPr>
                  <w:r w:rsidRPr="009A12A8">
                    <w:rPr>
                      <w:rFonts w:ascii="Calibri" w:eastAsia="Times New Roman" w:hAnsi="Calibri" w:cs="Times New Roman"/>
                      <w:b/>
                      <w:bCs/>
                      <w:color w:val="FFFFFF" w:themeColor="background1"/>
                      <w:lang w:eastAsia="en-AU"/>
                    </w:rPr>
                    <w:t>2012-13</w:t>
                  </w:r>
                </w:p>
              </w:tc>
              <w:tc>
                <w:tcPr>
                  <w:tcW w:w="2089" w:type="dxa"/>
                  <w:tcBorders>
                    <w:top w:val="nil"/>
                    <w:left w:val="nil"/>
                    <w:bottom w:val="nil"/>
                    <w:right w:val="nil"/>
                  </w:tcBorders>
                  <w:shd w:val="clear" w:color="auto" w:fill="auto"/>
                  <w:noWrap/>
                  <w:vAlign w:val="bottom"/>
                  <w:hideMark/>
                </w:tcPr>
                <w:p w:rsidR="009A12A8" w:rsidRPr="009A12A8" w:rsidRDefault="009A12A8" w:rsidP="009A12A8">
                  <w:pPr>
                    <w:spacing w:line="240" w:lineRule="auto"/>
                    <w:jc w:val="right"/>
                    <w:rPr>
                      <w:rFonts w:ascii="Calibri" w:eastAsia="Times New Roman" w:hAnsi="Calibri" w:cs="Times New Roman"/>
                      <w:color w:val="FFFFFF" w:themeColor="background1"/>
                      <w:lang w:eastAsia="en-AU"/>
                    </w:rPr>
                  </w:pPr>
                  <w:r w:rsidRPr="009A12A8">
                    <w:rPr>
                      <w:rFonts w:ascii="Calibri" w:eastAsia="Times New Roman" w:hAnsi="Calibri" w:cs="Times New Roman"/>
                      <w:color w:val="FFFFFF" w:themeColor="background1"/>
                      <w:lang w:eastAsia="en-AU"/>
                    </w:rPr>
                    <w:t>0.9</w:t>
                  </w:r>
                </w:p>
              </w:tc>
            </w:tr>
          </w:tbl>
          <w:p w:rsidR="009A12A8" w:rsidRPr="009A12A8" w:rsidRDefault="009A12A8" w:rsidP="009A12A8">
            <w:pPr>
              <w:pStyle w:val="PullOutBoxBodyText"/>
              <w:spacing w:after="0"/>
              <w:ind w:left="0"/>
              <w:jc w:val="left"/>
              <w:cnfStyle w:val="100000000000" w:firstRow="1" w:lastRow="0" w:firstColumn="0" w:lastColumn="0" w:oddVBand="0" w:evenVBand="0" w:oddHBand="0" w:evenHBand="0" w:firstRowFirstColumn="0" w:firstRowLastColumn="0" w:lastRowFirstColumn="0" w:lastRowLastColumn="0"/>
            </w:pPr>
          </w:p>
        </w:tc>
      </w:tr>
    </w:tbl>
    <w:p w:rsidR="00BF034B" w:rsidRDefault="00BF034B" w:rsidP="009A12A8">
      <w:pPr>
        <w:pStyle w:val="Source"/>
        <w:spacing w:before="0" w:after="0"/>
      </w:pPr>
      <w:r>
        <w:t>Source: ABS.</w:t>
      </w:r>
    </w:p>
    <w:p w:rsidR="00BF034B" w:rsidRDefault="00BF034B" w:rsidP="00940413">
      <w:pPr>
        <w:pStyle w:val="BodyText17ptAbove"/>
      </w:pPr>
      <w:r w:rsidRPr="002E4828">
        <w:t>Net capital investment by the PNFC sector across all levels of government increased from 0.3 per cent of GDP in 2002</w:t>
      </w:r>
      <w:r>
        <w:t>–</w:t>
      </w:r>
      <w:r w:rsidRPr="002E4828">
        <w:t>03 to 0.9 per cent of GDP in 2012</w:t>
      </w:r>
      <w:r>
        <w:t>–</w:t>
      </w:r>
      <w:r w:rsidRPr="002E4828">
        <w:t>13, growing by 14.9 per cent annually in real terms.  Net capital investment by PNFCs peaked at 1.6</w:t>
      </w:r>
      <w:r>
        <w:t> </w:t>
      </w:r>
      <w:r w:rsidRPr="002E4828">
        <w:t>per</w:t>
      </w:r>
      <w:r>
        <w:t> </w:t>
      </w:r>
      <w:r w:rsidRPr="002E4828">
        <w:t>cent of GDP in 2008</w:t>
      </w:r>
      <w:r>
        <w:t>–</w:t>
      </w:r>
      <w:r w:rsidRPr="002E4828">
        <w:t>09 reflecting infrastructure investment in energy, water and transport projects in major states.</w:t>
      </w:r>
    </w:p>
    <w:p w:rsidR="00BF034B" w:rsidRPr="00BF034B" w:rsidRDefault="00BF034B" w:rsidP="00940413">
      <w:pPr>
        <w:pStyle w:val="BodyText17ptAbove"/>
        <w:sectPr w:rsidR="00BF034B" w:rsidRPr="00BF034B" w:rsidSect="00316D7C">
          <w:footerReference w:type="default" r:id="rId69"/>
          <w:headerReference w:type="first" r:id="rId70"/>
          <w:pgSz w:w="11906" w:h="16838" w:code="9"/>
          <w:pgMar w:top="1361" w:right="1797" w:bottom="1474" w:left="1797" w:header="284" w:footer="454" w:gutter="0"/>
          <w:cols w:space="708"/>
          <w:docGrid w:linePitch="360"/>
        </w:sectPr>
      </w:pPr>
    </w:p>
    <w:p w:rsidR="00F14342" w:rsidRPr="00F14342" w:rsidRDefault="00F14342" w:rsidP="00F14342">
      <w:pPr>
        <w:pStyle w:val="Heading1"/>
      </w:pPr>
      <w:bookmarkStart w:id="260" w:name="_Toc415222937"/>
      <w:bookmarkStart w:id="261" w:name="_Toc418073726"/>
      <w:r w:rsidRPr="00F14342">
        <w:lastRenderedPageBreak/>
        <w:t>Net debt and financing costs</w:t>
      </w:r>
      <w:bookmarkEnd w:id="260"/>
      <w:bookmarkEnd w:id="261"/>
    </w:p>
    <w:p w:rsidR="00F14342" w:rsidRPr="00F14342" w:rsidRDefault="00F14342" w:rsidP="00F14342">
      <w:pPr>
        <w:pStyle w:val="BodyText"/>
      </w:pPr>
      <w:r w:rsidRPr="00F14342">
        <w:t xml:space="preserve">The balance sheet position </w:t>
      </w:r>
      <w:r w:rsidR="00E400D2">
        <w:t xml:space="preserve">of governments </w:t>
      </w:r>
      <w:r w:rsidRPr="00F14342">
        <w:t>is a consequence of the accumulated revenue, expenses and net capital investment flows discussed in previous chapters.</w:t>
      </w:r>
    </w:p>
    <w:p w:rsidR="000F1421" w:rsidRDefault="00F14342" w:rsidP="00F14342">
      <w:pPr>
        <w:pStyle w:val="BodyText"/>
      </w:pPr>
      <w:r w:rsidRPr="00F14342">
        <w:t>As noted in Chapter 1, both the Commonwealth and states ran fiscal deficits over the second half of the past decade</w:t>
      </w:r>
      <w:r w:rsidRPr="000F1421">
        <w:t xml:space="preserve">.  Fiscal deficits for the Commonwealth stemmed from </w:t>
      </w:r>
      <w:r w:rsidR="007A20DB">
        <w:t xml:space="preserve">growth in </w:t>
      </w:r>
      <w:r w:rsidRPr="000F1421">
        <w:t>recurrent expenditure ex</w:t>
      </w:r>
      <w:r w:rsidR="000F1421" w:rsidRPr="000F1421">
        <w:t>ceeding revenue</w:t>
      </w:r>
      <w:r w:rsidR="007A20DB">
        <w:t xml:space="preserve"> growth</w:t>
      </w:r>
      <w:r w:rsidR="000F1421" w:rsidRPr="000F1421">
        <w:t xml:space="preserve">.  </w:t>
      </w:r>
      <w:r w:rsidR="000F1421" w:rsidRPr="0037520E">
        <w:t>F</w:t>
      </w:r>
      <w:r w:rsidRPr="0037520E">
        <w:t xml:space="preserve">or the states, </w:t>
      </w:r>
      <w:r w:rsidR="000F1421" w:rsidRPr="0037520E">
        <w:t>the small operating surpluses accumulated during the first half of the decade (which included capital grants from the Commonwealth) were insufficient to fund overall state investment.</w:t>
      </w:r>
    </w:p>
    <w:p w:rsidR="00F14342" w:rsidRPr="00F14342" w:rsidRDefault="00F14342" w:rsidP="00F14342">
      <w:pPr>
        <w:pStyle w:val="BodyText"/>
      </w:pPr>
      <w:r w:rsidRPr="00F14342">
        <w:t xml:space="preserve">Fiscal deficits </w:t>
      </w:r>
      <w:r w:rsidR="00FB23FE">
        <w:t>must be funded, requiring</w:t>
      </w:r>
      <w:r w:rsidRPr="00F14342">
        <w:t xml:space="preserve"> governments to liquidate assets or borrow</w:t>
      </w:r>
      <w:r w:rsidR="00FB23FE">
        <w:t>.</w:t>
      </w:r>
      <w:r w:rsidRPr="00F14342">
        <w:t xml:space="preserve">  Both the Commonwealth and the states have in large part funded fiscal deficits through borrowing with a consequent impact on their net debt</w:t>
      </w:r>
      <w:r w:rsidR="00BF436B" w:rsidRPr="00B86531">
        <w:rPr>
          <w:rStyle w:val="FootnoteReference"/>
        </w:rPr>
        <w:footnoteReference w:id="39"/>
      </w:r>
      <w:r w:rsidRPr="00F14342">
        <w:t xml:space="preserve"> position</w:t>
      </w:r>
      <w:r w:rsidR="00FB23FE">
        <w:t>s</w:t>
      </w:r>
      <w:r w:rsidRPr="00F14342">
        <w:t>.</w:t>
      </w:r>
    </w:p>
    <w:p w:rsidR="00F14342" w:rsidRPr="00F14342" w:rsidRDefault="00F14342" w:rsidP="00F14342">
      <w:pPr>
        <w:pStyle w:val="BodyText"/>
      </w:pPr>
      <w:r w:rsidRPr="00F14342">
        <w:t>As Chapter 4 highlighted, investments in schools, health facilities and most roads are undertaken by the general government sector (predominately states).  Where assets have a long effective life, they are commonly funded by debt which spreads the cost across the life of the asset.  Such investments may provide an economic return to the extent that they improve the productive capacity of the economy such that the future economic benefits will outweigh the cost.  These investments still need to be financed and their interest costs are met from recurrent budgets.</w:t>
      </w:r>
    </w:p>
    <w:p w:rsidR="00F14342" w:rsidRDefault="00F14342" w:rsidP="00F14342">
      <w:pPr>
        <w:pStyle w:val="Heading2"/>
      </w:pPr>
      <w:r w:rsidRPr="00F14342">
        <w:t>National net debt</w:t>
      </w:r>
    </w:p>
    <w:p w:rsidR="00F14342" w:rsidRDefault="00F14342" w:rsidP="00F14342">
      <w:pPr>
        <w:pStyle w:val="BodyText"/>
      </w:pPr>
      <w:r w:rsidRPr="00F14342">
        <w:t>Net debt across all levels of government increased from 2.1 per cent of GDP in 2002–03 to 12.4 per cent of GDP in 2012–13 (</w:t>
      </w:r>
      <w:r w:rsidR="00262AF4">
        <w:fldChar w:fldCharType="begin"/>
      </w:r>
      <w:r w:rsidR="00262AF4">
        <w:instrText xml:space="preserve"> REF _Ref415145523 \h </w:instrText>
      </w:r>
      <w:r w:rsidR="00262AF4">
        <w:fldChar w:fldCharType="separate"/>
      </w:r>
      <w:r w:rsidR="008B68F4" w:rsidRPr="000F18DC">
        <w:t xml:space="preserve">Figure </w:t>
      </w:r>
      <w:r w:rsidR="008B68F4">
        <w:rPr>
          <w:noProof/>
        </w:rPr>
        <w:t>5</w:t>
      </w:r>
      <w:r w:rsidR="008B68F4">
        <w:noBreakHyphen/>
      </w:r>
      <w:r w:rsidR="008B68F4">
        <w:rPr>
          <w:noProof/>
        </w:rPr>
        <w:t>1</w:t>
      </w:r>
      <w:r w:rsidR="00262AF4">
        <w:fldChar w:fldCharType="end"/>
      </w:r>
      <w:r w:rsidRPr="00F14342">
        <w:t xml:space="preserve">).  According to Commonwealth and state and territory budget papers, projected fiscal deficits result in </w:t>
      </w:r>
      <w:r w:rsidR="00FB23FE">
        <w:t xml:space="preserve">projected </w:t>
      </w:r>
      <w:r w:rsidRPr="00F14342">
        <w:t xml:space="preserve">total national net debt peaking at </w:t>
      </w:r>
      <w:r w:rsidR="00103306">
        <w:t>19.9</w:t>
      </w:r>
      <w:r w:rsidRPr="00F14342">
        <w:t xml:space="preserve"> per cent of GDP in 2016–17 before falling to 19.</w:t>
      </w:r>
      <w:r w:rsidR="00103306">
        <w:t>5</w:t>
      </w:r>
      <w:r w:rsidRPr="00F14342">
        <w:t xml:space="preserve"> per cent of GDP in 2017–18.</w:t>
      </w:r>
    </w:p>
    <w:p w:rsidR="00F14342" w:rsidRDefault="007B2243" w:rsidP="000F18DC">
      <w:pPr>
        <w:pStyle w:val="Caption"/>
      </w:pPr>
      <w:bookmarkStart w:id="262" w:name="_Ref415145523"/>
      <w:bookmarkStart w:id="263" w:name="_Toc415222977"/>
      <w:bookmarkStart w:id="264" w:name="_Toc418073837"/>
      <w:r w:rsidRPr="007B2243">
        <w:rPr>
          <w:noProof/>
          <w:lang w:eastAsia="en-AU"/>
        </w:rPr>
        <w:lastRenderedPageBreak/>
        <w:drawing>
          <wp:anchor distT="0" distB="0" distL="114300" distR="114300" simplePos="0" relativeHeight="251691008" behindDoc="0" locked="0" layoutInCell="1" allowOverlap="1" wp14:anchorId="15B22B6D" wp14:editId="6F38AC31">
            <wp:simplePos x="0" y="0"/>
            <wp:positionH relativeFrom="column">
              <wp:posOffset>1905</wp:posOffset>
            </wp:positionH>
            <wp:positionV relativeFrom="paragraph">
              <wp:posOffset>243840</wp:posOffset>
            </wp:positionV>
            <wp:extent cx="5278120" cy="35140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12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8DC" w:rsidRPr="000F18DC">
        <w:t xml:space="preserve">Figure </w:t>
      </w:r>
      <w:r w:rsidR="003A23CE">
        <w:fldChar w:fldCharType="begin"/>
      </w:r>
      <w:r w:rsidR="003A23CE">
        <w:instrText xml:space="preserve"> STYLEREF 1 \s </w:instrText>
      </w:r>
      <w:r w:rsidR="003A23CE">
        <w:fldChar w:fldCharType="separate"/>
      </w:r>
      <w:r w:rsidR="008B68F4">
        <w:rPr>
          <w:noProof/>
        </w:rPr>
        <w:t>5</w:t>
      </w:r>
      <w:r w:rsidR="003A23CE">
        <w:rPr>
          <w:noProof/>
        </w:rPr>
        <w:fldChar w:fldCharType="end"/>
      </w:r>
      <w:r w:rsidR="001064E2">
        <w:noBreakHyphen/>
      </w:r>
      <w:r w:rsidR="003A23CE">
        <w:fldChar w:fldCharType="begin"/>
      </w:r>
      <w:r w:rsidR="003A23CE">
        <w:instrText xml:space="preserve"> SEQ Figure \* ARABIC \</w:instrText>
      </w:r>
      <w:r w:rsidR="003A23CE">
        <w:instrText xml:space="preserve">s 1 </w:instrText>
      </w:r>
      <w:r w:rsidR="003A23CE">
        <w:fldChar w:fldCharType="separate"/>
      </w:r>
      <w:r w:rsidR="008B68F4">
        <w:rPr>
          <w:noProof/>
        </w:rPr>
        <w:t>1</w:t>
      </w:r>
      <w:r w:rsidR="003A23CE">
        <w:rPr>
          <w:noProof/>
        </w:rPr>
        <w:fldChar w:fldCharType="end"/>
      </w:r>
      <w:bookmarkEnd w:id="262"/>
      <w:r w:rsidR="000F18DC" w:rsidRPr="000F18DC">
        <w:t xml:space="preserve">: </w:t>
      </w:r>
      <w:r w:rsidR="000F18DC" w:rsidRPr="00BF0E43">
        <w:t>Commonwealth and state</w:t>
      </w:r>
      <w:r w:rsidR="000F18DC">
        <w:t xml:space="preserve"> </w:t>
      </w:r>
      <w:r w:rsidR="000F18DC" w:rsidRPr="00BF0E43">
        <w:t>net debt</w:t>
      </w:r>
      <w:bookmarkEnd w:id="263"/>
      <w:bookmarkEnd w:id="264"/>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752"/>
        <w:gridCol w:w="2752"/>
      </w:tblGrid>
      <w:tr w:rsidR="007B2243" w:rsidRPr="007B2243" w:rsidTr="007B2243">
        <w:trPr>
          <w:cnfStyle w:val="100000000000" w:firstRow="1" w:lastRow="0" w:firstColumn="0" w:lastColumn="0" w:oddVBand="0" w:evenVBand="0" w:oddHBand="0" w:evenHBand="0" w:firstRowFirstColumn="0" w:firstRowLastColumn="0" w:lastRowFirstColumn="0" w:lastRowLastColumn="0"/>
          <w:trHeight w:hRule="exact" w:val="5387"/>
        </w:trPr>
        <w:tc>
          <w:tcPr>
            <w:cnfStyle w:val="001000000100" w:firstRow="0" w:lastRow="0" w:firstColumn="1" w:lastColumn="0" w:oddVBand="0" w:evenVBand="0" w:oddHBand="0" w:evenHBand="0" w:firstRowFirstColumn="1" w:firstRowLastColumn="0" w:lastRowFirstColumn="0" w:lastRowLastColumn="0"/>
            <w:tcW w:w="2842" w:type="dxa"/>
            <w:shd w:val="clear" w:color="auto" w:fill="auto"/>
          </w:tcPr>
          <w:tbl>
            <w:tblPr>
              <w:tblW w:w="2419" w:type="dxa"/>
              <w:tblLook w:val="04A0" w:firstRow="1" w:lastRow="0" w:firstColumn="1" w:lastColumn="0" w:noHBand="0" w:noVBand="1"/>
            </w:tblPr>
            <w:tblGrid>
              <w:gridCol w:w="960"/>
              <w:gridCol w:w="1645"/>
            </w:tblGrid>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of GDP</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xml:space="preserve">Commonwealth </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2002-03</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3.4</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2003-04</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2.3</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2004-05</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0.9</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2005-06</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-1.3</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2006-07</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-3.8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2007-08</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-4.6</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2008-09</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-1.7</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2009-10</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3.2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2010-11</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6.0</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2011-12</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10.0</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2012-13</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10.1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2013-14</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12.8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2014-15</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15.2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2015-16</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16.7</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2016-17</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17.2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2017-18</w:t>
                  </w:r>
                </w:p>
              </w:tc>
              <w:tc>
                <w:tcPr>
                  <w:tcW w:w="1459"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17.0</w:t>
                  </w:r>
                </w:p>
              </w:tc>
            </w:tr>
          </w:tbl>
          <w:p w:rsidR="007B2243" w:rsidRPr="007B2243" w:rsidRDefault="007B2243" w:rsidP="000F18DC">
            <w:pPr>
              <w:pStyle w:val="BodyText"/>
            </w:pPr>
          </w:p>
        </w:tc>
        <w:tc>
          <w:tcPr>
            <w:tcW w:w="2843" w:type="dxa"/>
            <w:shd w:val="clear" w:color="auto" w:fill="auto"/>
          </w:tcPr>
          <w:tbl>
            <w:tblPr>
              <w:tblW w:w="1920" w:type="dxa"/>
              <w:tblLook w:val="04A0" w:firstRow="1" w:lastRow="0" w:firstColumn="1" w:lastColumn="0" w:noHBand="0" w:noVBand="1"/>
            </w:tblPr>
            <w:tblGrid>
              <w:gridCol w:w="960"/>
              <w:gridCol w:w="960"/>
            </w:tblGrid>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of GDP</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xml:space="preserve">State </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-1.3</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-2.0</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-2.7</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-3.6</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-2.9</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-1.4</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-0.4</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0.1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2013-14</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2.3</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2014-15</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2.7</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2015-16</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2.5</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2016-17</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2.7</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2017-18</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2.5</w:t>
                  </w:r>
                </w:p>
              </w:tc>
            </w:tr>
          </w:tbl>
          <w:p w:rsidR="007B2243" w:rsidRPr="007B2243" w:rsidRDefault="007B2243" w:rsidP="007B2243">
            <w:pPr>
              <w:pStyle w:val="BodyText"/>
              <w:jc w:val="left"/>
              <w:cnfStyle w:val="100000000000" w:firstRow="1" w:lastRow="0" w:firstColumn="0" w:lastColumn="0" w:oddVBand="0" w:evenVBand="0" w:oddHBand="0" w:evenHBand="0" w:firstRowFirstColumn="0" w:firstRowLastColumn="0" w:lastRowFirstColumn="0" w:lastRowLastColumn="0"/>
            </w:pPr>
          </w:p>
        </w:tc>
        <w:tc>
          <w:tcPr>
            <w:tcW w:w="2843" w:type="dxa"/>
            <w:shd w:val="clear" w:color="auto" w:fill="auto"/>
          </w:tcPr>
          <w:tbl>
            <w:tblPr>
              <w:tblW w:w="1920" w:type="dxa"/>
              <w:tblLook w:val="04A0" w:firstRow="1" w:lastRow="0" w:firstColumn="1" w:lastColumn="0" w:noHBand="0" w:noVBand="1"/>
            </w:tblPr>
            <w:tblGrid>
              <w:gridCol w:w="960"/>
              <w:gridCol w:w="960"/>
            </w:tblGrid>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of GDP</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 xml:space="preserve">Total </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2002-03</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2003-04</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0.3</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2004-05</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2005-06</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-4.9</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2006-07</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-6.8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2007-08</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-6.8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2008-09</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-3.2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2009-10</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2.8</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2010-11</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6.0</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2011-12</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11.1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2012-13</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12.4</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2013-14</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15.1</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2014-15</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17.9</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2015-16</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19.2</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2016-17</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19.9</w:t>
                  </w:r>
                </w:p>
              </w:tc>
            </w:tr>
            <w:tr w:rsidR="007B2243" w:rsidRPr="007B2243" w:rsidTr="007B2243">
              <w:trPr>
                <w:trHeight w:val="300"/>
              </w:trPr>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rPr>
                      <w:rFonts w:ascii="Calibri" w:eastAsia="Times New Roman" w:hAnsi="Calibri" w:cs="Times New Roman"/>
                      <w:b/>
                      <w:bCs/>
                      <w:color w:val="FFFFFF" w:themeColor="background1"/>
                      <w:lang w:eastAsia="en-AU"/>
                    </w:rPr>
                  </w:pPr>
                  <w:r w:rsidRPr="007B2243">
                    <w:rPr>
                      <w:rFonts w:ascii="Calibri" w:eastAsia="Times New Roman" w:hAnsi="Calibri" w:cs="Times New Roman"/>
                      <w:b/>
                      <w:bCs/>
                      <w:color w:val="FFFFFF" w:themeColor="background1"/>
                      <w:lang w:eastAsia="en-AU"/>
                    </w:rPr>
                    <w:t>2017-18</w:t>
                  </w:r>
                </w:p>
              </w:tc>
              <w:tc>
                <w:tcPr>
                  <w:tcW w:w="960" w:type="dxa"/>
                  <w:tcBorders>
                    <w:top w:val="nil"/>
                    <w:left w:val="nil"/>
                    <w:bottom w:val="nil"/>
                    <w:right w:val="nil"/>
                  </w:tcBorders>
                  <w:shd w:val="clear" w:color="auto" w:fill="auto"/>
                  <w:noWrap/>
                  <w:vAlign w:val="bottom"/>
                  <w:hideMark/>
                </w:tcPr>
                <w:p w:rsidR="007B2243" w:rsidRPr="007B2243" w:rsidRDefault="007B2243" w:rsidP="007B2243">
                  <w:pPr>
                    <w:spacing w:line="240" w:lineRule="auto"/>
                    <w:jc w:val="right"/>
                    <w:rPr>
                      <w:rFonts w:ascii="Calibri" w:eastAsia="Times New Roman" w:hAnsi="Calibri" w:cs="Times New Roman"/>
                      <w:color w:val="FFFFFF" w:themeColor="background1"/>
                      <w:lang w:eastAsia="en-AU"/>
                    </w:rPr>
                  </w:pPr>
                  <w:r w:rsidRPr="007B2243">
                    <w:rPr>
                      <w:rFonts w:ascii="Calibri" w:eastAsia="Times New Roman" w:hAnsi="Calibri" w:cs="Times New Roman"/>
                      <w:color w:val="FFFFFF" w:themeColor="background1"/>
                      <w:lang w:eastAsia="en-AU"/>
                    </w:rPr>
                    <w:t>19.5</w:t>
                  </w:r>
                </w:p>
              </w:tc>
            </w:tr>
          </w:tbl>
          <w:p w:rsidR="007B2243" w:rsidRPr="007B2243" w:rsidRDefault="007B2243" w:rsidP="007B2243">
            <w:pPr>
              <w:pStyle w:val="BodyText"/>
              <w:jc w:val="left"/>
              <w:cnfStyle w:val="100000000000" w:firstRow="1" w:lastRow="0" w:firstColumn="0" w:lastColumn="0" w:oddVBand="0" w:evenVBand="0" w:oddHBand="0" w:evenHBand="0" w:firstRowFirstColumn="0" w:firstRowLastColumn="0" w:lastRowFirstColumn="0" w:lastRowLastColumn="0"/>
            </w:pPr>
          </w:p>
        </w:tc>
      </w:tr>
    </w:tbl>
    <w:p w:rsidR="000F18DC" w:rsidRDefault="000F18DC" w:rsidP="000F18DC">
      <w:pPr>
        <w:pStyle w:val="Source"/>
      </w:pPr>
      <w:r>
        <w:t>Source: ABS and Commonwealth and state budget papers.</w:t>
      </w:r>
      <w:r w:rsidR="007B2243" w:rsidRPr="007B2243">
        <w:t xml:space="preserve"> </w:t>
      </w:r>
    </w:p>
    <w:p w:rsidR="000F18DC" w:rsidRDefault="000F18DC" w:rsidP="000F18DC">
      <w:pPr>
        <w:pStyle w:val="Heading3"/>
      </w:pPr>
      <w:r>
        <w:t>Commonwealth net debt</w:t>
      </w:r>
    </w:p>
    <w:p w:rsidR="000F18DC" w:rsidRDefault="00262AF4" w:rsidP="000F18DC">
      <w:pPr>
        <w:pStyle w:val="BodyText"/>
      </w:pPr>
      <w:r>
        <w:fldChar w:fldCharType="begin"/>
      </w:r>
      <w:r>
        <w:instrText xml:space="preserve"> REF _Ref415145523 \h </w:instrText>
      </w:r>
      <w:r>
        <w:fldChar w:fldCharType="separate"/>
      </w:r>
      <w:r w:rsidR="008B68F4" w:rsidRPr="000F18DC">
        <w:t xml:space="preserve">Figure </w:t>
      </w:r>
      <w:r w:rsidR="008B68F4">
        <w:rPr>
          <w:noProof/>
        </w:rPr>
        <w:t>5</w:t>
      </w:r>
      <w:r w:rsidR="008B68F4">
        <w:noBreakHyphen/>
      </w:r>
      <w:r w:rsidR="008B68F4">
        <w:rPr>
          <w:noProof/>
        </w:rPr>
        <w:t>1</w:t>
      </w:r>
      <w:r>
        <w:fldChar w:fldCharType="end"/>
      </w:r>
      <w:r w:rsidR="000F18DC" w:rsidRPr="00A44145">
        <w:t xml:space="preserve"> underlines that the increase in total national net debt has been largely driven by the Commonwealth. </w:t>
      </w:r>
      <w:r w:rsidR="000F18DC">
        <w:t xml:space="preserve"> </w:t>
      </w:r>
      <w:r w:rsidR="000F18DC" w:rsidRPr="00A44145">
        <w:t>The deterioration in the Commonwealth’s fiscal balance position has resulted in Commonwealth net debt increasing f</w:t>
      </w:r>
      <w:r w:rsidR="000F18DC">
        <w:t>rom 3.4 per cent of GDP in 2002–03 to 10.1 per cent in 2012–13.</w:t>
      </w:r>
    </w:p>
    <w:p w:rsidR="000F18DC" w:rsidRDefault="000F18DC" w:rsidP="000F18DC">
      <w:pPr>
        <w:pStyle w:val="BodyText"/>
      </w:pPr>
      <w:r>
        <w:t>Successive fiscal surpluses over the first half of the decade (combined with the third tranche Telstra sale) resulted in a significant improvement in the Commonwealth’s net debt position.  This was reversed during the middle of the decade as the Commonwealth government borrowed to finance its recurrent expenditure.</w:t>
      </w:r>
    </w:p>
    <w:p w:rsidR="000F18DC" w:rsidRDefault="000F18DC" w:rsidP="000F18DC">
      <w:pPr>
        <w:pStyle w:val="BodyText"/>
      </w:pPr>
      <w:r>
        <w:t>T</w:t>
      </w:r>
      <w:r w:rsidRPr="00335D25">
        <w:t xml:space="preserve">he Commonwealth </w:t>
      </w:r>
      <w:r w:rsidR="00FB23FE">
        <w:t xml:space="preserve">(2014-15 MYEFO) </w:t>
      </w:r>
      <w:r w:rsidRPr="00335D25">
        <w:t xml:space="preserve">is projecting net debt to peak </w:t>
      </w:r>
      <w:r>
        <w:t>at 17.2 per cent of GDP in 2016–</w:t>
      </w:r>
      <w:r w:rsidRPr="00335D25">
        <w:t xml:space="preserve">17 and then fall </w:t>
      </w:r>
      <w:r>
        <w:t>to 17.0 per cent of GDP by 2017–</w:t>
      </w:r>
      <w:r w:rsidRPr="00335D25">
        <w:t>18, reflecting the forecast improvement in the fiscal balance.</w:t>
      </w:r>
    </w:p>
    <w:p w:rsidR="000F18DC" w:rsidRDefault="000F18DC" w:rsidP="000F18DC">
      <w:pPr>
        <w:pStyle w:val="Heading3"/>
      </w:pPr>
      <w:r>
        <w:t>State net debt</w:t>
      </w:r>
    </w:p>
    <w:p w:rsidR="000F18DC" w:rsidRPr="00A44145" w:rsidRDefault="000F18DC" w:rsidP="000F18DC">
      <w:pPr>
        <w:pStyle w:val="BodyText"/>
      </w:pPr>
      <w:r w:rsidRPr="00A44145">
        <w:t xml:space="preserve">Compared to the Commonwealth, the increase in state net debt was modest. </w:t>
      </w:r>
      <w:r>
        <w:t xml:space="preserve"> </w:t>
      </w:r>
      <w:r w:rsidRPr="00A44145">
        <w:t>States moved from a net asset position</w:t>
      </w:r>
      <w:r>
        <w:t xml:space="preserve"> of 1.3 per cent of GDP in 2002–</w:t>
      </w:r>
      <w:r w:rsidRPr="00A44145">
        <w:t>03 to a net debt position</w:t>
      </w:r>
      <w:r>
        <w:t xml:space="preserve"> of 2.2 per cent of GDP in 2012–</w:t>
      </w:r>
      <w:r w:rsidRPr="00A44145">
        <w:t>13.</w:t>
      </w:r>
    </w:p>
    <w:p w:rsidR="00764725" w:rsidRDefault="000F18DC" w:rsidP="000F18DC">
      <w:pPr>
        <w:pStyle w:val="BodyText"/>
      </w:pPr>
      <w:r>
        <w:t>Like the Commonwealth, states also experienced a period of improvement in their net debt position at the beginning of the past decade.</w:t>
      </w:r>
      <w:r w:rsidR="00764725">
        <w:br w:type="page"/>
      </w:r>
    </w:p>
    <w:p w:rsidR="000F18DC" w:rsidRDefault="000F18DC" w:rsidP="000F18DC">
      <w:pPr>
        <w:pStyle w:val="BodyText"/>
      </w:pPr>
      <w:r w:rsidRPr="000F1421">
        <w:lastRenderedPageBreak/>
        <w:t xml:space="preserve">However, unlike the Commonwealth, the states borrowed primarily to fund capital rather than recurrent expenditure, as infrastructure </w:t>
      </w:r>
      <w:r w:rsidRPr="0037520E">
        <w:t>investment ramped up in the middle of the deca</w:t>
      </w:r>
      <w:r w:rsidR="000F1421" w:rsidRPr="0037520E">
        <w:t xml:space="preserve">de (see Chapter 4). </w:t>
      </w:r>
      <w:r w:rsidR="00350AB8" w:rsidRPr="0037520E">
        <w:t xml:space="preserve"> </w:t>
      </w:r>
      <w:r w:rsidR="000F1421" w:rsidRPr="0037520E">
        <w:t xml:space="preserve">The small operating surpluses accumulated during the first half of the decade (which included capital grants from the Commonwealth) were insufficient to fund overall state investment, meaning that states </w:t>
      </w:r>
      <w:r w:rsidR="007605D6" w:rsidRPr="0037520E">
        <w:t>incurred additional</w:t>
      </w:r>
      <w:r w:rsidR="000F1421" w:rsidRPr="0037520E">
        <w:t xml:space="preserve"> borrowing.</w:t>
      </w:r>
    </w:p>
    <w:p w:rsidR="000F18DC" w:rsidRDefault="000F18DC" w:rsidP="000F18DC">
      <w:pPr>
        <w:pStyle w:val="BodyText"/>
      </w:pPr>
      <w:r w:rsidRPr="00335D25">
        <w:t xml:space="preserve">According to state budgets, </w:t>
      </w:r>
      <w:r>
        <w:t xml:space="preserve">state </w:t>
      </w:r>
      <w:r w:rsidRPr="00335D25">
        <w:t>net de</w:t>
      </w:r>
      <w:r>
        <w:t>bt is projected to peak in 2014–</w:t>
      </w:r>
      <w:r w:rsidRPr="00335D25">
        <w:t>15 at</w:t>
      </w:r>
      <w:r>
        <w:t xml:space="preserve"> 2.</w:t>
      </w:r>
      <w:r w:rsidR="007744CA">
        <w:t>7</w:t>
      </w:r>
      <w:r w:rsidRPr="00335D25">
        <w:t xml:space="preserve"> per cent of GDP and then fall to </w:t>
      </w:r>
      <w:r>
        <w:t>2.</w:t>
      </w:r>
      <w:r w:rsidR="007744CA">
        <w:t>5</w:t>
      </w:r>
      <w:r w:rsidRPr="00335D25">
        <w:t xml:space="preserve"> per cent </w:t>
      </w:r>
      <w:r>
        <w:t xml:space="preserve">in </w:t>
      </w:r>
      <w:r w:rsidRPr="00335D25">
        <w:t>2017</w:t>
      </w:r>
      <w:r>
        <w:t>–</w:t>
      </w:r>
      <w:r w:rsidRPr="00335D25">
        <w:t>18 as most states adopt a strategy of fiscal consolidation.</w:t>
      </w:r>
    </w:p>
    <w:p w:rsidR="000F18DC" w:rsidRDefault="000F18DC" w:rsidP="000F18DC">
      <w:pPr>
        <w:pStyle w:val="Heading2"/>
      </w:pPr>
      <w:r w:rsidRPr="000F18DC">
        <w:t>Net debt by jurisdiction</w:t>
      </w:r>
    </w:p>
    <w:p w:rsidR="000F18DC" w:rsidRDefault="000F18DC" w:rsidP="000F18DC">
      <w:pPr>
        <w:pStyle w:val="BodyText"/>
      </w:pPr>
      <w:r>
        <w:t xml:space="preserve">All jurisdictions (with the exception of Tasmania and the Northern Territory) have experienced an increase in net debt over the past decade.  Jurisdictions have generally followed the same pattern in terms of their net debt profile—a short period of balance sheet consolidation and then a rapid increase in net debt from the middle of the </w:t>
      </w:r>
      <w:proofErr w:type="gramStart"/>
      <w:r>
        <w:t>decade</w:t>
      </w:r>
      <w:proofErr w:type="gramEnd"/>
      <w:r>
        <w:br/>
        <w:t>(</w:t>
      </w:r>
      <w:r w:rsidR="00262AF4">
        <w:fldChar w:fldCharType="begin"/>
      </w:r>
      <w:r w:rsidR="00262AF4">
        <w:instrText xml:space="preserve"> REF _Ref415145627 \h </w:instrText>
      </w:r>
      <w:r w:rsidR="00262AF4">
        <w:fldChar w:fldCharType="separate"/>
      </w:r>
      <w:r w:rsidR="008B68F4" w:rsidRPr="00A410AA">
        <w:t xml:space="preserve">Figure </w:t>
      </w:r>
      <w:r w:rsidR="008B68F4">
        <w:rPr>
          <w:noProof/>
        </w:rPr>
        <w:t>5</w:t>
      </w:r>
      <w:r w:rsidR="008B68F4">
        <w:noBreakHyphen/>
      </w:r>
      <w:r w:rsidR="008B68F4">
        <w:rPr>
          <w:noProof/>
        </w:rPr>
        <w:t>2</w:t>
      </w:r>
      <w:r w:rsidR="00262AF4">
        <w:fldChar w:fldCharType="end"/>
      </w:r>
      <w:r>
        <w:t>).</w:t>
      </w:r>
    </w:p>
    <w:p w:rsidR="00A410AA" w:rsidRDefault="00510BF4" w:rsidP="00A410AA">
      <w:pPr>
        <w:pStyle w:val="Caption"/>
      </w:pPr>
      <w:bookmarkStart w:id="265" w:name="_Ref415145627"/>
      <w:bookmarkStart w:id="266" w:name="_Toc415222978"/>
      <w:bookmarkStart w:id="267" w:name="_Toc418073838"/>
      <w:r>
        <w:rPr>
          <w:noProof/>
          <w:lang w:eastAsia="en-AU"/>
        </w:rPr>
        <w:drawing>
          <wp:anchor distT="0" distB="0" distL="114300" distR="114300" simplePos="0" relativeHeight="251692032" behindDoc="0" locked="0" layoutInCell="1" allowOverlap="1" wp14:anchorId="6C32CB75" wp14:editId="73B44ADA">
            <wp:simplePos x="0" y="0"/>
            <wp:positionH relativeFrom="column">
              <wp:posOffset>8890</wp:posOffset>
            </wp:positionH>
            <wp:positionV relativeFrom="paragraph">
              <wp:posOffset>344170</wp:posOffset>
            </wp:positionV>
            <wp:extent cx="5153025" cy="488378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53025" cy="4883785"/>
                    </a:xfrm>
                    <a:prstGeom prst="rect">
                      <a:avLst/>
                    </a:prstGeom>
                    <a:noFill/>
                  </pic:spPr>
                </pic:pic>
              </a:graphicData>
            </a:graphic>
            <wp14:sizeRelH relativeFrom="page">
              <wp14:pctWidth>0</wp14:pctWidth>
            </wp14:sizeRelH>
            <wp14:sizeRelV relativeFrom="page">
              <wp14:pctHeight>0</wp14:pctHeight>
            </wp14:sizeRelV>
          </wp:anchor>
        </w:drawing>
      </w:r>
      <w:r w:rsidR="00A410AA" w:rsidRPr="00A410AA">
        <w:t xml:space="preserve">Figure </w:t>
      </w:r>
      <w:r w:rsidR="003A23CE">
        <w:fldChar w:fldCharType="begin"/>
      </w:r>
      <w:r w:rsidR="003A23CE">
        <w:instrText xml:space="preserve"> STYLEREF 1 \s </w:instrText>
      </w:r>
      <w:r w:rsidR="003A23CE">
        <w:fldChar w:fldCharType="separate"/>
      </w:r>
      <w:r w:rsidR="008B68F4">
        <w:rPr>
          <w:noProof/>
        </w:rPr>
        <w:t>5</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2</w:t>
      </w:r>
      <w:r w:rsidR="003A23CE">
        <w:rPr>
          <w:noProof/>
        </w:rPr>
        <w:fldChar w:fldCharType="end"/>
      </w:r>
      <w:bookmarkEnd w:id="265"/>
      <w:r w:rsidR="00A410AA" w:rsidRPr="00A410AA">
        <w:t xml:space="preserve">: </w:t>
      </w:r>
      <w:r w:rsidR="00A410AA">
        <w:t>N</w:t>
      </w:r>
      <w:r w:rsidR="00A410AA" w:rsidRPr="0037693E">
        <w:t>et debt by jurisdiction</w:t>
      </w:r>
      <w:bookmarkEnd w:id="266"/>
      <w:bookmarkEnd w:id="267"/>
    </w:p>
    <w:tbl>
      <w:tblPr>
        <w:tblStyle w:val="TableGrid"/>
        <w:tblW w:w="0" w:type="auto"/>
        <w:tblLook w:val="04A0" w:firstRow="1" w:lastRow="0" w:firstColumn="1" w:lastColumn="0" w:noHBand="0" w:noVBand="1"/>
      </w:tblPr>
      <w:tblGrid>
        <w:gridCol w:w="2090"/>
        <w:gridCol w:w="2074"/>
        <w:gridCol w:w="2074"/>
        <w:gridCol w:w="2074"/>
      </w:tblGrid>
      <w:tr w:rsidR="00510BF4" w:rsidRPr="00510BF4" w:rsidTr="00510BF4">
        <w:trPr>
          <w:cnfStyle w:val="100000000000" w:firstRow="1" w:lastRow="0" w:firstColumn="0" w:lastColumn="0" w:oddVBand="0" w:evenVBand="0" w:oddHBand="0" w:evenHBand="0" w:firstRowFirstColumn="0" w:firstRowLastColumn="0" w:lastRowFirstColumn="0" w:lastRowLastColumn="0"/>
          <w:trHeight w:hRule="exact" w:val="3686"/>
        </w:trPr>
        <w:tc>
          <w:tcPr>
            <w:cnfStyle w:val="001000000100" w:firstRow="0" w:lastRow="0" w:firstColumn="1" w:lastColumn="0" w:oddVBand="0" w:evenVBand="0" w:oddHBand="0" w:evenHBand="0" w:firstRowFirstColumn="1" w:firstRowLastColumn="0" w:lastRowFirstColumn="0" w:lastRowLastColumn="0"/>
            <w:tcW w:w="2132" w:type="dxa"/>
            <w:shd w:val="clear" w:color="auto" w:fill="auto"/>
          </w:tcPr>
          <w:tbl>
            <w:tblPr>
              <w:tblW w:w="1920" w:type="dxa"/>
              <w:tblLook w:val="04A0" w:firstRow="1" w:lastRow="0" w:firstColumn="1" w:lastColumn="0" w:noHBand="0" w:noVBand="1"/>
            </w:tblPr>
            <w:tblGrid>
              <w:gridCol w:w="960"/>
              <w:gridCol w:w="1013"/>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Commonwealth</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-4.6</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6.0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10.0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10.1</w:t>
                  </w:r>
                </w:p>
              </w:tc>
            </w:tr>
          </w:tbl>
          <w:p w:rsidR="00510BF4" w:rsidRPr="00510BF4" w:rsidRDefault="00510BF4" w:rsidP="00A410AA">
            <w:pPr>
              <w:pStyle w:val="BodyText"/>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Victoria</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0.5</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5.5</w:t>
                  </w:r>
                </w:p>
              </w:tc>
            </w:tr>
          </w:tbl>
          <w:p w:rsidR="00510BF4" w:rsidRPr="00510BF4" w:rsidRDefault="00510BF4" w:rsidP="00510BF4">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proofErr w:type="spellStart"/>
                  <w:r w:rsidRPr="00510BF4">
                    <w:rPr>
                      <w:rFonts w:ascii="Calibri" w:eastAsia="Times New Roman" w:hAnsi="Calibri" w:cs="Times New Roman"/>
                      <w:b/>
                      <w:bCs/>
                      <w:color w:val="FFFFFF" w:themeColor="background1"/>
                      <w:sz w:val="12"/>
                      <w:szCs w:val="12"/>
                      <w:lang w:eastAsia="en-AU"/>
                    </w:rPr>
                    <w:t>Tas</w:t>
                  </w:r>
                  <w:proofErr w:type="spellEnd"/>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-5.6</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-5.4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-2.1</w:t>
                  </w:r>
                </w:p>
              </w:tc>
            </w:tr>
          </w:tbl>
          <w:p w:rsidR="00510BF4" w:rsidRPr="00510BF4" w:rsidRDefault="00510BF4" w:rsidP="00510BF4">
            <w:pPr>
              <w:pStyle w:val="BodyText"/>
              <w:jc w:val="left"/>
              <w:cnfStyle w:val="100000000000" w:firstRow="1" w:lastRow="0" w:firstColumn="0" w:lastColumn="0" w:oddVBand="0" w:evenVBand="0" w:oddHBand="0" w:evenHBand="0" w:firstRowFirstColumn="0" w:firstRowLastColumn="0" w:lastRowFirstColumn="0" w:lastRowLastColumn="0"/>
              <w:rPr>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SA</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4.9</w:t>
                  </w:r>
                </w:p>
              </w:tc>
            </w:tr>
          </w:tbl>
          <w:p w:rsidR="00510BF4" w:rsidRPr="00510BF4" w:rsidRDefault="00510BF4" w:rsidP="00510BF4">
            <w:pPr>
              <w:pStyle w:val="BodyText"/>
              <w:ind w:left="0"/>
              <w:jc w:val="left"/>
              <w:cnfStyle w:val="100000000000" w:firstRow="1" w:lastRow="0" w:firstColumn="0" w:lastColumn="0" w:oddVBand="0" w:evenVBand="0" w:oddHBand="0" w:evenHBand="0" w:firstRowFirstColumn="0" w:firstRowLastColumn="0" w:lastRowFirstColumn="0" w:lastRowLastColumn="0"/>
              <w:rPr>
                <w:sz w:val="12"/>
                <w:szCs w:val="12"/>
              </w:rPr>
            </w:pPr>
          </w:p>
        </w:tc>
      </w:tr>
      <w:tr w:rsidR="00510BF4" w:rsidRPr="00510BF4" w:rsidTr="00510BF4">
        <w:trPr>
          <w:cnfStyle w:val="000000100000" w:firstRow="0" w:lastRow="0" w:firstColumn="0" w:lastColumn="0" w:oddVBand="0" w:evenVBand="0" w:oddHBand="1" w:evenHBand="0" w:firstRowFirstColumn="0" w:firstRowLastColumn="0" w:lastRowFirstColumn="0" w:lastRowLastColumn="0"/>
          <w:trHeight w:hRule="exact" w:val="3686"/>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Qld</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-8.0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-9.3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-11.2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-11.9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-12.4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-9.7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-7.8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-5.2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-4.8</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0.8</w:t>
                  </w:r>
                </w:p>
              </w:tc>
            </w:tr>
          </w:tbl>
          <w:p w:rsidR="00510BF4" w:rsidRPr="00510BF4" w:rsidRDefault="00510BF4" w:rsidP="00A410AA">
            <w:pPr>
              <w:pStyle w:val="BodyText"/>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NT</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13.5</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10.0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8.3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6.9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4.7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3.0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5.4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7.4</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7.9</w:t>
                  </w:r>
                </w:p>
              </w:tc>
            </w:tr>
          </w:tbl>
          <w:p w:rsidR="00510BF4" w:rsidRPr="00510BF4" w:rsidRDefault="00510BF4" w:rsidP="00A410AA">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NSW</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1.5</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1.0</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1.5</w:t>
                  </w:r>
                </w:p>
              </w:tc>
            </w:tr>
          </w:tbl>
          <w:p w:rsidR="00510BF4" w:rsidRPr="00510BF4" w:rsidRDefault="00510BF4" w:rsidP="00A410AA">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c>
          <w:tcPr>
            <w:tcW w:w="2132" w:type="dxa"/>
            <w:shd w:val="clear" w:color="auto" w:fill="auto"/>
          </w:tcPr>
          <w:tbl>
            <w:tblPr>
              <w:tblW w:w="1920" w:type="dxa"/>
              <w:tblLook w:val="04A0" w:firstRow="1" w:lastRow="0" w:firstColumn="1" w:lastColumn="0" w:noHBand="0" w:noVBand="1"/>
            </w:tblPr>
            <w:tblGrid>
              <w:gridCol w:w="960"/>
              <w:gridCol w:w="960"/>
            </w:tblGrid>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 of GDP</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WA</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-1.6</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-2.7</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-2.9</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-2.1</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-1.3</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-0.5</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0.2</w:t>
                  </w:r>
                </w:p>
              </w:tc>
            </w:tr>
            <w:tr w:rsidR="00510BF4" w:rsidRPr="00510BF4" w:rsidTr="00510BF4">
              <w:trPr>
                <w:trHeight w:val="300"/>
              </w:trPr>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rPr>
                      <w:rFonts w:ascii="Calibri" w:eastAsia="Times New Roman" w:hAnsi="Calibri" w:cs="Times New Roman"/>
                      <w:b/>
                      <w:bCs/>
                      <w:color w:val="FFFFFF" w:themeColor="background1"/>
                      <w:sz w:val="12"/>
                      <w:szCs w:val="12"/>
                      <w:lang w:eastAsia="en-AU"/>
                    </w:rPr>
                  </w:pPr>
                  <w:r w:rsidRPr="00510BF4">
                    <w:rPr>
                      <w:rFonts w:ascii="Calibri" w:eastAsia="Times New Roman" w:hAnsi="Calibri" w:cs="Times New Roman"/>
                      <w:b/>
                      <w:bCs/>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510BF4" w:rsidRPr="00510BF4" w:rsidRDefault="00510BF4" w:rsidP="00510BF4">
                  <w:pPr>
                    <w:spacing w:line="240" w:lineRule="auto"/>
                    <w:jc w:val="right"/>
                    <w:rPr>
                      <w:rFonts w:ascii="Calibri" w:eastAsia="Times New Roman" w:hAnsi="Calibri" w:cs="Times New Roman"/>
                      <w:color w:val="FFFFFF" w:themeColor="background1"/>
                      <w:sz w:val="12"/>
                      <w:szCs w:val="12"/>
                      <w:lang w:eastAsia="en-AU"/>
                    </w:rPr>
                  </w:pPr>
                  <w:r w:rsidRPr="00510BF4">
                    <w:rPr>
                      <w:rFonts w:ascii="Calibri" w:eastAsia="Times New Roman" w:hAnsi="Calibri" w:cs="Times New Roman"/>
                      <w:color w:val="FFFFFF" w:themeColor="background1"/>
                      <w:sz w:val="12"/>
                      <w:szCs w:val="12"/>
                      <w:lang w:eastAsia="en-AU"/>
                    </w:rPr>
                    <w:t>1.2</w:t>
                  </w:r>
                </w:p>
              </w:tc>
            </w:tr>
          </w:tbl>
          <w:p w:rsidR="00510BF4" w:rsidRPr="00510BF4" w:rsidRDefault="00510BF4" w:rsidP="00A410AA">
            <w:pPr>
              <w:pStyle w:val="BodyText"/>
              <w:cnfStyle w:val="000000100000" w:firstRow="0" w:lastRow="0" w:firstColumn="0" w:lastColumn="0" w:oddVBand="0" w:evenVBand="0" w:oddHBand="1" w:evenHBand="0" w:firstRowFirstColumn="0" w:firstRowLastColumn="0" w:lastRowFirstColumn="0" w:lastRowLastColumn="0"/>
              <w:rPr>
                <w:color w:val="FFFFFF" w:themeColor="background1"/>
                <w:sz w:val="12"/>
                <w:szCs w:val="12"/>
              </w:rPr>
            </w:pPr>
          </w:p>
        </w:tc>
      </w:tr>
    </w:tbl>
    <w:p w:rsidR="00A410AA" w:rsidRDefault="00846A0B" w:rsidP="00846A0B">
      <w:pPr>
        <w:pStyle w:val="Source"/>
      </w:pPr>
      <w:r>
        <w:t>Source: ABS.</w:t>
      </w:r>
    </w:p>
    <w:p w:rsidR="00846A0B" w:rsidRDefault="00846A0B" w:rsidP="00B12841">
      <w:pPr>
        <w:pStyle w:val="BodyText"/>
      </w:pPr>
      <w:r>
        <w:lastRenderedPageBreak/>
        <w:t>The strongly negative net debt for Queensland and the Australian Capital Territory reflects these jurisdiction’s arrangements for funding their superannuation liabilities.</w:t>
      </w:r>
    </w:p>
    <w:p w:rsidR="00846A0B" w:rsidRDefault="00846A0B" w:rsidP="00B12841">
      <w:pPr>
        <w:pStyle w:val="BodyText"/>
      </w:pPr>
      <w:r>
        <w:t xml:space="preserve">They both hold assets on their balance sheet </w:t>
      </w:r>
      <w:r w:rsidRPr="00335D25">
        <w:t>dedicated to meeting long</w:t>
      </w:r>
      <w:r w:rsidRPr="00335D25">
        <w:noBreakHyphen/>
        <w:t xml:space="preserve">term </w:t>
      </w:r>
      <w:r w:rsidR="00BF436B">
        <w:t xml:space="preserve">public sector </w:t>
      </w:r>
      <w:r w:rsidRPr="00335D25">
        <w:t xml:space="preserve">superannuation liabilities. </w:t>
      </w:r>
      <w:r>
        <w:t xml:space="preserve"> </w:t>
      </w:r>
      <w:r w:rsidRPr="00335D25">
        <w:t>This can make it difficult to ascertain the underlying net debt position in these jurisdictions.</w:t>
      </w:r>
    </w:p>
    <w:p w:rsidR="00846A0B" w:rsidRPr="00846A0B" w:rsidRDefault="00846A0B" w:rsidP="00846A0B">
      <w:pPr>
        <w:pStyle w:val="Heading2"/>
      </w:pPr>
      <w:r w:rsidRPr="00846A0B">
        <w:t>Net interest payments</w:t>
      </w:r>
    </w:p>
    <w:p w:rsidR="00846A0B" w:rsidRPr="00846A0B" w:rsidRDefault="00846A0B" w:rsidP="00846A0B">
      <w:pPr>
        <w:pStyle w:val="BodyText"/>
      </w:pPr>
      <w:r w:rsidRPr="00846A0B">
        <w:t xml:space="preserve">The accumulation of debt will also have an impact on budgets through the cost of servicing outstanding debt.  Net interest payments are the difference between interest paid and interest received.  </w:t>
      </w:r>
      <w:r w:rsidR="00165E95">
        <w:t xml:space="preserve">This measure primarily consists of </w:t>
      </w:r>
      <w:r w:rsidRPr="00846A0B">
        <w:t>interest paid on securities issued by government</w:t>
      </w:r>
      <w:r w:rsidR="00165E95">
        <w:t xml:space="preserve"> and</w:t>
      </w:r>
      <w:r w:rsidRPr="00846A0B">
        <w:t xml:space="preserve"> provide</w:t>
      </w:r>
      <w:r w:rsidR="00165E95">
        <w:t>s</w:t>
      </w:r>
      <w:r w:rsidRPr="00846A0B">
        <w:t xml:space="preserve"> an indication of the ongoing cost of increasing debt levels.  In the context of tightening budgets, these debt servicing costs have the potential to ‘crowd out’ other recurrent expenditure.</w:t>
      </w:r>
    </w:p>
    <w:p w:rsidR="000F18DC" w:rsidRDefault="00846A0B" w:rsidP="00846A0B">
      <w:pPr>
        <w:pStyle w:val="Caption"/>
        <w:rPr>
          <w:b w:val="0"/>
          <w:bCs w:val="0"/>
        </w:rPr>
      </w:pPr>
      <w:bookmarkStart w:id="268" w:name="_Ref415145706"/>
      <w:bookmarkStart w:id="269" w:name="_Toc415222979"/>
      <w:bookmarkStart w:id="270" w:name="_Toc418073839"/>
      <w:r w:rsidRPr="00846A0B">
        <w:t xml:space="preserve">Figure </w:t>
      </w:r>
      <w:r w:rsidR="003A23CE">
        <w:fldChar w:fldCharType="begin"/>
      </w:r>
      <w:r w:rsidR="003A23CE">
        <w:instrText xml:space="preserve"> STYLEREF 1 \s </w:instrText>
      </w:r>
      <w:r w:rsidR="003A23CE">
        <w:fldChar w:fldCharType="separate"/>
      </w:r>
      <w:r w:rsidR="008B68F4">
        <w:rPr>
          <w:noProof/>
        </w:rPr>
        <w:t>5</w:t>
      </w:r>
      <w:r w:rsidR="003A23CE">
        <w:rPr>
          <w:noProof/>
        </w:rPr>
        <w:fldChar w:fldCharType="end"/>
      </w:r>
      <w:r w:rsidR="001064E2">
        <w:noBreakHyphen/>
      </w:r>
      <w:r w:rsidR="003A23CE">
        <w:fldChar w:fldCharType="begin"/>
      </w:r>
      <w:r w:rsidR="003A23CE">
        <w:instrText xml:space="preserve"> SEQ Figure \* ARABIC \s 1 </w:instrText>
      </w:r>
      <w:r w:rsidR="003A23CE">
        <w:fldChar w:fldCharType="separate"/>
      </w:r>
      <w:r w:rsidR="008B68F4">
        <w:rPr>
          <w:noProof/>
        </w:rPr>
        <w:t>3</w:t>
      </w:r>
      <w:r w:rsidR="003A23CE">
        <w:rPr>
          <w:noProof/>
        </w:rPr>
        <w:fldChar w:fldCharType="end"/>
      </w:r>
      <w:bookmarkEnd w:id="268"/>
      <w:r w:rsidRPr="00846A0B">
        <w:t xml:space="preserve">: </w:t>
      </w:r>
      <w:r>
        <w:t>Commonwealth and s</w:t>
      </w:r>
      <w:r w:rsidRPr="006F661E">
        <w:t>tate general government net interest payments (excluding</w:t>
      </w:r>
      <w:r>
        <w:t> </w:t>
      </w:r>
      <w:r w:rsidRPr="006F661E">
        <w:t>Queensland)</w:t>
      </w:r>
      <w:r w:rsidRPr="00B86531">
        <w:rPr>
          <w:rStyle w:val="FootnoteReference"/>
        </w:rPr>
        <w:footnoteReference w:id="40"/>
      </w:r>
      <w:bookmarkEnd w:id="269"/>
      <w:bookmarkEnd w:id="270"/>
      <w:r w:rsidR="00BD5B14" w:rsidRPr="00BD5B14">
        <w:rPr>
          <w:b w:val="0"/>
          <w:bCs w:val="0"/>
        </w:rPr>
        <w:t xml:space="preserve"> </w:t>
      </w:r>
    </w:p>
    <w:p w:rsidR="001B2F76" w:rsidRPr="001B2F76" w:rsidRDefault="001B2F76" w:rsidP="001B2F76">
      <w:pPr>
        <w:pStyle w:val="BodyText"/>
      </w:pPr>
      <w:r w:rsidRPr="001B2F76">
        <w:rPr>
          <w:noProof/>
          <w:lang w:eastAsia="en-AU"/>
        </w:rPr>
        <w:drawing>
          <wp:anchor distT="0" distB="0" distL="114300" distR="114300" simplePos="0" relativeHeight="251709440" behindDoc="0" locked="0" layoutInCell="1" allowOverlap="1" wp14:anchorId="66A87711" wp14:editId="67ECBA57">
            <wp:simplePos x="0" y="0"/>
            <wp:positionH relativeFrom="column">
              <wp:posOffset>3826</wp:posOffset>
            </wp:positionH>
            <wp:positionV relativeFrom="paragraph">
              <wp:posOffset>-2300</wp:posOffset>
            </wp:positionV>
            <wp:extent cx="5278120" cy="3511084"/>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8120" cy="351108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052"/>
        <w:gridCol w:w="4127"/>
      </w:tblGrid>
      <w:tr w:rsidR="00BD5B14" w:rsidRPr="00BD5B14" w:rsidTr="001B2F76">
        <w:trPr>
          <w:cnfStyle w:val="100000000000" w:firstRow="1" w:lastRow="0" w:firstColumn="0" w:lastColumn="0" w:oddVBand="0" w:evenVBand="0" w:oddHBand="0" w:evenHBand="0" w:firstRowFirstColumn="0" w:firstRowLastColumn="0" w:lastRowFirstColumn="0" w:lastRowLastColumn="0"/>
          <w:trHeight w:val="5095"/>
        </w:trPr>
        <w:tc>
          <w:tcPr>
            <w:cnfStyle w:val="001000000100" w:firstRow="0" w:lastRow="0" w:firstColumn="1" w:lastColumn="0" w:oddVBand="0" w:evenVBand="0" w:oddHBand="0" w:evenHBand="0" w:firstRowFirstColumn="1" w:firstRowLastColumn="0" w:lastRowFirstColumn="0" w:lastRowLastColumn="0"/>
            <w:tcW w:w="4052" w:type="dxa"/>
            <w:shd w:val="clear" w:color="auto" w:fill="auto"/>
          </w:tcPr>
          <w:tbl>
            <w:tblPr>
              <w:tblW w:w="2567" w:type="dxa"/>
              <w:tblLook w:val="04A0" w:firstRow="1" w:lastRow="0" w:firstColumn="1" w:lastColumn="0" w:noHBand="0" w:noVBand="1"/>
            </w:tblPr>
            <w:tblGrid>
              <w:gridCol w:w="1645"/>
              <w:gridCol w:w="963"/>
            </w:tblGrid>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Commonwealth</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$billions</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2002-03</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0.5</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2003-04</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0.3</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2004-05</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0.3</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2005-06</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2006-07</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2007-08</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2008-09</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2009-10</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2010-11</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0.4</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2011-12</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0.6</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2012-13</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0.6</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2013-14</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0.7</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2014-15</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0.8</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2015-16</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0.8</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2016-17</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0.8</w:t>
                  </w:r>
                </w:p>
              </w:tc>
            </w:tr>
            <w:tr w:rsidR="008649E7" w:rsidRPr="00BD5B14" w:rsidTr="001B2F76">
              <w:trPr>
                <w:trHeight w:val="284"/>
              </w:trPr>
              <w:tc>
                <w:tcPr>
                  <w:tcW w:w="1619"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2017-18</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0.8</w:t>
                  </w:r>
                </w:p>
              </w:tc>
            </w:tr>
          </w:tbl>
          <w:p w:rsidR="008649E7" w:rsidRPr="00BD5B14" w:rsidRDefault="008649E7" w:rsidP="00846A0B">
            <w:pPr>
              <w:pStyle w:val="BodyText"/>
            </w:pPr>
          </w:p>
        </w:tc>
        <w:tc>
          <w:tcPr>
            <w:tcW w:w="4127" w:type="dxa"/>
            <w:shd w:val="clear" w:color="auto" w:fill="auto"/>
          </w:tcPr>
          <w:tbl>
            <w:tblPr>
              <w:tblW w:w="3419" w:type="dxa"/>
              <w:tblLook w:val="04A0" w:firstRow="1" w:lastRow="0" w:firstColumn="1" w:lastColumn="0" w:noHBand="0" w:noVBand="1"/>
            </w:tblPr>
            <w:tblGrid>
              <w:gridCol w:w="2471"/>
              <w:gridCol w:w="963"/>
            </w:tblGrid>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State (excluding QLD)</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$billions</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2002-03</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2003-04</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2004-05</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2005-06</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2006-07</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0.0</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2007-08</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2008-09</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2009-10</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2010-11</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0.1</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2011-12</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2012-13</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2013-14</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2014-15</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2015-16</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2016-17</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r w:rsidR="008649E7" w:rsidRPr="00BD5B14" w:rsidTr="001B2F76">
              <w:trPr>
                <w:trHeight w:val="284"/>
              </w:trPr>
              <w:tc>
                <w:tcPr>
                  <w:tcW w:w="2471" w:type="dxa"/>
                  <w:tcBorders>
                    <w:top w:val="nil"/>
                    <w:left w:val="nil"/>
                    <w:bottom w:val="nil"/>
                    <w:right w:val="nil"/>
                  </w:tcBorders>
                  <w:shd w:val="clear" w:color="auto" w:fill="auto"/>
                  <w:noWrap/>
                  <w:vAlign w:val="bottom"/>
                  <w:hideMark/>
                </w:tcPr>
                <w:p w:rsidR="008649E7" w:rsidRPr="00BD5B14" w:rsidRDefault="008649E7" w:rsidP="008649E7">
                  <w:pPr>
                    <w:spacing w:line="240" w:lineRule="auto"/>
                    <w:rPr>
                      <w:rFonts w:ascii="Calibri" w:eastAsia="Times New Roman" w:hAnsi="Calibri" w:cs="Times New Roman"/>
                      <w:b/>
                      <w:bCs/>
                      <w:color w:val="FFFFFF" w:themeColor="background1"/>
                      <w:lang w:eastAsia="en-AU"/>
                    </w:rPr>
                  </w:pPr>
                  <w:r w:rsidRPr="00BD5B14">
                    <w:rPr>
                      <w:rFonts w:ascii="Calibri" w:eastAsia="Times New Roman" w:hAnsi="Calibri" w:cs="Times New Roman"/>
                      <w:b/>
                      <w:bCs/>
                      <w:color w:val="FFFFFF" w:themeColor="background1"/>
                      <w:lang w:eastAsia="en-AU"/>
                    </w:rPr>
                    <w:t>2017-18</w:t>
                  </w:r>
                </w:p>
              </w:tc>
              <w:tc>
                <w:tcPr>
                  <w:tcW w:w="948" w:type="dxa"/>
                  <w:tcBorders>
                    <w:top w:val="nil"/>
                    <w:left w:val="nil"/>
                    <w:bottom w:val="nil"/>
                    <w:right w:val="nil"/>
                  </w:tcBorders>
                  <w:shd w:val="clear" w:color="auto" w:fill="auto"/>
                  <w:noWrap/>
                  <w:vAlign w:val="bottom"/>
                  <w:hideMark/>
                </w:tcPr>
                <w:p w:rsidR="008649E7" w:rsidRPr="00BD5B14" w:rsidRDefault="008649E7" w:rsidP="008649E7">
                  <w:pPr>
                    <w:spacing w:line="240" w:lineRule="auto"/>
                    <w:jc w:val="right"/>
                    <w:rPr>
                      <w:rFonts w:ascii="Calibri" w:eastAsia="Times New Roman" w:hAnsi="Calibri" w:cs="Times New Roman"/>
                      <w:color w:val="FFFFFF" w:themeColor="background1"/>
                      <w:lang w:eastAsia="en-AU"/>
                    </w:rPr>
                  </w:pPr>
                  <w:r w:rsidRPr="00BD5B14">
                    <w:rPr>
                      <w:rFonts w:ascii="Calibri" w:eastAsia="Times New Roman" w:hAnsi="Calibri" w:cs="Times New Roman"/>
                      <w:color w:val="FFFFFF" w:themeColor="background1"/>
                      <w:lang w:eastAsia="en-AU"/>
                    </w:rPr>
                    <w:t>0.2</w:t>
                  </w:r>
                </w:p>
              </w:tc>
            </w:tr>
          </w:tbl>
          <w:p w:rsidR="008649E7" w:rsidRPr="00BD5B14" w:rsidRDefault="008649E7" w:rsidP="008649E7">
            <w:pPr>
              <w:pStyle w:val="BodyText"/>
              <w:jc w:val="left"/>
              <w:cnfStyle w:val="100000000000" w:firstRow="1" w:lastRow="0" w:firstColumn="0" w:lastColumn="0" w:oddVBand="0" w:evenVBand="0" w:oddHBand="0" w:evenHBand="0" w:firstRowFirstColumn="0" w:firstRowLastColumn="0" w:lastRowFirstColumn="0" w:lastRowLastColumn="0"/>
            </w:pPr>
          </w:p>
        </w:tc>
      </w:tr>
    </w:tbl>
    <w:p w:rsidR="008649E7" w:rsidRDefault="00846A0B" w:rsidP="006919D2">
      <w:pPr>
        <w:pStyle w:val="Source"/>
      </w:pPr>
      <w:r>
        <w:t>Source: ABS and Commonwealth and state budget papers.</w:t>
      </w:r>
    </w:p>
    <w:p w:rsidR="00B43E9C" w:rsidRDefault="00B43E9C" w:rsidP="006919D2">
      <w:pPr>
        <w:pStyle w:val="BodyText17ptAbove"/>
      </w:pPr>
      <w:r w:rsidRPr="001A74B8">
        <w:t>Total net interest payments across all levels of government were 0.5 per cent of GDP in 2002</w:t>
      </w:r>
      <w:r w:rsidRPr="001A74B8">
        <w:noBreakHyphen/>
        <w:t>03 (</w:t>
      </w:r>
      <w:r w:rsidRPr="00F05B40">
        <w:fldChar w:fldCharType="begin"/>
      </w:r>
      <w:r w:rsidRPr="00F05B40">
        <w:instrText xml:space="preserve"> REF _Ref415145706 \h </w:instrText>
      </w:r>
      <w:r w:rsidR="00D95ED7" w:rsidRPr="00F05B40">
        <w:instrText xml:space="preserve"> \* MERGEFORMAT </w:instrText>
      </w:r>
      <w:r w:rsidRPr="00F05B40">
        <w:fldChar w:fldCharType="separate"/>
      </w:r>
      <w:r w:rsidR="008B68F4" w:rsidRPr="00846A0B">
        <w:t xml:space="preserve">Figure </w:t>
      </w:r>
      <w:r w:rsidR="008B68F4">
        <w:rPr>
          <w:noProof/>
        </w:rPr>
        <w:t>5</w:t>
      </w:r>
      <w:r w:rsidR="008B68F4">
        <w:rPr>
          <w:noProof/>
        </w:rPr>
        <w:noBreakHyphen/>
        <w:t>3</w:t>
      </w:r>
      <w:r w:rsidRPr="00F05B40">
        <w:fldChar w:fldCharType="end"/>
      </w:r>
      <w:r w:rsidRPr="00F05B40">
        <w:t xml:space="preserve">). </w:t>
      </w:r>
      <w:r w:rsidR="00B23DA1" w:rsidRPr="00F05B40">
        <w:t xml:space="preserve"> Reductions in Commonwealth net debt resulted in zero net interest payments in 2006-07 before increasing to </w:t>
      </w:r>
      <w:r w:rsidRPr="00F05B40">
        <w:t>0.8 per cent of GDP by 2012-13</w:t>
      </w:r>
      <w:r w:rsidR="00846A0B" w:rsidRPr="00F05B40">
        <w:t>.</w:t>
      </w:r>
      <w:r w:rsidR="00350AB8">
        <w:t xml:space="preserve"> </w:t>
      </w:r>
      <w:r w:rsidRPr="001A74B8">
        <w:t xml:space="preserve"> Commonwealth and state budget papers are projecting net interest payments to reach 1.0 of GDP by 2017-18 largely driven by the Commonwealth</w:t>
      </w:r>
      <w:r w:rsidR="007F300F" w:rsidRPr="001A74B8">
        <w:t>’s debt position</w:t>
      </w:r>
      <w:r w:rsidRPr="001A74B8">
        <w:t>.</w:t>
      </w:r>
    </w:p>
    <w:p w:rsidR="008B39D2" w:rsidRDefault="00846A0B" w:rsidP="00846A0B">
      <w:pPr>
        <w:pStyle w:val="BodyText"/>
      </w:pPr>
      <w:r>
        <w:lastRenderedPageBreak/>
        <w:t>To better highlight the underlying trends in net interest payments for the states, Queensland has been excluded.  The superannuation funding arrangements for Queensland mask some of the underlying trend in net interest payments.  Because the ABS classifies the Queensland government’s return on its investments to offset their superannuation liability as ‘interest income’, volatility in the value of the investment portfolio can significantly influence net interest payments.</w:t>
      </w:r>
    </w:p>
    <w:p w:rsidR="008B39D2" w:rsidRDefault="008B39D2" w:rsidP="00846A0B">
      <w:pPr>
        <w:pStyle w:val="BodyText"/>
        <w:sectPr w:rsidR="008B39D2" w:rsidSect="00316D7C">
          <w:footerReference w:type="default" r:id="rId74"/>
          <w:pgSz w:w="11906" w:h="16838" w:code="9"/>
          <w:pgMar w:top="1361" w:right="1797" w:bottom="1474" w:left="1797" w:header="284" w:footer="454" w:gutter="0"/>
          <w:cols w:space="708"/>
          <w:docGrid w:linePitch="360"/>
        </w:sectPr>
      </w:pPr>
    </w:p>
    <w:p w:rsidR="008B39D2" w:rsidRDefault="008B39D2" w:rsidP="008B39D2">
      <w:pPr>
        <w:pStyle w:val="Heading8"/>
      </w:pPr>
      <w:r>
        <w:lastRenderedPageBreak/>
        <w:t xml:space="preserve"> </w:t>
      </w:r>
      <w:bookmarkStart w:id="271" w:name="_Toc418073800"/>
      <w:r>
        <w:t>– States analysis</w:t>
      </w:r>
      <w:bookmarkEnd w:id="271"/>
    </w:p>
    <w:p w:rsidR="008B39D2" w:rsidRDefault="008B39D2" w:rsidP="008B39D2">
      <w:pPr>
        <w:pStyle w:val="BodyText"/>
      </w:pPr>
      <w:r>
        <w:t xml:space="preserve">This Appendix summarises key budget trends for states and territories. </w:t>
      </w:r>
      <w:r w:rsidR="00350AB8">
        <w:t xml:space="preserve"> </w:t>
      </w:r>
      <w:r>
        <w:t xml:space="preserve">This analysis is based on </w:t>
      </w:r>
      <w:r w:rsidRPr="00C4063D">
        <w:t xml:space="preserve">ABS </w:t>
      </w:r>
      <w:r w:rsidR="00F83E66">
        <w:t>GFS</w:t>
      </w:r>
      <w:r>
        <w:rPr>
          <w:i/>
        </w:rPr>
        <w:t xml:space="preserve"> </w:t>
      </w:r>
      <w:r>
        <w:t>and state and territory budget papers and financial statements.</w:t>
      </w:r>
    </w:p>
    <w:p w:rsidR="008B39D2" w:rsidRDefault="008B39D2" w:rsidP="008B39D2">
      <w:pPr>
        <w:pStyle w:val="BodyText"/>
      </w:pPr>
      <w:r>
        <w:t>Data on Commonwealth specific purpose transfers to states and territories has been sourced from final budget outcomes.  General revenue assistance data which largely comprises the GST has been taken from Commonwealth Grants Commission data.</w:t>
      </w:r>
      <w:r>
        <w:br w:type="page"/>
      </w:r>
    </w:p>
    <w:p w:rsidR="008B39D2" w:rsidRPr="008B39D2" w:rsidRDefault="008B39D2" w:rsidP="00184DBE">
      <w:pPr>
        <w:pStyle w:val="Heading9"/>
      </w:pPr>
      <w:r w:rsidRPr="008B39D2">
        <w:lastRenderedPageBreak/>
        <w:t>New South Wales</w:t>
      </w:r>
    </w:p>
    <w:tbl>
      <w:tblPr>
        <w:tblStyle w:val="TableGrid"/>
        <w:tblW w:w="9460" w:type="dxa"/>
        <w:tblLayout w:type="fixed"/>
        <w:tblLook w:val="04A0" w:firstRow="1" w:lastRow="0" w:firstColumn="1" w:lastColumn="0" w:noHBand="0" w:noVBand="1"/>
      </w:tblPr>
      <w:tblGrid>
        <w:gridCol w:w="4536"/>
        <w:gridCol w:w="335"/>
        <w:gridCol w:w="4589"/>
      </w:tblGrid>
      <w:tr w:rsidR="008B39D2" w:rsidTr="00B23D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4221DC" w:rsidRPr="007C7DBC" w:rsidRDefault="004221DC" w:rsidP="004221DC">
            <w:pPr>
              <w:pStyle w:val="Caption"/>
              <w:spacing w:before="0" w:after="0"/>
              <w:rPr>
                <w:rFonts w:eastAsiaTheme="minorHAnsi"/>
              </w:rPr>
            </w:pPr>
            <w:r w:rsidRPr="007C7DBC">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A1</w:t>
            </w:r>
            <w:r>
              <w:fldChar w:fldCharType="end"/>
            </w:r>
            <w:r w:rsidRPr="007C7DBC">
              <w:rPr>
                <w:rFonts w:eastAsiaTheme="minorHAnsi"/>
              </w:rPr>
              <w:t>‒</w:t>
            </w:r>
            <w:r w:rsidRPr="007C7DBC">
              <w:fldChar w:fldCharType="begin"/>
            </w:r>
            <w:r w:rsidRPr="007C7DBC">
              <w:rPr>
                <w:rFonts w:eastAsiaTheme="minorHAnsi"/>
              </w:rPr>
              <w:instrText xml:space="preserve"> SEQ AppendixFigure\s 8 </w:instrText>
            </w:r>
            <w:r w:rsidRPr="007C7DBC">
              <w:fldChar w:fldCharType="separate"/>
            </w:r>
            <w:r w:rsidR="008B68F4">
              <w:rPr>
                <w:rFonts w:eastAsiaTheme="minorHAnsi"/>
                <w:noProof/>
              </w:rPr>
              <w:t>1</w:t>
            </w:r>
            <w:r w:rsidRPr="007C7DBC">
              <w:fldChar w:fldCharType="end"/>
            </w:r>
            <w:r w:rsidRPr="007C7DBC">
              <w:rPr>
                <w:rFonts w:eastAsiaTheme="minorHAnsi"/>
              </w:rPr>
              <w:t xml:space="preserve">: NSW general government fiscal and </w:t>
            </w:r>
          </w:p>
          <w:p w:rsidR="008B39D2" w:rsidRPr="00874C11" w:rsidRDefault="00915262" w:rsidP="004221DC">
            <w:pPr>
              <w:pStyle w:val="Caption"/>
              <w:spacing w:before="0" w:after="0"/>
              <w:rPr>
                <w:rFonts w:eastAsiaTheme="minorHAnsi" w:cstheme="minorBidi"/>
              </w:rPr>
            </w:pPr>
            <w:r w:rsidRPr="00915262">
              <w:rPr>
                <w:noProof/>
              </w:rPr>
              <w:drawing>
                <wp:anchor distT="0" distB="0" distL="114300" distR="114300" simplePos="0" relativeHeight="251703296" behindDoc="0" locked="0" layoutInCell="1" allowOverlap="1" wp14:anchorId="7FB57C69" wp14:editId="7072BC0E">
                  <wp:simplePos x="0" y="0"/>
                  <wp:positionH relativeFrom="column">
                    <wp:posOffset>88265</wp:posOffset>
                  </wp:positionH>
                  <wp:positionV relativeFrom="paragraph">
                    <wp:posOffset>148590</wp:posOffset>
                  </wp:positionV>
                  <wp:extent cx="2689225" cy="36036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89225" cy="360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1DC">
              <w:rPr>
                <w:rFonts w:eastAsiaTheme="minorHAnsi" w:cstheme="minorBidi"/>
              </w:rPr>
              <w:t>operating balances</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4221DC" w:rsidP="00341301">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874964">
              <w:t xml:space="preserve">Figure </w:t>
            </w:r>
            <w:r w:rsidR="003A23CE">
              <w:fldChar w:fldCharType="begin"/>
            </w:r>
            <w:r w:rsidR="003A23CE">
              <w:instrText xml:space="preserve"> STYLEREF  \s "Heading 9,Appendix Heading 1" </w:instrText>
            </w:r>
            <w:r w:rsidR="003A23CE">
              <w:fldChar w:fldCharType="separate"/>
            </w:r>
            <w:r w:rsidR="008B68F4">
              <w:rPr>
                <w:noProof/>
              </w:rPr>
              <w:t>A1</w:t>
            </w:r>
            <w:r w:rsidR="003A23CE">
              <w:rPr>
                <w:noProof/>
              </w:rPr>
              <w:fldChar w:fldCharType="end"/>
            </w:r>
            <w:r w:rsidRPr="00874964">
              <w:t>‒</w:t>
            </w:r>
            <w:r w:rsidR="003A23CE">
              <w:fldChar w:fldCharType="begin"/>
            </w:r>
            <w:r w:rsidR="003A23CE">
              <w:instrText xml:space="preserve"> SEQ AppendixFigure\s 8 </w:instrText>
            </w:r>
            <w:r w:rsidR="003A23CE">
              <w:fldChar w:fldCharType="separate"/>
            </w:r>
            <w:r w:rsidR="008B68F4">
              <w:rPr>
                <w:noProof/>
              </w:rPr>
              <w:t>2</w:t>
            </w:r>
            <w:r w:rsidR="003A23CE">
              <w:rPr>
                <w:noProof/>
              </w:rPr>
              <w:fldChar w:fldCharType="end"/>
            </w:r>
            <w:r w:rsidRPr="00874964">
              <w:t>: NSW general government net debt</w:t>
            </w:r>
          </w:p>
        </w:tc>
      </w:tr>
      <w:tr w:rsidR="008B39D2" w:rsidTr="00B23DA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hRule="exact" w:val="5670"/>
        </w:trPr>
        <w:tc>
          <w:tcPr>
            <w:cnfStyle w:val="001000000000" w:firstRow="0" w:lastRow="0" w:firstColumn="1" w:lastColumn="0" w:oddVBand="0" w:evenVBand="0" w:oddHBand="0" w:evenHBand="0" w:firstRowFirstColumn="0" w:firstRowLastColumn="0" w:lastRowFirstColumn="0" w:lastRowLastColumn="0"/>
            <w:tcW w:w="487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900" w:type="dxa"/>
              <w:tblLayout w:type="fixed"/>
              <w:tblLook w:val="04A0" w:firstRow="1" w:lastRow="0" w:firstColumn="1" w:lastColumn="0" w:noHBand="0" w:noVBand="1"/>
            </w:tblPr>
            <w:tblGrid>
              <w:gridCol w:w="940"/>
              <w:gridCol w:w="960"/>
            </w:tblGrid>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 billion</w:t>
                  </w:r>
                </w:p>
              </w:tc>
              <w:tc>
                <w:tcPr>
                  <w:tcW w:w="96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Fiscal balance</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2002-03</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0.5</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2003-04</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0.0</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2004-05</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-0.2</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2005-06</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-0.6</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2006-07</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-1.0</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2007-08</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-1.6</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2008-09</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-2.8</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2009-10</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-2.6</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2010-11</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-2.9</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2011-12</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2012-13</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-2.2</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2013-14</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-1.2</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2014-15</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-3.2</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2015-16</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2016-17</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-1.7</w:t>
                  </w:r>
                </w:p>
              </w:tc>
            </w:tr>
            <w:tr w:rsidR="00915262" w:rsidRPr="00915262" w:rsidTr="00B23DA1">
              <w:trPr>
                <w:trHeight w:val="165"/>
              </w:trPr>
              <w:tc>
                <w:tcPr>
                  <w:tcW w:w="940" w:type="dxa"/>
                  <w:shd w:val="clear" w:color="auto" w:fill="auto"/>
                  <w:noWrap/>
                  <w:vAlign w:val="bottom"/>
                  <w:hideMark/>
                </w:tcPr>
                <w:p w:rsidR="002B02BA" w:rsidRPr="00B23DA1" w:rsidRDefault="002B02BA" w:rsidP="002B02BA">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2017-18</w:t>
                  </w:r>
                </w:p>
              </w:tc>
              <w:tc>
                <w:tcPr>
                  <w:tcW w:w="960" w:type="dxa"/>
                  <w:shd w:val="clear" w:color="auto" w:fill="auto"/>
                  <w:noWrap/>
                  <w:vAlign w:val="bottom"/>
                  <w:hideMark/>
                </w:tcPr>
                <w:p w:rsidR="002B02BA" w:rsidRPr="00B23DA1" w:rsidRDefault="002B02BA" w:rsidP="002B02BA">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-1.0</w:t>
                  </w:r>
                </w:p>
              </w:tc>
            </w:tr>
          </w:tbl>
          <w:p w:rsidR="00341301" w:rsidRDefault="00341301" w:rsidP="00341301">
            <w:pPr>
              <w:pStyle w:val="BodyText"/>
              <w:ind w:left="0"/>
            </w:pP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tbl>
            <w:tblPr>
              <w:tblW w:w="1920" w:type="dxa"/>
              <w:tblLayout w:type="fixed"/>
              <w:tblLook w:val="04A0" w:firstRow="1" w:lastRow="0" w:firstColumn="1" w:lastColumn="0" w:noHBand="0" w:noVBand="1"/>
            </w:tblPr>
            <w:tblGrid>
              <w:gridCol w:w="960"/>
              <w:gridCol w:w="960"/>
            </w:tblGrid>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184DBE" w:rsidP="00915262">
                  <w:pPr>
                    <w:spacing w:line="240" w:lineRule="auto"/>
                    <w:rPr>
                      <w:rFonts w:ascii="Calibri" w:eastAsia="Times New Roman" w:hAnsi="Calibri" w:cs="Times New Roman"/>
                      <w:color w:val="FFFFFF" w:themeColor="background1"/>
                      <w:sz w:val="12"/>
                      <w:szCs w:val="12"/>
                      <w:lang w:eastAsia="en-AU"/>
                    </w:rPr>
                  </w:pPr>
                  <w:r w:rsidRPr="00184DBE">
                    <w:rPr>
                      <w:noProof/>
                      <w:lang w:eastAsia="en-AU"/>
                    </w:rPr>
                    <w:drawing>
                      <wp:anchor distT="0" distB="0" distL="114300" distR="114300" simplePos="0" relativeHeight="251704320" behindDoc="0" locked="0" layoutInCell="1" allowOverlap="1" wp14:anchorId="7CA56549" wp14:editId="702B99A1">
                        <wp:simplePos x="0" y="0"/>
                        <wp:positionH relativeFrom="column">
                          <wp:posOffset>-16510</wp:posOffset>
                        </wp:positionH>
                        <wp:positionV relativeFrom="paragraph">
                          <wp:posOffset>-877570</wp:posOffset>
                        </wp:positionV>
                        <wp:extent cx="2689225" cy="35883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922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62" w:rsidRPr="00B23DA1">
                    <w:rPr>
                      <w:rFonts w:ascii="Calibri" w:eastAsia="Times New Roman" w:hAnsi="Calibri" w:cs="Times New Roman"/>
                      <w:color w:val="FFFFFF" w:themeColor="background1"/>
                      <w:sz w:val="12"/>
                      <w:szCs w:val="12"/>
                      <w:lang w:eastAsia="en-AU"/>
                    </w:rPr>
                    <w:t>$billion</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Operating balance</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2002-03</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1.8</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2003-04</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1.1</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2004-05</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0.7</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2005-06</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0.9</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2006-07</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0.8</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2007-08</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0.4</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2008-09</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-0.4</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2009-10</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1.1</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2010-11</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1.3</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2011-12</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0.7</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2012-13</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0.2</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2013-14</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1.2</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2014-15</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0.3</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2015-16</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0.4</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2016-17</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1.1</w:t>
                  </w:r>
                </w:p>
              </w:tc>
            </w:tr>
            <w:tr w:rsidR="00915262" w:rsidRPr="00915262" w:rsidTr="00B23DA1">
              <w:trPr>
                <w:trHeight w:val="165"/>
              </w:trPr>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2017-18</w:t>
                  </w:r>
                </w:p>
              </w:tc>
              <w:tc>
                <w:tcPr>
                  <w:tcW w:w="960" w:type="dxa"/>
                  <w:tcBorders>
                    <w:top w:val="nil"/>
                    <w:left w:val="nil"/>
                    <w:bottom w:val="nil"/>
                    <w:right w:val="nil"/>
                  </w:tcBorders>
                  <w:shd w:val="clear" w:color="auto" w:fill="auto"/>
                  <w:noWrap/>
                  <w:vAlign w:val="bottom"/>
                  <w:hideMark/>
                </w:tcPr>
                <w:p w:rsidR="00915262" w:rsidRPr="00B23DA1" w:rsidRDefault="00915262" w:rsidP="00915262">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1.0</w:t>
                  </w:r>
                </w:p>
              </w:tc>
            </w:tr>
          </w:tbl>
          <w:p w:rsidR="00341301" w:rsidRDefault="00341301" w:rsidP="00341301">
            <w:pPr>
              <w:pStyle w:val="BodyText"/>
              <w:ind w:left="0"/>
              <w:cnfStyle w:val="000000100000" w:firstRow="0" w:lastRow="0" w:firstColumn="0" w:lastColumn="0" w:oddVBand="0" w:evenVBand="0" w:oddHBand="1" w:evenHBand="0" w:firstRowFirstColumn="0" w:firstRowLastColumn="0" w:lastRowFirstColumn="0" w:lastRowLastColumn="0"/>
            </w:pPr>
          </w:p>
        </w:tc>
      </w:tr>
      <w:tr w:rsidR="008B39D2" w:rsidRPr="00874C11" w:rsidTr="00B23DA1">
        <w:tc>
          <w:tcPr>
            <w:cnfStyle w:val="001000000000" w:firstRow="0" w:lastRow="0" w:firstColumn="1" w:lastColumn="0" w:oddVBand="0" w:evenVBand="0" w:oddHBand="0" w:evenHBand="0" w:firstRowFirstColumn="0" w:firstRowLastColumn="0" w:lastRowFirstColumn="0" w:lastRowLastColumn="0"/>
            <w:tcW w:w="9460" w:type="dxa"/>
            <w:gridSpan w:val="3"/>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NSW government financial statements.</w:t>
            </w:r>
          </w:p>
        </w:tc>
      </w:tr>
      <w:tr w:rsidR="008B39D2" w:rsidTr="00B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733FCE" w:rsidP="00733FCE">
            <w:pPr>
              <w:pStyle w:val="Caption"/>
              <w:spacing w:before="0" w:after="0"/>
            </w:pPr>
            <w:r w:rsidRPr="00733FCE">
              <w:t xml:space="preserve">Figure </w:t>
            </w:r>
            <w:r w:rsidR="003A23CE">
              <w:fldChar w:fldCharType="begin"/>
            </w:r>
            <w:r w:rsidR="003A23CE">
              <w:instrText xml:space="preserve"> STYLEREF  \s "Heading 9,Appendix Heading 1" </w:instrText>
            </w:r>
            <w:r w:rsidR="003A23CE">
              <w:fldChar w:fldCharType="separate"/>
            </w:r>
            <w:r w:rsidR="008B68F4">
              <w:rPr>
                <w:noProof/>
              </w:rPr>
              <w:t>A1</w:t>
            </w:r>
            <w:r w:rsidR="003A23CE">
              <w:rPr>
                <w:noProof/>
              </w:rPr>
              <w:fldChar w:fldCharType="end"/>
            </w:r>
            <w:r w:rsidRPr="00733FCE">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733FCE">
              <w:t>: NSW general government annual average trends from 2002–03 to 2012–13</w:t>
            </w:r>
          </w:p>
        </w:tc>
      </w:tr>
      <w:tr w:rsidR="008B39D2" w:rsidTr="00B23DA1">
        <w:trPr>
          <w:trHeight w:val="5103"/>
        </w:trPr>
        <w:tc>
          <w:tcPr>
            <w:cnfStyle w:val="001000000000" w:firstRow="0" w:lastRow="0" w:firstColumn="1" w:lastColumn="0" w:oddVBand="0" w:evenVBand="0" w:oddHBand="0" w:evenHBand="0" w:firstRowFirstColumn="0" w:firstRowLastColumn="0" w:lastRowFirstColumn="0" w:lastRowLastColumn="0"/>
            <w:tcW w:w="9460" w:type="dxa"/>
            <w:gridSpan w:val="3"/>
            <w:shd w:val="clear" w:color="auto" w:fill="auto"/>
          </w:tcPr>
          <w:tbl>
            <w:tblPr>
              <w:tblW w:w="1900" w:type="dxa"/>
              <w:tblLayout w:type="fixed"/>
              <w:tblLook w:val="04A0" w:firstRow="1" w:lastRow="0" w:firstColumn="1" w:lastColumn="0" w:noHBand="0" w:noVBand="1"/>
            </w:tblPr>
            <w:tblGrid>
              <w:gridCol w:w="1664"/>
              <w:gridCol w:w="236"/>
            </w:tblGrid>
            <w:tr w:rsidR="00184DBE" w:rsidRPr="00184DBE" w:rsidTr="00B23DA1">
              <w:trPr>
                <w:trHeight w:val="165"/>
              </w:trPr>
              <w:tc>
                <w:tcPr>
                  <w:tcW w:w="1900" w:type="dxa"/>
                  <w:gridSpan w:val="2"/>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Pr>
                      <w:noProof/>
                      <w:lang w:eastAsia="en-AU"/>
                    </w:rPr>
                    <w:drawing>
                      <wp:anchor distT="0" distB="0" distL="114300" distR="114300" simplePos="0" relativeHeight="251706368" behindDoc="0" locked="0" layoutInCell="1" allowOverlap="1" wp14:anchorId="53B195EC" wp14:editId="5ED14FE1">
                        <wp:simplePos x="0" y="0"/>
                        <wp:positionH relativeFrom="column">
                          <wp:posOffset>22225</wp:posOffset>
                        </wp:positionH>
                        <wp:positionV relativeFrom="paragraph">
                          <wp:posOffset>-94615</wp:posOffset>
                        </wp:positionV>
                        <wp:extent cx="5328285" cy="3228975"/>
                        <wp:effectExtent l="0" t="0" r="5715" b="9525"/>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28285" cy="3228975"/>
                                </a:xfrm>
                                <a:prstGeom prst="rect">
                                  <a:avLst/>
                                </a:prstGeom>
                                <a:noFill/>
                                <a:extLst/>
                              </pic:spPr>
                            </pic:pic>
                          </a:graphicData>
                        </a:graphic>
                        <wp14:sizeRelH relativeFrom="page">
                          <wp14:pctWidth>0</wp14:pctWidth>
                        </wp14:sizeRelH>
                        <wp14:sizeRelV relativeFrom="page">
                          <wp14:pctHeight>0</wp14:pctHeight>
                        </wp14:sizeRelV>
                      </wp:anchor>
                    </w:drawing>
                  </w:r>
                  <w:r w:rsidRPr="00B23DA1">
                    <w:rPr>
                      <w:rFonts w:ascii="Calibri" w:eastAsia="Times New Roman" w:hAnsi="Calibri" w:cs="Times New Roman"/>
                      <w:color w:val="FFFFFF" w:themeColor="background1"/>
                      <w:sz w:val="12"/>
                      <w:szCs w:val="12"/>
                      <w:lang w:eastAsia="en-AU"/>
                    </w:rPr>
                    <w:t>% Annual real growth</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Specific purpose payments</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6.4</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GST transfers</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4.0</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Own-source revenue</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5.5</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Total revenue</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5.3</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Expenses</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5.8</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Net capital investment</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6.4</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Total spending</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5.8</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Nominal GSP</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5.5</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Real GSP</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2.1</w:t>
                  </w:r>
                </w:p>
              </w:tc>
            </w:tr>
            <w:tr w:rsidR="00184DBE" w:rsidRPr="00184DBE" w:rsidTr="00B23DA1">
              <w:trPr>
                <w:trHeight w:val="165"/>
              </w:trPr>
              <w:tc>
                <w:tcPr>
                  <w:tcW w:w="1672" w:type="dxa"/>
                  <w:tcBorders>
                    <w:top w:val="nil"/>
                    <w:left w:val="nil"/>
                    <w:bottom w:val="nil"/>
                    <w:right w:val="nil"/>
                  </w:tcBorders>
                  <w:shd w:val="clear" w:color="auto" w:fill="auto"/>
                  <w:noWrap/>
                  <w:vAlign w:val="bottom"/>
                  <w:hideMark/>
                </w:tcPr>
                <w:p w:rsidR="00184DBE" w:rsidRPr="00B23DA1" w:rsidRDefault="00184DBE" w:rsidP="00184DBE">
                  <w:pPr>
                    <w:spacing w:line="240" w:lineRule="auto"/>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Population growth</w:t>
                  </w:r>
                </w:p>
              </w:tc>
              <w:tc>
                <w:tcPr>
                  <w:tcW w:w="228" w:type="dxa"/>
                  <w:tcBorders>
                    <w:top w:val="nil"/>
                    <w:left w:val="nil"/>
                    <w:bottom w:val="nil"/>
                    <w:right w:val="nil"/>
                  </w:tcBorders>
                  <w:shd w:val="clear" w:color="auto" w:fill="auto"/>
                  <w:noWrap/>
                  <w:vAlign w:val="bottom"/>
                  <w:hideMark/>
                </w:tcPr>
                <w:p w:rsidR="00184DBE" w:rsidRPr="00B23DA1" w:rsidRDefault="00184DBE" w:rsidP="00184DBE">
                  <w:pPr>
                    <w:spacing w:line="240" w:lineRule="auto"/>
                    <w:jc w:val="right"/>
                    <w:rPr>
                      <w:rFonts w:ascii="Calibri" w:eastAsia="Times New Roman" w:hAnsi="Calibri" w:cs="Times New Roman"/>
                      <w:color w:val="FFFFFF" w:themeColor="background1"/>
                      <w:sz w:val="12"/>
                      <w:szCs w:val="12"/>
                      <w:lang w:eastAsia="en-AU"/>
                    </w:rPr>
                  </w:pPr>
                  <w:r w:rsidRPr="00B23DA1">
                    <w:rPr>
                      <w:rFonts w:ascii="Calibri" w:eastAsia="Times New Roman" w:hAnsi="Calibri" w:cs="Times New Roman"/>
                      <w:color w:val="FFFFFF" w:themeColor="background1"/>
                      <w:sz w:val="12"/>
                      <w:szCs w:val="12"/>
                      <w:lang w:eastAsia="en-AU"/>
                    </w:rPr>
                    <w:t>1.1</w:t>
                  </w:r>
                </w:p>
              </w:tc>
            </w:tr>
          </w:tbl>
          <w:p w:rsidR="008B39D2" w:rsidRDefault="008B39D2" w:rsidP="00341301">
            <w:pPr>
              <w:pStyle w:val="BodyText"/>
              <w:jc w:val="center"/>
            </w:pPr>
          </w:p>
        </w:tc>
      </w:tr>
      <w:tr w:rsidR="008B39D2" w:rsidRPr="00874C11" w:rsidTr="00B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NSW government financial statements and Commonwealth Grants Commission.</w:t>
            </w:r>
          </w:p>
        </w:tc>
      </w:tr>
      <w:tr w:rsidR="008B39D2" w:rsidTr="00B23DA1">
        <w:tc>
          <w:tcPr>
            <w:cnfStyle w:val="001000000000" w:firstRow="0" w:lastRow="0" w:firstColumn="1" w:lastColumn="0" w:oddVBand="0" w:evenVBand="0" w:oddHBand="0" w:evenHBand="0" w:firstRowFirstColumn="0" w:firstRowLastColumn="0" w:lastRowFirstColumn="0" w:lastRowLastColumn="0"/>
            <w:tcW w:w="4536" w:type="dxa"/>
            <w:shd w:val="clear" w:color="auto" w:fill="auto"/>
          </w:tcPr>
          <w:p w:rsidR="008B39D2" w:rsidRDefault="008B67C7" w:rsidP="008B67C7">
            <w:pPr>
              <w:pStyle w:val="Caption"/>
              <w:spacing w:before="0" w:after="0"/>
            </w:pPr>
            <w:r w:rsidRPr="008B67C7">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A1</w:t>
            </w:r>
            <w:r>
              <w:fldChar w:fldCharType="end"/>
            </w:r>
            <w:r w:rsidRPr="008B67C7">
              <w:rPr>
                <w:rFonts w:eastAsiaTheme="minorHAnsi"/>
              </w:rPr>
              <w:t>‒</w:t>
            </w:r>
            <w:r w:rsidRPr="008B67C7">
              <w:fldChar w:fldCharType="begin"/>
            </w:r>
            <w:r w:rsidRPr="008B67C7">
              <w:rPr>
                <w:rFonts w:eastAsiaTheme="minorHAnsi"/>
              </w:rPr>
              <w:instrText xml:space="preserve"> SEQ AppendixFigure\s 8 </w:instrText>
            </w:r>
            <w:r w:rsidRPr="008B67C7">
              <w:fldChar w:fldCharType="separate"/>
            </w:r>
            <w:r w:rsidR="008B68F4">
              <w:rPr>
                <w:rFonts w:eastAsiaTheme="minorHAnsi"/>
                <w:noProof/>
              </w:rPr>
              <w:t>4</w:t>
            </w:r>
            <w:r w:rsidRPr="008B67C7">
              <w:fldChar w:fldCharType="end"/>
            </w:r>
            <w:r w:rsidRPr="008B67C7">
              <w:rPr>
                <w:rFonts w:eastAsiaTheme="minorHAnsi"/>
              </w:rPr>
              <w:t>: Annual nominal growth in NSW government spending from 2002–03 to 2012–13</w:t>
            </w:r>
          </w:p>
        </w:tc>
        <w:tc>
          <w:tcPr>
            <w:tcW w:w="4924" w:type="dxa"/>
            <w:gridSpan w:val="2"/>
            <w:shd w:val="clear" w:color="auto" w:fill="auto"/>
          </w:tcPr>
          <w:p w:rsidR="008B39D2" w:rsidRPr="004D31EA" w:rsidRDefault="008B67C7" w:rsidP="008B67C7">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8B67C7">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A1</w:t>
            </w:r>
            <w:r>
              <w:fldChar w:fldCharType="end"/>
            </w:r>
            <w:r w:rsidRPr="008B67C7">
              <w:rPr>
                <w:rFonts w:eastAsiaTheme="minorHAnsi"/>
              </w:rPr>
              <w:t>‒</w:t>
            </w:r>
            <w:r w:rsidRPr="008B67C7">
              <w:fldChar w:fldCharType="begin"/>
            </w:r>
            <w:r w:rsidRPr="008B67C7">
              <w:rPr>
                <w:rFonts w:eastAsiaTheme="minorHAnsi"/>
              </w:rPr>
              <w:instrText xml:space="preserve"> SEQ AppendixFigure\s 8 </w:instrText>
            </w:r>
            <w:r w:rsidRPr="008B67C7">
              <w:fldChar w:fldCharType="separate"/>
            </w:r>
            <w:r w:rsidR="008B68F4">
              <w:rPr>
                <w:rFonts w:eastAsiaTheme="minorHAnsi"/>
                <w:noProof/>
              </w:rPr>
              <w:t>5</w:t>
            </w:r>
            <w:r w:rsidRPr="008B67C7">
              <w:fldChar w:fldCharType="end"/>
            </w:r>
            <w:r w:rsidRPr="008B67C7">
              <w:rPr>
                <w:rFonts w:eastAsiaTheme="minorHAnsi"/>
              </w:rPr>
              <w:t>: Contributions to total growth in NSW government spending from 2002–03 to 2012–13</w:t>
            </w:r>
          </w:p>
        </w:tc>
      </w:tr>
      <w:tr w:rsidR="008B39D2" w:rsidTr="00B23DA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293D56" w:rsidP="00341301">
            <w:pPr>
              <w:pStyle w:val="BodyText"/>
              <w:ind w:left="0"/>
            </w:pPr>
            <w:r>
              <w:rPr>
                <w:noProof/>
              </w:rPr>
              <w:drawing>
                <wp:anchor distT="0" distB="0" distL="114300" distR="114300" simplePos="0" relativeHeight="251707392" behindDoc="0" locked="0" layoutInCell="1" allowOverlap="1" wp14:anchorId="1EF26014" wp14:editId="535CA3F9">
                  <wp:simplePos x="0" y="0"/>
                  <wp:positionH relativeFrom="column">
                    <wp:posOffset>8890</wp:posOffset>
                  </wp:positionH>
                  <wp:positionV relativeFrom="paragraph">
                    <wp:posOffset>-1905</wp:posOffset>
                  </wp:positionV>
                  <wp:extent cx="2694940" cy="360299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14:sizeRelH relativeFrom="page">
                    <wp14:pctWidth>0</wp14:pctWidth>
                  </wp14:sizeRelH>
                  <wp14:sizeRelV relativeFrom="page">
                    <wp14:pctHeight>0</wp14:pctHeight>
                  </wp14:sizeRelV>
                </wp:anchor>
              </w:drawing>
            </w:r>
          </w:p>
        </w:tc>
        <w:tc>
          <w:tcPr>
            <w:tcW w:w="4924"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6874E4"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40B76F4" wp14:editId="66DF2CE7">
                  <wp:extent cx="2694940" cy="360934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94940" cy="3609340"/>
                          </a:xfrm>
                          <a:prstGeom prst="rect">
                            <a:avLst/>
                          </a:prstGeom>
                          <a:noFill/>
                        </pic:spPr>
                      </pic:pic>
                    </a:graphicData>
                  </a:graphic>
                </wp:inline>
              </w:drawing>
            </w:r>
          </w:p>
        </w:tc>
      </w:tr>
      <w:tr w:rsidR="008B39D2" w:rsidRPr="00714E4D" w:rsidTr="00B23DA1">
        <w:tc>
          <w:tcPr>
            <w:cnfStyle w:val="001000000000" w:firstRow="0" w:lastRow="0" w:firstColumn="1" w:lastColumn="0" w:oddVBand="0" w:evenVBand="0" w:oddHBand="0" w:evenHBand="0" w:firstRowFirstColumn="0" w:firstRowLastColumn="0" w:lastRowFirstColumn="0" w:lastRowLastColumn="0"/>
            <w:tcW w:w="9460" w:type="dxa"/>
            <w:gridSpan w:val="3"/>
            <w:shd w:val="clear" w:color="auto" w:fill="auto"/>
          </w:tcPr>
          <w:p w:rsidR="008B39D2" w:rsidRPr="00714E4D" w:rsidRDefault="008B39D2" w:rsidP="00341301">
            <w:pPr>
              <w:pStyle w:val="BodyText"/>
              <w:spacing w:before="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NSW government financial statements.</w:t>
            </w:r>
          </w:p>
        </w:tc>
      </w:tr>
      <w:tr w:rsidR="008B39D2" w:rsidTr="00B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82092" w:rsidP="00882092">
            <w:pPr>
              <w:pStyle w:val="Caption"/>
              <w:spacing w:before="0" w:after="0"/>
            </w:pPr>
            <w:r w:rsidRPr="00882092">
              <w:t xml:space="preserve">Figure </w:t>
            </w:r>
            <w:r w:rsidR="003A23CE">
              <w:fldChar w:fldCharType="begin"/>
            </w:r>
            <w:r w:rsidR="003A23CE">
              <w:instrText xml:space="preserve"> STYLEREF  \s "Heading 9,Appendix Heading 1" </w:instrText>
            </w:r>
            <w:r w:rsidR="003A23CE">
              <w:fldChar w:fldCharType="separate"/>
            </w:r>
            <w:r w:rsidR="008B68F4">
              <w:rPr>
                <w:noProof/>
              </w:rPr>
              <w:t>A1</w:t>
            </w:r>
            <w:r w:rsidR="003A23CE">
              <w:rPr>
                <w:noProof/>
              </w:rPr>
              <w:fldChar w:fldCharType="end"/>
            </w:r>
            <w:r w:rsidRPr="00882092">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882092">
              <w:t>: NSW government revenue by source</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82092" w:rsidP="00882092">
            <w:pPr>
              <w:pStyle w:val="Caption"/>
              <w:spacing w:before="0" w:after="0"/>
              <w:cnfStyle w:val="000000100000" w:firstRow="0" w:lastRow="0" w:firstColumn="0" w:lastColumn="0" w:oddVBand="0" w:evenVBand="0" w:oddHBand="1" w:evenHBand="0" w:firstRowFirstColumn="0" w:firstRowLastColumn="0" w:lastRowFirstColumn="0" w:lastRowLastColumn="0"/>
            </w:pPr>
            <w:r w:rsidRPr="00882092">
              <w:t xml:space="preserve">Figure </w:t>
            </w:r>
            <w:r w:rsidR="003A23CE">
              <w:fldChar w:fldCharType="begin"/>
            </w:r>
            <w:r w:rsidR="003A23CE">
              <w:instrText xml:space="preserve"> STYLEREF  \s "Heading 9,Appendix Heading 1" </w:instrText>
            </w:r>
            <w:r w:rsidR="003A23CE">
              <w:fldChar w:fldCharType="separate"/>
            </w:r>
            <w:r w:rsidR="008B68F4">
              <w:rPr>
                <w:noProof/>
              </w:rPr>
              <w:t>A1</w:t>
            </w:r>
            <w:r w:rsidR="003A23CE">
              <w:rPr>
                <w:noProof/>
              </w:rPr>
              <w:fldChar w:fldCharType="end"/>
            </w:r>
            <w:r w:rsidRPr="00882092">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882092">
              <w:t>: NSW tax and non-tax revenue by type</w:t>
            </w:r>
          </w:p>
        </w:tc>
      </w:tr>
      <w:tr w:rsidR="008B39D2" w:rsidTr="00B23DA1">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871" w:type="dxa"/>
            <w:gridSpan w:val="2"/>
            <w:shd w:val="clear" w:color="auto" w:fill="auto"/>
          </w:tcPr>
          <w:p w:rsidR="008B39D2" w:rsidRDefault="00C21AF4" w:rsidP="00341301">
            <w:pPr>
              <w:pStyle w:val="BodyText"/>
              <w:ind w:left="5"/>
            </w:pPr>
            <w:r>
              <w:rPr>
                <w:noProof/>
              </w:rPr>
              <w:drawing>
                <wp:inline distT="0" distB="0" distL="0" distR="0" wp14:anchorId="1ACA97F3" wp14:editId="69340CAF">
                  <wp:extent cx="2700655" cy="3602990"/>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shd w:val="clear" w:color="auto" w:fill="auto"/>
          </w:tcPr>
          <w:p w:rsidR="008B39D2" w:rsidRDefault="00C21AF4"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CD77363" wp14:editId="40726053">
                  <wp:extent cx="2700655" cy="360299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Tr="00B23D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NSW government financial statements and Commonwealth Grants Commission.</w:t>
            </w:r>
          </w:p>
        </w:tc>
      </w:tr>
    </w:tbl>
    <w:p w:rsidR="008B39D2" w:rsidRDefault="008B39D2" w:rsidP="008B39D2">
      <w:pPr>
        <w:pStyle w:val="Heading9"/>
      </w:pPr>
      <w:r>
        <w:lastRenderedPageBreak/>
        <w:t>Victoria</w:t>
      </w:r>
    </w:p>
    <w:tbl>
      <w:tblPr>
        <w:tblStyle w:val="TableGrid"/>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589"/>
      </w:tblGrid>
      <w:tr w:rsidR="008B39D2" w:rsidTr="00E276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shd w:val="clear" w:color="auto" w:fill="auto"/>
          </w:tcPr>
          <w:p w:rsidR="004221DC" w:rsidRPr="00BB4109" w:rsidRDefault="004221DC" w:rsidP="004221DC">
            <w:pPr>
              <w:pStyle w:val="Caption"/>
              <w:spacing w:before="0" w:after="0"/>
              <w:rPr>
                <w:rFonts w:eastAsiaTheme="minorHAnsi"/>
              </w:rPr>
            </w:pPr>
            <w:r w:rsidRPr="00BB4109">
              <w:rPr>
                <w:rFonts w:eastAsiaTheme="minorHAnsi"/>
              </w:rPr>
              <w:t xml:space="preserve">Figure </w:t>
            </w:r>
            <w:r w:rsidR="003A23CE">
              <w:fldChar w:fldCharType="begin"/>
            </w:r>
            <w:r w:rsidR="003A23CE">
              <w:instrText xml:space="preserve"> STYLEREF  \s "Heading 9,Appendix Heading 1" </w:instrText>
            </w:r>
            <w:r w:rsidR="003A23CE">
              <w:fldChar w:fldCharType="separate"/>
            </w:r>
            <w:r w:rsidR="008B68F4">
              <w:rPr>
                <w:noProof/>
              </w:rPr>
              <w:t>A2</w:t>
            </w:r>
            <w:r w:rsidR="003A23CE">
              <w:rPr>
                <w:noProof/>
              </w:rPr>
              <w:fldChar w:fldCharType="end"/>
            </w:r>
            <w:r w:rsidRPr="00BB4109">
              <w:rPr>
                <w:rFonts w:eastAsiaTheme="minorHAnsi"/>
              </w:rPr>
              <w:t>‒</w:t>
            </w:r>
            <w:r w:rsidR="003A23CE">
              <w:fldChar w:fldCharType="begin"/>
            </w:r>
            <w:r w:rsidR="003A23CE">
              <w:instrText xml:space="preserve"> SEQ AppendixFigure\r 1 </w:instrText>
            </w:r>
            <w:r w:rsidR="003A23CE">
              <w:fldChar w:fldCharType="separate"/>
            </w:r>
            <w:r w:rsidR="008B68F4">
              <w:rPr>
                <w:noProof/>
              </w:rPr>
              <w:t>1</w:t>
            </w:r>
            <w:r w:rsidR="003A23CE">
              <w:rPr>
                <w:noProof/>
              </w:rPr>
              <w:fldChar w:fldCharType="end"/>
            </w:r>
            <w:r w:rsidRPr="00BB4109">
              <w:rPr>
                <w:rFonts w:eastAsiaTheme="minorHAnsi"/>
              </w:rPr>
              <w:t xml:space="preserve">: Victorian general government fiscal and </w:t>
            </w:r>
          </w:p>
          <w:p w:rsidR="008B39D2" w:rsidRPr="00874C11" w:rsidRDefault="004221DC" w:rsidP="004221DC">
            <w:pPr>
              <w:pStyle w:val="Caption"/>
              <w:spacing w:before="0" w:after="0"/>
              <w:rPr>
                <w:rFonts w:eastAsiaTheme="minorHAnsi" w:cstheme="minorBidi"/>
              </w:rPr>
            </w:pPr>
            <w:r w:rsidRPr="00BB4109">
              <w:rPr>
                <w:rFonts w:eastAsiaTheme="minorHAnsi"/>
              </w:rPr>
              <w:t>operating balances</w:t>
            </w:r>
          </w:p>
        </w:tc>
        <w:tc>
          <w:tcPr>
            <w:tcW w:w="4589" w:type="dxa"/>
            <w:shd w:val="clear" w:color="auto" w:fill="auto"/>
          </w:tcPr>
          <w:p w:rsidR="008B39D2" w:rsidRDefault="00E276C7" w:rsidP="00E276C7">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E276C7">
              <w:t xml:space="preserve">Figure </w:t>
            </w:r>
            <w:r w:rsidR="003A23CE">
              <w:fldChar w:fldCharType="begin"/>
            </w:r>
            <w:r w:rsidR="003A23CE">
              <w:instrText xml:space="preserve"> STYLEREF  \s "Heading 9,Appendix Heading 1" </w:instrText>
            </w:r>
            <w:r w:rsidR="003A23CE">
              <w:fldChar w:fldCharType="separate"/>
            </w:r>
            <w:r w:rsidR="008B68F4">
              <w:rPr>
                <w:noProof/>
              </w:rPr>
              <w:t>A2</w:t>
            </w:r>
            <w:r w:rsidR="003A23CE">
              <w:rPr>
                <w:noProof/>
              </w:rPr>
              <w:fldChar w:fldCharType="end"/>
            </w:r>
            <w:r w:rsidRPr="00E276C7">
              <w:t>‒</w:t>
            </w:r>
            <w:r w:rsidR="003A23CE">
              <w:fldChar w:fldCharType="begin"/>
            </w:r>
            <w:r w:rsidR="003A23CE">
              <w:instrText xml:space="preserve"> SEQ AppendixFigure\n </w:instrText>
            </w:r>
            <w:r w:rsidR="003A23CE">
              <w:fldChar w:fldCharType="separate"/>
            </w:r>
            <w:r w:rsidR="008B68F4">
              <w:rPr>
                <w:noProof/>
              </w:rPr>
              <w:t>2</w:t>
            </w:r>
            <w:r w:rsidR="003A23CE">
              <w:rPr>
                <w:noProof/>
              </w:rPr>
              <w:fldChar w:fldCharType="end"/>
            </w:r>
            <w:r w:rsidRPr="00E276C7">
              <w:t>: Victorian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E276C7" w:rsidRDefault="00E276C7" w:rsidP="00341301">
            <w:pPr>
              <w:pStyle w:val="BodyText"/>
              <w:ind w:left="0"/>
            </w:pPr>
            <w:r>
              <w:rPr>
                <w:noProof/>
              </w:rPr>
              <w:drawing>
                <wp:inline distT="0" distB="0" distL="0" distR="0" wp14:anchorId="7EE6354D" wp14:editId="6097D36A">
                  <wp:extent cx="2700655" cy="3602990"/>
                  <wp:effectExtent l="0" t="0" r="444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shd w:val="clear" w:color="auto" w:fill="auto"/>
          </w:tcPr>
          <w:p w:rsidR="00E276C7" w:rsidRDefault="00E276C7"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B9680DF" wp14:editId="17DAAC0D">
                  <wp:extent cx="2700655" cy="3602990"/>
                  <wp:effectExtent l="0" t="0" r="444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Victorian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l2br w:val="none" w:sz="0" w:space="0" w:color="auto"/>
              <w:tr2bl w:val="none" w:sz="0" w:space="0" w:color="auto"/>
            </w:tcBorders>
            <w:shd w:val="clear" w:color="auto" w:fill="auto"/>
          </w:tcPr>
          <w:p w:rsidR="008B39D2" w:rsidRDefault="00E276C7" w:rsidP="00FF24E8">
            <w:pPr>
              <w:pStyle w:val="Caption"/>
              <w:spacing w:before="0" w:after="0"/>
            </w:pPr>
            <w:r w:rsidRPr="00E276C7">
              <w:t xml:space="preserve">Figure </w:t>
            </w:r>
            <w:r w:rsidR="003A23CE">
              <w:fldChar w:fldCharType="begin"/>
            </w:r>
            <w:r w:rsidR="003A23CE">
              <w:instrText xml:space="preserve"> STYLEREF  \s "Heading 9,Appendix Heading 1" </w:instrText>
            </w:r>
            <w:r w:rsidR="003A23CE">
              <w:fldChar w:fldCharType="separate"/>
            </w:r>
            <w:r w:rsidR="008B68F4">
              <w:rPr>
                <w:noProof/>
              </w:rPr>
              <w:t>A2</w:t>
            </w:r>
            <w:r w:rsidR="003A23CE">
              <w:rPr>
                <w:noProof/>
              </w:rPr>
              <w:fldChar w:fldCharType="end"/>
            </w:r>
            <w:r w:rsidRPr="00E276C7">
              <w:t>‒</w:t>
            </w:r>
            <w:r w:rsidR="003A23CE">
              <w:fldChar w:fldCharType="begin"/>
            </w:r>
            <w:r w:rsidR="003A23CE">
              <w:instrText xml:space="preserve"> SEQ AppendixFigure\n </w:instrText>
            </w:r>
            <w:r w:rsidR="003A23CE">
              <w:fldChar w:fldCharType="separate"/>
            </w:r>
            <w:r w:rsidR="008B68F4">
              <w:rPr>
                <w:noProof/>
              </w:rPr>
              <w:t>3</w:t>
            </w:r>
            <w:r w:rsidR="003A23CE">
              <w:rPr>
                <w:noProof/>
              </w:rPr>
              <w:fldChar w:fldCharType="end"/>
            </w:r>
            <w:r w:rsidRPr="00E276C7">
              <w:t xml:space="preserve">: </w:t>
            </w:r>
            <w:r w:rsidR="00FF24E8" w:rsidRPr="00FF24E8">
              <w:t xml:space="preserve">Victorian general government </w:t>
            </w:r>
            <w:r w:rsidR="00FF24E8">
              <w:t>annual average trends from 2002–</w:t>
            </w:r>
            <w:r w:rsidR="00FF24E8" w:rsidRPr="00FF24E8">
              <w:t>03 to 2012</w:t>
            </w:r>
            <w:r w:rsidR="00FF24E8">
              <w:t>–</w:t>
            </w:r>
            <w:r w:rsidR="00FF24E8" w:rsidRPr="00FF24E8">
              <w:t>13</w:t>
            </w:r>
            <w:r w:rsidR="008B39D2" w:rsidRPr="00874C11">
              <w:rPr>
                <w:rFonts w:eastAsiaTheme="minorHAnsi" w:cstheme="minorBidi"/>
              </w:rPr>
              <w:t xml:space="preserve"> </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Default="00E84964" w:rsidP="00341301">
            <w:pPr>
              <w:pStyle w:val="BodyText"/>
              <w:jc w:val="center"/>
            </w:pPr>
            <w:r>
              <w:rPr>
                <w:noProof/>
              </w:rPr>
              <w:drawing>
                <wp:inline distT="0" distB="0" distL="0" distR="0" wp14:anchorId="3B073BAD" wp14:editId="1F89243B">
                  <wp:extent cx="5358765" cy="3237230"/>
                  <wp:effectExtent l="0" t="0" r="0"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58765" cy="3237230"/>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Victorian government financial statements and Commonwealth Grants Commission.</w:t>
            </w:r>
          </w:p>
        </w:tc>
      </w:tr>
      <w:tr w:rsidR="008B39D2" w:rsidTr="00341301">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FF24E8" w:rsidP="00FF24E8">
            <w:pPr>
              <w:pStyle w:val="Caption"/>
              <w:spacing w:before="0" w:after="0"/>
            </w:pPr>
            <w:r w:rsidRPr="00FF24E8">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A2</w:t>
            </w:r>
            <w:r>
              <w:fldChar w:fldCharType="end"/>
            </w:r>
            <w:r w:rsidRPr="00FF24E8">
              <w:rPr>
                <w:rFonts w:eastAsiaTheme="minorHAnsi"/>
              </w:rPr>
              <w:t>‒</w:t>
            </w:r>
            <w:r>
              <w:fldChar w:fldCharType="begin"/>
            </w:r>
            <w:r>
              <w:rPr>
                <w:rFonts w:eastAsiaTheme="minorHAnsi"/>
              </w:rPr>
              <w:instrText xml:space="preserve"> SEQ AppendixFigure\s 8 </w:instrText>
            </w:r>
            <w:r>
              <w:fldChar w:fldCharType="separate"/>
            </w:r>
            <w:r w:rsidR="008B68F4">
              <w:rPr>
                <w:rFonts w:eastAsiaTheme="minorHAnsi"/>
                <w:noProof/>
              </w:rPr>
              <w:t>4</w:t>
            </w:r>
            <w:r>
              <w:fldChar w:fldCharType="end"/>
            </w:r>
            <w:r w:rsidRPr="00FF24E8">
              <w:rPr>
                <w:rFonts w:eastAsiaTheme="minorHAnsi"/>
              </w:rPr>
              <w:t>: Annual nominal growth in Victorian government spending from 2002–03 to 2012–13</w:t>
            </w:r>
          </w:p>
        </w:tc>
        <w:tc>
          <w:tcPr>
            <w:tcW w:w="4589" w:type="dxa"/>
            <w:tcBorders>
              <w:top w:val="nil"/>
              <w:left w:val="nil"/>
              <w:bottom w:val="nil"/>
              <w:right w:val="nil"/>
            </w:tcBorders>
            <w:shd w:val="clear" w:color="auto" w:fill="auto"/>
          </w:tcPr>
          <w:p w:rsidR="008B39D2" w:rsidRPr="004D31EA" w:rsidRDefault="00FF24E8" w:rsidP="007A0E39">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FF24E8">
              <w:rPr>
                <w:rFonts w:eastAsiaTheme="minorHAnsi"/>
              </w:rPr>
              <w:t xml:space="preserve">Figure </w:t>
            </w:r>
            <w:r w:rsidR="007A0E39">
              <w:fldChar w:fldCharType="begin"/>
            </w:r>
            <w:r w:rsidR="007A0E39">
              <w:rPr>
                <w:rFonts w:eastAsiaTheme="minorHAnsi"/>
              </w:rPr>
              <w:instrText xml:space="preserve"> STYLEREF  \s "Heading 9,Appendix Heading 1" </w:instrText>
            </w:r>
            <w:r w:rsidR="007A0E39">
              <w:fldChar w:fldCharType="separate"/>
            </w:r>
            <w:r w:rsidR="008B68F4">
              <w:rPr>
                <w:rFonts w:eastAsiaTheme="minorHAnsi"/>
                <w:noProof/>
              </w:rPr>
              <w:t>A2</w:t>
            </w:r>
            <w:r w:rsidR="007A0E39">
              <w:fldChar w:fldCharType="end"/>
            </w:r>
            <w:r w:rsidRPr="00FF24E8">
              <w:rPr>
                <w:rFonts w:eastAsiaTheme="minorHAnsi"/>
              </w:rPr>
              <w:t>‒</w:t>
            </w:r>
            <w:r w:rsidRPr="00FF24E8">
              <w:fldChar w:fldCharType="begin"/>
            </w:r>
            <w:r w:rsidRPr="00FF24E8">
              <w:rPr>
                <w:rFonts w:eastAsiaTheme="minorHAnsi"/>
              </w:rPr>
              <w:instrText xml:space="preserve"> SEQ AppendixFigure\s 8 </w:instrText>
            </w:r>
            <w:r w:rsidRPr="00FF24E8">
              <w:fldChar w:fldCharType="separate"/>
            </w:r>
            <w:r w:rsidR="008B68F4">
              <w:rPr>
                <w:rFonts w:eastAsiaTheme="minorHAnsi"/>
                <w:noProof/>
              </w:rPr>
              <w:t>5</w:t>
            </w:r>
            <w:r w:rsidRPr="00FF24E8">
              <w:fldChar w:fldCharType="end"/>
            </w:r>
            <w:r w:rsidRPr="00FF24E8">
              <w:rPr>
                <w:rFonts w:eastAsiaTheme="minorHAnsi"/>
              </w:rPr>
              <w:t>: Contributions to total growth in Victorian government spending from 2002–03 to 2012–13</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FF24E8" w:rsidRDefault="00C21AF4" w:rsidP="00341301">
            <w:pPr>
              <w:pStyle w:val="BodyText"/>
              <w:ind w:left="0"/>
            </w:pPr>
            <w:r>
              <w:rPr>
                <w:noProof/>
              </w:rPr>
              <w:drawing>
                <wp:inline distT="0" distB="0" distL="0" distR="0" wp14:anchorId="6B3FB0BD" wp14:editId="056C438A">
                  <wp:extent cx="2694940" cy="36029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tc>
        <w:tc>
          <w:tcPr>
            <w:tcW w:w="4589" w:type="dxa"/>
            <w:shd w:val="clear" w:color="auto" w:fill="auto"/>
          </w:tcPr>
          <w:p w:rsidR="00FF24E8" w:rsidRDefault="006874E4"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567C8CC" wp14:editId="198EEE69">
                  <wp:extent cx="2700655" cy="3602990"/>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714E4D"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341301">
            <w:pPr>
              <w:pStyle w:val="BodyText"/>
              <w:spacing w:before="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Victorian government financial statements.</w:t>
            </w:r>
          </w:p>
        </w:tc>
      </w:tr>
      <w:tr w:rsidR="008B39D2" w:rsidTr="007A0E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vAlign w:val="top"/>
          </w:tcPr>
          <w:p w:rsidR="008B39D2" w:rsidRDefault="00FF24E8" w:rsidP="007A0E39">
            <w:pPr>
              <w:pStyle w:val="Caption"/>
              <w:spacing w:before="0" w:after="0"/>
            </w:pPr>
            <w:r w:rsidRPr="00FF24E8">
              <w:t xml:space="preserve">Figure </w:t>
            </w:r>
            <w:r w:rsidR="003A23CE">
              <w:fldChar w:fldCharType="begin"/>
            </w:r>
            <w:r w:rsidR="003A23CE">
              <w:instrText xml:space="preserve"> STYLEREF  \s "Heading 9,Appendix Heading 1" </w:instrText>
            </w:r>
            <w:r w:rsidR="003A23CE">
              <w:fldChar w:fldCharType="separate"/>
            </w:r>
            <w:r w:rsidR="008B68F4">
              <w:rPr>
                <w:noProof/>
              </w:rPr>
              <w:t>A2</w:t>
            </w:r>
            <w:r w:rsidR="003A23CE">
              <w:rPr>
                <w:noProof/>
              </w:rPr>
              <w:fldChar w:fldCharType="end"/>
            </w:r>
            <w:r w:rsidRPr="00FF24E8">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FF24E8">
              <w:t>: Victorian government revenue by source</w:t>
            </w:r>
          </w:p>
        </w:tc>
        <w:tc>
          <w:tcPr>
            <w:tcW w:w="4589" w:type="dxa"/>
            <w:shd w:val="clear" w:color="auto" w:fill="auto"/>
          </w:tcPr>
          <w:p w:rsidR="008B39D2" w:rsidRDefault="00FF24E8" w:rsidP="00FF24E8">
            <w:pPr>
              <w:pStyle w:val="Caption"/>
              <w:spacing w:before="0" w:after="0"/>
              <w:cnfStyle w:val="000000100000" w:firstRow="0" w:lastRow="0" w:firstColumn="0" w:lastColumn="0" w:oddVBand="0" w:evenVBand="0" w:oddHBand="1" w:evenHBand="0" w:firstRowFirstColumn="0" w:firstRowLastColumn="0" w:lastRowFirstColumn="0" w:lastRowLastColumn="0"/>
            </w:pPr>
            <w:r w:rsidRPr="00FF24E8">
              <w:t xml:space="preserve">Figure </w:t>
            </w:r>
            <w:r w:rsidR="003A23CE">
              <w:fldChar w:fldCharType="begin"/>
            </w:r>
            <w:r w:rsidR="003A23CE">
              <w:instrText xml:space="preserve"> STYLEREF  \s "Heading 9,Appendix Heading 1" </w:instrText>
            </w:r>
            <w:r w:rsidR="003A23CE">
              <w:fldChar w:fldCharType="separate"/>
            </w:r>
            <w:r w:rsidR="008B68F4">
              <w:rPr>
                <w:noProof/>
              </w:rPr>
              <w:t>A2</w:t>
            </w:r>
            <w:r w:rsidR="003A23CE">
              <w:rPr>
                <w:noProof/>
              </w:rPr>
              <w:fldChar w:fldCharType="end"/>
            </w:r>
            <w:r w:rsidRPr="00FF24E8">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FF24E8">
              <w:t>: Victorian tax and non-tax revenue by type</w:t>
            </w:r>
          </w:p>
        </w:tc>
      </w:tr>
      <w:tr w:rsidR="008B39D2" w:rsidTr="00341301">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7A0E39" w:rsidRDefault="007A0E39" w:rsidP="00341301">
            <w:pPr>
              <w:pStyle w:val="BodyText"/>
              <w:ind w:left="5"/>
            </w:pPr>
            <w:r>
              <w:rPr>
                <w:noProof/>
              </w:rPr>
              <w:drawing>
                <wp:inline distT="0" distB="0" distL="0" distR="0" wp14:anchorId="1B5D03BE" wp14:editId="5A656271">
                  <wp:extent cx="2700655" cy="3602990"/>
                  <wp:effectExtent l="0" t="0" r="444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7A0E39" w:rsidRDefault="007A0E39"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E7E81C2" wp14:editId="5644E137">
                  <wp:extent cx="2700655" cy="3602990"/>
                  <wp:effectExtent l="0" t="0" r="444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Victorian government financial statements and Commonwealth Grants Commission.</w:t>
            </w:r>
          </w:p>
        </w:tc>
      </w:tr>
    </w:tbl>
    <w:p w:rsidR="008B39D2" w:rsidRDefault="008B39D2" w:rsidP="008B39D2">
      <w:pPr>
        <w:pStyle w:val="Heading9"/>
      </w:pPr>
      <w:r>
        <w:lastRenderedPageBreak/>
        <w:t>Queensland</w:t>
      </w:r>
    </w:p>
    <w:tbl>
      <w:tblPr>
        <w:tblStyle w:val="TableGrid"/>
        <w:tblW w:w="91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4621"/>
      </w:tblGrid>
      <w:tr w:rsidR="008B39D2" w:rsidTr="00F337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shd w:val="clear" w:color="auto" w:fill="auto"/>
          </w:tcPr>
          <w:p w:rsidR="008B39D2" w:rsidRPr="00874C11" w:rsidRDefault="00F337F2" w:rsidP="00F337F2">
            <w:pPr>
              <w:pStyle w:val="Caption"/>
              <w:spacing w:before="0" w:after="0"/>
              <w:rPr>
                <w:rFonts w:eastAsiaTheme="minorHAnsi" w:cstheme="minorBidi"/>
              </w:rPr>
            </w:pPr>
            <w:r w:rsidRPr="00F337F2">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A3</w:t>
            </w:r>
            <w:r>
              <w:fldChar w:fldCharType="end"/>
            </w:r>
            <w:r w:rsidRPr="00F337F2">
              <w:rPr>
                <w:rFonts w:eastAsiaTheme="minorHAnsi"/>
              </w:rPr>
              <w:t>‒</w:t>
            </w:r>
            <w:r>
              <w:fldChar w:fldCharType="begin"/>
            </w:r>
            <w:r>
              <w:rPr>
                <w:rFonts w:eastAsiaTheme="minorHAnsi"/>
              </w:rPr>
              <w:instrText xml:space="preserve"> SEQ AppendixFigure\r 1 </w:instrText>
            </w:r>
            <w:r>
              <w:fldChar w:fldCharType="separate"/>
            </w:r>
            <w:r w:rsidR="008B68F4">
              <w:rPr>
                <w:rFonts w:eastAsiaTheme="minorHAnsi"/>
                <w:noProof/>
              </w:rPr>
              <w:t>1</w:t>
            </w:r>
            <w:r>
              <w:fldChar w:fldCharType="end"/>
            </w:r>
            <w:r w:rsidRPr="00F337F2">
              <w:rPr>
                <w:rFonts w:eastAsiaTheme="minorHAnsi"/>
              </w:rPr>
              <w:t>: Queensland general government fiscal and operating balances</w:t>
            </w:r>
          </w:p>
        </w:tc>
        <w:tc>
          <w:tcPr>
            <w:tcW w:w="4589" w:type="dxa"/>
            <w:shd w:val="clear" w:color="auto" w:fill="auto"/>
          </w:tcPr>
          <w:p w:rsidR="008B39D2" w:rsidRDefault="00F337F2" w:rsidP="00F337F2">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F337F2">
              <w:t xml:space="preserve">Figure </w:t>
            </w:r>
            <w:r w:rsidR="003A23CE">
              <w:fldChar w:fldCharType="begin"/>
            </w:r>
            <w:r w:rsidR="003A23CE">
              <w:instrText xml:space="preserve"> STYLEREF  \s "Heading 9,Appendix Heading 1" </w:instrText>
            </w:r>
            <w:r w:rsidR="003A23CE">
              <w:fldChar w:fldCharType="separate"/>
            </w:r>
            <w:r w:rsidR="008B68F4">
              <w:rPr>
                <w:noProof/>
              </w:rPr>
              <w:t>A3</w:t>
            </w:r>
            <w:r w:rsidR="003A23CE">
              <w:rPr>
                <w:noProof/>
              </w:rPr>
              <w:fldChar w:fldCharType="end"/>
            </w:r>
            <w:r w:rsidRPr="00F337F2">
              <w:t>‒</w:t>
            </w:r>
            <w:r w:rsidR="003A23CE">
              <w:fldChar w:fldCharType="begin"/>
            </w:r>
            <w:r w:rsidR="003A23CE">
              <w:instrText xml:space="preserve"> SEQ AppendixFigure\s 8 </w:instrText>
            </w:r>
            <w:r w:rsidR="003A23CE">
              <w:fldChar w:fldCharType="separate"/>
            </w:r>
            <w:r w:rsidR="008B68F4">
              <w:rPr>
                <w:noProof/>
              </w:rPr>
              <w:t>2</w:t>
            </w:r>
            <w:r w:rsidR="003A23CE">
              <w:rPr>
                <w:noProof/>
              </w:rPr>
              <w:fldChar w:fldCharType="end"/>
            </w:r>
            <w:r w:rsidRPr="00F337F2">
              <w:t>: Queensland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A75772" w:rsidRDefault="00A75772" w:rsidP="00341301">
            <w:pPr>
              <w:pStyle w:val="BodyText"/>
              <w:ind w:left="0"/>
            </w:pPr>
            <w:r>
              <w:rPr>
                <w:noProof/>
              </w:rPr>
              <w:drawing>
                <wp:inline distT="0" distB="0" distL="0" distR="0" wp14:anchorId="2B80F0D8" wp14:editId="0CA45D99">
                  <wp:extent cx="2700655" cy="3602990"/>
                  <wp:effectExtent l="0" t="0" r="444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shd w:val="clear" w:color="auto" w:fill="auto"/>
          </w:tcPr>
          <w:p w:rsidR="00F60F4C" w:rsidRDefault="00F60F4C"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8A762DE" wp14:editId="68889F89">
                  <wp:extent cx="2705100" cy="360426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5100" cy="360426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Queensland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l2br w:val="none" w:sz="0" w:space="0" w:color="auto"/>
              <w:tr2bl w:val="none" w:sz="0" w:space="0" w:color="auto"/>
            </w:tcBorders>
            <w:shd w:val="clear" w:color="auto" w:fill="auto"/>
          </w:tcPr>
          <w:p w:rsidR="0070737D" w:rsidRPr="0070737D" w:rsidRDefault="0070737D" w:rsidP="0070737D">
            <w:pPr>
              <w:pStyle w:val="Caption"/>
              <w:spacing w:before="0" w:after="0"/>
            </w:pPr>
            <w:r w:rsidRPr="00A75772">
              <w:t xml:space="preserve">Figure </w:t>
            </w:r>
            <w:r w:rsidR="003A23CE">
              <w:fldChar w:fldCharType="begin"/>
            </w:r>
            <w:r w:rsidR="003A23CE">
              <w:instrText xml:space="preserve"> STYLEREF  \s "Heading 9,Appendix Heading 1" </w:instrText>
            </w:r>
            <w:r w:rsidR="003A23CE">
              <w:fldChar w:fldCharType="separate"/>
            </w:r>
            <w:r w:rsidR="008B68F4">
              <w:rPr>
                <w:noProof/>
              </w:rPr>
              <w:t>A3</w:t>
            </w:r>
            <w:r w:rsidR="003A23CE">
              <w:rPr>
                <w:noProof/>
              </w:rPr>
              <w:fldChar w:fldCharType="end"/>
            </w:r>
            <w:r w:rsidRPr="00A75772">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A75772">
              <w:t xml:space="preserve">: </w:t>
            </w:r>
            <w:r w:rsidRPr="0070737D">
              <w:t>Queensland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Default="00FA1287" w:rsidP="00341301">
            <w:pPr>
              <w:pStyle w:val="BodyText"/>
              <w:jc w:val="center"/>
            </w:pPr>
            <w:r>
              <w:rPr>
                <w:noProof/>
              </w:rPr>
              <w:drawing>
                <wp:inline distT="0" distB="0" distL="0" distR="0" wp14:anchorId="5C5D3025" wp14:editId="7E0CF26D">
                  <wp:extent cx="5358765" cy="323723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58765" cy="3237230"/>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Queensland government financial statements and Commonwealth Grants Commission.</w:t>
            </w:r>
          </w:p>
        </w:tc>
      </w:tr>
      <w:tr w:rsidR="008B39D2" w:rsidTr="007B24B0">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vAlign w:val="top"/>
          </w:tcPr>
          <w:p w:rsidR="008B39D2" w:rsidRDefault="00CF010B" w:rsidP="007B24B0">
            <w:pPr>
              <w:pStyle w:val="Caption"/>
              <w:spacing w:before="0" w:after="0"/>
            </w:pPr>
            <w:r w:rsidRPr="00CF010B">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A3</w:t>
            </w:r>
            <w:r>
              <w:fldChar w:fldCharType="end"/>
            </w:r>
            <w:r w:rsidRPr="00CF010B">
              <w:rPr>
                <w:rFonts w:eastAsiaTheme="minorHAnsi"/>
              </w:rPr>
              <w:t>‒</w:t>
            </w:r>
            <w:r w:rsidRPr="00CF010B">
              <w:fldChar w:fldCharType="begin"/>
            </w:r>
            <w:r w:rsidRPr="00CF010B">
              <w:rPr>
                <w:rFonts w:eastAsiaTheme="minorHAnsi"/>
              </w:rPr>
              <w:instrText xml:space="preserve"> SEQ AppendixFigure\s 8 </w:instrText>
            </w:r>
            <w:r w:rsidRPr="00CF010B">
              <w:fldChar w:fldCharType="separate"/>
            </w:r>
            <w:r w:rsidR="008B68F4">
              <w:rPr>
                <w:rFonts w:eastAsiaTheme="minorHAnsi"/>
                <w:noProof/>
              </w:rPr>
              <w:t>4</w:t>
            </w:r>
            <w:r w:rsidRPr="00CF010B">
              <w:fldChar w:fldCharType="end"/>
            </w:r>
            <w:r w:rsidRPr="00CF010B">
              <w:rPr>
                <w:rFonts w:eastAsiaTheme="minorHAnsi"/>
              </w:rPr>
              <w:t>: Annual nominal growth in Queensland government spending from 2002–03 to 2012–13</w:t>
            </w:r>
          </w:p>
        </w:tc>
        <w:tc>
          <w:tcPr>
            <w:tcW w:w="4589" w:type="dxa"/>
            <w:tcBorders>
              <w:top w:val="nil"/>
              <w:left w:val="nil"/>
              <w:bottom w:val="nil"/>
              <w:right w:val="nil"/>
            </w:tcBorders>
            <w:shd w:val="clear" w:color="auto" w:fill="auto"/>
          </w:tcPr>
          <w:p w:rsidR="008B39D2" w:rsidRPr="004D31EA" w:rsidRDefault="00CF010B" w:rsidP="007B24B0">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CF010B">
              <w:rPr>
                <w:rFonts w:eastAsiaTheme="minorHAnsi"/>
              </w:rPr>
              <w:t xml:space="preserve">Figure </w:t>
            </w:r>
            <w:r w:rsidR="007B24B0">
              <w:fldChar w:fldCharType="begin"/>
            </w:r>
            <w:r w:rsidR="007B24B0">
              <w:rPr>
                <w:rFonts w:eastAsiaTheme="minorHAnsi"/>
              </w:rPr>
              <w:instrText xml:space="preserve"> STYLEREF  \s "Heading 9,Appendix Heading 1" </w:instrText>
            </w:r>
            <w:r w:rsidR="007B24B0">
              <w:fldChar w:fldCharType="separate"/>
            </w:r>
            <w:r w:rsidR="008B68F4">
              <w:rPr>
                <w:rFonts w:eastAsiaTheme="minorHAnsi"/>
                <w:noProof/>
              </w:rPr>
              <w:t>A3</w:t>
            </w:r>
            <w:r w:rsidR="007B24B0">
              <w:fldChar w:fldCharType="end"/>
            </w:r>
            <w:r w:rsidRPr="00CF010B">
              <w:rPr>
                <w:rFonts w:eastAsiaTheme="minorHAnsi"/>
              </w:rPr>
              <w:t>‒</w:t>
            </w:r>
            <w:r w:rsidRPr="00CF010B">
              <w:fldChar w:fldCharType="begin"/>
            </w:r>
            <w:r w:rsidRPr="00CF010B">
              <w:rPr>
                <w:rFonts w:eastAsiaTheme="minorHAnsi"/>
              </w:rPr>
              <w:instrText xml:space="preserve"> SEQ AppendixFigure\s 8 </w:instrText>
            </w:r>
            <w:r w:rsidRPr="00CF010B">
              <w:fldChar w:fldCharType="separate"/>
            </w:r>
            <w:r w:rsidR="008B68F4">
              <w:rPr>
                <w:rFonts w:eastAsiaTheme="minorHAnsi"/>
                <w:noProof/>
              </w:rPr>
              <w:t>5</w:t>
            </w:r>
            <w:r w:rsidRPr="00CF010B">
              <w:fldChar w:fldCharType="end"/>
            </w:r>
            <w:r w:rsidRPr="00CF010B">
              <w:rPr>
                <w:rFonts w:eastAsiaTheme="minorHAnsi"/>
              </w:rPr>
              <w:t xml:space="preserve">: </w:t>
            </w:r>
            <w:r w:rsidR="007B24B0" w:rsidRPr="007B24B0">
              <w:rPr>
                <w:rFonts w:eastAsiaTheme="minorHAnsi"/>
              </w:rPr>
              <w:t>Contributions to total growth in Queensland government spending from 2002–03 to 2012–13</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7B24B0" w:rsidRDefault="007B24B0" w:rsidP="00341301">
            <w:pPr>
              <w:pStyle w:val="BodyText"/>
              <w:ind w:left="0"/>
            </w:pPr>
            <w:r>
              <w:rPr>
                <w:noProof/>
              </w:rPr>
              <w:drawing>
                <wp:inline distT="0" distB="0" distL="0" distR="0" wp14:anchorId="51BD2A85" wp14:editId="611511F2">
                  <wp:extent cx="2700655" cy="3609340"/>
                  <wp:effectExtent l="0" t="0" r="444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00655" cy="3609340"/>
                          </a:xfrm>
                          <a:prstGeom prst="rect">
                            <a:avLst/>
                          </a:prstGeom>
                          <a:noFill/>
                        </pic:spPr>
                      </pic:pic>
                    </a:graphicData>
                  </a:graphic>
                </wp:inline>
              </w:drawing>
            </w:r>
          </w:p>
        </w:tc>
        <w:tc>
          <w:tcPr>
            <w:tcW w:w="4589" w:type="dxa"/>
            <w:shd w:val="clear" w:color="auto" w:fill="auto"/>
          </w:tcPr>
          <w:p w:rsidR="007B24B0" w:rsidRDefault="00B615E8"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05E64C2" wp14:editId="404C12E9">
                  <wp:extent cx="2700655" cy="3596640"/>
                  <wp:effectExtent l="0" t="0" r="444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0655" cy="3596640"/>
                          </a:xfrm>
                          <a:prstGeom prst="rect">
                            <a:avLst/>
                          </a:prstGeom>
                          <a:noFill/>
                        </pic:spPr>
                      </pic:pic>
                    </a:graphicData>
                  </a:graphic>
                </wp:inline>
              </w:drawing>
            </w:r>
          </w:p>
        </w:tc>
      </w:tr>
      <w:tr w:rsidR="008B39D2" w:rsidRPr="00714E4D" w:rsidTr="00341301">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4B1B5B">
            <w:pPr>
              <w:pStyle w:val="BodyText"/>
              <w:spacing w:before="0" w:after="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Queensland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7B24B0" w:rsidP="00CD152D">
            <w:pPr>
              <w:pStyle w:val="Caption"/>
              <w:spacing w:before="0" w:after="0"/>
            </w:pPr>
            <w:r w:rsidRPr="007B24B0">
              <w:rPr>
                <w:rFonts w:eastAsiaTheme="minorHAnsi"/>
              </w:rPr>
              <w:t xml:space="preserve">Figure </w:t>
            </w:r>
            <w:r w:rsidR="00CD152D">
              <w:fldChar w:fldCharType="begin"/>
            </w:r>
            <w:r w:rsidR="00CD152D">
              <w:rPr>
                <w:rFonts w:eastAsiaTheme="minorHAnsi"/>
              </w:rPr>
              <w:instrText xml:space="preserve"> STYLEREF  \s "Heading 9,Appendix Heading 1" </w:instrText>
            </w:r>
            <w:r w:rsidR="00CD152D">
              <w:fldChar w:fldCharType="separate"/>
            </w:r>
            <w:r w:rsidR="008B68F4">
              <w:rPr>
                <w:rFonts w:eastAsiaTheme="minorHAnsi"/>
                <w:noProof/>
              </w:rPr>
              <w:t>A3</w:t>
            </w:r>
            <w:r w:rsidR="00CD152D">
              <w:fldChar w:fldCharType="end"/>
            </w:r>
            <w:r w:rsidRPr="007B24B0">
              <w:rPr>
                <w:rFonts w:eastAsiaTheme="minorHAnsi"/>
              </w:rPr>
              <w:t>‒</w:t>
            </w:r>
            <w:r w:rsidRPr="007B24B0">
              <w:fldChar w:fldCharType="begin"/>
            </w:r>
            <w:r w:rsidRPr="007B24B0">
              <w:rPr>
                <w:rFonts w:eastAsiaTheme="minorHAnsi"/>
              </w:rPr>
              <w:instrText xml:space="preserve"> SEQ AppendixFigure\s 8 </w:instrText>
            </w:r>
            <w:r w:rsidRPr="007B24B0">
              <w:fldChar w:fldCharType="separate"/>
            </w:r>
            <w:r w:rsidR="008B68F4">
              <w:rPr>
                <w:rFonts w:eastAsiaTheme="minorHAnsi"/>
                <w:noProof/>
              </w:rPr>
              <w:t>6</w:t>
            </w:r>
            <w:r w:rsidRPr="007B24B0">
              <w:fldChar w:fldCharType="end"/>
            </w:r>
            <w:r w:rsidRPr="007B24B0">
              <w:rPr>
                <w:rFonts w:eastAsiaTheme="minorHAnsi"/>
              </w:rPr>
              <w:t xml:space="preserve">: </w:t>
            </w:r>
            <w:r w:rsidR="00CD152D" w:rsidRPr="00CD152D">
              <w:rPr>
                <w:rFonts w:eastAsiaTheme="minorHAnsi"/>
              </w:rPr>
              <w:t>Queensland government revenue by source</w:t>
            </w:r>
          </w:p>
        </w:tc>
        <w:tc>
          <w:tcPr>
            <w:tcW w:w="4589" w:type="dxa"/>
            <w:shd w:val="clear" w:color="auto" w:fill="auto"/>
            <w:vAlign w:val="top"/>
          </w:tcPr>
          <w:p w:rsidR="008B39D2" w:rsidRDefault="00CD152D" w:rsidP="004B1B5B">
            <w:pPr>
              <w:pStyle w:val="Caption"/>
              <w:spacing w:before="0" w:after="0"/>
              <w:cnfStyle w:val="000000100000" w:firstRow="0" w:lastRow="0" w:firstColumn="0" w:lastColumn="0" w:oddVBand="0" w:evenVBand="0" w:oddHBand="1" w:evenHBand="0" w:firstRowFirstColumn="0" w:firstRowLastColumn="0" w:lastRowFirstColumn="0" w:lastRowLastColumn="0"/>
            </w:pPr>
            <w:r w:rsidRPr="00CD152D">
              <w:t xml:space="preserve">Figure </w:t>
            </w:r>
            <w:r w:rsidR="003A23CE">
              <w:fldChar w:fldCharType="begin"/>
            </w:r>
            <w:r w:rsidR="003A23CE">
              <w:instrText xml:space="preserve"> STYLEREF  \s "Heading 9,Appendix Heading 1" </w:instrText>
            </w:r>
            <w:r w:rsidR="003A23CE">
              <w:fldChar w:fldCharType="separate"/>
            </w:r>
            <w:r w:rsidR="008B68F4">
              <w:rPr>
                <w:noProof/>
              </w:rPr>
              <w:t>A3</w:t>
            </w:r>
            <w:r w:rsidR="003A23CE">
              <w:rPr>
                <w:noProof/>
              </w:rPr>
              <w:fldChar w:fldCharType="end"/>
            </w:r>
            <w:r w:rsidRPr="00CD152D">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CD152D">
              <w:t xml:space="preserve">: </w:t>
            </w:r>
            <w:r w:rsidR="004B1B5B" w:rsidRPr="004B1B5B">
              <w:t>Queensland tax and non-tax revenue by type</w:t>
            </w:r>
          </w:p>
        </w:tc>
      </w:tr>
      <w:tr w:rsidR="008B39D2" w:rsidTr="00341301">
        <w:tblPrEx>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CD152D" w:rsidRDefault="00CD152D" w:rsidP="00341301">
            <w:pPr>
              <w:pStyle w:val="BodyText"/>
              <w:ind w:left="5"/>
            </w:pPr>
            <w:r>
              <w:rPr>
                <w:noProof/>
              </w:rPr>
              <w:drawing>
                <wp:inline distT="0" distB="0" distL="0" distR="0" wp14:anchorId="417E4379" wp14:editId="23EF3E1E">
                  <wp:extent cx="2700655" cy="3602990"/>
                  <wp:effectExtent l="0" t="0" r="444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4B1B5B" w:rsidRDefault="00FC3CFA"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2ED17A" wp14:editId="1B27013A">
                  <wp:extent cx="2725420" cy="3602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5420" cy="3602990"/>
                          </a:xfrm>
                          <a:prstGeom prst="rect">
                            <a:avLst/>
                          </a:prstGeom>
                          <a:noFill/>
                        </pic:spPr>
                      </pic:pic>
                    </a:graphicData>
                  </a:graphic>
                </wp:inline>
              </w:drawing>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Queensland government financial statements and Commonwealth Grants Commission.</w:t>
            </w:r>
          </w:p>
        </w:tc>
      </w:tr>
    </w:tbl>
    <w:p w:rsidR="008B39D2" w:rsidRDefault="008B39D2" w:rsidP="008B39D2">
      <w:pPr>
        <w:pStyle w:val="Heading9"/>
      </w:pPr>
      <w:r>
        <w:lastRenderedPageBreak/>
        <w:t>Western Australia</w:t>
      </w:r>
    </w:p>
    <w:tbl>
      <w:tblPr>
        <w:tblStyle w:val="TableGrid"/>
        <w:tblW w:w="9183" w:type="dxa"/>
        <w:tblInd w:w="-5" w:type="dxa"/>
        <w:tblLook w:val="04A0" w:firstRow="1" w:lastRow="0" w:firstColumn="1" w:lastColumn="0" w:noHBand="0" w:noVBand="1"/>
      </w:tblPr>
      <w:tblGrid>
        <w:gridCol w:w="4594"/>
        <w:gridCol w:w="4589"/>
      </w:tblGrid>
      <w:tr w:rsidR="008B39D2" w:rsidTr="00E31B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E31B7D" w:rsidP="00E31B7D">
            <w:pPr>
              <w:pStyle w:val="Caption"/>
              <w:spacing w:before="0" w:after="0"/>
              <w:rPr>
                <w:rFonts w:eastAsiaTheme="minorHAnsi" w:cstheme="minorBidi"/>
              </w:rPr>
            </w:pPr>
            <w:r w:rsidRPr="00E31B7D">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A4</w:t>
            </w:r>
            <w:r>
              <w:fldChar w:fldCharType="end"/>
            </w:r>
            <w:r w:rsidRPr="00E31B7D">
              <w:rPr>
                <w:rFonts w:eastAsiaTheme="minorHAnsi"/>
              </w:rPr>
              <w:t>‒</w:t>
            </w:r>
            <w:r>
              <w:fldChar w:fldCharType="begin"/>
            </w:r>
            <w:r>
              <w:rPr>
                <w:rFonts w:eastAsiaTheme="minorHAnsi"/>
              </w:rPr>
              <w:instrText xml:space="preserve"> SEQ AppendixFigure\r 1 </w:instrText>
            </w:r>
            <w:r>
              <w:fldChar w:fldCharType="separate"/>
            </w:r>
            <w:r w:rsidR="008B68F4">
              <w:rPr>
                <w:rFonts w:eastAsiaTheme="minorHAnsi"/>
                <w:noProof/>
              </w:rPr>
              <w:t>1</w:t>
            </w:r>
            <w:r>
              <w:fldChar w:fldCharType="end"/>
            </w:r>
            <w:r w:rsidRPr="00E31B7D">
              <w:rPr>
                <w:rFonts w:eastAsiaTheme="minorHAnsi"/>
              </w:rPr>
              <w:t>: WA general government fiscal and operating balances</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E31B7D" w:rsidP="00E31B7D">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E31B7D">
              <w:t xml:space="preserve">Figure </w:t>
            </w:r>
            <w:r w:rsidR="003A23CE">
              <w:fldChar w:fldCharType="begin"/>
            </w:r>
            <w:r w:rsidR="003A23CE">
              <w:instrText xml:space="preserve"> STYLEREF  \s "Heading 9,Appendix Heading 1" </w:instrText>
            </w:r>
            <w:r w:rsidR="003A23CE">
              <w:fldChar w:fldCharType="separate"/>
            </w:r>
            <w:r w:rsidR="008B68F4">
              <w:rPr>
                <w:noProof/>
              </w:rPr>
              <w:t>A4</w:t>
            </w:r>
            <w:r w:rsidR="003A23CE">
              <w:rPr>
                <w:noProof/>
              </w:rPr>
              <w:fldChar w:fldCharType="end"/>
            </w:r>
            <w:r w:rsidRPr="00E31B7D">
              <w:t>‒</w:t>
            </w:r>
            <w:r w:rsidR="003A23CE">
              <w:fldChar w:fldCharType="begin"/>
            </w:r>
            <w:r w:rsidR="003A23CE">
              <w:instrText xml:space="preserve"> SEQ AppendixFigure\s 8 </w:instrText>
            </w:r>
            <w:r w:rsidR="003A23CE">
              <w:fldChar w:fldCharType="separate"/>
            </w:r>
            <w:r w:rsidR="008B68F4">
              <w:rPr>
                <w:noProof/>
              </w:rPr>
              <w:t>2</w:t>
            </w:r>
            <w:r w:rsidR="003A23CE">
              <w:rPr>
                <w:noProof/>
              </w:rPr>
              <w:fldChar w:fldCharType="end"/>
            </w:r>
            <w:r w:rsidRPr="00E31B7D">
              <w:t>: WA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1B7D" w:rsidRDefault="00E31B7D" w:rsidP="00341301">
            <w:pPr>
              <w:pStyle w:val="BodyText"/>
              <w:ind w:left="0"/>
            </w:pPr>
            <w:r>
              <w:rPr>
                <w:noProof/>
              </w:rPr>
              <w:drawing>
                <wp:inline distT="0" distB="0" distL="0" distR="0" wp14:anchorId="4266C19F" wp14:editId="7B1EC966">
                  <wp:extent cx="2700655" cy="360299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31B7D" w:rsidRDefault="00AF5B6B"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72149AF" wp14:editId="0314B38B">
                  <wp:extent cx="2567940" cy="332994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4990" cy="3339082"/>
                          </a:xfrm>
                          <a:prstGeom prst="rect">
                            <a:avLst/>
                          </a:prstGeom>
                          <a:noFill/>
                        </pic:spPr>
                      </pic:pic>
                    </a:graphicData>
                  </a:graphic>
                </wp:inline>
              </w:drawing>
            </w:r>
          </w:p>
          <w:p w:rsidR="00922862" w:rsidRDefault="00922862" w:rsidP="00341301">
            <w:pPr>
              <w:pStyle w:val="BodyText"/>
              <w:ind w:left="0"/>
              <w:cnfStyle w:val="000000100000" w:firstRow="0" w:lastRow="0" w:firstColumn="0" w:lastColumn="0" w:oddVBand="0" w:evenVBand="0" w:oddHBand="1" w:evenHBand="0" w:firstRowFirstColumn="0" w:firstRowLastColumn="0" w:lastRowFirstColumn="0" w:lastRowLastColumn="0"/>
            </w:pP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858A6">
            <w:pPr>
              <w:pStyle w:val="BodyText"/>
              <w:spacing w:before="120" w:after="120"/>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WA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E31B7D" w:rsidP="00E31B7D">
            <w:pPr>
              <w:pStyle w:val="Caption"/>
              <w:spacing w:before="0" w:after="0"/>
            </w:pPr>
            <w:r w:rsidRPr="00E31B7D">
              <w:t xml:space="preserve">Figure </w:t>
            </w:r>
            <w:r w:rsidR="003A23CE">
              <w:fldChar w:fldCharType="begin"/>
            </w:r>
            <w:r w:rsidR="003A23CE">
              <w:instrText xml:space="preserve"> STYLEREF  \s "Heading 9,Appendix Heading 1" </w:instrText>
            </w:r>
            <w:r w:rsidR="003A23CE">
              <w:fldChar w:fldCharType="separate"/>
            </w:r>
            <w:r w:rsidR="008B68F4">
              <w:rPr>
                <w:noProof/>
              </w:rPr>
              <w:t>A4</w:t>
            </w:r>
            <w:r w:rsidR="003A23CE">
              <w:rPr>
                <w:noProof/>
              </w:rPr>
              <w:fldChar w:fldCharType="end"/>
            </w:r>
            <w:r w:rsidRPr="00E31B7D">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E31B7D">
              <w:t>: WA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E84964" w:rsidRDefault="00E84964" w:rsidP="00341301">
            <w:pPr>
              <w:pStyle w:val="BodyText"/>
              <w:jc w:val="center"/>
            </w:pPr>
            <w:r>
              <w:rPr>
                <w:noProof/>
              </w:rPr>
              <w:drawing>
                <wp:inline distT="0" distB="0" distL="0" distR="0" wp14:anchorId="4C387D5D" wp14:editId="2E2E3686">
                  <wp:extent cx="5358765" cy="323723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58765" cy="3237230"/>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858A6">
            <w:pPr>
              <w:pStyle w:val="BodyText"/>
              <w:spacing w:before="0" w:after="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WA government financial statements and Commonwealth Grants Commission.</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E31B7D" w:rsidP="00E31B7D">
            <w:pPr>
              <w:pStyle w:val="Caption"/>
              <w:spacing w:before="0" w:after="0"/>
            </w:pPr>
            <w:r w:rsidRPr="00E31B7D">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A4</w:t>
            </w:r>
            <w:r>
              <w:fldChar w:fldCharType="end"/>
            </w:r>
            <w:r w:rsidRPr="00E31B7D">
              <w:rPr>
                <w:rFonts w:eastAsiaTheme="minorHAnsi"/>
              </w:rPr>
              <w:t>‒</w:t>
            </w:r>
            <w:r w:rsidRPr="00E31B7D">
              <w:fldChar w:fldCharType="begin"/>
            </w:r>
            <w:r w:rsidRPr="00E31B7D">
              <w:rPr>
                <w:rFonts w:eastAsiaTheme="minorHAnsi"/>
              </w:rPr>
              <w:instrText xml:space="preserve"> SEQ AppendixFigure\s 8 </w:instrText>
            </w:r>
            <w:r w:rsidRPr="00E31B7D">
              <w:fldChar w:fldCharType="separate"/>
            </w:r>
            <w:r w:rsidR="008B68F4">
              <w:rPr>
                <w:rFonts w:eastAsiaTheme="minorHAnsi"/>
                <w:noProof/>
              </w:rPr>
              <w:t>4</w:t>
            </w:r>
            <w:r w:rsidRPr="00E31B7D">
              <w:fldChar w:fldCharType="end"/>
            </w:r>
            <w:r w:rsidRPr="00E31B7D">
              <w:rPr>
                <w:rFonts w:eastAsiaTheme="minorHAnsi"/>
              </w:rPr>
              <w:t>: Annual nominal growth in WA government spending from 2002–03 to 2012–13</w:t>
            </w:r>
          </w:p>
        </w:tc>
        <w:tc>
          <w:tcPr>
            <w:tcW w:w="4589" w:type="dxa"/>
            <w:tcBorders>
              <w:top w:val="nil"/>
              <w:left w:val="nil"/>
              <w:bottom w:val="nil"/>
              <w:right w:val="nil"/>
            </w:tcBorders>
            <w:shd w:val="clear" w:color="auto" w:fill="auto"/>
          </w:tcPr>
          <w:p w:rsidR="008B39D2" w:rsidRPr="004D31EA" w:rsidRDefault="00E31B7D" w:rsidP="00E31B7D">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E31B7D">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A4</w:t>
            </w:r>
            <w:r>
              <w:fldChar w:fldCharType="end"/>
            </w:r>
            <w:r w:rsidRPr="00E31B7D">
              <w:rPr>
                <w:rFonts w:eastAsiaTheme="minorHAnsi"/>
              </w:rPr>
              <w:t>‒</w:t>
            </w:r>
            <w:r w:rsidRPr="00E31B7D">
              <w:fldChar w:fldCharType="begin"/>
            </w:r>
            <w:r w:rsidRPr="00E31B7D">
              <w:rPr>
                <w:rFonts w:eastAsiaTheme="minorHAnsi"/>
              </w:rPr>
              <w:instrText xml:space="preserve"> SEQ AppendixFigure\s 8 </w:instrText>
            </w:r>
            <w:r w:rsidRPr="00E31B7D">
              <w:fldChar w:fldCharType="separate"/>
            </w:r>
            <w:r w:rsidR="008B68F4">
              <w:rPr>
                <w:rFonts w:eastAsiaTheme="minorHAnsi"/>
                <w:noProof/>
              </w:rPr>
              <w:t>5</w:t>
            </w:r>
            <w:r w:rsidRPr="00E31B7D">
              <w:fldChar w:fldCharType="end"/>
            </w:r>
            <w:r w:rsidRPr="00E31B7D">
              <w:rPr>
                <w:rFonts w:eastAsiaTheme="minorHAnsi"/>
              </w:rPr>
              <w:t>: Contributions to total growth in WA government spending from 2002–03 to 2012–13</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E31B7D" w:rsidRDefault="00FC3CFA" w:rsidP="00341301">
            <w:pPr>
              <w:pStyle w:val="BodyText"/>
              <w:ind w:left="0"/>
            </w:pPr>
            <w:r>
              <w:rPr>
                <w:noProof/>
              </w:rPr>
              <w:drawing>
                <wp:inline distT="0" distB="0" distL="0" distR="0" wp14:anchorId="3DEE8613" wp14:editId="029A671D">
                  <wp:extent cx="2700655" cy="3596640"/>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0655" cy="3596640"/>
                          </a:xfrm>
                          <a:prstGeom prst="rect">
                            <a:avLst/>
                          </a:prstGeom>
                          <a:noFill/>
                        </pic:spPr>
                      </pic:pic>
                    </a:graphicData>
                  </a:graphic>
                </wp:inline>
              </w:drawing>
            </w:r>
          </w:p>
        </w:tc>
        <w:tc>
          <w:tcPr>
            <w:tcW w:w="4589" w:type="dxa"/>
            <w:shd w:val="clear" w:color="auto" w:fill="auto"/>
          </w:tcPr>
          <w:p w:rsidR="00E31B7D" w:rsidRDefault="00B615E8"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8727FB3" wp14:editId="5B99F0C3">
                  <wp:extent cx="2694940" cy="36093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94940" cy="3609340"/>
                          </a:xfrm>
                          <a:prstGeom prst="rect">
                            <a:avLst/>
                          </a:prstGeom>
                          <a:noFill/>
                        </pic:spPr>
                      </pic:pic>
                    </a:graphicData>
                  </a:graphic>
                </wp:inline>
              </w:drawing>
            </w:r>
          </w:p>
        </w:tc>
      </w:tr>
      <w:tr w:rsidR="008B39D2" w:rsidRPr="00714E4D"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341301">
            <w:pPr>
              <w:pStyle w:val="BodyText"/>
              <w:spacing w:before="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WA government financial statements.</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A431D6" w:rsidP="00A431D6">
            <w:pPr>
              <w:pStyle w:val="Caption"/>
              <w:spacing w:before="0" w:after="0"/>
            </w:pPr>
            <w:r w:rsidRPr="00A431D6">
              <w:t xml:space="preserve">Figure </w:t>
            </w:r>
            <w:r w:rsidR="003A23CE">
              <w:fldChar w:fldCharType="begin"/>
            </w:r>
            <w:r w:rsidR="003A23CE">
              <w:instrText xml:space="preserve"> STYLEREF  \s "Heading 9,Appendix Heading 1" </w:instrText>
            </w:r>
            <w:r w:rsidR="003A23CE">
              <w:fldChar w:fldCharType="separate"/>
            </w:r>
            <w:r w:rsidR="008B68F4">
              <w:rPr>
                <w:noProof/>
              </w:rPr>
              <w:t>A4</w:t>
            </w:r>
            <w:r w:rsidR="003A23CE">
              <w:rPr>
                <w:noProof/>
              </w:rPr>
              <w:fldChar w:fldCharType="end"/>
            </w:r>
            <w:r w:rsidRPr="00A431D6">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A431D6">
              <w:t>: WA government revenue by source</w:t>
            </w:r>
          </w:p>
        </w:tc>
        <w:tc>
          <w:tcPr>
            <w:tcW w:w="4589" w:type="dxa"/>
            <w:shd w:val="clear" w:color="auto" w:fill="auto"/>
          </w:tcPr>
          <w:p w:rsidR="008B39D2" w:rsidRDefault="00A431D6" w:rsidP="00A431D6">
            <w:pPr>
              <w:pStyle w:val="Caption"/>
              <w:spacing w:before="0" w:after="0"/>
              <w:cnfStyle w:val="000000100000" w:firstRow="0" w:lastRow="0" w:firstColumn="0" w:lastColumn="0" w:oddVBand="0" w:evenVBand="0" w:oddHBand="1" w:evenHBand="0" w:firstRowFirstColumn="0" w:firstRowLastColumn="0" w:lastRowFirstColumn="0" w:lastRowLastColumn="0"/>
            </w:pPr>
            <w:r w:rsidRPr="00A431D6">
              <w:t xml:space="preserve">Figure </w:t>
            </w:r>
            <w:r w:rsidR="003A23CE">
              <w:fldChar w:fldCharType="begin"/>
            </w:r>
            <w:r w:rsidR="003A23CE">
              <w:instrText xml:space="preserve"> STYLEREF  \s "Heading 9,Appendix Heading 1" </w:instrText>
            </w:r>
            <w:r w:rsidR="003A23CE">
              <w:fldChar w:fldCharType="separate"/>
            </w:r>
            <w:r w:rsidR="008B68F4">
              <w:rPr>
                <w:noProof/>
              </w:rPr>
              <w:t>A4</w:t>
            </w:r>
            <w:r w:rsidR="003A23CE">
              <w:rPr>
                <w:noProof/>
              </w:rPr>
              <w:fldChar w:fldCharType="end"/>
            </w:r>
            <w:r w:rsidRPr="00A431D6">
              <w:t>‒</w:t>
            </w:r>
            <w:r w:rsidR="003A23CE">
              <w:fldChar w:fldCharType="begin"/>
            </w:r>
            <w:r w:rsidR="003A23CE">
              <w:instrText xml:space="preserve"> SEQ A</w:instrText>
            </w:r>
            <w:r w:rsidR="003A23CE">
              <w:instrText xml:space="preserve">ppendixFigure\s 8 </w:instrText>
            </w:r>
            <w:r w:rsidR="003A23CE">
              <w:fldChar w:fldCharType="separate"/>
            </w:r>
            <w:r w:rsidR="008B68F4">
              <w:rPr>
                <w:noProof/>
              </w:rPr>
              <w:t>7</w:t>
            </w:r>
            <w:r w:rsidR="003A23CE">
              <w:rPr>
                <w:noProof/>
              </w:rPr>
              <w:fldChar w:fldCharType="end"/>
            </w:r>
            <w:r w:rsidRPr="00A431D6">
              <w:t>: WA tax and non-tax revenue by type</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A431D6" w:rsidRDefault="00A431D6" w:rsidP="00341301">
            <w:pPr>
              <w:pStyle w:val="BodyText"/>
              <w:ind w:left="5"/>
            </w:pPr>
            <w:r>
              <w:rPr>
                <w:noProof/>
              </w:rPr>
              <w:drawing>
                <wp:inline distT="0" distB="0" distL="0" distR="0" wp14:anchorId="3BB6477A" wp14:editId="5AE0D69B">
                  <wp:extent cx="2700655" cy="360299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8B39D2" w:rsidRDefault="00823BB6"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E95D67D" wp14:editId="555285FA">
                  <wp:extent cx="2676525" cy="360299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76525" cy="3602990"/>
                          </a:xfrm>
                          <a:prstGeom prst="rect">
                            <a:avLst/>
                          </a:prstGeom>
                          <a:noFill/>
                        </pic:spPr>
                      </pic:pic>
                    </a:graphicData>
                  </a:graphic>
                </wp:inline>
              </w:drawing>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WA government financial statements and Commonwealth Grants Commission.</w:t>
            </w:r>
          </w:p>
        </w:tc>
      </w:tr>
    </w:tbl>
    <w:p w:rsidR="008B39D2" w:rsidRDefault="008B39D2" w:rsidP="008B39D2">
      <w:pPr>
        <w:pStyle w:val="Heading9"/>
      </w:pPr>
      <w:r>
        <w:lastRenderedPageBreak/>
        <w:t>South Australia</w:t>
      </w:r>
    </w:p>
    <w:tbl>
      <w:tblPr>
        <w:tblStyle w:val="TableGrid"/>
        <w:tblW w:w="9183" w:type="dxa"/>
        <w:tblInd w:w="-5" w:type="dxa"/>
        <w:tblLook w:val="04A0" w:firstRow="1" w:lastRow="0" w:firstColumn="1" w:lastColumn="0" w:noHBand="0" w:noVBand="1"/>
      </w:tblPr>
      <w:tblGrid>
        <w:gridCol w:w="4594"/>
        <w:gridCol w:w="4589"/>
      </w:tblGrid>
      <w:tr w:rsidR="008B39D2" w:rsidTr="00E849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E84964" w:rsidP="00E84964">
            <w:pPr>
              <w:pStyle w:val="Caption"/>
              <w:spacing w:before="0" w:after="0"/>
              <w:rPr>
                <w:rFonts w:eastAsiaTheme="minorHAnsi" w:cstheme="minorBidi"/>
              </w:rPr>
            </w:pPr>
            <w:r w:rsidRPr="00E84964">
              <w:t xml:space="preserve">Figure </w:t>
            </w:r>
            <w:r w:rsidR="003A23CE">
              <w:fldChar w:fldCharType="begin"/>
            </w:r>
            <w:r w:rsidR="003A23CE">
              <w:instrText xml:space="preserve"> STYLEREF  \s "Heading 9,Appendix Heading 1" </w:instrText>
            </w:r>
            <w:r w:rsidR="003A23CE">
              <w:fldChar w:fldCharType="separate"/>
            </w:r>
            <w:r w:rsidR="008B68F4">
              <w:rPr>
                <w:noProof/>
              </w:rPr>
              <w:t>A5</w:t>
            </w:r>
            <w:r w:rsidR="003A23CE">
              <w:rPr>
                <w:noProof/>
              </w:rPr>
              <w:fldChar w:fldCharType="end"/>
            </w:r>
            <w:r w:rsidRPr="00E84964">
              <w:t>‒</w:t>
            </w:r>
            <w:r w:rsidR="003A23CE">
              <w:fldChar w:fldCharType="begin"/>
            </w:r>
            <w:r w:rsidR="003A23CE">
              <w:instrText xml:space="preserve"> SEQ AppendixFigure\r 1 </w:instrText>
            </w:r>
            <w:r w:rsidR="003A23CE">
              <w:fldChar w:fldCharType="separate"/>
            </w:r>
            <w:r w:rsidR="008B68F4">
              <w:rPr>
                <w:noProof/>
              </w:rPr>
              <w:t>1</w:t>
            </w:r>
            <w:r w:rsidR="003A23CE">
              <w:rPr>
                <w:noProof/>
              </w:rPr>
              <w:fldChar w:fldCharType="end"/>
            </w:r>
            <w:r w:rsidRPr="00E84964">
              <w:t>: SA general government fiscal and operating balances</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E84964" w:rsidP="00E84964">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E84964">
              <w:t xml:space="preserve">Figure </w:t>
            </w:r>
            <w:r w:rsidR="003A23CE">
              <w:fldChar w:fldCharType="begin"/>
            </w:r>
            <w:r w:rsidR="003A23CE">
              <w:instrText xml:space="preserve"> STYLEREF  \s "Heading 9,Appendix Heading 1" </w:instrText>
            </w:r>
            <w:r w:rsidR="003A23CE">
              <w:fldChar w:fldCharType="separate"/>
            </w:r>
            <w:r w:rsidR="008B68F4">
              <w:rPr>
                <w:noProof/>
              </w:rPr>
              <w:t>A5</w:t>
            </w:r>
            <w:r w:rsidR="003A23CE">
              <w:rPr>
                <w:noProof/>
              </w:rPr>
              <w:fldChar w:fldCharType="end"/>
            </w:r>
            <w:r w:rsidRPr="00E84964">
              <w:t>‒</w:t>
            </w:r>
            <w:r w:rsidR="003A23CE">
              <w:fldChar w:fldCharType="begin"/>
            </w:r>
            <w:r w:rsidR="003A23CE">
              <w:instrText xml:space="preserve"> SEQ AppendixFigure\s 8 </w:instrText>
            </w:r>
            <w:r w:rsidR="003A23CE">
              <w:fldChar w:fldCharType="separate"/>
            </w:r>
            <w:r w:rsidR="008B68F4">
              <w:rPr>
                <w:noProof/>
              </w:rPr>
              <w:t>2</w:t>
            </w:r>
            <w:r w:rsidR="003A23CE">
              <w:rPr>
                <w:noProof/>
              </w:rPr>
              <w:fldChar w:fldCharType="end"/>
            </w:r>
            <w:r w:rsidRPr="00E84964">
              <w:t>: SA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E84964" w:rsidP="00341301">
            <w:pPr>
              <w:pStyle w:val="BodyText"/>
              <w:ind w:left="0"/>
            </w:pPr>
            <w:r>
              <w:rPr>
                <w:noProof/>
              </w:rPr>
              <w:drawing>
                <wp:inline distT="0" distB="0" distL="0" distR="0" wp14:anchorId="59EA985E" wp14:editId="17E4321B">
                  <wp:extent cx="2700655" cy="3602990"/>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E84964" w:rsidRDefault="00E84964"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862F520" wp14:editId="776292C1">
                  <wp:extent cx="2705100" cy="36499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05100" cy="364998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SA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E84964" w:rsidP="00E84964">
            <w:pPr>
              <w:pStyle w:val="Caption"/>
              <w:spacing w:before="0" w:after="0"/>
            </w:pPr>
            <w:r w:rsidRPr="00E84964">
              <w:t xml:space="preserve">Figure </w:t>
            </w:r>
            <w:r w:rsidR="003A23CE">
              <w:fldChar w:fldCharType="begin"/>
            </w:r>
            <w:r w:rsidR="003A23CE">
              <w:instrText xml:space="preserve"> STYLEREF  \s "Heading 9,Appendix Heading 1" </w:instrText>
            </w:r>
            <w:r w:rsidR="003A23CE">
              <w:fldChar w:fldCharType="separate"/>
            </w:r>
            <w:r w:rsidR="008B68F4">
              <w:rPr>
                <w:noProof/>
              </w:rPr>
              <w:t>A5</w:t>
            </w:r>
            <w:r w:rsidR="003A23CE">
              <w:rPr>
                <w:noProof/>
              </w:rPr>
              <w:fldChar w:fldCharType="end"/>
            </w:r>
            <w:r w:rsidRPr="00E84964">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E84964">
              <w:t>: SA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E84964" w:rsidP="00341301">
            <w:pPr>
              <w:pStyle w:val="BodyText"/>
              <w:jc w:val="center"/>
            </w:pPr>
            <w:r>
              <w:rPr>
                <w:noProof/>
              </w:rPr>
              <w:drawing>
                <wp:inline distT="0" distB="0" distL="0" distR="0" wp14:anchorId="1BA4F6EB" wp14:editId="22A15224">
                  <wp:extent cx="5358765" cy="3274060"/>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58765" cy="3274060"/>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SA government financial statements and Commonwealth Grants Commission.</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6D6017" w:rsidP="006D6017">
            <w:pPr>
              <w:pStyle w:val="Caption"/>
              <w:spacing w:before="0" w:after="0"/>
            </w:pPr>
            <w:r w:rsidRPr="006D6017">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A5</w:t>
            </w:r>
            <w:r>
              <w:fldChar w:fldCharType="end"/>
            </w:r>
            <w:r w:rsidRPr="006D6017">
              <w:rPr>
                <w:rFonts w:eastAsiaTheme="minorHAnsi"/>
              </w:rPr>
              <w:t>‒</w:t>
            </w:r>
            <w:r w:rsidRPr="006D6017">
              <w:fldChar w:fldCharType="begin"/>
            </w:r>
            <w:r w:rsidRPr="006D6017">
              <w:rPr>
                <w:rFonts w:eastAsiaTheme="minorHAnsi"/>
              </w:rPr>
              <w:instrText xml:space="preserve"> SEQ AppendixFigure\s 8 </w:instrText>
            </w:r>
            <w:r w:rsidRPr="006D6017">
              <w:fldChar w:fldCharType="separate"/>
            </w:r>
            <w:r w:rsidR="008B68F4">
              <w:rPr>
                <w:rFonts w:eastAsiaTheme="minorHAnsi"/>
                <w:noProof/>
              </w:rPr>
              <w:t>4</w:t>
            </w:r>
            <w:r w:rsidRPr="006D6017">
              <w:fldChar w:fldCharType="end"/>
            </w:r>
            <w:r w:rsidRPr="006D6017">
              <w:rPr>
                <w:rFonts w:eastAsiaTheme="minorHAnsi"/>
              </w:rPr>
              <w:t>: Annual nominal growth in SA government spending from 2002–03 to 2012–13</w:t>
            </w:r>
          </w:p>
        </w:tc>
        <w:tc>
          <w:tcPr>
            <w:tcW w:w="4589" w:type="dxa"/>
            <w:tcBorders>
              <w:top w:val="nil"/>
              <w:left w:val="nil"/>
              <w:bottom w:val="nil"/>
              <w:right w:val="nil"/>
            </w:tcBorders>
            <w:shd w:val="clear" w:color="auto" w:fill="auto"/>
          </w:tcPr>
          <w:p w:rsidR="008B39D2" w:rsidRPr="004D31EA" w:rsidRDefault="006D6017" w:rsidP="006D6017">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6D6017">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A5</w:t>
            </w:r>
            <w:r>
              <w:fldChar w:fldCharType="end"/>
            </w:r>
            <w:r w:rsidRPr="006D6017">
              <w:rPr>
                <w:rFonts w:eastAsiaTheme="minorHAnsi"/>
              </w:rPr>
              <w:t>‒</w:t>
            </w:r>
            <w:r w:rsidRPr="006D6017">
              <w:fldChar w:fldCharType="begin"/>
            </w:r>
            <w:r w:rsidRPr="006D6017">
              <w:rPr>
                <w:rFonts w:eastAsiaTheme="minorHAnsi"/>
              </w:rPr>
              <w:instrText xml:space="preserve"> SEQ AppendixFigure\s 8 </w:instrText>
            </w:r>
            <w:r w:rsidRPr="006D6017">
              <w:fldChar w:fldCharType="separate"/>
            </w:r>
            <w:r w:rsidR="008B68F4">
              <w:rPr>
                <w:rFonts w:eastAsiaTheme="minorHAnsi"/>
                <w:noProof/>
              </w:rPr>
              <w:t>5</w:t>
            </w:r>
            <w:r w:rsidRPr="006D6017">
              <w:fldChar w:fldCharType="end"/>
            </w:r>
            <w:r w:rsidRPr="006D6017">
              <w:rPr>
                <w:rFonts w:eastAsiaTheme="minorHAnsi"/>
              </w:rPr>
              <w:t>: Contributions to total growth in SA government spending from 2002–03 to 2012–13</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1E7A7F" w:rsidP="00341301">
            <w:pPr>
              <w:pStyle w:val="BodyText"/>
              <w:ind w:left="0"/>
            </w:pPr>
            <w:r>
              <w:rPr>
                <w:noProof/>
              </w:rPr>
              <w:drawing>
                <wp:inline distT="0" distB="0" distL="0" distR="0" wp14:anchorId="21D8EE78" wp14:editId="1A413EB3">
                  <wp:extent cx="2694940" cy="3602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tc>
        <w:tc>
          <w:tcPr>
            <w:tcW w:w="4589" w:type="dxa"/>
            <w:shd w:val="clear" w:color="auto" w:fill="auto"/>
          </w:tcPr>
          <w:p w:rsidR="00A1058D" w:rsidRDefault="0011741E"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40F08FB" wp14:editId="5FD8689D">
                  <wp:extent cx="2694940" cy="36093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94940" cy="3609340"/>
                          </a:xfrm>
                          <a:prstGeom prst="rect">
                            <a:avLst/>
                          </a:prstGeom>
                          <a:noFill/>
                        </pic:spPr>
                      </pic:pic>
                    </a:graphicData>
                  </a:graphic>
                </wp:inline>
              </w:drawing>
            </w:r>
          </w:p>
        </w:tc>
      </w:tr>
      <w:tr w:rsidR="008B39D2" w:rsidRPr="00714E4D"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341301">
            <w:pPr>
              <w:pStyle w:val="BodyText"/>
              <w:spacing w:before="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SA government financial statements.</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A1058D" w:rsidP="00A1058D">
            <w:pPr>
              <w:pStyle w:val="Caption"/>
              <w:spacing w:before="0" w:after="0"/>
            </w:pPr>
            <w:r w:rsidRPr="00A1058D">
              <w:t xml:space="preserve">Figure </w:t>
            </w:r>
            <w:r w:rsidR="003A23CE">
              <w:fldChar w:fldCharType="begin"/>
            </w:r>
            <w:r w:rsidR="003A23CE">
              <w:instrText xml:space="preserve"> STYLEREF  \s "Heading 9,Appendix Heading 1" </w:instrText>
            </w:r>
            <w:r w:rsidR="003A23CE">
              <w:fldChar w:fldCharType="separate"/>
            </w:r>
            <w:r w:rsidR="008B68F4">
              <w:rPr>
                <w:noProof/>
              </w:rPr>
              <w:t>A5</w:t>
            </w:r>
            <w:r w:rsidR="003A23CE">
              <w:rPr>
                <w:noProof/>
              </w:rPr>
              <w:fldChar w:fldCharType="end"/>
            </w:r>
            <w:r w:rsidRPr="00A1058D">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A1058D">
              <w:t>: SA government revenue by source</w:t>
            </w:r>
          </w:p>
        </w:tc>
        <w:tc>
          <w:tcPr>
            <w:tcW w:w="4589" w:type="dxa"/>
            <w:shd w:val="clear" w:color="auto" w:fill="auto"/>
          </w:tcPr>
          <w:p w:rsidR="008B39D2" w:rsidRDefault="00A1058D" w:rsidP="00A1058D">
            <w:pPr>
              <w:pStyle w:val="Caption"/>
              <w:spacing w:before="0" w:after="0"/>
              <w:cnfStyle w:val="000000100000" w:firstRow="0" w:lastRow="0" w:firstColumn="0" w:lastColumn="0" w:oddVBand="0" w:evenVBand="0" w:oddHBand="1" w:evenHBand="0" w:firstRowFirstColumn="0" w:firstRowLastColumn="0" w:lastRowFirstColumn="0" w:lastRowLastColumn="0"/>
            </w:pPr>
            <w:r w:rsidRPr="00A1058D">
              <w:t xml:space="preserve">Figure </w:t>
            </w:r>
            <w:r w:rsidR="003A23CE">
              <w:fldChar w:fldCharType="begin"/>
            </w:r>
            <w:r w:rsidR="003A23CE">
              <w:instrText xml:space="preserve"> STYLEREF  \s "Heading 9,Appendix Heading 1" </w:instrText>
            </w:r>
            <w:r w:rsidR="003A23CE">
              <w:fldChar w:fldCharType="separate"/>
            </w:r>
            <w:r w:rsidR="008B68F4">
              <w:rPr>
                <w:noProof/>
              </w:rPr>
              <w:t>A5</w:t>
            </w:r>
            <w:r w:rsidR="003A23CE">
              <w:rPr>
                <w:noProof/>
              </w:rPr>
              <w:fldChar w:fldCharType="end"/>
            </w:r>
            <w:r w:rsidRPr="00A1058D">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A1058D">
              <w:t>: SA tax and non-tax revenue by type</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1E7A7F" w:rsidP="00341301">
            <w:pPr>
              <w:pStyle w:val="BodyText"/>
              <w:ind w:left="5"/>
            </w:pPr>
            <w:r>
              <w:rPr>
                <w:noProof/>
              </w:rPr>
              <w:drawing>
                <wp:inline distT="0" distB="0" distL="0" distR="0" wp14:anchorId="0C322A4D" wp14:editId="7B8D8896">
                  <wp:extent cx="2700655" cy="360299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8B39D2" w:rsidRDefault="00A1058D"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FBDE0AB" wp14:editId="3260FBD4">
                  <wp:extent cx="2676525" cy="360299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76525" cy="3602990"/>
                          </a:xfrm>
                          <a:prstGeom prst="rect">
                            <a:avLst/>
                          </a:prstGeom>
                          <a:noFill/>
                        </pic:spPr>
                      </pic:pic>
                    </a:graphicData>
                  </a:graphic>
                </wp:inline>
              </w:drawing>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SA government financial statements and Commonwealth Grants Commission.</w:t>
            </w:r>
          </w:p>
        </w:tc>
      </w:tr>
    </w:tbl>
    <w:p w:rsidR="008B39D2" w:rsidRDefault="008B39D2" w:rsidP="008B39D2">
      <w:pPr>
        <w:pStyle w:val="Heading9"/>
      </w:pPr>
      <w:r>
        <w:lastRenderedPageBreak/>
        <w:t>Tasmania</w:t>
      </w:r>
    </w:p>
    <w:tbl>
      <w:tblPr>
        <w:tblStyle w:val="TableGrid"/>
        <w:tblW w:w="9183" w:type="dxa"/>
        <w:tblInd w:w="-5" w:type="dxa"/>
        <w:tblLook w:val="04A0" w:firstRow="1" w:lastRow="0" w:firstColumn="1" w:lastColumn="0" w:noHBand="0" w:noVBand="1"/>
      </w:tblPr>
      <w:tblGrid>
        <w:gridCol w:w="4597"/>
        <w:gridCol w:w="4589"/>
      </w:tblGrid>
      <w:tr w:rsidR="008B39D2" w:rsidTr="003413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A1058D" w:rsidP="00A1058D">
            <w:pPr>
              <w:pStyle w:val="Caption"/>
              <w:spacing w:before="0" w:after="0"/>
              <w:rPr>
                <w:rFonts w:eastAsiaTheme="minorHAnsi" w:cstheme="minorBidi"/>
              </w:rPr>
            </w:pPr>
            <w:r w:rsidRPr="00A1058D">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A6</w:t>
            </w:r>
            <w:r>
              <w:fldChar w:fldCharType="end"/>
            </w:r>
            <w:r w:rsidRPr="00A1058D">
              <w:rPr>
                <w:rFonts w:eastAsiaTheme="minorHAnsi"/>
              </w:rPr>
              <w:t>‒</w:t>
            </w:r>
            <w:r>
              <w:fldChar w:fldCharType="begin"/>
            </w:r>
            <w:r>
              <w:rPr>
                <w:rFonts w:eastAsiaTheme="minorHAnsi"/>
              </w:rPr>
              <w:instrText xml:space="preserve"> SEQ AppendixFigure\r 1 </w:instrText>
            </w:r>
            <w:r>
              <w:fldChar w:fldCharType="separate"/>
            </w:r>
            <w:r w:rsidR="008B68F4">
              <w:rPr>
                <w:rFonts w:eastAsiaTheme="minorHAnsi"/>
                <w:noProof/>
              </w:rPr>
              <w:t>1</w:t>
            </w:r>
            <w:r>
              <w:fldChar w:fldCharType="end"/>
            </w:r>
            <w:r w:rsidRPr="00A1058D">
              <w:rPr>
                <w:rFonts w:eastAsiaTheme="minorHAnsi"/>
              </w:rPr>
              <w:t>: Tasmanian general government fiscal and operating balances</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A1058D" w:rsidP="00A1058D">
            <w:pPr>
              <w:pStyle w:val="Caption"/>
              <w:spacing w:before="0" w:after="0"/>
              <w:cnfStyle w:val="100000000000" w:firstRow="1" w:lastRow="0" w:firstColumn="0" w:lastColumn="0" w:oddVBand="0" w:evenVBand="0" w:oddHBand="0" w:evenHBand="0" w:firstRowFirstColumn="0" w:firstRowLastColumn="0" w:lastRowFirstColumn="0" w:lastRowLastColumn="0"/>
            </w:pPr>
            <w:r w:rsidRPr="00A1058D">
              <w:t xml:space="preserve">Figure </w:t>
            </w:r>
            <w:r w:rsidR="003A23CE">
              <w:fldChar w:fldCharType="begin"/>
            </w:r>
            <w:r w:rsidR="003A23CE">
              <w:instrText xml:space="preserve"> STYLEREF  \s "Heading 9,Appendix Heading 1" </w:instrText>
            </w:r>
            <w:r w:rsidR="003A23CE">
              <w:fldChar w:fldCharType="separate"/>
            </w:r>
            <w:r w:rsidR="008B68F4">
              <w:rPr>
                <w:noProof/>
              </w:rPr>
              <w:t>A6</w:t>
            </w:r>
            <w:r w:rsidR="003A23CE">
              <w:rPr>
                <w:noProof/>
              </w:rPr>
              <w:fldChar w:fldCharType="end"/>
            </w:r>
            <w:r w:rsidRPr="00A1058D">
              <w:t>‒</w:t>
            </w:r>
            <w:r w:rsidR="003A23CE">
              <w:fldChar w:fldCharType="begin"/>
            </w:r>
            <w:r w:rsidR="003A23CE">
              <w:instrText xml:space="preserve"> SEQ AppendixFigure\s 8 </w:instrText>
            </w:r>
            <w:r w:rsidR="003A23CE">
              <w:fldChar w:fldCharType="separate"/>
            </w:r>
            <w:r w:rsidR="008B68F4">
              <w:rPr>
                <w:noProof/>
              </w:rPr>
              <w:t>2</w:t>
            </w:r>
            <w:r w:rsidR="003A23CE">
              <w:rPr>
                <w:noProof/>
              </w:rPr>
              <w:fldChar w:fldCharType="end"/>
            </w:r>
            <w:r w:rsidRPr="00A1058D">
              <w:t>: Tasmanian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F724E" w:rsidP="00341301">
            <w:pPr>
              <w:pStyle w:val="BodyText"/>
              <w:ind w:left="0"/>
            </w:pPr>
            <w:r>
              <w:rPr>
                <w:noProof/>
              </w:rPr>
              <w:drawing>
                <wp:inline distT="0" distB="0" distL="0" distR="0" wp14:anchorId="4DA9C9A8" wp14:editId="05AA237A">
                  <wp:extent cx="2700655" cy="3602990"/>
                  <wp:effectExtent l="0" t="0" r="444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F724E"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B1FB2F2" wp14:editId="3A20CD86">
                  <wp:extent cx="2705100" cy="36195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05100" cy="361950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Tasmanian government financial statements.</w:t>
            </w:r>
          </w:p>
        </w:tc>
      </w:tr>
      <w:tr w:rsidR="008B39D2"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8F724E" w:rsidP="008F724E">
            <w:pPr>
              <w:pStyle w:val="Caption"/>
              <w:spacing w:before="0" w:after="0"/>
            </w:pPr>
            <w:r w:rsidRPr="008F724E">
              <w:t xml:space="preserve">Figure </w:t>
            </w:r>
            <w:r w:rsidR="003A23CE">
              <w:fldChar w:fldCharType="begin"/>
            </w:r>
            <w:r w:rsidR="003A23CE">
              <w:instrText xml:space="preserve"> STYLEREF  \s "Heading 9,Appendix Heading 1" </w:instrText>
            </w:r>
            <w:r w:rsidR="003A23CE">
              <w:fldChar w:fldCharType="separate"/>
            </w:r>
            <w:r w:rsidR="008B68F4">
              <w:rPr>
                <w:noProof/>
              </w:rPr>
              <w:t>A6</w:t>
            </w:r>
            <w:r w:rsidR="003A23CE">
              <w:rPr>
                <w:noProof/>
              </w:rPr>
              <w:fldChar w:fldCharType="end"/>
            </w:r>
            <w:r w:rsidRPr="008F724E">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8F724E">
              <w:t>: Tasmanian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F724E" w:rsidP="00341301">
            <w:pPr>
              <w:pStyle w:val="BodyText"/>
              <w:jc w:val="center"/>
            </w:pPr>
            <w:r>
              <w:rPr>
                <w:noProof/>
              </w:rPr>
              <w:drawing>
                <wp:inline distT="0" distB="0" distL="0" distR="0" wp14:anchorId="17795ED4" wp14:editId="2637B9FE">
                  <wp:extent cx="5358765" cy="3310255"/>
                  <wp:effectExtent l="0" t="0" r="0" b="44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8765" cy="3310255"/>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Tasmanian government financial statements and Commonwealth Grants Commission.</w:t>
            </w:r>
          </w:p>
        </w:tc>
      </w:tr>
      <w:tr w:rsidR="008B39D2" w:rsidTr="002E33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vAlign w:val="top"/>
          </w:tcPr>
          <w:p w:rsidR="008B39D2" w:rsidRDefault="00826689" w:rsidP="002E33B4">
            <w:pPr>
              <w:pStyle w:val="Caption"/>
              <w:spacing w:before="0" w:after="0"/>
            </w:pPr>
            <w:r w:rsidRPr="00826689">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A6</w:t>
            </w:r>
            <w:r>
              <w:fldChar w:fldCharType="end"/>
            </w:r>
            <w:r w:rsidRPr="00826689">
              <w:rPr>
                <w:rFonts w:eastAsiaTheme="minorHAnsi"/>
              </w:rPr>
              <w:t>‒</w:t>
            </w:r>
            <w:r w:rsidRPr="00826689">
              <w:fldChar w:fldCharType="begin"/>
            </w:r>
            <w:r w:rsidRPr="00826689">
              <w:rPr>
                <w:rFonts w:eastAsiaTheme="minorHAnsi"/>
              </w:rPr>
              <w:instrText xml:space="preserve"> SEQ AppendixFigure\s 8 </w:instrText>
            </w:r>
            <w:r w:rsidRPr="00826689">
              <w:fldChar w:fldCharType="separate"/>
            </w:r>
            <w:r w:rsidR="008B68F4">
              <w:rPr>
                <w:rFonts w:eastAsiaTheme="minorHAnsi"/>
                <w:noProof/>
              </w:rPr>
              <w:t>4</w:t>
            </w:r>
            <w:r w:rsidRPr="00826689">
              <w:fldChar w:fldCharType="end"/>
            </w:r>
            <w:r w:rsidRPr="00826689">
              <w:rPr>
                <w:rFonts w:eastAsiaTheme="minorHAnsi"/>
              </w:rPr>
              <w:t>: Annual nominal growth in Tasmanian government spending from 2002–03 to 2012–13</w:t>
            </w:r>
          </w:p>
        </w:tc>
        <w:tc>
          <w:tcPr>
            <w:tcW w:w="4589" w:type="dxa"/>
            <w:tcBorders>
              <w:top w:val="nil"/>
              <w:left w:val="nil"/>
              <w:bottom w:val="nil"/>
              <w:right w:val="nil"/>
            </w:tcBorders>
            <w:shd w:val="clear" w:color="auto" w:fill="auto"/>
            <w:vAlign w:val="top"/>
          </w:tcPr>
          <w:p w:rsidR="008B39D2" w:rsidRPr="004D31EA" w:rsidRDefault="00826689" w:rsidP="002E33B4">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826689">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A6</w:t>
            </w:r>
            <w:r>
              <w:fldChar w:fldCharType="end"/>
            </w:r>
            <w:r w:rsidRPr="00826689">
              <w:rPr>
                <w:rFonts w:eastAsiaTheme="minorHAnsi"/>
              </w:rPr>
              <w:t>‒</w:t>
            </w:r>
            <w:r w:rsidRPr="00826689">
              <w:fldChar w:fldCharType="begin"/>
            </w:r>
            <w:r w:rsidRPr="00826689">
              <w:rPr>
                <w:rFonts w:eastAsiaTheme="minorHAnsi"/>
              </w:rPr>
              <w:instrText xml:space="preserve"> SEQ AppendixFigure\s 8 </w:instrText>
            </w:r>
            <w:r w:rsidRPr="00826689">
              <w:fldChar w:fldCharType="separate"/>
            </w:r>
            <w:r w:rsidR="008B68F4">
              <w:rPr>
                <w:rFonts w:eastAsiaTheme="minorHAnsi"/>
                <w:noProof/>
              </w:rPr>
              <w:t>5</w:t>
            </w:r>
            <w:r w:rsidRPr="00826689">
              <w:fldChar w:fldCharType="end"/>
            </w:r>
            <w:r w:rsidRPr="00826689">
              <w:rPr>
                <w:rFonts w:eastAsiaTheme="minorHAnsi"/>
              </w:rPr>
              <w:t>: Contributions to total growth in Tasmanian government spending from 2002–03 to 2012–13</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1E7A7F" w:rsidP="00341301">
            <w:pPr>
              <w:pStyle w:val="BodyText"/>
              <w:ind w:left="0"/>
            </w:pPr>
            <w:r>
              <w:rPr>
                <w:noProof/>
              </w:rPr>
              <w:drawing>
                <wp:inline distT="0" distB="0" distL="0" distR="0" wp14:anchorId="42E709FC" wp14:editId="3476D1AE">
                  <wp:extent cx="2694940" cy="36029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tc>
        <w:tc>
          <w:tcPr>
            <w:tcW w:w="4589" w:type="dxa"/>
            <w:shd w:val="clear" w:color="auto" w:fill="auto"/>
          </w:tcPr>
          <w:p w:rsidR="008B39D2" w:rsidRDefault="00397004"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D56BE7A" wp14:editId="13D625FD">
                  <wp:extent cx="2700655" cy="360299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714E4D"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E53024">
            <w:pPr>
              <w:pStyle w:val="BodyText"/>
              <w:spacing w:before="0" w:after="12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Tasmanian government financial statements.</w:t>
            </w:r>
          </w:p>
        </w:tc>
      </w:tr>
      <w:tr w:rsidR="008B39D2" w:rsidTr="002E33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vAlign w:val="top"/>
          </w:tcPr>
          <w:p w:rsidR="008B39D2" w:rsidRDefault="002E33B4" w:rsidP="002E33B4">
            <w:pPr>
              <w:pStyle w:val="Caption"/>
              <w:spacing w:before="0" w:after="0"/>
            </w:pPr>
            <w:r w:rsidRPr="002E33B4">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A6</w:t>
            </w:r>
            <w:r>
              <w:fldChar w:fldCharType="end"/>
            </w:r>
            <w:r w:rsidRPr="002E33B4">
              <w:rPr>
                <w:rFonts w:eastAsiaTheme="minorHAnsi"/>
              </w:rPr>
              <w:t>‒</w:t>
            </w:r>
            <w:r w:rsidRPr="002E33B4">
              <w:fldChar w:fldCharType="begin"/>
            </w:r>
            <w:r w:rsidRPr="002E33B4">
              <w:rPr>
                <w:rFonts w:eastAsiaTheme="minorHAnsi"/>
              </w:rPr>
              <w:instrText xml:space="preserve"> SEQ AppendixFigure\s 8 </w:instrText>
            </w:r>
            <w:r w:rsidRPr="002E33B4">
              <w:fldChar w:fldCharType="separate"/>
            </w:r>
            <w:r w:rsidR="008B68F4">
              <w:rPr>
                <w:rFonts w:eastAsiaTheme="minorHAnsi"/>
                <w:noProof/>
              </w:rPr>
              <w:t>6</w:t>
            </w:r>
            <w:r w:rsidRPr="002E33B4">
              <w:fldChar w:fldCharType="end"/>
            </w:r>
            <w:r w:rsidRPr="002E33B4">
              <w:rPr>
                <w:rFonts w:eastAsiaTheme="minorHAnsi"/>
              </w:rPr>
              <w:t>: Tasmanian government revenue by source</w:t>
            </w:r>
          </w:p>
        </w:tc>
        <w:tc>
          <w:tcPr>
            <w:tcW w:w="4589" w:type="dxa"/>
            <w:shd w:val="clear" w:color="auto" w:fill="auto"/>
            <w:vAlign w:val="top"/>
          </w:tcPr>
          <w:p w:rsidR="008B39D2" w:rsidRDefault="002E33B4" w:rsidP="002E33B4">
            <w:pPr>
              <w:pStyle w:val="Caption"/>
              <w:spacing w:before="0" w:after="0"/>
              <w:cnfStyle w:val="000000100000" w:firstRow="0" w:lastRow="0" w:firstColumn="0" w:lastColumn="0" w:oddVBand="0" w:evenVBand="0" w:oddHBand="1" w:evenHBand="0" w:firstRowFirstColumn="0" w:firstRowLastColumn="0" w:lastRowFirstColumn="0" w:lastRowLastColumn="0"/>
            </w:pPr>
            <w:r w:rsidRPr="002E33B4">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A6</w:t>
            </w:r>
            <w:r>
              <w:fldChar w:fldCharType="end"/>
            </w:r>
            <w:r w:rsidRPr="002E33B4">
              <w:rPr>
                <w:rFonts w:eastAsiaTheme="minorHAnsi"/>
              </w:rPr>
              <w:t>‒</w:t>
            </w:r>
            <w:r w:rsidRPr="002E33B4">
              <w:fldChar w:fldCharType="begin"/>
            </w:r>
            <w:r w:rsidRPr="002E33B4">
              <w:rPr>
                <w:rFonts w:eastAsiaTheme="minorHAnsi"/>
              </w:rPr>
              <w:instrText xml:space="preserve"> SEQ AppendixFigure\s 8 </w:instrText>
            </w:r>
            <w:r w:rsidRPr="002E33B4">
              <w:fldChar w:fldCharType="separate"/>
            </w:r>
            <w:r w:rsidR="008B68F4">
              <w:rPr>
                <w:rFonts w:eastAsiaTheme="minorHAnsi"/>
                <w:noProof/>
              </w:rPr>
              <w:t>7</w:t>
            </w:r>
            <w:r w:rsidRPr="002E33B4">
              <w:fldChar w:fldCharType="end"/>
            </w:r>
            <w:r w:rsidRPr="002E33B4">
              <w:rPr>
                <w:rFonts w:eastAsiaTheme="minorHAnsi"/>
              </w:rPr>
              <w:t>: Tasmanian government tax and non-tax revenue by type</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1E7A7F" w:rsidP="00341301">
            <w:pPr>
              <w:pStyle w:val="BodyText"/>
              <w:ind w:left="5"/>
            </w:pPr>
            <w:r>
              <w:rPr>
                <w:noProof/>
              </w:rPr>
              <w:drawing>
                <wp:inline distT="0" distB="0" distL="0" distR="0" wp14:anchorId="197C2252" wp14:editId="4A3D5B3C">
                  <wp:extent cx="2707005" cy="36029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0700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8B39D2" w:rsidRDefault="002E33B4"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EE1F686" wp14:editId="2DBB3179">
                  <wp:extent cx="2700655" cy="3602990"/>
                  <wp:effectExtent l="0" t="0" r="444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Default="008B39D2" w:rsidP="00E53024">
            <w:pPr>
              <w:pStyle w:val="BodyText"/>
              <w:spacing w:before="0" w:after="0"/>
            </w:pPr>
            <w:r>
              <w:rPr>
                <w:rFonts w:eastAsiaTheme="minorHAnsi"/>
                <w:color w:val="788184" w:themeColor="background2"/>
                <w:spacing w:val="0"/>
                <w:szCs w:val="14"/>
                <w:lang w:eastAsia="en-US"/>
              </w:rPr>
              <w:t>Source: ABS, Commonwealth and Tasmanian government financial statements and Commonwealth Grants Commission.</w:t>
            </w:r>
          </w:p>
        </w:tc>
      </w:tr>
    </w:tbl>
    <w:p w:rsidR="008B39D2" w:rsidRDefault="008B39D2" w:rsidP="008B39D2">
      <w:pPr>
        <w:pStyle w:val="Heading9"/>
      </w:pPr>
      <w:r>
        <w:lastRenderedPageBreak/>
        <w:t>Australian Capital Territory</w:t>
      </w:r>
    </w:p>
    <w:tbl>
      <w:tblPr>
        <w:tblStyle w:val="TableGrid"/>
        <w:tblW w:w="9077" w:type="dxa"/>
        <w:tblInd w:w="-5" w:type="dxa"/>
        <w:tblLook w:val="04A0" w:firstRow="1" w:lastRow="0" w:firstColumn="1" w:lastColumn="0" w:noHBand="0" w:noVBand="1"/>
      </w:tblPr>
      <w:tblGrid>
        <w:gridCol w:w="4624"/>
        <w:gridCol w:w="4619"/>
      </w:tblGrid>
      <w:tr w:rsidR="008B39D2" w:rsidTr="003413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7A4625" w:rsidP="007A4625">
            <w:pPr>
              <w:pStyle w:val="Caption"/>
              <w:spacing w:before="0" w:after="0"/>
              <w:rPr>
                <w:rFonts w:eastAsiaTheme="minorHAnsi" w:cstheme="minorBidi"/>
              </w:rPr>
            </w:pPr>
            <w:r w:rsidRPr="007A4625">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A7</w:t>
            </w:r>
            <w:r>
              <w:fldChar w:fldCharType="end"/>
            </w:r>
            <w:r w:rsidRPr="007A4625">
              <w:rPr>
                <w:rFonts w:eastAsiaTheme="minorHAnsi"/>
              </w:rPr>
              <w:t>‒</w:t>
            </w:r>
            <w:r>
              <w:fldChar w:fldCharType="begin"/>
            </w:r>
            <w:r>
              <w:rPr>
                <w:rFonts w:eastAsiaTheme="minorHAnsi"/>
              </w:rPr>
              <w:instrText xml:space="preserve"> SEQ AppendixFigure\r 1 </w:instrText>
            </w:r>
            <w:r>
              <w:fldChar w:fldCharType="separate"/>
            </w:r>
            <w:r w:rsidR="008B68F4">
              <w:rPr>
                <w:rFonts w:eastAsiaTheme="minorHAnsi"/>
                <w:noProof/>
              </w:rPr>
              <w:t>1</w:t>
            </w:r>
            <w:r>
              <w:fldChar w:fldCharType="end"/>
            </w:r>
            <w:r w:rsidRPr="007A4625">
              <w:rPr>
                <w:rFonts w:eastAsiaTheme="minorHAnsi"/>
              </w:rPr>
              <w:t>: ACT general government fiscal and operating balances</w:t>
            </w:r>
          </w:p>
        </w:tc>
        <w:tc>
          <w:tcPr>
            <w:tcW w:w="44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7A4625" w:rsidP="007A4625">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7A4625">
              <w:t xml:space="preserve">Figure </w:t>
            </w:r>
            <w:r w:rsidR="003A23CE">
              <w:fldChar w:fldCharType="begin"/>
            </w:r>
            <w:r w:rsidR="003A23CE">
              <w:instrText xml:space="preserve"> STYLEREF  \s "Heading 9,Appendix Heading 1" </w:instrText>
            </w:r>
            <w:r w:rsidR="003A23CE">
              <w:fldChar w:fldCharType="separate"/>
            </w:r>
            <w:r w:rsidR="008B68F4">
              <w:rPr>
                <w:noProof/>
              </w:rPr>
              <w:t>A7</w:t>
            </w:r>
            <w:r w:rsidR="003A23CE">
              <w:rPr>
                <w:noProof/>
              </w:rPr>
              <w:fldChar w:fldCharType="end"/>
            </w:r>
            <w:r w:rsidRPr="007A4625">
              <w:t>‒</w:t>
            </w:r>
            <w:r w:rsidR="003A23CE">
              <w:fldChar w:fldCharType="begin"/>
            </w:r>
            <w:r w:rsidR="003A23CE">
              <w:instrText xml:space="preserve"> SEQ AppendixFigure\n </w:instrText>
            </w:r>
            <w:r w:rsidR="003A23CE">
              <w:fldChar w:fldCharType="separate"/>
            </w:r>
            <w:r w:rsidR="008B68F4">
              <w:rPr>
                <w:noProof/>
              </w:rPr>
              <w:t>2</w:t>
            </w:r>
            <w:r w:rsidR="003A23CE">
              <w:rPr>
                <w:noProof/>
              </w:rPr>
              <w:fldChar w:fldCharType="end"/>
            </w:r>
            <w:r w:rsidRPr="007A4625">
              <w:t>: ACT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7A4625" w:rsidP="00341301">
            <w:pPr>
              <w:pStyle w:val="BodyText"/>
              <w:ind w:left="0"/>
            </w:pPr>
            <w:r>
              <w:rPr>
                <w:noProof/>
              </w:rPr>
              <w:drawing>
                <wp:inline distT="0" distB="0" distL="0" distR="0" wp14:anchorId="0165AAAE" wp14:editId="34517FC5">
                  <wp:extent cx="2700655" cy="3602990"/>
                  <wp:effectExtent l="0" t="0" r="444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48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FE53B1"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59F8900" wp14:editId="4457A193">
                  <wp:extent cx="2700655" cy="360299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077" w:type="dxa"/>
            <w:gridSpan w:val="2"/>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ACT government financial statements.</w:t>
            </w:r>
          </w:p>
        </w:tc>
      </w:tr>
      <w:tr w:rsidR="008B39D2" w:rsidTr="00D5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8B39D2" w:rsidRDefault="007A4625" w:rsidP="00D546CC">
            <w:pPr>
              <w:pStyle w:val="Caption"/>
              <w:spacing w:before="0" w:after="0"/>
            </w:pPr>
            <w:r w:rsidRPr="007A4625">
              <w:t xml:space="preserve">Figure </w:t>
            </w:r>
            <w:r w:rsidR="003A23CE">
              <w:fldChar w:fldCharType="begin"/>
            </w:r>
            <w:r w:rsidR="003A23CE">
              <w:instrText xml:space="preserve"> STYLEREF  \s "Heading 9,Appendix Heading 1" </w:instrText>
            </w:r>
            <w:r w:rsidR="003A23CE">
              <w:fldChar w:fldCharType="separate"/>
            </w:r>
            <w:r w:rsidR="008B68F4">
              <w:rPr>
                <w:noProof/>
              </w:rPr>
              <w:t>A7</w:t>
            </w:r>
            <w:r w:rsidR="003A23CE">
              <w:rPr>
                <w:noProof/>
              </w:rPr>
              <w:fldChar w:fldCharType="end"/>
            </w:r>
            <w:r w:rsidRPr="007A4625">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7A4625">
              <w:t>: ACT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077" w:type="dxa"/>
            <w:gridSpan w:val="2"/>
            <w:shd w:val="clear" w:color="auto" w:fill="auto"/>
          </w:tcPr>
          <w:p w:rsidR="008B39D2" w:rsidRPr="00DF1392" w:rsidRDefault="00D546CC" w:rsidP="00341301">
            <w:pPr>
              <w:pStyle w:val="BodyText"/>
              <w:jc w:val="center"/>
              <w:rPr>
                <w:b/>
              </w:rPr>
            </w:pPr>
            <w:r>
              <w:rPr>
                <w:b/>
                <w:noProof/>
              </w:rPr>
              <w:drawing>
                <wp:inline distT="0" distB="0" distL="0" distR="0" wp14:anchorId="70DE5B17" wp14:editId="1D5987A1">
                  <wp:extent cx="5358765" cy="3310255"/>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58765" cy="3310255"/>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ACT government financial statements and Commonwealth Grants Commission.</w:t>
            </w:r>
          </w:p>
        </w:tc>
      </w:tr>
      <w:tr w:rsidR="008B39D2" w:rsidTr="00D5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vAlign w:val="top"/>
          </w:tcPr>
          <w:p w:rsidR="008B39D2" w:rsidRDefault="00D546CC" w:rsidP="00D546CC">
            <w:pPr>
              <w:pStyle w:val="Caption"/>
              <w:spacing w:before="0" w:after="0"/>
            </w:pPr>
            <w:r w:rsidRPr="00D546CC">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A7</w:t>
            </w:r>
            <w:r>
              <w:fldChar w:fldCharType="end"/>
            </w:r>
            <w:r w:rsidRPr="00D546CC">
              <w:rPr>
                <w:rFonts w:eastAsiaTheme="minorHAnsi"/>
              </w:rPr>
              <w:t>‒</w:t>
            </w:r>
            <w:r w:rsidRPr="00D546CC">
              <w:fldChar w:fldCharType="begin"/>
            </w:r>
            <w:r w:rsidRPr="00D546CC">
              <w:rPr>
                <w:rFonts w:eastAsiaTheme="minorHAnsi"/>
              </w:rPr>
              <w:instrText xml:space="preserve"> SEQ AppendixFigure\s 8 </w:instrText>
            </w:r>
            <w:r w:rsidRPr="00D546CC">
              <w:fldChar w:fldCharType="separate"/>
            </w:r>
            <w:r w:rsidR="008B68F4">
              <w:rPr>
                <w:rFonts w:eastAsiaTheme="minorHAnsi"/>
                <w:noProof/>
              </w:rPr>
              <w:t>4</w:t>
            </w:r>
            <w:r w:rsidRPr="00D546CC">
              <w:fldChar w:fldCharType="end"/>
            </w:r>
            <w:r w:rsidRPr="00D546CC">
              <w:rPr>
                <w:rFonts w:eastAsiaTheme="minorHAnsi"/>
              </w:rPr>
              <w:t>: Annual nominal growth in ACT government spending from 2002–03 to 2012–13</w:t>
            </w:r>
          </w:p>
        </w:tc>
        <w:tc>
          <w:tcPr>
            <w:tcW w:w="4483" w:type="dxa"/>
            <w:tcBorders>
              <w:top w:val="nil"/>
              <w:left w:val="nil"/>
              <w:bottom w:val="nil"/>
              <w:right w:val="nil"/>
            </w:tcBorders>
            <w:shd w:val="clear" w:color="auto" w:fill="auto"/>
            <w:vAlign w:val="top"/>
          </w:tcPr>
          <w:p w:rsidR="008B39D2" w:rsidRPr="004D31EA" w:rsidRDefault="00D546CC" w:rsidP="00D546CC">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D546CC">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A7</w:t>
            </w:r>
            <w:r>
              <w:fldChar w:fldCharType="end"/>
            </w:r>
            <w:r w:rsidRPr="00D546CC">
              <w:rPr>
                <w:rFonts w:eastAsiaTheme="minorHAnsi"/>
              </w:rPr>
              <w:t>‒</w:t>
            </w:r>
            <w:r w:rsidRPr="00D546CC">
              <w:fldChar w:fldCharType="begin"/>
            </w:r>
            <w:r w:rsidRPr="00D546CC">
              <w:rPr>
                <w:rFonts w:eastAsiaTheme="minorHAnsi"/>
              </w:rPr>
              <w:instrText xml:space="preserve"> SEQ AppendixFigure\s 8 </w:instrText>
            </w:r>
            <w:r w:rsidRPr="00D546CC">
              <w:fldChar w:fldCharType="separate"/>
            </w:r>
            <w:r w:rsidR="008B68F4">
              <w:rPr>
                <w:rFonts w:eastAsiaTheme="minorHAnsi"/>
                <w:noProof/>
              </w:rPr>
              <w:t>5</w:t>
            </w:r>
            <w:r w:rsidRPr="00D546CC">
              <w:fldChar w:fldCharType="end"/>
            </w:r>
            <w:r w:rsidRPr="00D546CC">
              <w:rPr>
                <w:rFonts w:eastAsiaTheme="minorHAnsi"/>
              </w:rPr>
              <w:t>: Contributions to total growth in ACT government spending from 2002–03 to 2012–13</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1E7A7F" w:rsidP="00341301">
            <w:pPr>
              <w:pStyle w:val="BodyText"/>
              <w:ind w:left="0"/>
            </w:pPr>
            <w:r>
              <w:rPr>
                <w:noProof/>
              </w:rPr>
              <w:drawing>
                <wp:inline distT="0" distB="0" distL="0" distR="0" wp14:anchorId="0EB4F226" wp14:editId="4EBA5A4B">
                  <wp:extent cx="2694940" cy="36029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94940" cy="3602990"/>
                          </a:xfrm>
                          <a:prstGeom prst="rect">
                            <a:avLst/>
                          </a:prstGeom>
                          <a:noFill/>
                        </pic:spPr>
                      </pic:pic>
                    </a:graphicData>
                  </a:graphic>
                </wp:inline>
              </w:drawing>
            </w:r>
          </w:p>
        </w:tc>
        <w:tc>
          <w:tcPr>
            <w:tcW w:w="4483" w:type="dxa"/>
            <w:shd w:val="clear" w:color="auto" w:fill="auto"/>
          </w:tcPr>
          <w:p w:rsidR="008B39D2" w:rsidRDefault="00397004"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E26DBD1" wp14:editId="13CBC256">
                  <wp:extent cx="2700655" cy="360299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714E4D"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077" w:type="dxa"/>
            <w:gridSpan w:val="2"/>
            <w:tcBorders>
              <w:top w:val="nil"/>
              <w:left w:val="nil"/>
              <w:bottom w:val="nil"/>
              <w:right w:val="nil"/>
            </w:tcBorders>
            <w:shd w:val="clear" w:color="auto" w:fill="auto"/>
          </w:tcPr>
          <w:p w:rsidR="008B39D2" w:rsidRPr="00714E4D" w:rsidRDefault="008B39D2" w:rsidP="00341301">
            <w:pPr>
              <w:pStyle w:val="BodyText"/>
              <w:spacing w:before="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Commonwealth and ACT government financial statements.</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vAlign w:val="top"/>
          </w:tcPr>
          <w:p w:rsidR="008B39D2" w:rsidRDefault="00D546CC" w:rsidP="00D546CC">
            <w:pPr>
              <w:pStyle w:val="Caption"/>
              <w:spacing w:before="0" w:after="0"/>
            </w:pPr>
            <w:r w:rsidRPr="00D546CC">
              <w:t xml:space="preserve">Figure </w:t>
            </w:r>
            <w:r w:rsidR="003A23CE">
              <w:fldChar w:fldCharType="begin"/>
            </w:r>
            <w:r w:rsidR="003A23CE">
              <w:instrText xml:space="preserve"> STYLEREF  \s "Heading 9,Appendix Heading 1" </w:instrText>
            </w:r>
            <w:r w:rsidR="003A23CE">
              <w:fldChar w:fldCharType="separate"/>
            </w:r>
            <w:r w:rsidR="008B68F4">
              <w:rPr>
                <w:noProof/>
              </w:rPr>
              <w:t>A7</w:t>
            </w:r>
            <w:r w:rsidR="003A23CE">
              <w:rPr>
                <w:noProof/>
              </w:rPr>
              <w:fldChar w:fldCharType="end"/>
            </w:r>
            <w:r w:rsidRPr="00D546CC">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D546CC">
              <w:t>: ACT government revenue by source</w:t>
            </w:r>
          </w:p>
        </w:tc>
        <w:tc>
          <w:tcPr>
            <w:tcW w:w="4483" w:type="dxa"/>
            <w:shd w:val="clear" w:color="auto" w:fill="auto"/>
            <w:vAlign w:val="top"/>
          </w:tcPr>
          <w:p w:rsidR="008B39D2" w:rsidRDefault="00D546CC" w:rsidP="00D546CC">
            <w:pPr>
              <w:pStyle w:val="Caption"/>
              <w:spacing w:before="0" w:after="0"/>
              <w:cnfStyle w:val="000000100000" w:firstRow="0" w:lastRow="0" w:firstColumn="0" w:lastColumn="0" w:oddVBand="0" w:evenVBand="0" w:oddHBand="1" w:evenHBand="0" w:firstRowFirstColumn="0" w:firstRowLastColumn="0" w:lastRowFirstColumn="0" w:lastRowLastColumn="0"/>
            </w:pPr>
            <w:r w:rsidRPr="00D546CC">
              <w:t xml:space="preserve">Figure </w:t>
            </w:r>
            <w:r w:rsidR="003A23CE">
              <w:fldChar w:fldCharType="begin"/>
            </w:r>
            <w:r w:rsidR="003A23CE">
              <w:instrText xml:space="preserve"> STYLEREF  \s "Heading 9,Appendix Heading 1" </w:instrText>
            </w:r>
            <w:r w:rsidR="003A23CE">
              <w:fldChar w:fldCharType="separate"/>
            </w:r>
            <w:r w:rsidR="008B68F4">
              <w:rPr>
                <w:noProof/>
              </w:rPr>
              <w:t>A7</w:t>
            </w:r>
            <w:r w:rsidR="003A23CE">
              <w:rPr>
                <w:noProof/>
              </w:rPr>
              <w:fldChar w:fldCharType="end"/>
            </w:r>
            <w:r w:rsidRPr="00D546CC">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D546CC">
              <w:t>: ACT government tax and non-tax revenue by type</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1314A6" w:rsidP="00341301">
            <w:pPr>
              <w:pStyle w:val="BodyText"/>
              <w:ind w:left="5"/>
            </w:pPr>
            <w:r>
              <w:rPr>
                <w:noProof/>
              </w:rPr>
              <w:drawing>
                <wp:inline distT="0" distB="0" distL="0" distR="0" wp14:anchorId="0AEB15D1" wp14:editId="77B0ABB8">
                  <wp:extent cx="2719070" cy="360299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19070" cy="3602990"/>
                          </a:xfrm>
                          <a:prstGeom prst="rect">
                            <a:avLst/>
                          </a:prstGeom>
                          <a:noFill/>
                        </pic:spPr>
                      </pic:pic>
                    </a:graphicData>
                  </a:graphic>
                </wp:inline>
              </w:drawing>
            </w:r>
          </w:p>
        </w:tc>
        <w:tc>
          <w:tcPr>
            <w:tcW w:w="4483" w:type="dxa"/>
            <w:tcBorders>
              <w:top w:val="nil"/>
              <w:left w:val="nil"/>
              <w:bottom w:val="nil"/>
              <w:right w:val="nil"/>
            </w:tcBorders>
            <w:shd w:val="clear" w:color="auto" w:fill="auto"/>
          </w:tcPr>
          <w:p w:rsidR="008B39D2" w:rsidRDefault="006E2F3F"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B8A5E8" wp14:editId="79C19D0E">
                  <wp:extent cx="2719070" cy="360299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19070" cy="3602990"/>
                          </a:xfrm>
                          <a:prstGeom prst="rect">
                            <a:avLst/>
                          </a:prstGeom>
                          <a:noFill/>
                        </pic:spPr>
                      </pic:pic>
                    </a:graphicData>
                  </a:graphic>
                </wp:inline>
              </w:drawing>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7" w:type="dxa"/>
            <w:gridSpan w:val="2"/>
            <w:shd w:val="clear" w:color="auto" w:fill="auto"/>
          </w:tcPr>
          <w:p w:rsidR="008B39D2" w:rsidRDefault="008B39D2" w:rsidP="00341301">
            <w:pPr>
              <w:pStyle w:val="BodyText"/>
              <w:spacing w:before="0"/>
            </w:pPr>
            <w:r>
              <w:rPr>
                <w:rFonts w:eastAsiaTheme="minorHAnsi"/>
                <w:color w:val="788184" w:themeColor="background2"/>
                <w:spacing w:val="0"/>
                <w:szCs w:val="14"/>
                <w:lang w:eastAsia="en-US"/>
              </w:rPr>
              <w:t>Source: ABS, Commonwealth and ACT government financial statements and Commonwealth Grants Commission.</w:t>
            </w:r>
          </w:p>
        </w:tc>
      </w:tr>
    </w:tbl>
    <w:p w:rsidR="008B39D2" w:rsidRDefault="008B39D2" w:rsidP="008B39D2">
      <w:pPr>
        <w:pStyle w:val="Heading9"/>
      </w:pPr>
      <w:r>
        <w:lastRenderedPageBreak/>
        <w:t>Northern Territory</w:t>
      </w:r>
    </w:p>
    <w:tbl>
      <w:tblPr>
        <w:tblStyle w:val="TableGrid"/>
        <w:tblW w:w="9183" w:type="dxa"/>
        <w:tblInd w:w="-5" w:type="dxa"/>
        <w:tblLook w:val="04A0" w:firstRow="1" w:lastRow="0" w:firstColumn="1" w:lastColumn="0" w:noHBand="0" w:noVBand="1"/>
      </w:tblPr>
      <w:tblGrid>
        <w:gridCol w:w="4594"/>
        <w:gridCol w:w="4589"/>
      </w:tblGrid>
      <w:tr w:rsidR="008B39D2" w:rsidTr="003413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D546CC" w:rsidP="00D546CC">
            <w:pPr>
              <w:pStyle w:val="Caption"/>
              <w:spacing w:before="0" w:after="0"/>
              <w:rPr>
                <w:rFonts w:eastAsiaTheme="minorHAnsi" w:cstheme="minorBidi"/>
              </w:rPr>
            </w:pPr>
            <w:r w:rsidRPr="00D546CC">
              <w:t xml:space="preserve">Figure </w:t>
            </w:r>
            <w:r w:rsidR="003A23CE">
              <w:fldChar w:fldCharType="begin"/>
            </w:r>
            <w:r w:rsidR="003A23CE">
              <w:instrText xml:space="preserve"> STYLEREF  \s "Heading 9,Appendix Heading 1" </w:instrText>
            </w:r>
            <w:r w:rsidR="003A23CE">
              <w:fldChar w:fldCharType="separate"/>
            </w:r>
            <w:r w:rsidR="008B68F4">
              <w:rPr>
                <w:noProof/>
              </w:rPr>
              <w:t>A8</w:t>
            </w:r>
            <w:r w:rsidR="003A23CE">
              <w:rPr>
                <w:noProof/>
              </w:rPr>
              <w:fldChar w:fldCharType="end"/>
            </w:r>
            <w:r w:rsidRPr="00D546CC">
              <w:t>‒</w:t>
            </w:r>
            <w:r w:rsidR="003A23CE">
              <w:fldChar w:fldCharType="begin"/>
            </w:r>
            <w:r w:rsidR="003A23CE">
              <w:instrText xml:space="preserve"> SEQ AppendixFigure\r 1 </w:instrText>
            </w:r>
            <w:r w:rsidR="003A23CE">
              <w:fldChar w:fldCharType="separate"/>
            </w:r>
            <w:r w:rsidR="008B68F4">
              <w:rPr>
                <w:noProof/>
              </w:rPr>
              <w:t>1</w:t>
            </w:r>
            <w:r w:rsidR="003A23CE">
              <w:rPr>
                <w:noProof/>
              </w:rPr>
              <w:fldChar w:fldCharType="end"/>
            </w:r>
            <w:r w:rsidRPr="00D546CC">
              <w:t>: NT general government fiscal and operating balances</w:t>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D546CC" w:rsidP="00D546CC">
            <w:pPr>
              <w:pStyle w:val="Caption"/>
              <w:spacing w:before="0" w:after="0"/>
              <w:jc w:val="left"/>
              <w:cnfStyle w:val="100000000000" w:firstRow="1" w:lastRow="0" w:firstColumn="0" w:lastColumn="0" w:oddVBand="0" w:evenVBand="0" w:oddHBand="0" w:evenHBand="0" w:firstRowFirstColumn="0" w:firstRowLastColumn="0" w:lastRowFirstColumn="0" w:lastRowLastColumn="0"/>
            </w:pPr>
            <w:r w:rsidRPr="00D546CC">
              <w:t xml:space="preserve">Figure </w:t>
            </w:r>
            <w:r w:rsidR="003A23CE">
              <w:fldChar w:fldCharType="begin"/>
            </w:r>
            <w:r w:rsidR="003A23CE">
              <w:instrText xml:space="preserve"> STYLEREF  \s "Heading 9,Appendix Headi</w:instrText>
            </w:r>
            <w:r w:rsidR="003A23CE">
              <w:instrText xml:space="preserve">ng 1" </w:instrText>
            </w:r>
            <w:r w:rsidR="003A23CE">
              <w:fldChar w:fldCharType="separate"/>
            </w:r>
            <w:r w:rsidR="008B68F4">
              <w:rPr>
                <w:noProof/>
              </w:rPr>
              <w:t>A8</w:t>
            </w:r>
            <w:r w:rsidR="003A23CE">
              <w:rPr>
                <w:noProof/>
              </w:rPr>
              <w:fldChar w:fldCharType="end"/>
            </w:r>
            <w:r w:rsidRPr="00D546CC">
              <w:t>‒</w:t>
            </w:r>
            <w:r w:rsidR="003A23CE">
              <w:fldChar w:fldCharType="begin"/>
            </w:r>
            <w:r w:rsidR="003A23CE">
              <w:instrText xml:space="preserve"> SEQ AppendixFigure\n </w:instrText>
            </w:r>
            <w:r w:rsidR="003A23CE">
              <w:fldChar w:fldCharType="separate"/>
            </w:r>
            <w:r w:rsidR="008B68F4">
              <w:rPr>
                <w:noProof/>
              </w:rPr>
              <w:t>2</w:t>
            </w:r>
            <w:r w:rsidR="003A23CE">
              <w:rPr>
                <w:noProof/>
              </w:rPr>
              <w:fldChar w:fldCharType="end"/>
            </w:r>
            <w:r w:rsidRPr="00D546CC">
              <w:t>: NT general government net debt</w:t>
            </w:r>
          </w:p>
        </w:tc>
      </w:tr>
      <w:tr w:rsidR="008B39D2" w:rsidTr="00341301">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D546CC" w:rsidP="00341301">
            <w:pPr>
              <w:pStyle w:val="BodyText"/>
              <w:ind w:left="0"/>
            </w:pPr>
            <w:r>
              <w:rPr>
                <w:noProof/>
              </w:rPr>
              <w:drawing>
                <wp:inline distT="0" distB="0" distL="0" distR="0" wp14:anchorId="13B311E2" wp14:editId="57C1BEE0">
                  <wp:extent cx="2700655" cy="3602990"/>
                  <wp:effectExtent l="0" t="0" r="444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Default="00D546CC" w:rsidP="003413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C484EC" wp14:editId="142C1AA5">
                  <wp:extent cx="2705100" cy="36042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05100" cy="3604260"/>
                          </a:xfrm>
                          <a:prstGeom prst="rect">
                            <a:avLst/>
                          </a:prstGeom>
                          <a:noFill/>
                        </pic:spPr>
                      </pic:pic>
                    </a:graphicData>
                  </a:graphic>
                </wp:inline>
              </w:drawing>
            </w:r>
          </w:p>
        </w:tc>
      </w:tr>
      <w:tr w:rsidR="008B39D2" w:rsidRPr="00874C11"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874C11" w:rsidRDefault="008B39D2" w:rsidP="00341301">
            <w:pPr>
              <w:pStyle w:val="BodyText"/>
              <w:jc w:val="both"/>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and NT government financial statements.</w:t>
            </w:r>
          </w:p>
        </w:tc>
      </w:tr>
      <w:tr w:rsidR="008B39D2" w:rsidTr="00D54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rsidR="008B39D2" w:rsidRDefault="00D546CC" w:rsidP="00D546CC">
            <w:pPr>
              <w:pStyle w:val="Caption"/>
              <w:spacing w:before="0" w:after="0"/>
            </w:pPr>
            <w:r w:rsidRPr="00D546CC">
              <w:t xml:space="preserve">Figure </w:t>
            </w:r>
            <w:r w:rsidR="003A23CE">
              <w:fldChar w:fldCharType="begin"/>
            </w:r>
            <w:r w:rsidR="003A23CE">
              <w:instrText xml:space="preserve"> STYLEREF  \s "Heading 9,Appendix Heading 1" </w:instrText>
            </w:r>
            <w:r w:rsidR="003A23CE">
              <w:fldChar w:fldCharType="separate"/>
            </w:r>
            <w:r w:rsidR="008B68F4">
              <w:rPr>
                <w:noProof/>
              </w:rPr>
              <w:t>A8</w:t>
            </w:r>
            <w:r w:rsidR="003A23CE">
              <w:rPr>
                <w:noProof/>
              </w:rPr>
              <w:fldChar w:fldCharType="end"/>
            </w:r>
            <w:r w:rsidRPr="00D546CC">
              <w:t>‒</w:t>
            </w:r>
            <w:r w:rsidR="003A23CE">
              <w:fldChar w:fldCharType="begin"/>
            </w:r>
            <w:r w:rsidR="003A23CE">
              <w:instrText xml:space="preserve"> SEQ AppendixFigure\s 8 </w:instrText>
            </w:r>
            <w:r w:rsidR="003A23CE">
              <w:fldChar w:fldCharType="separate"/>
            </w:r>
            <w:r w:rsidR="008B68F4">
              <w:rPr>
                <w:noProof/>
              </w:rPr>
              <w:t>3</w:t>
            </w:r>
            <w:r w:rsidR="003A23CE">
              <w:rPr>
                <w:noProof/>
              </w:rPr>
              <w:fldChar w:fldCharType="end"/>
            </w:r>
            <w:r w:rsidRPr="00D546CC">
              <w:t>: NT general government annual average trends from 2002–03 to 2012–13</w:t>
            </w:r>
          </w:p>
        </w:tc>
      </w:tr>
      <w:tr w:rsidR="008B39D2" w:rsidTr="00341301">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DF1392" w:rsidRDefault="00D546CC" w:rsidP="00341301">
            <w:pPr>
              <w:pStyle w:val="BodyText"/>
              <w:jc w:val="center"/>
              <w:rPr>
                <w:b/>
              </w:rPr>
            </w:pPr>
            <w:r>
              <w:rPr>
                <w:b/>
                <w:noProof/>
              </w:rPr>
              <w:drawing>
                <wp:inline distT="0" distB="0" distL="0" distR="0" wp14:anchorId="7B06D54C" wp14:editId="5031CF00">
                  <wp:extent cx="5358765" cy="3310255"/>
                  <wp:effectExtent l="0" t="0" r="0" b="44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58765" cy="3310255"/>
                          </a:xfrm>
                          <a:prstGeom prst="rect">
                            <a:avLst/>
                          </a:prstGeom>
                          <a:noFill/>
                        </pic:spPr>
                      </pic:pic>
                    </a:graphicData>
                  </a:graphic>
                </wp:inline>
              </w:drawing>
            </w:r>
          </w:p>
        </w:tc>
      </w:tr>
      <w:tr w:rsidR="008B39D2" w:rsidRPr="00874C11" w:rsidTr="00341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8B39D2" w:rsidRPr="00874C11" w:rsidRDefault="008B39D2" w:rsidP="00341301">
            <w:pPr>
              <w:pStyle w:val="BodyText"/>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NT government financial statements and Commonwealth Grants Commission.</w:t>
            </w:r>
          </w:p>
        </w:tc>
      </w:tr>
      <w:tr w:rsidR="008B39D2" w:rsidTr="00D5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vAlign w:val="top"/>
          </w:tcPr>
          <w:p w:rsidR="008B39D2" w:rsidRDefault="00D546CC" w:rsidP="00D546CC">
            <w:pPr>
              <w:pStyle w:val="Caption"/>
              <w:spacing w:before="0" w:after="0"/>
            </w:pPr>
            <w:r w:rsidRPr="00D546CC">
              <w:rPr>
                <w:rFonts w:eastAsiaTheme="minorHAnsi"/>
              </w:rPr>
              <w:lastRenderedPageBreak/>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A8</w:t>
            </w:r>
            <w:r>
              <w:fldChar w:fldCharType="end"/>
            </w:r>
            <w:r w:rsidRPr="00D546CC">
              <w:rPr>
                <w:rFonts w:eastAsiaTheme="minorHAnsi"/>
              </w:rPr>
              <w:t>‒</w:t>
            </w:r>
            <w:r w:rsidRPr="00D546CC">
              <w:fldChar w:fldCharType="begin"/>
            </w:r>
            <w:r w:rsidRPr="00D546CC">
              <w:rPr>
                <w:rFonts w:eastAsiaTheme="minorHAnsi"/>
              </w:rPr>
              <w:instrText xml:space="preserve"> SEQ AppendixFigure\s 8 </w:instrText>
            </w:r>
            <w:r w:rsidRPr="00D546CC">
              <w:fldChar w:fldCharType="separate"/>
            </w:r>
            <w:r w:rsidR="008B68F4">
              <w:rPr>
                <w:rFonts w:eastAsiaTheme="minorHAnsi"/>
                <w:noProof/>
              </w:rPr>
              <w:t>4</w:t>
            </w:r>
            <w:r w:rsidRPr="00D546CC">
              <w:fldChar w:fldCharType="end"/>
            </w:r>
            <w:r w:rsidRPr="00D546CC">
              <w:rPr>
                <w:rFonts w:eastAsiaTheme="minorHAnsi"/>
              </w:rPr>
              <w:t>: Annual nominal growth in NT government spending from 2002–03 to 2012–13</w:t>
            </w:r>
          </w:p>
        </w:tc>
        <w:tc>
          <w:tcPr>
            <w:tcW w:w="4589" w:type="dxa"/>
            <w:tcBorders>
              <w:top w:val="nil"/>
              <w:left w:val="nil"/>
              <w:bottom w:val="nil"/>
              <w:right w:val="nil"/>
            </w:tcBorders>
            <w:shd w:val="clear" w:color="auto" w:fill="auto"/>
            <w:vAlign w:val="top"/>
          </w:tcPr>
          <w:p w:rsidR="008B39D2" w:rsidRPr="004D31EA" w:rsidRDefault="00D546CC" w:rsidP="00D546CC">
            <w:pPr>
              <w:pStyle w:val="Caption"/>
              <w:spacing w:before="0" w:after="0"/>
              <w:cnfStyle w:val="000000000000" w:firstRow="0" w:lastRow="0" w:firstColumn="0" w:lastColumn="0" w:oddVBand="0" w:evenVBand="0" w:oddHBand="0" w:evenHBand="0" w:firstRowFirstColumn="0" w:firstRowLastColumn="0" w:lastRowFirstColumn="0" w:lastRowLastColumn="0"/>
              <w:rPr>
                <w:rFonts w:eastAsiaTheme="minorHAnsi" w:cstheme="minorBidi"/>
              </w:rPr>
            </w:pPr>
            <w:r w:rsidRPr="00D546CC">
              <w:rPr>
                <w:rFonts w:eastAsiaTheme="minorHAnsi"/>
              </w:rPr>
              <w:t xml:space="preserve">Figure </w:t>
            </w:r>
            <w:r>
              <w:fldChar w:fldCharType="begin"/>
            </w:r>
            <w:r>
              <w:rPr>
                <w:rFonts w:eastAsiaTheme="minorHAnsi"/>
              </w:rPr>
              <w:instrText xml:space="preserve"> STYLEREF  \s "Heading 9,Appendix Heading 1" </w:instrText>
            </w:r>
            <w:r>
              <w:fldChar w:fldCharType="separate"/>
            </w:r>
            <w:r w:rsidR="008B68F4">
              <w:rPr>
                <w:rFonts w:eastAsiaTheme="minorHAnsi"/>
                <w:noProof/>
              </w:rPr>
              <w:t>A8</w:t>
            </w:r>
            <w:r>
              <w:fldChar w:fldCharType="end"/>
            </w:r>
            <w:r w:rsidRPr="00D546CC">
              <w:rPr>
                <w:rFonts w:eastAsiaTheme="minorHAnsi"/>
              </w:rPr>
              <w:t>‒</w:t>
            </w:r>
            <w:r w:rsidRPr="00D546CC">
              <w:fldChar w:fldCharType="begin"/>
            </w:r>
            <w:r w:rsidRPr="00D546CC">
              <w:rPr>
                <w:rFonts w:eastAsiaTheme="minorHAnsi"/>
              </w:rPr>
              <w:instrText xml:space="preserve"> SEQ AppendixFigure\s 8 </w:instrText>
            </w:r>
            <w:r w:rsidRPr="00D546CC">
              <w:fldChar w:fldCharType="separate"/>
            </w:r>
            <w:r w:rsidR="008B68F4">
              <w:rPr>
                <w:rFonts w:eastAsiaTheme="minorHAnsi"/>
                <w:noProof/>
              </w:rPr>
              <w:t>5</w:t>
            </w:r>
            <w:r w:rsidRPr="00D546CC">
              <w:fldChar w:fldCharType="end"/>
            </w:r>
            <w:r w:rsidRPr="00D546CC">
              <w:rPr>
                <w:rFonts w:eastAsiaTheme="minorHAnsi"/>
              </w:rPr>
              <w:t>: Contributions to total growth in NT government spending from 2002–03 to 2012–13</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tcPr>
          <w:p w:rsidR="008B39D2" w:rsidRDefault="006E2F3F" w:rsidP="00341301">
            <w:pPr>
              <w:pStyle w:val="BodyText"/>
              <w:ind w:left="0"/>
            </w:pPr>
            <w:r>
              <w:rPr>
                <w:noProof/>
              </w:rPr>
              <w:drawing>
                <wp:inline distT="0" distB="0" distL="0" distR="0" wp14:anchorId="21DF1FB9" wp14:editId="07D0C531">
                  <wp:extent cx="2700655" cy="3596640"/>
                  <wp:effectExtent l="0" t="0" r="444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00655" cy="3596640"/>
                          </a:xfrm>
                          <a:prstGeom prst="rect">
                            <a:avLst/>
                          </a:prstGeom>
                          <a:noFill/>
                        </pic:spPr>
                      </pic:pic>
                    </a:graphicData>
                  </a:graphic>
                </wp:inline>
              </w:drawing>
            </w:r>
          </w:p>
        </w:tc>
        <w:tc>
          <w:tcPr>
            <w:tcW w:w="4589" w:type="dxa"/>
            <w:shd w:val="clear" w:color="auto" w:fill="auto"/>
          </w:tcPr>
          <w:p w:rsidR="008B39D2" w:rsidRDefault="004B641D" w:rsidP="00341301">
            <w:pPr>
              <w:pStyle w:val="BodyText"/>
              <w:ind w:left="-14"/>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F299921" wp14:editId="29E466E6">
                  <wp:extent cx="2700655" cy="360299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RPr="00714E4D"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9183" w:type="dxa"/>
            <w:gridSpan w:val="2"/>
            <w:tcBorders>
              <w:top w:val="nil"/>
              <w:left w:val="nil"/>
              <w:bottom w:val="nil"/>
              <w:right w:val="nil"/>
            </w:tcBorders>
            <w:shd w:val="clear" w:color="auto" w:fill="auto"/>
          </w:tcPr>
          <w:p w:rsidR="008B39D2" w:rsidRPr="00714E4D" w:rsidRDefault="008B39D2" w:rsidP="00E94BF6">
            <w:pPr>
              <w:pStyle w:val="Source"/>
              <w:rPr>
                <w:rFonts w:eastAsiaTheme="minorHAnsi"/>
                <w:lang w:eastAsia="en-US"/>
              </w:rPr>
            </w:pPr>
            <w:r>
              <w:rPr>
                <w:rFonts w:eastAsiaTheme="minorHAnsi"/>
                <w:lang w:eastAsia="en-US"/>
              </w:rPr>
              <w:t>Source: ABS and Commonwealth and NT government financial statements.</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4" w:type="dxa"/>
            <w:shd w:val="clear" w:color="auto" w:fill="auto"/>
            <w:vAlign w:val="top"/>
          </w:tcPr>
          <w:p w:rsidR="008B39D2" w:rsidRDefault="007A053A" w:rsidP="007A053A">
            <w:pPr>
              <w:pStyle w:val="Caption"/>
              <w:spacing w:before="0" w:after="0"/>
            </w:pPr>
            <w:r w:rsidRPr="007A053A">
              <w:t xml:space="preserve">Figure </w:t>
            </w:r>
            <w:r w:rsidR="003A23CE">
              <w:fldChar w:fldCharType="begin"/>
            </w:r>
            <w:r w:rsidR="003A23CE">
              <w:instrText xml:space="preserve"> STYLEREF  \s "Heading 9,Appendix Heading 1" </w:instrText>
            </w:r>
            <w:r w:rsidR="003A23CE">
              <w:fldChar w:fldCharType="separate"/>
            </w:r>
            <w:r w:rsidR="008B68F4">
              <w:rPr>
                <w:noProof/>
              </w:rPr>
              <w:t>A8</w:t>
            </w:r>
            <w:r w:rsidR="003A23CE">
              <w:rPr>
                <w:noProof/>
              </w:rPr>
              <w:fldChar w:fldCharType="end"/>
            </w:r>
            <w:r w:rsidRPr="007A053A">
              <w:t>‒</w:t>
            </w:r>
            <w:r w:rsidR="003A23CE">
              <w:fldChar w:fldCharType="begin"/>
            </w:r>
            <w:r w:rsidR="003A23CE">
              <w:instrText xml:space="preserve"> SEQ AppendixFigure\s 8 </w:instrText>
            </w:r>
            <w:r w:rsidR="003A23CE">
              <w:fldChar w:fldCharType="separate"/>
            </w:r>
            <w:r w:rsidR="008B68F4">
              <w:rPr>
                <w:noProof/>
              </w:rPr>
              <w:t>6</w:t>
            </w:r>
            <w:r w:rsidR="003A23CE">
              <w:rPr>
                <w:noProof/>
              </w:rPr>
              <w:fldChar w:fldCharType="end"/>
            </w:r>
            <w:r w:rsidRPr="007A053A">
              <w:t>: NT government revenue by source</w:t>
            </w:r>
          </w:p>
        </w:tc>
        <w:tc>
          <w:tcPr>
            <w:tcW w:w="4589" w:type="dxa"/>
            <w:shd w:val="clear" w:color="auto" w:fill="auto"/>
            <w:vAlign w:val="top"/>
          </w:tcPr>
          <w:p w:rsidR="008B39D2" w:rsidRDefault="007A053A" w:rsidP="007A053A">
            <w:pPr>
              <w:pStyle w:val="Caption"/>
              <w:spacing w:before="0" w:after="0"/>
              <w:cnfStyle w:val="000000100000" w:firstRow="0" w:lastRow="0" w:firstColumn="0" w:lastColumn="0" w:oddVBand="0" w:evenVBand="0" w:oddHBand="1" w:evenHBand="0" w:firstRowFirstColumn="0" w:firstRowLastColumn="0" w:lastRowFirstColumn="0" w:lastRowLastColumn="0"/>
            </w:pPr>
            <w:r w:rsidRPr="007A053A">
              <w:t xml:space="preserve">Figure </w:t>
            </w:r>
            <w:r w:rsidR="003A23CE">
              <w:fldChar w:fldCharType="begin"/>
            </w:r>
            <w:r w:rsidR="003A23CE">
              <w:instrText xml:space="preserve"> STYLEREF  \s "Heading 9,Appendix Heading 1" </w:instrText>
            </w:r>
            <w:r w:rsidR="003A23CE">
              <w:fldChar w:fldCharType="separate"/>
            </w:r>
            <w:r w:rsidR="008B68F4">
              <w:rPr>
                <w:noProof/>
              </w:rPr>
              <w:t>A8</w:t>
            </w:r>
            <w:r w:rsidR="003A23CE">
              <w:rPr>
                <w:noProof/>
              </w:rPr>
              <w:fldChar w:fldCharType="end"/>
            </w:r>
            <w:r w:rsidRPr="007A053A">
              <w:t>‒</w:t>
            </w:r>
            <w:r w:rsidR="003A23CE">
              <w:fldChar w:fldCharType="begin"/>
            </w:r>
            <w:r w:rsidR="003A23CE">
              <w:instrText xml:space="preserve"> SEQ AppendixFigure\s 8 </w:instrText>
            </w:r>
            <w:r w:rsidR="003A23CE">
              <w:fldChar w:fldCharType="separate"/>
            </w:r>
            <w:r w:rsidR="008B68F4">
              <w:rPr>
                <w:noProof/>
              </w:rPr>
              <w:t>7</w:t>
            </w:r>
            <w:r w:rsidR="003A23CE">
              <w:rPr>
                <w:noProof/>
              </w:rPr>
              <w:fldChar w:fldCharType="end"/>
            </w:r>
            <w:r w:rsidRPr="007A053A">
              <w:t>: NT government tax and non-tax revenue by type</w:t>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4594" w:type="dxa"/>
            <w:tcBorders>
              <w:top w:val="nil"/>
              <w:left w:val="nil"/>
              <w:bottom w:val="nil"/>
              <w:right w:val="nil"/>
            </w:tcBorders>
            <w:shd w:val="clear" w:color="auto" w:fill="auto"/>
          </w:tcPr>
          <w:p w:rsidR="008B39D2" w:rsidRDefault="007A053A" w:rsidP="00341301">
            <w:pPr>
              <w:pStyle w:val="BodyText"/>
              <w:ind w:left="5"/>
            </w:pPr>
            <w:r>
              <w:rPr>
                <w:noProof/>
              </w:rPr>
              <w:drawing>
                <wp:inline distT="0" distB="0" distL="0" distR="0" wp14:anchorId="3A4C4C36" wp14:editId="1C149879">
                  <wp:extent cx="2700655" cy="3602990"/>
                  <wp:effectExtent l="0" t="0" r="444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c>
          <w:tcPr>
            <w:tcW w:w="4589" w:type="dxa"/>
            <w:tcBorders>
              <w:top w:val="nil"/>
              <w:left w:val="nil"/>
              <w:bottom w:val="nil"/>
              <w:right w:val="nil"/>
            </w:tcBorders>
            <w:shd w:val="clear" w:color="auto" w:fill="auto"/>
          </w:tcPr>
          <w:p w:rsidR="008B39D2" w:rsidRDefault="007A053A" w:rsidP="00341301">
            <w:pPr>
              <w:pStyle w:val="BodyText"/>
              <w:ind w:left="0"/>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2A202A" wp14:editId="3420CCAA">
                  <wp:extent cx="2700655" cy="3602990"/>
                  <wp:effectExtent l="0" t="0" r="444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00655" cy="3602990"/>
                          </a:xfrm>
                          <a:prstGeom prst="rect">
                            <a:avLst/>
                          </a:prstGeom>
                          <a:noFill/>
                        </pic:spPr>
                      </pic:pic>
                    </a:graphicData>
                  </a:graphic>
                </wp:inline>
              </w:drawing>
            </w:r>
          </w:p>
        </w:tc>
      </w:tr>
      <w:tr w:rsidR="008B39D2" w:rsidTr="00341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3" w:type="dxa"/>
            <w:gridSpan w:val="2"/>
            <w:shd w:val="clear" w:color="auto" w:fill="auto"/>
          </w:tcPr>
          <w:p w:rsidR="008B39D2" w:rsidRPr="00E416FF" w:rsidRDefault="008B39D2" w:rsidP="007E0D83">
            <w:pPr>
              <w:pStyle w:val="BodyText"/>
              <w:spacing w:before="0" w:after="0"/>
              <w:rPr>
                <w:rFonts w:eastAsiaTheme="minorHAnsi"/>
                <w:color w:val="788184" w:themeColor="background2"/>
                <w:spacing w:val="0"/>
                <w:szCs w:val="14"/>
                <w:lang w:eastAsia="en-US"/>
              </w:rPr>
            </w:pPr>
            <w:r>
              <w:rPr>
                <w:rFonts w:eastAsiaTheme="minorHAnsi"/>
                <w:color w:val="788184" w:themeColor="background2"/>
                <w:spacing w:val="0"/>
                <w:szCs w:val="14"/>
                <w:lang w:eastAsia="en-US"/>
              </w:rPr>
              <w:t>Source: ABS, Commonwealth and NT government financial statements and Commonwealth Grants Commission.</w:t>
            </w:r>
          </w:p>
        </w:tc>
      </w:tr>
    </w:tbl>
    <w:p w:rsidR="007E0D83" w:rsidRDefault="007E0D83" w:rsidP="007E0D83">
      <w:pPr>
        <w:pStyle w:val="BodyText"/>
        <w:sectPr w:rsidR="007E0D83" w:rsidSect="00B23DA1">
          <w:headerReference w:type="even" r:id="rId131"/>
          <w:headerReference w:type="default" r:id="rId132"/>
          <w:footerReference w:type="even" r:id="rId133"/>
          <w:footerReference w:type="default" r:id="rId134"/>
          <w:headerReference w:type="first" r:id="rId135"/>
          <w:footerReference w:type="first" r:id="rId136"/>
          <w:pgSz w:w="11907" w:h="16839" w:code="9"/>
          <w:pgMar w:top="1361" w:right="1797" w:bottom="1474" w:left="1276" w:header="283" w:footer="454" w:gutter="0"/>
          <w:cols w:space="708"/>
          <w:docGrid w:linePitch="360"/>
        </w:sectPr>
      </w:pPr>
    </w:p>
    <w:p w:rsidR="008B39D2" w:rsidRDefault="001A350A" w:rsidP="008B39D2">
      <w:pPr>
        <w:pStyle w:val="Heading8"/>
      </w:pPr>
      <w:r>
        <w:lastRenderedPageBreak/>
        <w:t xml:space="preserve"> </w:t>
      </w:r>
      <w:bookmarkStart w:id="272" w:name="_Toc418073801"/>
      <w:r w:rsidR="008B39D2">
        <w:t>– Technical notes and sources</w:t>
      </w:r>
      <w:bookmarkEnd w:id="272"/>
    </w:p>
    <w:p w:rsidR="008B39D2" w:rsidRDefault="008B39D2" w:rsidP="008B39D2">
      <w:pPr>
        <w:pStyle w:val="BodyText"/>
      </w:pPr>
      <w:r>
        <w:t>This report uses GFS data published by the ABS to discuss historical national fiscal trends from 2002–03 to 2012–13.  Specifically, data has been sourced from:</w:t>
      </w:r>
    </w:p>
    <w:p w:rsidR="008B39D2" w:rsidRDefault="008B39D2" w:rsidP="008B39D2">
      <w:pPr>
        <w:pStyle w:val="ListBullet"/>
      </w:pPr>
      <w:r>
        <w:t>Cat. No. 5512.0 Government Finance Statistics, Australia (2011–12, 2012–13)</w:t>
      </w:r>
    </w:p>
    <w:p w:rsidR="008B39D2" w:rsidRDefault="008B39D2" w:rsidP="008B39D2">
      <w:pPr>
        <w:pStyle w:val="ListBullet"/>
      </w:pPr>
      <w:r>
        <w:t>Cat. No. 5506.0 Taxation Revenue, Australia (2011–12, 2012–13).</w:t>
      </w:r>
    </w:p>
    <w:p w:rsidR="008B39D2" w:rsidRDefault="008B39D2" w:rsidP="008B39D2">
      <w:pPr>
        <w:pStyle w:val="BodyText"/>
      </w:pPr>
      <w:r>
        <w:t>In most instances the ABS data used in this report is publicly available however, some unpublished information has been used to identify transfers between levels to better inform the analysis of budget trends nationally.  This information is available from the ABS.</w:t>
      </w:r>
    </w:p>
    <w:p w:rsidR="008B39D2" w:rsidRPr="004E2C04" w:rsidRDefault="008B39D2" w:rsidP="008B39D2">
      <w:pPr>
        <w:pStyle w:val="Heading9"/>
        <w:numPr>
          <w:ilvl w:val="1"/>
          <w:numId w:val="1"/>
        </w:numPr>
      </w:pPr>
      <w:bookmarkStart w:id="273" w:name="_Toc414007443"/>
      <w:bookmarkStart w:id="274" w:name="_Toc414007748"/>
      <w:bookmarkStart w:id="275" w:name="_Toc414008371"/>
      <w:r>
        <w:t>Estimates period data</w:t>
      </w:r>
      <w:bookmarkEnd w:id="273"/>
      <w:bookmarkEnd w:id="274"/>
      <w:bookmarkEnd w:id="275"/>
    </w:p>
    <w:p w:rsidR="008B39D2" w:rsidRDefault="008B39D2" w:rsidP="008B39D2">
      <w:pPr>
        <w:pStyle w:val="BodyText"/>
      </w:pPr>
      <w:r>
        <w:t>The ABS collects data from all levels of government in Australia to prepare the historical GFS data it publishes.  Under Uniform Presentation Framework arrangements the Commonwealth, states and territories also publish government finance data in a relatively comparable manner.  The information published by governments extends over the forward estimates period although the level of detail provided varies across jurisdictions.</w:t>
      </w:r>
    </w:p>
    <w:p w:rsidR="008B39D2" w:rsidRDefault="008B39D2" w:rsidP="008B39D2">
      <w:pPr>
        <w:pStyle w:val="BodyText"/>
      </w:pPr>
      <w:r>
        <w:t>This report extends its analysis to the end of the forward estimates period in 2017–18.  It uses ABS data over the period 2002–03 to 2012–13 to discuss historical trends and the latest available estimates period data published by governments to discuss the outlook for the national fiscal position, and for the Commonwealth and states and territories individually.</w:t>
      </w:r>
    </w:p>
    <w:p w:rsidR="008B39D2" w:rsidRDefault="008B39D2" w:rsidP="008B39D2">
      <w:pPr>
        <w:pStyle w:val="BodyText"/>
      </w:pPr>
      <w:r>
        <w:t>Local government data is not published over the forward estimates.  As such local government revenue and expenses have been grown in line with the historical trend as a proportion of GDP, while net capital investment and net debt was grown by the nominal historical trend.</w:t>
      </w:r>
    </w:p>
    <w:p w:rsidR="008B39D2" w:rsidRDefault="008B39D2" w:rsidP="008B39D2">
      <w:pPr>
        <w:pStyle w:val="Heading9"/>
        <w:numPr>
          <w:ilvl w:val="1"/>
          <w:numId w:val="1"/>
        </w:numPr>
      </w:pPr>
      <w:bookmarkStart w:id="276" w:name="_Toc414007444"/>
      <w:bookmarkStart w:id="277" w:name="_Toc414007749"/>
      <w:bookmarkStart w:id="278" w:name="_Toc414008372"/>
      <w:r>
        <w:t>Economic parameters</w:t>
      </w:r>
      <w:bookmarkEnd w:id="276"/>
      <w:bookmarkEnd w:id="277"/>
      <w:bookmarkEnd w:id="278"/>
    </w:p>
    <w:p w:rsidR="008B39D2" w:rsidRDefault="008B39D2" w:rsidP="008B39D2">
      <w:pPr>
        <w:pStyle w:val="BodyText"/>
      </w:pPr>
      <w:r>
        <w:t>Assumptions relating to the Consumer Price Index, nominal and real GDP are consistent with the 2014–15 Mid-Year Economic and Fiscal Outlook.</w:t>
      </w:r>
    </w:p>
    <w:p w:rsidR="008B39D2" w:rsidRDefault="008B39D2" w:rsidP="008B39D2">
      <w:pPr>
        <w:pStyle w:val="BodyText"/>
      </w:pPr>
      <w:r>
        <w:t>Historical data has been sourced from:</w:t>
      </w:r>
    </w:p>
    <w:p w:rsidR="008B39D2" w:rsidRPr="00B000A2" w:rsidRDefault="008B39D2" w:rsidP="008B39D2">
      <w:pPr>
        <w:pStyle w:val="ListBullet"/>
      </w:pPr>
      <w:r>
        <w:t>Cat. No. 5206.0 Australian National Accounts: National Income, Expenditure and Product (September 2014)</w:t>
      </w:r>
    </w:p>
    <w:p w:rsidR="002857DA" w:rsidRDefault="008B39D2" w:rsidP="008B39D2">
      <w:pPr>
        <w:pStyle w:val="ListBullet"/>
      </w:pPr>
      <w:r>
        <w:t>Cat. No. 6401.0 Consumer Price Index, Australia (September 2014).</w:t>
      </w:r>
      <w:r w:rsidR="002857DA">
        <w:br w:type="page"/>
      </w:r>
    </w:p>
    <w:p w:rsidR="00CE3B92" w:rsidRDefault="00CE3B92" w:rsidP="00C14DA6">
      <w:pPr>
        <w:pStyle w:val="Heading9"/>
        <w:numPr>
          <w:ilvl w:val="1"/>
          <w:numId w:val="1"/>
        </w:numPr>
      </w:pPr>
      <w:bookmarkStart w:id="279" w:name="_Toc396377831"/>
      <w:bookmarkStart w:id="280" w:name="_Toc396382656"/>
      <w:bookmarkStart w:id="281" w:name="_Toc414007445"/>
      <w:bookmarkStart w:id="282" w:name="_Toc414007750"/>
      <w:bookmarkStart w:id="283" w:name="_Toc414008373"/>
      <w:r>
        <w:lastRenderedPageBreak/>
        <w:t>Real g</w:t>
      </w:r>
      <w:r w:rsidRPr="008A4F59">
        <w:t xml:space="preserve">rowth rates </w:t>
      </w:r>
      <w:bookmarkEnd w:id="279"/>
      <w:bookmarkEnd w:id="280"/>
    </w:p>
    <w:p w:rsidR="00CE3B92" w:rsidRDefault="00CE3B92" w:rsidP="00B12841">
      <w:pPr>
        <w:pStyle w:val="BodyText"/>
      </w:pPr>
      <w:r>
        <w:t xml:space="preserve">Real spending has been deflated by the Consumer Price Index to 2012-13 dollars.  </w:t>
      </w:r>
      <w:r w:rsidRPr="00493270">
        <w:t xml:space="preserve">Real government spending is </w:t>
      </w:r>
      <w:r w:rsidR="00080E21">
        <w:t xml:space="preserve">used </w:t>
      </w:r>
      <w:r w:rsidRPr="00493270">
        <w:t>to examine trends in spending over time.</w:t>
      </w:r>
    </w:p>
    <w:p w:rsidR="00CE3B92" w:rsidRDefault="00CE3B92" w:rsidP="00B12841">
      <w:pPr>
        <w:pStyle w:val="BodyText"/>
      </w:pPr>
      <w:r>
        <w:t>The</w:t>
      </w:r>
      <w:r w:rsidR="00080E21">
        <w:t xml:space="preserve"> growth rates</w:t>
      </w:r>
      <w:r>
        <w:t xml:space="preserve"> are compound annual average growth rates and cumulative contributions to growth.</w:t>
      </w:r>
    </w:p>
    <w:p w:rsidR="00CE3B92" w:rsidRDefault="00233569" w:rsidP="00B12841">
      <w:pPr>
        <w:pStyle w:val="BodyText"/>
      </w:pPr>
      <w:r>
        <w:t>In some instances</w:t>
      </w:r>
      <w:r w:rsidR="00CE3B92">
        <w:t xml:space="preserve"> annual real growth</w:t>
      </w:r>
      <w:r>
        <w:t xml:space="preserve"> rates are also shown</w:t>
      </w:r>
      <w:r w:rsidR="00CE3B92">
        <w:t xml:space="preserve"> to better illustrate year to year fluctuations</w:t>
      </w:r>
      <w:r>
        <w:t>.</w:t>
      </w:r>
    </w:p>
    <w:p w:rsidR="008B39D2" w:rsidRPr="0032339B" w:rsidRDefault="008B39D2" w:rsidP="008B39D2">
      <w:pPr>
        <w:pStyle w:val="Heading9"/>
        <w:numPr>
          <w:ilvl w:val="1"/>
          <w:numId w:val="1"/>
        </w:numPr>
      </w:pPr>
      <w:r w:rsidRPr="0032339B">
        <w:t>Transfers</w:t>
      </w:r>
      <w:bookmarkEnd w:id="281"/>
      <w:bookmarkEnd w:id="282"/>
      <w:bookmarkEnd w:id="283"/>
    </w:p>
    <w:p w:rsidR="008B39D2" w:rsidRPr="007E04C3" w:rsidRDefault="008B39D2" w:rsidP="008B39D2">
      <w:pPr>
        <w:pStyle w:val="BodyText"/>
      </w:pPr>
      <w:r>
        <w:t>Transfers between levels of government are sourced from unpublished ABS data.  This is broadly consistent with publicly available Commonwealth Final Budget Outcome data on transfers to state and local governments.</w:t>
      </w:r>
    </w:p>
    <w:p w:rsidR="008B39D2" w:rsidRDefault="008B39D2" w:rsidP="008B39D2">
      <w:pPr>
        <w:pStyle w:val="Heading9"/>
        <w:numPr>
          <w:ilvl w:val="1"/>
          <w:numId w:val="1"/>
        </w:numPr>
      </w:pPr>
      <w:bookmarkStart w:id="284" w:name="_Toc414007446"/>
      <w:bookmarkStart w:id="285" w:name="_Toc414007751"/>
      <w:bookmarkStart w:id="286" w:name="_Toc414008374"/>
      <w:r>
        <w:t>Net capital investment</w:t>
      </w:r>
      <w:bookmarkEnd w:id="284"/>
      <w:bookmarkEnd w:id="285"/>
      <w:bookmarkEnd w:id="286"/>
    </w:p>
    <w:p w:rsidR="008B39D2" w:rsidRDefault="008B39D2" w:rsidP="008B39D2">
      <w:pPr>
        <w:pStyle w:val="BodyText"/>
      </w:pPr>
      <w:r w:rsidRPr="009D7D5D">
        <w:t xml:space="preserve">Net capital investment </w:t>
      </w:r>
      <w:r>
        <w:t>is the change in the balance sheet value of non-financial assets.  It takes accounts of</w:t>
      </w:r>
      <w:r w:rsidRPr="009D7D5D">
        <w:t xml:space="preserve"> acquisition</w:t>
      </w:r>
      <w:r>
        <w:t>s</w:t>
      </w:r>
      <w:r w:rsidRPr="009D7D5D">
        <w:t xml:space="preserve"> and disposal</w:t>
      </w:r>
      <w:r>
        <w:t>s</w:t>
      </w:r>
      <w:r w:rsidRPr="009D7D5D">
        <w:t xml:space="preserve"> of non-financial assets and depreciation in the val</w:t>
      </w:r>
      <w:r>
        <w:t>ue of these assets as they age.</w:t>
      </w:r>
    </w:p>
    <w:p w:rsidR="008B39D2" w:rsidRDefault="008B39D2" w:rsidP="008B39D2">
      <w:pPr>
        <w:pStyle w:val="BodyText"/>
      </w:pPr>
      <w:r>
        <w:t>Trends in gross fixed capital formation, which is largely the purchase of capital, broadly follow net capital investment.  As the ABS does not published a break-down of net capital investment by function the measure of gross fixed capital formation has been used for some analysis in Chapter 4.</w:t>
      </w:r>
    </w:p>
    <w:p w:rsidR="008B39D2" w:rsidRDefault="008B39D2" w:rsidP="008B39D2">
      <w:pPr>
        <w:pStyle w:val="Heading9"/>
        <w:numPr>
          <w:ilvl w:val="1"/>
          <w:numId w:val="1"/>
        </w:numPr>
      </w:pPr>
      <w:bookmarkStart w:id="287" w:name="_Toc414007447"/>
      <w:bookmarkStart w:id="288" w:name="_Toc414007752"/>
      <w:bookmarkStart w:id="289" w:name="_Toc414008375"/>
      <w:r>
        <w:t>Sectors of government</w:t>
      </w:r>
      <w:bookmarkEnd w:id="287"/>
      <w:bookmarkEnd w:id="288"/>
      <w:bookmarkEnd w:id="289"/>
    </w:p>
    <w:p w:rsidR="008B39D2" w:rsidRDefault="00233569" w:rsidP="008B39D2">
      <w:pPr>
        <w:pStyle w:val="BodyText"/>
      </w:pPr>
      <w:r>
        <w:t>This</w:t>
      </w:r>
      <w:r w:rsidR="008B39D2">
        <w:t xml:space="preserve"> report </w:t>
      </w:r>
      <w:r>
        <w:t xml:space="preserve">focusses on </w:t>
      </w:r>
      <w:r w:rsidR="008B39D2">
        <w:t>the general government sector.  Th</w:t>
      </w:r>
      <w:r>
        <w:t xml:space="preserve">is sector </w:t>
      </w:r>
      <w:r w:rsidR="008B39D2">
        <w:t>comprises government departments and agencies that provide non-market public services and are mainly funded through taxes.</w:t>
      </w:r>
    </w:p>
    <w:p w:rsidR="008B39D2" w:rsidRPr="005C2920" w:rsidRDefault="00233569" w:rsidP="008B39D2">
      <w:pPr>
        <w:pStyle w:val="BodyText"/>
      </w:pPr>
      <w:r>
        <w:t>Chapter 4 briefly examines p</w:t>
      </w:r>
      <w:r w:rsidR="008B39D2">
        <w:t xml:space="preserve">ublic non-financial corporations </w:t>
      </w:r>
      <w:r>
        <w:t xml:space="preserve">(PNFCs), which </w:t>
      </w:r>
      <w:r w:rsidR="008B39D2">
        <w:t>are government</w:t>
      </w:r>
      <w:r w:rsidR="007D7746">
        <w:noBreakHyphen/>
      </w:r>
      <w:r w:rsidR="008B39D2">
        <w:t>owned entities that provide goods and services to consumers on a commercial basis, which are funded largely by the sale of these goods and services.</w:t>
      </w:r>
    </w:p>
    <w:p w:rsidR="008B39D2" w:rsidRDefault="008B39D2" w:rsidP="008B39D2">
      <w:pPr>
        <w:pStyle w:val="Heading9"/>
        <w:numPr>
          <w:ilvl w:val="1"/>
          <w:numId w:val="1"/>
        </w:numPr>
      </w:pPr>
      <w:bookmarkStart w:id="290" w:name="_Toc414007448"/>
      <w:bookmarkStart w:id="291" w:name="_Toc414007753"/>
      <w:bookmarkStart w:id="292" w:name="_Toc414008376"/>
      <w:r>
        <w:t>Sources and references</w:t>
      </w:r>
      <w:bookmarkEnd w:id="290"/>
      <w:bookmarkEnd w:id="291"/>
      <w:bookmarkEnd w:id="292"/>
    </w:p>
    <w:p w:rsidR="008B39D2" w:rsidRDefault="008B39D2" w:rsidP="008B39D2">
      <w:pPr>
        <w:pStyle w:val="BodyText"/>
      </w:pPr>
      <w:r>
        <w:t xml:space="preserve">Australian Bureau of Statistics (ABS), 2014, </w:t>
      </w:r>
      <w:r>
        <w:rPr>
          <w:i/>
        </w:rPr>
        <w:t xml:space="preserve">Australian National Accounts: National Income, Expenditure and Product, </w:t>
      </w:r>
      <w:r>
        <w:t>Cat. No. 5206.0</w:t>
      </w:r>
    </w:p>
    <w:p w:rsidR="008B39D2" w:rsidRDefault="008B39D2" w:rsidP="008B39D2">
      <w:pPr>
        <w:pStyle w:val="ListBullet"/>
      </w:pPr>
      <w:r>
        <w:t xml:space="preserve">ABS (a), 2014, </w:t>
      </w:r>
      <w:r>
        <w:rPr>
          <w:i/>
        </w:rPr>
        <w:t>Consumer Price Index, Australia</w:t>
      </w:r>
      <w:r>
        <w:t>, Cat. No. 6401.0</w:t>
      </w:r>
    </w:p>
    <w:p w:rsidR="008B39D2" w:rsidRPr="00D31923" w:rsidRDefault="008B39D2" w:rsidP="008B39D2">
      <w:pPr>
        <w:pStyle w:val="ListBullet"/>
      </w:pPr>
      <w:r>
        <w:t xml:space="preserve">ABS (b), 2013 to 2014, </w:t>
      </w:r>
      <w:r>
        <w:rPr>
          <w:i/>
        </w:rPr>
        <w:t xml:space="preserve">Government Finance Statistics, Australia 2011–12 and 2012–13, </w:t>
      </w:r>
      <w:r>
        <w:t>Cat. No. 5512.0</w:t>
      </w:r>
    </w:p>
    <w:p w:rsidR="008B39D2" w:rsidRPr="00D31923" w:rsidRDefault="008B39D2" w:rsidP="008B39D2">
      <w:pPr>
        <w:pStyle w:val="ListBullet"/>
      </w:pPr>
      <w:r>
        <w:lastRenderedPageBreak/>
        <w:t xml:space="preserve">ABS (c), 2013 to 2014, </w:t>
      </w:r>
      <w:r>
        <w:rPr>
          <w:i/>
        </w:rPr>
        <w:t xml:space="preserve">Taxation Revenue, Australia 2011–12 and 2012–13, </w:t>
      </w:r>
      <w:r>
        <w:t>Cat.</w:t>
      </w:r>
      <w:r w:rsidR="00536292">
        <w:t> </w:t>
      </w:r>
      <w:r>
        <w:t>No.</w:t>
      </w:r>
      <w:r w:rsidR="00536292">
        <w:t> </w:t>
      </w:r>
      <w:r>
        <w:t>5506.0</w:t>
      </w:r>
    </w:p>
    <w:p w:rsidR="008B39D2" w:rsidRPr="00D31923" w:rsidRDefault="008B39D2" w:rsidP="008B39D2">
      <w:pPr>
        <w:pStyle w:val="ListBullet"/>
      </w:pPr>
      <w:r>
        <w:t xml:space="preserve">ABS (d), 2007 to 2013, </w:t>
      </w:r>
      <w:r>
        <w:rPr>
          <w:i/>
        </w:rPr>
        <w:t xml:space="preserve">Year Book Australia, </w:t>
      </w:r>
      <w:r>
        <w:t>Cat. No. 1301.0.</w:t>
      </w:r>
    </w:p>
    <w:p w:rsidR="008B39D2" w:rsidRDefault="008B39D2" w:rsidP="008B39D2">
      <w:pPr>
        <w:pStyle w:val="BodyText"/>
      </w:pPr>
      <w:r>
        <w:t xml:space="preserve">Commonwealth of Australia, 2002 to 2014, </w:t>
      </w:r>
      <w:r>
        <w:rPr>
          <w:i/>
        </w:rPr>
        <w:t>Budget Papers, Updates, and Final Budget Outcomes</w:t>
      </w:r>
      <w:r>
        <w:t>, 2002–03 to 2014–15, Canberra</w:t>
      </w:r>
    </w:p>
    <w:p w:rsidR="008B39D2" w:rsidRPr="00FB736E" w:rsidRDefault="008B39D2" w:rsidP="008B39D2">
      <w:pPr>
        <w:pStyle w:val="ListBullet"/>
      </w:pPr>
      <w:r>
        <w:t>Commonwealth of Australia (a)</w:t>
      </w:r>
      <w:r w:rsidRPr="00FB736E">
        <w:t xml:space="preserve">, </w:t>
      </w:r>
      <w:r>
        <w:t>2002 to 2014,</w:t>
      </w:r>
      <w:r w:rsidRPr="00FB736E">
        <w:t xml:space="preserve"> </w:t>
      </w:r>
      <w:r>
        <w:t>2002–03 to 2012–</w:t>
      </w:r>
      <w:r w:rsidRPr="00FB736E">
        <w:t>13</w:t>
      </w:r>
      <w:r w:rsidRPr="001F79C9">
        <w:t xml:space="preserve"> Agency and Department Budget Estimates Statements and Additional Estimates Statements</w:t>
      </w:r>
      <w:r w:rsidRPr="00FB736E">
        <w:t>,</w:t>
      </w:r>
      <w:r>
        <w:t xml:space="preserve"> various, Canberra</w:t>
      </w:r>
    </w:p>
    <w:p w:rsidR="008B39D2" w:rsidRPr="00FB736E" w:rsidRDefault="008B39D2" w:rsidP="008B39D2">
      <w:pPr>
        <w:pStyle w:val="ListBullet"/>
      </w:pPr>
      <w:r>
        <w:t>Commonwealth of Australia (b)</w:t>
      </w:r>
      <w:r w:rsidRPr="00FB736E">
        <w:t xml:space="preserve">, </w:t>
      </w:r>
      <w:r>
        <w:t>2002 to 2014, 2002–03 to 2012–</w:t>
      </w:r>
      <w:r w:rsidRPr="00FB736E">
        <w:t>13</w:t>
      </w:r>
      <w:r w:rsidRPr="009D4CC3">
        <w:t xml:space="preserve"> Agency and Department Annual Reports</w:t>
      </w:r>
      <w:r w:rsidRPr="00FB736E">
        <w:t>,</w:t>
      </w:r>
      <w:r>
        <w:t xml:space="preserve"> various, Canberra</w:t>
      </w:r>
    </w:p>
    <w:p w:rsidR="008B39D2" w:rsidRPr="00FB736E" w:rsidRDefault="008B39D2" w:rsidP="008B39D2">
      <w:pPr>
        <w:pStyle w:val="ListBullet"/>
      </w:pPr>
      <w:r>
        <w:t>Commonwealth of Australia</w:t>
      </w:r>
      <w:r w:rsidRPr="00FB736E">
        <w:t xml:space="preserve">, 2010, Intergenerational Report 2010: Australia to 2050: </w:t>
      </w:r>
      <w:r w:rsidRPr="009D4CC3">
        <w:t>F</w:t>
      </w:r>
      <w:r w:rsidRPr="00FB736E">
        <w:t xml:space="preserve">uture </w:t>
      </w:r>
      <w:r w:rsidRPr="009D4CC3">
        <w:t>C</w:t>
      </w:r>
      <w:r>
        <w:t>hallenges, Canberra.</w:t>
      </w:r>
    </w:p>
    <w:p w:rsidR="008B39D2" w:rsidRPr="00FB736E" w:rsidRDefault="008B39D2" w:rsidP="008B39D2">
      <w:pPr>
        <w:pStyle w:val="BodyText"/>
      </w:pPr>
      <w:r>
        <w:t>Commonwealth of Australia</w:t>
      </w:r>
      <w:r w:rsidRPr="00FB736E">
        <w:t xml:space="preserve">, 2008, </w:t>
      </w:r>
      <w:r w:rsidRPr="00FB736E">
        <w:rPr>
          <w:i/>
        </w:rPr>
        <w:t>Nation Building: Rail, Road, Education &amp; Research and Business</w:t>
      </w:r>
      <w:r w:rsidRPr="00FB736E">
        <w:t>, Canberra.</w:t>
      </w:r>
    </w:p>
    <w:p w:rsidR="008B39D2" w:rsidRPr="00FB736E" w:rsidRDefault="008B39D2" w:rsidP="008B39D2">
      <w:pPr>
        <w:pStyle w:val="BodyText"/>
      </w:pPr>
      <w:r>
        <w:t>Commonwealth of Australia</w:t>
      </w:r>
      <w:r w:rsidRPr="00FB736E">
        <w:t>, 2011, Review of Funding for Schooling: Final Report, Canberra.</w:t>
      </w:r>
    </w:p>
    <w:p w:rsidR="008B39D2" w:rsidRDefault="008B39D2" w:rsidP="008B39D2">
      <w:pPr>
        <w:pStyle w:val="BodyText"/>
      </w:pPr>
      <w:r w:rsidRPr="00FB736E">
        <w:t>Australian Institute of Health and Welfare</w:t>
      </w:r>
      <w:r>
        <w:t xml:space="preserve"> (AIHW)</w:t>
      </w:r>
      <w:r w:rsidRPr="00FB736E">
        <w:t xml:space="preserve">, 2013, </w:t>
      </w:r>
      <w:r>
        <w:rPr>
          <w:i/>
        </w:rPr>
        <w:t>Health Expenditure 2011–</w:t>
      </w:r>
      <w:r w:rsidRPr="00FB736E">
        <w:rPr>
          <w:i/>
        </w:rPr>
        <w:t>12</w:t>
      </w:r>
      <w:r>
        <w:t>, Canberra.</w:t>
      </w:r>
    </w:p>
    <w:p w:rsidR="008B39D2" w:rsidRPr="00FB736E" w:rsidRDefault="008B39D2" w:rsidP="008B39D2">
      <w:pPr>
        <w:pStyle w:val="BodyText"/>
      </w:pPr>
      <w:r w:rsidRPr="00FB736E">
        <w:t>Council of Australian Governments</w:t>
      </w:r>
      <w:r>
        <w:t xml:space="preserve"> (COAG)</w:t>
      </w:r>
      <w:r w:rsidRPr="00FB736E">
        <w:t xml:space="preserve">, 2008, </w:t>
      </w:r>
      <w:r w:rsidRPr="00FB736E">
        <w:rPr>
          <w:i/>
        </w:rPr>
        <w:t>29 November 2008</w:t>
      </w:r>
      <w:r w:rsidRPr="009D4CC3">
        <w:rPr>
          <w:i/>
        </w:rPr>
        <w:t xml:space="preserve"> </w:t>
      </w:r>
      <w:r w:rsidRPr="00FB736E">
        <w:rPr>
          <w:i/>
        </w:rPr>
        <w:t>Communique</w:t>
      </w:r>
      <w:r>
        <w:t>, Canberra</w:t>
      </w:r>
    </w:p>
    <w:p w:rsidR="008B39D2" w:rsidRPr="00FB736E" w:rsidRDefault="008B39D2" w:rsidP="008B39D2">
      <w:pPr>
        <w:pStyle w:val="ListBullet"/>
      </w:pPr>
      <w:r>
        <w:t>COAG (a)</w:t>
      </w:r>
      <w:r w:rsidRPr="00FB736E">
        <w:t>, 2012, National Education Agreement</w:t>
      </w:r>
      <w:r>
        <w:t>, Canberra</w:t>
      </w:r>
    </w:p>
    <w:p w:rsidR="008B39D2" w:rsidRPr="00FB736E" w:rsidRDefault="008B39D2" w:rsidP="008B39D2">
      <w:pPr>
        <w:pStyle w:val="ListBullet"/>
      </w:pPr>
      <w:r>
        <w:t>COAG (b)</w:t>
      </w:r>
      <w:r w:rsidRPr="00FB736E">
        <w:t>, 2011, National Health Reform Agreement</w:t>
      </w:r>
      <w:r>
        <w:t>, Canberra</w:t>
      </w:r>
    </w:p>
    <w:p w:rsidR="008B39D2" w:rsidRPr="00FB736E" w:rsidRDefault="008B39D2" w:rsidP="008B39D2">
      <w:pPr>
        <w:pStyle w:val="ListBullet"/>
      </w:pPr>
      <w:r>
        <w:t>COAG (c)</w:t>
      </w:r>
      <w:r w:rsidRPr="00FB736E">
        <w:t>, 2009, National Partnership Agreement on Hospital and Health Workforce Reform</w:t>
      </w:r>
      <w:r>
        <w:t>, Canberra</w:t>
      </w:r>
    </w:p>
    <w:p w:rsidR="008B39D2" w:rsidRPr="00FB736E" w:rsidRDefault="008B39D2" w:rsidP="008B39D2">
      <w:pPr>
        <w:pStyle w:val="ListBullet"/>
      </w:pPr>
      <w:r>
        <w:t>COAG (d)</w:t>
      </w:r>
      <w:r w:rsidRPr="00FB736E">
        <w:t>, 2009, National Partnership Agreement on the Nation Building and Jobs Plan, 5 February 2009, Canberra.</w:t>
      </w:r>
    </w:p>
    <w:p w:rsidR="008B39D2" w:rsidRPr="00FB736E" w:rsidRDefault="008B39D2" w:rsidP="008B39D2">
      <w:pPr>
        <w:pStyle w:val="BodyText"/>
      </w:pPr>
      <w:r w:rsidRPr="00FB736E">
        <w:t xml:space="preserve">Department of Finance and Deregulation, 2010, </w:t>
      </w:r>
      <w:r w:rsidRPr="00FB736E">
        <w:rPr>
          <w:i/>
        </w:rPr>
        <w:t>Finance Circular No. 2010/02: Classification of Payments to the States and Territories and Commonwealth Own-Purpose Expenses, Financial</w:t>
      </w:r>
      <w:r w:rsidRPr="00EA11C6">
        <w:rPr>
          <w:i/>
        </w:rPr>
        <w:t xml:space="preserve"> Reporting Branch</w:t>
      </w:r>
      <w:r>
        <w:t>, Canberra</w:t>
      </w:r>
      <w:r w:rsidRPr="00FB736E">
        <w:t>.</w:t>
      </w:r>
    </w:p>
    <w:p w:rsidR="00894910" w:rsidRDefault="008B39D2" w:rsidP="008B39D2">
      <w:pPr>
        <w:pStyle w:val="BodyText"/>
        <w:sectPr w:rsidR="00894910" w:rsidSect="008B39D2">
          <w:headerReference w:type="even" r:id="rId137"/>
          <w:headerReference w:type="default" r:id="rId138"/>
          <w:footerReference w:type="even" r:id="rId139"/>
          <w:footerReference w:type="default" r:id="rId140"/>
          <w:headerReference w:type="first" r:id="rId141"/>
          <w:footerReference w:type="first" r:id="rId142"/>
          <w:pgSz w:w="11907" w:h="16839" w:code="9"/>
          <w:pgMar w:top="1361" w:right="1797" w:bottom="1474" w:left="1797" w:header="283" w:footer="454" w:gutter="0"/>
          <w:cols w:space="708"/>
          <w:docGrid w:linePitch="360"/>
        </w:sectPr>
      </w:pPr>
      <w:proofErr w:type="gramStart"/>
      <w:r w:rsidRPr="00FB736E">
        <w:t xml:space="preserve">The Treasury, 2009, </w:t>
      </w:r>
      <w:r w:rsidRPr="00FB736E">
        <w:rPr>
          <w:i/>
        </w:rPr>
        <w:t>Treasury Briefing Paper for the Senate Inquiry into the Economic Stimulus Package</w:t>
      </w:r>
      <w:r w:rsidRPr="00FB736E">
        <w:t>, Canberra.</w:t>
      </w:r>
      <w:proofErr w:type="gramEnd"/>
    </w:p>
    <w:p w:rsidR="00894910" w:rsidRDefault="00894910" w:rsidP="00894910">
      <w:pPr>
        <w:pStyle w:val="Heading8"/>
      </w:pPr>
      <w:r>
        <w:lastRenderedPageBreak/>
        <w:t xml:space="preserve"> </w:t>
      </w:r>
      <w:bookmarkStart w:id="293" w:name="_Toc418073802"/>
      <w:r>
        <w:t>– Data used in this report</w:t>
      </w:r>
      <w:bookmarkEnd w:id="293"/>
    </w:p>
    <w:p w:rsidR="00764725" w:rsidRPr="00316D7C" w:rsidRDefault="00764725" w:rsidP="00764725">
      <w:pPr>
        <w:pStyle w:val="Caption"/>
        <w:spacing w:before="240"/>
      </w:pPr>
      <w:bookmarkStart w:id="294" w:name="_Toc418077584"/>
      <w:r w:rsidRPr="00316D7C">
        <w:t xml:space="preserve">Table </w:t>
      </w:r>
      <w:r w:rsidR="003A23CE">
        <w:fldChar w:fldCharType="begin"/>
      </w:r>
      <w:r w:rsidR="003A23CE">
        <w:instrText xml:space="preserve"> STYLEREF  \s "Heading 8,Appendix Title" </w:instrText>
      </w:r>
      <w:r w:rsidR="003A23CE">
        <w:fldChar w:fldCharType="separate"/>
      </w:r>
      <w:r w:rsidR="008B68F4">
        <w:rPr>
          <w:noProof/>
        </w:rPr>
        <w:t>C</w:t>
      </w:r>
      <w:r w:rsidR="003A23CE">
        <w:rPr>
          <w:noProof/>
        </w:rPr>
        <w:fldChar w:fldCharType="end"/>
      </w:r>
      <w:r>
        <w:noBreakHyphen/>
      </w:r>
      <w:r w:rsidR="003A23CE">
        <w:fldChar w:fldCharType="begin"/>
      </w:r>
      <w:r w:rsidR="003A23CE">
        <w:instrText xml:space="preserve"> SEQ Table \* ARABIC \r 1 </w:instrText>
      </w:r>
      <w:r w:rsidR="003A23CE">
        <w:fldChar w:fldCharType="separate"/>
      </w:r>
      <w:r w:rsidR="008B68F4">
        <w:rPr>
          <w:noProof/>
        </w:rPr>
        <w:t>1</w:t>
      </w:r>
      <w:r w:rsidR="003A23CE">
        <w:rPr>
          <w:noProof/>
        </w:rPr>
        <w:fldChar w:fldCharType="end"/>
      </w:r>
      <w:r w:rsidRPr="00316D7C">
        <w:t>:</w:t>
      </w:r>
      <w:r w:rsidRPr="00764725">
        <w:t xml:space="preserve"> General government data by level of government (adjusted for inter</w:t>
      </w:r>
      <w:r w:rsidR="00B83B8A">
        <w:noBreakHyphen/>
      </w:r>
      <w:r w:rsidRPr="00764725">
        <w:t>governmental flows and stocks)</w:t>
      </w:r>
      <w:bookmarkEnd w:id="294"/>
    </w:p>
    <w:tbl>
      <w:tblPr>
        <w:tblW w:w="20258" w:type="dxa"/>
        <w:tblInd w:w="93" w:type="dxa"/>
        <w:tblLayout w:type="fixed"/>
        <w:tblLook w:val="04A0" w:firstRow="1" w:lastRow="0" w:firstColumn="1" w:lastColumn="0" w:noHBand="0" w:noVBand="1"/>
      </w:tblPr>
      <w:tblGrid>
        <w:gridCol w:w="2218"/>
        <w:gridCol w:w="1127"/>
        <w:gridCol w:w="1128"/>
        <w:gridCol w:w="1127"/>
        <w:gridCol w:w="1128"/>
        <w:gridCol w:w="1127"/>
        <w:gridCol w:w="1128"/>
        <w:gridCol w:w="1127"/>
        <w:gridCol w:w="1128"/>
        <w:gridCol w:w="1127"/>
        <w:gridCol w:w="1128"/>
        <w:gridCol w:w="1127"/>
        <w:gridCol w:w="1128"/>
        <w:gridCol w:w="1127"/>
        <w:gridCol w:w="1128"/>
        <w:gridCol w:w="1127"/>
        <w:gridCol w:w="1128"/>
      </w:tblGrid>
      <w:tr w:rsidR="00635C08" w:rsidRPr="003A6750" w:rsidTr="00090296">
        <w:trPr>
          <w:trHeight w:val="225"/>
        </w:trPr>
        <w:tc>
          <w:tcPr>
            <w:tcW w:w="221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 billion</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2002-03</w:t>
            </w:r>
          </w:p>
        </w:tc>
        <w:tc>
          <w:tcPr>
            <w:tcW w:w="112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2003-04</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2004-05</w:t>
            </w:r>
          </w:p>
        </w:tc>
        <w:tc>
          <w:tcPr>
            <w:tcW w:w="112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2005-06</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2006-07</w:t>
            </w:r>
          </w:p>
        </w:tc>
        <w:tc>
          <w:tcPr>
            <w:tcW w:w="112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2007-08</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2008-09</w:t>
            </w:r>
          </w:p>
        </w:tc>
        <w:tc>
          <w:tcPr>
            <w:tcW w:w="112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2009-10</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2010-11</w:t>
            </w:r>
          </w:p>
        </w:tc>
        <w:tc>
          <w:tcPr>
            <w:tcW w:w="1128"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2011-12</w:t>
            </w:r>
          </w:p>
        </w:tc>
        <w:tc>
          <w:tcPr>
            <w:tcW w:w="1127" w:type="dxa"/>
            <w:tcBorders>
              <w:top w:val="nil"/>
              <w:left w:val="nil"/>
              <w:bottom w:val="nil"/>
              <w:right w:val="nil"/>
            </w:tcBorders>
            <w:shd w:val="clear" w:color="000000" w:fill="2B3B5F"/>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2012-13</w:t>
            </w:r>
          </w:p>
        </w:tc>
        <w:tc>
          <w:tcPr>
            <w:tcW w:w="1128" w:type="dxa"/>
            <w:tcBorders>
              <w:top w:val="nil"/>
              <w:left w:val="nil"/>
              <w:bottom w:val="nil"/>
              <w:right w:val="nil"/>
            </w:tcBorders>
            <w:shd w:val="clear" w:color="000000" w:fill="667EB9"/>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2013-14</w:t>
            </w:r>
          </w:p>
        </w:tc>
        <w:tc>
          <w:tcPr>
            <w:tcW w:w="1127" w:type="dxa"/>
            <w:tcBorders>
              <w:top w:val="nil"/>
              <w:left w:val="nil"/>
              <w:bottom w:val="nil"/>
              <w:right w:val="nil"/>
            </w:tcBorders>
            <w:shd w:val="clear" w:color="000000" w:fill="667EB9"/>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2014-15</w:t>
            </w:r>
          </w:p>
        </w:tc>
        <w:tc>
          <w:tcPr>
            <w:tcW w:w="1128" w:type="dxa"/>
            <w:tcBorders>
              <w:top w:val="nil"/>
              <w:left w:val="nil"/>
              <w:bottom w:val="nil"/>
              <w:right w:val="nil"/>
            </w:tcBorders>
            <w:shd w:val="clear" w:color="000000" w:fill="667EB9"/>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2015-16</w:t>
            </w:r>
          </w:p>
        </w:tc>
        <w:tc>
          <w:tcPr>
            <w:tcW w:w="1127" w:type="dxa"/>
            <w:tcBorders>
              <w:top w:val="nil"/>
              <w:left w:val="nil"/>
              <w:bottom w:val="nil"/>
              <w:right w:val="nil"/>
            </w:tcBorders>
            <w:shd w:val="clear" w:color="000000" w:fill="667EB9"/>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2016-17</w:t>
            </w:r>
          </w:p>
        </w:tc>
        <w:tc>
          <w:tcPr>
            <w:tcW w:w="1128" w:type="dxa"/>
            <w:tcBorders>
              <w:top w:val="nil"/>
              <w:left w:val="nil"/>
              <w:bottom w:val="nil"/>
              <w:right w:val="nil"/>
            </w:tcBorders>
            <w:shd w:val="clear" w:color="000000" w:fill="667EB9"/>
            <w:noWrap/>
            <w:vAlign w:val="bottom"/>
            <w:hideMark/>
          </w:tcPr>
          <w:p w:rsidR="003A6750" w:rsidRPr="003A6750" w:rsidRDefault="003A6750" w:rsidP="00AD0A4C">
            <w:pPr>
              <w:spacing w:line="240" w:lineRule="auto"/>
              <w:jc w:val="right"/>
              <w:rPr>
                <w:rFonts w:ascii="Arial" w:eastAsia="Times New Roman" w:hAnsi="Arial" w:cs="Arial"/>
                <w:b/>
                <w:bCs/>
                <w:color w:val="FFFFFF"/>
                <w:sz w:val="16"/>
                <w:szCs w:val="16"/>
                <w:lang w:eastAsia="en-AU"/>
              </w:rPr>
            </w:pPr>
            <w:r w:rsidRPr="003A6750">
              <w:rPr>
                <w:rFonts w:ascii="Arial" w:eastAsia="Times New Roman" w:hAnsi="Arial" w:cs="Arial"/>
                <w:b/>
                <w:bCs/>
                <w:color w:val="FFFFFF"/>
                <w:sz w:val="16"/>
                <w:szCs w:val="16"/>
                <w:lang w:eastAsia="en-AU"/>
              </w:rPr>
              <w:t>2017-18</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Revenue</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280.1</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304.0</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328.8</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355.8</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382.8</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409.8</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410.7</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409.8</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437.4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473.3</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504.3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530.9</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545.3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575.6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610.7</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650.7</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206.1</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221.4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241.3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260.1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277.3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302.8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297.7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291.5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308.8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338.0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360.8</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374.0</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385.9</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411.7</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441.0</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473.2</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58.4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66.0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69.5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75.8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83.5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84.0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88.4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92.4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101.6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106.8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112.5</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125.6</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127.1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130.0</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13</w:t>
            </w:r>
            <w:r w:rsidR="001251D4">
              <w:rPr>
                <w:rFonts w:ascii="Arial" w:eastAsia="Times New Roman" w:hAnsi="Arial" w:cs="Arial"/>
                <w:color w:val="000000"/>
                <w:sz w:val="16"/>
                <w:szCs w:val="16"/>
                <w:lang w:eastAsia="en-AU"/>
              </w:rPr>
              <w:t>3</w:t>
            </w:r>
            <w:r w:rsidRPr="003A6750">
              <w:rPr>
                <w:rFonts w:ascii="Arial" w:eastAsia="Times New Roman" w:hAnsi="Arial" w:cs="Arial"/>
                <w:color w:val="000000"/>
                <w:sz w:val="16"/>
                <w:szCs w:val="16"/>
                <w:lang w:eastAsia="en-AU"/>
              </w:rPr>
              <w:t>.</w:t>
            </w:r>
            <w:r w:rsidR="001251D4">
              <w:rPr>
                <w:rFonts w:ascii="Arial" w:eastAsia="Times New Roman" w:hAnsi="Arial" w:cs="Arial"/>
                <w:color w:val="000000"/>
                <w:sz w:val="16"/>
                <w:szCs w:val="16"/>
                <w:lang w:eastAsia="en-AU"/>
              </w:rPr>
              <w:t>4</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140.0</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16.6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22.0</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23.1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25.9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27.0</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28.5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31.0</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31.3</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32.3</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33.9</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35.6</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37.4</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Expenses</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268.5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289.1</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308.2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327.1</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352.4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379.6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431.3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451.9</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475.9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510.7</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525.2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563.5</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578.9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590.6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611.9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637.7</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199.3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213.7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228.1</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240.8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257.0</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278.0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322.3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337.9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355.5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377.4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382.0</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413.8</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422.9</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436.5</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456.1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475.3</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53.5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58.9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62.7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67.6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75.6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80.4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86.2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90.0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94.7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108.0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116.3</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122.4</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128.2</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125.3</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126.0</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131.5</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16.6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23.9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25.7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25.3</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26.9</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27.3</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28.8</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30.9</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Net operating balance</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11.5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14.9</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20.5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28.7</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30.3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30.2</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-20.6</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-42.1</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-38.5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-37.4</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-20.9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-32.6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-33.6</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-15.0</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12.9</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13.2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19.3</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20.3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-21.2</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-39.9</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-37.0</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-24.8</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4.7</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8.6</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4.2</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6.5</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Net capital investment</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5.1</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6.8</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10.1</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12.9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15.6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20.9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30.3</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27.9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24.9</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15.6</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19.6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19.7</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18.4</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23.0</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19.8</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-0.7</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8.3</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11.0</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9.5</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8.8</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12.7</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8.8</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5.1</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5.3</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6.3</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6.7</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7.6</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8.0</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Fiscal balance</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7.4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9.8</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13.7</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18.6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17.4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14.6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-41.5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-72.4</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-66.4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-62.2</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-36.5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-52.2</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-53.3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-33.3</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-24.2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-6.9</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16.5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-29.5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-53.3</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-52.6</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-44.6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-20.5</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-43.7</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-5.0</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4.0</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-15.3</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-14.9</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-11.3</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-0.3</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-1.7</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-2.2</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-2.0</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w:t>
            </w:r>
          </w:p>
        </w:tc>
      </w:tr>
      <w:tr w:rsidR="00635C08" w:rsidRPr="003A6750" w:rsidTr="00090296">
        <w:trPr>
          <w:trHeight w:val="225"/>
        </w:trPr>
        <w:tc>
          <w:tcPr>
            <w:tcW w:w="221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Net debt</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17.0</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2.2</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-16.4</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-48.7</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-73.5</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-80.7</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-39.9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36.7</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84.9</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164.8</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188.0</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238.6</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288.2</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321.9</w:t>
            </w:r>
          </w:p>
        </w:tc>
        <w:tc>
          <w:tcPr>
            <w:tcW w:w="1127"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351.3</w:t>
            </w:r>
          </w:p>
        </w:tc>
        <w:tc>
          <w:tcPr>
            <w:tcW w:w="1128" w:type="dxa"/>
            <w:tcBorders>
              <w:top w:val="nil"/>
              <w:left w:val="nil"/>
              <w:bottom w:val="nil"/>
              <w:right w:val="nil"/>
            </w:tcBorders>
            <w:shd w:val="clear" w:color="000000" w:fill="CCD5E8"/>
            <w:noWrap/>
            <w:vAlign w:val="bottom"/>
            <w:hideMark/>
          </w:tcPr>
          <w:p w:rsidR="003A6750" w:rsidRPr="003A6750" w:rsidRDefault="003A6750" w:rsidP="003A6750">
            <w:pPr>
              <w:spacing w:line="240" w:lineRule="auto"/>
              <w:jc w:val="right"/>
              <w:rPr>
                <w:rFonts w:ascii="Arial" w:eastAsia="Times New Roman" w:hAnsi="Arial" w:cs="Arial"/>
                <w:b/>
                <w:bCs/>
                <w:color w:val="000000"/>
                <w:sz w:val="16"/>
                <w:szCs w:val="16"/>
                <w:lang w:eastAsia="en-AU"/>
              </w:rPr>
            </w:pPr>
            <w:r w:rsidRPr="003A6750">
              <w:rPr>
                <w:rFonts w:ascii="Arial" w:eastAsia="Times New Roman" w:hAnsi="Arial" w:cs="Arial"/>
                <w:b/>
                <w:bCs/>
                <w:color w:val="000000"/>
                <w:sz w:val="16"/>
                <w:szCs w:val="16"/>
                <w:lang w:eastAsia="en-AU"/>
              </w:rPr>
              <w:t>362.2</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Commonwealth</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27.3</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19.5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-12.9</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-41.5</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-54.2</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42.0</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84.1</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148.6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154.0</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202.5</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244.8</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279.6</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304.4</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315.8</w:t>
            </w:r>
          </w:p>
        </w:tc>
      </w:tr>
      <w:tr w:rsidR="003A6750" w:rsidRPr="003A6750" w:rsidTr="00C14DA6">
        <w:trPr>
          <w:trHeight w:val="225"/>
        </w:trPr>
        <w:tc>
          <w:tcPr>
            <w:tcW w:w="221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State</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-14.1</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-21.4</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-31.4</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-27.2</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-21.5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-11.7</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0.5</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10.9</w:t>
            </w:r>
          </w:p>
        </w:tc>
        <w:tc>
          <w:tcPr>
            <w:tcW w:w="1128"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26.6</w:t>
            </w:r>
          </w:p>
        </w:tc>
        <w:tc>
          <w:tcPr>
            <w:tcW w:w="1127" w:type="dxa"/>
            <w:tcBorders>
              <w:top w:val="nil"/>
              <w:left w:val="nil"/>
              <w:bottom w:val="nil"/>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41.6</w:t>
            </w:r>
          </w:p>
        </w:tc>
        <w:tc>
          <w:tcPr>
            <w:tcW w:w="1128" w:type="dxa"/>
            <w:tcBorders>
              <w:top w:val="nil"/>
              <w:left w:val="nil"/>
              <w:bottom w:val="nil"/>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46.2</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54.2</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53.9</w:t>
            </w:r>
          </w:p>
        </w:tc>
        <w:tc>
          <w:tcPr>
            <w:tcW w:w="1127"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59.1</w:t>
            </w:r>
          </w:p>
        </w:tc>
        <w:tc>
          <w:tcPr>
            <w:tcW w:w="1128" w:type="dxa"/>
            <w:tcBorders>
              <w:top w:val="nil"/>
              <w:left w:val="nil"/>
              <w:bottom w:val="nil"/>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59.4</w:t>
            </w:r>
          </w:p>
        </w:tc>
      </w:tr>
      <w:tr w:rsidR="00635C08" w:rsidRPr="003A6750" w:rsidTr="00C14DA6">
        <w:trPr>
          <w:trHeight w:val="225"/>
        </w:trPr>
        <w:tc>
          <w:tcPr>
            <w:tcW w:w="221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ind w:firstLineChars="100" w:firstLine="160"/>
              <w:rPr>
                <w:rFonts w:ascii="Arial" w:eastAsia="Times New Roman" w:hAnsi="Arial" w:cs="Arial"/>
                <w:i/>
                <w:iCs/>
                <w:color w:val="000000"/>
                <w:sz w:val="16"/>
                <w:szCs w:val="16"/>
                <w:lang w:eastAsia="en-AU"/>
              </w:rPr>
            </w:pPr>
            <w:r w:rsidRPr="003A6750">
              <w:rPr>
                <w:rFonts w:ascii="Arial" w:eastAsia="Times New Roman" w:hAnsi="Arial" w:cs="Arial"/>
                <w:i/>
                <w:iCs/>
                <w:color w:val="000000"/>
                <w:sz w:val="16"/>
                <w:szCs w:val="16"/>
                <w:lang w:eastAsia="en-AU"/>
              </w:rPr>
              <w:t>Local</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-2.6</w:t>
            </w:r>
          </w:p>
        </w:tc>
        <w:tc>
          <w:tcPr>
            <w:tcW w:w="112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-3.2</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-3.6</w:t>
            </w:r>
          </w:p>
        </w:tc>
        <w:tc>
          <w:tcPr>
            <w:tcW w:w="112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-4.4</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-4.8</w:t>
            </w:r>
          </w:p>
        </w:tc>
        <w:tc>
          <w:tcPr>
            <w:tcW w:w="112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-5.0</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-6.5</w:t>
            </w:r>
          </w:p>
        </w:tc>
        <w:tc>
          <w:tcPr>
            <w:tcW w:w="112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-5.7</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-10.0</w:t>
            </w:r>
          </w:p>
        </w:tc>
        <w:tc>
          <w:tcPr>
            <w:tcW w:w="1128"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-10.4</w:t>
            </w:r>
          </w:p>
        </w:tc>
        <w:tc>
          <w:tcPr>
            <w:tcW w:w="1127" w:type="dxa"/>
            <w:tcBorders>
              <w:top w:val="nil"/>
              <w:left w:val="nil"/>
              <w:bottom w:val="single" w:sz="4" w:space="0" w:color="auto"/>
              <w:right w:val="nil"/>
            </w:tcBorders>
            <w:shd w:val="clear" w:color="auto" w:fill="auto"/>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-7.7</w:t>
            </w:r>
          </w:p>
        </w:tc>
        <w:tc>
          <w:tcPr>
            <w:tcW w:w="1128" w:type="dxa"/>
            <w:tcBorders>
              <w:top w:val="nil"/>
              <w:left w:val="nil"/>
              <w:bottom w:val="single" w:sz="4" w:space="0" w:color="auto"/>
              <w:right w:val="nil"/>
            </w:tcBorders>
            <w:shd w:val="clear" w:color="auto" w:fill="E9ECF3" w:themeFill="accent2" w:themeFillTint="3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-10.1</w:t>
            </w:r>
          </w:p>
        </w:tc>
        <w:tc>
          <w:tcPr>
            <w:tcW w:w="1127" w:type="dxa"/>
            <w:tcBorders>
              <w:top w:val="nil"/>
              <w:left w:val="nil"/>
              <w:bottom w:val="single" w:sz="4" w:space="0" w:color="auto"/>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-10.8</w:t>
            </w:r>
          </w:p>
        </w:tc>
        <w:tc>
          <w:tcPr>
            <w:tcW w:w="1128" w:type="dxa"/>
            <w:tcBorders>
              <w:top w:val="nil"/>
              <w:left w:val="nil"/>
              <w:bottom w:val="single" w:sz="4" w:space="0" w:color="auto"/>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-11.5</w:t>
            </w:r>
          </w:p>
        </w:tc>
        <w:tc>
          <w:tcPr>
            <w:tcW w:w="1127" w:type="dxa"/>
            <w:tcBorders>
              <w:top w:val="nil"/>
              <w:left w:val="nil"/>
              <w:bottom w:val="single" w:sz="4" w:space="0" w:color="auto"/>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-12.2</w:t>
            </w:r>
          </w:p>
        </w:tc>
        <w:tc>
          <w:tcPr>
            <w:tcW w:w="1128" w:type="dxa"/>
            <w:tcBorders>
              <w:top w:val="nil"/>
              <w:left w:val="nil"/>
              <w:bottom w:val="single" w:sz="4" w:space="0" w:color="auto"/>
              <w:right w:val="nil"/>
            </w:tcBorders>
            <w:shd w:val="clear" w:color="000000" w:fill="E9ECF3"/>
            <w:noWrap/>
            <w:vAlign w:val="bottom"/>
            <w:hideMark/>
          </w:tcPr>
          <w:p w:rsidR="003A6750" w:rsidRPr="003A6750" w:rsidRDefault="003A6750" w:rsidP="003A6750">
            <w:pPr>
              <w:spacing w:line="240" w:lineRule="auto"/>
              <w:jc w:val="right"/>
              <w:rPr>
                <w:rFonts w:ascii="Arial" w:eastAsia="Times New Roman" w:hAnsi="Arial" w:cs="Arial"/>
                <w:color w:val="000000"/>
                <w:sz w:val="16"/>
                <w:szCs w:val="16"/>
                <w:lang w:eastAsia="en-AU"/>
              </w:rPr>
            </w:pPr>
            <w:r w:rsidRPr="003A6750">
              <w:rPr>
                <w:rFonts w:ascii="Arial" w:eastAsia="Times New Roman" w:hAnsi="Arial" w:cs="Arial"/>
                <w:color w:val="000000"/>
                <w:sz w:val="16"/>
                <w:szCs w:val="16"/>
                <w:lang w:eastAsia="en-AU"/>
              </w:rPr>
              <w:t>-12.9</w:t>
            </w:r>
          </w:p>
        </w:tc>
      </w:tr>
    </w:tbl>
    <w:tbl>
      <w:tblPr>
        <w:tblStyle w:val="TableGrid"/>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tblGrid>
      <w:tr w:rsidR="0065489F" w:rsidTr="006548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3" w:type="dxa"/>
            <w:shd w:val="clear" w:color="auto" w:fill="auto"/>
          </w:tcPr>
          <w:p w:rsidR="0065489F" w:rsidRDefault="0065489F" w:rsidP="0065489F">
            <w:pPr>
              <w:pStyle w:val="BodyText"/>
              <w:spacing w:before="0"/>
            </w:pPr>
            <w:r>
              <w:rPr>
                <w:rFonts w:eastAsiaTheme="minorHAnsi"/>
                <w:color w:val="788184" w:themeColor="background2"/>
                <w:spacing w:val="0"/>
                <w:szCs w:val="14"/>
                <w:lang w:eastAsia="en-US"/>
              </w:rPr>
              <w:t xml:space="preserve">Source: </w:t>
            </w:r>
            <w:r w:rsidRPr="0065489F">
              <w:rPr>
                <w:rFonts w:eastAsiaTheme="minorHAnsi"/>
                <w:color w:val="788184" w:themeColor="background2"/>
                <w:spacing w:val="0"/>
                <w:szCs w:val="14"/>
                <w:lang w:eastAsia="en-US"/>
              </w:rPr>
              <w:t>ABS Cat. No. 5512.0, and Commonwealth and state budget papers.</w:t>
            </w:r>
          </w:p>
        </w:tc>
      </w:tr>
    </w:tbl>
    <w:p w:rsidR="005D4719" w:rsidRDefault="00894910" w:rsidP="005D4719">
      <w:pPr>
        <w:pStyle w:val="BodyText"/>
        <w:numPr>
          <w:ilvl w:val="0"/>
          <w:numId w:val="46"/>
        </w:numPr>
        <w:spacing w:before="0" w:after="0"/>
        <w:rPr>
          <w:sz w:val="18"/>
        </w:rPr>
      </w:pPr>
      <w:r>
        <w:rPr>
          <w:sz w:val="18"/>
        </w:rPr>
        <w:t xml:space="preserve">Historical figures from 2002-03 to 2012-13 are </w:t>
      </w:r>
      <w:r w:rsidR="005D4719">
        <w:rPr>
          <w:sz w:val="18"/>
        </w:rPr>
        <w:t>based on</w:t>
      </w:r>
      <w:r>
        <w:rPr>
          <w:sz w:val="18"/>
        </w:rPr>
        <w:t xml:space="preserve"> data published</w:t>
      </w:r>
      <w:r w:rsidR="005D4719">
        <w:rPr>
          <w:sz w:val="18"/>
        </w:rPr>
        <w:t xml:space="preserve"> by the ABS and derived from </w:t>
      </w:r>
      <w:r w:rsidR="005D4719" w:rsidRPr="005D4719">
        <w:rPr>
          <w:sz w:val="18"/>
        </w:rPr>
        <w:t>u</w:t>
      </w:r>
      <w:r w:rsidR="005D4719">
        <w:rPr>
          <w:sz w:val="18"/>
        </w:rPr>
        <w:t>npublished ABS data so that inter</w:t>
      </w:r>
      <w:r w:rsidR="00CE3B92">
        <w:rPr>
          <w:sz w:val="18"/>
        </w:rPr>
        <w:t>-</w:t>
      </w:r>
      <w:r w:rsidR="005D4719">
        <w:rPr>
          <w:sz w:val="18"/>
        </w:rPr>
        <w:t xml:space="preserve">sector flows and stocks </w:t>
      </w:r>
      <w:r w:rsidR="00350AB8">
        <w:rPr>
          <w:sz w:val="18"/>
        </w:rPr>
        <w:t>have been removed.</w:t>
      </w:r>
    </w:p>
    <w:p w:rsidR="00894910" w:rsidRDefault="00894910" w:rsidP="005D4719">
      <w:pPr>
        <w:pStyle w:val="BodyText"/>
        <w:numPr>
          <w:ilvl w:val="0"/>
          <w:numId w:val="46"/>
        </w:numPr>
        <w:spacing w:before="0" w:after="0"/>
        <w:rPr>
          <w:sz w:val="18"/>
        </w:rPr>
      </w:pPr>
      <w:r>
        <w:rPr>
          <w:sz w:val="18"/>
        </w:rPr>
        <w:t>Commonwealth and state figures for 2013-14 are</w:t>
      </w:r>
      <w:r w:rsidRPr="00A06017">
        <w:rPr>
          <w:sz w:val="18"/>
        </w:rPr>
        <w:t xml:space="preserve"> </w:t>
      </w:r>
      <w:r w:rsidR="00F327A8">
        <w:rPr>
          <w:sz w:val="18"/>
        </w:rPr>
        <w:t xml:space="preserve">based on </w:t>
      </w:r>
      <w:r w:rsidRPr="00A06017">
        <w:rPr>
          <w:sz w:val="18"/>
        </w:rPr>
        <w:t xml:space="preserve">actuals </w:t>
      </w:r>
      <w:r>
        <w:rPr>
          <w:sz w:val="18"/>
        </w:rPr>
        <w:t>in final budget outcomes.</w:t>
      </w:r>
      <w:r w:rsidR="00350AB8">
        <w:rPr>
          <w:sz w:val="18"/>
        </w:rPr>
        <w:t xml:space="preserve"> </w:t>
      </w:r>
      <w:r>
        <w:rPr>
          <w:sz w:val="18"/>
        </w:rPr>
        <w:t xml:space="preserve"> Commonwealth and state e</w:t>
      </w:r>
      <w:r w:rsidRPr="00A06017">
        <w:rPr>
          <w:sz w:val="18"/>
        </w:rPr>
        <w:t xml:space="preserve">stimates period data from </w:t>
      </w:r>
      <w:r>
        <w:rPr>
          <w:sz w:val="18"/>
        </w:rPr>
        <w:t>2014-15 to 2017-18 are</w:t>
      </w:r>
      <w:r w:rsidRPr="00A06017">
        <w:rPr>
          <w:sz w:val="18"/>
        </w:rPr>
        <w:t xml:space="preserve"> </w:t>
      </w:r>
      <w:r w:rsidR="00F327A8">
        <w:rPr>
          <w:sz w:val="18"/>
        </w:rPr>
        <w:t>based on</w:t>
      </w:r>
      <w:r w:rsidRPr="00A06017">
        <w:rPr>
          <w:sz w:val="18"/>
        </w:rPr>
        <w:t xml:space="preserve"> the latest </w:t>
      </w:r>
      <w:r>
        <w:rPr>
          <w:sz w:val="18"/>
        </w:rPr>
        <w:t>available</w:t>
      </w:r>
      <w:r w:rsidRPr="00A06017">
        <w:rPr>
          <w:sz w:val="18"/>
        </w:rPr>
        <w:t xml:space="preserve"> budget updates.</w:t>
      </w:r>
      <w:r w:rsidR="007D7746">
        <w:rPr>
          <w:sz w:val="18"/>
        </w:rPr>
        <w:t xml:space="preserve"> Data from 2013-14 onwards has been adjusted so that inter</w:t>
      </w:r>
      <w:r w:rsidR="007D7746">
        <w:rPr>
          <w:sz w:val="18"/>
        </w:rPr>
        <w:noBreakHyphen/>
        <w:t xml:space="preserve">sector flows and stocks </w:t>
      </w:r>
      <w:r w:rsidR="00350AB8">
        <w:rPr>
          <w:sz w:val="18"/>
        </w:rPr>
        <w:t>have been removed.</w:t>
      </w:r>
    </w:p>
    <w:p w:rsidR="00894910" w:rsidRPr="00A06017" w:rsidRDefault="00894910" w:rsidP="00894910">
      <w:pPr>
        <w:pStyle w:val="BodyText"/>
        <w:numPr>
          <w:ilvl w:val="0"/>
          <w:numId w:val="46"/>
        </w:numPr>
        <w:spacing w:before="0" w:after="0"/>
        <w:ind w:left="357" w:hanging="357"/>
        <w:rPr>
          <w:sz w:val="18"/>
        </w:rPr>
      </w:pPr>
      <w:r>
        <w:rPr>
          <w:sz w:val="18"/>
        </w:rPr>
        <w:t>Local government figures from 2002-03 to 2012-13 are sourced from data published by the ABS.  From 2013-14 to 2017-18 local government revenue and expenses have been grown at trend as a percentage of GDP and net capital investment by the nominal trend over the decade.</w:t>
      </w:r>
    </w:p>
    <w:p w:rsidR="00894910" w:rsidRDefault="00894910" w:rsidP="00894910">
      <w:pPr>
        <w:pStyle w:val="BodyText"/>
        <w:spacing w:before="0" w:after="0" w:line="0" w:lineRule="atLeast"/>
        <w:rPr>
          <w:sz w:val="18"/>
        </w:rPr>
      </w:pPr>
      <w:r>
        <w:rPr>
          <w:sz w:val="18"/>
        </w:rPr>
        <w:br w:type="page"/>
      </w:r>
    </w:p>
    <w:p w:rsidR="00764725" w:rsidRPr="00316D7C" w:rsidRDefault="00764725" w:rsidP="00764725">
      <w:pPr>
        <w:pStyle w:val="Caption"/>
        <w:spacing w:before="240"/>
      </w:pPr>
      <w:bookmarkStart w:id="295" w:name="_Toc418077585"/>
      <w:r w:rsidRPr="00316D7C">
        <w:lastRenderedPageBreak/>
        <w:t xml:space="preserve">Table </w:t>
      </w:r>
      <w:r w:rsidR="003A23CE">
        <w:fldChar w:fldCharType="begin"/>
      </w:r>
      <w:r w:rsidR="003A23CE">
        <w:instrText xml:space="preserve"> STYLEREF  \s "Heading 8,Appendix Title" </w:instrText>
      </w:r>
      <w:r w:rsidR="003A23CE">
        <w:fldChar w:fldCharType="separate"/>
      </w:r>
      <w:r w:rsidR="008B68F4">
        <w:rPr>
          <w:noProof/>
        </w:rPr>
        <w:t>C</w:t>
      </w:r>
      <w:r w:rsidR="003A23CE">
        <w:rPr>
          <w:noProof/>
        </w:rPr>
        <w:fldChar w:fldCharType="end"/>
      </w:r>
      <w:r>
        <w:noBreakHyphen/>
      </w:r>
      <w:r w:rsidR="003A23CE">
        <w:fldChar w:fldCharType="begin"/>
      </w:r>
      <w:r w:rsidR="003A23CE">
        <w:instrText xml:space="preserve"> SEQ Table \* ARABIC \n </w:instrText>
      </w:r>
      <w:r w:rsidR="003A23CE">
        <w:fldChar w:fldCharType="separate"/>
      </w:r>
      <w:r w:rsidR="008B68F4">
        <w:rPr>
          <w:noProof/>
        </w:rPr>
        <w:t>2</w:t>
      </w:r>
      <w:r w:rsidR="003A23CE">
        <w:rPr>
          <w:noProof/>
        </w:rPr>
        <w:fldChar w:fldCharType="end"/>
      </w:r>
      <w:r w:rsidRPr="00316D7C">
        <w:t>:</w:t>
      </w:r>
      <w:r w:rsidRPr="00764725">
        <w:t xml:space="preserve"> General government data by level of government (as published)</w:t>
      </w:r>
      <w:bookmarkEnd w:id="295"/>
    </w:p>
    <w:tbl>
      <w:tblPr>
        <w:tblW w:w="20144" w:type="dxa"/>
        <w:tblInd w:w="93" w:type="dxa"/>
        <w:tblLayout w:type="fixed"/>
        <w:tblLook w:val="04A0" w:firstRow="1" w:lastRow="0" w:firstColumn="1" w:lastColumn="0" w:noHBand="0" w:noVBand="1"/>
      </w:tblPr>
      <w:tblGrid>
        <w:gridCol w:w="2300"/>
        <w:gridCol w:w="1115"/>
        <w:gridCol w:w="1115"/>
        <w:gridCol w:w="1115"/>
        <w:gridCol w:w="1116"/>
        <w:gridCol w:w="1115"/>
        <w:gridCol w:w="1115"/>
        <w:gridCol w:w="1115"/>
        <w:gridCol w:w="1116"/>
        <w:gridCol w:w="1115"/>
        <w:gridCol w:w="1115"/>
        <w:gridCol w:w="1115"/>
        <w:gridCol w:w="1116"/>
        <w:gridCol w:w="1115"/>
        <w:gridCol w:w="1115"/>
        <w:gridCol w:w="1115"/>
        <w:gridCol w:w="1116"/>
      </w:tblGrid>
      <w:tr w:rsidR="00635C08" w:rsidRPr="007C5926" w:rsidTr="00ED42A0">
        <w:trPr>
          <w:trHeight w:val="198"/>
        </w:trPr>
        <w:tc>
          <w:tcPr>
            <w:tcW w:w="2300" w:type="dxa"/>
            <w:tcBorders>
              <w:top w:val="nil"/>
              <w:left w:val="nil"/>
              <w:bottom w:val="nil"/>
              <w:right w:val="nil"/>
            </w:tcBorders>
            <w:shd w:val="clear" w:color="000000" w:fill="2B3B5F"/>
            <w:noWrap/>
            <w:vAlign w:val="bottom"/>
            <w:hideMark/>
          </w:tcPr>
          <w:p w:rsidR="00090296" w:rsidRPr="00620877" w:rsidRDefault="00090296" w:rsidP="00090296">
            <w:pPr>
              <w:spacing w:line="240" w:lineRule="auto"/>
              <w:rPr>
                <w:rFonts w:ascii="Arial" w:eastAsia="Times New Roman" w:hAnsi="Arial" w:cs="Arial"/>
                <w:b/>
                <w:bCs/>
                <w:color w:val="FFFFFF"/>
                <w:sz w:val="16"/>
                <w:szCs w:val="16"/>
                <w:lang w:eastAsia="en-AU"/>
              </w:rPr>
            </w:pPr>
            <w:r w:rsidRPr="00620877">
              <w:rPr>
                <w:rFonts w:ascii="Arial" w:eastAsia="Times New Roman" w:hAnsi="Arial" w:cs="Arial"/>
                <w:b/>
                <w:bCs/>
                <w:color w:val="FFFFFF"/>
                <w:sz w:val="16"/>
                <w:szCs w:val="16"/>
                <w:lang w:eastAsia="en-AU"/>
              </w:rPr>
              <w:t>$billion</w:t>
            </w:r>
          </w:p>
        </w:tc>
        <w:tc>
          <w:tcPr>
            <w:tcW w:w="1115" w:type="dxa"/>
            <w:tcBorders>
              <w:top w:val="nil"/>
              <w:left w:val="nil"/>
              <w:bottom w:val="nil"/>
              <w:right w:val="nil"/>
            </w:tcBorders>
            <w:shd w:val="clear" w:color="000000" w:fill="2B3B5F"/>
            <w:noWrap/>
            <w:vAlign w:val="bottom"/>
            <w:hideMark/>
          </w:tcPr>
          <w:p w:rsidR="00090296" w:rsidRPr="00CA0287" w:rsidRDefault="00090296" w:rsidP="00AD0A4C">
            <w:pPr>
              <w:spacing w:line="240" w:lineRule="auto"/>
              <w:jc w:val="right"/>
              <w:rPr>
                <w:rFonts w:ascii="Arial" w:eastAsia="Times New Roman" w:hAnsi="Arial" w:cs="Arial"/>
                <w:b/>
                <w:bCs/>
                <w:color w:val="FFFFFF"/>
                <w:sz w:val="16"/>
                <w:szCs w:val="16"/>
                <w:lang w:eastAsia="en-AU"/>
              </w:rPr>
            </w:pPr>
            <w:r w:rsidRPr="000311CB">
              <w:rPr>
                <w:rFonts w:ascii="Arial" w:eastAsia="Times New Roman" w:hAnsi="Arial" w:cs="Arial"/>
                <w:b/>
                <w:bCs/>
                <w:color w:val="FFFFFF"/>
                <w:sz w:val="16"/>
                <w:szCs w:val="16"/>
                <w:lang w:eastAsia="en-AU"/>
              </w:rPr>
              <w:t>2002-03</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2003-04</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2004-05</w:t>
            </w:r>
          </w:p>
        </w:tc>
        <w:tc>
          <w:tcPr>
            <w:tcW w:w="1116"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2005-06</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2006-07</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2007-08</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2008-09</w:t>
            </w:r>
          </w:p>
        </w:tc>
        <w:tc>
          <w:tcPr>
            <w:tcW w:w="1116"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2009-10</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2010-11</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2011-12</w:t>
            </w:r>
          </w:p>
        </w:tc>
        <w:tc>
          <w:tcPr>
            <w:tcW w:w="1115" w:type="dxa"/>
            <w:tcBorders>
              <w:top w:val="nil"/>
              <w:left w:val="nil"/>
              <w:bottom w:val="nil"/>
              <w:right w:val="nil"/>
            </w:tcBorders>
            <w:shd w:val="clear" w:color="000000" w:fill="2B3B5F"/>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2012-13</w:t>
            </w:r>
          </w:p>
        </w:tc>
        <w:tc>
          <w:tcPr>
            <w:tcW w:w="1116" w:type="dxa"/>
            <w:tcBorders>
              <w:top w:val="nil"/>
              <w:left w:val="nil"/>
              <w:bottom w:val="nil"/>
              <w:right w:val="nil"/>
            </w:tcBorders>
            <w:shd w:val="clear" w:color="000000" w:fill="667EB9"/>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2013-14</w:t>
            </w:r>
          </w:p>
        </w:tc>
        <w:tc>
          <w:tcPr>
            <w:tcW w:w="1115" w:type="dxa"/>
            <w:tcBorders>
              <w:top w:val="nil"/>
              <w:left w:val="nil"/>
              <w:bottom w:val="nil"/>
              <w:right w:val="nil"/>
            </w:tcBorders>
            <w:shd w:val="clear" w:color="000000" w:fill="667EB9"/>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2014-15</w:t>
            </w:r>
          </w:p>
        </w:tc>
        <w:tc>
          <w:tcPr>
            <w:tcW w:w="1115" w:type="dxa"/>
            <w:tcBorders>
              <w:top w:val="nil"/>
              <w:left w:val="nil"/>
              <w:bottom w:val="nil"/>
              <w:right w:val="nil"/>
            </w:tcBorders>
            <w:shd w:val="clear" w:color="000000" w:fill="667EB9"/>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2015-16</w:t>
            </w:r>
          </w:p>
        </w:tc>
        <w:tc>
          <w:tcPr>
            <w:tcW w:w="1115" w:type="dxa"/>
            <w:tcBorders>
              <w:top w:val="nil"/>
              <w:left w:val="nil"/>
              <w:bottom w:val="nil"/>
              <w:right w:val="nil"/>
            </w:tcBorders>
            <w:shd w:val="clear" w:color="000000" w:fill="667EB9"/>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2016-17</w:t>
            </w:r>
          </w:p>
        </w:tc>
        <w:tc>
          <w:tcPr>
            <w:tcW w:w="1116" w:type="dxa"/>
            <w:tcBorders>
              <w:top w:val="nil"/>
              <w:left w:val="nil"/>
              <w:bottom w:val="nil"/>
              <w:right w:val="nil"/>
            </w:tcBorders>
            <w:shd w:val="clear" w:color="000000" w:fill="667EB9"/>
            <w:noWrap/>
            <w:vAlign w:val="bottom"/>
            <w:hideMark/>
          </w:tcPr>
          <w:p w:rsidR="00090296" w:rsidRPr="007C5926" w:rsidRDefault="00090296" w:rsidP="00AD0A4C">
            <w:pPr>
              <w:spacing w:line="240" w:lineRule="auto"/>
              <w:jc w:val="right"/>
              <w:rPr>
                <w:rFonts w:ascii="Arial" w:eastAsia="Times New Roman" w:hAnsi="Arial" w:cs="Arial"/>
                <w:b/>
                <w:bCs/>
                <w:color w:val="FFFFFF"/>
                <w:sz w:val="16"/>
                <w:szCs w:val="16"/>
                <w:lang w:eastAsia="en-AU"/>
              </w:rPr>
            </w:pPr>
            <w:r w:rsidRPr="007C5926">
              <w:rPr>
                <w:rFonts w:ascii="Arial" w:eastAsia="Times New Roman" w:hAnsi="Arial" w:cs="Arial"/>
                <w:b/>
                <w:bCs/>
                <w:color w:val="FFFFFF"/>
                <w:sz w:val="16"/>
                <w:szCs w:val="16"/>
                <w:lang w:eastAsia="en-AU"/>
              </w:rPr>
              <w:t>2017-18</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Commonwealth</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206.8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222.2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242.2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261.0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278.2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303.7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298.6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310.0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339.1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361.8</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374.0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385.9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411.7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441.0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473.2</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199.9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214.3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228.8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257.7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278.8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323.1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338.9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356.5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378.5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383.0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413.8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422.9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436.5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456.1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475.3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00090296"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7.0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7.9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13.4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19.5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-46.3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-46.5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-39.4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-21.1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-39.9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-37.0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-15.1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6.9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-0.7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6.4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6.8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11.7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16.7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17.6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-29.3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-53.1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-44.6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-20.5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-43.7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-39.8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-17.8</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19.5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8.5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-54.2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-21.7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42.0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84.1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148.6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154.0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202.5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244.8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279.6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304.4</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sz w:val="16"/>
                <w:szCs w:val="16"/>
                <w:lang w:eastAsia="en-AU"/>
              </w:rPr>
            </w:pPr>
            <w:r w:rsidRPr="00ED42A0">
              <w:rPr>
                <w:rFonts w:ascii="Arial" w:eastAsia="Times New Roman" w:hAnsi="Arial" w:cs="Arial"/>
                <w:sz w:val="16"/>
                <w:szCs w:val="16"/>
                <w:lang w:eastAsia="en-AU"/>
              </w:rPr>
              <w:t>315.8</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New South Wales</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63.5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66.0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67.9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70.0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73.6</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74.9</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36.0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38.6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40.8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43.2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59.0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59.3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63.3</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64.8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67.6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69.6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72.5</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73.9</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8.0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9.2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10.9</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9.3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11.5</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10.7</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Victoria</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35.8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48.7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r w:rsidR="001251D4">
              <w:rPr>
                <w:rFonts w:ascii="Arial" w:eastAsia="Times New Roman" w:hAnsi="Arial" w:cs="Arial"/>
                <w:color w:val="000000"/>
                <w:sz w:val="16"/>
                <w:szCs w:val="16"/>
                <w:lang w:eastAsia="en-AU"/>
              </w:rPr>
              <w:t>3</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58.3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33.5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35.9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45.5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48.3</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53.9</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55.8</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19.9</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18.9</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20.4</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Queensland</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42.0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45.8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54.5</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33.1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43.5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51.4</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0311CB"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0311CB"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w:t>
            </w:r>
            <w:r w:rsidRPr="000311CB">
              <w:rPr>
                <w:rFonts w:ascii="Arial" w:eastAsia="Times New Roman" w:hAnsi="Arial" w:cs="Arial"/>
                <w:color w:val="000000"/>
                <w:sz w:val="16"/>
                <w:szCs w:val="16"/>
                <w:lang w:eastAsia="en-AU"/>
              </w:rPr>
              <w:t>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-9.1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8.0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6.6</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Western Australia</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31.7</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29.8</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30.4</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14.8</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15.6</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South Australia</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9.3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13.5</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17.9</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18.6</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8.9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9.5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17.7</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7E1EB3" w:rsidP="00090296">
            <w:pPr>
              <w:spacing w:line="240" w:lineRule="auto"/>
              <w:jc w:val="right"/>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7.1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6.0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Tasmania</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5.0</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0311CB"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w:t>
            </w:r>
            <w:r w:rsidRPr="000311CB">
              <w:rPr>
                <w:rFonts w:ascii="Arial" w:eastAsia="Times New Roman" w:hAnsi="Arial" w:cs="Arial"/>
                <w:i/>
                <w:iCs/>
                <w:color w:val="000000"/>
                <w:sz w:val="16"/>
                <w:szCs w:val="16"/>
                <w:lang w:eastAsia="en-AU"/>
              </w:rPr>
              <w:t>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w:t>
            </w:r>
            <w:r w:rsidR="007E1EB3">
              <w:rPr>
                <w:rFonts w:ascii="Arial" w:eastAsia="Times New Roman" w:hAnsi="Arial" w:cs="Arial"/>
                <w:color w:val="000000"/>
                <w:sz w:val="16"/>
                <w:szCs w:val="16"/>
                <w:lang w:eastAsia="en-AU"/>
              </w:rPr>
              <w:t>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0311CB"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Austral</w:t>
            </w:r>
            <w:r w:rsidRPr="000311CB">
              <w:rPr>
                <w:rFonts w:ascii="Arial" w:eastAsia="Times New Roman" w:hAnsi="Arial" w:cs="Arial"/>
                <w:b/>
                <w:bCs/>
                <w:color w:val="000000"/>
                <w:sz w:val="16"/>
                <w:szCs w:val="16"/>
                <w:lang w:eastAsia="en-AU"/>
              </w:rPr>
              <w:t>ian Capital Territory</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w:t>
            </w:r>
            <w:r w:rsidR="007E1EB3">
              <w:rPr>
                <w:rFonts w:ascii="Arial" w:eastAsia="Times New Roman" w:hAnsi="Arial" w:cs="Arial"/>
                <w:color w:val="000000"/>
                <w:sz w:val="16"/>
                <w:szCs w:val="16"/>
                <w:lang w:eastAsia="en-AU"/>
              </w:rPr>
              <w:t>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-2.8</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-2.5</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-1.5</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r>
      <w:tr w:rsidR="00635C08" w:rsidRPr="00ED42A0" w:rsidTr="00ED42A0">
        <w:trPr>
          <w:trHeight w:val="198"/>
        </w:trPr>
        <w:tc>
          <w:tcPr>
            <w:tcW w:w="2300" w:type="dxa"/>
            <w:tcBorders>
              <w:top w:val="nil"/>
              <w:left w:val="nil"/>
              <w:bottom w:val="nil"/>
              <w:right w:val="nil"/>
            </w:tcBorders>
            <w:shd w:val="clear" w:color="000000" w:fill="CCD5E8"/>
            <w:noWrap/>
            <w:vAlign w:val="bottom"/>
            <w:hideMark/>
          </w:tcPr>
          <w:p w:rsidR="00090296" w:rsidRPr="00620877" w:rsidRDefault="00090296" w:rsidP="00090296">
            <w:pPr>
              <w:spacing w:line="240" w:lineRule="auto"/>
              <w:rPr>
                <w:rFonts w:ascii="Arial" w:eastAsia="Times New Roman" w:hAnsi="Arial" w:cs="Arial"/>
                <w:b/>
                <w:bCs/>
                <w:color w:val="000000"/>
                <w:sz w:val="16"/>
                <w:szCs w:val="16"/>
                <w:lang w:eastAsia="en-AU"/>
              </w:rPr>
            </w:pPr>
            <w:r w:rsidRPr="00620877">
              <w:rPr>
                <w:rFonts w:ascii="Arial" w:eastAsia="Times New Roman" w:hAnsi="Arial" w:cs="Arial"/>
                <w:b/>
                <w:bCs/>
                <w:color w:val="000000"/>
                <w:sz w:val="16"/>
                <w:szCs w:val="16"/>
                <w:lang w:eastAsia="en-AU"/>
              </w:rPr>
              <w:t>Northern Territory</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5"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c>
          <w:tcPr>
            <w:tcW w:w="1116" w:type="dxa"/>
            <w:tcBorders>
              <w:top w:val="nil"/>
              <w:left w:val="nil"/>
              <w:bottom w:val="nil"/>
              <w:right w:val="nil"/>
            </w:tcBorders>
            <w:shd w:val="clear" w:color="000000" w:fill="CCD5E8"/>
            <w:noWrap/>
            <w:vAlign w:val="bottom"/>
            <w:hideMark/>
          </w:tcPr>
          <w:p w:rsidR="00090296" w:rsidRPr="00ED42A0" w:rsidRDefault="00090296" w:rsidP="00090296">
            <w:pPr>
              <w:spacing w:line="240" w:lineRule="auto"/>
              <w:rPr>
                <w:rFonts w:ascii="Arial" w:eastAsia="Times New Roman" w:hAnsi="Arial" w:cs="Arial"/>
                <w:b/>
                <w:bCs/>
                <w:color w:val="000000"/>
                <w:sz w:val="16"/>
                <w:szCs w:val="16"/>
                <w:lang w:eastAsia="en-AU"/>
              </w:rPr>
            </w:pPr>
            <w:r w:rsidRPr="00ED42A0">
              <w:rPr>
                <w:rFonts w:ascii="Arial" w:eastAsia="Times New Roman" w:hAnsi="Arial" w:cs="Arial"/>
                <w:b/>
                <w:bCs/>
                <w:color w:val="000000"/>
                <w:sz w:val="16"/>
                <w:szCs w:val="16"/>
                <w:lang w:eastAsia="en-AU"/>
              </w:rPr>
              <w:t> </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Revenue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4.8</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5.5</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5.7</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Expenses</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2.7</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3.5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4.9</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5.0</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5.4</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5.6</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732787" w:rsidP="00090296">
            <w:pPr>
              <w:spacing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Net o</w:t>
            </w:r>
            <w:r w:rsidRPr="00620877">
              <w:rPr>
                <w:rFonts w:ascii="Arial" w:eastAsia="Times New Roman" w:hAnsi="Arial" w:cs="Arial"/>
                <w:color w:val="000000"/>
                <w:sz w:val="16"/>
                <w:szCs w:val="16"/>
                <w:lang w:eastAsia="en-AU"/>
              </w:rPr>
              <w:t>perating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620877">
            <w:pPr>
              <w:spacing w:line="240" w:lineRule="auto"/>
              <w:ind w:firstLineChars="100" w:firstLine="160"/>
              <w:rPr>
                <w:rFonts w:ascii="Arial" w:eastAsia="Times New Roman" w:hAnsi="Arial" w:cs="Arial"/>
                <w:i/>
                <w:iCs/>
                <w:color w:val="000000"/>
                <w:sz w:val="16"/>
                <w:szCs w:val="16"/>
                <w:lang w:eastAsia="en-AU"/>
              </w:rPr>
            </w:pPr>
            <w:r w:rsidRPr="00620877">
              <w:rPr>
                <w:rFonts w:ascii="Arial" w:eastAsia="Times New Roman" w:hAnsi="Arial" w:cs="Arial"/>
                <w:i/>
                <w:iCs/>
                <w:color w:val="000000"/>
                <w:sz w:val="16"/>
                <w:szCs w:val="16"/>
                <w:lang w:eastAsia="en-AU"/>
              </w:rPr>
              <w:t>Net capital investment</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r>
      <w:tr w:rsidR="00090296" w:rsidRPr="00ED42A0" w:rsidTr="002C224E">
        <w:trPr>
          <w:trHeight w:val="198"/>
        </w:trPr>
        <w:tc>
          <w:tcPr>
            <w:tcW w:w="2300" w:type="dxa"/>
            <w:tcBorders>
              <w:top w:val="nil"/>
              <w:left w:val="nil"/>
              <w:bottom w:val="nil"/>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Fiscal balance</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0.2</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-0.5</w:t>
            </w:r>
          </w:p>
        </w:tc>
        <w:tc>
          <w:tcPr>
            <w:tcW w:w="1115" w:type="dxa"/>
            <w:tcBorders>
              <w:top w:val="nil"/>
              <w:left w:val="nil"/>
              <w:bottom w:val="nil"/>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-0.3</w:t>
            </w:r>
          </w:p>
        </w:tc>
        <w:tc>
          <w:tcPr>
            <w:tcW w:w="1116" w:type="dxa"/>
            <w:tcBorders>
              <w:top w:val="nil"/>
              <w:left w:val="nil"/>
              <w:bottom w:val="nil"/>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-0.6</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-0.1</w:t>
            </w:r>
          </w:p>
        </w:tc>
        <w:tc>
          <w:tcPr>
            <w:tcW w:w="1115"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c>
          <w:tcPr>
            <w:tcW w:w="1116" w:type="dxa"/>
            <w:tcBorders>
              <w:top w:val="nil"/>
              <w:left w:val="nil"/>
              <w:bottom w:val="nil"/>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0.0</w:t>
            </w:r>
          </w:p>
        </w:tc>
      </w:tr>
      <w:tr w:rsidR="00090296" w:rsidRPr="00ED42A0" w:rsidTr="002C224E">
        <w:trPr>
          <w:trHeight w:val="198"/>
        </w:trPr>
        <w:tc>
          <w:tcPr>
            <w:tcW w:w="2300" w:type="dxa"/>
            <w:tcBorders>
              <w:top w:val="nil"/>
              <w:left w:val="nil"/>
              <w:bottom w:val="single" w:sz="4" w:space="0" w:color="auto"/>
              <w:right w:val="nil"/>
            </w:tcBorders>
            <w:shd w:val="clear" w:color="auto" w:fill="auto"/>
            <w:noWrap/>
            <w:vAlign w:val="bottom"/>
            <w:hideMark/>
          </w:tcPr>
          <w:p w:rsidR="00090296" w:rsidRPr="00620877" w:rsidRDefault="00090296" w:rsidP="00090296">
            <w:pPr>
              <w:spacing w:line="240" w:lineRule="auto"/>
              <w:rPr>
                <w:rFonts w:ascii="Arial" w:eastAsia="Times New Roman" w:hAnsi="Arial" w:cs="Arial"/>
                <w:color w:val="000000"/>
                <w:sz w:val="16"/>
                <w:szCs w:val="16"/>
                <w:lang w:eastAsia="en-AU"/>
              </w:rPr>
            </w:pPr>
            <w:r w:rsidRPr="00620877">
              <w:rPr>
                <w:rFonts w:ascii="Arial" w:eastAsia="Times New Roman" w:hAnsi="Arial" w:cs="Arial"/>
                <w:color w:val="000000"/>
                <w:sz w:val="16"/>
                <w:szCs w:val="16"/>
                <w:lang w:eastAsia="en-AU"/>
              </w:rPr>
              <w:t>Net debt</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1.3</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1.4</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6"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1.1</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0.9</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0.8</w:t>
            </w:r>
          </w:p>
        </w:tc>
        <w:tc>
          <w:tcPr>
            <w:tcW w:w="1116"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0.7</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1.2</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1.6</w:t>
            </w:r>
          </w:p>
        </w:tc>
        <w:tc>
          <w:tcPr>
            <w:tcW w:w="1115" w:type="dxa"/>
            <w:tcBorders>
              <w:top w:val="nil"/>
              <w:left w:val="nil"/>
              <w:bottom w:val="single" w:sz="4" w:space="0" w:color="auto"/>
              <w:right w:val="nil"/>
            </w:tcBorders>
            <w:shd w:val="clear" w:color="auto" w:fill="auto"/>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6" w:type="dxa"/>
            <w:tcBorders>
              <w:top w:val="nil"/>
              <w:left w:val="nil"/>
              <w:bottom w:val="single" w:sz="4" w:space="0" w:color="auto"/>
              <w:right w:val="nil"/>
            </w:tcBorders>
            <w:shd w:val="clear" w:color="auto" w:fill="E9ECF3" w:themeFill="accent2" w:themeFillTint="3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1.8</w:t>
            </w:r>
          </w:p>
        </w:tc>
        <w:tc>
          <w:tcPr>
            <w:tcW w:w="1115" w:type="dxa"/>
            <w:tcBorders>
              <w:top w:val="nil"/>
              <w:left w:val="nil"/>
              <w:bottom w:val="single" w:sz="4" w:space="0" w:color="auto"/>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single" w:sz="4" w:space="0" w:color="auto"/>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5" w:type="dxa"/>
            <w:tcBorders>
              <w:top w:val="nil"/>
              <w:left w:val="nil"/>
              <w:bottom w:val="single" w:sz="4" w:space="0" w:color="auto"/>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2.4</w:t>
            </w:r>
          </w:p>
        </w:tc>
        <w:tc>
          <w:tcPr>
            <w:tcW w:w="1116" w:type="dxa"/>
            <w:tcBorders>
              <w:top w:val="nil"/>
              <w:left w:val="nil"/>
              <w:bottom w:val="single" w:sz="4" w:space="0" w:color="auto"/>
              <w:right w:val="nil"/>
            </w:tcBorders>
            <w:shd w:val="clear" w:color="000000" w:fill="E9ECF3"/>
            <w:noWrap/>
            <w:vAlign w:val="bottom"/>
            <w:hideMark/>
          </w:tcPr>
          <w:p w:rsidR="00090296" w:rsidRPr="00ED42A0" w:rsidRDefault="00090296" w:rsidP="00090296">
            <w:pPr>
              <w:spacing w:line="240" w:lineRule="auto"/>
              <w:jc w:val="right"/>
              <w:rPr>
                <w:rFonts w:ascii="Arial" w:eastAsia="Times New Roman" w:hAnsi="Arial" w:cs="Arial"/>
                <w:color w:val="000000"/>
                <w:sz w:val="16"/>
                <w:szCs w:val="16"/>
                <w:lang w:eastAsia="en-AU"/>
              </w:rPr>
            </w:pPr>
            <w:r w:rsidRPr="00ED42A0">
              <w:rPr>
                <w:rFonts w:ascii="Arial" w:eastAsia="Times New Roman" w:hAnsi="Arial" w:cs="Arial"/>
                <w:color w:val="000000"/>
                <w:sz w:val="16"/>
                <w:szCs w:val="16"/>
                <w:lang w:eastAsia="en-AU"/>
              </w:rPr>
              <w:t>2.3</w:t>
            </w:r>
          </w:p>
        </w:tc>
      </w:tr>
    </w:tbl>
    <w:p w:rsidR="0065489F" w:rsidRDefault="0065489F" w:rsidP="0065489F">
      <w:pPr>
        <w:pStyle w:val="BodyText"/>
        <w:spacing w:before="0"/>
      </w:pPr>
      <w:r>
        <w:rPr>
          <w:color w:val="788184" w:themeColor="background2"/>
          <w:spacing w:val="0"/>
          <w:szCs w:val="14"/>
        </w:rPr>
        <w:t xml:space="preserve">Source: </w:t>
      </w:r>
      <w:r w:rsidRPr="0065489F">
        <w:rPr>
          <w:color w:val="788184" w:themeColor="background2"/>
          <w:spacing w:val="0"/>
          <w:szCs w:val="14"/>
        </w:rPr>
        <w:t>ABS Cat. No. 5512.0, and Commonwealth and state budget papers.</w:t>
      </w:r>
    </w:p>
    <w:p w:rsidR="008B39D2" w:rsidRPr="00AD0A4C" w:rsidRDefault="00894910" w:rsidP="00AD0A4C">
      <w:pPr>
        <w:pStyle w:val="BodyText"/>
        <w:numPr>
          <w:ilvl w:val="0"/>
          <w:numId w:val="47"/>
        </w:numPr>
        <w:spacing w:before="0" w:after="0" w:line="240" w:lineRule="auto"/>
        <w:ind w:left="357" w:hanging="357"/>
        <w:rPr>
          <w:sz w:val="18"/>
        </w:rPr>
      </w:pPr>
      <w:r>
        <w:rPr>
          <w:sz w:val="18"/>
        </w:rPr>
        <w:t xml:space="preserve">Figures do not include local government. </w:t>
      </w:r>
      <w:r w:rsidRPr="005D4719">
        <w:rPr>
          <w:sz w:val="18"/>
        </w:rPr>
        <w:t>Historical figures from 2002-03 to 2012-13 are sourced from data published by the ABS. Figures for 2013-14 are actuals as published by governments in final budget outcomes. Estimates period data from 2014-15 to 2017-18 are taken from the latest available Commonwealth and state budget updates.</w:t>
      </w:r>
    </w:p>
    <w:sectPr w:rsidR="008B39D2" w:rsidRPr="00AD0A4C" w:rsidSect="00AD0A4C">
      <w:pgSz w:w="23814" w:h="16839" w:orient="landscape" w:code="8"/>
      <w:pgMar w:top="1385" w:right="1361" w:bottom="1418" w:left="1474" w:header="28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524" w:rsidRDefault="00704524" w:rsidP="00A20802">
      <w:pPr>
        <w:spacing w:line="240" w:lineRule="auto"/>
      </w:pPr>
      <w:r>
        <w:separator/>
      </w:r>
    </w:p>
    <w:p w:rsidR="00704524" w:rsidRDefault="00704524"/>
  </w:endnote>
  <w:endnote w:type="continuationSeparator" w:id="0">
    <w:p w:rsidR="00704524" w:rsidRDefault="00704524" w:rsidP="00A20802">
      <w:pPr>
        <w:spacing w:line="240" w:lineRule="auto"/>
      </w:pPr>
      <w:r>
        <w:continuationSeparator/>
      </w:r>
    </w:p>
    <w:p w:rsidR="00704524" w:rsidRDefault="00704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704524" w:rsidP="00650AFC">
          <w:pPr>
            <w:pStyle w:val="FooterRight"/>
            <w:framePr w:wrap="auto" w:vAnchor="margin" w:hAnchor="text" w:xAlign="left" w:yAlign="inline"/>
          </w:pPr>
          <w:r w:rsidRPr="00650AFC">
            <w:t>Net capital investment</w:t>
          </w:r>
          <w:r w:rsidRPr="00CB70DF">
            <w:t xml:space="preserve"> </w:t>
          </w: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43</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3A23CE" w:rsidP="00BE68A2">
          <w:pPr>
            <w:pStyle w:val="FooterRight"/>
            <w:framePr w:wrap="auto" w:vAnchor="margin" w:hAnchor="text" w:xAlign="left" w:yAlign="inline"/>
          </w:pPr>
          <w:r>
            <w:fldChar w:fldCharType="begin"/>
          </w:r>
          <w:r>
            <w:instrText xml:space="preserve"> STYLEREF  "Heading 1"  \* MERGEFORMAT </w:instrText>
          </w:r>
          <w:r>
            <w:fldChar w:fldCharType="separate"/>
          </w:r>
          <w:r>
            <w:rPr>
              <w:noProof/>
            </w:rPr>
            <w:t>Net debt and financing costs</w:t>
          </w:r>
          <w:r>
            <w:rPr>
              <w:noProof/>
            </w:rPr>
            <w:fldChar w:fldCharType="end"/>
          </w: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49</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704524" w:rsidRPr="00EB388E" w:rsidTr="008B39D2">
      <w:trPr>
        <w:trHeight w:val="340"/>
      </w:trPr>
      <w:tc>
        <w:tcPr>
          <w:tcW w:w="567" w:type="dxa"/>
          <w:tcBorders>
            <w:right w:val="single" w:sz="4" w:space="0" w:color="788184" w:themeColor="background2"/>
          </w:tcBorders>
          <w:vAlign w:val="center"/>
        </w:tcPr>
        <w:p w:rsidR="00704524" w:rsidRPr="00CB70DF" w:rsidRDefault="00704524" w:rsidP="008B39D2">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3A23CE">
            <w:rPr>
              <w:noProof/>
            </w:rPr>
            <w:t>66</w:t>
          </w:r>
          <w:r w:rsidRPr="00EB388E">
            <w:fldChar w:fldCharType="end"/>
          </w:r>
        </w:p>
      </w:tc>
      <w:tc>
        <w:tcPr>
          <w:tcW w:w="8164" w:type="dxa"/>
          <w:tcBorders>
            <w:left w:val="single" w:sz="4" w:space="0" w:color="788184" w:themeColor="background2"/>
          </w:tcBorders>
          <w:vAlign w:val="center"/>
        </w:tcPr>
        <w:p w:rsidR="00704524" w:rsidRPr="00CB70DF" w:rsidRDefault="003A23CE" w:rsidP="008B39D2">
          <w:pPr>
            <w:pStyle w:val="FooterLeft"/>
            <w:framePr w:wrap="auto" w:vAnchor="margin" w:hAnchor="text" w:yAlign="inline"/>
          </w:pPr>
          <w:r>
            <w:fldChar w:fldCharType="begin"/>
          </w:r>
          <w:r>
            <w:instrText xml:space="preserve"> STYLEREF  Title  \* MERGEFORMAT </w:instrText>
          </w:r>
          <w:r>
            <w:fldChar w:fldCharType="separate"/>
          </w:r>
          <w:r>
            <w:rPr>
              <w:noProof/>
            </w:rPr>
            <w:t>National fiscal trends</w:t>
          </w:r>
          <w:r>
            <w:rPr>
              <w:noProof/>
            </w:rPr>
            <w:fldChar w:fldCharType="end"/>
          </w:r>
        </w:p>
      </w:tc>
    </w:tr>
    <w:tr w:rsidR="00704524" w:rsidRPr="00EB388E" w:rsidTr="008B39D2">
      <w:trPr>
        <w:trHeight w:hRule="exact" w:val="403"/>
      </w:trPr>
      <w:tc>
        <w:tcPr>
          <w:tcW w:w="567" w:type="dxa"/>
          <w:tcMar>
            <w:bottom w:w="284" w:type="dxa"/>
          </w:tcMar>
        </w:tcPr>
        <w:p w:rsidR="00704524" w:rsidRPr="00EB388E" w:rsidRDefault="00704524" w:rsidP="008B39D2">
          <w:pPr>
            <w:pStyle w:val="FooterRightPageNumber"/>
          </w:pPr>
        </w:p>
      </w:tc>
      <w:tc>
        <w:tcPr>
          <w:tcW w:w="8164" w:type="dxa"/>
          <w:tcMar>
            <w:bottom w:w="284" w:type="dxa"/>
          </w:tcMar>
        </w:tcPr>
        <w:p w:rsidR="00704524" w:rsidRPr="00090E70" w:rsidRDefault="00704524" w:rsidP="008B39D2"/>
      </w:tc>
    </w:tr>
  </w:tbl>
  <w:p w:rsidR="00704524" w:rsidRDefault="00704524">
    <w:pPr>
      <w:pStyle w:val="Footer"/>
    </w:pPr>
  </w:p>
  <w:p w:rsidR="00704524" w:rsidRPr="004816D7" w:rsidRDefault="00704524" w:rsidP="0034130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B39D2">
      <w:trPr>
        <w:trHeight w:val="340"/>
      </w:trPr>
      <w:tc>
        <w:tcPr>
          <w:tcW w:w="8164" w:type="dxa"/>
          <w:tcBorders>
            <w:right w:val="single" w:sz="4" w:space="0" w:color="788184" w:themeColor="background2"/>
          </w:tcBorders>
          <w:vAlign w:val="center"/>
        </w:tcPr>
        <w:p w:rsidR="00704524" w:rsidRPr="00CB70DF" w:rsidRDefault="003A23CE" w:rsidP="0026114D">
          <w:pPr>
            <w:pStyle w:val="FooterRight"/>
            <w:framePr w:wrap="auto" w:vAnchor="margin" w:hAnchor="text" w:xAlign="left" w:yAlign="inline"/>
          </w:pPr>
          <w:r>
            <w:fldChar w:fldCharType="begin"/>
          </w:r>
          <w:r>
            <w:instrText xml:space="preserve"> STYLEREF  "Heading 8,Appendix Title" \r \* MERGEFORMAT </w:instrText>
          </w:r>
          <w:r>
            <w:fldChar w:fldCharType="separate"/>
          </w:r>
          <w:r>
            <w:rPr>
              <w:noProof/>
            </w:rPr>
            <w:t>Appendix A</w:t>
          </w:r>
          <w:r>
            <w:rPr>
              <w:noProof/>
            </w:rPr>
            <w:fldChar w:fldCharType="end"/>
          </w:r>
        </w:p>
      </w:tc>
      <w:tc>
        <w:tcPr>
          <w:tcW w:w="567" w:type="dxa"/>
          <w:tcBorders>
            <w:left w:val="single" w:sz="4" w:space="0" w:color="788184" w:themeColor="background2"/>
          </w:tcBorders>
          <w:vAlign w:val="center"/>
        </w:tcPr>
        <w:p w:rsidR="00704524" w:rsidRPr="00CB70DF" w:rsidRDefault="00704524" w:rsidP="008B39D2">
          <w:pPr>
            <w:pStyle w:val="FooterRightPageNumber"/>
          </w:pPr>
          <w:r w:rsidRPr="00EB388E">
            <w:fldChar w:fldCharType="begin"/>
          </w:r>
          <w:r w:rsidRPr="00EB388E">
            <w:instrText xml:space="preserve"> PAGE   \* MERGEFORMAT </w:instrText>
          </w:r>
          <w:r w:rsidRPr="00EB388E">
            <w:fldChar w:fldCharType="separate"/>
          </w:r>
          <w:r w:rsidR="003A23CE">
            <w:t>65</w:t>
          </w:r>
          <w:r w:rsidRPr="00EB388E">
            <w:fldChar w:fldCharType="end"/>
          </w:r>
        </w:p>
      </w:tc>
    </w:tr>
    <w:tr w:rsidR="00704524" w:rsidRPr="00EB388E" w:rsidTr="008B39D2">
      <w:trPr>
        <w:trHeight w:hRule="exact" w:val="403"/>
      </w:trPr>
      <w:tc>
        <w:tcPr>
          <w:tcW w:w="8164" w:type="dxa"/>
        </w:tcPr>
        <w:p w:rsidR="00704524" w:rsidRPr="00090E70" w:rsidRDefault="00704524" w:rsidP="008B39D2"/>
      </w:tc>
      <w:tc>
        <w:tcPr>
          <w:tcW w:w="567" w:type="dxa"/>
          <w:tcMar>
            <w:bottom w:w="284" w:type="dxa"/>
          </w:tcMar>
        </w:tcPr>
        <w:p w:rsidR="00704524" w:rsidRPr="00090E70" w:rsidRDefault="00704524" w:rsidP="008B39D2"/>
      </w:tc>
    </w:tr>
  </w:tbl>
  <w:p w:rsidR="00704524" w:rsidRDefault="00704524">
    <w:pPr>
      <w:pStyle w:val="Footer"/>
    </w:pPr>
  </w:p>
  <w:p w:rsidR="00704524" w:rsidRPr="004816D7" w:rsidRDefault="00704524" w:rsidP="0034130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704524" w:rsidRPr="00EB388E" w:rsidTr="008B39D2">
      <w:trPr>
        <w:trHeight w:val="340"/>
      </w:trPr>
      <w:tc>
        <w:tcPr>
          <w:tcW w:w="567" w:type="dxa"/>
          <w:tcBorders>
            <w:right w:val="single" w:sz="4" w:space="0" w:color="788184" w:themeColor="background2"/>
          </w:tcBorders>
          <w:vAlign w:val="center"/>
        </w:tcPr>
        <w:p w:rsidR="00704524" w:rsidRPr="00CB70DF" w:rsidRDefault="00704524" w:rsidP="008B39D2">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3A23CE">
            <w:rPr>
              <w:noProof/>
            </w:rPr>
            <w:t>70</w:t>
          </w:r>
          <w:r w:rsidRPr="00EB388E">
            <w:fldChar w:fldCharType="end"/>
          </w:r>
        </w:p>
      </w:tc>
      <w:tc>
        <w:tcPr>
          <w:tcW w:w="8164" w:type="dxa"/>
          <w:tcBorders>
            <w:left w:val="single" w:sz="4" w:space="0" w:color="788184" w:themeColor="background2"/>
          </w:tcBorders>
          <w:vAlign w:val="center"/>
        </w:tcPr>
        <w:p w:rsidR="00704524" w:rsidRPr="00CB70DF" w:rsidRDefault="003A23CE" w:rsidP="008B39D2">
          <w:pPr>
            <w:pStyle w:val="FooterLeft"/>
            <w:framePr w:wrap="auto" w:vAnchor="margin" w:hAnchor="text" w:yAlign="inline"/>
          </w:pPr>
          <w:r>
            <w:fldChar w:fldCharType="begin"/>
          </w:r>
          <w:r>
            <w:instrText xml:space="preserve"> STYLEREF  Title  \* MERGEFORMAT </w:instrText>
          </w:r>
          <w:r>
            <w:fldChar w:fldCharType="separate"/>
          </w:r>
          <w:r>
            <w:rPr>
              <w:noProof/>
            </w:rPr>
            <w:t>National fiscal trends</w:t>
          </w:r>
          <w:r>
            <w:rPr>
              <w:noProof/>
            </w:rPr>
            <w:fldChar w:fldCharType="end"/>
          </w:r>
        </w:p>
      </w:tc>
    </w:tr>
    <w:tr w:rsidR="00704524" w:rsidRPr="00EB388E" w:rsidTr="008B39D2">
      <w:trPr>
        <w:trHeight w:hRule="exact" w:val="403"/>
      </w:trPr>
      <w:tc>
        <w:tcPr>
          <w:tcW w:w="567" w:type="dxa"/>
          <w:tcMar>
            <w:bottom w:w="284" w:type="dxa"/>
          </w:tcMar>
        </w:tcPr>
        <w:p w:rsidR="00704524" w:rsidRPr="00EB388E" w:rsidRDefault="00704524" w:rsidP="008B39D2">
          <w:pPr>
            <w:pStyle w:val="FooterRightPageNumber"/>
          </w:pPr>
        </w:p>
      </w:tc>
      <w:tc>
        <w:tcPr>
          <w:tcW w:w="8164" w:type="dxa"/>
          <w:tcMar>
            <w:bottom w:w="284" w:type="dxa"/>
          </w:tcMar>
        </w:tcPr>
        <w:p w:rsidR="00704524" w:rsidRPr="00090E70" w:rsidRDefault="00704524" w:rsidP="008B39D2"/>
      </w:tc>
    </w:tr>
  </w:tbl>
  <w:p w:rsidR="00704524" w:rsidRDefault="00704524">
    <w:pPr>
      <w:pStyle w:val="Footer"/>
    </w:pPr>
  </w:p>
  <w:p w:rsidR="00704524" w:rsidRPr="004816D7" w:rsidRDefault="00704524" w:rsidP="0034130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B39D2">
      <w:trPr>
        <w:trHeight w:val="340"/>
      </w:trPr>
      <w:tc>
        <w:tcPr>
          <w:tcW w:w="8164" w:type="dxa"/>
          <w:tcBorders>
            <w:right w:val="single" w:sz="4" w:space="0" w:color="788184" w:themeColor="background2"/>
          </w:tcBorders>
          <w:vAlign w:val="center"/>
        </w:tcPr>
        <w:p w:rsidR="00704524" w:rsidRPr="00CB70DF" w:rsidRDefault="003A23CE" w:rsidP="008B39D2">
          <w:pPr>
            <w:pStyle w:val="FooterRight"/>
            <w:framePr w:wrap="auto" w:vAnchor="margin" w:hAnchor="text" w:xAlign="left" w:yAlign="inline"/>
          </w:pPr>
          <w:r>
            <w:fldChar w:fldCharType="begin"/>
          </w:r>
          <w:r>
            <w:instrText xml:space="preserve"> STYLEREF  "Heading 8,Appendix Title" \r \* MERGEFORMAT </w:instrText>
          </w:r>
          <w:r>
            <w:fldChar w:fldCharType="separate"/>
          </w:r>
          <w:r>
            <w:rPr>
              <w:noProof/>
            </w:rPr>
            <w:t>Appendix C</w:t>
          </w:r>
          <w:r>
            <w:rPr>
              <w:noProof/>
            </w:rPr>
            <w:fldChar w:fldCharType="end"/>
          </w:r>
        </w:p>
      </w:tc>
      <w:tc>
        <w:tcPr>
          <w:tcW w:w="567" w:type="dxa"/>
          <w:tcBorders>
            <w:left w:val="single" w:sz="4" w:space="0" w:color="788184" w:themeColor="background2"/>
          </w:tcBorders>
          <w:vAlign w:val="center"/>
        </w:tcPr>
        <w:p w:rsidR="00704524" w:rsidRPr="00CB70DF" w:rsidRDefault="00704524" w:rsidP="008B39D2">
          <w:pPr>
            <w:pStyle w:val="FooterRightPageNumber"/>
          </w:pPr>
          <w:r w:rsidRPr="00EB388E">
            <w:fldChar w:fldCharType="begin"/>
          </w:r>
          <w:r w:rsidRPr="00EB388E">
            <w:instrText xml:space="preserve"> PAGE   \* MERGEFORMAT </w:instrText>
          </w:r>
          <w:r w:rsidRPr="00EB388E">
            <w:fldChar w:fldCharType="separate"/>
          </w:r>
          <w:r w:rsidR="003A23CE">
            <w:t>71</w:t>
          </w:r>
          <w:r w:rsidRPr="00EB388E">
            <w:fldChar w:fldCharType="end"/>
          </w:r>
        </w:p>
      </w:tc>
    </w:tr>
    <w:tr w:rsidR="00704524" w:rsidRPr="00EB388E" w:rsidTr="008B39D2">
      <w:trPr>
        <w:trHeight w:hRule="exact" w:val="403"/>
      </w:trPr>
      <w:tc>
        <w:tcPr>
          <w:tcW w:w="8164" w:type="dxa"/>
        </w:tcPr>
        <w:p w:rsidR="00704524" w:rsidRPr="00090E70" w:rsidRDefault="00704524" w:rsidP="008B39D2"/>
      </w:tc>
      <w:tc>
        <w:tcPr>
          <w:tcW w:w="567" w:type="dxa"/>
          <w:tcMar>
            <w:bottom w:w="284" w:type="dxa"/>
          </w:tcMar>
        </w:tcPr>
        <w:p w:rsidR="00704524" w:rsidRPr="00090E70" w:rsidRDefault="00704524" w:rsidP="008B39D2"/>
      </w:tc>
    </w:tr>
  </w:tbl>
  <w:p w:rsidR="00704524" w:rsidRDefault="00704524">
    <w:pPr>
      <w:pStyle w:val="Footer"/>
    </w:pPr>
  </w:p>
  <w:p w:rsidR="00704524" w:rsidRPr="004816D7" w:rsidRDefault="00704524" w:rsidP="0034130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704524" w:rsidRPr="00EB388E" w:rsidTr="00C80200">
      <w:trPr>
        <w:trHeight w:val="340"/>
      </w:trPr>
      <w:tc>
        <w:tcPr>
          <w:tcW w:w="567" w:type="dxa"/>
          <w:tcBorders>
            <w:right w:val="single" w:sz="4" w:space="0" w:color="788184" w:themeColor="background2"/>
          </w:tcBorders>
          <w:vAlign w:val="center"/>
        </w:tcPr>
        <w:p w:rsidR="00704524" w:rsidRPr="00CB70DF" w:rsidRDefault="00704524" w:rsidP="00C80200">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3A23CE">
            <w:rPr>
              <w:noProof/>
            </w:rPr>
            <w:t>iv</w:t>
          </w:r>
          <w:r w:rsidRPr="00EB388E">
            <w:fldChar w:fldCharType="end"/>
          </w:r>
        </w:p>
      </w:tc>
      <w:tc>
        <w:tcPr>
          <w:tcW w:w="8164" w:type="dxa"/>
          <w:tcBorders>
            <w:left w:val="single" w:sz="4" w:space="0" w:color="788184" w:themeColor="background2"/>
          </w:tcBorders>
          <w:vAlign w:val="center"/>
        </w:tcPr>
        <w:p w:rsidR="00704524" w:rsidRPr="00CB70DF" w:rsidRDefault="00704524" w:rsidP="00C80200">
          <w:pPr>
            <w:pStyle w:val="FooterLeft"/>
            <w:framePr w:wrap="auto" w:vAnchor="margin" w:hAnchor="text" w:yAlign="inline"/>
          </w:pPr>
        </w:p>
      </w:tc>
    </w:tr>
    <w:tr w:rsidR="00704524" w:rsidRPr="00EB388E" w:rsidTr="00C80200">
      <w:trPr>
        <w:trHeight w:hRule="exact" w:val="403"/>
      </w:trPr>
      <w:tc>
        <w:tcPr>
          <w:tcW w:w="567" w:type="dxa"/>
          <w:tcMar>
            <w:bottom w:w="284" w:type="dxa"/>
          </w:tcMar>
        </w:tcPr>
        <w:p w:rsidR="00704524" w:rsidRPr="00EB388E" w:rsidRDefault="00704524" w:rsidP="00C80200">
          <w:pPr>
            <w:pStyle w:val="FooterRightPageNumber"/>
          </w:pPr>
        </w:p>
      </w:tc>
      <w:tc>
        <w:tcPr>
          <w:tcW w:w="8164" w:type="dxa"/>
          <w:tcMar>
            <w:bottom w:w="284" w:type="dxa"/>
          </w:tcMar>
        </w:tcPr>
        <w:p w:rsidR="00704524" w:rsidRPr="00090E70" w:rsidRDefault="00704524" w:rsidP="00C80200"/>
      </w:tc>
    </w:tr>
  </w:tbl>
  <w:p w:rsidR="00704524" w:rsidRDefault="00704524">
    <w:pPr>
      <w:pStyle w:val="Footer"/>
    </w:pPr>
  </w:p>
  <w:p w:rsidR="00704524" w:rsidRPr="004816D7" w:rsidRDefault="00704524" w:rsidP="00481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704524" w:rsidP="00F83E66">
          <w:pPr>
            <w:pStyle w:val="FooterRight"/>
            <w:framePr w:wrap="auto" w:vAnchor="margin" w:hAnchor="text" w:xAlign="left" w:yAlign="inline"/>
          </w:pP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iii</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704524" w:rsidP="00F83E66">
          <w:pPr>
            <w:pStyle w:val="FooterRight"/>
            <w:framePr w:wrap="auto" w:vAnchor="margin" w:hAnchor="text" w:xAlign="left" w:yAlign="inline"/>
          </w:pP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v</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704524" w:rsidRPr="00EB388E" w:rsidTr="00C80200">
      <w:trPr>
        <w:trHeight w:val="340"/>
      </w:trPr>
      <w:tc>
        <w:tcPr>
          <w:tcW w:w="567" w:type="dxa"/>
          <w:tcBorders>
            <w:right w:val="single" w:sz="4" w:space="0" w:color="788184" w:themeColor="background2"/>
          </w:tcBorders>
          <w:vAlign w:val="center"/>
        </w:tcPr>
        <w:p w:rsidR="00704524" w:rsidRPr="00CB70DF" w:rsidRDefault="00704524" w:rsidP="00C80200">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3A23CE">
            <w:rPr>
              <w:noProof/>
            </w:rPr>
            <w:t>vi</w:t>
          </w:r>
          <w:r w:rsidRPr="00EB388E">
            <w:fldChar w:fldCharType="end"/>
          </w:r>
        </w:p>
      </w:tc>
      <w:tc>
        <w:tcPr>
          <w:tcW w:w="8164" w:type="dxa"/>
          <w:tcBorders>
            <w:left w:val="single" w:sz="4" w:space="0" w:color="788184" w:themeColor="background2"/>
          </w:tcBorders>
          <w:vAlign w:val="center"/>
        </w:tcPr>
        <w:p w:rsidR="00704524" w:rsidRPr="00CB70DF" w:rsidRDefault="00704524" w:rsidP="00C80200">
          <w:pPr>
            <w:pStyle w:val="FooterLeft"/>
            <w:framePr w:wrap="auto" w:vAnchor="margin" w:hAnchor="text" w:yAlign="inline"/>
          </w:pPr>
        </w:p>
      </w:tc>
    </w:tr>
    <w:tr w:rsidR="00704524" w:rsidRPr="00EB388E" w:rsidTr="00C80200">
      <w:trPr>
        <w:trHeight w:hRule="exact" w:val="403"/>
      </w:trPr>
      <w:tc>
        <w:tcPr>
          <w:tcW w:w="567" w:type="dxa"/>
          <w:tcMar>
            <w:bottom w:w="284" w:type="dxa"/>
          </w:tcMar>
        </w:tcPr>
        <w:p w:rsidR="00704524" w:rsidRPr="00EB388E" w:rsidRDefault="00704524" w:rsidP="00C80200">
          <w:pPr>
            <w:pStyle w:val="FooterRightPageNumber"/>
          </w:pPr>
        </w:p>
      </w:tc>
      <w:tc>
        <w:tcPr>
          <w:tcW w:w="8164" w:type="dxa"/>
          <w:tcMar>
            <w:bottom w:w="284" w:type="dxa"/>
          </w:tcMar>
        </w:tcPr>
        <w:p w:rsidR="00704524" w:rsidRPr="00090E70" w:rsidRDefault="00704524" w:rsidP="00C80200"/>
      </w:tc>
    </w:tr>
  </w:tbl>
  <w:p w:rsidR="00704524" w:rsidRDefault="00704524">
    <w:pPr>
      <w:pStyle w:val="Footer"/>
    </w:pPr>
  </w:p>
  <w:p w:rsidR="00704524" w:rsidRPr="004816D7" w:rsidRDefault="00704524" w:rsidP="004816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704524" w:rsidP="007C428D">
          <w:pPr>
            <w:pStyle w:val="FooterRight"/>
            <w:framePr w:wrap="auto" w:vAnchor="margin" w:hAnchor="text" w:xAlign="left" w:yAlign="inline"/>
          </w:pP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ix</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704524" w:rsidRPr="00EB388E" w:rsidTr="00C80200">
      <w:trPr>
        <w:trHeight w:val="340"/>
      </w:trPr>
      <w:tc>
        <w:tcPr>
          <w:tcW w:w="567" w:type="dxa"/>
          <w:tcBorders>
            <w:right w:val="single" w:sz="4" w:space="0" w:color="788184" w:themeColor="background2"/>
          </w:tcBorders>
          <w:vAlign w:val="center"/>
        </w:tcPr>
        <w:p w:rsidR="00704524" w:rsidRPr="00CB70DF" w:rsidRDefault="00704524" w:rsidP="00C80200">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3A23CE">
            <w:rPr>
              <w:noProof/>
            </w:rPr>
            <w:t>48</w:t>
          </w:r>
          <w:r w:rsidRPr="00EB388E">
            <w:fldChar w:fldCharType="end"/>
          </w:r>
        </w:p>
      </w:tc>
      <w:tc>
        <w:tcPr>
          <w:tcW w:w="8164" w:type="dxa"/>
          <w:tcBorders>
            <w:left w:val="single" w:sz="4" w:space="0" w:color="788184" w:themeColor="background2"/>
          </w:tcBorders>
          <w:vAlign w:val="center"/>
        </w:tcPr>
        <w:p w:rsidR="00704524" w:rsidRPr="00CB70DF" w:rsidRDefault="00704524" w:rsidP="00C80200">
          <w:pPr>
            <w:pStyle w:val="FooterLeft"/>
            <w:framePr w:wrap="auto" w:vAnchor="margin" w:hAnchor="text" w:yAlign="inline"/>
          </w:pPr>
          <w:r>
            <w:t>National fiscal trends</w:t>
          </w:r>
        </w:p>
      </w:tc>
    </w:tr>
    <w:tr w:rsidR="00704524" w:rsidRPr="00EB388E" w:rsidTr="00C80200">
      <w:trPr>
        <w:trHeight w:hRule="exact" w:val="403"/>
      </w:trPr>
      <w:tc>
        <w:tcPr>
          <w:tcW w:w="567" w:type="dxa"/>
          <w:tcMar>
            <w:bottom w:w="284" w:type="dxa"/>
          </w:tcMar>
        </w:tcPr>
        <w:p w:rsidR="00704524" w:rsidRPr="00EB388E" w:rsidRDefault="00704524" w:rsidP="00C80200">
          <w:pPr>
            <w:pStyle w:val="FooterRightPageNumber"/>
          </w:pPr>
        </w:p>
      </w:tc>
      <w:tc>
        <w:tcPr>
          <w:tcW w:w="8164" w:type="dxa"/>
          <w:tcMar>
            <w:bottom w:w="284" w:type="dxa"/>
          </w:tcMar>
        </w:tcPr>
        <w:p w:rsidR="00704524" w:rsidRPr="00090E70" w:rsidRDefault="00704524" w:rsidP="00C80200"/>
      </w:tc>
    </w:tr>
  </w:tbl>
  <w:p w:rsidR="00704524" w:rsidRDefault="00704524">
    <w:pPr>
      <w:pStyle w:val="Footer"/>
    </w:pPr>
  </w:p>
  <w:p w:rsidR="00704524" w:rsidRPr="004816D7" w:rsidRDefault="00704524" w:rsidP="004816D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3A23CE" w:rsidP="001C48DE">
          <w:pPr>
            <w:pStyle w:val="FooterRight"/>
            <w:framePr w:wrap="auto" w:vAnchor="margin" w:hAnchor="text" w:xAlign="left" w:yAlign="inline"/>
          </w:pPr>
          <w:r>
            <w:fldChar w:fldCharType="begin"/>
          </w:r>
          <w:r>
            <w:instrText xml:space="preserve"> STYLEREF  "Heading 1"  \* MERGEFORMAT </w:instrText>
          </w:r>
          <w:r>
            <w:fldChar w:fldCharType="separate"/>
          </w:r>
          <w:r>
            <w:rPr>
              <w:noProof/>
            </w:rPr>
            <w:t>Expenses</w:t>
          </w:r>
          <w:r>
            <w:rPr>
              <w:noProof/>
            </w:rPr>
            <w:fldChar w:fldCharType="end"/>
          </w: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25</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704524" w:rsidRPr="00EB388E" w:rsidTr="0087390B">
      <w:trPr>
        <w:trHeight w:val="340"/>
      </w:trPr>
      <w:tc>
        <w:tcPr>
          <w:tcW w:w="8164" w:type="dxa"/>
          <w:tcBorders>
            <w:right w:val="single" w:sz="4" w:space="0" w:color="788184" w:themeColor="background2"/>
          </w:tcBorders>
          <w:vAlign w:val="center"/>
        </w:tcPr>
        <w:p w:rsidR="00704524" w:rsidRPr="00CB70DF" w:rsidRDefault="003A23CE" w:rsidP="001C48DE">
          <w:pPr>
            <w:pStyle w:val="FooterRight"/>
            <w:framePr w:wrap="auto" w:vAnchor="margin" w:hAnchor="text" w:xAlign="left" w:yAlign="inline"/>
          </w:pPr>
          <w:r>
            <w:fldChar w:fldCharType="begin"/>
          </w:r>
          <w:r>
            <w:instrText xml:space="preserve"> STYLEREF  "Heading 1"  \* MERGEFORMAT </w:instrText>
          </w:r>
          <w:r>
            <w:fldChar w:fldCharType="separate"/>
          </w:r>
          <w:r>
            <w:rPr>
              <w:noProof/>
            </w:rPr>
            <w:t>Expenses</w:t>
          </w:r>
          <w:r>
            <w:rPr>
              <w:noProof/>
            </w:rPr>
            <w:fldChar w:fldCharType="end"/>
          </w:r>
        </w:p>
      </w:tc>
      <w:tc>
        <w:tcPr>
          <w:tcW w:w="567" w:type="dxa"/>
          <w:tcBorders>
            <w:left w:val="single" w:sz="4" w:space="0" w:color="788184" w:themeColor="background2"/>
          </w:tcBorders>
          <w:vAlign w:val="center"/>
        </w:tcPr>
        <w:p w:rsidR="00704524" w:rsidRPr="00CB70DF" w:rsidRDefault="00704524" w:rsidP="00E915E6">
          <w:pPr>
            <w:pStyle w:val="FooterRightPageNumber"/>
          </w:pPr>
          <w:r w:rsidRPr="00EB388E">
            <w:fldChar w:fldCharType="begin"/>
          </w:r>
          <w:r w:rsidRPr="00EB388E">
            <w:instrText xml:space="preserve"> PAGE   \* MERGEFORMAT </w:instrText>
          </w:r>
          <w:r w:rsidRPr="00EB388E">
            <w:fldChar w:fldCharType="separate"/>
          </w:r>
          <w:r w:rsidR="003A23CE">
            <w:t>35</w:t>
          </w:r>
          <w:r w:rsidRPr="00EB388E">
            <w:fldChar w:fldCharType="end"/>
          </w:r>
        </w:p>
      </w:tc>
    </w:tr>
    <w:tr w:rsidR="00704524" w:rsidRPr="00EB388E" w:rsidTr="004F1297">
      <w:trPr>
        <w:trHeight w:hRule="exact" w:val="403"/>
      </w:trPr>
      <w:tc>
        <w:tcPr>
          <w:tcW w:w="8164" w:type="dxa"/>
        </w:tcPr>
        <w:p w:rsidR="00704524" w:rsidRPr="00090E70" w:rsidRDefault="00704524" w:rsidP="0087390B"/>
      </w:tc>
      <w:tc>
        <w:tcPr>
          <w:tcW w:w="567" w:type="dxa"/>
          <w:tcMar>
            <w:bottom w:w="284" w:type="dxa"/>
          </w:tcMar>
        </w:tcPr>
        <w:p w:rsidR="00704524" w:rsidRPr="00090E70" w:rsidRDefault="00704524" w:rsidP="0087390B"/>
      </w:tc>
    </w:tr>
  </w:tbl>
  <w:p w:rsidR="00704524" w:rsidRDefault="00704524">
    <w:pPr>
      <w:pStyle w:val="Footer"/>
    </w:pPr>
  </w:p>
  <w:p w:rsidR="00704524" w:rsidRPr="004816D7" w:rsidRDefault="00704524" w:rsidP="004816D7">
    <w:pPr>
      <w:pStyle w:val="Footer"/>
    </w:pPr>
  </w:p>
  <w:p w:rsidR="00704524" w:rsidRDefault="007045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524" w:rsidRPr="000557A7" w:rsidRDefault="00704524" w:rsidP="008D5A11">
      <w:pPr>
        <w:pBdr>
          <w:top w:val="single" w:sz="4" w:space="1" w:color="auto"/>
        </w:pBdr>
        <w:spacing w:before="240" w:line="60" w:lineRule="exact"/>
        <w:rPr>
          <w:sz w:val="16"/>
          <w:szCs w:val="16"/>
        </w:rPr>
      </w:pPr>
    </w:p>
  </w:footnote>
  <w:footnote w:type="continuationSeparator" w:id="0">
    <w:p w:rsidR="00704524" w:rsidRDefault="00704524" w:rsidP="00A20802">
      <w:pPr>
        <w:spacing w:line="240" w:lineRule="auto"/>
      </w:pPr>
      <w:r>
        <w:continuationSeparator/>
      </w:r>
    </w:p>
    <w:p w:rsidR="00704524" w:rsidRDefault="00704524"/>
  </w:footnote>
  <w:footnote w:id="1">
    <w:p w:rsidR="00704524" w:rsidRDefault="00704524" w:rsidP="003F4841">
      <w:pPr>
        <w:pStyle w:val="FootnoteText"/>
      </w:pPr>
      <w:r w:rsidRPr="003F4841">
        <w:footnoteRef/>
      </w:r>
      <w:r w:rsidRPr="00E638E2">
        <w:t xml:space="preserve"> </w:t>
      </w:r>
      <w:r>
        <w:tab/>
      </w:r>
      <w:r w:rsidRPr="00E638E2">
        <w:t>Unless otherwise specified ‘states’ refers to states, territories and local governments. Data for local government are only available from 2002</w:t>
      </w:r>
      <w:r w:rsidR="00987B7D">
        <w:t>–</w:t>
      </w:r>
      <w:r w:rsidRPr="00E638E2">
        <w:t>03 to 2012</w:t>
      </w:r>
      <w:r w:rsidR="00987B7D">
        <w:t>–</w:t>
      </w:r>
      <w:r w:rsidRPr="00E638E2">
        <w:t xml:space="preserve">13. Trend estimates are used for key local government fiscal </w:t>
      </w:r>
      <w:r w:rsidR="00987B7D">
        <w:t>aggregates from 2013–14 to 2017–</w:t>
      </w:r>
      <w:r w:rsidRPr="00E638E2">
        <w:t>18.</w:t>
      </w:r>
      <w:r>
        <w:t xml:space="preserve"> </w:t>
      </w:r>
    </w:p>
    <w:p w:rsidR="00704524" w:rsidRDefault="00704524">
      <w:pPr>
        <w:pStyle w:val="FootnoteText"/>
      </w:pPr>
    </w:p>
  </w:footnote>
  <w:footnote w:id="2">
    <w:p w:rsidR="00704524" w:rsidRPr="00670941" w:rsidRDefault="00704524">
      <w:pPr>
        <w:pStyle w:val="FootnoteText"/>
      </w:pPr>
      <w:r w:rsidRPr="00670941">
        <w:footnoteRef/>
      </w:r>
      <w:r>
        <w:tab/>
        <w:t xml:space="preserve">Data in this report </w:t>
      </w:r>
      <w:r w:rsidRPr="00670941">
        <w:t>relates to the general government sector.  From 2002–03 to 2012–13 data is sourced from the ABS.  From 2013–14 to 2017–18 data is sourced from Commonwealth, state and territory budgets.  Spending is the sum of expenses and net capital investment.</w:t>
      </w:r>
    </w:p>
  </w:footnote>
  <w:footnote w:id="3">
    <w:p w:rsidR="00704524" w:rsidRPr="00FF452B" w:rsidRDefault="00704524">
      <w:pPr>
        <w:pStyle w:val="FootnoteText"/>
      </w:pPr>
      <w:r w:rsidRPr="00FF452B">
        <w:footnoteRef/>
      </w:r>
      <w:r>
        <w:tab/>
        <w:t>All growth rates quoted in this report refer to real compound annual average growth rates.</w:t>
      </w:r>
    </w:p>
  </w:footnote>
  <w:footnote w:id="4">
    <w:p w:rsidR="00704524" w:rsidRPr="005A05A0" w:rsidRDefault="00704524">
      <w:pPr>
        <w:pStyle w:val="FootnoteText"/>
      </w:pPr>
      <w:r w:rsidRPr="005F6A03">
        <w:footnoteRef/>
      </w:r>
      <w:r>
        <w:tab/>
        <w:t>The Queensland government holds a large pool of investments on its balance sheet sufficient to fully meet its superannuation liabilities.  Revenue can be significantly affected by volatility of returns generated on investments.</w:t>
      </w:r>
    </w:p>
  </w:footnote>
  <w:footnote w:id="5">
    <w:p w:rsidR="00704524" w:rsidRPr="00AA70E0" w:rsidRDefault="00704524">
      <w:pPr>
        <w:pStyle w:val="FootnoteText"/>
      </w:pPr>
      <w:r w:rsidRPr="00D9185A">
        <w:footnoteRef/>
      </w:r>
      <w:r w:rsidRPr="00D9185A">
        <w:tab/>
        <w:t>There is no average annual growth rate shown for net capital investment of the Commonwealth.  Commonwealth government net capital investment fell from $0.74 billion in 2002–03 to -$0.67 billion in 2012–13.  The net reduction in 2012-13 reflects the sale of spectrum licences in that year.</w:t>
      </w:r>
    </w:p>
  </w:footnote>
  <w:footnote w:id="6">
    <w:p w:rsidR="00704524" w:rsidRPr="001657E8" w:rsidRDefault="00704524" w:rsidP="00FA7CA0">
      <w:pPr>
        <w:pStyle w:val="FootnoteText"/>
      </w:pPr>
      <w:r w:rsidRPr="002D4096">
        <w:footnoteRef/>
      </w:r>
      <w:r>
        <w:tab/>
        <w:t xml:space="preserve">For a detailed discussion of historical trends in Commonwealth government receipts and spending see PBO reports </w:t>
      </w:r>
      <w:r w:rsidRPr="002D4096">
        <w:rPr>
          <w:i/>
        </w:rPr>
        <w:t>Trends in Australian Government receipts: 1982–83 to 2012–13</w:t>
      </w:r>
      <w:r w:rsidRPr="002D4096">
        <w:t xml:space="preserve"> and </w:t>
      </w:r>
      <w:r w:rsidRPr="002D4096">
        <w:rPr>
          <w:i/>
        </w:rPr>
        <w:t>Australian Government spending—Part 1: Historical trends from 2002–03 to 2012–13</w:t>
      </w:r>
      <w:r>
        <w:t>.</w:t>
      </w:r>
    </w:p>
  </w:footnote>
  <w:footnote w:id="7">
    <w:p w:rsidR="00704524" w:rsidRPr="002B5731" w:rsidRDefault="00704524">
      <w:pPr>
        <w:pStyle w:val="FootnoteText"/>
      </w:pPr>
      <w:r w:rsidRPr="005F6A03">
        <w:footnoteRef/>
      </w:r>
      <w:r>
        <w:tab/>
        <w:t>Net debt is the sum of selected financial liabilities (deposits held, advances received, government securities, loans and other borrowings) less the sum of selected financial assets (cash and deposits, advances paid, and investments, loans and placements).  It is a common measure of the strength of a government’s financial position.</w:t>
      </w:r>
    </w:p>
  </w:footnote>
  <w:footnote w:id="8">
    <w:p w:rsidR="00704524" w:rsidRPr="00035419" w:rsidRDefault="00704524" w:rsidP="00683027">
      <w:pPr>
        <w:pStyle w:val="FootnoteText"/>
      </w:pPr>
      <w:r w:rsidRPr="00035419">
        <w:footnoteRef/>
      </w:r>
      <w:r>
        <w:tab/>
        <w:t>Including own-source revenue</w:t>
      </w:r>
      <w:r w:rsidRPr="007A46E2">
        <w:t xml:space="preserve"> </w:t>
      </w:r>
      <w:r>
        <w:t>and revenue transferred to state governments but excluding revenue derived from state governments.</w:t>
      </w:r>
    </w:p>
  </w:footnote>
  <w:footnote w:id="9">
    <w:p w:rsidR="00704524" w:rsidRPr="00783634" w:rsidRDefault="00704524" w:rsidP="00F73C22">
      <w:pPr>
        <w:pStyle w:val="FootnoteText"/>
        <w:spacing w:before="0"/>
      </w:pPr>
      <w:r w:rsidRPr="00783634">
        <w:footnoteRef/>
      </w:r>
      <w:r>
        <w:tab/>
        <w:t>Tobacco figures are not reported separately due to taxpayer confidentiality.</w:t>
      </w:r>
    </w:p>
  </w:footnote>
  <w:footnote w:id="10">
    <w:p w:rsidR="00704524" w:rsidRPr="00D1304B" w:rsidRDefault="00704524" w:rsidP="00F73C22">
      <w:pPr>
        <w:pStyle w:val="FootnoteText"/>
      </w:pPr>
      <w:r w:rsidRPr="00275D1A">
        <w:footnoteRef/>
      </w:r>
      <w:r w:rsidRPr="00275D1A">
        <w:tab/>
        <w:t>Capital gains tax would normally be included in the individual income tax, company tax and superannuation fund tax figures.</w:t>
      </w:r>
      <w:r>
        <w:t xml:space="preserve"> </w:t>
      </w:r>
      <w:r w:rsidRPr="00275D1A">
        <w:t xml:space="preserve"> For the purposes of this analysis it has been separately identified as its own head of revenue.</w:t>
      </w:r>
    </w:p>
  </w:footnote>
  <w:footnote w:id="11">
    <w:p w:rsidR="00704524" w:rsidRPr="00E1682D" w:rsidRDefault="00704524" w:rsidP="00F73C22">
      <w:pPr>
        <w:pStyle w:val="FootnoteText"/>
        <w:spacing w:before="0"/>
      </w:pPr>
      <w:r w:rsidRPr="00E1682D">
        <w:footnoteRef/>
      </w:r>
      <w:r>
        <w:tab/>
        <w:t>Figures do not add to the total due to rounding.</w:t>
      </w:r>
    </w:p>
  </w:footnote>
  <w:footnote w:id="12">
    <w:p w:rsidR="00704524" w:rsidRPr="00C72FB4" w:rsidRDefault="00704524" w:rsidP="00F73C22">
      <w:pPr>
        <w:pStyle w:val="FootnoteText"/>
        <w:spacing w:before="0"/>
      </w:pPr>
      <w:r w:rsidRPr="00C72FB4">
        <w:footnoteRef/>
      </w:r>
      <w:r>
        <w:tab/>
      </w:r>
      <w:r w:rsidRPr="001A6E45">
        <w:rPr>
          <w:i/>
        </w:rPr>
        <w:t>Trends in Australian Government receipts: 1982–83 to 2012–13</w:t>
      </w:r>
      <w:r>
        <w:rPr>
          <w:i/>
        </w:rPr>
        <w:t>,</w:t>
      </w:r>
      <w:r w:rsidRPr="003A70F2">
        <w:t xml:space="preserve"> </w:t>
      </w:r>
      <w:r w:rsidRPr="00911B38">
        <w:t>PBO, p.</w:t>
      </w:r>
      <w:r w:rsidRPr="00553B07">
        <w:t xml:space="preserve"> 51</w:t>
      </w:r>
      <w:r w:rsidRPr="00911B38">
        <w:t>.</w:t>
      </w:r>
      <w:r>
        <w:t xml:space="preserve"> </w:t>
      </w:r>
    </w:p>
  </w:footnote>
  <w:footnote w:id="13">
    <w:p w:rsidR="00704524" w:rsidRPr="00037D44" w:rsidRDefault="00704524">
      <w:pPr>
        <w:pStyle w:val="FootnoteText"/>
      </w:pPr>
      <w:r w:rsidRPr="00553B07">
        <w:footnoteRef/>
      </w:r>
      <w:r>
        <w:tab/>
        <w:t>Taxes on property mainly comprise land taxes and municipal rates, but do not include conveyance stamp duty, which is discussed separately here.</w:t>
      </w:r>
    </w:p>
  </w:footnote>
  <w:footnote w:id="14">
    <w:p w:rsidR="00704524" w:rsidRPr="00060710" w:rsidRDefault="00704524">
      <w:pPr>
        <w:pStyle w:val="FootnoteText"/>
      </w:pPr>
      <w:r w:rsidRPr="00060710">
        <w:footnoteRef/>
      </w:r>
      <w:r>
        <w:tab/>
      </w:r>
      <w:r w:rsidRPr="0022227B">
        <w:t>Consistent data for all revenue heads is not available beyond 2012</w:t>
      </w:r>
      <w:r>
        <w:t>–</w:t>
      </w:r>
      <w:r w:rsidRPr="0022227B">
        <w:t>13.</w:t>
      </w:r>
    </w:p>
  </w:footnote>
  <w:footnote w:id="15">
    <w:p w:rsidR="00704524" w:rsidRPr="00B63ADF" w:rsidRDefault="00704524">
      <w:pPr>
        <w:pStyle w:val="FootnoteText"/>
      </w:pPr>
      <w:r w:rsidRPr="00B63ADF">
        <w:footnoteRef/>
      </w:r>
      <w:r>
        <w:tab/>
      </w:r>
      <w:r w:rsidRPr="0022227B">
        <w:t>While all states exhibited a decline in convey</w:t>
      </w:r>
      <w:r>
        <w:t>ance stamp duty revenue in 2008–</w:t>
      </w:r>
      <w:r w:rsidRPr="0022227B">
        <w:t>09, only the states with the largest conveyance stamp duty revenue have been included.</w:t>
      </w:r>
      <w:r>
        <w:t xml:space="preserve">  </w:t>
      </w:r>
      <w:r w:rsidRPr="00393372">
        <w:t>Consistent data for conveyance stamp duty is not available beyond 2012</w:t>
      </w:r>
      <w:r>
        <w:t>–</w:t>
      </w:r>
      <w:r w:rsidRPr="00393372">
        <w:t>13.</w:t>
      </w:r>
    </w:p>
  </w:footnote>
  <w:footnote w:id="16">
    <w:p w:rsidR="00704524" w:rsidRPr="00445D3A" w:rsidRDefault="00704524">
      <w:pPr>
        <w:pStyle w:val="FootnoteText"/>
      </w:pPr>
      <w:r w:rsidRPr="00553B07">
        <w:footnoteRef/>
      </w:r>
      <w:r>
        <w:tab/>
        <w:t>Royalty revenue discussed here does not include royalties from off-shore activities which are collected by the Commonwealth on behalf of states.  These royalties are fully provided to the states as part of general revenue assistance.  States treat this revenue as a grant from the Commonwealth rather than royalties.  Most of these royalties are collected by the Commonwealth on behalf of Western Australia.</w:t>
      </w:r>
    </w:p>
  </w:footnote>
  <w:footnote w:id="17">
    <w:p w:rsidR="00704524" w:rsidRPr="00C766F0" w:rsidRDefault="00704524" w:rsidP="00B63ADF">
      <w:pPr>
        <w:pStyle w:val="FootnoteText"/>
      </w:pPr>
      <w:r w:rsidRPr="00C766F0">
        <w:footnoteRef/>
      </w:r>
      <w:r>
        <w:tab/>
      </w:r>
      <w:r w:rsidRPr="00396180">
        <w:rPr>
          <w:i/>
        </w:rPr>
        <w:t>2014-15 Mid-year Financial Projections Statement</w:t>
      </w:r>
      <w:r w:rsidRPr="00396180">
        <w:t>, The Government of Western Australia, p. 3</w:t>
      </w:r>
    </w:p>
  </w:footnote>
  <w:footnote w:id="18">
    <w:p w:rsidR="00704524" w:rsidRPr="00561489" w:rsidRDefault="00704524" w:rsidP="00B63ADF">
      <w:pPr>
        <w:pStyle w:val="FootnoteText"/>
      </w:pPr>
      <w:r w:rsidRPr="00561489">
        <w:footnoteRef/>
      </w:r>
      <w:r>
        <w:tab/>
      </w:r>
      <w:r w:rsidRPr="00396180">
        <w:rPr>
          <w:i/>
        </w:rPr>
        <w:t>2014-15 Budget Paper No. 3</w:t>
      </w:r>
      <w:r w:rsidRPr="00396180">
        <w:t>, The Government of Western Australia, p. 7</w:t>
      </w:r>
    </w:p>
  </w:footnote>
  <w:footnote w:id="19">
    <w:p w:rsidR="00704524" w:rsidRPr="000B5666" w:rsidRDefault="00704524" w:rsidP="00AB63D0">
      <w:pPr>
        <w:pStyle w:val="FootnoteText"/>
      </w:pPr>
      <w:r w:rsidRPr="00F55114">
        <w:footnoteRef/>
      </w:r>
      <w:r>
        <w:tab/>
        <w:t xml:space="preserve">See PBO report </w:t>
      </w:r>
      <w:r w:rsidRPr="001A6E45">
        <w:rPr>
          <w:i/>
        </w:rPr>
        <w:t>Trends in Australian Government receipts: 1982–83 to 2012–13</w:t>
      </w:r>
      <w:r>
        <w:rPr>
          <w:i/>
        </w:rPr>
        <w:t>.</w:t>
      </w:r>
    </w:p>
  </w:footnote>
  <w:footnote w:id="20">
    <w:p w:rsidR="00704524" w:rsidRPr="00F13E5A" w:rsidRDefault="00704524">
      <w:pPr>
        <w:pStyle w:val="FootnoteText"/>
      </w:pPr>
      <w:r w:rsidRPr="00F13E5A">
        <w:footnoteRef/>
      </w:r>
      <w:r>
        <w:tab/>
        <w:t>The transfer component shown includes both tied funding (</w:t>
      </w:r>
      <w:proofErr w:type="spellStart"/>
      <w:r>
        <w:t>eg</w:t>
      </w:r>
      <w:proofErr w:type="spellEnd"/>
      <w:r>
        <w:t xml:space="preserve"> specific-purpose payments), and untied funding (</w:t>
      </w:r>
      <w:proofErr w:type="spellStart"/>
      <w:r>
        <w:t>eg</w:t>
      </w:r>
      <w:proofErr w:type="spellEnd"/>
      <w:r>
        <w:t xml:space="preserve"> GST payments to the states).  There is no transfer component in the state government expenditure presented.  All data in this section relates to the general government sector.  The transfer component also includes funding to states for capital purposes.</w:t>
      </w:r>
    </w:p>
  </w:footnote>
  <w:footnote w:id="21">
    <w:p w:rsidR="00704524" w:rsidRPr="00156EC6" w:rsidRDefault="00704524" w:rsidP="00936C71">
      <w:pPr>
        <w:pStyle w:val="FootnoteText"/>
      </w:pPr>
      <w:r w:rsidRPr="009448D4">
        <w:footnoteRef/>
      </w:r>
      <w:r>
        <w:tab/>
        <w:t>The transfer component relates only to Commonwealth payments to state governments that can be attributed to specific expenditure functions (</w:t>
      </w:r>
      <w:proofErr w:type="spellStart"/>
      <w:r>
        <w:t>ie</w:t>
      </w:r>
      <w:proofErr w:type="spellEnd"/>
      <w:r>
        <w:t xml:space="preserve"> tied funding).  It does not include untied funding (</w:t>
      </w:r>
      <w:proofErr w:type="spellStart"/>
      <w:r>
        <w:t>ie</w:t>
      </w:r>
      <w:proofErr w:type="spellEnd"/>
      <w:r>
        <w:t xml:space="preserve"> GST payments to the states), which cannot be attributed to specific functions and is included in the state component.  This means that some state expenditure is funded by Commonwealth transfers.  The transfer component also includes funding to states for capital purposes. This is discussed in more detail in Chapter 4.</w:t>
      </w:r>
    </w:p>
  </w:footnote>
  <w:footnote w:id="22">
    <w:p w:rsidR="00704524" w:rsidRPr="00BC67D7" w:rsidRDefault="00704524" w:rsidP="0068328D">
      <w:pPr>
        <w:pStyle w:val="FootnoteText"/>
      </w:pPr>
      <w:r w:rsidRPr="009448D4">
        <w:footnoteRef/>
      </w:r>
      <w:r>
        <w:tab/>
        <w:t>The transfer component relates only to Commonwealth payments to state governments that can be attributed to specific expenditure functions (</w:t>
      </w:r>
      <w:proofErr w:type="spellStart"/>
      <w:r>
        <w:t>ie</w:t>
      </w:r>
      <w:proofErr w:type="spellEnd"/>
      <w:r>
        <w:t xml:space="preserve"> tied funding).  It does not include untied funding (</w:t>
      </w:r>
      <w:proofErr w:type="spellStart"/>
      <w:r>
        <w:t>ie</w:t>
      </w:r>
      <w:proofErr w:type="spellEnd"/>
      <w:r>
        <w:t xml:space="preserve"> GST payments to the states), which cannot be attributed to specific functions and is included in the state component.  This means that some state expenditure is funded by Commonwealth transfers.  The transfer component also includes funding to states for capital purposes. This is discussed in more detail in Chapter 4.</w:t>
      </w:r>
    </w:p>
  </w:footnote>
  <w:footnote w:id="23">
    <w:p w:rsidR="00704524" w:rsidRPr="00820B6C" w:rsidRDefault="00704524" w:rsidP="009B0447">
      <w:pPr>
        <w:pStyle w:val="FootnoteText"/>
      </w:pPr>
      <w:r w:rsidRPr="00820B6C">
        <w:footnoteRef/>
      </w:r>
      <w:r>
        <w:tab/>
        <w:t>General Revenue Assistance (that is, GST payments to the states) is normally included in this area of expenditure as a transfer from the Commonwealth to the states.  However, because it is ultimately expended by the states and included in states’ expenses data, the transfer is omitted to avoid double</w:t>
      </w:r>
      <w:r>
        <w:noBreakHyphen/>
        <w:t>counting.  Therefore, no transfer component is shown for this function.</w:t>
      </w:r>
    </w:p>
  </w:footnote>
  <w:footnote w:id="24">
    <w:p w:rsidR="00704524" w:rsidRPr="00CE5380" w:rsidRDefault="00704524" w:rsidP="00C45774">
      <w:pPr>
        <w:pStyle w:val="FootnoteText"/>
      </w:pPr>
      <w:r w:rsidRPr="00CE5380">
        <w:footnoteRef/>
      </w:r>
      <w:r>
        <w:tab/>
      </w:r>
      <w:r w:rsidRPr="004631CC">
        <w:t xml:space="preserve">The transfer component </w:t>
      </w:r>
      <w:r>
        <w:t>described</w:t>
      </w:r>
      <w:r w:rsidRPr="004631CC">
        <w:t xml:space="preserve"> here does not include funding to states for capital purposes. </w:t>
      </w:r>
      <w:r>
        <w:t xml:space="preserve"> Apart from Figures 3–5 and 3–7, a</w:t>
      </w:r>
      <w:r w:rsidRPr="004631CC">
        <w:t>ll other references to transfers in this chapter include transfers for both recurrent and capital purposes.</w:t>
      </w:r>
    </w:p>
  </w:footnote>
  <w:footnote w:id="25">
    <w:p w:rsidR="00704524" w:rsidRPr="00456185" w:rsidRDefault="00704524" w:rsidP="00AB7280">
      <w:pPr>
        <w:pStyle w:val="FootnoteText"/>
        <w:keepNext/>
      </w:pPr>
      <w:r w:rsidRPr="00456185">
        <w:footnoteRef/>
      </w:r>
      <w:r>
        <w:tab/>
      </w:r>
      <w:proofErr w:type="gramStart"/>
      <w:r w:rsidRPr="00820B6C">
        <w:rPr>
          <w:i/>
        </w:rPr>
        <w:t>Projections of Government spending over the medium term</w:t>
      </w:r>
      <w:r>
        <w:t>, PBO, p. 9.</w:t>
      </w:r>
      <w:proofErr w:type="gramEnd"/>
    </w:p>
  </w:footnote>
  <w:footnote w:id="26">
    <w:p w:rsidR="00704524" w:rsidRPr="007C023F" w:rsidRDefault="00704524" w:rsidP="00AB7280">
      <w:pPr>
        <w:pStyle w:val="FootnoteText"/>
      </w:pPr>
      <w:r w:rsidRPr="009448D4">
        <w:footnoteRef/>
      </w:r>
      <w:r>
        <w:tab/>
        <w:t>State figures include health expenditure funded by transfers from the Commonwealth (both tied and untied).  The figures given for the Commonwealth are for own-purpose health expenditure only.</w:t>
      </w:r>
    </w:p>
  </w:footnote>
  <w:footnote w:id="27">
    <w:p w:rsidR="00704524" w:rsidRPr="003C60D9" w:rsidRDefault="00704524" w:rsidP="007F6BC2">
      <w:pPr>
        <w:pStyle w:val="FootnoteText"/>
      </w:pPr>
      <w:r w:rsidRPr="003C60D9">
        <w:footnoteRef/>
      </w:r>
      <w:r>
        <w:tab/>
        <w:t>State only (</w:t>
      </w:r>
      <w:proofErr w:type="spellStart"/>
      <w:r>
        <w:t>ie</w:t>
      </w:r>
      <w:proofErr w:type="spellEnd"/>
      <w:r>
        <w:t xml:space="preserve"> excludes local government).</w:t>
      </w:r>
    </w:p>
  </w:footnote>
  <w:footnote w:id="28">
    <w:p w:rsidR="00704524" w:rsidRPr="00845D90" w:rsidRDefault="00704524" w:rsidP="007F6BC2">
      <w:pPr>
        <w:pStyle w:val="FootnoteText"/>
      </w:pPr>
      <w:r w:rsidRPr="00845D90">
        <w:footnoteRef/>
      </w:r>
      <w:r w:rsidRPr="00845D90">
        <w:t xml:space="preserve"> </w:t>
      </w:r>
      <w:r>
        <w:tab/>
      </w:r>
      <w:r>
        <w:rPr>
          <w:szCs w:val="18"/>
        </w:rPr>
        <w:t xml:space="preserve">This report generally uses data based on </w:t>
      </w:r>
      <w:r w:rsidRPr="00971208">
        <w:rPr>
          <w:szCs w:val="18"/>
        </w:rPr>
        <w:t>GFS</w:t>
      </w:r>
      <w:r>
        <w:rPr>
          <w:i/>
          <w:szCs w:val="18"/>
        </w:rPr>
        <w:t xml:space="preserve"> </w:t>
      </w:r>
      <w:r>
        <w:rPr>
          <w:szCs w:val="18"/>
        </w:rPr>
        <w:t>classifications.  For consistency with this approach, p</w:t>
      </w:r>
      <w:r w:rsidRPr="00EF0D89">
        <w:rPr>
          <w:szCs w:val="18"/>
        </w:rPr>
        <w:t xml:space="preserve">ublic hospital expenditure in this chapter is based on the </w:t>
      </w:r>
      <w:r>
        <w:rPr>
          <w:szCs w:val="18"/>
        </w:rPr>
        <w:t>GFS</w:t>
      </w:r>
      <w:r w:rsidRPr="00EF0D89">
        <w:rPr>
          <w:i/>
          <w:szCs w:val="18"/>
        </w:rPr>
        <w:t xml:space="preserve"> </w:t>
      </w:r>
      <w:r w:rsidRPr="00EF0D89">
        <w:rPr>
          <w:szCs w:val="18"/>
        </w:rPr>
        <w:t xml:space="preserve">acute care sub-function as published by the ABS, Commonwealth and states. </w:t>
      </w:r>
      <w:r>
        <w:rPr>
          <w:szCs w:val="18"/>
        </w:rPr>
        <w:t xml:space="preserve"> </w:t>
      </w:r>
      <w:r w:rsidRPr="00EF0D89">
        <w:rPr>
          <w:szCs w:val="18"/>
        </w:rPr>
        <w:t xml:space="preserve">The Australian Institute of Health and Welfare (AIHW) uses an alternative definition and notes that state spending on public </w:t>
      </w:r>
      <w:r>
        <w:rPr>
          <w:szCs w:val="18"/>
        </w:rPr>
        <w:t xml:space="preserve">hospitals </w:t>
      </w:r>
      <w:r w:rsidRPr="00EF0D89">
        <w:rPr>
          <w:rFonts w:cs="Calibri"/>
          <w:szCs w:val="18"/>
        </w:rPr>
        <w:t>rose from 5</w:t>
      </w:r>
      <w:r>
        <w:rPr>
          <w:rFonts w:cs="Calibri"/>
          <w:szCs w:val="18"/>
        </w:rPr>
        <w:t>1 per cent in 2001–02 to 58 per </w:t>
      </w:r>
      <w:r w:rsidRPr="00EF0D89">
        <w:rPr>
          <w:rFonts w:cs="Calibri"/>
          <w:szCs w:val="18"/>
        </w:rPr>
        <w:t>cent in 2011</w:t>
      </w:r>
      <w:r>
        <w:rPr>
          <w:rFonts w:cs="Calibri"/>
          <w:szCs w:val="18"/>
        </w:rPr>
        <w:t>–</w:t>
      </w:r>
      <w:r w:rsidRPr="00EF0D89">
        <w:rPr>
          <w:rFonts w:cs="Calibri"/>
          <w:szCs w:val="18"/>
        </w:rPr>
        <w:t>12.</w:t>
      </w:r>
    </w:p>
  </w:footnote>
  <w:footnote w:id="29">
    <w:p w:rsidR="00704524" w:rsidRPr="00F40A08" w:rsidRDefault="00704524" w:rsidP="007F6BC2">
      <w:pPr>
        <w:pStyle w:val="FootnoteText"/>
      </w:pPr>
      <w:r w:rsidRPr="00F40A08">
        <w:footnoteRef/>
      </w:r>
      <w:r w:rsidRPr="00F40A08">
        <w:t xml:space="preserve"> </w:t>
      </w:r>
      <w:r>
        <w:tab/>
      </w:r>
      <w:r w:rsidRPr="00F40A08">
        <w:t>Com</w:t>
      </w:r>
      <w:r>
        <w:t>parable estimates of state spending on public hospitals are not available beyond 2013–14.</w:t>
      </w:r>
    </w:p>
  </w:footnote>
  <w:footnote w:id="30">
    <w:p w:rsidR="00704524" w:rsidRPr="007C023F" w:rsidRDefault="00704524" w:rsidP="007F6BC2">
      <w:pPr>
        <w:pStyle w:val="FootnoteText"/>
      </w:pPr>
      <w:r w:rsidRPr="009448D4">
        <w:footnoteRef/>
      </w:r>
      <w:r>
        <w:tab/>
      </w:r>
      <w:proofErr w:type="gramStart"/>
      <w:r w:rsidRPr="00AF193B">
        <w:rPr>
          <w:i/>
        </w:rPr>
        <w:t>Australia’s health 2014</w:t>
      </w:r>
      <w:r>
        <w:t>, Australian Institute of Health and Welfare.</w:t>
      </w:r>
      <w:proofErr w:type="gramEnd"/>
    </w:p>
  </w:footnote>
  <w:footnote w:id="31">
    <w:p w:rsidR="00704524" w:rsidRPr="00725E8A" w:rsidRDefault="00704524" w:rsidP="00217C38">
      <w:pPr>
        <w:pStyle w:val="FootnoteText"/>
      </w:pPr>
      <w:r w:rsidRPr="00725E8A">
        <w:footnoteRef/>
      </w:r>
      <w:r w:rsidRPr="00725E8A">
        <w:t xml:space="preserve"> </w:t>
      </w:r>
      <w:r>
        <w:tab/>
        <w:t xml:space="preserve">Schedule D - </w:t>
      </w:r>
      <w:r w:rsidRPr="00725E8A">
        <w:t xml:space="preserve">Intergovernmental Agreement on Federal Financial </w:t>
      </w:r>
      <w:r>
        <w:t>Relations.  The health growth factor was a five year average of the AIHW health price index and the technology factor was derived by the Productivity Commission.</w:t>
      </w:r>
    </w:p>
  </w:footnote>
  <w:footnote w:id="32">
    <w:p w:rsidR="00704524" w:rsidRPr="00BB4173" w:rsidRDefault="00704524" w:rsidP="00C45774">
      <w:pPr>
        <w:pStyle w:val="FootnoteText"/>
      </w:pPr>
      <w:r w:rsidRPr="00BB4173">
        <w:footnoteRef/>
      </w:r>
      <w:r>
        <w:tab/>
        <w:t>The transfer component described here does not include funding to states for capital purposes.  Apart from Figures 3–5 and 3–7, a</w:t>
      </w:r>
      <w:r w:rsidRPr="004631CC">
        <w:t>ll other references to transfers in this chapter include transfers for both recurrent and capital purposes.</w:t>
      </w:r>
    </w:p>
  </w:footnote>
  <w:footnote w:id="33">
    <w:p w:rsidR="00704524" w:rsidRPr="00F610A8" w:rsidRDefault="00704524">
      <w:pPr>
        <w:pStyle w:val="FootnoteText"/>
      </w:pPr>
      <w:r w:rsidRPr="00727F01">
        <w:footnoteRef/>
      </w:r>
      <w:r>
        <w:tab/>
      </w:r>
      <w:proofErr w:type="gramStart"/>
      <w:r w:rsidRPr="00820B6C">
        <w:rPr>
          <w:i/>
        </w:rPr>
        <w:t>Projections of Government spending over the medium term</w:t>
      </w:r>
      <w:r>
        <w:t>, PBO, p. 30.</w:t>
      </w:r>
      <w:proofErr w:type="gramEnd"/>
    </w:p>
  </w:footnote>
  <w:footnote w:id="34">
    <w:p w:rsidR="00704524" w:rsidRPr="00F610A8" w:rsidRDefault="00704524">
      <w:pPr>
        <w:pStyle w:val="FootnoteText"/>
      </w:pPr>
      <w:r w:rsidRPr="00727F01">
        <w:footnoteRef/>
      </w:r>
      <w:r>
        <w:tab/>
      </w:r>
      <w:r w:rsidRPr="00F610A8">
        <w:rPr>
          <w:i/>
        </w:rPr>
        <w:t>Final Report</w:t>
      </w:r>
      <w:r w:rsidRPr="00F610A8">
        <w:t>, Review of the Demand Driven Funding System</w:t>
      </w:r>
      <w:r>
        <w:t>, p. 3.</w:t>
      </w:r>
    </w:p>
  </w:footnote>
  <w:footnote w:id="35">
    <w:p w:rsidR="00704524" w:rsidRPr="00653815" w:rsidRDefault="00704524" w:rsidP="00316D7C">
      <w:pPr>
        <w:pStyle w:val="FootnoteText"/>
      </w:pPr>
      <w:r w:rsidRPr="009448D4">
        <w:footnoteRef/>
      </w:r>
      <w:r>
        <w:tab/>
      </w:r>
      <w:r w:rsidRPr="00B402CF">
        <w:t>Includes expenditure funded by transfers from the Commonwealth (both tied and untied).</w:t>
      </w:r>
    </w:p>
  </w:footnote>
  <w:footnote w:id="36">
    <w:p w:rsidR="00704524" w:rsidRPr="00406D31" w:rsidRDefault="00704524" w:rsidP="00467FFB">
      <w:pPr>
        <w:pStyle w:val="FootnoteText"/>
      </w:pPr>
      <w:r w:rsidRPr="00406D31">
        <w:footnoteRef/>
      </w:r>
      <w:r>
        <w:tab/>
        <w:t>This growth reflects arrangements under the NERA agreed to by five states which included nominal growth of 3 per cent annually for base funding from 2014–15 to 2018–19 with some variation at the beginning of the period and an additional funding component.  Over the period, funding from the three states under Students First agreements is assumed to grow by 3 per cent annually in nominal terms with no additional funding component.</w:t>
      </w:r>
    </w:p>
  </w:footnote>
  <w:footnote w:id="37">
    <w:p w:rsidR="00704524" w:rsidRPr="00467FFB" w:rsidRDefault="00704524" w:rsidP="00467FFB">
      <w:pPr>
        <w:pStyle w:val="FootnoteText"/>
        <w:rPr>
          <w:szCs w:val="18"/>
        </w:rPr>
      </w:pPr>
      <w:r w:rsidRPr="00467FFB">
        <w:rPr>
          <w:rStyle w:val="FootnoteReference"/>
          <w:szCs w:val="18"/>
          <w:vertAlign w:val="baseline"/>
        </w:rPr>
        <w:footnoteRef/>
      </w:r>
      <w:r>
        <w:rPr>
          <w:szCs w:val="18"/>
        </w:rPr>
        <w:tab/>
      </w:r>
      <w:r w:rsidRPr="00467FFB">
        <w:rPr>
          <w:szCs w:val="18"/>
        </w:rPr>
        <w:t>Gross fixed capital formation is expenditure on new capital plus additions and replacements of existing assets.  It does not take into account asset disposals or depreciation.</w:t>
      </w:r>
    </w:p>
  </w:footnote>
  <w:footnote w:id="38">
    <w:p w:rsidR="00704524" w:rsidRPr="00A44393" w:rsidRDefault="00704524" w:rsidP="007757D9">
      <w:pPr>
        <w:pStyle w:val="FootnoteText"/>
      </w:pPr>
      <w:r w:rsidRPr="00A44393">
        <w:footnoteRef/>
      </w:r>
      <w:r w:rsidRPr="00A44393">
        <w:t xml:space="preserve"> </w:t>
      </w:r>
      <w:r>
        <w:tab/>
      </w:r>
      <w:r w:rsidRPr="00A44393">
        <w:t>Refers to state net capital investment only and does not include local government.</w:t>
      </w:r>
    </w:p>
  </w:footnote>
  <w:footnote w:id="39">
    <w:p w:rsidR="00704524" w:rsidRPr="00BF436B" w:rsidRDefault="00704524">
      <w:pPr>
        <w:pStyle w:val="FootnoteText"/>
      </w:pPr>
      <w:r w:rsidRPr="00BF034B">
        <w:footnoteRef/>
      </w:r>
      <w:r>
        <w:tab/>
        <w:t>Net debt is the sum of selected financial liabilities (deposits held, advances received, government securities, loans and other borrowings) less the sum of selected financial assets (cash and deposits, advances paid, and investments, loans and placements).  It is a common measure of the strength of a government’s financial position.</w:t>
      </w:r>
    </w:p>
  </w:footnote>
  <w:footnote w:id="40">
    <w:p w:rsidR="00704524" w:rsidRPr="00BC2BC8" w:rsidRDefault="00704524" w:rsidP="00846A0B">
      <w:pPr>
        <w:pStyle w:val="FootnoteText"/>
      </w:pPr>
      <w:r w:rsidRPr="00BC2BC8">
        <w:footnoteRef/>
      </w:r>
      <w:r>
        <w:tab/>
        <w:t>Data relates to states only (</w:t>
      </w:r>
      <w:proofErr w:type="spellStart"/>
      <w:r>
        <w:t>ie</w:t>
      </w:r>
      <w:proofErr w:type="spellEnd"/>
      <w:r>
        <w:t xml:space="preserve"> excludes local government).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mc:AlternateContent>
        <mc:Choice Requires="wps">
          <w:drawing>
            <wp:anchor distT="0" distB="0" distL="114300" distR="114300" simplePos="0" relativeHeight="251663360" behindDoc="1" locked="1" layoutInCell="1" allowOverlap="1" wp14:anchorId="1FD5BB1A" wp14:editId="6577A00C">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w:drawing>
        <wp:anchor distT="0" distB="0" distL="114300" distR="114300" simplePos="0" relativeHeight="251694080" behindDoc="1" locked="0" layoutInCell="1" allowOverlap="1" wp14:anchorId="76BFAA3C" wp14:editId="31F2BFDA">
          <wp:simplePos x="0" y="0"/>
          <wp:positionH relativeFrom="page">
            <wp:posOffset>0</wp:posOffset>
          </wp:positionH>
          <wp:positionV relativeFrom="page">
            <wp:posOffset>0</wp:posOffset>
          </wp:positionV>
          <wp:extent cx="7563600" cy="10695600"/>
          <wp:effectExtent l="0" t="0" r="0" b="0"/>
          <wp:wrapNone/>
          <wp:docPr id="235" name="Picture 235"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93056" behindDoc="1" locked="1" layoutInCell="1" allowOverlap="1" wp14:anchorId="48B6D201" wp14:editId="28A358F7">
              <wp:simplePos x="0" y="0"/>
              <wp:positionH relativeFrom="page">
                <wp:align>center</wp:align>
              </wp:positionH>
              <wp:positionV relativeFrom="page">
                <wp:align>center</wp:align>
              </wp:positionV>
              <wp:extent cx="7560000" cy="1796400"/>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23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i5kuwIAAMQ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bHi5kuwIA&#10;AMQFAAAOAAAAAAAAAAAAAAAAAC4CAABkcnMvZTJvRG9jLnhtbFBLAQItABQABgAIAAAAIQA0xUTO&#10;2wAAAAYBAAAPAAAAAAAAAAAAAAAAABUFAABkcnMvZG93bnJldi54bWxQSwUGAAAAAAQABADzAAAA&#10;HQYAAA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w:drawing>
        <wp:anchor distT="0" distB="0" distL="114300" distR="114300" simplePos="0" relativeHeight="251688960" behindDoc="1" locked="0" layoutInCell="1" allowOverlap="1" wp14:anchorId="1D98C516" wp14:editId="08CDB02B">
          <wp:simplePos x="0" y="0"/>
          <wp:positionH relativeFrom="page">
            <wp:posOffset>0</wp:posOffset>
          </wp:positionH>
          <wp:positionV relativeFrom="page">
            <wp:posOffset>0</wp:posOffset>
          </wp:positionV>
          <wp:extent cx="7563600" cy="10695600"/>
          <wp:effectExtent l="0" t="0" r="0" b="0"/>
          <wp:wrapNone/>
          <wp:docPr id="237" name="Picture 237"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7936" behindDoc="1" locked="1" layoutInCell="1" allowOverlap="1" wp14:anchorId="55EC068F" wp14:editId="5AC48AD7">
              <wp:simplePos x="0" y="0"/>
              <wp:positionH relativeFrom="page">
                <wp:align>center</wp:align>
              </wp:positionH>
              <wp:positionV relativeFrom="page">
                <wp:align>center</wp:align>
              </wp:positionV>
              <wp:extent cx="7560000" cy="1796400"/>
              <wp:effectExtent l="0" t="0" r="0" b="0"/>
              <wp:wrapNone/>
              <wp:docPr id="2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285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l1YzcLwC&#10;AADFBQAADgAAAAAAAAAAAAAAAAAuAgAAZHJzL2Uyb0RvYy54bWxQSwECLQAUAAYACAAAACEANMVE&#10;ztsAAAAGAQAADwAAAAAAAAAAAAAAAAAWBQAAZHJzL2Rvd25yZXYueG1sUEsFBgAAAAAEAAQA8wAA&#10;AB4GAAAA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mc:AlternateContent>
        <mc:Choice Requires="wps">
          <w:drawing>
            <wp:anchor distT="0" distB="0" distL="114300" distR="114300" simplePos="0" relativeHeight="251665408" behindDoc="1" locked="1" layoutInCell="1" allowOverlap="1" wp14:anchorId="3943D0C4" wp14:editId="79ACB1F6">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w:drawing>
        <wp:anchor distT="0" distB="0" distL="114300" distR="114300" simplePos="0" relativeHeight="251674624" behindDoc="1" locked="0" layoutInCell="1" allowOverlap="1" wp14:anchorId="7134247F" wp14:editId="78691F2F">
          <wp:simplePos x="0" y="0"/>
          <wp:positionH relativeFrom="page">
            <wp:posOffset>0</wp:posOffset>
          </wp:positionH>
          <wp:positionV relativeFrom="page">
            <wp:posOffset>0</wp:posOffset>
          </wp:positionV>
          <wp:extent cx="7563600" cy="10695600"/>
          <wp:effectExtent l="0" t="0" r="0" b="0"/>
          <wp:wrapNone/>
          <wp:docPr id="13" name="Picture 13" descr="Parliament of Australia. 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mc:AlternateContent>
        <mc:Choice Requires="wps">
          <w:drawing>
            <wp:anchor distT="0" distB="0" distL="114300" distR="114300" simplePos="0" relativeHeight="251669504" behindDoc="1" locked="1" layoutInCell="1" allowOverlap="1" wp14:anchorId="1744B71D" wp14:editId="42319480">
              <wp:simplePos x="0" y="0"/>
              <wp:positionH relativeFrom="page">
                <wp:align>center</wp:align>
              </wp:positionH>
              <wp:positionV relativeFrom="page">
                <wp:align>center</wp:align>
              </wp:positionV>
              <wp:extent cx="7560000" cy="1796400"/>
              <wp:effectExtent l="0" t="0" r="0" b="0"/>
              <wp:wrapNone/>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WFug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BvpYW6AgAA&#10;wwUAAA4AAAAAAAAAAAAAAAAALgIAAGRycy9lMm9Eb2MueG1sUEsBAi0AFAAGAAgAAAAhADTFRM7b&#10;AAAABgEAAA8AAAAAAAAAAAAAAAAAFAUAAGRycy9kb3ducmV2LnhtbFBLBQYAAAAABAAEAPMAAAAc&#10;BgAAA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mc:AlternateContent>
        <mc:Choice Requires="wps">
          <w:drawing>
            <wp:anchor distT="0" distB="0" distL="114300" distR="114300" simplePos="0" relativeHeight="251671552" behindDoc="1" locked="1" layoutInCell="1" allowOverlap="1" wp14:anchorId="031AB87D" wp14:editId="3324398D">
              <wp:simplePos x="0" y="0"/>
              <wp:positionH relativeFrom="page">
                <wp:align>center</wp:align>
              </wp:positionH>
              <wp:positionV relativeFrom="page">
                <wp:align>center</wp:align>
              </wp:positionV>
              <wp:extent cx="7560000" cy="1796400"/>
              <wp:effectExtent l="0" t="0" r="0" b="0"/>
              <wp:wrapNone/>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524" w:rsidRPr="0001226A" w:rsidRDefault="00704524"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dysTFuwIA&#10;AMMFAAAOAAAAAAAAAAAAAAAAAC4CAABkcnMvZTJvRG9jLnhtbFBLAQItABQABgAIAAAAIQA0xUTO&#10;2wAAAAYBAAAPAAAAAAAAAAAAAAAAABUFAABkcnMvZG93bnJldi54bWxQSwUGAAAAAAQABADzAAAA&#10;HQYAAAAA&#10;" filled="f" stroked="f">
              <v:textbox>
                <w:txbxContent>
                  <w:p w:rsidR="00704524" w:rsidRPr="0001226A" w:rsidRDefault="00704524"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r>
      <w:rPr>
        <w:noProof/>
        <w:lang w:eastAsia="en-AU"/>
      </w:rPr>
      <w:drawing>
        <wp:anchor distT="0" distB="0" distL="114300" distR="114300" simplePos="0" relativeHeight="251696128" behindDoc="1" locked="0" layoutInCell="1" allowOverlap="1" wp14:anchorId="0FC09B2A" wp14:editId="6B0D4291">
          <wp:simplePos x="0" y="0"/>
          <wp:positionH relativeFrom="page">
            <wp:posOffset>0</wp:posOffset>
          </wp:positionH>
          <wp:positionV relativeFrom="page">
            <wp:posOffset>0</wp:posOffset>
          </wp:positionV>
          <wp:extent cx="7563600" cy="10695600"/>
          <wp:effectExtent l="0" t="0" r="0" b="0"/>
          <wp:wrapNone/>
          <wp:docPr id="234" name="Picture 234" descr="Parliament of Australia. 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524" w:rsidRDefault="007045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8303A82"/>
    <w:lvl w:ilvl="0">
      <w:start w:val="1"/>
      <w:numFmt w:val="decimal"/>
      <w:lvlText w:val="%1."/>
      <w:lvlJc w:val="left"/>
      <w:pPr>
        <w:tabs>
          <w:tab w:val="num" w:pos="926"/>
        </w:tabs>
        <w:ind w:left="926" w:hanging="360"/>
      </w:pPr>
    </w:lvl>
  </w:abstractNum>
  <w:abstractNum w:abstractNumId="1">
    <w:nsid w:val="FFFFFF7F"/>
    <w:multiLevelType w:val="singleLevel"/>
    <w:tmpl w:val="4EB87814"/>
    <w:lvl w:ilvl="0">
      <w:start w:val="1"/>
      <w:numFmt w:val="decimal"/>
      <w:lvlText w:val="%1."/>
      <w:lvlJc w:val="left"/>
      <w:pPr>
        <w:tabs>
          <w:tab w:val="num" w:pos="643"/>
        </w:tabs>
        <w:ind w:left="643" w:hanging="360"/>
      </w:pPr>
    </w:lvl>
  </w:abstractNum>
  <w:abstractNum w:abstractNumId="2">
    <w:nsid w:val="FFFFFF82"/>
    <w:multiLevelType w:val="singleLevel"/>
    <w:tmpl w:val="37844A8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6E30B580"/>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EFB6BBE4"/>
    <w:lvl w:ilvl="0">
      <w:start w:val="1"/>
      <w:numFmt w:val="decimal"/>
      <w:lvlText w:val="%1."/>
      <w:lvlJc w:val="left"/>
      <w:pPr>
        <w:tabs>
          <w:tab w:val="num" w:pos="360"/>
        </w:tabs>
        <w:ind w:left="360" w:hanging="360"/>
      </w:pPr>
    </w:lvl>
  </w:abstractNum>
  <w:abstractNum w:abstractNumId="5">
    <w:nsid w:val="FFFFFF89"/>
    <w:multiLevelType w:val="singleLevel"/>
    <w:tmpl w:val="01905BD0"/>
    <w:lvl w:ilvl="0">
      <w:start w:val="1"/>
      <w:numFmt w:val="bullet"/>
      <w:lvlText w:val=""/>
      <w:lvlJc w:val="left"/>
      <w:pPr>
        <w:tabs>
          <w:tab w:val="num" w:pos="360"/>
        </w:tabs>
        <w:ind w:left="360" w:hanging="360"/>
      </w:pPr>
      <w:rPr>
        <w:rFonts w:ascii="Symbol" w:hAnsi="Symbol" w:hint="default"/>
      </w:rPr>
    </w:lvl>
  </w:abstractNum>
  <w:abstractNum w:abstractNumId="6">
    <w:nsid w:val="068B37FE"/>
    <w:multiLevelType w:val="multilevel"/>
    <w:tmpl w:val="D1A2BED4"/>
    <w:name w:val="Bullets"/>
    <w:lvl w:ilvl="0">
      <w:start w:val="1"/>
      <w:numFmt w:val="bullet"/>
      <w:pStyle w:val="ListBullet"/>
      <w:lvlText w:val="•"/>
      <w:lvlJc w:val="left"/>
      <w:pPr>
        <w:tabs>
          <w:tab w:val="num" w:pos="454"/>
        </w:tabs>
        <w:ind w:left="454" w:hanging="454"/>
      </w:pPr>
      <w:rPr>
        <w:rFonts w:ascii="Calibri" w:hAnsi="Calibri" w:hint="default"/>
        <w:b w:val="0"/>
        <w:i w:val="0"/>
        <w:color w:val="auto"/>
        <w:position w:val="0"/>
        <w:sz w:val="22"/>
      </w:rPr>
    </w:lvl>
    <w:lvl w:ilvl="1">
      <w:start w:val="1"/>
      <w:numFmt w:val="bullet"/>
      <w:pStyle w:val="ListBullet2"/>
      <w:lvlText w:val="–"/>
      <w:lvlJc w:val="left"/>
      <w:pPr>
        <w:tabs>
          <w:tab w:val="num" w:pos="907"/>
        </w:tabs>
        <w:ind w:left="907" w:hanging="453"/>
      </w:pPr>
      <w:rPr>
        <w:rFonts w:ascii="Calibri" w:hAnsi="Calibri" w:hint="default"/>
        <w:b w:val="0"/>
        <w:i w:val="0"/>
        <w:color w:val="auto"/>
        <w:position w:val="0"/>
        <w:sz w:val="22"/>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0D745448"/>
    <w:multiLevelType w:val="multilevel"/>
    <w:tmpl w:val="CABC0242"/>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907"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8">
    <w:nsid w:val="0FB2573F"/>
    <w:multiLevelType w:val="multilevel"/>
    <w:tmpl w:val="93FEDA8E"/>
    <w:name w:val="TableFootnotes"/>
    <w:lvl w:ilvl="0">
      <w:start w:val="1"/>
      <w:numFmt w:val="decimal"/>
      <w:pStyle w:val="TableFootnotes"/>
      <w:lvlText w:val="%1"/>
      <w:lvlJc w:val="left"/>
      <w:pPr>
        <w:ind w:left="227" w:hanging="227"/>
      </w:pPr>
      <w:rPr>
        <w:rFonts w:hint="default"/>
        <w:color w:val="788184" w:themeColor="background2"/>
        <w:spacing w:val="0"/>
        <w:sz w:val="20"/>
        <w:vertAlign w:val="superscript"/>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9">
    <w:nsid w:val="194A695C"/>
    <w:multiLevelType w:val="multilevel"/>
    <w:tmpl w:val="9710D28A"/>
    <w:name w:val="TableBullets"/>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nsid w:val="22D045EF"/>
    <w:multiLevelType w:val="multilevel"/>
    <w:tmpl w:val="D34CA962"/>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851"/>
        </w:tabs>
        <w:ind w:left="851" w:hanging="426"/>
      </w:pPr>
      <w:rPr>
        <w:rFonts w:ascii="Webdings" w:hAnsi="Webdings" w:hint="default"/>
        <w:b w:val="0"/>
        <w:i w:val="0"/>
        <w:color w:val="auto"/>
        <w:position w:val="2"/>
        <w:sz w:val="18"/>
      </w:rPr>
    </w:lvl>
    <w:lvl w:ilvl="2">
      <w:start w:val="1"/>
      <w:numFmt w:val="bullet"/>
      <w:lvlText w:val="–"/>
      <w:lvlJc w:val="left"/>
      <w:pPr>
        <w:tabs>
          <w:tab w:val="num" w:pos="1276"/>
        </w:tabs>
        <w:ind w:left="1276" w:hanging="425"/>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2723114B"/>
    <w:multiLevelType w:val="hybridMultilevel"/>
    <w:tmpl w:val="15B07662"/>
    <w:lvl w:ilvl="0" w:tplc="067034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2C72580B"/>
    <w:multiLevelType w:val="multilevel"/>
    <w:tmpl w:val="A1605A0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38723AD4"/>
    <w:multiLevelType w:val="multilevel"/>
    <w:tmpl w:val="CC2400A2"/>
    <w:name w:val="PullOutBullets"/>
    <w:lvl w:ilvl="0">
      <w:start w:val="1"/>
      <w:numFmt w:val="bullet"/>
      <w:pStyle w:val="PullOutBoxBullet"/>
      <w:lvlText w:val="•"/>
      <w:lvlJc w:val="left"/>
      <w:pPr>
        <w:tabs>
          <w:tab w:val="num" w:pos="624"/>
        </w:tabs>
        <w:ind w:left="624" w:hanging="340"/>
      </w:pPr>
      <w:rPr>
        <w:rFonts w:ascii="Calibri" w:hAnsi="Calibri" w:hint="default"/>
        <w:color w:val="auto"/>
        <w:sz w:val="22"/>
      </w:rPr>
    </w:lvl>
    <w:lvl w:ilvl="1">
      <w:start w:val="1"/>
      <w:numFmt w:val="bullet"/>
      <w:pStyle w:val="PullOutBoxBullet2"/>
      <w:lvlText w:val="–"/>
      <w:lvlJc w:val="left"/>
      <w:pPr>
        <w:tabs>
          <w:tab w:val="num" w:pos="964"/>
        </w:tabs>
        <w:ind w:left="964" w:hanging="340"/>
      </w:pPr>
      <w:rPr>
        <w:rFonts w:ascii="Calibri" w:hAnsi="Calibri" w:hint="default"/>
        <w:color w:val="auto"/>
        <w:sz w:val="22"/>
      </w:rPr>
    </w:lvl>
    <w:lvl w:ilvl="2">
      <w:start w:val="1"/>
      <w:numFmt w:val="bullet"/>
      <w:pStyle w:val="PullOutBoxBullet3"/>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5D0540A9"/>
    <w:multiLevelType w:val="multilevel"/>
    <w:tmpl w:val="0588A4BC"/>
    <w:name w:val="AppendicesNumbering"/>
    <w:lvl w:ilvl="0">
      <w:start w:val="1"/>
      <w:numFmt w:val="upperLetter"/>
      <w:pStyle w:val="Heading8"/>
      <w:suff w:val="nothing"/>
      <w:lvlText w:val="Appendix %1"/>
      <w:lvlJc w:val="left"/>
      <w:pPr>
        <w:ind w:left="1844" w:firstLine="0"/>
      </w:pPr>
      <w:rPr>
        <w:rFonts w:hint="default"/>
        <w:b w:val="0"/>
        <w:i w:val="0"/>
        <w:sz w:val="40"/>
      </w:rPr>
    </w:lvl>
    <w:lvl w:ilvl="1">
      <w:start w:val="1"/>
      <w:numFmt w:val="decimal"/>
      <w:pStyle w:val="Heading9"/>
      <w:lvlText w:val="%1%2."/>
      <w:lvlJc w:val="left"/>
      <w:pPr>
        <w:tabs>
          <w:tab w:val="num" w:pos="765"/>
        </w:tabs>
        <w:ind w:left="765" w:hanging="765"/>
      </w:pPr>
      <w:rPr>
        <w:rFonts w:hint="default"/>
        <w:sz w:val="26"/>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5">
    <w:nsid w:val="6CF23ECF"/>
    <w:multiLevelType w:val="hybridMultilevel"/>
    <w:tmpl w:val="15B07662"/>
    <w:lvl w:ilvl="0" w:tplc="0670347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6D1D40AC"/>
    <w:multiLevelType w:val="multilevel"/>
    <w:tmpl w:val="D18C6390"/>
    <w:name w:val="TableNumbering"/>
    <w:lvl w:ilvl="0">
      <w:start w:val="1"/>
      <w:numFmt w:val="decimal"/>
      <w:pStyle w:val="TableTextNumber"/>
      <w:lvlText w:val="%1"/>
      <w:lvlJc w:val="left"/>
      <w:pPr>
        <w:tabs>
          <w:tab w:val="num" w:pos="397"/>
        </w:tabs>
        <w:ind w:left="397" w:hanging="284"/>
      </w:pPr>
      <w:rPr>
        <w:rFonts w:hint="default"/>
      </w:rPr>
    </w:lvl>
    <w:lvl w:ilvl="1">
      <w:start w:val="1"/>
      <w:numFmt w:val="lowerLetter"/>
      <w:pStyle w:val="TableTextNumber2"/>
      <w:lvlText w:val="%2"/>
      <w:lvlJc w:val="left"/>
      <w:pPr>
        <w:tabs>
          <w:tab w:val="num" w:pos="709"/>
        </w:tabs>
        <w:ind w:left="709" w:hanging="283"/>
      </w:pPr>
      <w:rPr>
        <w:rFonts w:hint="default"/>
      </w:rPr>
    </w:lvl>
    <w:lvl w:ilvl="2">
      <w:start w:val="1"/>
      <w:numFmt w:val="lowerRoman"/>
      <w:pStyle w:val="TableTextNumber3"/>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70250B03"/>
    <w:multiLevelType w:val="multilevel"/>
    <w:tmpl w:val="5796740A"/>
    <w:name w:val="QuoteBullets"/>
    <w:lvl w:ilvl="0">
      <w:start w:val="1"/>
      <w:numFmt w:val="bullet"/>
      <w:pStyle w:val="QuoteBullet"/>
      <w:lvlText w:val="•"/>
      <w:lvlJc w:val="left"/>
      <w:pPr>
        <w:tabs>
          <w:tab w:val="num" w:pos="567"/>
        </w:tabs>
        <w:ind w:left="567" w:hanging="283"/>
      </w:pPr>
      <w:rPr>
        <w:rFonts w:ascii="Arial" w:hAnsi="Arial" w:hint="default"/>
        <w:color w:val="auto"/>
        <w:sz w:val="18"/>
      </w:rPr>
    </w:lvl>
    <w:lvl w:ilvl="1">
      <w:start w:val="1"/>
      <w:numFmt w:val="bullet"/>
      <w:pStyle w:val="QuoteBullet2"/>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B3B5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nsid w:val="7839021E"/>
    <w:multiLevelType w:val="multilevel"/>
    <w:tmpl w:val="C186E662"/>
    <w:name w:val="ListNumbering"/>
    <w:lvl w:ilvl="0">
      <w:start w:val="1"/>
      <w:numFmt w:val="decimal"/>
      <w:pStyle w:val="ListNumber"/>
      <w:lvlText w:val="%1"/>
      <w:lvlJc w:val="left"/>
      <w:pPr>
        <w:tabs>
          <w:tab w:val="num" w:pos="454"/>
        </w:tabs>
        <w:ind w:left="454" w:hanging="454"/>
      </w:pPr>
      <w:rPr>
        <w:rFonts w:hint="default"/>
        <w:color w:val="auto"/>
        <w:spacing w:val="0"/>
        <w:sz w:val="22"/>
      </w:rPr>
    </w:lvl>
    <w:lvl w:ilvl="1">
      <w:start w:val="1"/>
      <w:numFmt w:val="lowerLetter"/>
      <w:pStyle w:val="ListNumber2"/>
      <w:lvlText w:val="%2"/>
      <w:lvlJc w:val="left"/>
      <w:pPr>
        <w:tabs>
          <w:tab w:val="num" w:pos="907"/>
        </w:tabs>
        <w:ind w:left="907" w:hanging="453"/>
      </w:pPr>
      <w:rPr>
        <w:rFonts w:hint="default"/>
        <w:color w:val="auto"/>
        <w:spacing w:val="0"/>
        <w:sz w:val="22"/>
      </w:rPr>
    </w:lvl>
    <w:lvl w:ilvl="2">
      <w:start w:val="1"/>
      <w:numFmt w:val="lowerRoman"/>
      <w:pStyle w:val="ListNumber3"/>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
    <w:nsid w:val="7ECA6FD3"/>
    <w:multiLevelType w:val="hybridMultilevel"/>
    <w:tmpl w:val="CD143770"/>
    <w:lvl w:ilvl="0" w:tplc="94B448B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4"/>
  </w:num>
  <w:num w:numId="2">
    <w:abstractNumId w:val="14"/>
  </w:num>
  <w:num w:numId="3">
    <w:abstractNumId w:val="14"/>
  </w:num>
  <w:num w:numId="4">
    <w:abstractNumId w:val="14"/>
  </w:num>
  <w:num w:numId="5">
    <w:abstractNumId w:val="5"/>
  </w:num>
  <w:num w:numId="6">
    <w:abstractNumId w:val="6"/>
  </w:num>
  <w:num w:numId="7">
    <w:abstractNumId w:val="3"/>
  </w:num>
  <w:num w:numId="8">
    <w:abstractNumId w:val="6"/>
  </w:num>
  <w:num w:numId="9">
    <w:abstractNumId w:val="2"/>
  </w:num>
  <w:num w:numId="10">
    <w:abstractNumId w:val="6"/>
  </w:num>
  <w:num w:numId="11">
    <w:abstractNumId w:val="4"/>
  </w:num>
  <w:num w:numId="12">
    <w:abstractNumId w:val="18"/>
  </w:num>
  <w:num w:numId="13">
    <w:abstractNumId w:val="1"/>
  </w:num>
  <w:num w:numId="14">
    <w:abstractNumId w:val="18"/>
  </w:num>
  <w:num w:numId="15">
    <w:abstractNumId w:val="0"/>
  </w:num>
  <w:num w:numId="16">
    <w:abstractNumId w:val="18"/>
  </w:num>
  <w:num w:numId="17">
    <w:abstractNumId w:val="13"/>
  </w:num>
  <w:num w:numId="18">
    <w:abstractNumId w:val="13"/>
  </w:num>
  <w:num w:numId="19">
    <w:abstractNumId w:val="13"/>
  </w:num>
  <w:num w:numId="20">
    <w:abstractNumId w:val="12"/>
  </w:num>
  <w:num w:numId="21">
    <w:abstractNumId w:val="12"/>
  </w:num>
  <w:num w:numId="22">
    <w:abstractNumId w:val="12"/>
  </w:num>
  <w:num w:numId="23">
    <w:abstractNumId w:val="17"/>
  </w:num>
  <w:num w:numId="24">
    <w:abstractNumId w:val="17"/>
  </w:num>
  <w:num w:numId="25">
    <w:abstractNumId w:val="8"/>
  </w:num>
  <w:num w:numId="26">
    <w:abstractNumId w:val="9"/>
  </w:num>
  <w:num w:numId="27">
    <w:abstractNumId w:val="9"/>
  </w:num>
  <w:num w:numId="28">
    <w:abstractNumId w:val="9"/>
  </w:num>
  <w:num w:numId="29">
    <w:abstractNumId w:val="16"/>
  </w:num>
  <w:num w:numId="30">
    <w:abstractNumId w:val="16"/>
  </w:num>
  <w:num w:numId="31">
    <w:abstractNumId w:val="16"/>
  </w:num>
  <w:num w:numId="32">
    <w:abstractNumId w:val="10"/>
  </w:num>
  <w:num w:numId="33">
    <w:abstractNumId w:val="7"/>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1"/>
  </w:num>
  <w:num w:numId="48">
    <w:abstractNumId w:val="14"/>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attachedTemplate r:id="rId1"/>
  <w:defaultTabStop w:val="720"/>
  <w:evenAndOddHeaders/>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True"/>
    <w:docVar w:name="AppendixName" w:val="Appendix"/>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False"/>
    <w:docVar w:name="Overview" w:val="True"/>
    <w:docVar w:name="PageSetup" w:val="Double"/>
    <w:docVar w:name="RibbonLabel" w:val="Appendix"/>
    <w:docVar w:name="TOC" w:val="True"/>
    <w:docVar w:name="TOCNew" w:val="False"/>
    <w:docVar w:name="Version" w:val="Version 1"/>
  </w:docVars>
  <w:rsids>
    <w:rsidRoot w:val="00F318EC"/>
    <w:rsid w:val="00001A11"/>
    <w:rsid w:val="0000322C"/>
    <w:rsid w:val="00003783"/>
    <w:rsid w:val="00003CDD"/>
    <w:rsid w:val="00006938"/>
    <w:rsid w:val="00007736"/>
    <w:rsid w:val="00012581"/>
    <w:rsid w:val="00012EC0"/>
    <w:rsid w:val="00015EA8"/>
    <w:rsid w:val="000168A7"/>
    <w:rsid w:val="000255C2"/>
    <w:rsid w:val="00025DCB"/>
    <w:rsid w:val="000278D0"/>
    <w:rsid w:val="00027E62"/>
    <w:rsid w:val="000307C8"/>
    <w:rsid w:val="00030F73"/>
    <w:rsid w:val="000311CB"/>
    <w:rsid w:val="000325B2"/>
    <w:rsid w:val="00035A26"/>
    <w:rsid w:val="00035ADE"/>
    <w:rsid w:val="00036E28"/>
    <w:rsid w:val="00037D44"/>
    <w:rsid w:val="00040314"/>
    <w:rsid w:val="0004224B"/>
    <w:rsid w:val="00046226"/>
    <w:rsid w:val="000462FB"/>
    <w:rsid w:val="00047F00"/>
    <w:rsid w:val="000514A3"/>
    <w:rsid w:val="000521EE"/>
    <w:rsid w:val="0005330D"/>
    <w:rsid w:val="000557A7"/>
    <w:rsid w:val="00055805"/>
    <w:rsid w:val="00056CB3"/>
    <w:rsid w:val="00060710"/>
    <w:rsid w:val="0006099B"/>
    <w:rsid w:val="00063ACE"/>
    <w:rsid w:val="00067A28"/>
    <w:rsid w:val="00070975"/>
    <w:rsid w:val="0007260F"/>
    <w:rsid w:val="00077870"/>
    <w:rsid w:val="000805D5"/>
    <w:rsid w:val="00080E21"/>
    <w:rsid w:val="0008103B"/>
    <w:rsid w:val="0008268C"/>
    <w:rsid w:val="00085F97"/>
    <w:rsid w:val="00086FDA"/>
    <w:rsid w:val="00090296"/>
    <w:rsid w:val="00090507"/>
    <w:rsid w:val="00092A33"/>
    <w:rsid w:val="00093D49"/>
    <w:rsid w:val="00095640"/>
    <w:rsid w:val="000956A1"/>
    <w:rsid w:val="000A17CD"/>
    <w:rsid w:val="000A2FEC"/>
    <w:rsid w:val="000A33A0"/>
    <w:rsid w:val="000A348F"/>
    <w:rsid w:val="000B37C5"/>
    <w:rsid w:val="000B5513"/>
    <w:rsid w:val="000B6942"/>
    <w:rsid w:val="000B6CA0"/>
    <w:rsid w:val="000C09FA"/>
    <w:rsid w:val="000C228C"/>
    <w:rsid w:val="000C37A9"/>
    <w:rsid w:val="000C3ADE"/>
    <w:rsid w:val="000C5321"/>
    <w:rsid w:val="000C6728"/>
    <w:rsid w:val="000C702E"/>
    <w:rsid w:val="000C7404"/>
    <w:rsid w:val="000C7E94"/>
    <w:rsid w:val="000D15E9"/>
    <w:rsid w:val="000D3182"/>
    <w:rsid w:val="000D45C4"/>
    <w:rsid w:val="000D7306"/>
    <w:rsid w:val="000E18F3"/>
    <w:rsid w:val="000E266E"/>
    <w:rsid w:val="000F1421"/>
    <w:rsid w:val="000F1515"/>
    <w:rsid w:val="000F16B5"/>
    <w:rsid w:val="000F18DC"/>
    <w:rsid w:val="000F1F1E"/>
    <w:rsid w:val="000F616E"/>
    <w:rsid w:val="00101EB9"/>
    <w:rsid w:val="00103306"/>
    <w:rsid w:val="00103EDC"/>
    <w:rsid w:val="00104100"/>
    <w:rsid w:val="001064E2"/>
    <w:rsid w:val="00110706"/>
    <w:rsid w:val="00110D43"/>
    <w:rsid w:val="00111941"/>
    <w:rsid w:val="001148D8"/>
    <w:rsid w:val="0011590A"/>
    <w:rsid w:val="001159EA"/>
    <w:rsid w:val="0011741E"/>
    <w:rsid w:val="00117CB9"/>
    <w:rsid w:val="001251D4"/>
    <w:rsid w:val="00125410"/>
    <w:rsid w:val="00130858"/>
    <w:rsid w:val="00130D9A"/>
    <w:rsid w:val="001312E8"/>
    <w:rsid w:val="001314A6"/>
    <w:rsid w:val="00134664"/>
    <w:rsid w:val="001352EE"/>
    <w:rsid w:val="00136C26"/>
    <w:rsid w:val="001370C2"/>
    <w:rsid w:val="0014059F"/>
    <w:rsid w:val="00141551"/>
    <w:rsid w:val="001417CE"/>
    <w:rsid w:val="00141B11"/>
    <w:rsid w:val="0014479F"/>
    <w:rsid w:val="00146ED7"/>
    <w:rsid w:val="001504C3"/>
    <w:rsid w:val="00152D5B"/>
    <w:rsid w:val="00154DC5"/>
    <w:rsid w:val="00157A14"/>
    <w:rsid w:val="00160C8D"/>
    <w:rsid w:val="00161DF5"/>
    <w:rsid w:val="001629C0"/>
    <w:rsid w:val="00165122"/>
    <w:rsid w:val="001654AB"/>
    <w:rsid w:val="00165569"/>
    <w:rsid w:val="00165854"/>
    <w:rsid w:val="00165E95"/>
    <w:rsid w:val="00171900"/>
    <w:rsid w:val="0017259E"/>
    <w:rsid w:val="00172746"/>
    <w:rsid w:val="00173839"/>
    <w:rsid w:val="00173DFD"/>
    <w:rsid w:val="001769FD"/>
    <w:rsid w:val="00180FF9"/>
    <w:rsid w:val="00184DBE"/>
    <w:rsid w:val="00192082"/>
    <w:rsid w:val="001940C2"/>
    <w:rsid w:val="00195228"/>
    <w:rsid w:val="00195696"/>
    <w:rsid w:val="00196532"/>
    <w:rsid w:val="0019796B"/>
    <w:rsid w:val="001A0805"/>
    <w:rsid w:val="001A1EFC"/>
    <w:rsid w:val="001A350A"/>
    <w:rsid w:val="001A48EF"/>
    <w:rsid w:val="001A49CC"/>
    <w:rsid w:val="001A5553"/>
    <w:rsid w:val="001A716E"/>
    <w:rsid w:val="001A74B8"/>
    <w:rsid w:val="001B093C"/>
    <w:rsid w:val="001B2C65"/>
    <w:rsid w:val="001B2F76"/>
    <w:rsid w:val="001B7058"/>
    <w:rsid w:val="001C3A4F"/>
    <w:rsid w:val="001C3C92"/>
    <w:rsid w:val="001C4121"/>
    <w:rsid w:val="001C48DE"/>
    <w:rsid w:val="001D339B"/>
    <w:rsid w:val="001D45DA"/>
    <w:rsid w:val="001D52E3"/>
    <w:rsid w:val="001D576F"/>
    <w:rsid w:val="001D7C29"/>
    <w:rsid w:val="001E0475"/>
    <w:rsid w:val="001E584C"/>
    <w:rsid w:val="001E7A7F"/>
    <w:rsid w:val="001F155D"/>
    <w:rsid w:val="001F2FD7"/>
    <w:rsid w:val="001F316B"/>
    <w:rsid w:val="001F4DE7"/>
    <w:rsid w:val="001F5C90"/>
    <w:rsid w:val="001F767C"/>
    <w:rsid w:val="002003A9"/>
    <w:rsid w:val="002056AE"/>
    <w:rsid w:val="00210FCF"/>
    <w:rsid w:val="00212110"/>
    <w:rsid w:val="00217C38"/>
    <w:rsid w:val="00222EFF"/>
    <w:rsid w:val="002240D5"/>
    <w:rsid w:val="00225955"/>
    <w:rsid w:val="0022604B"/>
    <w:rsid w:val="002261A7"/>
    <w:rsid w:val="00226AEC"/>
    <w:rsid w:val="002278F9"/>
    <w:rsid w:val="0023063C"/>
    <w:rsid w:val="00232C05"/>
    <w:rsid w:val="00233569"/>
    <w:rsid w:val="00235C37"/>
    <w:rsid w:val="002545F3"/>
    <w:rsid w:val="00255BE3"/>
    <w:rsid w:val="0025702B"/>
    <w:rsid w:val="0026114D"/>
    <w:rsid w:val="00262AF4"/>
    <w:rsid w:val="0026344F"/>
    <w:rsid w:val="00263B36"/>
    <w:rsid w:val="00266A17"/>
    <w:rsid w:val="00270372"/>
    <w:rsid w:val="002710FC"/>
    <w:rsid w:val="002716E3"/>
    <w:rsid w:val="00271A1B"/>
    <w:rsid w:val="00274C69"/>
    <w:rsid w:val="00274E8D"/>
    <w:rsid w:val="00275534"/>
    <w:rsid w:val="00277075"/>
    <w:rsid w:val="002775D2"/>
    <w:rsid w:val="00281ADD"/>
    <w:rsid w:val="00285630"/>
    <w:rsid w:val="002857DA"/>
    <w:rsid w:val="00287EA9"/>
    <w:rsid w:val="00293D56"/>
    <w:rsid w:val="00293E0D"/>
    <w:rsid w:val="00293E80"/>
    <w:rsid w:val="00295531"/>
    <w:rsid w:val="002973B0"/>
    <w:rsid w:val="00297A49"/>
    <w:rsid w:val="00297C14"/>
    <w:rsid w:val="002A220F"/>
    <w:rsid w:val="002A24F1"/>
    <w:rsid w:val="002A327D"/>
    <w:rsid w:val="002A5778"/>
    <w:rsid w:val="002A6F63"/>
    <w:rsid w:val="002B02BA"/>
    <w:rsid w:val="002B1E84"/>
    <w:rsid w:val="002B2085"/>
    <w:rsid w:val="002B3EC4"/>
    <w:rsid w:val="002B5731"/>
    <w:rsid w:val="002B7EF9"/>
    <w:rsid w:val="002C11AC"/>
    <w:rsid w:val="002C224E"/>
    <w:rsid w:val="002C37D5"/>
    <w:rsid w:val="002C7059"/>
    <w:rsid w:val="002D34DB"/>
    <w:rsid w:val="002D4B11"/>
    <w:rsid w:val="002E33B4"/>
    <w:rsid w:val="002E3883"/>
    <w:rsid w:val="002E5633"/>
    <w:rsid w:val="002E7CC5"/>
    <w:rsid w:val="002F1963"/>
    <w:rsid w:val="002F2856"/>
    <w:rsid w:val="002F36DC"/>
    <w:rsid w:val="002F5B6E"/>
    <w:rsid w:val="002F61B5"/>
    <w:rsid w:val="002F7BEB"/>
    <w:rsid w:val="00300176"/>
    <w:rsid w:val="003003DC"/>
    <w:rsid w:val="00300E00"/>
    <w:rsid w:val="0030209B"/>
    <w:rsid w:val="003100B5"/>
    <w:rsid w:val="003127E4"/>
    <w:rsid w:val="00313215"/>
    <w:rsid w:val="003155EE"/>
    <w:rsid w:val="00316D7C"/>
    <w:rsid w:val="003174C3"/>
    <w:rsid w:val="0032557A"/>
    <w:rsid w:val="00327A29"/>
    <w:rsid w:val="0033004B"/>
    <w:rsid w:val="00331BCB"/>
    <w:rsid w:val="00334149"/>
    <w:rsid w:val="00340778"/>
    <w:rsid w:val="00340A09"/>
    <w:rsid w:val="00341301"/>
    <w:rsid w:val="00343C53"/>
    <w:rsid w:val="00344D2C"/>
    <w:rsid w:val="003458CE"/>
    <w:rsid w:val="00345A57"/>
    <w:rsid w:val="00346D90"/>
    <w:rsid w:val="00350AB8"/>
    <w:rsid w:val="00351F62"/>
    <w:rsid w:val="0035325C"/>
    <w:rsid w:val="003601F4"/>
    <w:rsid w:val="003671E2"/>
    <w:rsid w:val="0037089A"/>
    <w:rsid w:val="00372AE6"/>
    <w:rsid w:val="00374884"/>
    <w:rsid w:val="0037520E"/>
    <w:rsid w:val="003772A5"/>
    <w:rsid w:val="00377A32"/>
    <w:rsid w:val="003817C0"/>
    <w:rsid w:val="003837E1"/>
    <w:rsid w:val="0038584D"/>
    <w:rsid w:val="003858A6"/>
    <w:rsid w:val="00386FD1"/>
    <w:rsid w:val="0039257F"/>
    <w:rsid w:val="003931DE"/>
    <w:rsid w:val="00397004"/>
    <w:rsid w:val="00397A6E"/>
    <w:rsid w:val="00397D1A"/>
    <w:rsid w:val="003A163C"/>
    <w:rsid w:val="003A23CE"/>
    <w:rsid w:val="003A2B4E"/>
    <w:rsid w:val="003A2FBB"/>
    <w:rsid w:val="003A3799"/>
    <w:rsid w:val="003A4913"/>
    <w:rsid w:val="003A4E7F"/>
    <w:rsid w:val="003A54A9"/>
    <w:rsid w:val="003A6750"/>
    <w:rsid w:val="003A7083"/>
    <w:rsid w:val="003A70F2"/>
    <w:rsid w:val="003B05B5"/>
    <w:rsid w:val="003B38B3"/>
    <w:rsid w:val="003B3A97"/>
    <w:rsid w:val="003B3D44"/>
    <w:rsid w:val="003C7CC2"/>
    <w:rsid w:val="003D50B6"/>
    <w:rsid w:val="003D600F"/>
    <w:rsid w:val="003E05DF"/>
    <w:rsid w:val="003E6085"/>
    <w:rsid w:val="003E6CA3"/>
    <w:rsid w:val="003F22E7"/>
    <w:rsid w:val="003F4841"/>
    <w:rsid w:val="003F4C96"/>
    <w:rsid w:val="004010A3"/>
    <w:rsid w:val="0040488E"/>
    <w:rsid w:val="00404D1B"/>
    <w:rsid w:val="0040558F"/>
    <w:rsid w:val="00406002"/>
    <w:rsid w:val="00406AD3"/>
    <w:rsid w:val="004129E2"/>
    <w:rsid w:val="00412E42"/>
    <w:rsid w:val="00414752"/>
    <w:rsid w:val="00416B00"/>
    <w:rsid w:val="004209F1"/>
    <w:rsid w:val="0042173E"/>
    <w:rsid w:val="004221DC"/>
    <w:rsid w:val="00426356"/>
    <w:rsid w:val="00426929"/>
    <w:rsid w:val="0043465D"/>
    <w:rsid w:val="00434944"/>
    <w:rsid w:val="00442C16"/>
    <w:rsid w:val="00444BD7"/>
    <w:rsid w:val="00445CB1"/>
    <w:rsid w:val="00445D3A"/>
    <w:rsid w:val="00446439"/>
    <w:rsid w:val="00447935"/>
    <w:rsid w:val="00450BDA"/>
    <w:rsid w:val="00453A3E"/>
    <w:rsid w:val="0045452F"/>
    <w:rsid w:val="0045575B"/>
    <w:rsid w:val="00456809"/>
    <w:rsid w:val="0045766B"/>
    <w:rsid w:val="004604C9"/>
    <w:rsid w:val="0046411F"/>
    <w:rsid w:val="0046476D"/>
    <w:rsid w:val="00466DE7"/>
    <w:rsid w:val="0046734A"/>
    <w:rsid w:val="00467FFB"/>
    <w:rsid w:val="00470C96"/>
    <w:rsid w:val="00474BB7"/>
    <w:rsid w:val="00476523"/>
    <w:rsid w:val="00476C16"/>
    <w:rsid w:val="00477C9F"/>
    <w:rsid w:val="004816D7"/>
    <w:rsid w:val="0048342E"/>
    <w:rsid w:val="00486DB5"/>
    <w:rsid w:val="00487478"/>
    <w:rsid w:val="0048782D"/>
    <w:rsid w:val="0049255C"/>
    <w:rsid w:val="004949F4"/>
    <w:rsid w:val="00494DC1"/>
    <w:rsid w:val="004A3C86"/>
    <w:rsid w:val="004A3E2D"/>
    <w:rsid w:val="004A3F56"/>
    <w:rsid w:val="004A5ACF"/>
    <w:rsid w:val="004A5E21"/>
    <w:rsid w:val="004A666A"/>
    <w:rsid w:val="004B143F"/>
    <w:rsid w:val="004B1B5B"/>
    <w:rsid w:val="004B49A0"/>
    <w:rsid w:val="004B641D"/>
    <w:rsid w:val="004C3D95"/>
    <w:rsid w:val="004C6306"/>
    <w:rsid w:val="004C6C6F"/>
    <w:rsid w:val="004C6F5E"/>
    <w:rsid w:val="004C7E94"/>
    <w:rsid w:val="004D5A07"/>
    <w:rsid w:val="004D7CF8"/>
    <w:rsid w:val="004D7EDA"/>
    <w:rsid w:val="004E0E49"/>
    <w:rsid w:val="004E197A"/>
    <w:rsid w:val="004E1FE9"/>
    <w:rsid w:val="004E28D4"/>
    <w:rsid w:val="004E2C9F"/>
    <w:rsid w:val="004E5D52"/>
    <w:rsid w:val="004E7653"/>
    <w:rsid w:val="004F07D7"/>
    <w:rsid w:val="004F0B57"/>
    <w:rsid w:val="004F1297"/>
    <w:rsid w:val="004F16DB"/>
    <w:rsid w:val="004F4D7E"/>
    <w:rsid w:val="004F5B16"/>
    <w:rsid w:val="004F5D9D"/>
    <w:rsid w:val="004F68E5"/>
    <w:rsid w:val="004F741B"/>
    <w:rsid w:val="005012FD"/>
    <w:rsid w:val="00503253"/>
    <w:rsid w:val="00503BB0"/>
    <w:rsid w:val="00503E03"/>
    <w:rsid w:val="00503E0A"/>
    <w:rsid w:val="00504B88"/>
    <w:rsid w:val="005106F0"/>
    <w:rsid w:val="00510BF4"/>
    <w:rsid w:val="005117DC"/>
    <w:rsid w:val="00512226"/>
    <w:rsid w:val="005131B0"/>
    <w:rsid w:val="005138E6"/>
    <w:rsid w:val="00513BDE"/>
    <w:rsid w:val="005145B0"/>
    <w:rsid w:val="005147C6"/>
    <w:rsid w:val="005159B1"/>
    <w:rsid w:val="005165F2"/>
    <w:rsid w:val="00517BF3"/>
    <w:rsid w:val="0052133C"/>
    <w:rsid w:val="00522502"/>
    <w:rsid w:val="0052503A"/>
    <w:rsid w:val="005252AD"/>
    <w:rsid w:val="005255A1"/>
    <w:rsid w:val="0052641C"/>
    <w:rsid w:val="005307EC"/>
    <w:rsid w:val="00531117"/>
    <w:rsid w:val="005352D3"/>
    <w:rsid w:val="00535821"/>
    <w:rsid w:val="00536292"/>
    <w:rsid w:val="0053795D"/>
    <w:rsid w:val="00537DFD"/>
    <w:rsid w:val="00541F82"/>
    <w:rsid w:val="00544522"/>
    <w:rsid w:val="005468AB"/>
    <w:rsid w:val="005501A0"/>
    <w:rsid w:val="005501AD"/>
    <w:rsid w:val="00550831"/>
    <w:rsid w:val="00553B07"/>
    <w:rsid w:val="00554273"/>
    <w:rsid w:val="00560EFC"/>
    <w:rsid w:val="0056392A"/>
    <w:rsid w:val="005642B6"/>
    <w:rsid w:val="00564DE8"/>
    <w:rsid w:val="005661D9"/>
    <w:rsid w:val="005702A8"/>
    <w:rsid w:val="00571D5E"/>
    <w:rsid w:val="0057560B"/>
    <w:rsid w:val="0057716F"/>
    <w:rsid w:val="005823D0"/>
    <w:rsid w:val="00595B9A"/>
    <w:rsid w:val="00596D1F"/>
    <w:rsid w:val="005A05A0"/>
    <w:rsid w:val="005A0606"/>
    <w:rsid w:val="005A1531"/>
    <w:rsid w:val="005A2748"/>
    <w:rsid w:val="005A3873"/>
    <w:rsid w:val="005A443F"/>
    <w:rsid w:val="005A5116"/>
    <w:rsid w:val="005A69A1"/>
    <w:rsid w:val="005A714D"/>
    <w:rsid w:val="005A73BC"/>
    <w:rsid w:val="005A7572"/>
    <w:rsid w:val="005B57C1"/>
    <w:rsid w:val="005B58D4"/>
    <w:rsid w:val="005B5DC8"/>
    <w:rsid w:val="005B64E6"/>
    <w:rsid w:val="005B7203"/>
    <w:rsid w:val="005C07B3"/>
    <w:rsid w:val="005C284E"/>
    <w:rsid w:val="005C2F91"/>
    <w:rsid w:val="005C3A6D"/>
    <w:rsid w:val="005C47D4"/>
    <w:rsid w:val="005D4719"/>
    <w:rsid w:val="005D51D0"/>
    <w:rsid w:val="005D6F83"/>
    <w:rsid w:val="005D7877"/>
    <w:rsid w:val="005D7CCF"/>
    <w:rsid w:val="005E1B9D"/>
    <w:rsid w:val="005E1E66"/>
    <w:rsid w:val="005E1E70"/>
    <w:rsid w:val="005E58C4"/>
    <w:rsid w:val="005E5D8F"/>
    <w:rsid w:val="005E6E86"/>
    <w:rsid w:val="005F5A5C"/>
    <w:rsid w:val="005F5CBB"/>
    <w:rsid w:val="005F5CD9"/>
    <w:rsid w:val="005F6A03"/>
    <w:rsid w:val="006028E6"/>
    <w:rsid w:val="0061135C"/>
    <w:rsid w:val="006136DD"/>
    <w:rsid w:val="006149F0"/>
    <w:rsid w:val="00616B10"/>
    <w:rsid w:val="00620877"/>
    <w:rsid w:val="006220A5"/>
    <w:rsid w:val="00624AC8"/>
    <w:rsid w:val="00627EDF"/>
    <w:rsid w:val="00633C60"/>
    <w:rsid w:val="00635C08"/>
    <w:rsid w:val="00637B53"/>
    <w:rsid w:val="0064126D"/>
    <w:rsid w:val="006451B8"/>
    <w:rsid w:val="00645722"/>
    <w:rsid w:val="006479C4"/>
    <w:rsid w:val="00650AFC"/>
    <w:rsid w:val="00652432"/>
    <w:rsid w:val="0065489F"/>
    <w:rsid w:val="00657840"/>
    <w:rsid w:val="0066003C"/>
    <w:rsid w:val="0066041E"/>
    <w:rsid w:val="00662937"/>
    <w:rsid w:val="006642E5"/>
    <w:rsid w:val="00670941"/>
    <w:rsid w:val="00673CCC"/>
    <w:rsid w:val="0067422F"/>
    <w:rsid w:val="00675C7C"/>
    <w:rsid w:val="00675C98"/>
    <w:rsid w:val="006770FB"/>
    <w:rsid w:val="00683027"/>
    <w:rsid w:val="0068328D"/>
    <w:rsid w:val="0068612F"/>
    <w:rsid w:val="006874E4"/>
    <w:rsid w:val="0069026B"/>
    <w:rsid w:val="006919D2"/>
    <w:rsid w:val="006919F4"/>
    <w:rsid w:val="006956EA"/>
    <w:rsid w:val="00695898"/>
    <w:rsid w:val="006A20B2"/>
    <w:rsid w:val="006A490C"/>
    <w:rsid w:val="006A7ECB"/>
    <w:rsid w:val="006B3AF7"/>
    <w:rsid w:val="006B4F7D"/>
    <w:rsid w:val="006B73E8"/>
    <w:rsid w:val="006C114C"/>
    <w:rsid w:val="006C33F1"/>
    <w:rsid w:val="006C3864"/>
    <w:rsid w:val="006C4D51"/>
    <w:rsid w:val="006C5383"/>
    <w:rsid w:val="006C5E72"/>
    <w:rsid w:val="006C6E20"/>
    <w:rsid w:val="006D1922"/>
    <w:rsid w:val="006D1FB9"/>
    <w:rsid w:val="006D2AEC"/>
    <w:rsid w:val="006D4C8E"/>
    <w:rsid w:val="006D6017"/>
    <w:rsid w:val="006D7898"/>
    <w:rsid w:val="006E19D1"/>
    <w:rsid w:val="006E1CBB"/>
    <w:rsid w:val="006E2F3F"/>
    <w:rsid w:val="006E5375"/>
    <w:rsid w:val="006F0678"/>
    <w:rsid w:val="006F100B"/>
    <w:rsid w:val="006F1A7D"/>
    <w:rsid w:val="006F239A"/>
    <w:rsid w:val="006F2C9D"/>
    <w:rsid w:val="006F5139"/>
    <w:rsid w:val="006F5F4B"/>
    <w:rsid w:val="006F6E47"/>
    <w:rsid w:val="007006A1"/>
    <w:rsid w:val="0070320E"/>
    <w:rsid w:val="007044EF"/>
    <w:rsid w:val="00704524"/>
    <w:rsid w:val="007054D4"/>
    <w:rsid w:val="0070637D"/>
    <w:rsid w:val="007071DD"/>
    <w:rsid w:val="0070737D"/>
    <w:rsid w:val="0070771F"/>
    <w:rsid w:val="00712A14"/>
    <w:rsid w:val="00713488"/>
    <w:rsid w:val="00716C04"/>
    <w:rsid w:val="00717180"/>
    <w:rsid w:val="007179D2"/>
    <w:rsid w:val="00717A81"/>
    <w:rsid w:val="00720750"/>
    <w:rsid w:val="00722607"/>
    <w:rsid w:val="00724010"/>
    <w:rsid w:val="0072549C"/>
    <w:rsid w:val="00725A80"/>
    <w:rsid w:val="00727F01"/>
    <w:rsid w:val="00730E53"/>
    <w:rsid w:val="00732787"/>
    <w:rsid w:val="00733807"/>
    <w:rsid w:val="00733970"/>
    <w:rsid w:val="00733F18"/>
    <w:rsid w:val="00733FCE"/>
    <w:rsid w:val="00745B32"/>
    <w:rsid w:val="00745E98"/>
    <w:rsid w:val="00746570"/>
    <w:rsid w:val="007521BB"/>
    <w:rsid w:val="007527FC"/>
    <w:rsid w:val="00754C58"/>
    <w:rsid w:val="00755808"/>
    <w:rsid w:val="007605D6"/>
    <w:rsid w:val="007646AC"/>
    <w:rsid w:val="00764725"/>
    <w:rsid w:val="00765D3D"/>
    <w:rsid w:val="00770CE6"/>
    <w:rsid w:val="00771812"/>
    <w:rsid w:val="007744CA"/>
    <w:rsid w:val="007757D9"/>
    <w:rsid w:val="00776E78"/>
    <w:rsid w:val="007771DC"/>
    <w:rsid w:val="0078138A"/>
    <w:rsid w:val="00782415"/>
    <w:rsid w:val="00783014"/>
    <w:rsid w:val="007834DC"/>
    <w:rsid w:val="00787EE7"/>
    <w:rsid w:val="007909B3"/>
    <w:rsid w:val="007959D8"/>
    <w:rsid w:val="0079630F"/>
    <w:rsid w:val="007A0352"/>
    <w:rsid w:val="007A04C2"/>
    <w:rsid w:val="007A053A"/>
    <w:rsid w:val="007A06CD"/>
    <w:rsid w:val="007A0E39"/>
    <w:rsid w:val="007A20DB"/>
    <w:rsid w:val="007A4625"/>
    <w:rsid w:val="007A6DDF"/>
    <w:rsid w:val="007A7137"/>
    <w:rsid w:val="007A746C"/>
    <w:rsid w:val="007B146A"/>
    <w:rsid w:val="007B1F52"/>
    <w:rsid w:val="007B2243"/>
    <w:rsid w:val="007B24B0"/>
    <w:rsid w:val="007B34C5"/>
    <w:rsid w:val="007B3D96"/>
    <w:rsid w:val="007B4876"/>
    <w:rsid w:val="007B532B"/>
    <w:rsid w:val="007B7842"/>
    <w:rsid w:val="007C0E7C"/>
    <w:rsid w:val="007C0EAA"/>
    <w:rsid w:val="007C191A"/>
    <w:rsid w:val="007C428D"/>
    <w:rsid w:val="007C44B2"/>
    <w:rsid w:val="007C4767"/>
    <w:rsid w:val="007C5926"/>
    <w:rsid w:val="007C59BE"/>
    <w:rsid w:val="007C6496"/>
    <w:rsid w:val="007C6B93"/>
    <w:rsid w:val="007C745E"/>
    <w:rsid w:val="007D0DD6"/>
    <w:rsid w:val="007D6575"/>
    <w:rsid w:val="007D7746"/>
    <w:rsid w:val="007D7934"/>
    <w:rsid w:val="007E023C"/>
    <w:rsid w:val="007E0D83"/>
    <w:rsid w:val="007E1EB3"/>
    <w:rsid w:val="007E3F8C"/>
    <w:rsid w:val="007E4080"/>
    <w:rsid w:val="007E65F9"/>
    <w:rsid w:val="007F083C"/>
    <w:rsid w:val="007F2058"/>
    <w:rsid w:val="007F300F"/>
    <w:rsid w:val="007F3FB0"/>
    <w:rsid w:val="007F6BC2"/>
    <w:rsid w:val="007F7685"/>
    <w:rsid w:val="0080011D"/>
    <w:rsid w:val="00800D11"/>
    <w:rsid w:val="00800EA5"/>
    <w:rsid w:val="0080120B"/>
    <w:rsid w:val="00801C01"/>
    <w:rsid w:val="008024A8"/>
    <w:rsid w:val="00806980"/>
    <w:rsid w:val="0081092D"/>
    <w:rsid w:val="00811EA3"/>
    <w:rsid w:val="008130BB"/>
    <w:rsid w:val="008153E5"/>
    <w:rsid w:val="008202C3"/>
    <w:rsid w:val="008237FA"/>
    <w:rsid w:val="00823BB6"/>
    <w:rsid w:val="00825D37"/>
    <w:rsid w:val="00826689"/>
    <w:rsid w:val="0083035E"/>
    <w:rsid w:val="00832BA3"/>
    <w:rsid w:val="00834F71"/>
    <w:rsid w:val="00835955"/>
    <w:rsid w:val="008369B0"/>
    <w:rsid w:val="00843FC1"/>
    <w:rsid w:val="00846A0B"/>
    <w:rsid w:val="00855EC1"/>
    <w:rsid w:val="008560D2"/>
    <w:rsid w:val="0085732C"/>
    <w:rsid w:val="00860B45"/>
    <w:rsid w:val="0086106D"/>
    <w:rsid w:val="008612FF"/>
    <w:rsid w:val="008617A8"/>
    <w:rsid w:val="00863860"/>
    <w:rsid w:val="008638B5"/>
    <w:rsid w:val="008649E7"/>
    <w:rsid w:val="00870C11"/>
    <w:rsid w:val="008734DB"/>
    <w:rsid w:val="0087390B"/>
    <w:rsid w:val="00873EEF"/>
    <w:rsid w:val="008745A1"/>
    <w:rsid w:val="008768E9"/>
    <w:rsid w:val="0087751B"/>
    <w:rsid w:val="00881420"/>
    <w:rsid w:val="00882092"/>
    <w:rsid w:val="00883B58"/>
    <w:rsid w:val="00885E05"/>
    <w:rsid w:val="00890995"/>
    <w:rsid w:val="008914FB"/>
    <w:rsid w:val="0089246D"/>
    <w:rsid w:val="00894910"/>
    <w:rsid w:val="0089531F"/>
    <w:rsid w:val="00895EB3"/>
    <w:rsid w:val="00897E99"/>
    <w:rsid w:val="008A1442"/>
    <w:rsid w:val="008A19C4"/>
    <w:rsid w:val="008A1F1A"/>
    <w:rsid w:val="008A4829"/>
    <w:rsid w:val="008B2384"/>
    <w:rsid w:val="008B38D6"/>
    <w:rsid w:val="008B39D2"/>
    <w:rsid w:val="008B4802"/>
    <w:rsid w:val="008B67C7"/>
    <w:rsid w:val="008B68F4"/>
    <w:rsid w:val="008B69E3"/>
    <w:rsid w:val="008C0596"/>
    <w:rsid w:val="008C1FD1"/>
    <w:rsid w:val="008C24A8"/>
    <w:rsid w:val="008C35EF"/>
    <w:rsid w:val="008C5996"/>
    <w:rsid w:val="008C6EBE"/>
    <w:rsid w:val="008D0E74"/>
    <w:rsid w:val="008D2192"/>
    <w:rsid w:val="008D5A11"/>
    <w:rsid w:val="008D5E23"/>
    <w:rsid w:val="008E4AB0"/>
    <w:rsid w:val="008E6D59"/>
    <w:rsid w:val="008F3F73"/>
    <w:rsid w:val="008F5D66"/>
    <w:rsid w:val="008F724E"/>
    <w:rsid w:val="0090065B"/>
    <w:rsid w:val="009028AA"/>
    <w:rsid w:val="00903E3F"/>
    <w:rsid w:val="009049C3"/>
    <w:rsid w:val="00904D56"/>
    <w:rsid w:val="009057D9"/>
    <w:rsid w:val="00906148"/>
    <w:rsid w:val="00906384"/>
    <w:rsid w:val="0090774A"/>
    <w:rsid w:val="00910D07"/>
    <w:rsid w:val="00911B38"/>
    <w:rsid w:val="00914B2F"/>
    <w:rsid w:val="009150E6"/>
    <w:rsid w:val="00915262"/>
    <w:rsid w:val="00917F89"/>
    <w:rsid w:val="009222AD"/>
    <w:rsid w:val="00922862"/>
    <w:rsid w:val="009255C3"/>
    <w:rsid w:val="009255EE"/>
    <w:rsid w:val="00925603"/>
    <w:rsid w:val="00925F76"/>
    <w:rsid w:val="0092762C"/>
    <w:rsid w:val="00927977"/>
    <w:rsid w:val="00932E89"/>
    <w:rsid w:val="0093359D"/>
    <w:rsid w:val="009336D9"/>
    <w:rsid w:val="00933F2B"/>
    <w:rsid w:val="00934D8A"/>
    <w:rsid w:val="00936C71"/>
    <w:rsid w:val="00940413"/>
    <w:rsid w:val="0094107C"/>
    <w:rsid w:val="00942EEB"/>
    <w:rsid w:val="00943932"/>
    <w:rsid w:val="00943C4D"/>
    <w:rsid w:val="009444E2"/>
    <w:rsid w:val="0094468E"/>
    <w:rsid w:val="00945261"/>
    <w:rsid w:val="009477E7"/>
    <w:rsid w:val="0095056E"/>
    <w:rsid w:val="009506A5"/>
    <w:rsid w:val="00950F04"/>
    <w:rsid w:val="009541CC"/>
    <w:rsid w:val="00955962"/>
    <w:rsid w:val="00956564"/>
    <w:rsid w:val="00956D5A"/>
    <w:rsid w:val="00961B2C"/>
    <w:rsid w:val="00961DBB"/>
    <w:rsid w:val="00965BC2"/>
    <w:rsid w:val="0096618E"/>
    <w:rsid w:val="00971208"/>
    <w:rsid w:val="009733FA"/>
    <w:rsid w:val="009767D5"/>
    <w:rsid w:val="00977D1C"/>
    <w:rsid w:val="00977FAC"/>
    <w:rsid w:val="00980906"/>
    <w:rsid w:val="009810BC"/>
    <w:rsid w:val="00981433"/>
    <w:rsid w:val="00981EE1"/>
    <w:rsid w:val="00985C07"/>
    <w:rsid w:val="00986F5D"/>
    <w:rsid w:val="0098773F"/>
    <w:rsid w:val="00987846"/>
    <w:rsid w:val="00987B7D"/>
    <w:rsid w:val="00990599"/>
    <w:rsid w:val="009922F8"/>
    <w:rsid w:val="00992393"/>
    <w:rsid w:val="00995B4F"/>
    <w:rsid w:val="00997582"/>
    <w:rsid w:val="009A0FD6"/>
    <w:rsid w:val="009A12A8"/>
    <w:rsid w:val="009A2C21"/>
    <w:rsid w:val="009A3E58"/>
    <w:rsid w:val="009A4BAB"/>
    <w:rsid w:val="009A5F02"/>
    <w:rsid w:val="009A7AB1"/>
    <w:rsid w:val="009B0447"/>
    <w:rsid w:val="009B0551"/>
    <w:rsid w:val="009B427C"/>
    <w:rsid w:val="009C1399"/>
    <w:rsid w:val="009C2D85"/>
    <w:rsid w:val="009C6DAA"/>
    <w:rsid w:val="009D0E74"/>
    <w:rsid w:val="009D1A96"/>
    <w:rsid w:val="009D34DD"/>
    <w:rsid w:val="009D370B"/>
    <w:rsid w:val="009D5F5A"/>
    <w:rsid w:val="009E0635"/>
    <w:rsid w:val="009E1025"/>
    <w:rsid w:val="009E158C"/>
    <w:rsid w:val="009E2087"/>
    <w:rsid w:val="009E252B"/>
    <w:rsid w:val="009E3265"/>
    <w:rsid w:val="009E3353"/>
    <w:rsid w:val="009E446D"/>
    <w:rsid w:val="009E7C09"/>
    <w:rsid w:val="009F146D"/>
    <w:rsid w:val="009F2DFD"/>
    <w:rsid w:val="009F4350"/>
    <w:rsid w:val="009F4F1E"/>
    <w:rsid w:val="009F5CD2"/>
    <w:rsid w:val="009F5D7C"/>
    <w:rsid w:val="00A015E4"/>
    <w:rsid w:val="00A075BC"/>
    <w:rsid w:val="00A1058D"/>
    <w:rsid w:val="00A109A0"/>
    <w:rsid w:val="00A10D72"/>
    <w:rsid w:val="00A11222"/>
    <w:rsid w:val="00A1297D"/>
    <w:rsid w:val="00A12C39"/>
    <w:rsid w:val="00A134FB"/>
    <w:rsid w:val="00A13753"/>
    <w:rsid w:val="00A1664D"/>
    <w:rsid w:val="00A20802"/>
    <w:rsid w:val="00A240C0"/>
    <w:rsid w:val="00A25B4F"/>
    <w:rsid w:val="00A36D6A"/>
    <w:rsid w:val="00A379B1"/>
    <w:rsid w:val="00A410AA"/>
    <w:rsid w:val="00A431D6"/>
    <w:rsid w:val="00A442BF"/>
    <w:rsid w:val="00A442E6"/>
    <w:rsid w:val="00A4662C"/>
    <w:rsid w:val="00A53716"/>
    <w:rsid w:val="00A554F0"/>
    <w:rsid w:val="00A5629E"/>
    <w:rsid w:val="00A61DBE"/>
    <w:rsid w:val="00A64832"/>
    <w:rsid w:val="00A660E4"/>
    <w:rsid w:val="00A67A59"/>
    <w:rsid w:val="00A732DB"/>
    <w:rsid w:val="00A74E0C"/>
    <w:rsid w:val="00A75772"/>
    <w:rsid w:val="00A7615C"/>
    <w:rsid w:val="00A76AD2"/>
    <w:rsid w:val="00A80703"/>
    <w:rsid w:val="00A86F04"/>
    <w:rsid w:val="00A92661"/>
    <w:rsid w:val="00A946C4"/>
    <w:rsid w:val="00AA70E0"/>
    <w:rsid w:val="00AB613A"/>
    <w:rsid w:val="00AB63D0"/>
    <w:rsid w:val="00AB7280"/>
    <w:rsid w:val="00AC01F8"/>
    <w:rsid w:val="00AC059A"/>
    <w:rsid w:val="00AC34E0"/>
    <w:rsid w:val="00AC4F53"/>
    <w:rsid w:val="00AD0308"/>
    <w:rsid w:val="00AD0A4C"/>
    <w:rsid w:val="00AD1FD1"/>
    <w:rsid w:val="00AD3310"/>
    <w:rsid w:val="00AD377A"/>
    <w:rsid w:val="00AD67BB"/>
    <w:rsid w:val="00AE0250"/>
    <w:rsid w:val="00AE1CC1"/>
    <w:rsid w:val="00AE3EA4"/>
    <w:rsid w:val="00AE6E7A"/>
    <w:rsid w:val="00AF1B02"/>
    <w:rsid w:val="00AF2D0B"/>
    <w:rsid w:val="00AF33A3"/>
    <w:rsid w:val="00AF361D"/>
    <w:rsid w:val="00AF3DFD"/>
    <w:rsid w:val="00AF41E4"/>
    <w:rsid w:val="00AF4613"/>
    <w:rsid w:val="00AF57B7"/>
    <w:rsid w:val="00AF5B6B"/>
    <w:rsid w:val="00AF5F13"/>
    <w:rsid w:val="00AF6D68"/>
    <w:rsid w:val="00B037AC"/>
    <w:rsid w:val="00B03A8C"/>
    <w:rsid w:val="00B06A75"/>
    <w:rsid w:val="00B06BC3"/>
    <w:rsid w:val="00B105DF"/>
    <w:rsid w:val="00B12841"/>
    <w:rsid w:val="00B15128"/>
    <w:rsid w:val="00B15A0F"/>
    <w:rsid w:val="00B165DA"/>
    <w:rsid w:val="00B168E6"/>
    <w:rsid w:val="00B20236"/>
    <w:rsid w:val="00B20937"/>
    <w:rsid w:val="00B220A0"/>
    <w:rsid w:val="00B22B64"/>
    <w:rsid w:val="00B22FEA"/>
    <w:rsid w:val="00B23DA1"/>
    <w:rsid w:val="00B24321"/>
    <w:rsid w:val="00B30FEB"/>
    <w:rsid w:val="00B3636F"/>
    <w:rsid w:val="00B37421"/>
    <w:rsid w:val="00B40AA3"/>
    <w:rsid w:val="00B43E9C"/>
    <w:rsid w:val="00B44478"/>
    <w:rsid w:val="00B472F1"/>
    <w:rsid w:val="00B6002C"/>
    <w:rsid w:val="00B615E8"/>
    <w:rsid w:val="00B620EE"/>
    <w:rsid w:val="00B63ADF"/>
    <w:rsid w:val="00B66DEB"/>
    <w:rsid w:val="00B67697"/>
    <w:rsid w:val="00B83B8A"/>
    <w:rsid w:val="00B84017"/>
    <w:rsid w:val="00B84DC5"/>
    <w:rsid w:val="00B85366"/>
    <w:rsid w:val="00B856E0"/>
    <w:rsid w:val="00B86531"/>
    <w:rsid w:val="00B87F60"/>
    <w:rsid w:val="00B93D3D"/>
    <w:rsid w:val="00B972B5"/>
    <w:rsid w:val="00BA24E8"/>
    <w:rsid w:val="00BA45A1"/>
    <w:rsid w:val="00BA471F"/>
    <w:rsid w:val="00BA6EF6"/>
    <w:rsid w:val="00BB0061"/>
    <w:rsid w:val="00BB231A"/>
    <w:rsid w:val="00BB5013"/>
    <w:rsid w:val="00BB528E"/>
    <w:rsid w:val="00BB7338"/>
    <w:rsid w:val="00BC2600"/>
    <w:rsid w:val="00BC288D"/>
    <w:rsid w:val="00BC36F0"/>
    <w:rsid w:val="00BC3ADC"/>
    <w:rsid w:val="00BC4FA7"/>
    <w:rsid w:val="00BC5E30"/>
    <w:rsid w:val="00BC6C52"/>
    <w:rsid w:val="00BD02C5"/>
    <w:rsid w:val="00BD068D"/>
    <w:rsid w:val="00BD28AB"/>
    <w:rsid w:val="00BD5B14"/>
    <w:rsid w:val="00BD60AF"/>
    <w:rsid w:val="00BD6336"/>
    <w:rsid w:val="00BD77FC"/>
    <w:rsid w:val="00BE0AD6"/>
    <w:rsid w:val="00BE0D9A"/>
    <w:rsid w:val="00BE1987"/>
    <w:rsid w:val="00BE1A50"/>
    <w:rsid w:val="00BE2F0D"/>
    <w:rsid w:val="00BE301C"/>
    <w:rsid w:val="00BE482A"/>
    <w:rsid w:val="00BE68A2"/>
    <w:rsid w:val="00BF034B"/>
    <w:rsid w:val="00BF0BD5"/>
    <w:rsid w:val="00BF1974"/>
    <w:rsid w:val="00BF436B"/>
    <w:rsid w:val="00BF55F8"/>
    <w:rsid w:val="00C019FB"/>
    <w:rsid w:val="00C051FD"/>
    <w:rsid w:val="00C10320"/>
    <w:rsid w:val="00C14DA6"/>
    <w:rsid w:val="00C16FF7"/>
    <w:rsid w:val="00C20C7D"/>
    <w:rsid w:val="00C20DEF"/>
    <w:rsid w:val="00C21AF4"/>
    <w:rsid w:val="00C24B25"/>
    <w:rsid w:val="00C24C18"/>
    <w:rsid w:val="00C2576A"/>
    <w:rsid w:val="00C32C2F"/>
    <w:rsid w:val="00C36CB4"/>
    <w:rsid w:val="00C3738A"/>
    <w:rsid w:val="00C376A4"/>
    <w:rsid w:val="00C37F81"/>
    <w:rsid w:val="00C4063D"/>
    <w:rsid w:val="00C4196A"/>
    <w:rsid w:val="00C4315A"/>
    <w:rsid w:val="00C43F5E"/>
    <w:rsid w:val="00C44074"/>
    <w:rsid w:val="00C45774"/>
    <w:rsid w:val="00C4588A"/>
    <w:rsid w:val="00C4651F"/>
    <w:rsid w:val="00C51D0B"/>
    <w:rsid w:val="00C52A50"/>
    <w:rsid w:val="00C52D4B"/>
    <w:rsid w:val="00C56E7D"/>
    <w:rsid w:val="00C608CF"/>
    <w:rsid w:val="00C642D4"/>
    <w:rsid w:val="00C730F4"/>
    <w:rsid w:val="00C7539E"/>
    <w:rsid w:val="00C80200"/>
    <w:rsid w:val="00C8270B"/>
    <w:rsid w:val="00C841A9"/>
    <w:rsid w:val="00C85CA9"/>
    <w:rsid w:val="00C86DD9"/>
    <w:rsid w:val="00C8728F"/>
    <w:rsid w:val="00C90D1D"/>
    <w:rsid w:val="00C96D61"/>
    <w:rsid w:val="00C97F57"/>
    <w:rsid w:val="00C97FBC"/>
    <w:rsid w:val="00CA0287"/>
    <w:rsid w:val="00CA0AC2"/>
    <w:rsid w:val="00CA0B7E"/>
    <w:rsid w:val="00CA188F"/>
    <w:rsid w:val="00CA24A6"/>
    <w:rsid w:val="00CA5598"/>
    <w:rsid w:val="00CA5EF8"/>
    <w:rsid w:val="00CB0A40"/>
    <w:rsid w:val="00CB13B8"/>
    <w:rsid w:val="00CB28A3"/>
    <w:rsid w:val="00CC00A0"/>
    <w:rsid w:val="00CC5455"/>
    <w:rsid w:val="00CC6558"/>
    <w:rsid w:val="00CC6775"/>
    <w:rsid w:val="00CC6C06"/>
    <w:rsid w:val="00CD152D"/>
    <w:rsid w:val="00CD1BE3"/>
    <w:rsid w:val="00CD2E76"/>
    <w:rsid w:val="00CD5509"/>
    <w:rsid w:val="00CD5994"/>
    <w:rsid w:val="00CD5CA6"/>
    <w:rsid w:val="00CD7161"/>
    <w:rsid w:val="00CE1EB0"/>
    <w:rsid w:val="00CE2D23"/>
    <w:rsid w:val="00CE3B92"/>
    <w:rsid w:val="00CE3DF2"/>
    <w:rsid w:val="00CE4214"/>
    <w:rsid w:val="00CE5380"/>
    <w:rsid w:val="00CE6312"/>
    <w:rsid w:val="00CE6351"/>
    <w:rsid w:val="00CF010B"/>
    <w:rsid w:val="00CF0C0F"/>
    <w:rsid w:val="00CF1690"/>
    <w:rsid w:val="00CF1E2F"/>
    <w:rsid w:val="00CF1F2A"/>
    <w:rsid w:val="00CF5CE3"/>
    <w:rsid w:val="00CF7412"/>
    <w:rsid w:val="00D030F8"/>
    <w:rsid w:val="00D036A5"/>
    <w:rsid w:val="00D04E5C"/>
    <w:rsid w:val="00D062A7"/>
    <w:rsid w:val="00D077B7"/>
    <w:rsid w:val="00D20297"/>
    <w:rsid w:val="00D20BB5"/>
    <w:rsid w:val="00D21E6B"/>
    <w:rsid w:val="00D23634"/>
    <w:rsid w:val="00D241A1"/>
    <w:rsid w:val="00D33E7F"/>
    <w:rsid w:val="00D34551"/>
    <w:rsid w:val="00D34FDC"/>
    <w:rsid w:val="00D457D6"/>
    <w:rsid w:val="00D468B2"/>
    <w:rsid w:val="00D50A03"/>
    <w:rsid w:val="00D53FA9"/>
    <w:rsid w:val="00D546CC"/>
    <w:rsid w:val="00D57A88"/>
    <w:rsid w:val="00D619DA"/>
    <w:rsid w:val="00D64CE2"/>
    <w:rsid w:val="00D65559"/>
    <w:rsid w:val="00D65F08"/>
    <w:rsid w:val="00D70487"/>
    <w:rsid w:val="00D7233D"/>
    <w:rsid w:val="00D7299C"/>
    <w:rsid w:val="00D7751B"/>
    <w:rsid w:val="00D815DC"/>
    <w:rsid w:val="00D822B5"/>
    <w:rsid w:val="00D83D3C"/>
    <w:rsid w:val="00D85EBA"/>
    <w:rsid w:val="00D867AE"/>
    <w:rsid w:val="00D87BBB"/>
    <w:rsid w:val="00D87C87"/>
    <w:rsid w:val="00D90027"/>
    <w:rsid w:val="00D91607"/>
    <w:rsid w:val="00D9185A"/>
    <w:rsid w:val="00D921C4"/>
    <w:rsid w:val="00D9296A"/>
    <w:rsid w:val="00D93C23"/>
    <w:rsid w:val="00D95638"/>
    <w:rsid w:val="00D9584C"/>
    <w:rsid w:val="00D95ED7"/>
    <w:rsid w:val="00DA0C96"/>
    <w:rsid w:val="00DA14D9"/>
    <w:rsid w:val="00DA5515"/>
    <w:rsid w:val="00DA61AE"/>
    <w:rsid w:val="00DA713C"/>
    <w:rsid w:val="00DB13AD"/>
    <w:rsid w:val="00DB23F9"/>
    <w:rsid w:val="00DB45A4"/>
    <w:rsid w:val="00DB57B0"/>
    <w:rsid w:val="00DB58BE"/>
    <w:rsid w:val="00DB6176"/>
    <w:rsid w:val="00DB6AA0"/>
    <w:rsid w:val="00DB7C3A"/>
    <w:rsid w:val="00DC357F"/>
    <w:rsid w:val="00DD32AB"/>
    <w:rsid w:val="00DD5BF6"/>
    <w:rsid w:val="00DD724F"/>
    <w:rsid w:val="00DD7641"/>
    <w:rsid w:val="00DE04C6"/>
    <w:rsid w:val="00DE1865"/>
    <w:rsid w:val="00DE1E15"/>
    <w:rsid w:val="00DE35D9"/>
    <w:rsid w:val="00DE6CEF"/>
    <w:rsid w:val="00DF11C2"/>
    <w:rsid w:val="00DF2483"/>
    <w:rsid w:val="00DF411B"/>
    <w:rsid w:val="00DF4593"/>
    <w:rsid w:val="00E034AC"/>
    <w:rsid w:val="00E0563F"/>
    <w:rsid w:val="00E10D05"/>
    <w:rsid w:val="00E11AD2"/>
    <w:rsid w:val="00E12506"/>
    <w:rsid w:val="00E1601A"/>
    <w:rsid w:val="00E2223E"/>
    <w:rsid w:val="00E22D98"/>
    <w:rsid w:val="00E24623"/>
    <w:rsid w:val="00E252E3"/>
    <w:rsid w:val="00E276C7"/>
    <w:rsid w:val="00E31B7D"/>
    <w:rsid w:val="00E32CB0"/>
    <w:rsid w:val="00E36275"/>
    <w:rsid w:val="00E400D2"/>
    <w:rsid w:val="00E40505"/>
    <w:rsid w:val="00E42A41"/>
    <w:rsid w:val="00E45766"/>
    <w:rsid w:val="00E52680"/>
    <w:rsid w:val="00E53024"/>
    <w:rsid w:val="00E53786"/>
    <w:rsid w:val="00E543A7"/>
    <w:rsid w:val="00E567E5"/>
    <w:rsid w:val="00E5763F"/>
    <w:rsid w:val="00E61DA7"/>
    <w:rsid w:val="00E638E2"/>
    <w:rsid w:val="00E6708B"/>
    <w:rsid w:val="00E67318"/>
    <w:rsid w:val="00E70943"/>
    <w:rsid w:val="00E72384"/>
    <w:rsid w:val="00E73A8C"/>
    <w:rsid w:val="00E744E0"/>
    <w:rsid w:val="00E75050"/>
    <w:rsid w:val="00E75554"/>
    <w:rsid w:val="00E755F0"/>
    <w:rsid w:val="00E76F42"/>
    <w:rsid w:val="00E82058"/>
    <w:rsid w:val="00E84964"/>
    <w:rsid w:val="00E915E6"/>
    <w:rsid w:val="00E94BF6"/>
    <w:rsid w:val="00EA3E11"/>
    <w:rsid w:val="00EA6068"/>
    <w:rsid w:val="00EA6EB3"/>
    <w:rsid w:val="00EB05CD"/>
    <w:rsid w:val="00EB1788"/>
    <w:rsid w:val="00EB2067"/>
    <w:rsid w:val="00EB396B"/>
    <w:rsid w:val="00EB4A8E"/>
    <w:rsid w:val="00EB5790"/>
    <w:rsid w:val="00EB5EF3"/>
    <w:rsid w:val="00EB695D"/>
    <w:rsid w:val="00EB6C74"/>
    <w:rsid w:val="00EB7A98"/>
    <w:rsid w:val="00EC19B0"/>
    <w:rsid w:val="00EC2461"/>
    <w:rsid w:val="00EC6316"/>
    <w:rsid w:val="00EC738B"/>
    <w:rsid w:val="00ED225A"/>
    <w:rsid w:val="00ED39CE"/>
    <w:rsid w:val="00ED4134"/>
    <w:rsid w:val="00ED42A0"/>
    <w:rsid w:val="00ED7961"/>
    <w:rsid w:val="00ED7A54"/>
    <w:rsid w:val="00EE05F1"/>
    <w:rsid w:val="00EE33BF"/>
    <w:rsid w:val="00EE471A"/>
    <w:rsid w:val="00EE5492"/>
    <w:rsid w:val="00EE634C"/>
    <w:rsid w:val="00F02441"/>
    <w:rsid w:val="00F0301D"/>
    <w:rsid w:val="00F05B40"/>
    <w:rsid w:val="00F07892"/>
    <w:rsid w:val="00F07BD5"/>
    <w:rsid w:val="00F10B52"/>
    <w:rsid w:val="00F122D6"/>
    <w:rsid w:val="00F13E5A"/>
    <w:rsid w:val="00F14342"/>
    <w:rsid w:val="00F15BF4"/>
    <w:rsid w:val="00F15E4F"/>
    <w:rsid w:val="00F1732E"/>
    <w:rsid w:val="00F17940"/>
    <w:rsid w:val="00F2046C"/>
    <w:rsid w:val="00F20647"/>
    <w:rsid w:val="00F213D1"/>
    <w:rsid w:val="00F31392"/>
    <w:rsid w:val="00F318EC"/>
    <w:rsid w:val="00F327A8"/>
    <w:rsid w:val="00F337F2"/>
    <w:rsid w:val="00F348B5"/>
    <w:rsid w:val="00F36500"/>
    <w:rsid w:val="00F3652B"/>
    <w:rsid w:val="00F377B9"/>
    <w:rsid w:val="00F379A5"/>
    <w:rsid w:val="00F427C9"/>
    <w:rsid w:val="00F45442"/>
    <w:rsid w:val="00F5145E"/>
    <w:rsid w:val="00F548D1"/>
    <w:rsid w:val="00F558EA"/>
    <w:rsid w:val="00F60F4C"/>
    <w:rsid w:val="00F610A8"/>
    <w:rsid w:val="00F613CB"/>
    <w:rsid w:val="00F618F8"/>
    <w:rsid w:val="00F61F79"/>
    <w:rsid w:val="00F64567"/>
    <w:rsid w:val="00F656A4"/>
    <w:rsid w:val="00F6665E"/>
    <w:rsid w:val="00F7075F"/>
    <w:rsid w:val="00F71D76"/>
    <w:rsid w:val="00F72FE2"/>
    <w:rsid w:val="00F73C22"/>
    <w:rsid w:val="00F7586D"/>
    <w:rsid w:val="00F76EF8"/>
    <w:rsid w:val="00F77487"/>
    <w:rsid w:val="00F8349F"/>
    <w:rsid w:val="00F83E66"/>
    <w:rsid w:val="00F83FB7"/>
    <w:rsid w:val="00F85935"/>
    <w:rsid w:val="00F85D29"/>
    <w:rsid w:val="00F86182"/>
    <w:rsid w:val="00F919BC"/>
    <w:rsid w:val="00F93962"/>
    <w:rsid w:val="00F969D3"/>
    <w:rsid w:val="00F97023"/>
    <w:rsid w:val="00F978CC"/>
    <w:rsid w:val="00FA1287"/>
    <w:rsid w:val="00FA190E"/>
    <w:rsid w:val="00FA2011"/>
    <w:rsid w:val="00FA45F2"/>
    <w:rsid w:val="00FA54D8"/>
    <w:rsid w:val="00FA7CA0"/>
    <w:rsid w:val="00FA7FF2"/>
    <w:rsid w:val="00FB23FE"/>
    <w:rsid w:val="00FB353C"/>
    <w:rsid w:val="00FB5FFD"/>
    <w:rsid w:val="00FB7075"/>
    <w:rsid w:val="00FB7D0A"/>
    <w:rsid w:val="00FC2C0C"/>
    <w:rsid w:val="00FC3CFA"/>
    <w:rsid w:val="00FC4FB7"/>
    <w:rsid w:val="00FD357B"/>
    <w:rsid w:val="00FD38FC"/>
    <w:rsid w:val="00FD49EC"/>
    <w:rsid w:val="00FD6119"/>
    <w:rsid w:val="00FD688E"/>
    <w:rsid w:val="00FD7C0C"/>
    <w:rsid w:val="00FE045C"/>
    <w:rsid w:val="00FE0C52"/>
    <w:rsid w:val="00FE1692"/>
    <w:rsid w:val="00FE53B1"/>
    <w:rsid w:val="00FF03C1"/>
    <w:rsid w:val="00FF0566"/>
    <w:rsid w:val="00FF0F72"/>
    <w:rsid w:val="00FF24E8"/>
    <w:rsid w:val="00FF452B"/>
    <w:rsid w:val="00FF6218"/>
    <w:rsid w:val="00FF6C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4" w:uiPriority="3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FollowedHyperlink" w:uiPriority="99"/>
    <w:lsdException w:name="Strong" w:unhideWhenUsed="0" w:qFormat="1"/>
    <w:lsdException w:name="Emphasis"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0E266E"/>
  </w:style>
  <w:style w:type="paragraph" w:styleId="Heading1">
    <w:name w:val="heading 1"/>
    <w:basedOn w:val="Normal"/>
    <w:next w:val="BodyText"/>
    <w:link w:val="Heading1Char"/>
    <w:qFormat/>
    <w:rsid w:val="00733970"/>
    <w:pPr>
      <w:keepNext/>
      <w:keepLines/>
      <w:numPr>
        <w:numId w:val="33"/>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11590A"/>
    <w:pPr>
      <w:keepNext/>
      <w:keepLines/>
      <w:numPr>
        <w:ilvl w:val="1"/>
        <w:numId w:val="33"/>
      </w:numPr>
      <w:tabs>
        <w:tab w:val="left" w:pos="1418"/>
        <w:tab w:val="left" w:pos="1701"/>
        <w:tab w:val="left" w:pos="1985"/>
      </w:tabs>
      <w:spacing w:before="470" w:after="227"/>
      <w:ind w:left="765"/>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33"/>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B620EE"/>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B620EE"/>
    <w:pPr>
      <w:keepNext/>
      <w:keepLines/>
      <w:spacing w:before="280" w:after="240"/>
      <w:outlineLvl w:val="5"/>
    </w:pPr>
    <w:rPr>
      <w:rFonts w:asciiTheme="majorHAnsi" w:eastAsiaTheme="majorEastAsia" w:hAnsiTheme="majorHAnsi" w:cstheme="majorBidi"/>
      <w:i/>
      <w:iCs/>
      <w:color w:val="2B3B5F" w:themeColor="text2"/>
      <w:sz w:val="24"/>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CA5598"/>
    <w:pPr>
      <w:keepNext/>
      <w:keepLines/>
      <w:numPr>
        <w:numId w:val="4"/>
      </w:numPr>
      <w:tabs>
        <w:tab w:val="left" w:pos="4536"/>
      </w:tabs>
      <w:spacing w:before="480" w:after="340"/>
      <w:ind w:left="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qFormat/>
    <w:rsid w:val="00CA5598"/>
    <w:pPr>
      <w:keepNext/>
      <w:keepLines/>
      <w:numPr>
        <w:ilvl w:val="1"/>
        <w:numId w:val="4"/>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11590A"/>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0E266E"/>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0E266E"/>
    <w:rPr>
      <w:rFonts w:asciiTheme="majorHAnsi" w:eastAsiaTheme="majorEastAsia" w:hAnsiTheme="majorHAnsi" w:cstheme="majorBidi"/>
      <w:i/>
      <w:iCs/>
      <w:color w:val="2B3B5F" w:themeColor="text2"/>
      <w:sz w:val="24"/>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4"/>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4"/>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qForma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6"/>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12"/>
      </w:numPr>
      <w:spacing w:before="113" w:after="113"/>
    </w:pPr>
    <w:rPr>
      <w:spacing w:val="-1"/>
    </w:rPr>
  </w:style>
  <w:style w:type="paragraph" w:styleId="ListNumber2">
    <w:name w:val="List Number 2"/>
    <w:basedOn w:val="Normal"/>
    <w:qFormat/>
    <w:rsid w:val="00961DBB"/>
    <w:pPr>
      <w:numPr>
        <w:ilvl w:val="1"/>
        <w:numId w:val="12"/>
      </w:numPr>
      <w:spacing w:before="113" w:after="113"/>
    </w:pPr>
    <w:rPr>
      <w:spacing w:val="-1"/>
    </w:rPr>
  </w:style>
  <w:style w:type="paragraph" w:styleId="ListNumber3">
    <w:name w:val="List Number 3"/>
    <w:basedOn w:val="Normal"/>
    <w:qFormat/>
    <w:rsid w:val="00961DBB"/>
    <w:pPr>
      <w:numPr>
        <w:ilvl w:val="2"/>
        <w:numId w:val="12"/>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19"/>
      </w:numPr>
    </w:pPr>
  </w:style>
  <w:style w:type="paragraph" w:customStyle="1" w:styleId="PullOutBoxBullet2">
    <w:name w:val="Pull Out Box Bullet 2"/>
    <w:basedOn w:val="PullOutBoxBodyText"/>
    <w:qFormat/>
    <w:rsid w:val="00961DBB"/>
    <w:pPr>
      <w:numPr>
        <w:ilvl w:val="1"/>
        <w:numId w:val="19"/>
      </w:numPr>
    </w:pPr>
  </w:style>
  <w:style w:type="paragraph" w:customStyle="1" w:styleId="PullOutBoxBullet3">
    <w:name w:val="Pull Out Box Bullet 3"/>
    <w:basedOn w:val="PullOutBoxBodyText"/>
    <w:qFormat/>
    <w:rsid w:val="00961DBB"/>
    <w:pPr>
      <w:numPr>
        <w:ilvl w:val="2"/>
        <w:numId w:val="19"/>
      </w:numPr>
    </w:pPr>
  </w:style>
  <w:style w:type="paragraph" w:customStyle="1" w:styleId="PullOutBoxHeading">
    <w:name w:val="Pull Out Box Heading"/>
    <w:basedOn w:val="PullOutBoxBodyText"/>
    <w:qFormat/>
    <w:rsid w:val="009E446D"/>
    <w:pPr>
      <w:keepNext/>
      <w:keepLines/>
      <w:spacing w:before="114" w:after="114" w:line="360" w:lineRule="atLeast"/>
    </w:pPr>
    <w:rPr>
      <w:b/>
      <w:color w:val="2B3B5F" w:themeColor="text2"/>
      <w:sz w:val="28"/>
    </w:rPr>
  </w:style>
  <w:style w:type="paragraph" w:customStyle="1" w:styleId="PullOutBoxNumber">
    <w:name w:val="Pull Out Box Number"/>
    <w:basedOn w:val="PullOutBoxBodyText"/>
    <w:qFormat/>
    <w:rsid w:val="00961DBB"/>
    <w:pPr>
      <w:numPr>
        <w:numId w:val="22"/>
      </w:numPr>
    </w:pPr>
  </w:style>
  <w:style w:type="paragraph" w:customStyle="1" w:styleId="PullOutBoxNumber2">
    <w:name w:val="Pull Out Box Number 2"/>
    <w:basedOn w:val="PullOutBoxBodyText"/>
    <w:qFormat/>
    <w:rsid w:val="00961DBB"/>
    <w:pPr>
      <w:numPr>
        <w:ilvl w:val="1"/>
        <w:numId w:val="22"/>
      </w:numPr>
    </w:pPr>
  </w:style>
  <w:style w:type="paragraph" w:customStyle="1" w:styleId="PullOutBoxNumber3">
    <w:name w:val="Pull Out Box Number 3"/>
    <w:basedOn w:val="PullOutBoxBodyText"/>
    <w:qFormat/>
    <w:rsid w:val="00961DBB"/>
    <w:pPr>
      <w:numPr>
        <w:ilvl w:val="2"/>
        <w:numId w:val="22"/>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24"/>
      </w:numPr>
    </w:pPr>
  </w:style>
  <w:style w:type="paragraph" w:customStyle="1" w:styleId="QuoteBullet2">
    <w:name w:val="Quote Bullet 2"/>
    <w:basedOn w:val="Quote"/>
    <w:qFormat/>
    <w:rsid w:val="00961DBB"/>
    <w:pPr>
      <w:numPr>
        <w:ilvl w:val="1"/>
        <w:numId w:val="24"/>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25"/>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qFormat/>
    <w:rsid w:val="0048342E"/>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2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31"/>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left" w:pos="454"/>
        <w:tab w:val="right" w:leader="underscore" w:pos="8165"/>
      </w:tabs>
      <w:spacing w:after="227"/>
      <w:ind w:left="454" w:right="851" w:hanging="454"/>
    </w:pPr>
    <w:rPr>
      <w:b/>
      <w:noProof/>
      <w:color w:val="2B3B5F" w:themeColor="text2"/>
    </w:rPr>
  </w:style>
  <w:style w:type="paragraph" w:styleId="TOC2">
    <w:name w:val="toc 2"/>
    <w:basedOn w:val="Normal"/>
    <w:next w:val="Normal"/>
    <w:rsid w:val="001B2C65"/>
    <w:pPr>
      <w:tabs>
        <w:tab w:val="left" w:pos="1021"/>
        <w:tab w:val="right" w:leader="underscore" w:pos="8165"/>
      </w:tabs>
      <w:spacing w:after="227"/>
      <w:ind w:left="1021" w:right="851" w:hanging="567"/>
    </w:pPr>
    <w:rPr>
      <w:noProof/>
      <w:szCs w:val="28"/>
    </w:rPr>
  </w:style>
  <w:style w:type="paragraph" w:styleId="TOC3">
    <w:name w:val="toc 3"/>
    <w:basedOn w:val="Normal"/>
    <w:next w:val="Normal"/>
    <w:rsid w:val="001B2C65"/>
    <w:pPr>
      <w:tabs>
        <w:tab w:val="left" w:pos="1758"/>
        <w:tab w:val="right" w:leader="underscore" w:pos="8165"/>
      </w:tabs>
      <w:spacing w:after="227"/>
      <w:ind w:left="1758" w:right="851" w:hanging="737"/>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uiPriority w:val="99"/>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styleId="TOC9">
    <w:name w:val="toc 9"/>
    <w:basedOn w:val="Normal"/>
    <w:next w:val="Normal"/>
    <w:autoRedefine/>
    <w:semiHidden/>
    <w:unhideWhenUsed/>
    <w:rsid w:val="005A714D"/>
    <w:pPr>
      <w:spacing w:after="100"/>
      <w:ind w:left="1760"/>
    </w:pPr>
  </w:style>
  <w:style w:type="paragraph" w:styleId="ListParagraph">
    <w:name w:val="List Paragraph"/>
    <w:basedOn w:val="Normal"/>
    <w:uiPriority w:val="72"/>
    <w:qFormat/>
    <w:rsid w:val="00765D3D"/>
    <w:pPr>
      <w:ind w:left="720"/>
      <w:contextualSpacing/>
    </w:pPr>
    <w:rPr>
      <w:rFonts w:ascii="Cambria" w:eastAsia="Cambria" w:hAnsi="Cambria" w:cs="Times New Roman"/>
    </w:rPr>
  </w:style>
  <w:style w:type="character" w:styleId="CommentReference">
    <w:name w:val="annotation reference"/>
    <w:basedOn w:val="DefaultParagraphFont"/>
    <w:semiHidden/>
    <w:unhideWhenUsed/>
    <w:rsid w:val="00012EC0"/>
    <w:rPr>
      <w:sz w:val="16"/>
      <w:szCs w:val="16"/>
    </w:rPr>
  </w:style>
  <w:style w:type="paragraph" w:styleId="CommentText">
    <w:name w:val="annotation text"/>
    <w:basedOn w:val="Normal"/>
    <w:link w:val="CommentTextChar"/>
    <w:semiHidden/>
    <w:unhideWhenUsed/>
    <w:rsid w:val="00012EC0"/>
    <w:pPr>
      <w:spacing w:line="240" w:lineRule="auto"/>
    </w:pPr>
    <w:rPr>
      <w:sz w:val="20"/>
      <w:szCs w:val="20"/>
    </w:rPr>
  </w:style>
  <w:style w:type="character" w:customStyle="1" w:styleId="CommentTextChar">
    <w:name w:val="Comment Text Char"/>
    <w:basedOn w:val="DefaultParagraphFont"/>
    <w:link w:val="CommentText"/>
    <w:semiHidden/>
    <w:rsid w:val="00012EC0"/>
    <w:rPr>
      <w:sz w:val="20"/>
      <w:szCs w:val="20"/>
    </w:rPr>
  </w:style>
  <w:style w:type="paragraph" w:styleId="CommentSubject">
    <w:name w:val="annotation subject"/>
    <w:basedOn w:val="CommentText"/>
    <w:next w:val="CommentText"/>
    <w:link w:val="CommentSubjectChar"/>
    <w:semiHidden/>
    <w:unhideWhenUsed/>
    <w:rsid w:val="0052503A"/>
    <w:rPr>
      <w:b/>
      <w:bCs/>
    </w:rPr>
  </w:style>
  <w:style w:type="character" w:customStyle="1" w:styleId="CommentSubjectChar">
    <w:name w:val="Comment Subject Char"/>
    <w:basedOn w:val="CommentTextChar"/>
    <w:link w:val="CommentSubject"/>
    <w:semiHidden/>
    <w:rsid w:val="0052503A"/>
    <w:rPr>
      <w:b/>
      <w:bCs/>
      <w:sz w:val="20"/>
      <w:szCs w:val="20"/>
    </w:rPr>
  </w:style>
  <w:style w:type="paragraph" w:styleId="Revision">
    <w:name w:val="Revision"/>
    <w:hidden/>
    <w:uiPriority w:val="99"/>
    <w:semiHidden/>
    <w:rsid w:val="0052503A"/>
    <w:pPr>
      <w:spacing w:line="240" w:lineRule="auto"/>
    </w:pPr>
  </w:style>
  <w:style w:type="paragraph" w:styleId="NormalWeb">
    <w:name w:val="Normal (Web)"/>
    <w:basedOn w:val="Normal"/>
    <w:uiPriority w:val="99"/>
    <w:semiHidden/>
    <w:unhideWhenUsed/>
    <w:rsid w:val="008B39D2"/>
    <w:pPr>
      <w:spacing w:before="100" w:beforeAutospacing="1" w:after="100" w:afterAutospacing="1" w:line="240" w:lineRule="auto"/>
    </w:pPr>
    <w:rPr>
      <w:rFonts w:ascii="Times New Roman" w:eastAsia="MS Mincho" w:hAnsi="Times New Roman" w:cs="Times New Roman"/>
      <w:sz w:val="24"/>
      <w:szCs w:val="24"/>
      <w:lang w:eastAsia="en-AU"/>
    </w:rPr>
  </w:style>
  <w:style w:type="character" w:styleId="FollowedHyperlink">
    <w:name w:val="FollowedHyperlink"/>
    <w:basedOn w:val="DefaultParagraphFont"/>
    <w:uiPriority w:val="99"/>
    <w:semiHidden/>
    <w:unhideWhenUsed/>
    <w:rsid w:val="00894910"/>
    <w:rPr>
      <w:color w:val="000000"/>
      <w:u w:val="single"/>
    </w:rPr>
  </w:style>
  <w:style w:type="paragraph" w:customStyle="1" w:styleId="xl65">
    <w:name w:val="xl65"/>
    <w:basedOn w:val="Normal"/>
    <w:rsid w:val="00894910"/>
    <w:pPr>
      <w:spacing w:before="100" w:beforeAutospacing="1" w:after="100" w:afterAutospacing="1" w:line="240" w:lineRule="auto"/>
    </w:pPr>
    <w:rPr>
      <w:rFonts w:ascii="Arial" w:eastAsia="Times New Roman" w:hAnsi="Arial" w:cs="Arial"/>
      <w:sz w:val="16"/>
      <w:szCs w:val="16"/>
      <w:lang w:eastAsia="en-AU"/>
    </w:rPr>
  </w:style>
  <w:style w:type="paragraph" w:customStyle="1" w:styleId="xl66">
    <w:name w:val="xl66"/>
    <w:basedOn w:val="Normal"/>
    <w:rsid w:val="00894910"/>
    <w:pPr>
      <w:shd w:val="clear" w:color="000000" w:fill="2B3B5F"/>
      <w:spacing w:before="100" w:beforeAutospacing="1" w:after="100" w:afterAutospacing="1" w:line="240" w:lineRule="auto"/>
      <w:jc w:val="center"/>
    </w:pPr>
    <w:rPr>
      <w:rFonts w:ascii="Arial" w:eastAsia="Times New Roman" w:hAnsi="Arial" w:cs="Arial"/>
      <w:b/>
      <w:bCs/>
      <w:color w:val="FFFFFF"/>
      <w:sz w:val="16"/>
      <w:szCs w:val="16"/>
      <w:lang w:eastAsia="en-AU"/>
    </w:rPr>
  </w:style>
  <w:style w:type="paragraph" w:customStyle="1" w:styleId="xl67">
    <w:name w:val="xl67"/>
    <w:basedOn w:val="Normal"/>
    <w:rsid w:val="00894910"/>
    <w:pPr>
      <w:shd w:val="clear" w:color="000000" w:fill="2B3B5F"/>
      <w:spacing w:before="100" w:beforeAutospacing="1" w:after="100" w:afterAutospacing="1" w:line="240" w:lineRule="auto"/>
    </w:pPr>
    <w:rPr>
      <w:rFonts w:ascii="Arial" w:eastAsia="Times New Roman" w:hAnsi="Arial" w:cs="Arial"/>
      <w:b/>
      <w:bCs/>
      <w:color w:val="FFFFFF"/>
      <w:sz w:val="16"/>
      <w:szCs w:val="16"/>
      <w:lang w:eastAsia="en-AU"/>
    </w:rPr>
  </w:style>
  <w:style w:type="paragraph" w:customStyle="1" w:styleId="xl68">
    <w:name w:val="xl68"/>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69">
    <w:name w:val="xl69"/>
    <w:basedOn w:val="Normal"/>
    <w:rsid w:val="00894910"/>
    <w:pPr>
      <w:spacing w:before="100" w:beforeAutospacing="1" w:after="100" w:afterAutospacing="1" w:line="240" w:lineRule="auto"/>
      <w:ind w:firstLineChars="100" w:firstLine="100"/>
    </w:pPr>
    <w:rPr>
      <w:rFonts w:ascii="Arial" w:eastAsia="Times New Roman" w:hAnsi="Arial" w:cs="Arial"/>
      <w:i/>
      <w:iCs/>
      <w:sz w:val="16"/>
      <w:szCs w:val="16"/>
      <w:lang w:eastAsia="en-AU"/>
    </w:rPr>
  </w:style>
  <w:style w:type="paragraph" w:customStyle="1" w:styleId="xl70">
    <w:name w:val="xl70"/>
    <w:basedOn w:val="Normal"/>
    <w:rsid w:val="00894910"/>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71">
    <w:name w:val="xl71"/>
    <w:basedOn w:val="Normal"/>
    <w:rsid w:val="00894910"/>
    <w:pPr>
      <w:spacing w:before="100" w:beforeAutospacing="1" w:after="100" w:afterAutospacing="1" w:line="240" w:lineRule="auto"/>
    </w:pPr>
    <w:rPr>
      <w:rFonts w:ascii="Arial" w:eastAsia="Times New Roman" w:hAnsi="Arial" w:cs="Arial"/>
      <w:sz w:val="16"/>
      <w:szCs w:val="16"/>
      <w:lang w:eastAsia="en-AU"/>
    </w:rPr>
  </w:style>
  <w:style w:type="paragraph" w:customStyle="1" w:styleId="xl72">
    <w:name w:val="xl72"/>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3">
    <w:name w:val="xl73"/>
    <w:basedOn w:val="Normal"/>
    <w:rsid w:val="00894910"/>
    <w:pPr>
      <w:shd w:val="clear" w:color="000000" w:fill="667EB9"/>
      <w:spacing w:before="100" w:beforeAutospacing="1" w:after="100" w:afterAutospacing="1" w:line="240" w:lineRule="auto"/>
      <w:jc w:val="center"/>
    </w:pPr>
    <w:rPr>
      <w:rFonts w:ascii="Arial" w:eastAsia="Times New Roman" w:hAnsi="Arial" w:cs="Arial"/>
      <w:b/>
      <w:bCs/>
      <w:color w:val="FFFFFF"/>
      <w:sz w:val="16"/>
      <w:szCs w:val="16"/>
      <w:lang w:eastAsia="en-AU"/>
    </w:rPr>
  </w:style>
  <w:style w:type="paragraph" w:customStyle="1" w:styleId="xl74">
    <w:name w:val="xl74"/>
    <w:basedOn w:val="Normal"/>
    <w:rsid w:val="00894910"/>
    <w:pP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75">
    <w:name w:val="xl75"/>
    <w:basedOn w:val="Normal"/>
    <w:rsid w:val="00894910"/>
    <w:pPr>
      <w:shd w:val="clear" w:color="000000" w:fill="E9ECF3"/>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894910"/>
    <w:pPr>
      <w:pBdr>
        <w:bottom w:val="single" w:sz="4" w:space="0" w:color="auto"/>
      </w:pBdr>
      <w:shd w:val="clear" w:color="000000" w:fill="E9ECF3"/>
      <w:spacing w:before="100" w:beforeAutospacing="1" w:after="100" w:afterAutospacing="1" w:line="240" w:lineRule="auto"/>
    </w:pPr>
    <w:rPr>
      <w:rFonts w:ascii="Arial" w:eastAsia="Times New Roman" w:hAnsi="Arial" w:cs="Arial"/>
      <w:sz w:val="16"/>
      <w:szCs w:val="16"/>
      <w:lang w:eastAsia="en-AU"/>
    </w:rPr>
  </w:style>
  <w:style w:type="paragraph" w:customStyle="1" w:styleId="xl77">
    <w:name w:val="xl77"/>
    <w:basedOn w:val="Normal"/>
    <w:rsid w:val="00894910"/>
    <w:pPr>
      <w:pBdr>
        <w:bottom w:val="single" w:sz="4" w:space="0" w:color="auto"/>
      </w:pBd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78">
    <w:name w:val="xl78"/>
    <w:basedOn w:val="Normal"/>
    <w:rsid w:val="00894910"/>
    <w:pPr>
      <w:spacing w:before="100" w:beforeAutospacing="1" w:after="100" w:afterAutospacing="1" w:line="240" w:lineRule="auto"/>
    </w:pPr>
    <w:rPr>
      <w:rFonts w:ascii="Times New Roman" w:eastAsia="Times New Roman" w:hAnsi="Times New Roman" w:cs="Times New Roman"/>
      <w:b/>
      <w:bCs/>
      <w:color w:val="2B3B5F"/>
      <w:sz w:val="24"/>
      <w:szCs w:val="24"/>
      <w:lang w:eastAsia="en-AU"/>
    </w:rPr>
  </w:style>
  <w:style w:type="paragraph" w:customStyle="1" w:styleId="xl79">
    <w:name w:val="xl79"/>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0">
    <w:name w:val="xl80"/>
    <w:basedOn w:val="Normal"/>
    <w:rsid w:val="00894910"/>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PBOtext">
    <w:name w:val="PBO text"/>
    <w:basedOn w:val="Normal"/>
    <w:link w:val="PBOtextChar"/>
    <w:qFormat/>
    <w:rsid w:val="00CE3B92"/>
    <w:pPr>
      <w:spacing w:before="120" w:after="113" w:line="288" w:lineRule="auto"/>
    </w:pPr>
    <w:rPr>
      <w:rFonts w:ascii="Calibri" w:eastAsia="Cambria" w:hAnsi="Calibri" w:cs="Times New Roman"/>
      <w:sz w:val="20"/>
      <w:szCs w:val="20"/>
      <w:lang w:eastAsia="en-AU"/>
    </w:rPr>
  </w:style>
  <w:style w:type="paragraph" w:customStyle="1" w:styleId="PBOheading3">
    <w:name w:val="PBO heading 3"/>
    <w:link w:val="PBOheading3Char"/>
    <w:qFormat/>
    <w:rsid w:val="00CE3B92"/>
    <w:pPr>
      <w:keepNext/>
      <w:spacing w:before="200" w:after="200" w:line="240" w:lineRule="auto"/>
    </w:pPr>
    <w:rPr>
      <w:rFonts w:ascii="Calibri" w:eastAsia="Cambria" w:hAnsi="Calibri" w:cs="Times New Roman"/>
      <w:b/>
      <w:szCs w:val="24"/>
    </w:rPr>
  </w:style>
  <w:style w:type="character" w:customStyle="1" w:styleId="PBOtextChar">
    <w:name w:val="PBO text Char"/>
    <w:link w:val="PBOtext"/>
    <w:locked/>
    <w:rsid w:val="00CE3B92"/>
    <w:rPr>
      <w:rFonts w:ascii="Calibri" w:eastAsia="Cambria" w:hAnsi="Calibri" w:cs="Times New Roman"/>
      <w:sz w:val="20"/>
      <w:szCs w:val="20"/>
      <w:lang w:eastAsia="en-AU"/>
    </w:rPr>
  </w:style>
  <w:style w:type="character" w:customStyle="1" w:styleId="PBOheading3Char">
    <w:name w:val="PBO heading 3 Char"/>
    <w:link w:val="PBOheading3"/>
    <w:rsid w:val="00CE3B92"/>
    <w:rPr>
      <w:rFonts w:ascii="Calibri" w:eastAsia="Cambria" w:hAnsi="Calibri" w:cs="Times New Roman"/>
      <w:b/>
      <w:szCs w:val="24"/>
    </w:rPr>
  </w:style>
  <w:style w:type="paragraph" w:customStyle="1" w:styleId="PBOheading2">
    <w:name w:val="PBO heading 2"/>
    <w:basedOn w:val="Heading2"/>
    <w:uiPriority w:val="1"/>
    <w:qFormat/>
    <w:rsid w:val="00CE3B92"/>
    <w:pPr>
      <w:keepLines w:val="0"/>
      <w:numPr>
        <w:ilvl w:val="0"/>
        <w:numId w:val="0"/>
      </w:numPr>
      <w:tabs>
        <w:tab w:val="clear" w:pos="1418"/>
        <w:tab w:val="clear" w:pos="1701"/>
        <w:tab w:val="clear" w:pos="1985"/>
      </w:tabs>
      <w:spacing w:before="320" w:after="170" w:line="288" w:lineRule="auto"/>
    </w:pPr>
    <w:rPr>
      <w:rFonts w:ascii="Georgia" w:eastAsia="Times New Roman" w:hAnsi="Georgia" w:cs="Times New Roman"/>
      <w:color w:val="2B3B5F"/>
      <w:kern w:val="0"/>
      <w:sz w:val="28"/>
      <w:lang w:eastAsia="en-AU"/>
    </w:rPr>
  </w:style>
  <w:style w:type="numbering" w:customStyle="1" w:styleId="NoList1">
    <w:name w:val="No List1"/>
    <w:next w:val="NoList"/>
    <w:uiPriority w:val="99"/>
    <w:semiHidden/>
    <w:unhideWhenUsed/>
    <w:rsid w:val="00090296"/>
  </w:style>
  <w:style w:type="paragraph" w:customStyle="1" w:styleId="xl81">
    <w:name w:val="xl81"/>
    <w:basedOn w:val="Normal"/>
    <w:rsid w:val="00090296"/>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rsid w:val="00090296"/>
    <w:pPr>
      <w:pBdr>
        <w:bottom w:val="single" w:sz="4" w:space="0" w:color="auto"/>
      </w:pBd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83">
    <w:name w:val="xl83"/>
    <w:basedOn w:val="Normal"/>
    <w:rsid w:val="00090296"/>
    <w:pPr>
      <w:pBdr>
        <w:bottom w:val="single" w:sz="4" w:space="0" w:color="auto"/>
      </w:pBdr>
      <w:shd w:val="clear" w:color="000000" w:fill="E9ECF3"/>
      <w:spacing w:before="100" w:beforeAutospacing="1" w:after="100" w:afterAutospacing="1" w:line="240" w:lineRule="auto"/>
    </w:pPr>
    <w:rPr>
      <w:rFonts w:ascii="Arial" w:eastAsia="Times New Roman" w:hAnsi="Arial" w:cs="Arial"/>
      <w:sz w:val="16"/>
      <w:szCs w:val="16"/>
      <w:lang w:eastAsia="en-AU"/>
    </w:rPr>
  </w:style>
  <w:style w:type="table" w:customStyle="1" w:styleId="TableGrid1">
    <w:name w:val="Table Grid1"/>
    <w:basedOn w:val="TableNormal"/>
    <w:next w:val="TableGrid"/>
    <w:rsid w:val="00EB396B"/>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4" w:uiPriority="3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FollowedHyperlink" w:uiPriority="99"/>
    <w:lsdException w:name="Strong" w:unhideWhenUsed="0" w:qFormat="1"/>
    <w:lsdException w:name="Emphasis"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0E266E"/>
  </w:style>
  <w:style w:type="paragraph" w:styleId="Heading1">
    <w:name w:val="heading 1"/>
    <w:basedOn w:val="Normal"/>
    <w:next w:val="BodyText"/>
    <w:link w:val="Heading1Char"/>
    <w:qFormat/>
    <w:rsid w:val="00733970"/>
    <w:pPr>
      <w:keepNext/>
      <w:keepLines/>
      <w:numPr>
        <w:numId w:val="33"/>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11590A"/>
    <w:pPr>
      <w:keepNext/>
      <w:keepLines/>
      <w:numPr>
        <w:ilvl w:val="1"/>
        <w:numId w:val="33"/>
      </w:numPr>
      <w:tabs>
        <w:tab w:val="left" w:pos="1418"/>
        <w:tab w:val="left" w:pos="1701"/>
        <w:tab w:val="left" w:pos="1985"/>
      </w:tabs>
      <w:spacing w:before="470" w:after="227"/>
      <w:ind w:left="765"/>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33"/>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B620EE"/>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B620EE"/>
    <w:pPr>
      <w:keepNext/>
      <w:keepLines/>
      <w:spacing w:before="280" w:after="240"/>
      <w:outlineLvl w:val="5"/>
    </w:pPr>
    <w:rPr>
      <w:rFonts w:asciiTheme="majorHAnsi" w:eastAsiaTheme="majorEastAsia" w:hAnsiTheme="majorHAnsi" w:cstheme="majorBidi"/>
      <w:i/>
      <w:iCs/>
      <w:color w:val="2B3B5F" w:themeColor="text2"/>
      <w:sz w:val="24"/>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qFormat/>
    <w:rsid w:val="00CA5598"/>
    <w:pPr>
      <w:keepNext/>
      <w:keepLines/>
      <w:numPr>
        <w:numId w:val="4"/>
      </w:numPr>
      <w:tabs>
        <w:tab w:val="left" w:pos="4536"/>
      </w:tabs>
      <w:spacing w:before="480" w:after="340"/>
      <w:ind w:left="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qFormat/>
    <w:rsid w:val="00CA5598"/>
    <w:pPr>
      <w:keepNext/>
      <w:keepLines/>
      <w:numPr>
        <w:ilvl w:val="1"/>
        <w:numId w:val="4"/>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11590A"/>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0E266E"/>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0E266E"/>
    <w:rPr>
      <w:rFonts w:asciiTheme="majorHAnsi" w:eastAsiaTheme="majorEastAsia" w:hAnsiTheme="majorHAnsi" w:cstheme="majorBidi"/>
      <w:i/>
      <w:iCs/>
      <w:color w:val="2B3B5F" w:themeColor="text2"/>
      <w:sz w:val="24"/>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4"/>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4"/>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qForma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6"/>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12"/>
      </w:numPr>
      <w:spacing w:before="113" w:after="113"/>
    </w:pPr>
    <w:rPr>
      <w:spacing w:val="-1"/>
    </w:rPr>
  </w:style>
  <w:style w:type="paragraph" w:styleId="ListNumber2">
    <w:name w:val="List Number 2"/>
    <w:basedOn w:val="Normal"/>
    <w:qFormat/>
    <w:rsid w:val="00961DBB"/>
    <w:pPr>
      <w:numPr>
        <w:ilvl w:val="1"/>
        <w:numId w:val="12"/>
      </w:numPr>
      <w:spacing w:before="113" w:after="113"/>
    </w:pPr>
    <w:rPr>
      <w:spacing w:val="-1"/>
    </w:rPr>
  </w:style>
  <w:style w:type="paragraph" w:styleId="ListNumber3">
    <w:name w:val="List Number 3"/>
    <w:basedOn w:val="Normal"/>
    <w:qFormat/>
    <w:rsid w:val="00961DBB"/>
    <w:pPr>
      <w:numPr>
        <w:ilvl w:val="2"/>
        <w:numId w:val="12"/>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19"/>
      </w:numPr>
    </w:pPr>
  </w:style>
  <w:style w:type="paragraph" w:customStyle="1" w:styleId="PullOutBoxBullet2">
    <w:name w:val="Pull Out Box Bullet 2"/>
    <w:basedOn w:val="PullOutBoxBodyText"/>
    <w:qFormat/>
    <w:rsid w:val="00961DBB"/>
    <w:pPr>
      <w:numPr>
        <w:ilvl w:val="1"/>
        <w:numId w:val="19"/>
      </w:numPr>
    </w:pPr>
  </w:style>
  <w:style w:type="paragraph" w:customStyle="1" w:styleId="PullOutBoxBullet3">
    <w:name w:val="Pull Out Box Bullet 3"/>
    <w:basedOn w:val="PullOutBoxBodyText"/>
    <w:qFormat/>
    <w:rsid w:val="00961DBB"/>
    <w:pPr>
      <w:numPr>
        <w:ilvl w:val="2"/>
        <w:numId w:val="19"/>
      </w:numPr>
    </w:pPr>
  </w:style>
  <w:style w:type="paragraph" w:customStyle="1" w:styleId="PullOutBoxHeading">
    <w:name w:val="Pull Out Box Heading"/>
    <w:basedOn w:val="PullOutBoxBodyText"/>
    <w:qFormat/>
    <w:rsid w:val="009E446D"/>
    <w:pPr>
      <w:keepNext/>
      <w:keepLines/>
      <w:spacing w:before="114" w:after="114" w:line="360" w:lineRule="atLeast"/>
    </w:pPr>
    <w:rPr>
      <w:b/>
      <w:color w:val="2B3B5F" w:themeColor="text2"/>
      <w:sz w:val="28"/>
    </w:rPr>
  </w:style>
  <w:style w:type="paragraph" w:customStyle="1" w:styleId="PullOutBoxNumber">
    <w:name w:val="Pull Out Box Number"/>
    <w:basedOn w:val="PullOutBoxBodyText"/>
    <w:qFormat/>
    <w:rsid w:val="00961DBB"/>
    <w:pPr>
      <w:numPr>
        <w:numId w:val="22"/>
      </w:numPr>
    </w:pPr>
  </w:style>
  <w:style w:type="paragraph" w:customStyle="1" w:styleId="PullOutBoxNumber2">
    <w:name w:val="Pull Out Box Number 2"/>
    <w:basedOn w:val="PullOutBoxBodyText"/>
    <w:qFormat/>
    <w:rsid w:val="00961DBB"/>
    <w:pPr>
      <w:numPr>
        <w:ilvl w:val="1"/>
        <w:numId w:val="22"/>
      </w:numPr>
    </w:pPr>
  </w:style>
  <w:style w:type="paragraph" w:customStyle="1" w:styleId="PullOutBoxNumber3">
    <w:name w:val="Pull Out Box Number 3"/>
    <w:basedOn w:val="PullOutBoxBodyText"/>
    <w:qFormat/>
    <w:rsid w:val="00961DBB"/>
    <w:pPr>
      <w:numPr>
        <w:ilvl w:val="2"/>
        <w:numId w:val="22"/>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24"/>
      </w:numPr>
    </w:pPr>
  </w:style>
  <w:style w:type="paragraph" w:customStyle="1" w:styleId="QuoteBullet2">
    <w:name w:val="Quote Bullet 2"/>
    <w:basedOn w:val="Quote"/>
    <w:qFormat/>
    <w:rsid w:val="00961DBB"/>
    <w:pPr>
      <w:numPr>
        <w:ilvl w:val="1"/>
        <w:numId w:val="24"/>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25"/>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qFormat/>
    <w:rsid w:val="0048342E"/>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2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31"/>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left" w:pos="454"/>
        <w:tab w:val="right" w:leader="underscore" w:pos="8165"/>
      </w:tabs>
      <w:spacing w:after="227"/>
      <w:ind w:left="454" w:right="851" w:hanging="454"/>
    </w:pPr>
    <w:rPr>
      <w:b/>
      <w:noProof/>
      <w:color w:val="2B3B5F" w:themeColor="text2"/>
    </w:rPr>
  </w:style>
  <w:style w:type="paragraph" w:styleId="TOC2">
    <w:name w:val="toc 2"/>
    <w:basedOn w:val="Normal"/>
    <w:next w:val="Normal"/>
    <w:rsid w:val="001B2C65"/>
    <w:pPr>
      <w:tabs>
        <w:tab w:val="left" w:pos="1021"/>
        <w:tab w:val="right" w:leader="underscore" w:pos="8165"/>
      </w:tabs>
      <w:spacing w:after="227"/>
      <w:ind w:left="1021" w:right="851" w:hanging="567"/>
    </w:pPr>
    <w:rPr>
      <w:noProof/>
      <w:szCs w:val="28"/>
    </w:rPr>
  </w:style>
  <w:style w:type="paragraph" w:styleId="TOC3">
    <w:name w:val="toc 3"/>
    <w:basedOn w:val="Normal"/>
    <w:next w:val="Normal"/>
    <w:rsid w:val="001B2C65"/>
    <w:pPr>
      <w:tabs>
        <w:tab w:val="left" w:pos="1758"/>
        <w:tab w:val="right" w:leader="underscore" w:pos="8165"/>
      </w:tabs>
      <w:spacing w:after="227"/>
      <w:ind w:left="1758" w:right="851" w:hanging="737"/>
    </w:pPr>
    <w:rPr>
      <w:rFonts w:eastAsiaTheme="minorEastAsia"/>
      <w:noProof/>
    </w:rPr>
  </w:style>
  <w:style w:type="paragraph" w:styleId="TOC4">
    <w:name w:val="toc 4"/>
    <w:basedOn w:val="Normal"/>
    <w:uiPriority w:val="39"/>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uiPriority w:val="99"/>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styleId="TOC9">
    <w:name w:val="toc 9"/>
    <w:basedOn w:val="Normal"/>
    <w:next w:val="Normal"/>
    <w:autoRedefine/>
    <w:semiHidden/>
    <w:unhideWhenUsed/>
    <w:rsid w:val="005A714D"/>
    <w:pPr>
      <w:spacing w:after="100"/>
      <w:ind w:left="1760"/>
    </w:pPr>
  </w:style>
  <w:style w:type="paragraph" w:styleId="ListParagraph">
    <w:name w:val="List Paragraph"/>
    <w:basedOn w:val="Normal"/>
    <w:uiPriority w:val="72"/>
    <w:qFormat/>
    <w:rsid w:val="00765D3D"/>
    <w:pPr>
      <w:ind w:left="720"/>
      <w:contextualSpacing/>
    </w:pPr>
    <w:rPr>
      <w:rFonts w:ascii="Cambria" w:eastAsia="Cambria" w:hAnsi="Cambria" w:cs="Times New Roman"/>
    </w:rPr>
  </w:style>
  <w:style w:type="character" w:styleId="CommentReference">
    <w:name w:val="annotation reference"/>
    <w:basedOn w:val="DefaultParagraphFont"/>
    <w:semiHidden/>
    <w:unhideWhenUsed/>
    <w:rsid w:val="00012EC0"/>
    <w:rPr>
      <w:sz w:val="16"/>
      <w:szCs w:val="16"/>
    </w:rPr>
  </w:style>
  <w:style w:type="paragraph" w:styleId="CommentText">
    <w:name w:val="annotation text"/>
    <w:basedOn w:val="Normal"/>
    <w:link w:val="CommentTextChar"/>
    <w:semiHidden/>
    <w:unhideWhenUsed/>
    <w:rsid w:val="00012EC0"/>
    <w:pPr>
      <w:spacing w:line="240" w:lineRule="auto"/>
    </w:pPr>
    <w:rPr>
      <w:sz w:val="20"/>
      <w:szCs w:val="20"/>
    </w:rPr>
  </w:style>
  <w:style w:type="character" w:customStyle="1" w:styleId="CommentTextChar">
    <w:name w:val="Comment Text Char"/>
    <w:basedOn w:val="DefaultParagraphFont"/>
    <w:link w:val="CommentText"/>
    <w:semiHidden/>
    <w:rsid w:val="00012EC0"/>
    <w:rPr>
      <w:sz w:val="20"/>
      <w:szCs w:val="20"/>
    </w:rPr>
  </w:style>
  <w:style w:type="paragraph" w:styleId="CommentSubject">
    <w:name w:val="annotation subject"/>
    <w:basedOn w:val="CommentText"/>
    <w:next w:val="CommentText"/>
    <w:link w:val="CommentSubjectChar"/>
    <w:semiHidden/>
    <w:unhideWhenUsed/>
    <w:rsid w:val="0052503A"/>
    <w:rPr>
      <w:b/>
      <w:bCs/>
    </w:rPr>
  </w:style>
  <w:style w:type="character" w:customStyle="1" w:styleId="CommentSubjectChar">
    <w:name w:val="Comment Subject Char"/>
    <w:basedOn w:val="CommentTextChar"/>
    <w:link w:val="CommentSubject"/>
    <w:semiHidden/>
    <w:rsid w:val="0052503A"/>
    <w:rPr>
      <w:b/>
      <w:bCs/>
      <w:sz w:val="20"/>
      <w:szCs w:val="20"/>
    </w:rPr>
  </w:style>
  <w:style w:type="paragraph" w:styleId="Revision">
    <w:name w:val="Revision"/>
    <w:hidden/>
    <w:uiPriority w:val="99"/>
    <w:semiHidden/>
    <w:rsid w:val="0052503A"/>
    <w:pPr>
      <w:spacing w:line="240" w:lineRule="auto"/>
    </w:pPr>
  </w:style>
  <w:style w:type="paragraph" w:styleId="NormalWeb">
    <w:name w:val="Normal (Web)"/>
    <w:basedOn w:val="Normal"/>
    <w:uiPriority w:val="99"/>
    <w:semiHidden/>
    <w:unhideWhenUsed/>
    <w:rsid w:val="008B39D2"/>
    <w:pPr>
      <w:spacing w:before="100" w:beforeAutospacing="1" w:after="100" w:afterAutospacing="1" w:line="240" w:lineRule="auto"/>
    </w:pPr>
    <w:rPr>
      <w:rFonts w:ascii="Times New Roman" w:eastAsia="MS Mincho" w:hAnsi="Times New Roman" w:cs="Times New Roman"/>
      <w:sz w:val="24"/>
      <w:szCs w:val="24"/>
      <w:lang w:eastAsia="en-AU"/>
    </w:rPr>
  </w:style>
  <w:style w:type="character" w:styleId="FollowedHyperlink">
    <w:name w:val="FollowedHyperlink"/>
    <w:basedOn w:val="DefaultParagraphFont"/>
    <w:uiPriority w:val="99"/>
    <w:semiHidden/>
    <w:unhideWhenUsed/>
    <w:rsid w:val="00894910"/>
    <w:rPr>
      <w:color w:val="000000"/>
      <w:u w:val="single"/>
    </w:rPr>
  </w:style>
  <w:style w:type="paragraph" w:customStyle="1" w:styleId="xl65">
    <w:name w:val="xl65"/>
    <w:basedOn w:val="Normal"/>
    <w:rsid w:val="00894910"/>
    <w:pPr>
      <w:spacing w:before="100" w:beforeAutospacing="1" w:after="100" w:afterAutospacing="1" w:line="240" w:lineRule="auto"/>
    </w:pPr>
    <w:rPr>
      <w:rFonts w:ascii="Arial" w:eastAsia="Times New Roman" w:hAnsi="Arial" w:cs="Arial"/>
      <w:sz w:val="16"/>
      <w:szCs w:val="16"/>
      <w:lang w:eastAsia="en-AU"/>
    </w:rPr>
  </w:style>
  <w:style w:type="paragraph" w:customStyle="1" w:styleId="xl66">
    <w:name w:val="xl66"/>
    <w:basedOn w:val="Normal"/>
    <w:rsid w:val="00894910"/>
    <w:pPr>
      <w:shd w:val="clear" w:color="000000" w:fill="2B3B5F"/>
      <w:spacing w:before="100" w:beforeAutospacing="1" w:after="100" w:afterAutospacing="1" w:line="240" w:lineRule="auto"/>
      <w:jc w:val="center"/>
    </w:pPr>
    <w:rPr>
      <w:rFonts w:ascii="Arial" w:eastAsia="Times New Roman" w:hAnsi="Arial" w:cs="Arial"/>
      <w:b/>
      <w:bCs/>
      <w:color w:val="FFFFFF"/>
      <w:sz w:val="16"/>
      <w:szCs w:val="16"/>
      <w:lang w:eastAsia="en-AU"/>
    </w:rPr>
  </w:style>
  <w:style w:type="paragraph" w:customStyle="1" w:styleId="xl67">
    <w:name w:val="xl67"/>
    <w:basedOn w:val="Normal"/>
    <w:rsid w:val="00894910"/>
    <w:pPr>
      <w:shd w:val="clear" w:color="000000" w:fill="2B3B5F"/>
      <w:spacing w:before="100" w:beforeAutospacing="1" w:after="100" w:afterAutospacing="1" w:line="240" w:lineRule="auto"/>
    </w:pPr>
    <w:rPr>
      <w:rFonts w:ascii="Arial" w:eastAsia="Times New Roman" w:hAnsi="Arial" w:cs="Arial"/>
      <w:b/>
      <w:bCs/>
      <w:color w:val="FFFFFF"/>
      <w:sz w:val="16"/>
      <w:szCs w:val="16"/>
      <w:lang w:eastAsia="en-AU"/>
    </w:rPr>
  </w:style>
  <w:style w:type="paragraph" w:customStyle="1" w:styleId="xl68">
    <w:name w:val="xl68"/>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69">
    <w:name w:val="xl69"/>
    <w:basedOn w:val="Normal"/>
    <w:rsid w:val="00894910"/>
    <w:pPr>
      <w:spacing w:before="100" w:beforeAutospacing="1" w:after="100" w:afterAutospacing="1" w:line="240" w:lineRule="auto"/>
      <w:ind w:firstLineChars="100" w:firstLine="100"/>
    </w:pPr>
    <w:rPr>
      <w:rFonts w:ascii="Arial" w:eastAsia="Times New Roman" w:hAnsi="Arial" w:cs="Arial"/>
      <w:i/>
      <w:iCs/>
      <w:sz w:val="16"/>
      <w:szCs w:val="16"/>
      <w:lang w:eastAsia="en-AU"/>
    </w:rPr>
  </w:style>
  <w:style w:type="paragraph" w:customStyle="1" w:styleId="xl70">
    <w:name w:val="xl70"/>
    <w:basedOn w:val="Normal"/>
    <w:rsid w:val="00894910"/>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71">
    <w:name w:val="xl71"/>
    <w:basedOn w:val="Normal"/>
    <w:rsid w:val="00894910"/>
    <w:pPr>
      <w:spacing w:before="100" w:beforeAutospacing="1" w:after="100" w:afterAutospacing="1" w:line="240" w:lineRule="auto"/>
    </w:pPr>
    <w:rPr>
      <w:rFonts w:ascii="Arial" w:eastAsia="Times New Roman" w:hAnsi="Arial" w:cs="Arial"/>
      <w:sz w:val="16"/>
      <w:szCs w:val="16"/>
      <w:lang w:eastAsia="en-AU"/>
    </w:rPr>
  </w:style>
  <w:style w:type="paragraph" w:customStyle="1" w:styleId="xl72">
    <w:name w:val="xl72"/>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73">
    <w:name w:val="xl73"/>
    <w:basedOn w:val="Normal"/>
    <w:rsid w:val="00894910"/>
    <w:pPr>
      <w:shd w:val="clear" w:color="000000" w:fill="667EB9"/>
      <w:spacing w:before="100" w:beforeAutospacing="1" w:after="100" w:afterAutospacing="1" w:line="240" w:lineRule="auto"/>
      <w:jc w:val="center"/>
    </w:pPr>
    <w:rPr>
      <w:rFonts w:ascii="Arial" w:eastAsia="Times New Roman" w:hAnsi="Arial" w:cs="Arial"/>
      <w:b/>
      <w:bCs/>
      <w:color w:val="FFFFFF"/>
      <w:sz w:val="16"/>
      <w:szCs w:val="16"/>
      <w:lang w:eastAsia="en-AU"/>
    </w:rPr>
  </w:style>
  <w:style w:type="paragraph" w:customStyle="1" w:styleId="xl74">
    <w:name w:val="xl74"/>
    <w:basedOn w:val="Normal"/>
    <w:rsid w:val="00894910"/>
    <w:pP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75">
    <w:name w:val="xl75"/>
    <w:basedOn w:val="Normal"/>
    <w:rsid w:val="00894910"/>
    <w:pPr>
      <w:shd w:val="clear" w:color="000000" w:fill="E9ECF3"/>
      <w:spacing w:before="100" w:beforeAutospacing="1" w:after="100" w:afterAutospacing="1" w:line="240" w:lineRule="auto"/>
    </w:pPr>
    <w:rPr>
      <w:rFonts w:ascii="Arial" w:eastAsia="Times New Roman" w:hAnsi="Arial" w:cs="Arial"/>
      <w:sz w:val="16"/>
      <w:szCs w:val="16"/>
      <w:lang w:eastAsia="en-AU"/>
    </w:rPr>
  </w:style>
  <w:style w:type="paragraph" w:customStyle="1" w:styleId="xl76">
    <w:name w:val="xl76"/>
    <w:basedOn w:val="Normal"/>
    <w:rsid w:val="00894910"/>
    <w:pPr>
      <w:pBdr>
        <w:bottom w:val="single" w:sz="4" w:space="0" w:color="auto"/>
      </w:pBdr>
      <w:shd w:val="clear" w:color="000000" w:fill="E9ECF3"/>
      <w:spacing w:before="100" w:beforeAutospacing="1" w:after="100" w:afterAutospacing="1" w:line="240" w:lineRule="auto"/>
    </w:pPr>
    <w:rPr>
      <w:rFonts w:ascii="Arial" w:eastAsia="Times New Roman" w:hAnsi="Arial" w:cs="Arial"/>
      <w:sz w:val="16"/>
      <w:szCs w:val="16"/>
      <w:lang w:eastAsia="en-AU"/>
    </w:rPr>
  </w:style>
  <w:style w:type="paragraph" w:customStyle="1" w:styleId="xl77">
    <w:name w:val="xl77"/>
    <w:basedOn w:val="Normal"/>
    <w:rsid w:val="00894910"/>
    <w:pPr>
      <w:pBdr>
        <w:bottom w:val="single" w:sz="4" w:space="0" w:color="auto"/>
      </w:pBd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78">
    <w:name w:val="xl78"/>
    <w:basedOn w:val="Normal"/>
    <w:rsid w:val="00894910"/>
    <w:pPr>
      <w:spacing w:before="100" w:beforeAutospacing="1" w:after="100" w:afterAutospacing="1" w:line="240" w:lineRule="auto"/>
    </w:pPr>
    <w:rPr>
      <w:rFonts w:ascii="Times New Roman" w:eastAsia="Times New Roman" w:hAnsi="Times New Roman" w:cs="Times New Roman"/>
      <w:b/>
      <w:bCs/>
      <w:color w:val="2B3B5F"/>
      <w:sz w:val="24"/>
      <w:szCs w:val="24"/>
      <w:lang w:eastAsia="en-AU"/>
    </w:rPr>
  </w:style>
  <w:style w:type="paragraph" w:customStyle="1" w:styleId="xl79">
    <w:name w:val="xl79"/>
    <w:basedOn w:val="Normal"/>
    <w:rsid w:val="00894910"/>
    <w:pPr>
      <w:shd w:val="clear" w:color="000000" w:fill="CCD5E8"/>
      <w:spacing w:before="100" w:beforeAutospacing="1" w:after="100" w:afterAutospacing="1" w:line="240" w:lineRule="auto"/>
    </w:pPr>
    <w:rPr>
      <w:rFonts w:ascii="Arial" w:eastAsia="Times New Roman" w:hAnsi="Arial" w:cs="Arial"/>
      <w:b/>
      <w:bCs/>
      <w:sz w:val="16"/>
      <w:szCs w:val="16"/>
      <w:lang w:eastAsia="en-AU"/>
    </w:rPr>
  </w:style>
  <w:style w:type="paragraph" w:customStyle="1" w:styleId="xl80">
    <w:name w:val="xl80"/>
    <w:basedOn w:val="Normal"/>
    <w:rsid w:val="00894910"/>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PBOtext">
    <w:name w:val="PBO text"/>
    <w:basedOn w:val="Normal"/>
    <w:link w:val="PBOtextChar"/>
    <w:qFormat/>
    <w:rsid w:val="00CE3B92"/>
    <w:pPr>
      <w:spacing w:before="120" w:after="113" w:line="288" w:lineRule="auto"/>
    </w:pPr>
    <w:rPr>
      <w:rFonts w:ascii="Calibri" w:eastAsia="Cambria" w:hAnsi="Calibri" w:cs="Times New Roman"/>
      <w:sz w:val="20"/>
      <w:szCs w:val="20"/>
      <w:lang w:eastAsia="en-AU"/>
    </w:rPr>
  </w:style>
  <w:style w:type="paragraph" w:customStyle="1" w:styleId="PBOheading3">
    <w:name w:val="PBO heading 3"/>
    <w:link w:val="PBOheading3Char"/>
    <w:qFormat/>
    <w:rsid w:val="00CE3B92"/>
    <w:pPr>
      <w:keepNext/>
      <w:spacing w:before="200" w:after="200" w:line="240" w:lineRule="auto"/>
    </w:pPr>
    <w:rPr>
      <w:rFonts w:ascii="Calibri" w:eastAsia="Cambria" w:hAnsi="Calibri" w:cs="Times New Roman"/>
      <w:b/>
      <w:szCs w:val="24"/>
    </w:rPr>
  </w:style>
  <w:style w:type="character" w:customStyle="1" w:styleId="PBOtextChar">
    <w:name w:val="PBO text Char"/>
    <w:link w:val="PBOtext"/>
    <w:locked/>
    <w:rsid w:val="00CE3B92"/>
    <w:rPr>
      <w:rFonts w:ascii="Calibri" w:eastAsia="Cambria" w:hAnsi="Calibri" w:cs="Times New Roman"/>
      <w:sz w:val="20"/>
      <w:szCs w:val="20"/>
      <w:lang w:eastAsia="en-AU"/>
    </w:rPr>
  </w:style>
  <w:style w:type="character" w:customStyle="1" w:styleId="PBOheading3Char">
    <w:name w:val="PBO heading 3 Char"/>
    <w:link w:val="PBOheading3"/>
    <w:rsid w:val="00CE3B92"/>
    <w:rPr>
      <w:rFonts w:ascii="Calibri" w:eastAsia="Cambria" w:hAnsi="Calibri" w:cs="Times New Roman"/>
      <w:b/>
      <w:szCs w:val="24"/>
    </w:rPr>
  </w:style>
  <w:style w:type="paragraph" w:customStyle="1" w:styleId="PBOheading2">
    <w:name w:val="PBO heading 2"/>
    <w:basedOn w:val="Heading2"/>
    <w:uiPriority w:val="1"/>
    <w:qFormat/>
    <w:rsid w:val="00CE3B92"/>
    <w:pPr>
      <w:keepLines w:val="0"/>
      <w:numPr>
        <w:ilvl w:val="0"/>
        <w:numId w:val="0"/>
      </w:numPr>
      <w:tabs>
        <w:tab w:val="clear" w:pos="1418"/>
        <w:tab w:val="clear" w:pos="1701"/>
        <w:tab w:val="clear" w:pos="1985"/>
      </w:tabs>
      <w:spacing w:before="320" w:after="170" w:line="288" w:lineRule="auto"/>
    </w:pPr>
    <w:rPr>
      <w:rFonts w:ascii="Georgia" w:eastAsia="Times New Roman" w:hAnsi="Georgia" w:cs="Times New Roman"/>
      <w:color w:val="2B3B5F"/>
      <w:kern w:val="0"/>
      <w:sz w:val="28"/>
      <w:lang w:eastAsia="en-AU"/>
    </w:rPr>
  </w:style>
  <w:style w:type="numbering" w:customStyle="1" w:styleId="NoList1">
    <w:name w:val="No List1"/>
    <w:next w:val="NoList"/>
    <w:uiPriority w:val="99"/>
    <w:semiHidden/>
    <w:unhideWhenUsed/>
    <w:rsid w:val="00090296"/>
  </w:style>
  <w:style w:type="paragraph" w:customStyle="1" w:styleId="xl81">
    <w:name w:val="xl81"/>
    <w:basedOn w:val="Normal"/>
    <w:rsid w:val="00090296"/>
    <w:pPr>
      <w:pBdr>
        <w:bottom w:val="single" w:sz="4" w:space="0" w:color="auto"/>
      </w:pBdr>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rsid w:val="00090296"/>
    <w:pPr>
      <w:pBdr>
        <w:bottom w:val="single" w:sz="4" w:space="0" w:color="auto"/>
      </w:pBdr>
      <w:shd w:val="clear" w:color="000000" w:fill="CCD5E8"/>
      <w:spacing w:before="100" w:beforeAutospacing="1" w:after="100" w:afterAutospacing="1" w:line="240" w:lineRule="auto"/>
    </w:pPr>
    <w:rPr>
      <w:rFonts w:ascii="Arial" w:eastAsia="Times New Roman" w:hAnsi="Arial" w:cs="Arial"/>
      <w:sz w:val="16"/>
      <w:szCs w:val="16"/>
      <w:lang w:eastAsia="en-AU"/>
    </w:rPr>
  </w:style>
  <w:style w:type="paragraph" w:customStyle="1" w:styleId="xl83">
    <w:name w:val="xl83"/>
    <w:basedOn w:val="Normal"/>
    <w:rsid w:val="00090296"/>
    <w:pPr>
      <w:pBdr>
        <w:bottom w:val="single" w:sz="4" w:space="0" w:color="auto"/>
      </w:pBdr>
      <w:shd w:val="clear" w:color="000000" w:fill="E9ECF3"/>
      <w:spacing w:before="100" w:beforeAutospacing="1" w:after="100" w:afterAutospacing="1" w:line="240" w:lineRule="auto"/>
    </w:pPr>
    <w:rPr>
      <w:rFonts w:ascii="Arial" w:eastAsia="Times New Roman" w:hAnsi="Arial" w:cs="Arial"/>
      <w:sz w:val="16"/>
      <w:szCs w:val="16"/>
      <w:lang w:eastAsia="en-AU"/>
    </w:rPr>
  </w:style>
  <w:style w:type="table" w:customStyle="1" w:styleId="TableGrid1">
    <w:name w:val="Table Grid1"/>
    <w:basedOn w:val="TableNormal"/>
    <w:next w:val="TableGrid"/>
    <w:rsid w:val="00EB396B"/>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1935">
      <w:bodyDiv w:val="1"/>
      <w:marLeft w:val="0"/>
      <w:marRight w:val="0"/>
      <w:marTop w:val="0"/>
      <w:marBottom w:val="0"/>
      <w:divBdr>
        <w:top w:val="none" w:sz="0" w:space="0" w:color="auto"/>
        <w:left w:val="none" w:sz="0" w:space="0" w:color="auto"/>
        <w:bottom w:val="none" w:sz="0" w:space="0" w:color="auto"/>
        <w:right w:val="none" w:sz="0" w:space="0" w:color="auto"/>
      </w:divBdr>
    </w:div>
    <w:div w:id="58287915">
      <w:bodyDiv w:val="1"/>
      <w:marLeft w:val="0"/>
      <w:marRight w:val="0"/>
      <w:marTop w:val="0"/>
      <w:marBottom w:val="0"/>
      <w:divBdr>
        <w:top w:val="none" w:sz="0" w:space="0" w:color="auto"/>
        <w:left w:val="none" w:sz="0" w:space="0" w:color="auto"/>
        <w:bottom w:val="none" w:sz="0" w:space="0" w:color="auto"/>
        <w:right w:val="none" w:sz="0" w:space="0" w:color="auto"/>
      </w:divBdr>
    </w:div>
    <w:div w:id="140660968">
      <w:bodyDiv w:val="1"/>
      <w:marLeft w:val="0"/>
      <w:marRight w:val="0"/>
      <w:marTop w:val="0"/>
      <w:marBottom w:val="0"/>
      <w:divBdr>
        <w:top w:val="none" w:sz="0" w:space="0" w:color="auto"/>
        <w:left w:val="none" w:sz="0" w:space="0" w:color="auto"/>
        <w:bottom w:val="none" w:sz="0" w:space="0" w:color="auto"/>
        <w:right w:val="none" w:sz="0" w:space="0" w:color="auto"/>
      </w:divBdr>
    </w:div>
    <w:div w:id="180555237">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89213072">
      <w:bodyDiv w:val="1"/>
      <w:marLeft w:val="0"/>
      <w:marRight w:val="0"/>
      <w:marTop w:val="0"/>
      <w:marBottom w:val="0"/>
      <w:divBdr>
        <w:top w:val="none" w:sz="0" w:space="0" w:color="auto"/>
        <w:left w:val="none" w:sz="0" w:space="0" w:color="auto"/>
        <w:bottom w:val="none" w:sz="0" w:space="0" w:color="auto"/>
        <w:right w:val="none" w:sz="0" w:space="0" w:color="auto"/>
      </w:divBdr>
    </w:div>
    <w:div w:id="301691871">
      <w:bodyDiv w:val="1"/>
      <w:marLeft w:val="0"/>
      <w:marRight w:val="0"/>
      <w:marTop w:val="0"/>
      <w:marBottom w:val="0"/>
      <w:divBdr>
        <w:top w:val="none" w:sz="0" w:space="0" w:color="auto"/>
        <w:left w:val="none" w:sz="0" w:space="0" w:color="auto"/>
        <w:bottom w:val="none" w:sz="0" w:space="0" w:color="auto"/>
        <w:right w:val="none" w:sz="0" w:space="0" w:color="auto"/>
      </w:divBdr>
    </w:div>
    <w:div w:id="328800130">
      <w:bodyDiv w:val="1"/>
      <w:marLeft w:val="0"/>
      <w:marRight w:val="0"/>
      <w:marTop w:val="0"/>
      <w:marBottom w:val="0"/>
      <w:divBdr>
        <w:top w:val="none" w:sz="0" w:space="0" w:color="auto"/>
        <w:left w:val="none" w:sz="0" w:space="0" w:color="auto"/>
        <w:bottom w:val="none" w:sz="0" w:space="0" w:color="auto"/>
        <w:right w:val="none" w:sz="0" w:space="0" w:color="auto"/>
      </w:divBdr>
    </w:div>
    <w:div w:id="381291429">
      <w:bodyDiv w:val="1"/>
      <w:marLeft w:val="0"/>
      <w:marRight w:val="0"/>
      <w:marTop w:val="0"/>
      <w:marBottom w:val="0"/>
      <w:divBdr>
        <w:top w:val="none" w:sz="0" w:space="0" w:color="auto"/>
        <w:left w:val="none" w:sz="0" w:space="0" w:color="auto"/>
        <w:bottom w:val="none" w:sz="0" w:space="0" w:color="auto"/>
        <w:right w:val="none" w:sz="0" w:space="0" w:color="auto"/>
      </w:divBdr>
    </w:div>
    <w:div w:id="417554768">
      <w:bodyDiv w:val="1"/>
      <w:marLeft w:val="0"/>
      <w:marRight w:val="0"/>
      <w:marTop w:val="0"/>
      <w:marBottom w:val="0"/>
      <w:divBdr>
        <w:top w:val="none" w:sz="0" w:space="0" w:color="auto"/>
        <w:left w:val="none" w:sz="0" w:space="0" w:color="auto"/>
        <w:bottom w:val="none" w:sz="0" w:space="0" w:color="auto"/>
        <w:right w:val="none" w:sz="0" w:space="0" w:color="auto"/>
      </w:divBdr>
    </w:div>
    <w:div w:id="433287597">
      <w:bodyDiv w:val="1"/>
      <w:marLeft w:val="0"/>
      <w:marRight w:val="0"/>
      <w:marTop w:val="0"/>
      <w:marBottom w:val="0"/>
      <w:divBdr>
        <w:top w:val="none" w:sz="0" w:space="0" w:color="auto"/>
        <w:left w:val="none" w:sz="0" w:space="0" w:color="auto"/>
        <w:bottom w:val="none" w:sz="0" w:space="0" w:color="auto"/>
        <w:right w:val="none" w:sz="0" w:space="0" w:color="auto"/>
      </w:divBdr>
    </w:div>
    <w:div w:id="476067279">
      <w:bodyDiv w:val="1"/>
      <w:marLeft w:val="0"/>
      <w:marRight w:val="0"/>
      <w:marTop w:val="0"/>
      <w:marBottom w:val="0"/>
      <w:divBdr>
        <w:top w:val="none" w:sz="0" w:space="0" w:color="auto"/>
        <w:left w:val="none" w:sz="0" w:space="0" w:color="auto"/>
        <w:bottom w:val="none" w:sz="0" w:space="0" w:color="auto"/>
        <w:right w:val="none" w:sz="0" w:space="0" w:color="auto"/>
      </w:divBdr>
    </w:div>
    <w:div w:id="480847222">
      <w:bodyDiv w:val="1"/>
      <w:marLeft w:val="0"/>
      <w:marRight w:val="0"/>
      <w:marTop w:val="0"/>
      <w:marBottom w:val="0"/>
      <w:divBdr>
        <w:top w:val="none" w:sz="0" w:space="0" w:color="auto"/>
        <w:left w:val="none" w:sz="0" w:space="0" w:color="auto"/>
        <w:bottom w:val="none" w:sz="0" w:space="0" w:color="auto"/>
        <w:right w:val="none" w:sz="0" w:space="0" w:color="auto"/>
      </w:divBdr>
    </w:div>
    <w:div w:id="564071203">
      <w:bodyDiv w:val="1"/>
      <w:marLeft w:val="0"/>
      <w:marRight w:val="0"/>
      <w:marTop w:val="0"/>
      <w:marBottom w:val="0"/>
      <w:divBdr>
        <w:top w:val="none" w:sz="0" w:space="0" w:color="auto"/>
        <w:left w:val="none" w:sz="0" w:space="0" w:color="auto"/>
        <w:bottom w:val="none" w:sz="0" w:space="0" w:color="auto"/>
        <w:right w:val="none" w:sz="0" w:space="0" w:color="auto"/>
      </w:divBdr>
    </w:div>
    <w:div w:id="595095726">
      <w:bodyDiv w:val="1"/>
      <w:marLeft w:val="0"/>
      <w:marRight w:val="0"/>
      <w:marTop w:val="0"/>
      <w:marBottom w:val="0"/>
      <w:divBdr>
        <w:top w:val="none" w:sz="0" w:space="0" w:color="auto"/>
        <w:left w:val="none" w:sz="0" w:space="0" w:color="auto"/>
        <w:bottom w:val="none" w:sz="0" w:space="0" w:color="auto"/>
        <w:right w:val="none" w:sz="0" w:space="0" w:color="auto"/>
      </w:divBdr>
    </w:div>
    <w:div w:id="647125121">
      <w:bodyDiv w:val="1"/>
      <w:marLeft w:val="0"/>
      <w:marRight w:val="0"/>
      <w:marTop w:val="0"/>
      <w:marBottom w:val="0"/>
      <w:divBdr>
        <w:top w:val="none" w:sz="0" w:space="0" w:color="auto"/>
        <w:left w:val="none" w:sz="0" w:space="0" w:color="auto"/>
        <w:bottom w:val="none" w:sz="0" w:space="0" w:color="auto"/>
        <w:right w:val="none" w:sz="0" w:space="0" w:color="auto"/>
      </w:divBdr>
    </w:div>
    <w:div w:id="744955684">
      <w:bodyDiv w:val="1"/>
      <w:marLeft w:val="0"/>
      <w:marRight w:val="0"/>
      <w:marTop w:val="0"/>
      <w:marBottom w:val="0"/>
      <w:divBdr>
        <w:top w:val="none" w:sz="0" w:space="0" w:color="auto"/>
        <w:left w:val="none" w:sz="0" w:space="0" w:color="auto"/>
        <w:bottom w:val="none" w:sz="0" w:space="0" w:color="auto"/>
        <w:right w:val="none" w:sz="0" w:space="0" w:color="auto"/>
      </w:divBdr>
    </w:div>
    <w:div w:id="794176775">
      <w:bodyDiv w:val="1"/>
      <w:marLeft w:val="0"/>
      <w:marRight w:val="0"/>
      <w:marTop w:val="0"/>
      <w:marBottom w:val="0"/>
      <w:divBdr>
        <w:top w:val="none" w:sz="0" w:space="0" w:color="auto"/>
        <w:left w:val="none" w:sz="0" w:space="0" w:color="auto"/>
        <w:bottom w:val="none" w:sz="0" w:space="0" w:color="auto"/>
        <w:right w:val="none" w:sz="0" w:space="0" w:color="auto"/>
      </w:divBdr>
    </w:div>
    <w:div w:id="809785010">
      <w:bodyDiv w:val="1"/>
      <w:marLeft w:val="0"/>
      <w:marRight w:val="0"/>
      <w:marTop w:val="0"/>
      <w:marBottom w:val="0"/>
      <w:divBdr>
        <w:top w:val="none" w:sz="0" w:space="0" w:color="auto"/>
        <w:left w:val="none" w:sz="0" w:space="0" w:color="auto"/>
        <w:bottom w:val="none" w:sz="0" w:space="0" w:color="auto"/>
        <w:right w:val="none" w:sz="0" w:space="0" w:color="auto"/>
      </w:divBdr>
    </w:div>
    <w:div w:id="858546575">
      <w:bodyDiv w:val="1"/>
      <w:marLeft w:val="0"/>
      <w:marRight w:val="0"/>
      <w:marTop w:val="0"/>
      <w:marBottom w:val="0"/>
      <w:divBdr>
        <w:top w:val="none" w:sz="0" w:space="0" w:color="auto"/>
        <w:left w:val="none" w:sz="0" w:space="0" w:color="auto"/>
        <w:bottom w:val="none" w:sz="0" w:space="0" w:color="auto"/>
        <w:right w:val="none" w:sz="0" w:space="0" w:color="auto"/>
      </w:divBdr>
    </w:div>
    <w:div w:id="937911909">
      <w:bodyDiv w:val="1"/>
      <w:marLeft w:val="0"/>
      <w:marRight w:val="0"/>
      <w:marTop w:val="0"/>
      <w:marBottom w:val="0"/>
      <w:divBdr>
        <w:top w:val="none" w:sz="0" w:space="0" w:color="auto"/>
        <w:left w:val="none" w:sz="0" w:space="0" w:color="auto"/>
        <w:bottom w:val="none" w:sz="0" w:space="0" w:color="auto"/>
        <w:right w:val="none" w:sz="0" w:space="0" w:color="auto"/>
      </w:divBdr>
    </w:div>
    <w:div w:id="973027701">
      <w:bodyDiv w:val="1"/>
      <w:marLeft w:val="0"/>
      <w:marRight w:val="0"/>
      <w:marTop w:val="0"/>
      <w:marBottom w:val="0"/>
      <w:divBdr>
        <w:top w:val="none" w:sz="0" w:space="0" w:color="auto"/>
        <w:left w:val="none" w:sz="0" w:space="0" w:color="auto"/>
        <w:bottom w:val="none" w:sz="0" w:space="0" w:color="auto"/>
        <w:right w:val="none" w:sz="0" w:space="0" w:color="auto"/>
      </w:divBdr>
    </w:div>
    <w:div w:id="1005674248">
      <w:bodyDiv w:val="1"/>
      <w:marLeft w:val="0"/>
      <w:marRight w:val="0"/>
      <w:marTop w:val="0"/>
      <w:marBottom w:val="0"/>
      <w:divBdr>
        <w:top w:val="none" w:sz="0" w:space="0" w:color="auto"/>
        <w:left w:val="none" w:sz="0" w:space="0" w:color="auto"/>
        <w:bottom w:val="none" w:sz="0" w:space="0" w:color="auto"/>
        <w:right w:val="none" w:sz="0" w:space="0" w:color="auto"/>
      </w:divBdr>
    </w:div>
    <w:div w:id="1025250615">
      <w:bodyDiv w:val="1"/>
      <w:marLeft w:val="0"/>
      <w:marRight w:val="0"/>
      <w:marTop w:val="0"/>
      <w:marBottom w:val="0"/>
      <w:divBdr>
        <w:top w:val="none" w:sz="0" w:space="0" w:color="auto"/>
        <w:left w:val="none" w:sz="0" w:space="0" w:color="auto"/>
        <w:bottom w:val="none" w:sz="0" w:space="0" w:color="auto"/>
        <w:right w:val="none" w:sz="0" w:space="0" w:color="auto"/>
      </w:divBdr>
    </w:div>
    <w:div w:id="1025642387">
      <w:bodyDiv w:val="1"/>
      <w:marLeft w:val="0"/>
      <w:marRight w:val="0"/>
      <w:marTop w:val="0"/>
      <w:marBottom w:val="0"/>
      <w:divBdr>
        <w:top w:val="none" w:sz="0" w:space="0" w:color="auto"/>
        <w:left w:val="none" w:sz="0" w:space="0" w:color="auto"/>
        <w:bottom w:val="none" w:sz="0" w:space="0" w:color="auto"/>
        <w:right w:val="none" w:sz="0" w:space="0" w:color="auto"/>
      </w:divBdr>
    </w:div>
    <w:div w:id="1081869272">
      <w:bodyDiv w:val="1"/>
      <w:marLeft w:val="0"/>
      <w:marRight w:val="0"/>
      <w:marTop w:val="0"/>
      <w:marBottom w:val="0"/>
      <w:divBdr>
        <w:top w:val="none" w:sz="0" w:space="0" w:color="auto"/>
        <w:left w:val="none" w:sz="0" w:space="0" w:color="auto"/>
        <w:bottom w:val="none" w:sz="0" w:space="0" w:color="auto"/>
        <w:right w:val="none" w:sz="0" w:space="0" w:color="auto"/>
      </w:divBdr>
    </w:div>
    <w:div w:id="1188635480">
      <w:bodyDiv w:val="1"/>
      <w:marLeft w:val="0"/>
      <w:marRight w:val="0"/>
      <w:marTop w:val="0"/>
      <w:marBottom w:val="0"/>
      <w:divBdr>
        <w:top w:val="none" w:sz="0" w:space="0" w:color="auto"/>
        <w:left w:val="none" w:sz="0" w:space="0" w:color="auto"/>
        <w:bottom w:val="none" w:sz="0" w:space="0" w:color="auto"/>
        <w:right w:val="none" w:sz="0" w:space="0" w:color="auto"/>
      </w:divBdr>
    </w:div>
    <w:div w:id="1215583851">
      <w:bodyDiv w:val="1"/>
      <w:marLeft w:val="0"/>
      <w:marRight w:val="0"/>
      <w:marTop w:val="0"/>
      <w:marBottom w:val="0"/>
      <w:divBdr>
        <w:top w:val="none" w:sz="0" w:space="0" w:color="auto"/>
        <w:left w:val="none" w:sz="0" w:space="0" w:color="auto"/>
        <w:bottom w:val="none" w:sz="0" w:space="0" w:color="auto"/>
        <w:right w:val="none" w:sz="0" w:space="0" w:color="auto"/>
      </w:divBdr>
    </w:div>
    <w:div w:id="1247112665">
      <w:bodyDiv w:val="1"/>
      <w:marLeft w:val="0"/>
      <w:marRight w:val="0"/>
      <w:marTop w:val="0"/>
      <w:marBottom w:val="0"/>
      <w:divBdr>
        <w:top w:val="none" w:sz="0" w:space="0" w:color="auto"/>
        <w:left w:val="none" w:sz="0" w:space="0" w:color="auto"/>
        <w:bottom w:val="none" w:sz="0" w:space="0" w:color="auto"/>
        <w:right w:val="none" w:sz="0" w:space="0" w:color="auto"/>
      </w:divBdr>
    </w:div>
    <w:div w:id="1258631382">
      <w:bodyDiv w:val="1"/>
      <w:marLeft w:val="0"/>
      <w:marRight w:val="0"/>
      <w:marTop w:val="0"/>
      <w:marBottom w:val="0"/>
      <w:divBdr>
        <w:top w:val="none" w:sz="0" w:space="0" w:color="auto"/>
        <w:left w:val="none" w:sz="0" w:space="0" w:color="auto"/>
        <w:bottom w:val="none" w:sz="0" w:space="0" w:color="auto"/>
        <w:right w:val="none" w:sz="0" w:space="0" w:color="auto"/>
      </w:divBdr>
    </w:div>
    <w:div w:id="1500151119">
      <w:bodyDiv w:val="1"/>
      <w:marLeft w:val="0"/>
      <w:marRight w:val="0"/>
      <w:marTop w:val="0"/>
      <w:marBottom w:val="0"/>
      <w:divBdr>
        <w:top w:val="none" w:sz="0" w:space="0" w:color="auto"/>
        <w:left w:val="none" w:sz="0" w:space="0" w:color="auto"/>
        <w:bottom w:val="none" w:sz="0" w:space="0" w:color="auto"/>
        <w:right w:val="none" w:sz="0" w:space="0" w:color="auto"/>
      </w:divBdr>
    </w:div>
    <w:div w:id="1500191831">
      <w:bodyDiv w:val="1"/>
      <w:marLeft w:val="0"/>
      <w:marRight w:val="0"/>
      <w:marTop w:val="0"/>
      <w:marBottom w:val="0"/>
      <w:divBdr>
        <w:top w:val="none" w:sz="0" w:space="0" w:color="auto"/>
        <w:left w:val="none" w:sz="0" w:space="0" w:color="auto"/>
        <w:bottom w:val="none" w:sz="0" w:space="0" w:color="auto"/>
        <w:right w:val="none" w:sz="0" w:space="0" w:color="auto"/>
      </w:divBdr>
    </w:div>
    <w:div w:id="1519924317">
      <w:bodyDiv w:val="1"/>
      <w:marLeft w:val="0"/>
      <w:marRight w:val="0"/>
      <w:marTop w:val="0"/>
      <w:marBottom w:val="0"/>
      <w:divBdr>
        <w:top w:val="none" w:sz="0" w:space="0" w:color="auto"/>
        <w:left w:val="none" w:sz="0" w:space="0" w:color="auto"/>
        <w:bottom w:val="none" w:sz="0" w:space="0" w:color="auto"/>
        <w:right w:val="none" w:sz="0" w:space="0" w:color="auto"/>
      </w:divBdr>
    </w:div>
    <w:div w:id="1645352957">
      <w:bodyDiv w:val="1"/>
      <w:marLeft w:val="0"/>
      <w:marRight w:val="0"/>
      <w:marTop w:val="0"/>
      <w:marBottom w:val="0"/>
      <w:divBdr>
        <w:top w:val="none" w:sz="0" w:space="0" w:color="auto"/>
        <w:left w:val="none" w:sz="0" w:space="0" w:color="auto"/>
        <w:bottom w:val="none" w:sz="0" w:space="0" w:color="auto"/>
        <w:right w:val="none" w:sz="0" w:space="0" w:color="auto"/>
      </w:divBdr>
    </w:div>
    <w:div w:id="1648242745">
      <w:bodyDiv w:val="1"/>
      <w:marLeft w:val="0"/>
      <w:marRight w:val="0"/>
      <w:marTop w:val="0"/>
      <w:marBottom w:val="0"/>
      <w:divBdr>
        <w:top w:val="none" w:sz="0" w:space="0" w:color="auto"/>
        <w:left w:val="none" w:sz="0" w:space="0" w:color="auto"/>
        <w:bottom w:val="none" w:sz="0" w:space="0" w:color="auto"/>
        <w:right w:val="none" w:sz="0" w:space="0" w:color="auto"/>
      </w:divBdr>
    </w:div>
    <w:div w:id="1724401125">
      <w:bodyDiv w:val="1"/>
      <w:marLeft w:val="0"/>
      <w:marRight w:val="0"/>
      <w:marTop w:val="0"/>
      <w:marBottom w:val="0"/>
      <w:divBdr>
        <w:top w:val="none" w:sz="0" w:space="0" w:color="auto"/>
        <w:left w:val="none" w:sz="0" w:space="0" w:color="auto"/>
        <w:bottom w:val="none" w:sz="0" w:space="0" w:color="auto"/>
        <w:right w:val="none" w:sz="0" w:space="0" w:color="auto"/>
      </w:divBdr>
    </w:div>
    <w:div w:id="1743286527">
      <w:bodyDiv w:val="1"/>
      <w:marLeft w:val="0"/>
      <w:marRight w:val="0"/>
      <w:marTop w:val="0"/>
      <w:marBottom w:val="0"/>
      <w:divBdr>
        <w:top w:val="none" w:sz="0" w:space="0" w:color="auto"/>
        <w:left w:val="none" w:sz="0" w:space="0" w:color="auto"/>
        <w:bottom w:val="none" w:sz="0" w:space="0" w:color="auto"/>
        <w:right w:val="none" w:sz="0" w:space="0" w:color="auto"/>
      </w:divBdr>
    </w:div>
    <w:div w:id="1797526078">
      <w:bodyDiv w:val="1"/>
      <w:marLeft w:val="0"/>
      <w:marRight w:val="0"/>
      <w:marTop w:val="0"/>
      <w:marBottom w:val="0"/>
      <w:divBdr>
        <w:top w:val="none" w:sz="0" w:space="0" w:color="auto"/>
        <w:left w:val="none" w:sz="0" w:space="0" w:color="auto"/>
        <w:bottom w:val="none" w:sz="0" w:space="0" w:color="auto"/>
        <w:right w:val="none" w:sz="0" w:space="0" w:color="auto"/>
      </w:divBdr>
    </w:div>
    <w:div w:id="1804036050">
      <w:bodyDiv w:val="1"/>
      <w:marLeft w:val="0"/>
      <w:marRight w:val="0"/>
      <w:marTop w:val="0"/>
      <w:marBottom w:val="0"/>
      <w:divBdr>
        <w:top w:val="none" w:sz="0" w:space="0" w:color="auto"/>
        <w:left w:val="none" w:sz="0" w:space="0" w:color="auto"/>
        <w:bottom w:val="none" w:sz="0" w:space="0" w:color="auto"/>
        <w:right w:val="none" w:sz="0" w:space="0" w:color="auto"/>
      </w:divBdr>
    </w:div>
    <w:div w:id="1816021400">
      <w:bodyDiv w:val="1"/>
      <w:marLeft w:val="0"/>
      <w:marRight w:val="0"/>
      <w:marTop w:val="0"/>
      <w:marBottom w:val="0"/>
      <w:divBdr>
        <w:top w:val="none" w:sz="0" w:space="0" w:color="auto"/>
        <w:left w:val="none" w:sz="0" w:space="0" w:color="auto"/>
        <w:bottom w:val="none" w:sz="0" w:space="0" w:color="auto"/>
        <w:right w:val="none" w:sz="0" w:space="0" w:color="auto"/>
      </w:divBdr>
    </w:div>
    <w:div w:id="1816099239">
      <w:bodyDiv w:val="1"/>
      <w:marLeft w:val="0"/>
      <w:marRight w:val="0"/>
      <w:marTop w:val="0"/>
      <w:marBottom w:val="0"/>
      <w:divBdr>
        <w:top w:val="none" w:sz="0" w:space="0" w:color="auto"/>
        <w:left w:val="none" w:sz="0" w:space="0" w:color="auto"/>
        <w:bottom w:val="none" w:sz="0" w:space="0" w:color="auto"/>
        <w:right w:val="none" w:sz="0" w:space="0" w:color="auto"/>
      </w:divBdr>
    </w:div>
    <w:div w:id="1887569794">
      <w:bodyDiv w:val="1"/>
      <w:marLeft w:val="0"/>
      <w:marRight w:val="0"/>
      <w:marTop w:val="0"/>
      <w:marBottom w:val="0"/>
      <w:divBdr>
        <w:top w:val="none" w:sz="0" w:space="0" w:color="auto"/>
        <w:left w:val="none" w:sz="0" w:space="0" w:color="auto"/>
        <w:bottom w:val="none" w:sz="0" w:space="0" w:color="auto"/>
        <w:right w:val="none" w:sz="0" w:space="0" w:color="auto"/>
      </w:divBdr>
    </w:div>
    <w:div w:id="1918782217">
      <w:bodyDiv w:val="1"/>
      <w:marLeft w:val="0"/>
      <w:marRight w:val="0"/>
      <w:marTop w:val="0"/>
      <w:marBottom w:val="0"/>
      <w:divBdr>
        <w:top w:val="none" w:sz="0" w:space="0" w:color="auto"/>
        <w:left w:val="none" w:sz="0" w:space="0" w:color="auto"/>
        <w:bottom w:val="none" w:sz="0" w:space="0" w:color="auto"/>
        <w:right w:val="none" w:sz="0" w:space="0" w:color="auto"/>
      </w:divBdr>
    </w:div>
    <w:div w:id="2010019146">
      <w:bodyDiv w:val="1"/>
      <w:marLeft w:val="0"/>
      <w:marRight w:val="0"/>
      <w:marTop w:val="0"/>
      <w:marBottom w:val="0"/>
      <w:divBdr>
        <w:top w:val="none" w:sz="0" w:space="0" w:color="auto"/>
        <w:left w:val="none" w:sz="0" w:space="0" w:color="auto"/>
        <w:bottom w:val="none" w:sz="0" w:space="0" w:color="auto"/>
        <w:right w:val="none" w:sz="0" w:space="0" w:color="auto"/>
      </w:divBdr>
    </w:div>
    <w:div w:id="2018848190">
      <w:bodyDiv w:val="1"/>
      <w:marLeft w:val="0"/>
      <w:marRight w:val="0"/>
      <w:marTop w:val="0"/>
      <w:marBottom w:val="0"/>
      <w:divBdr>
        <w:top w:val="none" w:sz="0" w:space="0" w:color="auto"/>
        <w:left w:val="none" w:sz="0" w:space="0" w:color="auto"/>
        <w:bottom w:val="none" w:sz="0" w:space="0" w:color="auto"/>
        <w:right w:val="none" w:sz="0" w:space="0" w:color="auto"/>
      </w:divBdr>
    </w:div>
    <w:div w:id="2036616196">
      <w:bodyDiv w:val="1"/>
      <w:marLeft w:val="0"/>
      <w:marRight w:val="0"/>
      <w:marTop w:val="0"/>
      <w:marBottom w:val="0"/>
      <w:divBdr>
        <w:top w:val="none" w:sz="0" w:space="0" w:color="auto"/>
        <w:left w:val="none" w:sz="0" w:space="0" w:color="auto"/>
        <w:bottom w:val="none" w:sz="0" w:space="0" w:color="auto"/>
        <w:right w:val="none" w:sz="0" w:space="0" w:color="auto"/>
      </w:divBdr>
    </w:div>
    <w:div w:id="2076968668">
      <w:bodyDiv w:val="1"/>
      <w:marLeft w:val="0"/>
      <w:marRight w:val="0"/>
      <w:marTop w:val="0"/>
      <w:marBottom w:val="0"/>
      <w:divBdr>
        <w:top w:val="none" w:sz="0" w:space="0" w:color="auto"/>
        <w:left w:val="none" w:sz="0" w:space="0" w:color="auto"/>
        <w:bottom w:val="none" w:sz="0" w:space="0" w:color="auto"/>
        <w:right w:val="none" w:sz="0" w:space="0" w:color="auto"/>
      </w:divBdr>
    </w:div>
    <w:div w:id="2101098096">
      <w:bodyDiv w:val="1"/>
      <w:marLeft w:val="0"/>
      <w:marRight w:val="0"/>
      <w:marTop w:val="0"/>
      <w:marBottom w:val="0"/>
      <w:divBdr>
        <w:top w:val="none" w:sz="0" w:space="0" w:color="auto"/>
        <w:left w:val="none" w:sz="0" w:space="0" w:color="auto"/>
        <w:bottom w:val="none" w:sz="0" w:space="0" w:color="auto"/>
        <w:right w:val="none" w:sz="0" w:space="0" w:color="auto"/>
      </w:divBdr>
    </w:div>
    <w:div w:id="2125033499">
      <w:bodyDiv w:val="1"/>
      <w:marLeft w:val="0"/>
      <w:marRight w:val="0"/>
      <w:marTop w:val="0"/>
      <w:marBottom w:val="0"/>
      <w:divBdr>
        <w:top w:val="none" w:sz="0" w:space="0" w:color="auto"/>
        <w:left w:val="none" w:sz="0" w:space="0" w:color="auto"/>
        <w:bottom w:val="none" w:sz="0" w:space="0" w:color="auto"/>
        <w:right w:val="none" w:sz="0" w:space="0" w:color="auto"/>
      </w:divBdr>
    </w:div>
    <w:div w:id="214245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79.png"/><Relationship Id="rId21" Type="http://schemas.openxmlformats.org/officeDocument/2006/relationships/footer" Target="footer3.xml"/><Relationship Id="rId42" Type="http://schemas.openxmlformats.org/officeDocument/2006/relationships/image" Target="media/image10.emf"/><Relationship Id="rId47" Type="http://schemas.openxmlformats.org/officeDocument/2006/relationships/chart" Target="charts/chart9.xml"/><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image" Target="media/image51.png"/><Relationship Id="rId112" Type="http://schemas.openxmlformats.org/officeDocument/2006/relationships/image" Target="media/image74.png"/><Relationship Id="rId133" Type="http://schemas.openxmlformats.org/officeDocument/2006/relationships/footer" Target="footer12.xml"/><Relationship Id="rId138" Type="http://schemas.openxmlformats.org/officeDocument/2006/relationships/header" Target="header13.xml"/><Relationship Id="rId16" Type="http://schemas.openxmlformats.org/officeDocument/2006/relationships/header" Target="header5.xml"/><Relationship Id="rId107" Type="http://schemas.openxmlformats.org/officeDocument/2006/relationships/image" Target="media/image69.png"/><Relationship Id="rId11" Type="http://schemas.openxmlformats.org/officeDocument/2006/relationships/header" Target="header3.xml"/><Relationship Id="rId32" Type="http://schemas.openxmlformats.org/officeDocument/2006/relationships/chart" Target="charts/chart5.xml"/><Relationship Id="rId37" Type="http://schemas.openxmlformats.org/officeDocument/2006/relationships/image" Target="media/image7.emf"/><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footer" Target="footer11.xml"/><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85.png"/><Relationship Id="rId128" Type="http://schemas.openxmlformats.org/officeDocument/2006/relationships/image" Target="media/image90.png"/><Relationship Id="rId144"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image" Target="media/image52.png"/><Relationship Id="rId95" Type="http://schemas.openxmlformats.org/officeDocument/2006/relationships/image" Target="media/image57.png"/><Relationship Id="rId22" Type="http://schemas.openxmlformats.org/officeDocument/2006/relationships/footer" Target="footer4.xml"/><Relationship Id="rId27" Type="http://schemas.openxmlformats.org/officeDocument/2006/relationships/image" Target="media/image5.emf"/><Relationship Id="rId43" Type="http://schemas.openxmlformats.org/officeDocument/2006/relationships/image" Target="media/image11.emf"/><Relationship Id="rId48" Type="http://schemas.openxmlformats.org/officeDocument/2006/relationships/chart" Target="charts/chart10.xml"/><Relationship Id="rId64" Type="http://schemas.openxmlformats.org/officeDocument/2006/relationships/image" Target="media/image29.png"/><Relationship Id="rId69" Type="http://schemas.openxmlformats.org/officeDocument/2006/relationships/footer" Target="footer10.xml"/><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footer" Target="footer13.xml"/><Relationship Id="rId139" Type="http://schemas.openxmlformats.org/officeDocument/2006/relationships/footer" Target="footer15.xml"/><Relationship Id="rId80" Type="http://schemas.openxmlformats.org/officeDocument/2006/relationships/image" Target="media/image42.png"/><Relationship Id="rId85"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chart" Target="charts/chart6.xml"/><Relationship Id="rId38" Type="http://schemas.openxmlformats.org/officeDocument/2006/relationships/image" Target="media/image8.emf"/><Relationship Id="rId46" Type="http://schemas.openxmlformats.org/officeDocument/2006/relationships/image" Target="media/image14.emf"/><Relationship Id="rId59" Type="http://schemas.openxmlformats.org/officeDocument/2006/relationships/image" Target="media/image25.emf"/><Relationship Id="rId67" Type="http://schemas.openxmlformats.org/officeDocument/2006/relationships/image" Target="media/image32.emf"/><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8.png"/><Relationship Id="rId124" Type="http://schemas.openxmlformats.org/officeDocument/2006/relationships/image" Target="media/image86.png"/><Relationship Id="rId129" Type="http://schemas.openxmlformats.org/officeDocument/2006/relationships/image" Target="media/image91.png"/><Relationship Id="rId137" Type="http://schemas.openxmlformats.org/officeDocument/2006/relationships/header" Target="header12.xml"/><Relationship Id="rId20" Type="http://schemas.openxmlformats.org/officeDocument/2006/relationships/footer" Target="footer2.xml"/><Relationship Id="rId41" Type="http://schemas.openxmlformats.org/officeDocument/2006/relationships/image" Target="media/image9.emf"/><Relationship Id="rId54" Type="http://schemas.openxmlformats.org/officeDocument/2006/relationships/image" Target="media/image20.emf"/><Relationship Id="rId62" Type="http://schemas.openxmlformats.org/officeDocument/2006/relationships/image" Target="media/image27.png"/><Relationship Id="rId70" Type="http://schemas.openxmlformats.org/officeDocument/2006/relationships/header" Target="header8.xml"/><Relationship Id="rId75" Type="http://schemas.openxmlformats.org/officeDocument/2006/relationships/image" Target="media/image37.emf"/><Relationship Id="rId83" Type="http://schemas.openxmlformats.org/officeDocument/2006/relationships/image" Target="media/image45.pn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image" Target="media/image73.png"/><Relationship Id="rId132" Type="http://schemas.openxmlformats.org/officeDocument/2006/relationships/header" Target="header10.xml"/><Relationship Id="rId140" Type="http://schemas.openxmlformats.org/officeDocument/2006/relationships/footer" Target="footer1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chart" Target="charts/chart1.xml"/><Relationship Id="rId36" Type="http://schemas.openxmlformats.org/officeDocument/2006/relationships/image" Target="media/image6.emf"/><Relationship Id="rId49" Type="http://schemas.openxmlformats.org/officeDocument/2006/relationships/image" Target="media/image15.emf"/><Relationship Id="rId57" Type="http://schemas.openxmlformats.org/officeDocument/2006/relationships/image" Target="media/image23.png"/><Relationship Id="rId106" Type="http://schemas.openxmlformats.org/officeDocument/2006/relationships/image" Target="media/image68.png"/><Relationship Id="rId114" Type="http://schemas.openxmlformats.org/officeDocument/2006/relationships/image" Target="media/image76.png"/><Relationship Id="rId119" Type="http://schemas.openxmlformats.org/officeDocument/2006/relationships/image" Target="media/image81.png"/><Relationship Id="rId127" Type="http://schemas.openxmlformats.org/officeDocument/2006/relationships/image" Target="media/image89.png"/><Relationship Id="rId10"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footer" Target="footer9.xml"/><Relationship Id="rId65" Type="http://schemas.openxmlformats.org/officeDocument/2006/relationships/image" Target="media/image30.png"/><Relationship Id="rId73" Type="http://schemas.openxmlformats.org/officeDocument/2006/relationships/image" Target="media/image36.emf"/><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image" Target="media/image84.png"/><Relationship Id="rId130" Type="http://schemas.openxmlformats.org/officeDocument/2006/relationships/image" Target="media/image92.png"/><Relationship Id="rId135" Type="http://schemas.openxmlformats.org/officeDocument/2006/relationships/header" Target="header11.xm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creativecommons.org/licenses/by-nc-nd/3.0/au/" TargetMode="External"/><Relationship Id="rId18" Type="http://schemas.openxmlformats.org/officeDocument/2006/relationships/header" Target="header6.xml"/><Relationship Id="rId39" Type="http://schemas.openxmlformats.org/officeDocument/2006/relationships/footer" Target="footer7.xml"/><Relationship Id="rId109" Type="http://schemas.openxmlformats.org/officeDocument/2006/relationships/image" Target="media/image71.png"/><Relationship Id="rId34" Type="http://schemas.openxmlformats.org/officeDocument/2006/relationships/chart" Target="charts/chart7.xml"/><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38.emf"/><Relationship Id="rId97" Type="http://schemas.openxmlformats.org/officeDocument/2006/relationships/image" Target="media/image59.png"/><Relationship Id="rId104" Type="http://schemas.openxmlformats.org/officeDocument/2006/relationships/image" Target="media/image66.png"/><Relationship Id="rId120" Type="http://schemas.openxmlformats.org/officeDocument/2006/relationships/image" Target="media/image82.png"/><Relationship Id="rId125" Type="http://schemas.openxmlformats.org/officeDocument/2006/relationships/image" Target="media/image87.png"/><Relationship Id="rId141"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footer" Target="footer6.xml"/><Relationship Id="rId40" Type="http://schemas.openxmlformats.org/officeDocument/2006/relationships/footer" Target="footer8.xml"/><Relationship Id="rId45" Type="http://schemas.openxmlformats.org/officeDocument/2006/relationships/image" Target="media/image13.emf"/><Relationship Id="rId66" Type="http://schemas.openxmlformats.org/officeDocument/2006/relationships/image" Target="media/image31.png"/><Relationship Id="rId87" Type="http://schemas.openxmlformats.org/officeDocument/2006/relationships/image" Target="media/image49.png"/><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header" Target="header9.xml"/><Relationship Id="rId136" Type="http://schemas.openxmlformats.org/officeDocument/2006/relationships/footer" Target="footer14.xml"/><Relationship Id="rId61" Type="http://schemas.openxmlformats.org/officeDocument/2006/relationships/image" Target="media/image26.png"/><Relationship Id="rId82" Type="http://schemas.openxmlformats.org/officeDocument/2006/relationships/image" Target="media/image44.png"/><Relationship Id="rId19" Type="http://schemas.openxmlformats.org/officeDocument/2006/relationships/header" Target="header7.xml"/><Relationship Id="rId14" Type="http://schemas.openxmlformats.org/officeDocument/2006/relationships/hyperlink" Target="http://www.itsanhonour.gov.au/coat-arms" TargetMode="External"/><Relationship Id="rId30" Type="http://schemas.openxmlformats.org/officeDocument/2006/relationships/chart" Target="charts/chart3.xml"/><Relationship Id="rId35" Type="http://schemas.openxmlformats.org/officeDocument/2006/relationships/chart" Target="charts/chart8.xml"/><Relationship Id="rId56" Type="http://schemas.openxmlformats.org/officeDocument/2006/relationships/image" Target="media/image22.emf"/><Relationship Id="rId77" Type="http://schemas.openxmlformats.org/officeDocument/2006/relationships/image" Target="media/image39.emf"/><Relationship Id="rId100" Type="http://schemas.openxmlformats.org/officeDocument/2006/relationships/image" Target="media/image62.png"/><Relationship Id="rId105" Type="http://schemas.openxmlformats.org/officeDocument/2006/relationships/image" Target="media/image67.png"/><Relationship Id="rId126" Type="http://schemas.openxmlformats.org/officeDocument/2006/relationships/image" Target="media/image88.png"/><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image" Target="media/image35.png"/><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image" Target="media/image83.png"/><Relationship Id="rId142" Type="http://schemas.openxmlformats.org/officeDocument/2006/relationships/footer" Target="footer17.xml"/></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iganl\AppData\Roaming\Microsoft\Templates\PBO%20Research%20Report.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bohome01\pbo-shared\PBO-Department\Fiscal%20Policy%20&amp;%20Analysis%20Division%20(FPAD)\National%20Fiscal%20Trends\Drafting\Technical%20notes%20and%20appendices\State%20analysis\NSW\NSW%20-%20171214%20draf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Pbohome01\pbo-shared\PBO-Department\Fiscal%20Policy%20&amp;%20Analysis%20Division%20(FPAD)\National%20Fiscal%20Trends\Drafting\Technical%20notes%20and%20appendices\Accessibility\2%20Revenu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bohome01\pbo-shared\PBO-Department\Fiscal%20Policy%20&amp;%20Analysis%20Division%20(FPAD)\National%20Fiscal%20Trends\Drafting\Technical%20notes%20and%20appendices\State%20analysis\VIC\Vic%20-%20171214%20draf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Pbohome01\pbo-shared\PBO-Department\Fiscal%20Policy%20&amp;%20Analysis%20Division%20(FPAD)\National%20Fiscal%20Trends\Drafting\Technical%20notes%20and%20appendices\State%20analysis\QLD\Qld%20-%20171214%20draf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Pbohome01\pbo-shared\PBO-Department\Fiscal%20Policy%20&amp;%20Analysis%20Division%20(FPAD)\National%20Fiscal%20Trends\Drafting\Technical%20notes%20and%20appendices\State%20analysis\WA\WA%20-%20171214%20draf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Pbohome01\pbo-shared\PBO-Department\Fiscal%20Policy%20&amp;%20Analysis%20Division%20(FPAD)\National%20Fiscal%20Trends\Drafting\Technical%20notes%20and%20appendices\State%20analysis\SA\SA%20-%20171214%20draft.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Pbohome01\pbo-shared\PBO-Department\Fiscal%20Policy%20&amp;%20Analysis%20Division%20(FPAD)\National%20Fiscal%20Trends\Drafting\Technical%20notes%20and%20appendices\State%20analysis\TAS\Tasmania%20-%20171214%20draf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Pbohome01\pbo-shared\PBO-Department\Fiscal%20Policy%20&amp;%20Analysis%20Division%20(FPAD)\National%20Fiscal%20Trends\Drafting\Technical%20notes%20and%20appendices\State%20analysis\ACT\ACT%20-%20171214%20draf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Pbohome01\pbo-shared\PBO-Department\Fiscal%20Policy%20&amp;%20Analysis%20Division%20(FPAD)\National%20Fiscal%20Trends\Drafting\Technical%20notes%20and%20appendices\State%20analysis\NT\NT%20-%20171214%20draf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bohome01\pbo-shared\PBO-Department\Fiscal%20Policy%20&amp;%20Analysis%20Division%20(FPAD)\National%20Fiscal%20Trends\Drafting\Technical%20notes%20and%20appendices\Accessibility\2%20Revenu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0.46200000000000002</c:v>
                </c:pt>
                <c:pt idx="1">
                  <c:v>2E-3</c:v>
                </c:pt>
                <c:pt idx="2">
                  <c:v>-0.20399999999999999</c:v>
                </c:pt>
                <c:pt idx="3">
                  <c:v>-0.59</c:v>
                </c:pt>
                <c:pt idx="4">
                  <c:v>-1.048</c:v>
                </c:pt>
                <c:pt idx="5">
                  <c:v>-1.5720000000000001</c:v>
                </c:pt>
                <c:pt idx="6">
                  <c:v>-2.7989999999999999</c:v>
                </c:pt>
                <c:pt idx="7">
                  <c:v>-2.6030000000000002</c:v>
                </c:pt>
                <c:pt idx="8">
                  <c:v>-2.911</c:v>
                </c:pt>
                <c:pt idx="9">
                  <c:v>-2.0129999999999999</c:v>
                </c:pt>
                <c:pt idx="10">
                  <c:v>-2.177</c:v>
                </c:pt>
                <c:pt idx="11">
                  <c:v>-1.236</c:v>
                </c:pt>
                <c:pt idx="12">
                  <c:v>-3.2429999999999999</c:v>
                </c:pt>
                <c:pt idx="13">
                  <c:v>-2.0110000000000001</c:v>
                </c:pt>
                <c:pt idx="14">
                  <c:v>-1.6659999999999999</c:v>
                </c:pt>
                <c:pt idx="15">
                  <c:v>-0.95</c:v>
                </c:pt>
              </c:numCache>
            </c:numRef>
          </c:val>
          <c:smooth val="0"/>
        </c:ser>
        <c:dLbls>
          <c:showLegendKey val="0"/>
          <c:showVal val="0"/>
          <c:showCatName val="0"/>
          <c:showSerName val="0"/>
          <c:showPercent val="0"/>
          <c:showBubbleSize val="0"/>
        </c:dLbls>
        <c:marker val="1"/>
        <c:smooth val="0"/>
        <c:axId val="136279168"/>
        <c:axId val="136280704"/>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1.7529999999999999</c:v>
                </c:pt>
                <c:pt idx="1">
                  <c:v>1.1140000000000001</c:v>
                </c:pt>
                <c:pt idx="2">
                  <c:v>0.69699999999999995</c:v>
                </c:pt>
                <c:pt idx="3">
                  <c:v>0.90700000000000003</c:v>
                </c:pt>
                <c:pt idx="4">
                  <c:v>0.8</c:v>
                </c:pt>
                <c:pt idx="5">
                  <c:v>0.35899999999999999</c:v>
                </c:pt>
                <c:pt idx="6">
                  <c:v>-0.42099999999999999</c:v>
                </c:pt>
                <c:pt idx="7">
                  <c:v>1.069</c:v>
                </c:pt>
                <c:pt idx="8">
                  <c:v>1.3380000000000001</c:v>
                </c:pt>
                <c:pt idx="9">
                  <c:v>0.69099999999999995</c:v>
                </c:pt>
                <c:pt idx="10">
                  <c:v>0.22900000000000001</c:v>
                </c:pt>
                <c:pt idx="11">
                  <c:v>1.2470000000000001</c:v>
                </c:pt>
                <c:pt idx="12">
                  <c:v>0.27200000000000002</c:v>
                </c:pt>
                <c:pt idx="13">
                  <c:v>0.40200000000000002</c:v>
                </c:pt>
                <c:pt idx="14">
                  <c:v>1.0960000000000001</c:v>
                </c:pt>
                <c:pt idx="15">
                  <c:v>1.038</c:v>
                </c:pt>
              </c:numCache>
            </c:numRef>
          </c:val>
          <c:smooth val="0"/>
        </c:ser>
        <c:dLbls>
          <c:showLegendKey val="0"/>
          <c:showVal val="0"/>
          <c:showCatName val="0"/>
          <c:showSerName val="0"/>
          <c:showPercent val="0"/>
          <c:showBubbleSize val="0"/>
        </c:dLbls>
        <c:marker val="1"/>
        <c:smooth val="0"/>
        <c:axId val="136292992"/>
        <c:axId val="136291072"/>
      </c:lineChart>
      <c:catAx>
        <c:axId val="136279168"/>
        <c:scaling>
          <c:orientation val="minMax"/>
        </c:scaling>
        <c:delete val="0"/>
        <c:axPos val="b"/>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6280704"/>
        <c:crosses val="autoZero"/>
        <c:auto val="1"/>
        <c:lblAlgn val="ctr"/>
        <c:lblOffset val="100"/>
        <c:tickLblSkip val="3"/>
        <c:noMultiLvlLbl val="0"/>
      </c:catAx>
      <c:valAx>
        <c:axId val="136280704"/>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279168"/>
        <c:crosses val="autoZero"/>
        <c:crossBetween val="between"/>
        <c:majorUnit val="2"/>
        <c:minorUnit val="0.5"/>
      </c:valAx>
      <c:valAx>
        <c:axId val="136291072"/>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292992"/>
        <c:crosses val="max"/>
        <c:crossBetween val="between"/>
        <c:majorUnit val="2"/>
        <c:minorUnit val="0.5"/>
      </c:valAx>
      <c:catAx>
        <c:axId val="136292992"/>
        <c:scaling>
          <c:orientation val="minMax"/>
        </c:scaling>
        <c:delete val="1"/>
        <c:axPos val="b"/>
        <c:majorTickMark val="out"/>
        <c:minorTickMark val="none"/>
        <c:tickLblPos val="nextTo"/>
        <c:crossAx val="13629107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00753968253969"/>
          <c:y val="4.7510277777777776E-2"/>
          <c:w val="0.7344761904761905"/>
          <c:h val="0.59881138888888885"/>
        </c:manualLayout>
      </c:layout>
      <c:lineChart>
        <c:grouping val="standard"/>
        <c:varyColors val="0"/>
        <c:ser>
          <c:idx val="1"/>
          <c:order val="1"/>
          <c:tx>
            <c:strRef>
              <c:f>'\\Pbohome01\pbo-shared\PBO-Department\Fiscal Policy &amp; Analysis Division (FPAD)\National Fiscal Trends\Drafting\Revenue\[Revenue.xlsx]Figure 2.7'!$A$38</c:f>
              <c:strCache>
                <c:ptCount val="1"/>
                <c:pt idx="0">
                  <c:v>QLD royalties (lhs)</c:v>
                </c:pt>
              </c:strCache>
            </c:strRef>
          </c:tx>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2.7'!$B$38:$Q$38</c:f>
              <c:numCache>
                <c:formatCode>General</c:formatCode>
                <c:ptCount val="16"/>
                <c:pt idx="0">
                  <c:v>8.6278260500413914E-2</c:v>
                </c:pt>
                <c:pt idx="1">
                  <c:v>7.3354031860255922E-2</c:v>
                </c:pt>
                <c:pt idx="2">
                  <c:v>0.10799335125271203</c:v>
                </c:pt>
                <c:pt idx="3">
                  <c:v>0.14880221730334309</c:v>
                </c:pt>
                <c:pt idx="4">
                  <c:v>0.12520376660030838</c:v>
                </c:pt>
                <c:pt idx="5">
                  <c:v>0.11617230499770032</c:v>
                </c:pt>
                <c:pt idx="6">
                  <c:v>0.26747234264439135</c:v>
                </c:pt>
                <c:pt idx="7">
                  <c:v>0.15713186496846945</c:v>
                </c:pt>
                <c:pt idx="8">
                  <c:v>0.19334240143763784</c:v>
                </c:pt>
                <c:pt idx="9">
                  <c:v>0.18783248702309366</c:v>
                </c:pt>
                <c:pt idx="10">
                  <c:v>0.14096508484204548</c:v>
                </c:pt>
                <c:pt idx="11">
                  <c:v>0.15028385194323088</c:v>
                </c:pt>
                <c:pt idx="12">
                  <c:v>0.14508886151397493</c:v>
                </c:pt>
                <c:pt idx="13">
                  <c:v>0.18870012898324742</c:v>
                </c:pt>
                <c:pt idx="14">
                  <c:v>0.21092489020936894</c:v>
                </c:pt>
                <c:pt idx="15">
                  <c:v>0.2218784918083396</c:v>
                </c:pt>
              </c:numCache>
            </c:numRef>
          </c:val>
          <c:smooth val="0"/>
        </c:ser>
        <c:ser>
          <c:idx val="2"/>
          <c:order val="2"/>
          <c:tx>
            <c:strRef>
              <c:f>'\\Pbohome01\pbo-shared\PBO-Department\Fiscal Policy &amp; Analysis Division (FPAD)\National Fiscal Trends\Drafting\Revenue\[Revenue.xlsx]Figure 2.7'!$A$39</c:f>
              <c:strCache>
                <c:ptCount val="1"/>
                <c:pt idx="0">
                  <c:v>NSW royalties (lhs)</c:v>
                </c:pt>
              </c:strCache>
            </c:strRef>
          </c:tx>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2.7'!$B$39:$Q$39</c:f>
              <c:numCache>
                <c:formatCode>General</c:formatCode>
                <c:ptCount val="16"/>
                <c:pt idx="0">
                  <c:v>2.996640017380512E-2</c:v>
                </c:pt>
                <c:pt idx="1">
                  <c:v>2.704349592316397E-2</c:v>
                </c:pt>
                <c:pt idx="2">
                  <c:v>4.293711555830719E-2</c:v>
                </c:pt>
                <c:pt idx="3">
                  <c:v>5.0502570721134621E-2</c:v>
                </c:pt>
                <c:pt idx="4">
                  <c:v>4.4985041783652313E-2</c:v>
                </c:pt>
                <c:pt idx="5">
                  <c:v>4.8709206039941548E-2</c:v>
                </c:pt>
                <c:pt idx="6">
                  <c:v>0.1016633361789529</c:v>
                </c:pt>
                <c:pt idx="7">
                  <c:v>7.6019099702329271E-2</c:v>
                </c:pt>
                <c:pt idx="8">
                  <c:v>8.8076626665198721E-2</c:v>
                </c:pt>
                <c:pt idx="9">
                  <c:v>9.8385245438929902E-2</c:v>
                </c:pt>
                <c:pt idx="10">
                  <c:v>8.665670793927982E-2</c:v>
                </c:pt>
                <c:pt idx="11">
                  <c:v>8.4558365811624431E-2</c:v>
                </c:pt>
                <c:pt idx="12">
                  <c:v>8.3992265456203322E-2</c:v>
                </c:pt>
                <c:pt idx="13">
                  <c:v>8.9942296327242308E-2</c:v>
                </c:pt>
                <c:pt idx="14">
                  <c:v>9.4386480550311222E-2</c:v>
                </c:pt>
                <c:pt idx="15">
                  <c:v>9.9659570089113469E-2</c:v>
                </c:pt>
              </c:numCache>
            </c:numRef>
          </c:val>
          <c:smooth val="0"/>
        </c:ser>
        <c:dLbls>
          <c:showLegendKey val="0"/>
          <c:showVal val="0"/>
          <c:showCatName val="0"/>
          <c:showSerName val="0"/>
          <c:showPercent val="0"/>
          <c:showBubbleSize val="0"/>
        </c:dLbls>
        <c:marker val="1"/>
        <c:smooth val="0"/>
        <c:axId val="143297536"/>
        <c:axId val="143299328"/>
      </c:lineChart>
      <c:lineChart>
        <c:grouping val="standard"/>
        <c:varyColors val="0"/>
        <c:ser>
          <c:idx val="0"/>
          <c:order val="0"/>
          <c:tx>
            <c:strRef>
              <c:f>'\\Pbohome01\pbo-shared\PBO-Department\Fiscal Policy &amp; Analysis Division (FPAD)\National Fiscal Trends\Drafting\Revenue\[Revenue.xlsx]Figure 2.7'!$A$35</c:f>
              <c:strCache>
                <c:ptCount val="1"/>
                <c:pt idx="0">
                  <c:v>Metallurgical coal price (rhs)</c:v>
                </c:pt>
              </c:strCache>
            </c:strRef>
          </c:tx>
          <c:spPr>
            <a:ln>
              <a:prstDash val="dash"/>
            </a:ln>
          </c:spPr>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2.7'!$B$35:$Q$35</c:f>
              <c:numCache>
                <c:formatCode>General</c:formatCode>
                <c:ptCount val="16"/>
                <c:pt idx="0">
                  <c:v>80.393161072995341</c:v>
                </c:pt>
                <c:pt idx="1">
                  <c:v>70.933960125389987</c:v>
                </c:pt>
                <c:pt idx="2">
                  <c:v>107.73230278013006</c:v>
                </c:pt>
                <c:pt idx="3">
                  <c:v>151.56432523293893</c:v>
                </c:pt>
                <c:pt idx="4">
                  <c:v>140.20880485579505</c:v>
                </c:pt>
                <c:pt idx="5">
                  <c:v>196.45383432479127</c:v>
                </c:pt>
                <c:pt idx="6">
                  <c:v>281.50718560050166</c:v>
                </c:pt>
                <c:pt idx="7">
                  <c:v>204.84391890648058</c:v>
                </c:pt>
                <c:pt idx="8">
                  <c:v>242.94760321287623</c:v>
                </c:pt>
                <c:pt idx="9">
                  <c:v>241.75458029377097</c:v>
                </c:pt>
                <c:pt idx="10">
                  <c:v>179.40815964013805</c:v>
                </c:pt>
                <c:pt idx="11">
                  <c:v>154.56094789243875</c:v>
                </c:pt>
                <c:pt idx="12">
                  <c:v>143.91477068587835</c:v>
                </c:pt>
                <c:pt idx="13">
                  <c:v>150.96774193548387</c:v>
                </c:pt>
                <c:pt idx="14">
                  <c:v>156.14379084967319</c:v>
                </c:pt>
                <c:pt idx="15">
                  <c:v>160.39473684210526</c:v>
                </c:pt>
              </c:numCache>
            </c:numRef>
          </c:val>
          <c:smooth val="0"/>
        </c:ser>
        <c:ser>
          <c:idx val="3"/>
          <c:order val="3"/>
          <c:tx>
            <c:strRef>
              <c:f>'\\Pbohome01\pbo-shared\PBO-Department\Fiscal Policy &amp; Analysis Division (FPAD)\National Fiscal Trends\Drafting\Revenue\[Revenue.xlsx]Figure 2.7'!$A$36</c:f>
              <c:strCache>
                <c:ptCount val="1"/>
                <c:pt idx="0">
                  <c:v>Thermal coal price (rhs)</c:v>
                </c:pt>
              </c:strCache>
            </c:strRef>
          </c:tx>
          <c:spPr>
            <a:ln>
              <a:solidFill>
                <a:schemeClr val="accent1"/>
              </a:solidFill>
              <a:prstDash val="sysDot"/>
            </a:ln>
          </c:spPr>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2.7'!$B$36:$Q$36</c:f>
              <c:numCache>
                <c:formatCode>General</c:formatCode>
                <c:ptCount val="16"/>
                <c:pt idx="0">
                  <c:v>45.755682100055857</c:v>
                </c:pt>
                <c:pt idx="1">
                  <c:v>37.57392937335014</c:v>
                </c:pt>
                <c:pt idx="2">
                  <c:v>59.851279322294474</c:v>
                </c:pt>
                <c:pt idx="3">
                  <c:v>70.417053758666313</c:v>
                </c:pt>
                <c:pt idx="4">
                  <c:v>66.917838681174899</c:v>
                </c:pt>
                <c:pt idx="5">
                  <c:v>61.949930710374517</c:v>
                </c:pt>
                <c:pt idx="6">
                  <c:v>167.16578717369455</c:v>
                </c:pt>
                <c:pt idx="7">
                  <c:v>79.617512127463584</c:v>
                </c:pt>
                <c:pt idx="8">
                  <c:v>99.255300114067197</c:v>
                </c:pt>
                <c:pt idx="9">
                  <c:v>126.02745037870767</c:v>
                </c:pt>
                <c:pt idx="10">
                  <c:v>111.9779558133833</c:v>
                </c:pt>
                <c:pt idx="11">
                  <c:v>103.40345105480057</c:v>
                </c:pt>
                <c:pt idx="12">
                  <c:v>97.573379545004968</c:v>
                </c:pt>
                <c:pt idx="13">
                  <c:v>90.322580645161281</c:v>
                </c:pt>
                <c:pt idx="14">
                  <c:v>84.967320261437905</c:v>
                </c:pt>
                <c:pt idx="15">
                  <c:v>84.21052631578948</c:v>
                </c:pt>
              </c:numCache>
            </c:numRef>
          </c:val>
          <c:smooth val="0"/>
        </c:ser>
        <c:dLbls>
          <c:showLegendKey val="0"/>
          <c:showVal val="0"/>
          <c:showCatName val="0"/>
          <c:showSerName val="0"/>
          <c:showPercent val="0"/>
          <c:showBubbleSize val="0"/>
        </c:dLbls>
        <c:marker val="1"/>
        <c:smooth val="0"/>
        <c:axId val="143311616"/>
        <c:axId val="143301248"/>
      </c:lineChart>
      <c:scatterChart>
        <c:scatterStyle val="lineMarker"/>
        <c:varyColors val="0"/>
        <c:ser>
          <c:idx val="4"/>
          <c:order val="4"/>
          <c:tx>
            <c:v>Vertical line</c:v>
          </c:tx>
          <c:spPr>
            <a:ln w="6350">
              <a:solidFill>
                <a:schemeClr val="tx1"/>
              </a:solidFill>
              <a:prstDash val="dash"/>
            </a:ln>
          </c:spPr>
          <c:marker>
            <c:symbol val="none"/>
          </c:marker>
          <c:xVal>
            <c:numRef>
              <c:f>'\\Pbohome01\pbo-shared\PBO-Department\Fiscal Policy &amp; Analysis Division (FPAD)\National Fiscal Trends\Drafting\Revenue\[Revenue.xlsx]Figure 2.7'!$K$48:$L$48</c:f>
              <c:numCache>
                <c:formatCode>General</c:formatCode>
                <c:ptCount val="2"/>
                <c:pt idx="0">
                  <c:v>11</c:v>
                </c:pt>
                <c:pt idx="1">
                  <c:v>11</c:v>
                </c:pt>
              </c:numCache>
            </c:numRef>
          </c:xVal>
          <c:yVal>
            <c:numRef>
              <c:f>'\\Pbohome01\pbo-shared\PBO-Department\Fiscal Policy &amp; Analysis Division (FPAD)\National Fiscal Trends\Drafting\Revenue\[Revenue.xlsx]Figure 2.7'!$K$49:$L$49</c:f>
              <c:numCache>
                <c:formatCode>General</c:formatCode>
                <c:ptCount val="2"/>
                <c:pt idx="0">
                  <c:v>0</c:v>
                </c:pt>
                <c:pt idx="1">
                  <c:v>350</c:v>
                </c:pt>
              </c:numCache>
            </c:numRef>
          </c:yVal>
          <c:smooth val="0"/>
        </c:ser>
        <c:dLbls>
          <c:showLegendKey val="0"/>
          <c:showVal val="0"/>
          <c:showCatName val="0"/>
          <c:showSerName val="0"/>
          <c:showPercent val="0"/>
          <c:showBubbleSize val="0"/>
        </c:dLbls>
        <c:axId val="143311616"/>
        <c:axId val="143301248"/>
      </c:scatterChart>
      <c:catAx>
        <c:axId val="143297536"/>
        <c:scaling>
          <c:orientation val="minMax"/>
        </c:scaling>
        <c:delete val="0"/>
        <c:axPos val="b"/>
        <c:majorTickMark val="out"/>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299328"/>
        <c:crosses val="autoZero"/>
        <c:auto val="1"/>
        <c:lblAlgn val="ctr"/>
        <c:lblOffset val="100"/>
        <c:tickLblSkip val="3"/>
        <c:noMultiLvlLbl val="0"/>
      </c:catAx>
      <c:valAx>
        <c:axId val="143299328"/>
        <c:scaling>
          <c:orientation val="minMax"/>
          <c:max val="0.35000000000000003"/>
        </c:scaling>
        <c:delete val="0"/>
        <c:axPos val="l"/>
        <c:title>
          <c:tx>
            <c:rich>
              <a:bodyPr rot="0" vert="horz"/>
              <a:lstStyle/>
              <a:p>
                <a:pPr>
                  <a:defRPr sz="800" b="0" i="0">
                    <a:latin typeface="Arial"/>
                    <a:ea typeface="Arial"/>
                    <a:cs typeface="Arial"/>
                  </a:defRPr>
                </a:pPr>
                <a:r>
                  <a:rPr lang="en-US"/>
                  <a:t>Per cent of GDP</a:t>
                </a:r>
              </a:p>
            </c:rich>
          </c:tx>
          <c:layout>
            <c:manualLayout>
              <c:xMode val="edge"/>
              <c:yMode val="edge"/>
              <c:x val="0.1663095238095238"/>
              <c:y val="0"/>
            </c:manualLayout>
          </c:layout>
          <c:overlay val="0"/>
        </c:title>
        <c:numFmt formatCode="#,##0.0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297536"/>
        <c:crosses val="autoZero"/>
        <c:crossBetween val="between"/>
      </c:valAx>
      <c:valAx>
        <c:axId val="143301248"/>
        <c:scaling>
          <c:orientation val="minMax"/>
          <c:max val="350"/>
        </c:scaling>
        <c:delete val="0"/>
        <c:axPos val="r"/>
        <c:title>
          <c:tx>
            <c:rich>
              <a:bodyPr rot="0" vert="horz"/>
              <a:lstStyle/>
              <a:p>
                <a:pPr>
                  <a:defRPr sz="800" b="0" i="0">
                    <a:latin typeface="Arial"/>
                    <a:ea typeface="Arial"/>
                    <a:cs typeface="Arial"/>
                  </a:defRPr>
                </a:pPr>
                <a:r>
                  <a:rPr lang="en-US"/>
                  <a:t>AU$/t</a:t>
                </a:r>
              </a:p>
            </c:rich>
          </c:tx>
          <c:layout>
            <c:manualLayout>
              <c:xMode val="edge"/>
              <c:yMode val="edge"/>
              <c:x val="0.75625595238095233"/>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311616"/>
        <c:crosses val="max"/>
        <c:crossBetween val="between"/>
      </c:valAx>
      <c:catAx>
        <c:axId val="143311616"/>
        <c:scaling>
          <c:orientation val="minMax"/>
        </c:scaling>
        <c:delete val="1"/>
        <c:axPos val="b"/>
        <c:majorTickMark val="out"/>
        <c:minorTickMark val="none"/>
        <c:tickLblPos val="nextTo"/>
        <c:crossAx val="143301248"/>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4"/>
        <c:delete val="1"/>
      </c:legendEntry>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0.72799999999999998</c:v>
                </c:pt>
                <c:pt idx="1">
                  <c:v>0.26300000000000001</c:v>
                </c:pt>
                <c:pt idx="2">
                  <c:v>0.38600000000000001</c:v>
                </c:pt>
                <c:pt idx="3">
                  <c:v>-0.45100000000000001</c:v>
                </c:pt>
                <c:pt idx="4">
                  <c:v>0.66200000000000003</c:v>
                </c:pt>
                <c:pt idx="5">
                  <c:v>0.48499999999999999</c:v>
                </c:pt>
                <c:pt idx="6">
                  <c:v>-1.593</c:v>
                </c:pt>
                <c:pt idx="7">
                  <c:v>-2.516</c:v>
                </c:pt>
                <c:pt idx="8">
                  <c:v>-2.278</c:v>
                </c:pt>
                <c:pt idx="9">
                  <c:v>-2.3199999999999998</c:v>
                </c:pt>
                <c:pt idx="10">
                  <c:v>-2.1070000000000002</c:v>
                </c:pt>
                <c:pt idx="11">
                  <c:v>1.2589999999999999</c:v>
                </c:pt>
                <c:pt idx="12">
                  <c:v>0.5897</c:v>
                </c:pt>
                <c:pt idx="13">
                  <c:v>-0.14430000000000001</c:v>
                </c:pt>
                <c:pt idx="14">
                  <c:v>-0.6149</c:v>
                </c:pt>
                <c:pt idx="15">
                  <c:v>-0.36649999999999999</c:v>
                </c:pt>
              </c:numCache>
            </c:numRef>
          </c:val>
          <c:smooth val="0"/>
        </c:ser>
        <c:dLbls>
          <c:showLegendKey val="0"/>
          <c:showVal val="0"/>
          <c:showCatName val="0"/>
          <c:showSerName val="0"/>
          <c:showPercent val="0"/>
          <c:showBubbleSize val="0"/>
        </c:dLbls>
        <c:marker val="1"/>
        <c:smooth val="0"/>
        <c:axId val="136402048"/>
        <c:axId val="136403584"/>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1.617</c:v>
                </c:pt>
                <c:pt idx="1">
                  <c:v>0.93</c:v>
                </c:pt>
                <c:pt idx="2">
                  <c:v>0.79700000000000004</c:v>
                </c:pt>
                <c:pt idx="3">
                  <c:v>0.75600000000000001</c:v>
                </c:pt>
                <c:pt idx="4">
                  <c:v>2.306</c:v>
                </c:pt>
                <c:pt idx="5">
                  <c:v>1.4830000000000001</c:v>
                </c:pt>
                <c:pt idx="6">
                  <c:v>0.26500000000000001</c:v>
                </c:pt>
                <c:pt idx="7">
                  <c:v>0.627</c:v>
                </c:pt>
                <c:pt idx="8">
                  <c:v>0.54100000000000004</c:v>
                </c:pt>
                <c:pt idx="9">
                  <c:v>0.13</c:v>
                </c:pt>
                <c:pt idx="10">
                  <c:v>0.45300000000000001</c:v>
                </c:pt>
                <c:pt idx="11">
                  <c:v>1.9762</c:v>
                </c:pt>
                <c:pt idx="12">
                  <c:v>1.1417999999999999</c:v>
                </c:pt>
                <c:pt idx="13">
                  <c:v>2.1980999999999997</c:v>
                </c:pt>
                <c:pt idx="14">
                  <c:v>2.4135999999999997</c:v>
                </c:pt>
                <c:pt idx="15">
                  <c:v>2.4440999999999997</c:v>
                </c:pt>
              </c:numCache>
            </c:numRef>
          </c:val>
          <c:smooth val="0"/>
        </c:ser>
        <c:dLbls>
          <c:showLegendKey val="0"/>
          <c:showVal val="0"/>
          <c:showCatName val="0"/>
          <c:showSerName val="0"/>
          <c:showPercent val="0"/>
          <c:showBubbleSize val="0"/>
        </c:dLbls>
        <c:marker val="1"/>
        <c:smooth val="0"/>
        <c:axId val="136424064"/>
        <c:axId val="136422144"/>
      </c:lineChart>
      <c:catAx>
        <c:axId val="136402048"/>
        <c:scaling>
          <c:orientation val="minMax"/>
        </c:scaling>
        <c:delete val="0"/>
        <c:axPos val="b"/>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6403584"/>
        <c:crosses val="autoZero"/>
        <c:auto val="1"/>
        <c:lblAlgn val="ctr"/>
        <c:lblOffset val="100"/>
        <c:tickLblSkip val="3"/>
        <c:noMultiLvlLbl val="0"/>
      </c:catAx>
      <c:valAx>
        <c:axId val="136403584"/>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402048"/>
        <c:crosses val="autoZero"/>
        <c:crossBetween val="between"/>
        <c:majorUnit val="2"/>
        <c:minorUnit val="0.5"/>
      </c:valAx>
      <c:valAx>
        <c:axId val="136422144"/>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424064"/>
        <c:crosses val="max"/>
        <c:crossBetween val="between"/>
        <c:majorUnit val="2"/>
        <c:minorUnit val="0.5"/>
      </c:valAx>
      <c:catAx>
        <c:axId val="136424064"/>
        <c:scaling>
          <c:orientation val="minMax"/>
        </c:scaling>
        <c:delete val="1"/>
        <c:axPos val="b"/>
        <c:majorTickMark val="out"/>
        <c:minorTickMark val="none"/>
        <c:tickLblPos val="nextTo"/>
        <c:crossAx val="13642214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-0.14399999999999999</c:v>
                </c:pt>
                <c:pt idx="1">
                  <c:v>2.835</c:v>
                </c:pt>
                <c:pt idx="2">
                  <c:v>2.8540000000000001</c:v>
                </c:pt>
                <c:pt idx="3">
                  <c:v>2.46</c:v>
                </c:pt>
                <c:pt idx="4">
                  <c:v>-0.215</c:v>
                </c:pt>
                <c:pt idx="5">
                  <c:v>-5.226</c:v>
                </c:pt>
                <c:pt idx="6">
                  <c:v>-4.3949999999999996</c:v>
                </c:pt>
                <c:pt idx="7">
                  <c:v>-6.5709999999999997</c:v>
                </c:pt>
                <c:pt idx="8">
                  <c:v>-7.1150000000000002</c:v>
                </c:pt>
                <c:pt idx="9">
                  <c:v>-5.5570000000000004</c:v>
                </c:pt>
                <c:pt idx="10">
                  <c:v>-7.7359999999999998</c:v>
                </c:pt>
                <c:pt idx="11">
                  <c:v>-2.581</c:v>
                </c:pt>
                <c:pt idx="12">
                  <c:v>-2.8420000000000001</c:v>
                </c:pt>
                <c:pt idx="13">
                  <c:v>0.33100000000000002</c:v>
                </c:pt>
                <c:pt idx="14">
                  <c:v>0.216</c:v>
                </c:pt>
                <c:pt idx="15">
                  <c:v>0.63400000000000001</c:v>
                </c:pt>
              </c:numCache>
            </c:numRef>
          </c:val>
          <c:smooth val="0"/>
        </c:ser>
        <c:dLbls>
          <c:showLegendKey val="0"/>
          <c:showVal val="0"/>
          <c:showCatName val="0"/>
          <c:showSerName val="0"/>
          <c:showPercent val="0"/>
          <c:showBubbleSize val="0"/>
        </c:dLbls>
        <c:marker val="1"/>
        <c:smooth val="0"/>
        <c:axId val="136455296"/>
        <c:axId val="136456832"/>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1.2E-2</c:v>
                </c:pt>
                <c:pt idx="1">
                  <c:v>3.335</c:v>
                </c:pt>
                <c:pt idx="2">
                  <c:v>3.9079999999999999</c:v>
                </c:pt>
                <c:pt idx="3">
                  <c:v>3.6960000000000002</c:v>
                </c:pt>
                <c:pt idx="4">
                  <c:v>1.8520000000000001</c:v>
                </c:pt>
                <c:pt idx="5">
                  <c:v>-1.5589999999999999</c:v>
                </c:pt>
                <c:pt idx="6">
                  <c:v>0.04</c:v>
                </c:pt>
                <c:pt idx="7">
                  <c:v>-4.9000000000000002E-2</c:v>
                </c:pt>
                <c:pt idx="8">
                  <c:v>-1.5149999999999999</c:v>
                </c:pt>
                <c:pt idx="9">
                  <c:v>-0.22800000000000001</c:v>
                </c:pt>
                <c:pt idx="10">
                  <c:v>-4.3819999999999997</c:v>
                </c:pt>
                <c:pt idx="11">
                  <c:v>0.61899999999999999</c:v>
                </c:pt>
                <c:pt idx="12">
                  <c:v>-6.4000000000000001E-2</c:v>
                </c:pt>
                <c:pt idx="13">
                  <c:v>3.0779999999999998</c:v>
                </c:pt>
                <c:pt idx="14">
                  <c:v>3.12</c:v>
                </c:pt>
                <c:pt idx="15">
                  <c:v>3.0110000000000001</c:v>
                </c:pt>
              </c:numCache>
            </c:numRef>
          </c:val>
          <c:smooth val="0"/>
        </c:ser>
        <c:dLbls>
          <c:showLegendKey val="0"/>
          <c:showVal val="0"/>
          <c:showCatName val="0"/>
          <c:showSerName val="0"/>
          <c:showPercent val="0"/>
          <c:showBubbleSize val="0"/>
        </c:dLbls>
        <c:marker val="1"/>
        <c:smooth val="0"/>
        <c:axId val="136465024"/>
        <c:axId val="136463104"/>
      </c:lineChart>
      <c:catAx>
        <c:axId val="136455296"/>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6456832"/>
        <c:crosses val="autoZero"/>
        <c:auto val="1"/>
        <c:lblAlgn val="ctr"/>
        <c:lblOffset val="100"/>
        <c:tickLblSkip val="3"/>
        <c:noMultiLvlLbl val="0"/>
      </c:catAx>
      <c:valAx>
        <c:axId val="136456832"/>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455296"/>
        <c:crosses val="autoZero"/>
        <c:crossBetween val="between"/>
        <c:majorUnit val="2"/>
        <c:minorUnit val="0.5"/>
      </c:valAx>
      <c:valAx>
        <c:axId val="136463104"/>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465024"/>
        <c:crosses val="max"/>
        <c:crossBetween val="between"/>
        <c:majorUnit val="2"/>
        <c:minorUnit val="0.5"/>
      </c:valAx>
      <c:catAx>
        <c:axId val="136465024"/>
        <c:scaling>
          <c:orientation val="minMax"/>
        </c:scaling>
        <c:delete val="1"/>
        <c:axPos val="b"/>
        <c:numFmt formatCode="General" sourceLinked="1"/>
        <c:majorTickMark val="out"/>
        <c:minorTickMark val="none"/>
        <c:tickLblPos val="nextTo"/>
        <c:crossAx val="136463104"/>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0.13</c:v>
                </c:pt>
                <c:pt idx="1">
                  <c:v>0.56999999999999995</c:v>
                </c:pt>
                <c:pt idx="2">
                  <c:v>0.871</c:v>
                </c:pt>
                <c:pt idx="3">
                  <c:v>1.8460000000000001</c:v>
                </c:pt>
                <c:pt idx="4">
                  <c:v>1.534</c:v>
                </c:pt>
                <c:pt idx="5">
                  <c:v>1.33</c:v>
                </c:pt>
                <c:pt idx="6">
                  <c:v>-0.79800000000000004</c:v>
                </c:pt>
                <c:pt idx="7">
                  <c:v>-1.0620000000000001</c:v>
                </c:pt>
                <c:pt idx="8">
                  <c:v>-0.27600000000000002</c:v>
                </c:pt>
                <c:pt idx="9">
                  <c:v>-1.581</c:v>
                </c:pt>
                <c:pt idx="10">
                  <c:v>-1.853</c:v>
                </c:pt>
                <c:pt idx="11">
                  <c:v>-1.127</c:v>
                </c:pt>
                <c:pt idx="12">
                  <c:v>-3.1379999999999999</c:v>
                </c:pt>
                <c:pt idx="13">
                  <c:v>-1.335</c:v>
                </c:pt>
                <c:pt idx="14">
                  <c:v>-0.38100000000000001</c:v>
                </c:pt>
                <c:pt idx="15">
                  <c:v>4.2999999999999997E-2</c:v>
                </c:pt>
              </c:numCache>
            </c:numRef>
          </c:val>
          <c:smooth val="0"/>
        </c:ser>
        <c:dLbls>
          <c:showLegendKey val="0"/>
          <c:showVal val="0"/>
          <c:showCatName val="0"/>
          <c:showSerName val="0"/>
          <c:showPercent val="0"/>
          <c:showBubbleSize val="0"/>
        </c:dLbls>
        <c:marker val="1"/>
        <c:smooth val="0"/>
        <c:axId val="136504448"/>
        <c:axId val="136505984"/>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0.253</c:v>
                </c:pt>
                <c:pt idx="1">
                  <c:v>0.80700000000000005</c:v>
                </c:pt>
                <c:pt idx="2">
                  <c:v>1.1910000000000001</c:v>
                </c:pt>
                <c:pt idx="3">
                  <c:v>2.2650000000000001</c:v>
                </c:pt>
                <c:pt idx="4">
                  <c:v>2.3029999999999999</c:v>
                </c:pt>
                <c:pt idx="5">
                  <c:v>2.569</c:v>
                </c:pt>
                <c:pt idx="6">
                  <c:v>0.51700000000000002</c:v>
                </c:pt>
                <c:pt idx="7">
                  <c:v>0.83899999999999997</c:v>
                </c:pt>
                <c:pt idx="8">
                  <c:v>1.6040000000000001</c:v>
                </c:pt>
                <c:pt idx="9">
                  <c:v>0.64900000000000002</c:v>
                </c:pt>
                <c:pt idx="10">
                  <c:v>0.249</c:v>
                </c:pt>
                <c:pt idx="11">
                  <c:v>0.71899999999999997</c:v>
                </c:pt>
                <c:pt idx="12">
                  <c:v>-1.2869999999999999</c:v>
                </c:pt>
                <c:pt idx="13">
                  <c:v>-0.90700000000000003</c:v>
                </c:pt>
                <c:pt idx="14">
                  <c:v>0.30399999999999999</c:v>
                </c:pt>
                <c:pt idx="15">
                  <c:v>1.3440000000000001</c:v>
                </c:pt>
              </c:numCache>
            </c:numRef>
          </c:val>
          <c:smooth val="0"/>
        </c:ser>
        <c:dLbls>
          <c:showLegendKey val="0"/>
          <c:showVal val="0"/>
          <c:showCatName val="0"/>
          <c:showSerName val="0"/>
          <c:showPercent val="0"/>
          <c:showBubbleSize val="0"/>
        </c:dLbls>
        <c:marker val="1"/>
        <c:smooth val="0"/>
        <c:axId val="136514176"/>
        <c:axId val="136512256"/>
      </c:lineChart>
      <c:catAx>
        <c:axId val="136504448"/>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6505984"/>
        <c:crosses val="autoZero"/>
        <c:auto val="1"/>
        <c:lblAlgn val="ctr"/>
        <c:lblOffset val="100"/>
        <c:tickLblSkip val="3"/>
        <c:noMultiLvlLbl val="0"/>
      </c:catAx>
      <c:valAx>
        <c:axId val="136505984"/>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6504448"/>
        <c:crosses val="autoZero"/>
        <c:crossBetween val="between"/>
        <c:majorUnit val="2"/>
        <c:minorUnit val="0.5"/>
      </c:valAx>
      <c:valAx>
        <c:axId val="136512256"/>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6514176"/>
        <c:crosses val="max"/>
        <c:crossBetween val="between"/>
        <c:majorUnit val="2"/>
        <c:minorUnit val="0.5"/>
      </c:valAx>
      <c:catAx>
        <c:axId val="136514176"/>
        <c:scaling>
          <c:orientation val="minMax"/>
        </c:scaling>
        <c:delete val="1"/>
        <c:axPos val="b"/>
        <c:numFmt formatCode="General" sourceLinked="1"/>
        <c:majorTickMark val="out"/>
        <c:minorTickMark val="none"/>
        <c:tickLblPos val="nextTo"/>
        <c:crossAx val="13651225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0.41399999999999998</c:v>
                </c:pt>
                <c:pt idx="1">
                  <c:v>0.51600000000000001</c:v>
                </c:pt>
                <c:pt idx="2">
                  <c:v>5.6000000000000001E-2</c:v>
                </c:pt>
                <c:pt idx="3">
                  <c:v>-0.106</c:v>
                </c:pt>
                <c:pt idx="4">
                  <c:v>3.6999999999999998E-2</c:v>
                </c:pt>
                <c:pt idx="5">
                  <c:v>0.20200000000000001</c:v>
                </c:pt>
                <c:pt idx="6">
                  <c:v>-0.85199999999999998</c:v>
                </c:pt>
                <c:pt idx="7">
                  <c:v>-1.089</c:v>
                </c:pt>
                <c:pt idx="8">
                  <c:v>-1.403</c:v>
                </c:pt>
                <c:pt idx="9">
                  <c:v>-1.099</c:v>
                </c:pt>
                <c:pt idx="10">
                  <c:v>-1.002</c:v>
                </c:pt>
                <c:pt idx="11">
                  <c:v>-1.7330000000000001</c:v>
                </c:pt>
                <c:pt idx="12">
                  <c:v>-9.5000000000000001E-2</c:v>
                </c:pt>
                <c:pt idx="13">
                  <c:v>9.2999999999999999E-2</c:v>
                </c:pt>
                <c:pt idx="14">
                  <c:v>-2.286</c:v>
                </c:pt>
                <c:pt idx="15">
                  <c:v>0.59699999999999998</c:v>
                </c:pt>
              </c:numCache>
            </c:numRef>
          </c:val>
          <c:smooth val="0"/>
        </c:ser>
        <c:dLbls>
          <c:showLegendKey val="0"/>
          <c:showVal val="0"/>
          <c:showCatName val="0"/>
          <c:showSerName val="0"/>
          <c:showPercent val="0"/>
          <c:showBubbleSize val="0"/>
        </c:dLbls>
        <c:marker val="1"/>
        <c:smooth val="0"/>
        <c:axId val="137962624"/>
        <c:axId val="137964160"/>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0.44800000000000001</c:v>
                </c:pt>
                <c:pt idx="1">
                  <c:v>0.46800000000000003</c:v>
                </c:pt>
                <c:pt idx="2">
                  <c:v>0.161</c:v>
                </c:pt>
                <c:pt idx="3">
                  <c:v>3.5000000000000003E-2</c:v>
                </c:pt>
                <c:pt idx="4">
                  <c:v>0.193</c:v>
                </c:pt>
                <c:pt idx="5">
                  <c:v>0.46200000000000002</c:v>
                </c:pt>
                <c:pt idx="6">
                  <c:v>-0.23400000000000001</c:v>
                </c:pt>
                <c:pt idx="7">
                  <c:v>0.186</c:v>
                </c:pt>
                <c:pt idx="8">
                  <c:v>-3.3000000000000002E-2</c:v>
                </c:pt>
                <c:pt idx="9">
                  <c:v>-0.26</c:v>
                </c:pt>
                <c:pt idx="10">
                  <c:v>-0.94699999999999995</c:v>
                </c:pt>
                <c:pt idx="11">
                  <c:v>-1.071</c:v>
                </c:pt>
                <c:pt idx="12">
                  <c:v>-0.185</c:v>
                </c:pt>
                <c:pt idx="13">
                  <c:v>0.26500000000000001</c:v>
                </c:pt>
                <c:pt idx="14">
                  <c:v>0.69899999999999995</c:v>
                </c:pt>
                <c:pt idx="15">
                  <c:v>0.872</c:v>
                </c:pt>
              </c:numCache>
            </c:numRef>
          </c:val>
          <c:smooth val="0"/>
        </c:ser>
        <c:dLbls>
          <c:showLegendKey val="0"/>
          <c:showVal val="0"/>
          <c:showCatName val="0"/>
          <c:showSerName val="0"/>
          <c:showPercent val="0"/>
          <c:showBubbleSize val="0"/>
        </c:dLbls>
        <c:marker val="1"/>
        <c:smooth val="0"/>
        <c:axId val="137972352"/>
        <c:axId val="137970432"/>
      </c:lineChart>
      <c:catAx>
        <c:axId val="137962624"/>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7964160"/>
        <c:crosses val="autoZero"/>
        <c:auto val="1"/>
        <c:lblAlgn val="ctr"/>
        <c:lblOffset val="100"/>
        <c:tickLblSkip val="3"/>
        <c:noMultiLvlLbl val="0"/>
      </c:catAx>
      <c:valAx>
        <c:axId val="137964160"/>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7962624"/>
        <c:crosses val="autoZero"/>
        <c:crossBetween val="between"/>
        <c:majorUnit val="2"/>
        <c:minorUnit val="0.5"/>
      </c:valAx>
      <c:valAx>
        <c:axId val="137970432"/>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37972352"/>
        <c:crosses val="max"/>
        <c:crossBetween val="between"/>
        <c:majorUnit val="2"/>
        <c:minorUnit val="0.5"/>
      </c:valAx>
      <c:catAx>
        <c:axId val="137972352"/>
        <c:scaling>
          <c:orientation val="minMax"/>
        </c:scaling>
        <c:delete val="1"/>
        <c:axPos val="b"/>
        <c:numFmt formatCode="General" sourceLinked="1"/>
        <c:majorTickMark val="out"/>
        <c:minorTickMark val="none"/>
        <c:tickLblPos val="nextTo"/>
        <c:crossAx val="13797043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0.214</c:v>
                </c:pt>
                <c:pt idx="1">
                  <c:v>0.316</c:v>
                </c:pt>
                <c:pt idx="2">
                  <c:v>0.123</c:v>
                </c:pt>
                <c:pt idx="3">
                  <c:v>-2.7E-2</c:v>
                </c:pt>
                <c:pt idx="4">
                  <c:v>3.7999999999999999E-2</c:v>
                </c:pt>
                <c:pt idx="5">
                  <c:v>8.7999999999999995E-2</c:v>
                </c:pt>
                <c:pt idx="6">
                  <c:v>-9.9000000000000005E-2</c:v>
                </c:pt>
                <c:pt idx="7">
                  <c:v>-0.29599999999999999</c:v>
                </c:pt>
                <c:pt idx="8">
                  <c:v>-0.44400000000000001</c:v>
                </c:pt>
                <c:pt idx="9">
                  <c:v>-0.26500000000000001</c:v>
                </c:pt>
                <c:pt idx="10">
                  <c:v>-0.21299999999999999</c:v>
                </c:pt>
                <c:pt idx="11">
                  <c:v>-0.161</c:v>
                </c:pt>
                <c:pt idx="12">
                  <c:v>-0.36680000000000001</c:v>
                </c:pt>
                <c:pt idx="13">
                  <c:v>-0.21430000000000002</c:v>
                </c:pt>
                <c:pt idx="14">
                  <c:v>-0.24640000000000001</c:v>
                </c:pt>
                <c:pt idx="15">
                  <c:v>-0.1237</c:v>
                </c:pt>
              </c:numCache>
            </c:numRef>
          </c:val>
          <c:smooth val="0"/>
        </c:ser>
        <c:dLbls>
          <c:showLegendKey val="0"/>
          <c:showVal val="0"/>
          <c:showCatName val="0"/>
          <c:showSerName val="0"/>
          <c:showPercent val="0"/>
          <c:showBubbleSize val="0"/>
        </c:dLbls>
        <c:marker val="1"/>
        <c:smooth val="0"/>
        <c:axId val="137999488"/>
        <c:axId val="138001024"/>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0.16900000000000001</c:v>
                </c:pt>
                <c:pt idx="1">
                  <c:v>0.25</c:v>
                </c:pt>
                <c:pt idx="2">
                  <c:v>0.155</c:v>
                </c:pt>
                <c:pt idx="3">
                  <c:v>0.01</c:v>
                </c:pt>
                <c:pt idx="4">
                  <c:v>5.0000000000000001E-3</c:v>
                </c:pt>
                <c:pt idx="5">
                  <c:v>3.7999999999999999E-2</c:v>
                </c:pt>
                <c:pt idx="6">
                  <c:v>-7.8E-2</c:v>
                </c:pt>
                <c:pt idx="7">
                  <c:v>1.2999999999999999E-2</c:v>
                </c:pt>
                <c:pt idx="8">
                  <c:v>-2.1999999999999999E-2</c:v>
                </c:pt>
                <c:pt idx="9">
                  <c:v>-0.186</c:v>
                </c:pt>
                <c:pt idx="10">
                  <c:v>-0.316</c:v>
                </c:pt>
                <c:pt idx="11">
                  <c:v>-0.16500000000000001</c:v>
                </c:pt>
                <c:pt idx="12">
                  <c:v>-0.28560000000000002</c:v>
                </c:pt>
                <c:pt idx="13">
                  <c:v>-0.12520000000000001</c:v>
                </c:pt>
                <c:pt idx="14">
                  <c:v>-0.12529999999999999</c:v>
                </c:pt>
                <c:pt idx="15">
                  <c:v>-0.11799999999999999</c:v>
                </c:pt>
              </c:numCache>
            </c:numRef>
          </c:val>
          <c:smooth val="0"/>
        </c:ser>
        <c:dLbls>
          <c:showLegendKey val="0"/>
          <c:showVal val="0"/>
          <c:showCatName val="0"/>
          <c:showSerName val="0"/>
          <c:showPercent val="0"/>
          <c:showBubbleSize val="0"/>
        </c:dLbls>
        <c:marker val="1"/>
        <c:smooth val="0"/>
        <c:axId val="141843072"/>
        <c:axId val="141841152"/>
      </c:lineChart>
      <c:catAx>
        <c:axId val="137999488"/>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38001024"/>
        <c:crosses val="autoZero"/>
        <c:auto val="1"/>
        <c:lblAlgn val="ctr"/>
        <c:lblOffset val="100"/>
        <c:tickLblSkip val="3"/>
        <c:noMultiLvlLbl val="0"/>
      </c:catAx>
      <c:valAx>
        <c:axId val="138001024"/>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37999488"/>
        <c:crosses val="autoZero"/>
        <c:crossBetween val="between"/>
        <c:majorUnit val="2"/>
        <c:minorUnit val="0.5"/>
      </c:valAx>
      <c:valAx>
        <c:axId val="141841152"/>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1843072"/>
        <c:crosses val="max"/>
        <c:crossBetween val="between"/>
        <c:majorUnit val="2"/>
        <c:minorUnit val="0.5"/>
      </c:valAx>
      <c:catAx>
        <c:axId val="141843072"/>
        <c:scaling>
          <c:orientation val="minMax"/>
        </c:scaling>
        <c:delete val="1"/>
        <c:axPos val="b"/>
        <c:numFmt formatCode="General" sourceLinked="1"/>
        <c:majorTickMark val="out"/>
        <c:minorTickMark val="none"/>
        <c:tickLblPos val="nextTo"/>
        <c:crossAx val="14184115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7.8E-2</c:v>
                </c:pt>
                <c:pt idx="1">
                  <c:v>-0.12</c:v>
                </c:pt>
                <c:pt idx="2">
                  <c:v>-0.25</c:v>
                </c:pt>
                <c:pt idx="3">
                  <c:v>-0.107</c:v>
                </c:pt>
                <c:pt idx="4">
                  <c:v>6.0000000000000001E-3</c:v>
                </c:pt>
                <c:pt idx="5">
                  <c:v>0.14399999999999999</c:v>
                </c:pt>
                <c:pt idx="6">
                  <c:v>-0.153</c:v>
                </c:pt>
                <c:pt idx="7">
                  <c:v>-0.20200000000000001</c:v>
                </c:pt>
                <c:pt idx="8">
                  <c:v>-0.311</c:v>
                </c:pt>
                <c:pt idx="9">
                  <c:v>-0.33600000000000002</c:v>
                </c:pt>
                <c:pt idx="10">
                  <c:v>-0.755</c:v>
                </c:pt>
                <c:pt idx="11">
                  <c:v>-0.57499999999999996</c:v>
                </c:pt>
                <c:pt idx="12">
                  <c:v>-1.5766120000000001</c:v>
                </c:pt>
                <c:pt idx="13">
                  <c:v>-0.75863199999999997</c:v>
                </c:pt>
                <c:pt idx="14">
                  <c:v>-0.19697800000000001</c:v>
                </c:pt>
                <c:pt idx="15">
                  <c:v>-0.11994199999999999</c:v>
                </c:pt>
              </c:numCache>
            </c:numRef>
          </c:val>
          <c:smooth val="0"/>
        </c:ser>
        <c:dLbls>
          <c:showLegendKey val="0"/>
          <c:showVal val="0"/>
          <c:showCatName val="0"/>
          <c:showSerName val="0"/>
          <c:showPercent val="0"/>
          <c:showBubbleSize val="0"/>
        </c:dLbls>
        <c:marker val="1"/>
        <c:smooth val="0"/>
        <c:axId val="141874304"/>
        <c:axId val="141875840"/>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-6.3E-2</c:v>
                </c:pt>
                <c:pt idx="1">
                  <c:v>-0.28000000000000003</c:v>
                </c:pt>
                <c:pt idx="2">
                  <c:v>-0.35499999999999998</c:v>
                </c:pt>
                <c:pt idx="3">
                  <c:v>-0.13400000000000001</c:v>
                </c:pt>
                <c:pt idx="4">
                  <c:v>3.2000000000000001E-2</c:v>
                </c:pt>
                <c:pt idx="5">
                  <c:v>0.251</c:v>
                </c:pt>
                <c:pt idx="6">
                  <c:v>-6.7000000000000004E-2</c:v>
                </c:pt>
                <c:pt idx="7">
                  <c:v>8.5000000000000006E-2</c:v>
                </c:pt>
                <c:pt idx="8">
                  <c:v>2.8000000000000001E-2</c:v>
                </c:pt>
                <c:pt idx="9">
                  <c:v>4.2999999999999997E-2</c:v>
                </c:pt>
                <c:pt idx="10">
                  <c:v>-0.34599999999999997</c:v>
                </c:pt>
                <c:pt idx="11">
                  <c:v>-0.23300000000000001</c:v>
                </c:pt>
                <c:pt idx="12">
                  <c:v>-0.88024000000000002</c:v>
                </c:pt>
                <c:pt idx="13">
                  <c:v>-0.36508999999999997</c:v>
                </c:pt>
                <c:pt idx="14">
                  <c:v>-0.156608</c:v>
                </c:pt>
                <c:pt idx="15">
                  <c:v>-6.3392000000000004E-2</c:v>
                </c:pt>
              </c:numCache>
            </c:numRef>
          </c:val>
          <c:smooth val="0"/>
        </c:ser>
        <c:dLbls>
          <c:showLegendKey val="0"/>
          <c:showVal val="0"/>
          <c:showCatName val="0"/>
          <c:showSerName val="0"/>
          <c:showPercent val="0"/>
          <c:showBubbleSize val="0"/>
        </c:dLbls>
        <c:marker val="1"/>
        <c:smooth val="0"/>
        <c:axId val="141884032"/>
        <c:axId val="141882112"/>
      </c:lineChart>
      <c:catAx>
        <c:axId val="141874304"/>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41875840"/>
        <c:crosses val="autoZero"/>
        <c:auto val="1"/>
        <c:lblAlgn val="ctr"/>
        <c:lblOffset val="100"/>
        <c:tickLblSkip val="3"/>
        <c:noMultiLvlLbl val="0"/>
      </c:catAx>
      <c:valAx>
        <c:axId val="141875840"/>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1874304"/>
        <c:crosses val="autoZero"/>
        <c:crossBetween val="between"/>
        <c:majorUnit val="2"/>
        <c:minorUnit val="0.5"/>
      </c:valAx>
      <c:valAx>
        <c:axId val="141882112"/>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1884032"/>
        <c:crosses val="max"/>
        <c:crossBetween val="between"/>
        <c:majorUnit val="2"/>
        <c:minorUnit val="0.5"/>
      </c:valAx>
      <c:catAx>
        <c:axId val="141884032"/>
        <c:scaling>
          <c:orientation val="minMax"/>
        </c:scaling>
        <c:delete val="1"/>
        <c:axPos val="b"/>
        <c:numFmt formatCode="General" sourceLinked="1"/>
        <c:majorTickMark val="out"/>
        <c:minorTickMark val="none"/>
        <c:tickLblPos val="nextTo"/>
        <c:crossAx val="141882112"/>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50740740740744E-2"/>
          <c:y val="4.7510277777777776E-2"/>
          <c:w val="0.83776148148148144"/>
          <c:h val="0.76998827941865922"/>
        </c:manualLayout>
      </c:layout>
      <c:lineChart>
        <c:grouping val="standard"/>
        <c:varyColors val="0"/>
        <c:ser>
          <c:idx val="0"/>
          <c:order val="0"/>
          <c:tx>
            <c:strRef>
              <c:f>'Figures 1 -2'!$A$2</c:f>
              <c:strCache>
                <c:ptCount val="1"/>
                <c:pt idx="0">
                  <c:v>Fiscal balance</c:v>
                </c:pt>
              </c:strCache>
            </c:strRef>
          </c:tx>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1 -2'!$B$2:$Q$2</c:f>
              <c:numCache>
                <c:formatCode>0.0</c:formatCode>
                <c:ptCount val="16"/>
                <c:pt idx="0">
                  <c:v>-7.2999999999999995E-2</c:v>
                </c:pt>
                <c:pt idx="1">
                  <c:v>-2.7E-2</c:v>
                </c:pt>
                <c:pt idx="2">
                  <c:v>-5.7000000000000002E-2</c:v>
                </c:pt>
                <c:pt idx="3">
                  <c:v>-6.2E-2</c:v>
                </c:pt>
                <c:pt idx="4">
                  <c:v>7.3999999999999996E-2</c:v>
                </c:pt>
                <c:pt idx="5">
                  <c:v>0.19900000000000001</c:v>
                </c:pt>
                <c:pt idx="6">
                  <c:v>-2.3E-2</c:v>
                </c:pt>
                <c:pt idx="7">
                  <c:v>-4.1000000000000002E-2</c:v>
                </c:pt>
                <c:pt idx="8">
                  <c:v>-0.54900000000000004</c:v>
                </c:pt>
                <c:pt idx="9">
                  <c:v>-0.51</c:v>
                </c:pt>
                <c:pt idx="10">
                  <c:v>-0.316</c:v>
                </c:pt>
                <c:pt idx="11">
                  <c:v>-9.0937000000000004E-2</c:v>
                </c:pt>
                <c:pt idx="12">
                  <c:v>-0.60509500000000005</c:v>
                </c:pt>
                <c:pt idx="13">
                  <c:v>-5.1045E-2</c:v>
                </c:pt>
                <c:pt idx="14">
                  <c:v>-4.3090000000000003E-2</c:v>
                </c:pt>
                <c:pt idx="15">
                  <c:v>3.9249999999999997E-3</c:v>
                </c:pt>
              </c:numCache>
            </c:numRef>
          </c:val>
          <c:smooth val="0"/>
        </c:ser>
        <c:dLbls>
          <c:showLegendKey val="0"/>
          <c:showVal val="0"/>
          <c:showCatName val="0"/>
          <c:showSerName val="0"/>
          <c:showPercent val="0"/>
          <c:showBubbleSize val="0"/>
        </c:dLbls>
        <c:marker val="1"/>
        <c:smooth val="0"/>
        <c:axId val="142513280"/>
        <c:axId val="142514816"/>
      </c:lineChart>
      <c:lineChart>
        <c:grouping val="standard"/>
        <c:varyColors val="0"/>
        <c:ser>
          <c:idx val="1"/>
          <c:order val="1"/>
          <c:tx>
            <c:strRef>
              <c:f>'Figures 1 -2'!$A$3</c:f>
              <c:strCache>
                <c:ptCount val="1"/>
                <c:pt idx="0">
                  <c:v>Operating balance</c:v>
                </c:pt>
              </c:strCache>
            </c:strRef>
          </c:tx>
          <c:spPr>
            <a:ln>
              <a:solidFill>
                <a:schemeClr val="accent2"/>
              </a:solidFill>
              <a:prstDash val="solid"/>
            </a:ln>
          </c:spPr>
          <c:marker>
            <c:symbol val="none"/>
          </c:marker>
          <c:cat>
            <c:strRef>
              <c:f>'Figures 1 -2'!$B$1:$Q$1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'Figures 1 -2'!$B$3:$Q$3</c:f>
              <c:numCache>
                <c:formatCode>0.0</c:formatCode>
                <c:ptCount val="16"/>
                <c:pt idx="0">
                  <c:v>-2E-3</c:v>
                </c:pt>
                <c:pt idx="1">
                  <c:v>-4.4999999999999998E-2</c:v>
                </c:pt>
                <c:pt idx="2">
                  <c:v>-0.03</c:v>
                </c:pt>
                <c:pt idx="3">
                  <c:v>2.9000000000000001E-2</c:v>
                </c:pt>
                <c:pt idx="4">
                  <c:v>0.14499999999999999</c:v>
                </c:pt>
                <c:pt idx="5">
                  <c:v>0.34200000000000003</c:v>
                </c:pt>
                <c:pt idx="6">
                  <c:v>0.19</c:v>
                </c:pt>
                <c:pt idx="7">
                  <c:v>0.54100000000000004</c:v>
                </c:pt>
                <c:pt idx="8">
                  <c:v>0.19600000000000001</c:v>
                </c:pt>
                <c:pt idx="9">
                  <c:v>0.17899999999999999</c:v>
                </c:pt>
                <c:pt idx="10">
                  <c:v>-9.8000000000000004E-2</c:v>
                </c:pt>
                <c:pt idx="11">
                  <c:v>0.1191</c:v>
                </c:pt>
                <c:pt idx="12">
                  <c:v>0.13705000000000001</c:v>
                </c:pt>
                <c:pt idx="13">
                  <c:v>0.14885699999999999</c:v>
                </c:pt>
                <c:pt idx="14">
                  <c:v>0.121048</c:v>
                </c:pt>
                <c:pt idx="15">
                  <c:v>2.3536000000000001E-2</c:v>
                </c:pt>
              </c:numCache>
            </c:numRef>
          </c:val>
          <c:smooth val="0"/>
        </c:ser>
        <c:dLbls>
          <c:showLegendKey val="0"/>
          <c:showVal val="0"/>
          <c:showCatName val="0"/>
          <c:showSerName val="0"/>
          <c:showPercent val="0"/>
          <c:showBubbleSize val="0"/>
        </c:dLbls>
        <c:marker val="1"/>
        <c:smooth val="0"/>
        <c:axId val="142531200"/>
        <c:axId val="142529280"/>
      </c:lineChart>
      <c:catAx>
        <c:axId val="142513280"/>
        <c:scaling>
          <c:orientation val="minMax"/>
        </c:scaling>
        <c:delete val="0"/>
        <c:axPos val="b"/>
        <c:numFmt formatCode="General" sourceLinked="1"/>
        <c:majorTickMark val="out"/>
        <c:minorTickMark val="none"/>
        <c:tickLblPos val="low"/>
        <c:spPr>
          <a:ln w="12700">
            <a:solidFill>
              <a:srgbClr val="808080"/>
            </a:solidFill>
            <a:prstDash val="solid"/>
          </a:ln>
        </c:spPr>
        <c:txPr>
          <a:bodyPr/>
          <a:lstStyle/>
          <a:p>
            <a:pPr>
              <a:defRPr sz="700" b="0" i="0">
                <a:solidFill>
                  <a:srgbClr val="000000"/>
                </a:solidFill>
                <a:latin typeface="Arial"/>
                <a:ea typeface="Arial"/>
                <a:cs typeface="Arial"/>
              </a:defRPr>
            </a:pPr>
            <a:endParaRPr lang="en-US"/>
          </a:p>
        </c:txPr>
        <c:crossAx val="142514816"/>
        <c:crosses val="autoZero"/>
        <c:auto val="1"/>
        <c:lblAlgn val="ctr"/>
        <c:lblOffset val="100"/>
        <c:tickLblSkip val="3"/>
        <c:noMultiLvlLbl val="0"/>
      </c:catAx>
      <c:valAx>
        <c:axId val="142514816"/>
        <c:scaling>
          <c:orientation val="minMax"/>
          <c:max val="6"/>
          <c:min val="-8"/>
        </c:scaling>
        <c:delete val="0"/>
        <c:axPos val="l"/>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8.9370370370370364E-2"/>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2513280"/>
        <c:crosses val="autoZero"/>
        <c:crossBetween val="between"/>
        <c:majorUnit val="2"/>
        <c:minorUnit val="0.5"/>
      </c:valAx>
      <c:valAx>
        <c:axId val="142529280"/>
        <c:scaling>
          <c:orientation val="minMax"/>
          <c:max val="6"/>
          <c:min val="-8"/>
        </c:scaling>
        <c:delete val="0"/>
        <c:axPos val="r"/>
        <c:title>
          <c:tx>
            <c:rich>
              <a:bodyPr rot="0" vert="horz"/>
              <a:lstStyle/>
              <a:p>
                <a:pPr>
                  <a:defRPr sz="800" b="0" i="0">
                    <a:solidFill>
                      <a:srgbClr val="000000"/>
                    </a:solidFill>
                    <a:latin typeface="Arial"/>
                    <a:ea typeface="Arial"/>
                    <a:cs typeface="Arial"/>
                  </a:defRPr>
                </a:pPr>
                <a:r>
                  <a:rPr lang="en-AU"/>
                  <a:t>$billion</a:t>
                </a:r>
              </a:p>
            </c:rich>
          </c:tx>
          <c:layout>
            <c:manualLayout>
              <c:xMode val="edge"/>
              <c:yMode val="edge"/>
              <c:x val="0.75948674968071517"/>
              <c:y val="0"/>
            </c:manualLayout>
          </c:layout>
          <c:overlay val="0"/>
        </c:title>
        <c:numFmt formatCode="#,##0" sourceLinked="0"/>
        <c:majorTickMark val="out"/>
        <c:minorTickMark val="none"/>
        <c:tickLblPos val="nextTo"/>
        <c:spPr>
          <a:ln w="12700">
            <a:solidFill>
              <a:srgbClr val="808080"/>
            </a:solidFill>
            <a:prstDash val="solid"/>
          </a:ln>
        </c:spPr>
        <c:txPr>
          <a:bodyPr rot="-60000000" vert="horz"/>
          <a:lstStyle/>
          <a:p>
            <a:pPr>
              <a:defRPr sz="800" b="0" i="0">
                <a:solidFill>
                  <a:srgbClr val="000000"/>
                </a:solidFill>
                <a:latin typeface="Arial"/>
                <a:ea typeface="Arial"/>
                <a:cs typeface="Arial"/>
              </a:defRPr>
            </a:pPr>
            <a:endParaRPr lang="en-US"/>
          </a:p>
        </c:txPr>
        <c:crossAx val="142531200"/>
        <c:crosses val="max"/>
        <c:crossBetween val="between"/>
        <c:majorUnit val="2"/>
        <c:minorUnit val="0.5"/>
      </c:valAx>
      <c:catAx>
        <c:axId val="142531200"/>
        <c:scaling>
          <c:orientation val="minMax"/>
        </c:scaling>
        <c:delete val="1"/>
        <c:axPos val="b"/>
        <c:numFmt formatCode="General" sourceLinked="1"/>
        <c:majorTickMark val="out"/>
        <c:minorTickMark val="none"/>
        <c:tickLblPos val="nextTo"/>
        <c:crossAx val="142529280"/>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ayout>
        <c:manualLayout>
          <c:xMode val="edge"/>
          <c:yMode val="edge"/>
          <c:x val="0"/>
          <c:y val="0.91785806375996248"/>
          <c:w val="1"/>
          <c:h val="7.1558837318330987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rgbClr val="FFFFFF"/>
    </a:solidFill>
    <a:ln w="9525" cap="flat" cmpd="sng" algn="ctr">
      <a:noFill/>
      <a:prstDash val="solid"/>
      <a:round/>
    </a:ln>
    <a:effectLst/>
    <a:extLst>
      <a:ext uri="{91240B29-F687-4F45-9708-019B960494DF}">
        <a14:hiddenLine xmlns:a14="http://schemas.microsoft.com/office/drawing/2010/main" w="9525" cap="flat" cmpd="sng" algn="ctr">
          <a:solidFill>
            <a:srgbClr val="000000">
              <a:tint val="75000"/>
              <a:shade val="95000"/>
              <a:satMod val="105000"/>
            </a:srgbClr>
          </a:solidFill>
          <a:prstDash val="solid"/>
          <a:round/>
        </a14:hiddenLine>
      </a:ext>
    </a:extLst>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00753968253969"/>
          <c:y val="4.7510277777777776E-2"/>
          <c:w val="0.7344761904761905"/>
          <c:h val="0.59881138888888885"/>
        </c:manualLayout>
      </c:layout>
      <c:lineChart>
        <c:grouping val="standard"/>
        <c:varyColors val="0"/>
        <c:ser>
          <c:idx val="1"/>
          <c:order val="1"/>
          <c:tx>
            <c:strRef>
              <c:f>'\\Pbohome01\pbo-shared\PBO-Department\Fiscal Policy &amp; Analysis Division (FPAD)\National Fiscal Trends\Drafting\Revenue\[Revenue.xlsx]Figure 2.7'!$A$40</c:f>
              <c:strCache>
                <c:ptCount val="1"/>
                <c:pt idx="0">
                  <c:v>WA royalties (lhs)</c:v>
                </c:pt>
              </c:strCache>
            </c:strRef>
          </c:tx>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2.7'!$B$40:$Q$40</c:f>
              <c:numCache>
                <c:formatCode>General</c:formatCode>
                <c:ptCount val="16"/>
                <c:pt idx="0">
                  <c:v>8.552910049606878E-2</c:v>
                </c:pt>
                <c:pt idx="1">
                  <c:v>7.5907494994631924E-2</c:v>
                </c:pt>
                <c:pt idx="2">
                  <c:v>9.1187157031657459E-2</c:v>
                </c:pt>
                <c:pt idx="3">
                  <c:v>0.11864095978933213</c:v>
                </c:pt>
                <c:pt idx="4">
                  <c:v>0.13504711930143473</c:v>
                </c:pt>
                <c:pt idx="5">
                  <c:v>0.1412906412134193</c:v>
                </c:pt>
                <c:pt idx="6">
                  <c:v>0.18456783941167212</c:v>
                </c:pt>
                <c:pt idx="7">
                  <c:v>0.17881853199014916</c:v>
                </c:pt>
                <c:pt idx="8">
                  <c:v>0.29875023528534339</c:v>
                </c:pt>
                <c:pt idx="9">
                  <c:v>0.29152677234568164</c:v>
                </c:pt>
                <c:pt idx="10">
                  <c:v>0.29074048748671877</c:v>
                </c:pt>
                <c:pt idx="11">
                  <c:v>0.38076543648358541</c:v>
                </c:pt>
                <c:pt idx="12">
                  <c:v>0.27176164112051565</c:v>
                </c:pt>
                <c:pt idx="13">
                  <c:v>0.30878202924531395</c:v>
                </c:pt>
                <c:pt idx="14">
                  <c:v>0.31749209904198322</c:v>
                </c:pt>
                <c:pt idx="15">
                  <c:v>0.32186110750552149</c:v>
                </c:pt>
              </c:numCache>
            </c:numRef>
          </c:val>
          <c:smooth val="0"/>
        </c:ser>
        <c:dLbls>
          <c:showLegendKey val="0"/>
          <c:showVal val="0"/>
          <c:showCatName val="0"/>
          <c:showSerName val="0"/>
          <c:showPercent val="0"/>
          <c:showBubbleSize val="0"/>
        </c:dLbls>
        <c:marker val="1"/>
        <c:smooth val="0"/>
        <c:axId val="143188352"/>
        <c:axId val="143189888"/>
      </c:lineChart>
      <c:lineChart>
        <c:grouping val="standard"/>
        <c:varyColors val="0"/>
        <c:ser>
          <c:idx val="0"/>
          <c:order val="0"/>
          <c:tx>
            <c:strRef>
              <c:f>'\\Pbohome01\pbo-shared\PBO-Department\Fiscal Policy &amp; Analysis Division (FPAD)\National Fiscal Trends\Drafting\Revenue\[Revenue.xlsx]Figure 2.7'!$A$37</c:f>
              <c:strCache>
                <c:ptCount val="1"/>
                <c:pt idx="0">
                  <c:v>Iron ore price (rhs)</c:v>
                </c:pt>
              </c:strCache>
            </c:strRef>
          </c:tx>
          <c:spPr>
            <a:ln>
              <a:prstDash val="sysDash"/>
            </a:ln>
          </c:spPr>
          <c:marker>
            <c:symbol val="none"/>
          </c:marker>
          <c:cat>
            <c:strRef>
              <c:f>'\\Pbohome01\pbo-shared\PBO-Department\Fiscal Policy &amp; Analysis Division (FPAD)\National Fiscal Trends\Drafting\Revenue\[Revenue.xlsx]Figure 2.7'!$B$1:$Q$1</c:f>
              <c:strCache>
                <c:ptCount val="16"/>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strCache>
            </c:strRef>
          </c:cat>
          <c:val>
            <c:numRef>
              <c:f>'\\Pbohome01\pbo-shared\PBO-Department\Fiscal Policy &amp; Analysis Division (FPAD)\National Fiscal Trends\Drafting\Revenue\[Revenue.xlsx]Figure 2.7'!$B$37:$Q$37</c:f>
              <c:numCache>
                <c:formatCode>General</c:formatCode>
                <c:ptCount val="16"/>
                <c:pt idx="0">
                  <c:v>31.09852926018651</c:v>
                </c:pt>
                <c:pt idx="1">
                  <c:v>28.256543015949099</c:v>
                </c:pt>
                <c:pt idx="2">
                  <c:v>37.103520629746733</c:v>
                </c:pt>
                <c:pt idx="3">
                  <c:v>52.310452525944534</c:v>
                </c:pt>
                <c:pt idx="4">
                  <c:v>58.954718955175203</c:v>
                </c:pt>
                <c:pt idx="5">
                  <c:v>71.729892686803879</c:v>
                </c:pt>
                <c:pt idx="6">
                  <c:v>98.473419019623748</c:v>
                </c:pt>
                <c:pt idx="7">
                  <c:v>101.75109061299341</c:v>
                </c:pt>
                <c:pt idx="8">
                  <c:v>134.30609397832825</c:v>
                </c:pt>
                <c:pt idx="9">
                  <c:v>133.07044597102544</c:v>
                </c:pt>
                <c:pt idx="10">
                  <c:v>120.46313885697627</c:v>
                </c:pt>
                <c:pt idx="11">
                  <c:v>116.42595093961965</c:v>
                </c:pt>
                <c:pt idx="12">
                  <c:v>88.567523609005121</c:v>
                </c:pt>
                <c:pt idx="13">
                  <c:v>75.612903225806448</c:v>
                </c:pt>
                <c:pt idx="14">
                  <c:v>79.346405228758158</c:v>
                </c:pt>
                <c:pt idx="15">
                  <c:v>89.671052631578959</c:v>
                </c:pt>
              </c:numCache>
            </c:numRef>
          </c:val>
          <c:smooth val="0"/>
        </c:ser>
        <c:dLbls>
          <c:showLegendKey val="0"/>
          <c:showVal val="0"/>
          <c:showCatName val="0"/>
          <c:showSerName val="0"/>
          <c:showPercent val="0"/>
          <c:showBubbleSize val="0"/>
        </c:dLbls>
        <c:marker val="1"/>
        <c:smooth val="0"/>
        <c:axId val="143263616"/>
        <c:axId val="143261696"/>
      </c:lineChart>
      <c:scatterChart>
        <c:scatterStyle val="lineMarker"/>
        <c:varyColors val="0"/>
        <c:ser>
          <c:idx val="2"/>
          <c:order val="2"/>
          <c:tx>
            <c:v>Vertical line</c:v>
          </c:tx>
          <c:spPr>
            <a:ln w="6350">
              <a:solidFill>
                <a:schemeClr val="tx1"/>
              </a:solidFill>
              <a:prstDash val="dash"/>
            </a:ln>
          </c:spPr>
          <c:marker>
            <c:symbol val="none"/>
          </c:marker>
          <c:xVal>
            <c:numRef>
              <c:f>'\\Pbohome01\pbo-shared\PBO-Department\Fiscal Policy &amp; Analysis Division (FPAD)\National Fiscal Trends\Drafting\Revenue\[Revenue.xlsx]Figure 2.7'!$K$48:$L$48</c:f>
              <c:numCache>
                <c:formatCode>General</c:formatCode>
                <c:ptCount val="2"/>
                <c:pt idx="0">
                  <c:v>11</c:v>
                </c:pt>
                <c:pt idx="1">
                  <c:v>11</c:v>
                </c:pt>
              </c:numCache>
            </c:numRef>
          </c:xVal>
          <c:yVal>
            <c:numRef>
              <c:f>'\\Pbohome01\pbo-shared\PBO-Department\Fiscal Policy &amp; Analysis Division (FPAD)\National Fiscal Trends\Drafting\Revenue\[Revenue.xlsx]Figure 2.7'!$K$49:$L$49</c:f>
              <c:numCache>
                <c:formatCode>General</c:formatCode>
                <c:ptCount val="2"/>
                <c:pt idx="0">
                  <c:v>0</c:v>
                </c:pt>
                <c:pt idx="1">
                  <c:v>350</c:v>
                </c:pt>
              </c:numCache>
            </c:numRef>
          </c:yVal>
          <c:smooth val="0"/>
        </c:ser>
        <c:dLbls>
          <c:showLegendKey val="0"/>
          <c:showVal val="0"/>
          <c:showCatName val="0"/>
          <c:showSerName val="0"/>
          <c:showPercent val="0"/>
          <c:showBubbleSize val="0"/>
        </c:dLbls>
        <c:axId val="143263616"/>
        <c:axId val="143261696"/>
      </c:scatterChart>
      <c:catAx>
        <c:axId val="143188352"/>
        <c:scaling>
          <c:orientation val="minMax"/>
        </c:scaling>
        <c:delete val="0"/>
        <c:axPos val="b"/>
        <c:majorTickMark val="out"/>
        <c:minorTickMark val="none"/>
        <c:tickLblPos val="low"/>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189888"/>
        <c:crosses val="autoZero"/>
        <c:auto val="1"/>
        <c:lblAlgn val="ctr"/>
        <c:lblOffset val="100"/>
        <c:tickLblSkip val="3"/>
        <c:noMultiLvlLbl val="0"/>
      </c:catAx>
      <c:valAx>
        <c:axId val="143189888"/>
        <c:scaling>
          <c:orientation val="minMax"/>
          <c:max val="0.45"/>
        </c:scaling>
        <c:delete val="0"/>
        <c:axPos val="l"/>
        <c:title>
          <c:tx>
            <c:rich>
              <a:bodyPr rot="0" vert="horz"/>
              <a:lstStyle/>
              <a:p>
                <a:pPr>
                  <a:defRPr sz="800" b="0" i="0">
                    <a:latin typeface="Arial"/>
                    <a:ea typeface="Arial"/>
                    <a:cs typeface="Arial"/>
                  </a:defRPr>
                </a:pPr>
                <a:r>
                  <a:rPr lang="en-US"/>
                  <a:t>Per cent of GDP</a:t>
                </a:r>
              </a:p>
            </c:rich>
          </c:tx>
          <c:layout>
            <c:manualLayout>
              <c:xMode val="edge"/>
              <c:yMode val="edge"/>
              <c:x val="0.17134920634920636"/>
              <c:y val="0"/>
            </c:manualLayout>
          </c:layout>
          <c:overlay val="0"/>
        </c:title>
        <c:numFmt formatCode="#,##0.0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188352"/>
        <c:crosses val="autoZero"/>
        <c:crossBetween val="between"/>
      </c:valAx>
      <c:valAx>
        <c:axId val="143261696"/>
        <c:scaling>
          <c:orientation val="minMax"/>
          <c:max val="160"/>
        </c:scaling>
        <c:delete val="0"/>
        <c:axPos val="r"/>
        <c:title>
          <c:tx>
            <c:rich>
              <a:bodyPr rot="0" vert="horz"/>
              <a:lstStyle/>
              <a:p>
                <a:pPr>
                  <a:defRPr sz="800" b="0" i="0">
                    <a:latin typeface="Arial"/>
                    <a:ea typeface="Arial"/>
                    <a:cs typeface="Arial"/>
                  </a:defRPr>
                </a:pPr>
                <a:r>
                  <a:rPr lang="en-US"/>
                  <a:t>AU$/t</a:t>
                </a:r>
              </a:p>
            </c:rich>
          </c:tx>
          <c:layout>
            <c:manualLayout>
              <c:xMode val="edge"/>
              <c:yMode val="edge"/>
              <c:x val="0.75625595238095233"/>
              <c:y val="0"/>
            </c:manualLayout>
          </c:layout>
          <c:overlay val="0"/>
        </c:title>
        <c:numFmt formatCode="#,##0" sourceLinked="0"/>
        <c:majorTickMark val="out"/>
        <c:minorTickMark val="none"/>
        <c:tickLblPos val="nextTo"/>
        <c:spPr>
          <a:ln w="12700">
            <a:solidFill>
              <a:srgbClr val="808080"/>
            </a:solidFill>
            <a:prstDash val="solid"/>
          </a:ln>
        </c:spPr>
        <c:txPr>
          <a:bodyPr/>
          <a:lstStyle/>
          <a:p>
            <a:pPr>
              <a:defRPr sz="800" b="0" i="0">
                <a:solidFill>
                  <a:srgbClr val="000000"/>
                </a:solidFill>
                <a:latin typeface="Arial"/>
                <a:ea typeface="Arial"/>
                <a:cs typeface="Arial"/>
              </a:defRPr>
            </a:pPr>
            <a:endParaRPr lang="en-US"/>
          </a:p>
        </c:txPr>
        <c:crossAx val="143263616"/>
        <c:crosses val="max"/>
        <c:crossBetween val="between"/>
      </c:valAx>
      <c:catAx>
        <c:axId val="143263616"/>
        <c:scaling>
          <c:orientation val="minMax"/>
        </c:scaling>
        <c:delete val="1"/>
        <c:axPos val="b"/>
        <c:majorTickMark val="out"/>
        <c:minorTickMark val="none"/>
        <c:tickLblPos val="nextTo"/>
        <c:crossAx val="143261696"/>
        <c:crosses val="autoZero"/>
        <c:auto val="1"/>
        <c:lblAlgn val="ctr"/>
        <c:lblOffset val="100"/>
        <c:noMultiLvlLbl val="0"/>
      </c:catAx>
      <c:spPr>
        <a:solidFill>
          <a:srgbClr val="FFFFFF"/>
        </a:solidFill>
        <a:ln>
          <a:noFill/>
          <a:round/>
        </a:ln>
        <a:effectLst/>
        <a:extLst>
          <a:ext uri="{91240B29-F687-4F45-9708-019B960494DF}">
            <a14:hiddenLine xmlns:a14="http://schemas.microsoft.com/office/drawing/2010/main">
              <a:noFill/>
              <a:round/>
            </a14:hiddenLine>
          </a:ext>
        </a:extLst>
      </c:spPr>
    </c:plotArea>
    <c:legend>
      <c:legendPos val="b"/>
      <c:legendEntry>
        <c:idx val="2"/>
        <c:delete val="1"/>
      </c:legendEntry>
      <c:layout>
        <c:manualLayout>
          <c:xMode val="edge"/>
          <c:yMode val="edge"/>
          <c:x val="6.0476190476190475E-2"/>
          <c:y val="0.79824222222222219"/>
          <c:w val="0.88408730158730153"/>
          <c:h val="0.13825777777777778"/>
        </c:manualLayout>
      </c:layout>
      <c:overlay val="0"/>
      <c:spPr>
        <a:noFill/>
        <a:ln w="25400">
          <a:noFill/>
        </a:ln>
      </c:spPr>
      <c:txPr>
        <a:bodyPr/>
        <a:lstStyle/>
        <a:p>
          <a:pPr>
            <a:defRPr sz="800">
              <a:latin typeface="Arial"/>
              <a:ea typeface="Arial"/>
              <a:cs typeface="Arial"/>
            </a:defRPr>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0.63666</cdr:x>
      <cdr:y>0.04378</cdr:y>
    </cdr:from>
    <cdr:to>
      <cdr:x>0.63666</cdr:x>
      <cdr:y>0.82378</cdr:y>
    </cdr:to>
    <cdr:cxnSp macro="">
      <cdr:nvCxnSpPr>
        <cdr:cNvPr id="2" name="Straight Connector 1"/>
        <cdr:cNvCxnSpPr/>
      </cdr:nvCxnSpPr>
      <cdr:spPr>
        <a:xfrm xmlns:a="http://schemas.openxmlformats.org/drawingml/2006/main">
          <a:off x="1718982" y="157608"/>
          <a:ext cx="0" cy="2808000"/>
        </a:xfrm>
        <a:prstGeom xmlns:a="http://schemas.openxmlformats.org/drawingml/2006/main" prst="line">
          <a:avLst/>
        </a:prstGeom>
        <a:ln xmlns:a="http://schemas.openxmlformats.org/drawingml/2006/main" w="6350">
          <a:solidFill>
            <a:srgbClr val="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60FEDB8EF4B47F5B8759F6AEF410E02"/>
        <w:category>
          <w:name w:val="General"/>
          <w:gallery w:val="placeholder"/>
        </w:category>
        <w:types>
          <w:type w:val="bbPlcHdr"/>
        </w:types>
        <w:behaviors>
          <w:behavior w:val="content"/>
        </w:behaviors>
        <w:guid w:val="{01A53FB0-8047-4B73-A647-C7091CC8E90B}"/>
      </w:docPartPr>
      <w:docPartBody>
        <w:p w:rsidR="0046563F" w:rsidRDefault="0046563F">
          <w:pPr>
            <w:pStyle w:val="060FEDB8EF4B47F5B8759F6AEF410E02"/>
          </w:pPr>
          <w:r w:rsidRPr="004F70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63F"/>
    <w:rsid w:val="00031076"/>
    <w:rsid w:val="000A0D39"/>
    <w:rsid w:val="000A1E4F"/>
    <w:rsid w:val="00147FF2"/>
    <w:rsid w:val="001C724F"/>
    <w:rsid w:val="001E2D1A"/>
    <w:rsid w:val="0027512B"/>
    <w:rsid w:val="002C6F2A"/>
    <w:rsid w:val="003B734C"/>
    <w:rsid w:val="00442A25"/>
    <w:rsid w:val="0046563F"/>
    <w:rsid w:val="00473454"/>
    <w:rsid w:val="00571271"/>
    <w:rsid w:val="005A1A54"/>
    <w:rsid w:val="005C29EB"/>
    <w:rsid w:val="00635974"/>
    <w:rsid w:val="00741013"/>
    <w:rsid w:val="00791D41"/>
    <w:rsid w:val="007C0784"/>
    <w:rsid w:val="008454B9"/>
    <w:rsid w:val="00874464"/>
    <w:rsid w:val="00910C1D"/>
    <w:rsid w:val="00954E66"/>
    <w:rsid w:val="00955D71"/>
    <w:rsid w:val="009F29E4"/>
    <w:rsid w:val="00A437A3"/>
    <w:rsid w:val="00A8684F"/>
    <w:rsid w:val="00AE3F08"/>
    <w:rsid w:val="00AF37F5"/>
    <w:rsid w:val="00AF6C15"/>
    <w:rsid w:val="00BA22D6"/>
    <w:rsid w:val="00BA6FCE"/>
    <w:rsid w:val="00CA458F"/>
    <w:rsid w:val="00CF2C0C"/>
    <w:rsid w:val="00D839B3"/>
    <w:rsid w:val="00DD64B1"/>
    <w:rsid w:val="00DE5EF5"/>
    <w:rsid w:val="00E00645"/>
    <w:rsid w:val="00E81D42"/>
    <w:rsid w:val="00ED76F6"/>
    <w:rsid w:val="00FE4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60FEDB8EF4B47F5B8759F6AEF410E02">
    <w:name w:val="060FEDB8EF4B47F5B8759F6AEF410E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060FEDB8EF4B47F5B8759F6AEF410E02">
    <w:name w:val="060FEDB8EF4B47F5B8759F6AEF410E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BO v1">
      <a:dk1>
        <a:srgbClr val="000000"/>
      </a:dk1>
      <a:lt1>
        <a:srgbClr val="FFFFFF"/>
      </a:lt1>
      <a:dk2>
        <a:srgbClr val="2B3B5F"/>
      </a:dk2>
      <a:lt2>
        <a:srgbClr val="788184"/>
      </a:lt2>
      <a:accent1>
        <a:srgbClr val="2B3B5F"/>
      </a:accent1>
      <a:accent2>
        <a:srgbClr val="95A4C6"/>
      </a:accent2>
      <a:accent3>
        <a:srgbClr val="D7DDE9"/>
      </a:accent3>
      <a:accent4>
        <a:srgbClr val="751D71"/>
      </a:accent4>
      <a:accent5>
        <a:srgbClr val="B267B3"/>
      </a:accent5>
      <a:accent6>
        <a:srgbClr val="788184"/>
      </a:accent6>
      <a:hlink>
        <a:srgbClr val="000000"/>
      </a:hlink>
      <a:folHlink>
        <a:srgbClr val="000000"/>
      </a:folHlink>
    </a:clrScheme>
    <a:fontScheme name="PBO v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9FC4F-397C-48C4-8073-000B3B97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Report.dotm</Template>
  <TotalTime>1</TotalTime>
  <Pages>81</Pages>
  <Words>22033</Words>
  <Characters>125592</Characters>
  <Application>Microsoft Office Word</Application>
  <DocSecurity>4</DocSecurity>
  <Lines>1046</Lines>
  <Paragraphs>294</Paragraphs>
  <ScaleCrop>false</ScaleCrop>
  <HeadingPairs>
    <vt:vector size="2" baseType="variant">
      <vt:variant>
        <vt:lpstr>Title</vt:lpstr>
      </vt:variant>
      <vt:variant>
        <vt:i4>1</vt:i4>
      </vt:variant>
    </vt:vector>
  </HeadingPairs>
  <TitlesOfParts>
    <vt:vector size="1" baseType="lpstr">
      <vt:lpstr>National fiscal trends</vt:lpstr>
    </vt:vector>
  </TitlesOfParts>
  <Company>Parliament of Australia</Company>
  <LinksUpToDate>false</LinksUpToDate>
  <CharactersWithSpaces>147331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fiscal trends</dc:title>
  <dc:creator>Parliamentary Budget Office</dc:creator>
  <cp:lastModifiedBy>Milligan, Louise (PBO)</cp:lastModifiedBy>
  <cp:revision>2</cp:revision>
  <cp:lastPrinted>2015-04-29T03:45:00Z</cp:lastPrinted>
  <dcterms:created xsi:type="dcterms:W3CDTF">2015-05-01T01:42:00Z</dcterms:created>
  <dcterms:modified xsi:type="dcterms:W3CDTF">2015-05-01T01:42:00Z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N</vt:lpwstr>
  </property>
  <property fmtid="{D5CDD505-2E9C-101B-9397-08002B2CF9AE}" pid="4" name="xTOCH3">
    <vt:lpwstr>N</vt:lpwstr>
  </property>
  <property fmtid="{D5CDD505-2E9C-101B-9397-08002B2CF9AE}" pid="5" name="xTOCTable">
    <vt:lpwstr>S</vt:lpwstr>
  </property>
  <property fmtid="{D5CDD505-2E9C-101B-9397-08002B2CF9AE}" pid="6" name="xTOCFigure">
    <vt:lpwstr>S</vt:lpwstr>
  </property>
  <property fmtid="{D5CDD505-2E9C-101B-9397-08002B2CF9AE}" pid="7" name="xTOCApp">
    <vt:lpwstr>S</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_MarkAsFinal">
    <vt:bool>true</vt:bool>
  </property>
</Properties>
</file>