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Default="00961DBB" w:rsidP="00961DBB"/>
    <w:p w:rsidR="00BF3333" w:rsidRDefault="00BF3333" w:rsidP="00961DBB"/>
    <w:tbl>
      <w:tblPr>
        <w:tblStyle w:val="TableAsPlaceholder1"/>
        <w:tblpPr w:leftFromText="181" w:rightFromText="181" w:vertAnchor="page" w:horzAnchor="margin" w:tblpY="5779"/>
        <w:tblOverlap w:val="never"/>
        <w:tblW w:w="8277" w:type="dxa"/>
        <w:tblLayout w:type="fixed"/>
        <w:tblLook w:val="04A0" w:firstRow="1" w:lastRow="0" w:firstColumn="1" w:lastColumn="0" w:noHBand="0" w:noVBand="1"/>
      </w:tblPr>
      <w:tblGrid>
        <w:gridCol w:w="8277"/>
      </w:tblGrid>
      <w:tr w:rsidR="00BF3333" w:rsidRPr="00BF3333" w:rsidTr="00146D01">
        <w:trPr>
          <w:trHeight w:val="907"/>
        </w:trPr>
        <w:tc>
          <w:tcPr>
            <w:tcW w:w="8277" w:type="dxa"/>
          </w:tcPr>
          <w:p w:rsidR="00BF3333" w:rsidRPr="00BF3333" w:rsidRDefault="00BF3333" w:rsidP="00BF3333">
            <w:pPr>
              <w:spacing w:after="100" w:line="264" w:lineRule="auto"/>
              <w:jc w:val="right"/>
              <w:rPr>
                <w:rFonts w:asciiTheme="majorHAnsi" w:eastAsiaTheme="majorEastAsia" w:hAnsiTheme="majorHAnsi" w:cstheme="majorBidi"/>
                <w:color w:val="2B3B5F" w:themeColor="text2"/>
                <w:spacing w:val="-2"/>
                <w:sz w:val="50"/>
                <w:szCs w:val="50"/>
              </w:rPr>
            </w:pPr>
            <w:r w:rsidRPr="00BF3333">
              <w:rPr>
                <w:rFonts w:asciiTheme="majorHAnsi" w:eastAsiaTheme="majorEastAsia" w:hAnsiTheme="majorHAnsi" w:cstheme="majorBidi"/>
                <w:color w:val="2B3B5F" w:themeColor="text2"/>
                <w:spacing w:val="-2"/>
                <w:sz w:val="50"/>
                <w:szCs w:val="50"/>
              </w:rPr>
              <w:t xml:space="preserve">PBO costing processes, timeframes </w:t>
            </w:r>
          </w:p>
          <w:p w:rsidR="00BF3333" w:rsidRPr="00BF3333" w:rsidRDefault="00BF3333" w:rsidP="00BF3333">
            <w:pPr>
              <w:spacing w:after="100" w:line="264" w:lineRule="auto"/>
              <w:jc w:val="right"/>
              <w:rPr>
                <w:rFonts w:asciiTheme="majorHAnsi" w:eastAsiaTheme="majorEastAsia" w:hAnsiTheme="majorHAnsi" w:cstheme="majorBidi"/>
                <w:color w:val="2B3B5F" w:themeColor="text2"/>
                <w:spacing w:val="-2"/>
                <w:sz w:val="50"/>
                <w:szCs w:val="50"/>
              </w:rPr>
            </w:pPr>
            <w:r w:rsidRPr="00BF3333">
              <w:rPr>
                <w:rFonts w:asciiTheme="majorHAnsi" w:eastAsiaTheme="majorEastAsia" w:hAnsiTheme="majorHAnsi" w:cstheme="majorBidi"/>
                <w:color w:val="2B3B5F" w:themeColor="text2"/>
                <w:spacing w:val="-2"/>
                <w:sz w:val="50"/>
                <w:szCs w:val="50"/>
              </w:rPr>
              <w:t>and prioritisation framework</w:t>
            </w:r>
          </w:p>
        </w:tc>
      </w:tr>
      <w:tr w:rsidR="00BF3333" w:rsidRPr="00BF3333" w:rsidTr="00146D01">
        <w:trPr>
          <w:trHeight w:val="680"/>
        </w:trPr>
        <w:tc>
          <w:tcPr>
            <w:tcW w:w="8277" w:type="dxa"/>
            <w:vAlign w:val="center"/>
          </w:tcPr>
          <w:p w:rsidR="00BF3333" w:rsidRPr="00BF3333" w:rsidRDefault="00BF3333" w:rsidP="00440974">
            <w:pPr>
              <w:ind w:left="397"/>
              <w:jc w:val="right"/>
              <w:rPr>
                <w:rFonts w:asciiTheme="majorHAnsi" w:hAnsiTheme="majorHAnsi"/>
                <w:i/>
                <w:color w:val="FFFFFF"/>
                <w:spacing w:val="-2"/>
                <w:sz w:val="32"/>
              </w:rPr>
            </w:pPr>
            <w:r w:rsidRPr="00BF3333">
              <w:rPr>
                <w:rFonts w:asciiTheme="majorHAnsi" w:hAnsiTheme="majorHAnsi"/>
                <w:i/>
                <w:color w:val="FFFFFF"/>
                <w:spacing w:val="-2"/>
                <w:sz w:val="32"/>
              </w:rPr>
              <w:t>Information paper no.</w:t>
            </w:r>
            <w:bookmarkStart w:id="0" w:name="_GoBack"/>
            <w:bookmarkEnd w:id="0"/>
            <w:r w:rsidRPr="00BF3333">
              <w:rPr>
                <w:rFonts w:asciiTheme="majorHAnsi" w:hAnsiTheme="majorHAnsi"/>
                <w:i/>
                <w:color w:val="FFFFFF"/>
                <w:spacing w:val="-2"/>
                <w:sz w:val="32"/>
              </w:rPr>
              <w:t xml:space="preserve"> 01/2018</w:t>
            </w:r>
          </w:p>
        </w:tc>
      </w:tr>
      <w:tr w:rsidR="00BF3333" w:rsidRPr="00BF3333" w:rsidTr="00146D01">
        <w:trPr>
          <w:trHeight w:val="765"/>
        </w:trPr>
        <w:tc>
          <w:tcPr>
            <w:tcW w:w="8277" w:type="dxa"/>
            <w:vAlign w:val="center"/>
          </w:tcPr>
          <w:p w:rsidR="00BF3333" w:rsidRPr="00BF3333" w:rsidRDefault="00BF3333" w:rsidP="00BF3333">
            <w:pPr>
              <w:ind w:left="397"/>
              <w:jc w:val="right"/>
              <w:rPr>
                <w:rFonts w:asciiTheme="majorHAnsi" w:hAnsiTheme="majorHAnsi"/>
                <w:i/>
                <w:color w:val="FFFFFF"/>
                <w:spacing w:val="8"/>
                <w:sz w:val="32"/>
              </w:rPr>
            </w:pPr>
            <w:r w:rsidRPr="00BF3333">
              <w:rPr>
                <w:rFonts w:asciiTheme="majorHAnsi" w:hAnsiTheme="majorHAnsi"/>
                <w:i/>
                <w:color w:val="FFFFFF"/>
                <w:spacing w:val="8"/>
                <w:sz w:val="32"/>
              </w:rPr>
              <w:t>Date issued: 15 February 2018</w:t>
            </w:r>
          </w:p>
        </w:tc>
      </w:tr>
    </w:tbl>
    <w:p w:rsidR="00961DBB" w:rsidRDefault="00961DBB">
      <w:pPr>
        <w:sectPr w:rsidR="00961DBB" w:rsidSect="009057D9">
          <w:headerReference w:type="even" r:id="rId9"/>
          <w:headerReference w:type="default" r:id="rId10"/>
          <w:headerReference w:type="first" r:id="rId11"/>
          <w:pgSz w:w="11906" w:h="16838" w:code="9"/>
          <w:pgMar w:top="1361" w:right="1797" w:bottom="1474" w:left="1797" w:header="284" w:footer="454" w:gutter="0"/>
          <w:cols w:space="708"/>
          <w:titlePg/>
          <w:docGrid w:linePitch="360"/>
        </w:sectPr>
      </w:pPr>
    </w:p>
    <w:p w:rsidR="00961DBB" w:rsidRDefault="00961DBB" w:rsidP="00961DBB"/>
    <w:tbl>
      <w:tblPr>
        <w:tblStyle w:val="TableAsPlaceholde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220"/>
      </w:tblGrid>
      <w:tr w:rsidR="00961DBB" w:rsidTr="0087390B">
        <w:trPr>
          <w:trHeight w:val="8165"/>
        </w:trPr>
        <w:tc>
          <w:tcPr>
            <w:tcW w:w="8220" w:type="dxa"/>
            <w:vAlign w:val="bottom"/>
          </w:tcPr>
          <w:p w:rsidR="00961DBB" w:rsidRPr="00C77B5C" w:rsidRDefault="00961DBB" w:rsidP="00BB5013">
            <w:pPr>
              <w:pStyle w:val="xDisclaimerText2"/>
              <w:framePr w:hSpace="0" w:wrap="auto" w:hAnchor="text" w:yAlign="inline"/>
              <w:suppressOverlap w:val="0"/>
            </w:pPr>
            <w:bookmarkStart w:id="1" w:name="_DisclaimerMarker"/>
            <w:bookmarkEnd w:id="1"/>
            <w:r w:rsidRPr="00C77B5C">
              <w:t xml:space="preserve">© </w:t>
            </w:r>
            <w:r w:rsidRPr="0087390B">
              <w:t>Commonwealth</w:t>
            </w:r>
            <w:r w:rsidRPr="00C77B5C">
              <w:t xml:space="preserve"> of Australia</w:t>
            </w:r>
            <w:r w:rsidR="00F20647">
              <w:t xml:space="preserve"> </w:t>
            </w:r>
            <w:r w:rsidR="00C74F6A">
              <w:t>201</w:t>
            </w:r>
            <w:r w:rsidR="00607DE9">
              <w:t>8</w:t>
            </w:r>
          </w:p>
          <w:p w:rsidR="00961DBB" w:rsidRPr="0087390B" w:rsidRDefault="00961DBB" w:rsidP="00BB5013">
            <w:pPr>
              <w:pStyle w:val="xDisclaimerText"/>
            </w:pPr>
            <w:r w:rsidRPr="00C77B5C">
              <w:t>IS</w:t>
            </w:r>
            <w:r w:rsidR="005B68BA">
              <w:t>B</w:t>
            </w:r>
            <w:r w:rsidRPr="00C77B5C">
              <w:t xml:space="preserve">N </w:t>
            </w:r>
            <w:r w:rsidR="006375AD" w:rsidRPr="006375AD">
              <w:t>978-0-6482138-2-6</w:t>
            </w:r>
            <w:r w:rsidRPr="008E314A">
              <w:t xml:space="preserve"> (</w:t>
            </w:r>
            <w:r w:rsidR="005B68BA">
              <w:t>Online</w:t>
            </w:r>
            <w:r w:rsidRPr="008E314A">
              <w:t>)</w:t>
            </w:r>
          </w:p>
          <w:p w:rsidR="00961DBB" w:rsidRDefault="00961DBB" w:rsidP="00BB5013">
            <w:pPr>
              <w:pStyle w:val="xDisclaimerText2"/>
              <w:framePr w:hSpace="0" w:wrap="auto" w:hAnchor="text" w:yAlign="inline"/>
              <w:suppressOverlap w:val="0"/>
            </w:pPr>
            <w:r w:rsidRPr="00C77B5C">
              <w:t>This work is licensed und</w:t>
            </w:r>
            <w:r w:rsidRPr="00870C85">
              <w:t>e</w:t>
            </w:r>
            <w:r w:rsidRPr="00C77B5C">
              <w:t xml:space="preserve">r </w:t>
            </w:r>
            <w:r w:rsidRPr="008E314A">
              <w:t xml:space="preserve">the Creative </w:t>
            </w:r>
            <w:r w:rsidRPr="0087390B">
              <w:t>Commons</w:t>
            </w:r>
            <w:r w:rsidRPr="008E314A">
              <w:t xml:space="preserve"> Attribution-</w:t>
            </w:r>
            <w:proofErr w:type="spellStart"/>
            <w:r w:rsidRPr="008E314A">
              <w:t>NonCommercial</w:t>
            </w:r>
            <w:proofErr w:type="spellEnd"/>
            <w:r w:rsidRPr="008E314A">
              <w:t>-</w:t>
            </w:r>
            <w:proofErr w:type="spellStart"/>
            <w:r w:rsidRPr="008E314A">
              <w:t>NoDerivs</w:t>
            </w:r>
            <w:proofErr w:type="spellEnd"/>
            <w:r w:rsidRPr="008E314A">
              <w:t xml:space="preserve"> 3.0 Australia License</w:t>
            </w:r>
            <w:r>
              <w:t>.</w:t>
            </w:r>
          </w:p>
          <w:p w:rsidR="00961DBB" w:rsidRPr="0084503F" w:rsidRDefault="003B3D44" w:rsidP="00BB5013">
            <w:pPr>
              <w:pStyle w:val="xDisclaimerText2"/>
              <w:framePr w:hSpace="0" w:wrap="auto" w:hAnchor="text" w:yAlign="inline"/>
              <w:spacing w:before="240"/>
              <w:suppressOverlap w:val="0"/>
            </w:pPr>
            <w:r>
              <w:rPr>
                <w:noProof/>
              </w:rPr>
              <w:drawing>
                <wp:inline distT="0" distB="0" distL="0" distR="0" wp14:anchorId="18A4AE32" wp14:editId="00BB708F">
                  <wp:extent cx="1079086" cy="37798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086" cy="377985"/>
                          </a:xfrm>
                          <a:prstGeom prst="rect">
                            <a:avLst/>
                          </a:prstGeom>
                        </pic:spPr>
                      </pic:pic>
                    </a:graphicData>
                  </a:graphic>
                </wp:inline>
              </w:drawing>
            </w:r>
          </w:p>
          <w:p w:rsidR="00961DBB" w:rsidRDefault="00961DBB" w:rsidP="00BB5013">
            <w:pPr>
              <w:pStyle w:val="xDisclaimerText2"/>
              <w:framePr w:hSpace="0" w:wrap="auto" w:hAnchor="text" w:yAlign="inline"/>
              <w:suppressOverlap w:val="0"/>
            </w:pPr>
            <w:r w:rsidRPr="00D0237F">
              <w:t xml:space="preserve">The details of this licence </w:t>
            </w:r>
            <w:r w:rsidRPr="00BB5013">
              <w:t>are</w:t>
            </w:r>
            <w:r w:rsidRPr="00D0237F">
              <w:t xml:space="preserve"> available on the Creative Commons website:</w:t>
            </w:r>
            <w:r w:rsidRPr="00D0237F">
              <w:rPr>
                <w:color w:val="FF0000"/>
              </w:rPr>
              <w:t xml:space="preserve"> </w:t>
            </w:r>
            <w:hyperlink r:id="rId13" w:history="1">
              <w:r w:rsidR="00BB5013" w:rsidRPr="00BB5013">
                <w:t>http://creativecommons.org/licenses/by-nc-nd/3.0/au/</w:t>
              </w:r>
            </w:hyperlink>
            <w:r w:rsidR="00BB5013">
              <w:t xml:space="preserve"> </w:t>
            </w:r>
          </w:p>
          <w:p w:rsidR="00961DBB" w:rsidRPr="00BB5013" w:rsidRDefault="00961DBB" w:rsidP="00BB5013">
            <w:pPr>
              <w:pStyle w:val="xDisclaimerHeading"/>
              <w:framePr w:hSpace="0" w:wrap="auto" w:hAnchor="text" w:yAlign="inline"/>
              <w:suppressOverlap w:val="0"/>
            </w:pPr>
            <w:r>
              <w:t xml:space="preserve">Use </w:t>
            </w:r>
            <w:r w:rsidRPr="00D0237F">
              <w:t>of</w:t>
            </w:r>
            <w:r>
              <w:t xml:space="preserve"> </w:t>
            </w:r>
            <w:r w:rsidRPr="00D0237F">
              <w:t>the</w:t>
            </w:r>
            <w:r>
              <w:t xml:space="preserve"> Coat of Arms</w:t>
            </w:r>
          </w:p>
          <w:p w:rsidR="00961DBB" w:rsidRDefault="00961DBB" w:rsidP="00BB5013">
            <w:pPr>
              <w:pStyle w:val="xDisclaimerText2"/>
              <w:framePr w:hSpace="0" w:wrap="auto" w:hAnchor="text" w:yAlign="inline"/>
              <w:suppressOverlap w:val="0"/>
            </w:pPr>
            <w:r>
              <w:t xml:space="preserve">The terms under which the Coat of Arms </w:t>
            </w:r>
            <w:r w:rsidRPr="00BB5013">
              <w:t>can</w:t>
            </w:r>
            <w:r>
              <w:t xml:space="preserve"> be used are detailed on the following website: </w:t>
            </w:r>
            <w:hyperlink r:id="rId14" w:history="1">
              <w:r w:rsidR="00BB5013" w:rsidRPr="00BB5013">
                <w:t>www.itsanhonour.gov.au/coat-arms</w:t>
              </w:r>
            </w:hyperlink>
            <w:r w:rsidR="00BB5013">
              <w:t xml:space="preserve"> </w:t>
            </w:r>
          </w:p>
          <w:p w:rsidR="00961DBB" w:rsidRDefault="00961DBB" w:rsidP="0062267C">
            <w:pPr>
              <w:pStyle w:val="xDisclaimerText"/>
            </w:pPr>
            <w:r w:rsidRPr="008E314A">
              <w:t>Parliamentary Budget</w:t>
            </w:r>
            <w:r>
              <w:t xml:space="preserve"> Office</w:t>
            </w:r>
          </w:p>
          <w:p w:rsidR="00961DBB" w:rsidRPr="008E314A" w:rsidRDefault="00961DBB" w:rsidP="0087390B">
            <w:pPr>
              <w:pStyle w:val="xDisclaimerText"/>
            </w:pPr>
            <w:r w:rsidRPr="008E314A">
              <w:t>Parliament House</w:t>
            </w:r>
          </w:p>
          <w:p w:rsidR="00961DBB" w:rsidRPr="008E314A" w:rsidRDefault="00961DBB" w:rsidP="0087390B">
            <w:pPr>
              <w:pStyle w:val="xDisclaimerText"/>
            </w:pPr>
            <w:r w:rsidRPr="008E314A">
              <w:t>PO Box 6010</w:t>
            </w:r>
          </w:p>
          <w:p w:rsidR="00961DBB" w:rsidRDefault="00961DBB" w:rsidP="0087390B">
            <w:pPr>
              <w:pStyle w:val="xDisclaimerText2"/>
              <w:framePr w:hSpace="0" w:wrap="auto" w:hAnchor="text" w:yAlign="inline"/>
              <w:suppressOverlap w:val="0"/>
            </w:pPr>
            <w:r w:rsidRPr="008E314A">
              <w:t>CANBERRA ACT</w:t>
            </w:r>
            <w:r>
              <w:t xml:space="preserve"> 2600</w:t>
            </w:r>
          </w:p>
          <w:p w:rsidR="00961DBB" w:rsidRPr="008E314A" w:rsidRDefault="00961DBB" w:rsidP="0087390B">
            <w:pPr>
              <w:pStyle w:val="xDisclaimerText"/>
            </w:pPr>
            <w:r>
              <w:t xml:space="preserve">Phone: (02) </w:t>
            </w:r>
            <w:r w:rsidRPr="008E314A">
              <w:t>6277 9500</w:t>
            </w:r>
          </w:p>
          <w:p w:rsidR="00961DBB" w:rsidRDefault="00961DBB" w:rsidP="0087390B">
            <w:pPr>
              <w:pStyle w:val="xDisclaimerText"/>
            </w:pPr>
            <w:r w:rsidRPr="008E314A">
              <w:t>Email: pbo@pbo.gov</w:t>
            </w:r>
            <w:r>
              <w:t>.au</w:t>
            </w:r>
          </w:p>
        </w:tc>
      </w:tr>
    </w:tbl>
    <w:p w:rsidR="00961DBB" w:rsidRDefault="00961DBB" w:rsidP="00961DBB"/>
    <w:p w:rsidR="00607DE9" w:rsidRDefault="00607DE9" w:rsidP="00607DE9">
      <w:pPr>
        <w:pStyle w:val="Heading4"/>
        <w:rPr>
          <w:i w:val="0"/>
        </w:rPr>
      </w:pPr>
      <w:r>
        <w:rPr>
          <w:i w:val="0"/>
        </w:rPr>
        <w:t>PBO information papers</w:t>
      </w:r>
    </w:p>
    <w:p w:rsidR="00607DE9" w:rsidRDefault="00607DE9" w:rsidP="00607DE9">
      <w:pPr>
        <w:pStyle w:val="PlainText"/>
      </w:pPr>
      <w:r>
        <w:t>PBO information papers are published to help explain, in an accessible way, the underlying data, concepts, methodologies and processes that the PBO uses in preparing costings of policy proposals and budget analyses.  The focus of PBO information papers is different from that of PBO research reports which are aimed at improving the understanding of budget and fiscal policy issues more broadly.</w:t>
      </w:r>
    </w:p>
    <w:p w:rsidR="00961DBB" w:rsidRDefault="00961DBB">
      <w:pPr>
        <w:sectPr w:rsidR="00961DBB" w:rsidSect="00C74F6A">
          <w:headerReference w:type="even" r:id="rId15"/>
          <w:headerReference w:type="default" r:id="rId16"/>
          <w:footerReference w:type="default" r:id="rId17"/>
          <w:pgSz w:w="11906" w:h="16838" w:code="9"/>
          <w:pgMar w:top="1361" w:right="1797" w:bottom="1474" w:left="1797" w:header="284" w:footer="454" w:gutter="0"/>
          <w:pgNumType w:fmt="lowerRoman"/>
          <w:cols w:space="708"/>
          <w:docGrid w:linePitch="360"/>
        </w:sectPr>
      </w:pPr>
    </w:p>
    <w:p w:rsidR="00961DBB" w:rsidRPr="00733970" w:rsidRDefault="00903E3F" w:rsidP="005B68BA">
      <w:pPr>
        <w:pStyle w:val="TOCHeading"/>
        <w:spacing w:before="0"/>
      </w:pPr>
      <w:r w:rsidRPr="00903E3F">
        <w:lastRenderedPageBreak/>
        <w:t>Contents</w:t>
      </w:r>
      <w:bookmarkStart w:id="2" w:name="_TOCMarker"/>
      <w:bookmarkEnd w:id="2"/>
    </w:p>
    <w:p w:rsidR="00932A14" w:rsidRDefault="00903E3F">
      <w:pPr>
        <w:pStyle w:val="TOC1"/>
        <w:rPr>
          <w:rFonts w:eastAsiaTheme="minorEastAsia"/>
          <w:b w:val="0"/>
          <w:color w:val="auto"/>
          <w:lang w:eastAsia="en-AU"/>
        </w:rPr>
      </w:pPr>
      <w:r>
        <w:fldChar w:fldCharType="begin"/>
      </w:r>
      <w:r>
        <w:instrText xml:space="preserve"> TOC  \h \z \t "</w:instrText>
      </w:r>
      <w:r w:rsidR="00085F97">
        <w:instrText>Heading 1,1,Heading 1 No Numbering,1,Heading 2,2, Heading 3,3,</w:instrText>
      </w:r>
      <w:r>
        <w:instrText xml:space="preserve">Section Heading,5" </w:instrText>
      </w:r>
      <w:r>
        <w:fldChar w:fldCharType="separate"/>
      </w:r>
      <w:hyperlink w:anchor="_Toc503451067" w:history="1">
        <w:r w:rsidR="00932A14" w:rsidRPr="00CC3732">
          <w:rPr>
            <w:rStyle w:val="Hyperlink"/>
          </w:rPr>
          <w:t>Foreword</w:t>
        </w:r>
        <w:r w:rsidR="00932A14">
          <w:rPr>
            <w:webHidden/>
          </w:rPr>
          <w:tab/>
        </w:r>
        <w:r w:rsidR="00932A14">
          <w:rPr>
            <w:webHidden/>
          </w:rPr>
          <w:fldChar w:fldCharType="begin"/>
        </w:r>
        <w:r w:rsidR="00932A14">
          <w:rPr>
            <w:webHidden/>
          </w:rPr>
          <w:instrText xml:space="preserve"> PAGEREF _Toc503451067 \h </w:instrText>
        </w:r>
        <w:r w:rsidR="00932A14">
          <w:rPr>
            <w:webHidden/>
          </w:rPr>
        </w:r>
        <w:r w:rsidR="00932A14">
          <w:rPr>
            <w:webHidden/>
          </w:rPr>
          <w:fldChar w:fldCharType="separate"/>
        </w:r>
        <w:r w:rsidR="000D077A">
          <w:rPr>
            <w:webHidden/>
          </w:rPr>
          <w:t>v</w:t>
        </w:r>
        <w:r w:rsidR="00932A14">
          <w:rPr>
            <w:webHidden/>
          </w:rPr>
          <w:fldChar w:fldCharType="end"/>
        </w:r>
      </w:hyperlink>
    </w:p>
    <w:p w:rsidR="00932A14" w:rsidRDefault="00C95BA8">
      <w:pPr>
        <w:pStyle w:val="TOC1"/>
        <w:rPr>
          <w:rFonts w:eastAsiaTheme="minorEastAsia"/>
          <w:b w:val="0"/>
          <w:color w:val="auto"/>
          <w:lang w:eastAsia="en-AU"/>
        </w:rPr>
      </w:pPr>
      <w:hyperlink w:anchor="_Toc503451068" w:history="1">
        <w:r w:rsidR="00932A14" w:rsidRPr="00CC3732">
          <w:rPr>
            <w:rStyle w:val="Hyperlink"/>
          </w:rPr>
          <w:t>Overview</w:t>
        </w:r>
        <w:r w:rsidR="00932A14">
          <w:rPr>
            <w:webHidden/>
          </w:rPr>
          <w:tab/>
        </w:r>
        <w:r w:rsidR="00932A14">
          <w:rPr>
            <w:webHidden/>
          </w:rPr>
          <w:fldChar w:fldCharType="begin"/>
        </w:r>
        <w:r w:rsidR="00932A14">
          <w:rPr>
            <w:webHidden/>
          </w:rPr>
          <w:instrText xml:space="preserve"> PAGEREF _Toc503451068 \h </w:instrText>
        </w:r>
        <w:r w:rsidR="00932A14">
          <w:rPr>
            <w:webHidden/>
          </w:rPr>
        </w:r>
        <w:r w:rsidR="00932A14">
          <w:rPr>
            <w:webHidden/>
          </w:rPr>
          <w:fldChar w:fldCharType="separate"/>
        </w:r>
        <w:r w:rsidR="000D077A">
          <w:rPr>
            <w:webHidden/>
          </w:rPr>
          <w:t>vi</w:t>
        </w:r>
        <w:r w:rsidR="00932A14">
          <w:rPr>
            <w:webHidden/>
          </w:rPr>
          <w:fldChar w:fldCharType="end"/>
        </w:r>
      </w:hyperlink>
    </w:p>
    <w:p w:rsidR="00932A14" w:rsidRDefault="00C95BA8">
      <w:pPr>
        <w:pStyle w:val="TOC1"/>
        <w:rPr>
          <w:rFonts w:eastAsiaTheme="minorEastAsia"/>
          <w:b w:val="0"/>
          <w:color w:val="auto"/>
          <w:lang w:eastAsia="en-AU"/>
        </w:rPr>
      </w:pPr>
      <w:hyperlink w:anchor="_Toc503451069" w:history="1">
        <w:r w:rsidR="00932A14" w:rsidRPr="00CC3732">
          <w:rPr>
            <w:rStyle w:val="Hyperlink"/>
          </w:rPr>
          <w:t>1</w:t>
        </w:r>
        <w:r w:rsidR="00932A14">
          <w:rPr>
            <w:rFonts w:eastAsiaTheme="minorEastAsia"/>
            <w:b w:val="0"/>
            <w:color w:val="auto"/>
            <w:lang w:eastAsia="en-AU"/>
          </w:rPr>
          <w:tab/>
        </w:r>
        <w:r w:rsidR="00932A14" w:rsidRPr="00CC3732">
          <w:rPr>
            <w:rStyle w:val="Hyperlink"/>
          </w:rPr>
          <w:t>Our costing process</w:t>
        </w:r>
        <w:r w:rsidR="00932A14">
          <w:rPr>
            <w:webHidden/>
          </w:rPr>
          <w:tab/>
        </w:r>
        <w:r w:rsidR="00932A14">
          <w:rPr>
            <w:webHidden/>
          </w:rPr>
          <w:fldChar w:fldCharType="begin"/>
        </w:r>
        <w:r w:rsidR="00932A14">
          <w:rPr>
            <w:webHidden/>
          </w:rPr>
          <w:instrText xml:space="preserve"> PAGEREF _Toc503451069 \h </w:instrText>
        </w:r>
        <w:r w:rsidR="00932A14">
          <w:rPr>
            <w:webHidden/>
          </w:rPr>
        </w:r>
        <w:r w:rsidR="00932A14">
          <w:rPr>
            <w:webHidden/>
          </w:rPr>
          <w:fldChar w:fldCharType="separate"/>
        </w:r>
        <w:r w:rsidR="000D077A">
          <w:rPr>
            <w:webHidden/>
          </w:rPr>
          <w:t>1</w:t>
        </w:r>
        <w:r w:rsidR="00932A14">
          <w:rPr>
            <w:webHidden/>
          </w:rPr>
          <w:fldChar w:fldCharType="end"/>
        </w:r>
      </w:hyperlink>
    </w:p>
    <w:p w:rsidR="00932A14" w:rsidRDefault="00C95BA8">
      <w:pPr>
        <w:pStyle w:val="TOC2"/>
        <w:rPr>
          <w:rFonts w:eastAsiaTheme="minorEastAsia"/>
          <w:szCs w:val="22"/>
          <w:lang w:eastAsia="en-AU"/>
        </w:rPr>
      </w:pPr>
      <w:hyperlink w:anchor="_Toc503451070" w:history="1">
        <w:r w:rsidR="00932A14" w:rsidRPr="00CC3732">
          <w:rPr>
            <w:rStyle w:val="Hyperlink"/>
          </w:rPr>
          <w:t>1.1</w:t>
        </w:r>
        <w:r w:rsidR="00932A14">
          <w:rPr>
            <w:rFonts w:eastAsiaTheme="minorEastAsia"/>
            <w:szCs w:val="22"/>
            <w:lang w:eastAsia="en-AU"/>
          </w:rPr>
          <w:tab/>
        </w:r>
        <w:r w:rsidR="00932A14" w:rsidRPr="00CC3732">
          <w:rPr>
            <w:rStyle w:val="Hyperlink"/>
          </w:rPr>
          <w:t>A step-by-step guide to the costing process</w:t>
        </w:r>
        <w:r w:rsidR="00932A14">
          <w:rPr>
            <w:webHidden/>
          </w:rPr>
          <w:tab/>
        </w:r>
        <w:r w:rsidR="00932A14">
          <w:rPr>
            <w:webHidden/>
          </w:rPr>
          <w:fldChar w:fldCharType="begin"/>
        </w:r>
        <w:r w:rsidR="00932A14">
          <w:rPr>
            <w:webHidden/>
          </w:rPr>
          <w:instrText xml:space="preserve"> PAGEREF _Toc503451070 \h </w:instrText>
        </w:r>
        <w:r w:rsidR="00932A14">
          <w:rPr>
            <w:webHidden/>
          </w:rPr>
        </w:r>
        <w:r w:rsidR="00932A14">
          <w:rPr>
            <w:webHidden/>
          </w:rPr>
          <w:fldChar w:fldCharType="separate"/>
        </w:r>
        <w:r w:rsidR="000D077A">
          <w:rPr>
            <w:webHidden/>
          </w:rPr>
          <w:t>1</w:t>
        </w:r>
        <w:r w:rsidR="00932A14">
          <w:rPr>
            <w:webHidden/>
          </w:rPr>
          <w:fldChar w:fldCharType="end"/>
        </w:r>
      </w:hyperlink>
    </w:p>
    <w:p w:rsidR="00932A14" w:rsidRDefault="00C95BA8">
      <w:pPr>
        <w:pStyle w:val="TOC2"/>
        <w:rPr>
          <w:rFonts w:eastAsiaTheme="minorEastAsia"/>
          <w:szCs w:val="22"/>
          <w:lang w:eastAsia="en-AU"/>
        </w:rPr>
      </w:pPr>
      <w:hyperlink w:anchor="_Toc503451071" w:history="1">
        <w:r w:rsidR="00932A14" w:rsidRPr="00CC3732">
          <w:rPr>
            <w:rStyle w:val="Hyperlink"/>
          </w:rPr>
          <w:t>1.2</w:t>
        </w:r>
        <w:r w:rsidR="00932A14">
          <w:rPr>
            <w:rFonts w:eastAsiaTheme="minorEastAsia"/>
            <w:szCs w:val="22"/>
            <w:lang w:eastAsia="en-AU"/>
          </w:rPr>
          <w:tab/>
        </w:r>
        <w:r w:rsidR="00932A14" w:rsidRPr="00CC3732">
          <w:rPr>
            <w:rStyle w:val="Hyperlink"/>
          </w:rPr>
          <w:t>Engagement with parliamentarians on requests</w:t>
        </w:r>
        <w:r w:rsidR="00932A14">
          <w:rPr>
            <w:webHidden/>
          </w:rPr>
          <w:tab/>
        </w:r>
        <w:r w:rsidR="00932A14">
          <w:rPr>
            <w:webHidden/>
          </w:rPr>
          <w:fldChar w:fldCharType="begin"/>
        </w:r>
        <w:r w:rsidR="00932A14">
          <w:rPr>
            <w:webHidden/>
          </w:rPr>
          <w:instrText xml:space="preserve"> PAGEREF _Toc503451071 \h </w:instrText>
        </w:r>
        <w:r w:rsidR="00932A14">
          <w:rPr>
            <w:webHidden/>
          </w:rPr>
        </w:r>
        <w:r w:rsidR="00932A14">
          <w:rPr>
            <w:webHidden/>
          </w:rPr>
          <w:fldChar w:fldCharType="separate"/>
        </w:r>
        <w:r w:rsidR="000D077A">
          <w:rPr>
            <w:webHidden/>
          </w:rPr>
          <w:t>2</w:t>
        </w:r>
        <w:r w:rsidR="00932A14">
          <w:rPr>
            <w:webHidden/>
          </w:rPr>
          <w:fldChar w:fldCharType="end"/>
        </w:r>
      </w:hyperlink>
    </w:p>
    <w:p w:rsidR="00932A14" w:rsidRDefault="00C95BA8">
      <w:pPr>
        <w:pStyle w:val="TOC1"/>
        <w:rPr>
          <w:rFonts w:eastAsiaTheme="minorEastAsia"/>
          <w:b w:val="0"/>
          <w:color w:val="auto"/>
          <w:lang w:eastAsia="en-AU"/>
        </w:rPr>
      </w:pPr>
      <w:hyperlink w:anchor="_Toc503451072" w:history="1">
        <w:r w:rsidR="00932A14" w:rsidRPr="00CC3732">
          <w:rPr>
            <w:rStyle w:val="Hyperlink"/>
          </w:rPr>
          <w:t>2</w:t>
        </w:r>
        <w:r w:rsidR="00932A14">
          <w:rPr>
            <w:rFonts w:eastAsiaTheme="minorEastAsia"/>
            <w:b w:val="0"/>
            <w:color w:val="auto"/>
            <w:lang w:eastAsia="en-AU"/>
          </w:rPr>
          <w:tab/>
        </w:r>
        <w:r w:rsidR="00932A14" w:rsidRPr="00CC3732">
          <w:rPr>
            <w:rStyle w:val="Hyperlink"/>
          </w:rPr>
          <w:t>Factors that affect response timeframes</w:t>
        </w:r>
        <w:r w:rsidR="00932A14">
          <w:rPr>
            <w:webHidden/>
          </w:rPr>
          <w:tab/>
        </w:r>
        <w:r w:rsidR="00932A14">
          <w:rPr>
            <w:webHidden/>
          </w:rPr>
          <w:fldChar w:fldCharType="begin"/>
        </w:r>
        <w:r w:rsidR="00932A14">
          <w:rPr>
            <w:webHidden/>
          </w:rPr>
          <w:instrText xml:space="preserve"> PAGEREF _Toc503451072 \h </w:instrText>
        </w:r>
        <w:r w:rsidR="00932A14">
          <w:rPr>
            <w:webHidden/>
          </w:rPr>
        </w:r>
        <w:r w:rsidR="00932A14">
          <w:rPr>
            <w:webHidden/>
          </w:rPr>
          <w:fldChar w:fldCharType="separate"/>
        </w:r>
        <w:r w:rsidR="000D077A">
          <w:rPr>
            <w:webHidden/>
          </w:rPr>
          <w:t>3</w:t>
        </w:r>
        <w:r w:rsidR="00932A14">
          <w:rPr>
            <w:webHidden/>
          </w:rPr>
          <w:fldChar w:fldCharType="end"/>
        </w:r>
      </w:hyperlink>
    </w:p>
    <w:p w:rsidR="00932A14" w:rsidRDefault="00C95BA8">
      <w:pPr>
        <w:pStyle w:val="TOC1"/>
        <w:rPr>
          <w:rFonts w:eastAsiaTheme="minorEastAsia"/>
          <w:b w:val="0"/>
          <w:color w:val="auto"/>
          <w:lang w:eastAsia="en-AU"/>
        </w:rPr>
      </w:pPr>
      <w:hyperlink w:anchor="_Toc503451073" w:history="1">
        <w:r w:rsidR="00932A14" w:rsidRPr="00CC3732">
          <w:rPr>
            <w:rStyle w:val="Hyperlink"/>
          </w:rPr>
          <w:t>3</w:t>
        </w:r>
        <w:r w:rsidR="00932A14">
          <w:rPr>
            <w:rFonts w:eastAsiaTheme="minorEastAsia"/>
            <w:b w:val="0"/>
            <w:color w:val="auto"/>
            <w:lang w:eastAsia="en-AU"/>
          </w:rPr>
          <w:tab/>
        </w:r>
        <w:r w:rsidR="00932A14" w:rsidRPr="00CC3732">
          <w:rPr>
            <w:rStyle w:val="Hyperlink"/>
          </w:rPr>
          <w:t>Our priority setting framework</w:t>
        </w:r>
        <w:r w:rsidR="00932A14">
          <w:rPr>
            <w:webHidden/>
          </w:rPr>
          <w:tab/>
        </w:r>
        <w:r w:rsidR="00932A14">
          <w:rPr>
            <w:webHidden/>
          </w:rPr>
          <w:fldChar w:fldCharType="begin"/>
        </w:r>
        <w:r w:rsidR="00932A14">
          <w:rPr>
            <w:webHidden/>
          </w:rPr>
          <w:instrText xml:space="preserve"> PAGEREF _Toc503451073 \h </w:instrText>
        </w:r>
        <w:r w:rsidR="00932A14">
          <w:rPr>
            <w:webHidden/>
          </w:rPr>
        </w:r>
        <w:r w:rsidR="00932A14">
          <w:rPr>
            <w:webHidden/>
          </w:rPr>
          <w:fldChar w:fldCharType="separate"/>
        </w:r>
        <w:r w:rsidR="000D077A">
          <w:rPr>
            <w:webHidden/>
          </w:rPr>
          <w:t>4</w:t>
        </w:r>
        <w:r w:rsidR="00932A14">
          <w:rPr>
            <w:webHidden/>
          </w:rPr>
          <w:fldChar w:fldCharType="end"/>
        </w:r>
      </w:hyperlink>
    </w:p>
    <w:p w:rsidR="00932A14" w:rsidRDefault="00C95BA8">
      <w:pPr>
        <w:pStyle w:val="TOC2"/>
        <w:rPr>
          <w:rFonts w:eastAsiaTheme="minorEastAsia"/>
          <w:szCs w:val="22"/>
          <w:lang w:eastAsia="en-AU"/>
        </w:rPr>
      </w:pPr>
      <w:hyperlink w:anchor="_Toc503451074" w:history="1">
        <w:r w:rsidR="00932A14" w:rsidRPr="00CC3732">
          <w:rPr>
            <w:rStyle w:val="Hyperlink"/>
          </w:rPr>
          <w:t>Criterion 1: The relevance of the request to matters before the Parliament</w:t>
        </w:r>
        <w:r w:rsidR="00932A14">
          <w:rPr>
            <w:webHidden/>
          </w:rPr>
          <w:tab/>
        </w:r>
        <w:r w:rsidR="00932A14">
          <w:rPr>
            <w:webHidden/>
          </w:rPr>
          <w:fldChar w:fldCharType="begin"/>
        </w:r>
        <w:r w:rsidR="00932A14">
          <w:rPr>
            <w:webHidden/>
          </w:rPr>
          <w:instrText xml:space="preserve"> PAGEREF _Toc503451074 \h </w:instrText>
        </w:r>
        <w:r w:rsidR="00932A14">
          <w:rPr>
            <w:webHidden/>
          </w:rPr>
        </w:r>
        <w:r w:rsidR="00932A14">
          <w:rPr>
            <w:webHidden/>
          </w:rPr>
          <w:fldChar w:fldCharType="separate"/>
        </w:r>
        <w:r w:rsidR="000D077A">
          <w:rPr>
            <w:webHidden/>
          </w:rPr>
          <w:t>5</w:t>
        </w:r>
        <w:r w:rsidR="00932A14">
          <w:rPr>
            <w:webHidden/>
          </w:rPr>
          <w:fldChar w:fldCharType="end"/>
        </w:r>
      </w:hyperlink>
    </w:p>
    <w:p w:rsidR="00932A14" w:rsidRDefault="00C95BA8" w:rsidP="006375AD">
      <w:pPr>
        <w:pStyle w:val="TOC2"/>
        <w:ind w:left="454" w:firstLine="0"/>
        <w:rPr>
          <w:rFonts w:eastAsiaTheme="minorEastAsia"/>
          <w:szCs w:val="22"/>
          <w:lang w:eastAsia="en-AU"/>
        </w:rPr>
      </w:pPr>
      <w:hyperlink w:anchor="_Toc503451075" w:history="1">
        <w:r w:rsidR="00932A14" w:rsidRPr="00CC3732">
          <w:rPr>
            <w:rStyle w:val="Hyperlink"/>
          </w:rPr>
          <w:t>Criterion 2: The level of priority given to the request by the parliamentarian’s political party and/or the parliamentarian</w:t>
        </w:r>
        <w:r w:rsidR="00932A14">
          <w:rPr>
            <w:webHidden/>
          </w:rPr>
          <w:tab/>
        </w:r>
        <w:r w:rsidR="00932A14">
          <w:rPr>
            <w:webHidden/>
          </w:rPr>
          <w:fldChar w:fldCharType="begin"/>
        </w:r>
        <w:r w:rsidR="00932A14">
          <w:rPr>
            <w:webHidden/>
          </w:rPr>
          <w:instrText xml:space="preserve"> PAGEREF _Toc503451075 \h </w:instrText>
        </w:r>
        <w:r w:rsidR="00932A14">
          <w:rPr>
            <w:webHidden/>
          </w:rPr>
        </w:r>
        <w:r w:rsidR="00932A14">
          <w:rPr>
            <w:webHidden/>
          </w:rPr>
          <w:fldChar w:fldCharType="separate"/>
        </w:r>
        <w:r w:rsidR="000D077A">
          <w:rPr>
            <w:webHidden/>
          </w:rPr>
          <w:t>6</w:t>
        </w:r>
        <w:r w:rsidR="00932A14">
          <w:rPr>
            <w:webHidden/>
          </w:rPr>
          <w:fldChar w:fldCharType="end"/>
        </w:r>
      </w:hyperlink>
    </w:p>
    <w:p w:rsidR="00932A14" w:rsidRDefault="00C95BA8">
      <w:pPr>
        <w:pStyle w:val="TOC2"/>
        <w:rPr>
          <w:rFonts w:eastAsiaTheme="minorEastAsia"/>
          <w:szCs w:val="22"/>
          <w:lang w:eastAsia="en-AU"/>
        </w:rPr>
      </w:pPr>
      <w:hyperlink w:anchor="_Toc503451076" w:history="1">
        <w:r w:rsidR="00932A14" w:rsidRPr="00CC3732">
          <w:rPr>
            <w:rStyle w:val="Hyperlink"/>
          </w:rPr>
          <w:t>Criterion 3: The level of representation of the party in the parliament</w:t>
        </w:r>
        <w:r w:rsidR="00932A14">
          <w:rPr>
            <w:webHidden/>
          </w:rPr>
          <w:tab/>
        </w:r>
        <w:r w:rsidR="00932A14">
          <w:rPr>
            <w:webHidden/>
          </w:rPr>
          <w:fldChar w:fldCharType="begin"/>
        </w:r>
        <w:r w:rsidR="00932A14">
          <w:rPr>
            <w:webHidden/>
          </w:rPr>
          <w:instrText xml:space="preserve"> PAGEREF _Toc503451076 \h </w:instrText>
        </w:r>
        <w:r w:rsidR="00932A14">
          <w:rPr>
            <w:webHidden/>
          </w:rPr>
        </w:r>
        <w:r w:rsidR="00932A14">
          <w:rPr>
            <w:webHidden/>
          </w:rPr>
          <w:fldChar w:fldCharType="separate"/>
        </w:r>
        <w:r w:rsidR="000D077A">
          <w:rPr>
            <w:webHidden/>
          </w:rPr>
          <w:t>6</w:t>
        </w:r>
        <w:r w:rsidR="00932A14">
          <w:rPr>
            <w:webHidden/>
          </w:rPr>
          <w:fldChar w:fldCharType="end"/>
        </w:r>
      </w:hyperlink>
    </w:p>
    <w:p w:rsidR="00932A14" w:rsidRDefault="00C95BA8" w:rsidP="006375AD">
      <w:pPr>
        <w:pStyle w:val="TOC2"/>
        <w:ind w:left="454" w:firstLine="0"/>
        <w:rPr>
          <w:rFonts w:eastAsiaTheme="minorEastAsia"/>
          <w:szCs w:val="22"/>
          <w:lang w:eastAsia="en-AU"/>
        </w:rPr>
      </w:pPr>
      <w:hyperlink w:anchor="_Toc503451077" w:history="1">
        <w:r w:rsidR="00932A14" w:rsidRPr="00CC3732">
          <w:rPr>
            <w:rStyle w:val="Hyperlink"/>
          </w:rPr>
          <w:t>Criterion 4: The extent to which the parliamentarian or party has made use of the PBO’s services</w:t>
        </w:r>
        <w:r w:rsidR="00932A14" w:rsidRPr="006375AD">
          <w:rPr>
            <w:rStyle w:val="Hyperlink"/>
            <w:webHidden/>
          </w:rPr>
          <w:tab/>
        </w:r>
        <w:r w:rsidR="00932A14">
          <w:rPr>
            <w:webHidden/>
          </w:rPr>
          <w:fldChar w:fldCharType="begin"/>
        </w:r>
        <w:r w:rsidR="00932A14">
          <w:rPr>
            <w:webHidden/>
          </w:rPr>
          <w:instrText xml:space="preserve"> PAGEREF _Toc503451077 \h </w:instrText>
        </w:r>
        <w:r w:rsidR="00932A14">
          <w:rPr>
            <w:webHidden/>
          </w:rPr>
        </w:r>
        <w:r w:rsidR="00932A14">
          <w:rPr>
            <w:webHidden/>
          </w:rPr>
          <w:fldChar w:fldCharType="separate"/>
        </w:r>
        <w:r w:rsidR="000D077A">
          <w:rPr>
            <w:webHidden/>
          </w:rPr>
          <w:t>6</w:t>
        </w:r>
        <w:r w:rsidR="00932A14">
          <w:rPr>
            <w:webHidden/>
          </w:rPr>
          <w:fldChar w:fldCharType="end"/>
        </w:r>
      </w:hyperlink>
    </w:p>
    <w:p w:rsidR="00932A14" w:rsidRDefault="00C95BA8">
      <w:pPr>
        <w:pStyle w:val="TOC2"/>
        <w:rPr>
          <w:rFonts w:eastAsiaTheme="minorEastAsia"/>
          <w:szCs w:val="22"/>
          <w:lang w:eastAsia="en-AU"/>
        </w:rPr>
      </w:pPr>
      <w:hyperlink w:anchor="_Toc503451078" w:history="1">
        <w:r w:rsidR="00932A14" w:rsidRPr="00CC3732">
          <w:rPr>
            <w:rStyle w:val="Hyperlink"/>
          </w:rPr>
          <w:t>Criterion 5: Length of time that a request has been with the PBO</w:t>
        </w:r>
        <w:r w:rsidR="00932A14">
          <w:rPr>
            <w:webHidden/>
          </w:rPr>
          <w:tab/>
        </w:r>
        <w:r w:rsidR="00932A14">
          <w:rPr>
            <w:webHidden/>
          </w:rPr>
          <w:fldChar w:fldCharType="begin"/>
        </w:r>
        <w:r w:rsidR="00932A14">
          <w:rPr>
            <w:webHidden/>
          </w:rPr>
          <w:instrText xml:space="preserve"> PAGEREF _Toc503451078 \h </w:instrText>
        </w:r>
        <w:r w:rsidR="00932A14">
          <w:rPr>
            <w:webHidden/>
          </w:rPr>
        </w:r>
        <w:r w:rsidR="00932A14">
          <w:rPr>
            <w:webHidden/>
          </w:rPr>
          <w:fldChar w:fldCharType="separate"/>
        </w:r>
        <w:r w:rsidR="000D077A">
          <w:rPr>
            <w:webHidden/>
          </w:rPr>
          <w:t>7</w:t>
        </w:r>
        <w:r w:rsidR="00932A14">
          <w:rPr>
            <w:webHidden/>
          </w:rPr>
          <w:fldChar w:fldCharType="end"/>
        </w:r>
      </w:hyperlink>
    </w:p>
    <w:p w:rsidR="00903E3F" w:rsidRDefault="00903E3F" w:rsidP="00903E3F">
      <w:r>
        <w:fldChar w:fldCharType="end"/>
      </w:r>
    </w:p>
    <w:p w:rsidR="00633663" w:rsidRDefault="00633663"/>
    <w:p w:rsidR="00E915E6" w:rsidRPr="00633663" w:rsidRDefault="00E915E6" w:rsidP="00633663">
      <w:pPr>
        <w:sectPr w:rsidR="00E915E6" w:rsidRPr="00633663" w:rsidSect="005468AB">
          <w:headerReference w:type="even" r:id="rId18"/>
          <w:headerReference w:type="default" r:id="rId19"/>
          <w:footerReference w:type="even" r:id="rId20"/>
          <w:footerReference w:type="default" r:id="rId21"/>
          <w:type w:val="oddPage"/>
          <w:pgSz w:w="11906" w:h="16838" w:code="9"/>
          <w:pgMar w:top="1361" w:right="1797" w:bottom="1474" w:left="1797" w:header="284" w:footer="454" w:gutter="0"/>
          <w:pgNumType w:fmt="lowerRoman"/>
          <w:cols w:space="708"/>
          <w:docGrid w:linePitch="360"/>
        </w:sectPr>
      </w:pPr>
    </w:p>
    <w:p w:rsidR="00C74F6A" w:rsidRDefault="00E81CE9" w:rsidP="003D1B8F">
      <w:pPr>
        <w:pStyle w:val="Heading1"/>
        <w:numPr>
          <w:ilvl w:val="0"/>
          <w:numId w:val="0"/>
        </w:numPr>
        <w:ind w:left="765" w:hanging="765"/>
      </w:pPr>
      <w:bookmarkStart w:id="3" w:name="_Toc503451067"/>
      <w:r>
        <w:lastRenderedPageBreak/>
        <w:t>Foreword</w:t>
      </w:r>
      <w:bookmarkEnd w:id="3"/>
      <w:r w:rsidR="00C74F6A" w:rsidRPr="00C74F6A">
        <w:t xml:space="preserve"> </w:t>
      </w:r>
    </w:p>
    <w:p w:rsidR="00C74F6A" w:rsidRDefault="00C74F6A" w:rsidP="00190F0F">
      <w:pPr>
        <w:pStyle w:val="BodyText"/>
      </w:pPr>
      <w:r w:rsidRPr="00C74F6A">
        <w:t xml:space="preserve">The </w:t>
      </w:r>
      <w:r w:rsidRPr="00077718">
        <w:rPr>
          <w:i/>
        </w:rPr>
        <w:t>Parliamentary Budget Office Review 2016</w:t>
      </w:r>
      <w:r w:rsidR="00E359F6" w:rsidRPr="00077718">
        <w:rPr>
          <w:i/>
        </w:rPr>
        <w:t>–</w:t>
      </w:r>
      <w:r w:rsidRPr="00077718">
        <w:rPr>
          <w:i/>
        </w:rPr>
        <w:t xml:space="preserve">17 </w:t>
      </w:r>
      <w:r w:rsidR="00E359F6" w:rsidRPr="00077718">
        <w:rPr>
          <w:i/>
        </w:rPr>
        <w:t>—</w:t>
      </w:r>
      <w:r w:rsidRPr="00077718">
        <w:rPr>
          <w:i/>
        </w:rPr>
        <w:t xml:space="preserve"> Report of the Independent Review Panel</w:t>
      </w:r>
      <w:r w:rsidRPr="00C74F6A">
        <w:t xml:space="preserve"> (the PBO review) </w:t>
      </w:r>
      <w:r w:rsidR="007752C2">
        <w:t>reported</w:t>
      </w:r>
      <w:r w:rsidRPr="00C74F6A">
        <w:t xml:space="preserve"> that there is a lack of understanding of the factors </w:t>
      </w:r>
      <w:r w:rsidR="001E2433">
        <w:t xml:space="preserve">that </w:t>
      </w:r>
      <w:r w:rsidRPr="00C74F6A">
        <w:t>determin</w:t>
      </w:r>
      <w:r w:rsidR="001E2433">
        <w:t>e</w:t>
      </w:r>
      <w:r w:rsidRPr="00C74F6A">
        <w:t xml:space="preserve"> how long it takes the Parliamentary Budget Office (PBO) to complete </w:t>
      </w:r>
      <w:r w:rsidR="001E2433">
        <w:t>a</w:t>
      </w:r>
      <w:r w:rsidR="001E2433" w:rsidRPr="00C74F6A">
        <w:t xml:space="preserve"> </w:t>
      </w:r>
      <w:r w:rsidRPr="00C74F6A">
        <w:t xml:space="preserve">costing </w:t>
      </w:r>
      <w:r w:rsidR="001E2433">
        <w:t>and</w:t>
      </w:r>
      <w:r w:rsidR="001E2433" w:rsidRPr="00C74F6A">
        <w:t xml:space="preserve"> </w:t>
      </w:r>
      <w:r w:rsidRPr="00C74F6A">
        <w:t xml:space="preserve">of the principles that the PBO uses to determine the relative priority of requests </w:t>
      </w:r>
      <w:r w:rsidR="001E2433">
        <w:t>we</w:t>
      </w:r>
      <w:r w:rsidR="001E2433" w:rsidRPr="00C74F6A">
        <w:t xml:space="preserve"> </w:t>
      </w:r>
      <w:r w:rsidRPr="00C74F6A">
        <w:t xml:space="preserve">receive.  </w:t>
      </w:r>
      <w:r w:rsidR="001E2433">
        <w:t>It</w:t>
      </w:r>
      <w:r w:rsidRPr="00C74F6A">
        <w:t xml:space="preserve"> recommended that</w:t>
      </w:r>
      <w:r w:rsidR="00C362FC">
        <w:t xml:space="preserve"> </w:t>
      </w:r>
      <w:r w:rsidRPr="00C74F6A">
        <w:t>the PBO should</w:t>
      </w:r>
      <w:r w:rsidR="00C362FC">
        <w:t>, in consultation with political parties and individual parliamentarians,</w:t>
      </w:r>
      <w:r w:rsidRPr="00C74F6A">
        <w:t xml:space="preserve"> develop </w:t>
      </w:r>
      <w:r w:rsidR="001E2433">
        <w:t xml:space="preserve">and publish the </w:t>
      </w:r>
      <w:r w:rsidRPr="00C74F6A">
        <w:t xml:space="preserve">principles </w:t>
      </w:r>
      <w:r w:rsidR="001E2433">
        <w:t xml:space="preserve">used to </w:t>
      </w:r>
      <w:r w:rsidRPr="00C74F6A">
        <w:t>prioritis</w:t>
      </w:r>
      <w:r w:rsidR="001E2433">
        <w:t>e</w:t>
      </w:r>
      <w:r w:rsidRPr="00C74F6A">
        <w:t xml:space="preserve"> costing</w:t>
      </w:r>
      <w:r w:rsidR="001E2433">
        <w:t xml:space="preserve"> requests</w:t>
      </w:r>
      <w:r w:rsidRPr="00C74F6A">
        <w:t xml:space="preserve"> to provide greater </w:t>
      </w:r>
      <w:r w:rsidR="001E2433">
        <w:t>transparency around</w:t>
      </w:r>
      <w:r w:rsidRPr="00C74F6A">
        <w:t xml:space="preserve"> the PBO</w:t>
      </w:r>
      <w:r w:rsidR="001E2433">
        <w:t>’s processes.</w:t>
      </w:r>
      <w:r w:rsidR="007752C2">
        <w:t xml:space="preserve"> </w:t>
      </w:r>
    </w:p>
    <w:p w:rsidR="00BD461A" w:rsidRDefault="00C74F6A" w:rsidP="00C74F6A">
      <w:pPr>
        <w:pStyle w:val="BodyText"/>
      </w:pPr>
      <w:r>
        <w:t xml:space="preserve">This </w:t>
      </w:r>
      <w:r w:rsidR="00E81CE9">
        <w:t>information</w:t>
      </w:r>
      <w:r>
        <w:t xml:space="preserve"> paper provides information on </w:t>
      </w:r>
      <w:r w:rsidR="001E2433">
        <w:t xml:space="preserve">the costing process, </w:t>
      </w:r>
      <w:r>
        <w:t xml:space="preserve">the factors that </w:t>
      </w:r>
      <w:r w:rsidR="001E2433">
        <w:t xml:space="preserve">affect </w:t>
      </w:r>
      <w:r>
        <w:t xml:space="preserve">the time it takes for the PBO to respond to costing requests </w:t>
      </w:r>
      <w:r w:rsidR="001E2433">
        <w:t xml:space="preserve">and the </w:t>
      </w:r>
      <w:r w:rsidR="0028644A">
        <w:t>framework</w:t>
      </w:r>
      <w:r w:rsidR="001E2433">
        <w:t xml:space="preserve"> that the PBO applies to prioritise competing demands for costing resources. </w:t>
      </w:r>
      <w:r w:rsidR="00E359F6">
        <w:t xml:space="preserve"> </w:t>
      </w:r>
    </w:p>
    <w:p w:rsidR="006A7180" w:rsidRDefault="006A7180" w:rsidP="00C74F6A">
      <w:pPr>
        <w:pStyle w:val="BodyText"/>
      </w:pPr>
      <w:r>
        <w:t>This paper reflects feedback from parliamentarians and their staff, as well as other interested stakeholders which was sought as part of a consultation process on these matters late in 2017.</w:t>
      </w:r>
      <w:r w:rsidR="00F36A96">
        <w:t xml:space="preserve">  </w:t>
      </w:r>
    </w:p>
    <w:p w:rsidR="000B0BA3" w:rsidRDefault="00E81CE9">
      <w:r w:rsidRPr="00E81CE9">
        <w:t>I would like to thank the PBO staff involved in the preparation of this report, namely Colin</w:t>
      </w:r>
      <w:r>
        <w:t> </w:t>
      </w:r>
      <w:r w:rsidRPr="00E81CE9">
        <w:t>Brown, Gareth Tunks and Andrew Watterson.  The report was prepared for publication by Lauren Pratley.</w:t>
      </w:r>
      <w:r w:rsidR="000B0BA3">
        <w:br w:type="page"/>
      </w:r>
    </w:p>
    <w:p w:rsidR="00C74F6A" w:rsidRDefault="00E81CE9" w:rsidP="00887731">
      <w:pPr>
        <w:pStyle w:val="Heading1"/>
        <w:numPr>
          <w:ilvl w:val="0"/>
          <w:numId w:val="0"/>
        </w:numPr>
        <w:ind w:left="765" w:hanging="765"/>
      </w:pPr>
      <w:bookmarkStart w:id="4" w:name="_Toc503451068"/>
      <w:r>
        <w:t>Overview</w:t>
      </w:r>
      <w:bookmarkEnd w:id="4"/>
    </w:p>
    <w:p w:rsidR="00C74F6A" w:rsidRDefault="00C74F6A" w:rsidP="00C74F6A">
      <w:pPr>
        <w:pStyle w:val="BodyText"/>
      </w:pPr>
      <w:r>
        <w:t>The purpose of the PBO</w:t>
      </w:r>
      <w:r w:rsidR="000B0BA3">
        <w:t xml:space="preserve"> </w:t>
      </w:r>
      <w:r>
        <w:t>is to inform the Parliament by providing independent and non</w:t>
      </w:r>
      <w:r w:rsidR="00CE78F7">
        <w:noBreakHyphen/>
      </w:r>
      <w:r>
        <w:t xml:space="preserve">partisan analysis of the </w:t>
      </w:r>
      <w:r w:rsidR="00CE78F7">
        <w:t>B</w:t>
      </w:r>
      <w:r>
        <w:t xml:space="preserve">udget cycle, fiscal policy and the financial implications of proposals.  In particular, the PBO aims to help level the playing field for all parliamentarians by providing access to publicly funded costing and budget analysis services.  </w:t>
      </w:r>
    </w:p>
    <w:p w:rsidR="00C74F6A" w:rsidRDefault="00C74F6A" w:rsidP="00C74F6A">
      <w:pPr>
        <w:pStyle w:val="BodyText"/>
      </w:pPr>
      <w:r>
        <w:t xml:space="preserve">Demand for PBO costings </w:t>
      </w:r>
      <w:r w:rsidR="00237508">
        <w:t xml:space="preserve">and </w:t>
      </w:r>
      <w:r w:rsidR="00046572">
        <w:t xml:space="preserve">budget </w:t>
      </w:r>
      <w:r w:rsidR="00237508">
        <w:t xml:space="preserve">analysis </w:t>
      </w:r>
      <w:r>
        <w:t xml:space="preserve">has grown rapidly over the years and is expected to </w:t>
      </w:r>
      <w:r w:rsidR="00527C77">
        <w:t>remain strong into</w:t>
      </w:r>
      <w:r>
        <w:t xml:space="preserve"> the future.  </w:t>
      </w:r>
    </w:p>
    <w:p w:rsidR="00C74F6A" w:rsidRDefault="00C74F6A" w:rsidP="00C74F6A">
      <w:pPr>
        <w:pStyle w:val="BodyText"/>
      </w:pPr>
      <w:proofErr w:type="gramStart"/>
      <w:r>
        <w:t xml:space="preserve">The range of subject matter that </w:t>
      </w:r>
      <w:r w:rsidR="00046572">
        <w:t>these</w:t>
      </w:r>
      <w:r w:rsidR="00527C77">
        <w:t xml:space="preserve"> </w:t>
      </w:r>
      <w:r>
        <w:t>requests cover and their level of complexity have also increased over time.</w:t>
      </w:r>
      <w:proofErr w:type="gramEnd"/>
      <w:r>
        <w:t xml:space="preserve">  </w:t>
      </w:r>
    </w:p>
    <w:p w:rsidR="00C74F6A" w:rsidRDefault="00C74F6A" w:rsidP="00C74F6A">
      <w:pPr>
        <w:pStyle w:val="BodyText"/>
      </w:pPr>
      <w:r>
        <w:t xml:space="preserve">As the demand for </w:t>
      </w:r>
      <w:r w:rsidR="00240804">
        <w:t xml:space="preserve">our </w:t>
      </w:r>
      <w:r>
        <w:t>services</w:t>
      </w:r>
      <w:r w:rsidR="00527C77">
        <w:t xml:space="preserve"> has</w:t>
      </w:r>
      <w:r>
        <w:t xml:space="preserve"> increase</w:t>
      </w:r>
      <w:r w:rsidR="00527C77">
        <w:t>d</w:t>
      </w:r>
      <w:r>
        <w:t xml:space="preserve">, the approach to setting priorities </w:t>
      </w:r>
      <w:r w:rsidR="00527C77">
        <w:t xml:space="preserve">across </w:t>
      </w:r>
      <w:r>
        <w:t xml:space="preserve">competing work has become increasingly important in </w:t>
      </w:r>
      <w:r w:rsidR="00527C77">
        <w:t xml:space="preserve">order to </w:t>
      </w:r>
      <w:r>
        <w:t>manag</w:t>
      </w:r>
      <w:r w:rsidR="00527C77">
        <w:t>e</w:t>
      </w:r>
      <w:r>
        <w:t xml:space="preserve"> </w:t>
      </w:r>
      <w:r w:rsidR="00240804">
        <w:t>our</w:t>
      </w:r>
      <w:r>
        <w:t xml:space="preserve"> resources and </w:t>
      </w:r>
      <w:r w:rsidR="00527C77">
        <w:t xml:space="preserve">ensure that </w:t>
      </w:r>
      <w:r>
        <w:t xml:space="preserve">parliamentarians have an equitable level of access to policy costings and </w:t>
      </w:r>
      <w:r w:rsidR="00046572">
        <w:t>b</w:t>
      </w:r>
      <w:r>
        <w:t>udget analysis</w:t>
      </w:r>
      <w:r w:rsidR="00527C77">
        <w:t xml:space="preserve"> services</w:t>
      </w:r>
      <w:r>
        <w:t>.</w:t>
      </w:r>
    </w:p>
    <w:p w:rsidR="00240804" w:rsidRDefault="00240804" w:rsidP="00527C77">
      <w:pPr>
        <w:pStyle w:val="BodyText"/>
      </w:pPr>
      <w:r>
        <w:t>We have</w:t>
      </w:r>
      <w:r w:rsidR="00C74F6A">
        <w:t xml:space="preserve"> released this </w:t>
      </w:r>
      <w:r w:rsidR="00E81CE9">
        <w:t>informa</w:t>
      </w:r>
      <w:r w:rsidR="00133E81">
        <w:t>tion</w:t>
      </w:r>
      <w:r w:rsidR="00C74F6A">
        <w:t xml:space="preserve"> paper in order to </w:t>
      </w:r>
      <w:r w:rsidR="00527C77">
        <w:t xml:space="preserve">provide </w:t>
      </w:r>
      <w:r>
        <w:t>additional transparency on:</w:t>
      </w:r>
    </w:p>
    <w:p w:rsidR="00240804" w:rsidRDefault="00527C77" w:rsidP="00190F0F">
      <w:pPr>
        <w:pStyle w:val="ListBullet"/>
      </w:pPr>
      <w:r>
        <w:t xml:space="preserve">the costing process, </w:t>
      </w:r>
      <w:r w:rsidR="00240804">
        <w:t xml:space="preserve">including how we keep Parliamentarians informed of timeframes around their costing requests </w:t>
      </w:r>
    </w:p>
    <w:p w:rsidR="00240804" w:rsidRDefault="00527C77" w:rsidP="00190F0F">
      <w:pPr>
        <w:pStyle w:val="ListBullet"/>
      </w:pPr>
      <w:r>
        <w:t xml:space="preserve">the factors that affect the time it takes for </w:t>
      </w:r>
      <w:r w:rsidR="00240804">
        <w:t>us</w:t>
      </w:r>
      <w:r>
        <w:t xml:space="preserve"> to respond to costing requests</w:t>
      </w:r>
    </w:p>
    <w:p w:rsidR="00240804" w:rsidRDefault="00527C77" w:rsidP="00190F0F">
      <w:pPr>
        <w:pStyle w:val="ListBullet"/>
      </w:pPr>
      <w:proofErr w:type="gramStart"/>
      <w:r>
        <w:t>the</w:t>
      </w:r>
      <w:proofErr w:type="gramEnd"/>
      <w:r>
        <w:t xml:space="preserve"> </w:t>
      </w:r>
      <w:r w:rsidR="0028644A">
        <w:t>framework</w:t>
      </w:r>
      <w:r>
        <w:t xml:space="preserve"> that </w:t>
      </w:r>
      <w:r w:rsidR="00240804">
        <w:t>we</w:t>
      </w:r>
      <w:r>
        <w:t xml:space="preserve"> appl</w:t>
      </w:r>
      <w:r w:rsidR="00240804">
        <w:t>y</w:t>
      </w:r>
      <w:r>
        <w:t xml:space="preserve"> to prioritise competing demands for costing resources. </w:t>
      </w:r>
    </w:p>
    <w:p w:rsidR="00240804" w:rsidRDefault="00240804" w:rsidP="00527C77">
      <w:pPr>
        <w:pStyle w:val="BodyText"/>
      </w:pPr>
      <w:r>
        <w:t xml:space="preserve">This paper focusses on the processes involved in responding to a costing or budget analysis request.  The PBO </w:t>
      </w:r>
      <w:r w:rsidR="00E81CE9">
        <w:t xml:space="preserve">has </w:t>
      </w:r>
      <w:r w:rsidRPr="00060B4E">
        <w:t>publish</w:t>
      </w:r>
      <w:r w:rsidR="00E81CE9">
        <w:t>ed</w:t>
      </w:r>
      <w:r>
        <w:t xml:space="preserve"> </w:t>
      </w:r>
      <w:r w:rsidR="00077718">
        <w:t xml:space="preserve">a suite of </w:t>
      </w:r>
      <w:r w:rsidR="00883D7C">
        <w:t xml:space="preserve">information </w:t>
      </w:r>
      <w:r>
        <w:t>papers that explain other aspects of a policy costing:</w:t>
      </w:r>
    </w:p>
    <w:p w:rsidR="00240804" w:rsidRDefault="00182258" w:rsidP="00190F0F">
      <w:pPr>
        <w:pStyle w:val="ListBullet"/>
      </w:pPr>
      <w:r>
        <w:rPr>
          <w:bCs/>
          <w:i/>
        </w:rPr>
        <w:t>What is a Parliamentary Budget Office costing?</w:t>
      </w:r>
      <w:r w:rsidR="004A4B62">
        <w:rPr>
          <w:bCs/>
          <w:i/>
        </w:rPr>
        <w:t xml:space="preserve"> (2017)</w:t>
      </w:r>
      <w:r w:rsidR="00240804" w:rsidRPr="004A4B62">
        <w:t xml:space="preserve"> </w:t>
      </w:r>
      <w:r w:rsidR="00240804">
        <w:t xml:space="preserve">provides a conceptual explanation of </w:t>
      </w:r>
      <w:r w:rsidR="006E2D3B">
        <w:t xml:space="preserve">what a costing is, what it is designed to capture and how a costing estimate is </w:t>
      </w:r>
      <w:r w:rsidR="00883D7C">
        <w:t>generated</w:t>
      </w:r>
      <w:r w:rsidR="00060B4E">
        <w:t xml:space="preserve"> (published </w:t>
      </w:r>
      <w:r w:rsidR="00E81CE9">
        <w:t>on 30</w:t>
      </w:r>
      <w:r w:rsidR="00077718">
        <w:t> November 2017</w:t>
      </w:r>
      <w:r w:rsidR="00060B4E">
        <w:t>)</w:t>
      </w:r>
    </w:p>
    <w:p w:rsidR="00240804" w:rsidRDefault="004A4B62" w:rsidP="00190F0F">
      <w:pPr>
        <w:pStyle w:val="ListBullet"/>
      </w:pPr>
      <w:r w:rsidRPr="00190F0F">
        <w:rPr>
          <w:bCs/>
          <w:i/>
        </w:rPr>
        <w:t>Including broader economic effects in policy costings</w:t>
      </w:r>
      <w:r>
        <w:rPr>
          <w:bCs/>
          <w:i/>
        </w:rPr>
        <w:t xml:space="preserve"> (2017)</w:t>
      </w:r>
      <w:r w:rsidR="00240804" w:rsidRPr="004A4B62">
        <w:t xml:space="preserve"> </w:t>
      </w:r>
      <w:r w:rsidR="00046572">
        <w:t>discusses</w:t>
      </w:r>
      <w:r w:rsidR="00883D7C">
        <w:t xml:space="preserve"> the challenges associated with incorporating broader economic effects in policy </w:t>
      </w:r>
      <w:r>
        <w:t>costings and the PBO’s approach</w:t>
      </w:r>
      <w:r w:rsidR="00060B4E">
        <w:t xml:space="preserve"> (published </w:t>
      </w:r>
      <w:r w:rsidR="00E81CE9">
        <w:t>on 30</w:t>
      </w:r>
      <w:r w:rsidR="00077718">
        <w:t> November 2017</w:t>
      </w:r>
      <w:r w:rsidR="00060B4E">
        <w:t>)</w:t>
      </w:r>
    </w:p>
    <w:p w:rsidR="00883D7C" w:rsidRDefault="004A4B62" w:rsidP="00190F0F">
      <w:pPr>
        <w:pStyle w:val="ListBullet"/>
      </w:pPr>
      <w:r w:rsidRPr="00190F0F">
        <w:rPr>
          <w:i/>
          <w:lang w:val="en"/>
        </w:rPr>
        <w:t>Factors influencing the reliability of policy proposal costing</w:t>
      </w:r>
      <w:r>
        <w:rPr>
          <w:i/>
          <w:lang w:val="en"/>
        </w:rPr>
        <w:t>s (2017)</w:t>
      </w:r>
      <w:r w:rsidR="00883D7C">
        <w:t xml:space="preserve"> provides an explanation of the factors that affect the reliability of costing estimates and how these are reflected in PBO costing advice</w:t>
      </w:r>
      <w:r w:rsidR="00060B4E">
        <w:t xml:space="preserve"> (published on 13 September 2017)</w:t>
      </w:r>
      <w:r w:rsidR="00883D7C">
        <w:t>.</w:t>
      </w:r>
    </w:p>
    <w:p w:rsidR="00E074BE" w:rsidRPr="00E074BE" w:rsidRDefault="00C74F6A" w:rsidP="00560F26">
      <w:pPr>
        <w:pStyle w:val="BodyText"/>
        <w:sectPr w:rsidR="00E074BE" w:rsidRPr="00E074BE" w:rsidSect="005468AB">
          <w:footerReference w:type="default" r:id="rId22"/>
          <w:type w:val="oddPage"/>
          <w:pgSz w:w="11906" w:h="16838" w:code="9"/>
          <w:pgMar w:top="1361" w:right="1797" w:bottom="1474" w:left="1797" w:header="284" w:footer="454" w:gutter="0"/>
          <w:pgNumType w:fmt="lowerRoman"/>
          <w:cols w:space="708"/>
          <w:docGrid w:linePitch="360"/>
        </w:sectPr>
      </w:pPr>
      <w:r>
        <w:t xml:space="preserve">  </w:t>
      </w:r>
      <w:r w:rsidR="00E074BE">
        <w:t xml:space="preserve"> </w:t>
      </w:r>
    </w:p>
    <w:p w:rsidR="0027602C" w:rsidRDefault="00E074BE" w:rsidP="00CB145F">
      <w:pPr>
        <w:pStyle w:val="Heading1"/>
      </w:pPr>
      <w:bookmarkStart w:id="5" w:name="_Toc503451069"/>
      <w:r w:rsidRPr="00E7739F">
        <w:t xml:space="preserve">Our </w:t>
      </w:r>
      <w:r w:rsidR="00C626ED">
        <w:t xml:space="preserve">costing </w:t>
      </w:r>
      <w:r w:rsidR="007752C2">
        <w:t>process</w:t>
      </w:r>
      <w:bookmarkStart w:id="6" w:name="_Toc499221447"/>
      <w:bookmarkEnd w:id="5"/>
      <w:bookmarkEnd w:id="6"/>
    </w:p>
    <w:p w:rsidR="0027602C" w:rsidRDefault="0027602C" w:rsidP="00CB145F">
      <w:pPr>
        <w:pStyle w:val="Heading2"/>
        <w:ind w:left="765"/>
      </w:pPr>
      <w:bookmarkStart w:id="7" w:name="_Toc503451070"/>
      <w:r>
        <w:t>A step-by-step guide to the costing process</w:t>
      </w:r>
      <w:bookmarkEnd w:id="7"/>
    </w:p>
    <w:p w:rsidR="000F02FA" w:rsidRDefault="00C626ED" w:rsidP="00C626ED">
      <w:pPr>
        <w:pStyle w:val="BodyText"/>
      </w:pPr>
      <w:r>
        <w:t>The PBO costing process involves a number of steps</w:t>
      </w:r>
      <w:r w:rsidR="001505A8">
        <w:t xml:space="preserve">.  These </w:t>
      </w:r>
      <w:r w:rsidR="00B0687E">
        <w:t xml:space="preserve">are depicted in </w:t>
      </w:r>
      <w:r w:rsidR="000F02FA">
        <w:t xml:space="preserve">Figure 1 </w:t>
      </w:r>
      <w:r w:rsidR="001505A8">
        <w:t xml:space="preserve">and discussed further </w:t>
      </w:r>
      <w:r w:rsidR="000F02FA">
        <w:t>below.</w:t>
      </w:r>
    </w:p>
    <w:p w:rsidR="00C626ED" w:rsidRPr="002F13F7" w:rsidRDefault="000F02FA" w:rsidP="00517B6E">
      <w:pPr>
        <w:pStyle w:val="TableHeadingCentred"/>
        <w:spacing w:before="240" w:after="0" w:line="300" w:lineRule="atLeast"/>
        <w:ind w:left="0" w:right="0"/>
        <w:rPr>
          <w:color w:val="2B3B5F" w:themeColor="text2"/>
          <w:sz w:val="22"/>
        </w:rPr>
      </w:pPr>
      <w:r w:rsidRPr="002F13F7">
        <w:rPr>
          <w:color w:val="2B3B5F" w:themeColor="text2"/>
          <w:sz w:val="22"/>
        </w:rPr>
        <w:t>Figure 1</w:t>
      </w:r>
      <w:r w:rsidR="00F14175">
        <w:rPr>
          <w:color w:val="2B3B5F" w:themeColor="text2"/>
          <w:sz w:val="22"/>
        </w:rPr>
        <w:t>:</w:t>
      </w:r>
      <w:r w:rsidRPr="002F13F7">
        <w:rPr>
          <w:color w:val="2B3B5F" w:themeColor="text2"/>
          <w:sz w:val="22"/>
        </w:rPr>
        <w:t xml:space="preserve"> Parliamentary Budget Office </w:t>
      </w:r>
      <w:r w:rsidR="00F14175">
        <w:rPr>
          <w:color w:val="2B3B5F" w:themeColor="text2"/>
          <w:sz w:val="22"/>
        </w:rPr>
        <w:t>C</w:t>
      </w:r>
      <w:r w:rsidR="00F14175" w:rsidRPr="002F13F7">
        <w:rPr>
          <w:color w:val="2B3B5F" w:themeColor="text2"/>
          <w:sz w:val="22"/>
        </w:rPr>
        <w:t xml:space="preserve">osting </w:t>
      </w:r>
      <w:r w:rsidR="00F14175">
        <w:rPr>
          <w:color w:val="2B3B5F" w:themeColor="text2"/>
          <w:sz w:val="22"/>
        </w:rPr>
        <w:t>P</w:t>
      </w:r>
      <w:r w:rsidRPr="002F13F7">
        <w:rPr>
          <w:color w:val="2B3B5F" w:themeColor="text2"/>
          <w:sz w:val="22"/>
        </w:rPr>
        <w:t>rocess</w:t>
      </w:r>
    </w:p>
    <w:p w:rsidR="00B0687E" w:rsidRDefault="00B0687E" w:rsidP="00C626ED">
      <w:pPr>
        <w:pStyle w:val="BodyText"/>
      </w:pPr>
      <w:r>
        <w:rPr>
          <w:noProof/>
          <w:lang w:eastAsia="en-AU"/>
        </w:rPr>
        <w:drawing>
          <wp:inline distT="0" distB="0" distL="0" distR="0" wp14:anchorId="31D9E0DD" wp14:editId="0E9439A2">
            <wp:extent cx="5838915" cy="31650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tersona\AppData\Local\Microsoft\Windows\Temporary Internet Files\Content.Outlook\C41CPEV9\Figure 1 The PBO costing process-02.jp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838915" cy="3165047"/>
                    </a:xfrm>
                    <a:prstGeom prst="rect">
                      <a:avLst/>
                    </a:prstGeom>
                    <a:noFill/>
                    <a:ln>
                      <a:noFill/>
                    </a:ln>
                  </pic:spPr>
                </pic:pic>
              </a:graphicData>
            </a:graphic>
          </wp:inline>
        </w:drawing>
      </w:r>
    </w:p>
    <w:p w:rsidR="00C626ED" w:rsidRDefault="00C626ED" w:rsidP="00CB145F">
      <w:pPr>
        <w:pStyle w:val="ListNumber"/>
        <w:spacing w:before="240"/>
      </w:pPr>
      <w:r>
        <w:t>Parliamentarians making costing</w:t>
      </w:r>
      <w:r w:rsidR="00BB150B">
        <w:t xml:space="preserve"> </w:t>
      </w:r>
      <w:r>
        <w:t>request</w:t>
      </w:r>
      <w:r w:rsidR="000F02FA">
        <w:t>s</w:t>
      </w:r>
      <w:r>
        <w:t xml:space="preserve"> are encouraged to discuss their requests with the PBO on a confidential basis before formally lodging their request.  This </w:t>
      </w:r>
      <w:r w:rsidR="00782CFA">
        <w:t xml:space="preserve">helps </w:t>
      </w:r>
      <w:r>
        <w:t>ensure</w:t>
      </w:r>
      <w:r w:rsidR="00782CFA">
        <w:t xml:space="preserve"> that requests which are lodged formally with the PBO are </w:t>
      </w:r>
      <w:r w:rsidR="00FA61AD">
        <w:t xml:space="preserve">clearly </w:t>
      </w:r>
      <w:r w:rsidR="00060B4E">
        <w:t>and comp</w:t>
      </w:r>
      <w:r w:rsidR="00BB3300">
        <w:t>rehensively</w:t>
      </w:r>
      <w:r w:rsidR="00060B4E">
        <w:t xml:space="preserve"> </w:t>
      </w:r>
      <w:r w:rsidR="00782CFA">
        <w:t>specified</w:t>
      </w:r>
      <w:r>
        <w:t xml:space="preserve">.  </w:t>
      </w:r>
    </w:p>
    <w:p w:rsidR="00C626ED" w:rsidRDefault="009F729C" w:rsidP="00190F0F">
      <w:pPr>
        <w:pStyle w:val="ListNumber"/>
      </w:pPr>
      <w:r>
        <w:t>F</w:t>
      </w:r>
      <w:r w:rsidR="00C626ED">
        <w:t>ormal request</w:t>
      </w:r>
      <w:r>
        <w:t>s</w:t>
      </w:r>
      <w:r w:rsidR="00C626ED">
        <w:t xml:space="preserve"> </w:t>
      </w:r>
      <w:r>
        <w:t>are</w:t>
      </w:r>
      <w:r w:rsidR="00C626ED">
        <w:t xml:space="preserve"> registered on the PBO workflow management system (WMS) and allocated to a costing team and to an action officer.  Registration and allocation of requests are generally completed within one working day of receipt</w:t>
      </w:r>
      <w:r w:rsidR="0027602C">
        <w:t>, and confirmation of rec</w:t>
      </w:r>
      <w:r w:rsidR="00406E53">
        <w:t>eipt is provided to the requesto</w:t>
      </w:r>
      <w:r w:rsidR="0027602C">
        <w:t>r</w:t>
      </w:r>
      <w:r w:rsidR="00C626ED">
        <w:t>.</w:t>
      </w:r>
      <w:r w:rsidR="000F02FA">
        <w:t xml:space="preserve"> </w:t>
      </w:r>
    </w:p>
    <w:p w:rsidR="00883D7C" w:rsidRDefault="00C626ED" w:rsidP="00190F0F">
      <w:pPr>
        <w:pStyle w:val="ListNumber"/>
      </w:pPr>
      <w:r>
        <w:t>The action officer undertake</w:t>
      </w:r>
      <w:r w:rsidR="00AC32FA">
        <w:t>s</w:t>
      </w:r>
      <w:r>
        <w:t xml:space="preserve"> </w:t>
      </w:r>
      <w:r w:rsidR="00AC32FA">
        <w:t xml:space="preserve">some </w:t>
      </w:r>
      <w:r>
        <w:t>initial research</w:t>
      </w:r>
      <w:r w:rsidR="00AC32FA">
        <w:t xml:space="preserve"> to</w:t>
      </w:r>
      <w:r w:rsidR="00883D7C">
        <w:t>:</w:t>
      </w:r>
    </w:p>
    <w:p w:rsidR="00883D7C" w:rsidRDefault="00C626ED" w:rsidP="00190F0F">
      <w:pPr>
        <w:pStyle w:val="ListBullet2"/>
      </w:pPr>
      <w:r>
        <w:t>determine whether the costing is properly specified</w:t>
      </w:r>
      <w:r w:rsidR="00F4601F">
        <w:t xml:space="preserve"> and, if nec</w:t>
      </w:r>
      <w:r w:rsidR="00406E53">
        <w:t>essary, engage with the requesto</w:t>
      </w:r>
      <w:r w:rsidR="00F4601F">
        <w:t>r to clarify aspects of the request</w:t>
      </w:r>
    </w:p>
    <w:p w:rsidR="00883D7C" w:rsidRDefault="00C626ED" w:rsidP="00190F0F">
      <w:pPr>
        <w:pStyle w:val="ListBullet2"/>
      </w:pPr>
      <w:r>
        <w:t>check whether the request is a re</w:t>
      </w:r>
      <w:r w:rsidR="00883D7C">
        <w:t>-</w:t>
      </w:r>
      <w:r>
        <w:t xml:space="preserve">costing of a previous proposal or is a new piece of </w:t>
      </w:r>
      <w:r w:rsidR="004C5673">
        <w:t>work</w:t>
      </w:r>
    </w:p>
    <w:p w:rsidR="00C626ED" w:rsidRDefault="00C626ED" w:rsidP="00190F0F">
      <w:pPr>
        <w:pStyle w:val="ListBullet2"/>
      </w:pPr>
      <w:proofErr w:type="gramStart"/>
      <w:r>
        <w:t>check</w:t>
      </w:r>
      <w:proofErr w:type="gramEnd"/>
      <w:r>
        <w:t xml:space="preserve"> whether the PBO has all the data needed to complete the request or whether information </w:t>
      </w:r>
      <w:r w:rsidR="009F729C">
        <w:t xml:space="preserve">needs to be </w:t>
      </w:r>
      <w:r>
        <w:t>request</w:t>
      </w:r>
      <w:r w:rsidR="009F729C">
        <w:t>ed</w:t>
      </w:r>
      <w:r>
        <w:t xml:space="preserve"> </w:t>
      </w:r>
      <w:r w:rsidR="009F729C">
        <w:t xml:space="preserve">from </w:t>
      </w:r>
      <w:r>
        <w:t>agencies.</w:t>
      </w:r>
    </w:p>
    <w:p w:rsidR="00976F51" w:rsidRDefault="00976F51" w:rsidP="00190F0F">
      <w:pPr>
        <w:pStyle w:val="ListNumber"/>
      </w:pPr>
      <w:r>
        <w:t xml:space="preserve">The priority </w:t>
      </w:r>
      <w:r w:rsidR="00F4601F">
        <w:t xml:space="preserve">allocated to the request </w:t>
      </w:r>
      <w:r>
        <w:t xml:space="preserve">is </w:t>
      </w:r>
      <w:r w:rsidR="00F4601F">
        <w:t xml:space="preserve">then </w:t>
      </w:r>
      <w:r w:rsidR="00AC32FA">
        <w:t>determined</w:t>
      </w:r>
      <w:r>
        <w:t xml:space="preserve">.  This </w:t>
      </w:r>
      <w:r w:rsidR="001505A8">
        <w:t>involves</w:t>
      </w:r>
      <w:r>
        <w:t xml:space="preserve"> applying the PBO’s priority setting framework that is outlined in </w:t>
      </w:r>
      <w:r w:rsidR="0028644A">
        <w:t xml:space="preserve">Section </w:t>
      </w:r>
      <w:r w:rsidR="00F4601F">
        <w:t>4</w:t>
      </w:r>
      <w:r w:rsidR="0028644A">
        <w:t>, below</w:t>
      </w:r>
      <w:r>
        <w:t xml:space="preserve">. </w:t>
      </w:r>
      <w:r w:rsidR="00652B59">
        <w:t xml:space="preserve"> </w:t>
      </w:r>
    </w:p>
    <w:p w:rsidR="00F4601F" w:rsidRDefault="00743004" w:rsidP="00190F0F">
      <w:pPr>
        <w:pStyle w:val="ListNumber"/>
      </w:pPr>
      <w:r>
        <w:t xml:space="preserve">Once the priority is determined, </w:t>
      </w:r>
      <w:r w:rsidR="00237508">
        <w:t>we</w:t>
      </w:r>
      <w:r w:rsidR="00F4601F">
        <w:t xml:space="preserve"> estimate the </w:t>
      </w:r>
      <w:r w:rsidR="0027602C">
        <w:t xml:space="preserve">indicative </w:t>
      </w:r>
      <w:r w:rsidR="00F4601F">
        <w:t>time</w:t>
      </w:r>
      <w:r w:rsidR="0027602C">
        <w:t>frame</w:t>
      </w:r>
      <w:r w:rsidR="00F4601F">
        <w:t xml:space="preserve"> it is likely to take to complete the costing.</w:t>
      </w:r>
    </w:p>
    <w:p w:rsidR="00C626ED" w:rsidRDefault="00C626ED" w:rsidP="00190F0F">
      <w:pPr>
        <w:pStyle w:val="ListNumber"/>
      </w:pPr>
      <w:r>
        <w:t xml:space="preserve">If information is required from </w:t>
      </w:r>
      <w:r w:rsidR="0028644A">
        <w:t xml:space="preserve">Commonwealth </w:t>
      </w:r>
      <w:r>
        <w:t xml:space="preserve">agencies, the action officer will prepare an information request.  </w:t>
      </w:r>
      <w:r w:rsidR="0027602C">
        <w:t xml:space="preserve">Those </w:t>
      </w:r>
      <w:r w:rsidR="001505A8">
        <w:t xml:space="preserve">relating to non-urgent costings </w:t>
      </w:r>
      <w:r w:rsidR="00AC32FA">
        <w:t xml:space="preserve">are requested within </w:t>
      </w:r>
      <w:r>
        <w:t>10</w:t>
      </w:r>
      <w:r w:rsidR="00237508">
        <w:t> </w:t>
      </w:r>
      <w:r>
        <w:t>working days</w:t>
      </w:r>
      <w:r w:rsidR="001505A8">
        <w:t xml:space="preserve">.  Information is sought </w:t>
      </w:r>
      <w:r w:rsidR="00AC32FA">
        <w:t>with</w:t>
      </w:r>
      <w:r>
        <w:t>in 5</w:t>
      </w:r>
      <w:r w:rsidR="00237508">
        <w:t> </w:t>
      </w:r>
      <w:r>
        <w:t>working days</w:t>
      </w:r>
      <w:r w:rsidR="001505A8">
        <w:t xml:space="preserve"> for urgent costings</w:t>
      </w:r>
      <w:r>
        <w:t xml:space="preserve">.  Some complex requests, however, may take </w:t>
      </w:r>
      <w:r w:rsidR="001505A8">
        <w:t xml:space="preserve">agencies </w:t>
      </w:r>
      <w:r>
        <w:t>longer than 10 days</w:t>
      </w:r>
      <w:r w:rsidR="00B554EC">
        <w:t xml:space="preserve"> to complete</w:t>
      </w:r>
      <w:r w:rsidR="00046572">
        <w:t>.</w:t>
      </w:r>
      <w:r w:rsidR="00237508">
        <w:rPr>
          <w:rStyle w:val="FootnoteReference"/>
        </w:rPr>
        <w:footnoteReference w:id="1"/>
      </w:r>
    </w:p>
    <w:p w:rsidR="00C626ED" w:rsidRDefault="00C626ED" w:rsidP="00190F0F">
      <w:pPr>
        <w:pStyle w:val="ListNumber"/>
      </w:pPr>
      <w:r>
        <w:t xml:space="preserve">The action officer will commence work on </w:t>
      </w:r>
      <w:r w:rsidR="00743004">
        <w:t xml:space="preserve">building or updating </w:t>
      </w:r>
      <w:r>
        <w:t xml:space="preserve">the costing model.  </w:t>
      </w:r>
      <w:r w:rsidRPr="00FF75CF">
        <w:t xml:space="preserve">The timing of this will depend </w:t>
      </w:r>
      <w:r w:rsidR="001505A8">
        <w:t>o</w:t>
      </w:r>
      <w:r w:rsidRPr="00FF75CF">
        <w:t>n the priority of the request</w:t>
      </w:r>
      <w:r>
        <w:t xml:space="preserve"> and how much work can be done in advance of receiving respon</w:t>
      </w:r>
      <w:r w:rsidR="00743004">
        <w:t>ses to any information requests</w:t>
      </w:r>
      <w:r>
        <w:t>.</w:t>
      </w:r>
    </w:p>
    <w:p w:rsidR="00C626ED" w:rsidRDefault="00C626ED" w:rsidP="00190F0F">
      <w:pPr>
        <w:pStyle w:val="ListNumber"/>
      </w:pPr>
      <w:r>
        <w:t xml:space="preserve">Once the </w:t>
      </w:r>
      <w:r w:rsidR="0027602C">
        <w:t xml:space="preserve">information request </w:t>
      </w:r>
      <w:r w:rsidR="00B0687E">
        <w:t xml:space="preserve">response </w:t>
      </w:r>
      <w:r>
        <w:t xml:space="preserve">is received and the model is prepared, the action officer will </w:t>
      </w:r>
      <w:r w:rsidR="00F4601F">
        <w:t>complete the budget or costing analysis for</w:t>
      </w:r>
      <w:r>
        <w:t xml:space="preserve"> inclusion in the response</w:t>
      </w:r>
      <w:r w:rsidR="00F4601F">
        <w:t xml:space="preserve"> and will draft the written response</w:t>
      </w:r>
      <w:r>
        <w:t xml:space="preserve">.  </w:t>
      </w:r>
    </w:p>
    <w:p w:rsidR="00C626ED" w:rsidRDefault="00C626ED" w:rsidP="00190F0F">
      <w:pPr>
        <w:pStyle w:val="ListNumber"/>
      </w:pPr>
      <w:r>
        <w:t xml:space="preserve">All PBO responses are assigned a checking officer who is responsible for checking the estimates and the </w:t>
      </w:r>
      <w:r w:rsidR="006C1746">
        <w:t xml:space="preserve">written </w:t>
      </w:r>
      <w:r>
        <w:t xml:space="preserve">response.  The checking process can commence early in the costing process and concludes once </w:t>
      </w:r>
      <w:r w:rsidR="001505A8">
        <w:t>the costing has been dispatched to the parliamentarian</w:t>
      </w:r>
      <w:r>
        <w:t xml:space="preserve">.  </w:t>
      </w:r>
    </w:p>
    <w:p w:rsidR="000F02FA" w:rsidRDefault="00C626ED" w:rsidP="00190F0F">
      <w:pPr>
        <w:pStyle w:val="ListNumber"/>
      </w:pPr>
      <w:r>
        <w:t>Once a costing has been prepared and checked, it enters the clearance stage where the costing is cleared by senior staff before being submitted to the Parliamentary Budget Officer</w:t>
      </w:r>
      <w:r w:rsidR="00B0687E">
        <w:t xml:space="preserve"> for review and signature</w:t>
      </w:r>
      <w:r>
        <w:t xml:space="preserve">.  </w:t>
      </w:r>
    </w:p>
    <w:p w:rsidR="00C626ED" w:rsidRDefault="00C626ED" w:rsidP="000F02FA">
      <w:pPr>
        <w:pStyle w:val="ListBullet2"/>
      </w:pPr>
      <w:r>
        <w:t xml:space="preserve">This stage is </w:t>
      </w:r>
      <w:r w:rsidR="000F02FA">
        <w:t xml:space="preserve">usually </w:t>
      </w:r>
      <w:r>
        <w:t>completed within one or two working days, depending upon whether any issues are identified in the clearance process.</w:t>
      </w:r>
    </w:p>
    <w:p w:rsidR="00DE3606" w:rsidRDefault="00DE3606" w:rsidP="00190F0F">
      <w:pPr>
        <w:pStyle w:val="ListNumber"/>
      </w:pPr>
      <w:r>
        <w:t>The final step involves dispatching the response to the requesting parliamentarian</w:t>
      </w:r>
      <w:r w:rsidR="006C1746">
        <w:t>,</w:t>
      </w:r>
      <w:r w:rsidR="00F4601F">
        <w:t xml:space="preserve"> and being available to explain any aspects of the costing response</w:t>
      </w:r>
      <w:r w:rsidR="006C1746">
        <w:t xml:space="preserve"> and</w:t>
      </w:r>
      <w:r w:rsidR="0028644A">
        <w:t>, where relevant,</w:t>
      </w:r>
      <w:r w:rsidR="006C1746">
        <w:t xml:space="preserve"> discuss issues to do with the public release of this analysis</w:t>
      </w:r>
      <w:r>
        <w:t>.</w:t>
      </w:r>
    </w:p>
    <w:p w:rsidR="0027602C" w:rsidRDefault="0027602C" w:rsidP="00E62956">
      <w:pPr>
        <w:pStyle w:val="Heading2"/>
        <w:ind w:left="765"/>
      </w:pPr>
      <w:bookmarkStart w:id="8" w:name="_Toc503451071"/>
      <w:r>
        <w:t xml:space="preserve">Engagement with </w:t>
      </w:r>
      <w:r w:rsidR="00C2387B">
        <w:t>p</w:t>
      </w:r>
      <w:r>
        <w:t xml:space="preserve">arliamentarians on </w:t>
      </w:r>
      <w:r w:rsidR="00C2387B">
        <w:t>r</w:t>
      </w:r>
      <w:r>
        <w:t>equests</w:t>
      </w:r>
      <w:bookmarkEnd w:id="8"/>
    </w:p>
    <w:p w:rsidR="006C1746" w:rsidRDefault="006C1746" w:rsidP="00190F0F">
      <w:pPr>
        <w:pStyle w:val="BodyText"/>
      </w:pPr>
      <w:r>
        <w:t>Throughout the costing process, the PBO recognises the importance of keeping Parliamentarians informed of progress that is being made on the</w:t>
      </w:r>
      <w:r w:rsidR="00046572">
        <w:t>ir</w:t>
      </w:r>
      <w:r>
        <w:t xml:space="preserve"> requests and the likely timeframes for responses.  We are end</w:t>
      </w:r>
      <w:r w:rsidR="00C2387B">
        <w:t>eavouring to do this as follows:</w:t>
      </w:r>
    </w:p>
    <w:p w:rsidR="0060124D" w:rsidRDefault="00C2387B" w:rsidP="00190F0F">
      <w:pPr>
        <w:pStyle w:val="ListBullet"/>
      </w:pPr>
      <w:r>
        <w:t>a</w:t>
      </w:r>
      <w:r w:rsidR="0060124D">
        <w:t xml:space="preserve">s soon as a costing </w:t>
      </w:r>
      <w:r w:rsidR="00046572">
        <w:t xml:space="preserve">or budget analysis </w:t>
      </w:r>
      <w:r w:rsidR="0060124D">
        <w:t xml:space="preserve">request is received, we acknowledge receipt in writing and provide a PBO reference number that can be used to track progress with that </w:t>
      </w:r>
      <w:r w:rsidR="00046572">
        <w:t>request</w:t>
      </w:r>
    </w:p>
    <w:p w:rsidR="00C274C2" w:rsidRDefault="00C2387B" w:rsidP="00190F0F">
      <w:pPr>
        <w:pStyle w:val="ListBullet"/>
      </w:pPr>
      <w:r>
        <w:t>w</w:t>
      </w:r>
      <w:r w:rsidR="006C1746">
        <w:t xml:space="preserve">ithin a week of receiving a request, </w:t>
      </w:r>
      <w:r w:rsidR="00C274C2">
        <w:t>or earlier for high priority requests, we provide a</w:t>
      </w:r>
      <w:r w:rsidR="006C1746">
        <w:t xml:space="preserve">n indicative timeframe </w:t>
      </w:r>
      <w:r w:rsidR="00C274C2">
        <w:t>for completion to</w:t>
      </w:r>
      <w:r>
        <w:t xml:space="preserve"> the requesting parliamentarian</w:t>
      </w:r>
    </w:p>
    <w:p w:rsidR="00C274C2" w:rsidRDefault="00C2387B" w:rsidP="00190F0F">
      <w:pPr>
        <w:pStyle w:val="ListBullet"/>
      </w:pPr>
      <w:r>
        <w:t>o</w:t>
      </w:r>
      <w:r w:rsidR="00C274C2">
        <w:t>n at least a fortnightly basis, we provide an update</w:t>
      </w:r>
      <w:r w:rsidR="00E17114">
        <w:t xml:space="preserve"> </w:t>
      </w:r>
      <w:r w:rsidR="00C274C2">
        <w:t xml:space="preserve">to each requesting party or parliamentarian on progress that is being made across all costing </w:t>
      </w:r>
      <w:r w:rsidR="00046572">
        <w:t xml:space="preserve">and budget analysis </w:t>
      </w:r>
      <w:r w:rsidR="00C274C2">
        <w:t>requests they have submitted</w:t>
      </w:r>
      <w:r w:rsidR="00913335">
        <w:t xml:space="preserve"> and </w:t>
      </w:r>
      <w:r w:rsidR="00C274C2">
        <w:t xml:space="preserve">seek feedback on any changes in priorities </w:t>
      </w:r>
      <w:r w:rsidR="00F77783">
        <w:t xml:space="preserve">or key dates that </w:t>
      </w:r>
      <w:r w:rsidR="00C274C2">
        <w:t>we should be aware of</w:t>
      </w:r>
      <w:r w:rsidR="00913335">
        <w:t xml:space="preserve"> </w:t>
      </w:r>
      <w:r w:rsidR="00C274C2">
        <w:t>(</w:t>
      </w:r>
      <w:r>
        <w:t>w</w:t>
      </w:r>
      <w:r w:rsidR="00C274C2">
        <w:t xml:space="preserve">hether we have this discussion with an individual member or a party depends on whether the request has been submitted on behalf of a party or on </w:t>
      </w:r>
      <w:r>
        <w:t>behalf of an individual member)</w:t>
      </w:r>
      <w:r w:rsidR="00214642">
        <w:t xml:space="preserve">.  This update includes providing information to requestors on which stage each costing is </w:t>
      </w:r>
      <w:proofErr w:type="spellStart"/>
      <w:r w:rsidR="00214642">
        <w:t>upto</w:t>
      </w:r>
      <w:proofErr w:type="spellEnd"/>
      <w:r w:rsidR="00214642">
        <w:t xml:space="preserve"> in the overall process.</w:t>
      </w:r>
    </w:p>
    <w:p w:rsidR="00F4601F" w:rsidRDefault="00C2387B" w:rsidP="00190F0F">
      <w:pPr>
        <w:pStyle w:val="ListBullet"/>
      </w:pPr>
      <w:r>
        <w:t>w</w:t>
      </w:r>
      <w:r w:rsidR="00C274C2">
        <w:t>hen close to completion</w:t>
      </w:r>
      <w:r w:rsidR="0027602C">
        <w:t xml:space="preserve">, </w:t>
      </w:r>
      <w:r w:rsidR="00C274C2">
        <w:t xml:space="preserve">we provide a </w:t>
      </w:r>
      <w:r w:rsidR="0028644A">
        <w:t>likely</w:t>
      </w:r>
      <w:r w:rsidR="00C274C2">
        <w:t xml:space="preserve"> date for the co</w:t>
      </w:r>
      <w:r>
        <w:t>mpletion of the costing request</w:t>
      </w:r>
    </w:p>
    <w:p w:rsidR="0027602C" w:rsidRDefault="00C2387B" w:rsidP="00190F0F">
      <w:pPr>
        <w:pStyle w:val="ListBullet"/>
      </w:pPr>
      <w:proofErr w:type="gramStart"/>
      <w:r>
        <w:t>w</w:t>
      </w:r>
      <w:r w:rsidR="0027602C">
        <w:t>hen</w:t>
      </w:r>
      <w:proofErr w:type="gramEnd"/>
      <w:r w:rsidR="0027602C">
        <w:t xml:space="preserve"> urgent and high priority requests are presented to the PBO, we provide more frequent (often daily or </w:t>
      </w:r>
      <w:proofErr w:type="spellStart"/>
      <w:r w:rsidR="0027602C">
        <w:t>intradaily</w:t>
      </w:r>
      <w:proofErr w:type="spellEnd"/>
      <w:r w:rsidR="0027602C">
        <w:t>) updates on progress and estimates of completion timeframes</w:t>
      </w:r>
      <w:r>
        <w:t>.</w:t>
      </w:r>
    </w:p>
    <w:p w:rsidR="00F4601F" w:rsidRDefault="00F77783" w:rsidP="00C626ED">
      <w:pPr>
        <w:pStyle w:val="BodyText"/>
      </w:pPr>
      <w:r>
        <w:t xml:space="preserve">For this process to work efficiently, requestors are asked to advise the PBO of the priority of their requests and specify whether there are any critical dates that the PBO should take into account in setting the timeframes for completing requests.  These could include expected policy announcement dates, </w:t>
      </w:r>
      <w:r w:rsidR="00AF6672">
        <w:t>p</w:t>
      </w:r>
      <w:r>
        <w:t>arliamentary committee reporting timeframes or expected timeframes for legislative debates.  In some cases</w:t>
      </w:r>
      <w:r w:rsidR="00AF6672">
        <w:t>,</w:t>
      </w:r>
      <w:r>
        <w:t xml:space="preserve"> requestors are </w:t>
      </w:r>
      <w:r w:rsidR="0060124D">
        <w:t xml:space="preserve">also </w:t>
      </w:r>
      <w:r>
        <w:t xml:space="preserve">asked to </w:t>
      </w:r>
      <w:r w:rsidR="0060124D">
        <w:t>consider refining</w:t>
      </w:r>
      <w:r>
        <w:t xml:space="preserve"> the number of options they would like the PBO to analyse in order to have their highest priority responses completed in a timelier manner.</w:t>
      </w:r>
    </w:p>
    <w:p w:rsidR="00883D7C" w:rsidRDefault="00883D7C" w:rsidP="00517B6E">
      <w:pPr>
        <w:pStyle w:val="Heading1"/>
        <w:spacing w:before="470" w:after="220"/>
      </w:pPr>
      <w:bookmarkStart w:id="9" w:name="_Toc503451072"/>
      <w:r>
        <w:t>Factors that affect response timeframes</w:t>
      </w:r>
      <w:bookmarkEnd w:id="9"/>
    </w:p>
    <w:p w:rsidR="00830F63" w:rsidRDefault="00883D7C" w:rsidP="00883D7C">
      <w:pPr>
        <w:pStyle w:val="BodyText"/>
      </w:pPr>
      <w:r>
        <w:t xml:space="preserve">The PBO endeavours to provide responses to requests as soon as possible.  </w:t>
      </w:r>
      <w:r w:rsidR="00AF6672">
        <w:t>As highlighted above, o</w:t>
      </w:r>
      <w:r>
        <w:t>nce each request’s priority relative to other requests has been determined</w:t>
      </w:r>
      <w:r w:rsidR="00046572">
        <w:t>,</w:t>
      </w:r>
      <w:r>
        <w:t xml:space="preserve"> the timeframe for responding to that request is estimated.  </w:t>
      </w:r>
    </w:p>
    <w:p w:rsidR="00883D7C" w:rsidRDefault="00883D7C" w:rsidP="00883D7C">
      <w:pPr>
        <w:pStyle w:val="BodyText"/>
      </w:pPr>
      <w:r>
        <w:t>This tim</w:t>
      </w:r>
      <w:r w:rsidR="00F77783">
        <w:t>eframe will depend on</w:t>
      </w:r>
      <w:r w:rsidR="00FA4A5C">
        <w:t xml:space="preserve"> the</w:t>
      </w:r>
      <w:r w:rsidR="00F77783">
        <w:t>:</w:t>
      </w:r>
    </w:p>
    <w:p w:rsidR="00883D7C" w:rsidRDefault="00883D7C" w:rsidP="00883D7C">
      <w:pPr>
        <w:pStyle w:val="ListBullet"/>
      </w:pPr>
      <w:r>
        <w:t xml:space="preserve">complexity of the request </w:t>
      </w:r>
    </w:p>
    <w:p w:rsidR="00FA4A5C" w:rsidRDefault="00FA4A5C" w:rsidP="00883D7C">
      <w:pPr>
        <w:pStyle w:val="ListBullet"/>
      </w:pPr>
      <w:r>
        <w:t>availability of information</w:t>
      </w:r>
    </w:p>
    <w:p w:rsidR="003A6C83" w:rsidRDefault="00830F63" w:rsidP="00883D7C">
      <w:pPr>
        <w:pStyle w:val="ListBullet"/>
      </w:pPr>
      <w:r>
        <w:t xml:space="preserve">analysis and model development </w:t>
      </w:r>
      <w:r w:rsidR="003A6C83">
        <w:t>required to meet the request</w:t>
      </w:r>
    </w:p>
    <w:p w:rsidR="00883D7C" w:rsidRDefault="003A6C83" w:rsidP="00883D7C">
      <w:pPr>
        <w:pStyle w:val="ListBullet"/>
      </w:pPr>
      <w:r>
        <w:t>extent to which different steps in the costing process can be undertaken concurrently</w:t>
      </w:r>
    </w:p>
    <w:p w:rsidR="003A6C83" w:rsidRDefault="00883D7C" w:rsidP="00190F0F">
      <w:pPr>
        <w:pStyle w:val="ListBullet"/>
      </w:pPr>
      <w:proofErr w:type="gramStart"/>
      <w:r>
        <w:t>available</w:t>
      </w:r>
      <w:proofErr w:type="gramEnd"/>
      <w:r>
        <w:t xml:space="preserve"> resources</w:t>
      </w:r>
      <w:r w:rsidR="00F77783">
        <w:t xml:space="preserve"> given competing priorities</w:t>
      </w:r>
      <w:r w:rsidR="003A6C83">
        <w:t xml:space="preserve"> across all requests.  </w:t>
      </w:r>
    </w:p>
    <w:p w:rsidR="00883D7C" w:rsidRDefault="00883D7C" w:rsidP="00883D7C">
      <w:pPr>
        <w:pStyle w:val="BodyText"/>
      </w:pPr>
      <w:r>
        <w:t xml:space="preserve">Simple requests and updates of previous requests </w:t>
      </w:r>
      <w:r w:rsidR="00AF6672">
        <w:t>can</w:t>
      </w:r>
      <w:r>
        <w:t xml:space="preserve"> be completed more quickly than complex requests or requests that have not been costed before.  Simple requests are those which do not require </w:t>
      </w:r>
      <w:r w:rsidR="00830F63">
        <w:t xml:space="preserve">the construction of models, substantial research and analysis, or </w:t>
      </w:r>
      <w:r>
        <w:t>information to be so</w:t>
      </w:r>
      <w:r w:rsidR="00830F63">
        <w:t>ught from agencies</w:t>
      </w:r>
      <w:r>
        <w:t xml:space="preserve">.    </w:t>
      </w:r>
    </w:p>
    <w:p w:rsidR="00830F63" w:rsidRPr="00B10082" w:rsidRDefault="00883D7C" w:rsidP="00830F63">
      <w:pPr>
        <w:pStyle w:val="BodyText"/>
      </w:pPr>
      <w:r>
        <w:t xml:space="preserve">Complex requests require more time </w:t>
      </w:r>
      <w:r w:rsidR="00830F63">
        <w:t xml:space="preserve">for completion due to a number of different factors.  </w:t>
      </w:r>
      <w:r w:rsidR="00830F63" w:rsidRPr="00B10082">
        <w:t>Generally</w:t>
      </w:r>
      <w:r w:rsidR="00830F63">
        <w:t>,</w:t>
      </w:r>
      <w:r w:rsidR="00830F63" w:rsidRPr="00B10082">
        <w:t xml:space="preserve"> requests that involve making significant changes to a complex area or areas of the tax or outlays systems will require more resources in order to</w:t>
      </w:r>
      <w:r w:rsidR="00830F63">
        <w:t>:</w:t>
      </w:r>
    </w:p>
    <w:p w:rsidR="00830F63" w:rsidRDefault="00830F63" w:rsidP="00830F63">
      <w:pPr>
        <w:pStyle w:val="ListBullet"/>
      </w:pPr>
      <w:r>
        <w:t>understand the baseline policy</w:t>
      </w:r>
      <w:r w:rsidR="003A6C83">
        <w:t xml:space="preserve"> and</w:t>
      </w:r>
      <w:r>
        <w:t xml:space="preserve"> the details of the policy proposal</w:t>
      </w:r>
      <w:r w:rsidR="003A6C83">
        <w:t>, including interactions with other policies and programs</w:t>
      </w:r>
    </w:p>
    <w:p w:rsidR="00830F63" w:rsidRDefault="00830F63" w:rsidP="00830F63">
      <w:pPr>
        <w:pStyle w:val="ListBullet"/>
      </w:pPr>
      <w:r>
        <w:t>request and receive detailed information from Commonwealth agencies</w:t>
      </w:r>
    </w:p>
    <w:p w:rsidR="00830F63" w:rsidRDefault="00830F63" w:rsidP="00830F63">
      <w:pPr>
        <w:pStyle w:val="ListBullet"/>
      </w:pPr>
      <w:r>
        <w:t>build a model to undertake the costing, including making judgements about behavioural responses and interactions, where relevant</w:t>
      </w:r>
    </w:p>
    <w:p w:rsidR="00830F63" w:rsidRDefault="003A6C83" w:rsidP="00830F63">
      <w:pPr>
        <w:pStyle w:val="ListBullet"/>
      </w:pPr>
      <w:proofErr w:type="gramStart"/>
      <w:r>
        <w:t>provide</w:t>
      </w:r>
      <w:proofErr w:type="gramEnd"/>
      <w:r>
        <w:t xml:space="preserve"> f</w:t>
      </w:r>
      <w:r w:rsidR="00830F63">
        <w:t>ollow up</w:t>
      </w:r>
      <w:r>
        <w:t xml:space="preserve"> support to the request</w:t>
      </w:r>
      <w:r w:rsidR="00406E53">
        <w:t>o</w:t>
      </w:r>
      <w:r>
        <w:t>r, explaining details of</w:t>
      </w:r>
      <w:r w:rsidR="00830F63">
        <w:t xml:space="preserve"> the response.</w:t>
      </w:r>
    </w:p>
    <w:p w:rsidR="00830F63" w:rsidRDefault="00830F63" w:rsidP="00830F63">
      <w:pPr>
        <w:pStyle w:val="BodyText"/>
      </w:pPr>
      <w:r>
        <w:t xml:space="preserve">Resource constraints may arise both within the PBO and in agencies from which information needs to be obtained.  </w:t>
      </w:r>
    </w:p>
    <w:p w:rsidR="0052740B" w:rsidRDefault="0052740B" w:rsidP="00883D7C">
      <w:pPr>
        <w:pStyle w:val="BodyText"/>
      </w:pPr>
      <w:r>
        <w:t xml:space="preserve">Complex high priority requests may be </w:t>
      </w:r>
      <w:r w:rsidR="00046572">
        <w:t xml:space="preserve">completed </w:t>
      </w:r>
      <w:r>
        <w:t>after s</w:t>
      </w:r>
      <w:r w:rsidR="003A6C83">
        <w:t xml:space="preserve">imple </w:t>
      </w:r>
      <w:r>
        <w:t xml:space="preserve">lower priority </w:t>
      </w:r>
      <w:r w:rsidR="003A6C83">
        <w:t>requests</w:t>
      </w:r>
      <w:r w:rsidR="00046572">
        <w:t xml:space="preserve"> in situations where the PBO is dependent on </w:t>
      </w:r>
      <w:r w:rsidR="003A6C83">
        <w:t>data</w:t>
      </w:r>
      <w:r w:rsidR="00046572">
        <w:t xml:space="preserve"> or significant model development to complete the more complex request</w:t>
      </w:r>
      <w:r w:rsidR="003A6C83">
        <w:t>.</w:t>
      </w:r>
      <w:r w:rsidR="0028644A">
        <w:t xml:space="preserve"> </w:t>
      </w:r>
      <w:r w:rsidR="003A6C83">
        <w:t xml:space="preserve"> </w:t>
      </w:r>
    </w:p>
    <w:p w:rsidR="00883D7C" w:rsidRPr="00B10082" w:rsidRDefault="003A6C83" w:rsidP="00883D7C">
      <w:pPr>
        <w:pStyle w:val="BodyText"/>
      </w:pPr>
      <w:r>
        <w:t xml:space="preserve">Allocating resources to develop models to respond to more complex requests will </w:t>
      </w:r>
      <w:r w:rsidR="00E97FF2">
        <w:t>increase</w:t>
      </w:r>
      <w:r>
        <w:t xml:space="preserve"> average response times for all other requests.  </w:t>
      </w:r>
      <w:r w:rsidR="00883D7C" w:rsidRPr="00B10082">
        <w:t xml:space="preserve">   </w:t>
      </w:r>
    </w:p>
    <w:p w:rsidR="006C1746" w:rsidRDefault="00A038B6" w:rsidP="006C1746">
      <w:pPr>
        <w:pStyle w:val="BodyText"/>
      </w:pPr>
      <w:r>
        <w:t>From time to time, s</w:t>
      </w:r>
      <w:r w:rsidR="006C1746">
        <w:t xml:space="preserve">ome requests </w:t>
      </w:r>
      <w:r>
        <w:t>are</w:t>
      </w:r>
      <w:r w:rsidR="006C1746">
        <w:t xml:space="preserve"> put ‘on hold’</w:t>
      </w:r>
      <w:r w:rsidR="00544658">
        <w:t xml:space="preserve"> by the PBO</w:t>
      </w:r>
      <w:r w:rsidR="0023121A">
        <w:t xml:space="preserve"> which implies that no resources are allocated to progressing the request</w:t>
      </w:r>
      <w:r w:rsidR="006C1746">
        <w:t>.  This occurs when either:</w:t>
      </w:r>
    </w:p>
    <w:p w:rsidR="00544658" w:rsidRDefault="00544658" w:rsidP="006C1746">
      <w:pPr>
        <w:pStyle w:val="ListBullet"/>
      </w:pPr>
      <w:r>
        <w:t>the PBO requires a clarification of the specification included in a request and has sought that clarification but has</w:t>
      </w:r>
      <w:r w:rsidR="00C2387B">
        <w:t xml:space="preserve"> not yet received a response</w:t>
      </w:r>
    </w:p>
    <w:p w:rsidR="006C1746" w:rsidRDefault="00544658" w:rsidP="006C1746">
      <w:pPr>
        <w:pStyle w:val="ListBullet"/>
      </w:pPr>
      <w:proofErr w:type="gramStart"/>
      <w:r>
        <w:t>t</w:t>
      </w:r>
      <w:r w:rsidR="006C1746">
        <w:t>he</w:t>
      </w:r>
      <w:proofErr w:type="gramEnd"/>
      <w:r w:rsidR="006C1746">
        <w:t xml:space="preserve"> requesting parliamentarian </w:t>
      </w:r>
      <w:r>
        <w:t xml:space="preserve">advises that the </w:t>
      </w:r>
      <w:r w:rsidR="006C1746">
        <w:t>request</w:t>
      </w:r>
      <w:r>
        <w:t xml:space="preserve"> should be afforded a low priority relative to other requests and there are a significant number of outstanding requests.</w:t>
      </w:r>
    </w:p>
    <w:p w:rsidR="006C1746" w:rsidRDefault="00544658" w:rsidP="006C1746">
      <w:pPr>
        <w:pStyle w:val="BodyText"/>
      </w:pPr>
      <w:r>
        <w:t xml:space="preserve">We will not proceed with </w:t>
      </w:r>
      <w:r w:rsidR="002005F9">
        <w:t xml:space="preserve">an ‘on hold’ </w:t>
      </w:r>
      <w:r>
        <w:t xml:space="preserve">request until either the parliamentarian advises that </w:t>
      </w:r>
      <w:r w:rsidR="0023121A">
        <w:t>the priority afforded that costing has increased or</w:t>
      </w:r>
      <w:r>
        <w:t xml:space="preserve"> where the requested policy clarification has been received.  </w:t>
      </w:r>
      <w:r w:rsidR="006C1746">
        <w:t>The PBO review</w:t>
      </w:r>
      <w:r>
        <w:t>s</w:t>
      </w:r>
      <w:r w:rsidR="006C1746">
        <w:t xml:space="preserve"> th</w:t>
      </w:r>
      <w:r>
        <w:t>e</w:t>
      </w:r>
      <w:r w:rsidR="006C1746">
        <w:t xml:space="preserve"> status </w:t>
      </w:r>
      <w:r>
        <w:t xml:space="preserve">of </w:t>
      </w:r>
      <w:r w:rsidR="002005F9">
        <w:t>‘</w:t>
      </w:r>
      <w:r>
        <w:t>on</w:t>
      </w:r>
      <w:r w:rsidR="002005F9">
        <w:t xml:space="preserve"> </w:t>
      </w:r>
      <w:r>
        <w:t>hold</w:t>
      </w:r>
      <w:r w:rsidR="002005F9">
        <w:t>’</w:t>
      </w:r>
      <w:r>
        <w:t xml:space="preserve"> requests </w:t>
      </w:r>
      <w:r w:rsidR="006C1746">
        <w:t xml:space="preserve">with the parliamentarian </w:t>
      </w:r>
      <w:r>
        <w:t xml:space="preserve">or party </w:t>
      </w:r>
      <w:r w:rsidR="006C1746">
        <w:t xml:space="preserve">concerned </w:t>
      </w:r>
      <w:r>
        <w:t>on a regular basis</w:t>
      </w:r>
      <w:r w:rsidR="006C1746">
        <w:t>.</w:t>
      </w:r>
      <w:r w:rsidR="0023121A" w:rsidRPr="0023121A">
        <w:t xml:space="preserve"> </w:t>
      </w:r>
      <w:r w:rsidR="0023121A">
        <w:t xml:space="preserve">The period when a costing request is ‘on hold’ is not captured in PBO statistics that capture response timeframes.  </w:t>
      </w:r>
    </w:p>
    <w:p w:rsidR="00E074BE" w:rsidRDefault="00D51262" w:rsidP="00517B6E">
      <w:pPr>
        <w:pStyle w:val="Heading1"/>
        <w:spacing w:before="470" w:after="220"/>
      </w:pPr>
      <w:bookmarkStart w:id="10" w:name="_Toc503451073"/>
      <w:r>
        <w:t xml:space="preserve">Our </w:t>
      </w:r>
      <w:r w:rsidR="004C0E41">
        <w:t>priority setting framework</w:t>
      </w:r>
      <w:bookmarkEnd w:id="10"/>
    </w:p>
    <w:p w:rsidR="000A3CF1" w:rsidRDefault="00BA515F" w:rsidP="00190F0F">
      <w:pPr>
        <w:pStyle w:val="BodyText"/>
        <w:keepNext/>
        <w:keepLines/>
      </w:pPr>
      <w:r>
        <w:t>As the PBO has limited resources to complete its work it is important to prioritise</w:t>
      </w:r>
      <w:r w:rsidR="0060124D">
        <w:t xml:space="preserve"> requests that are submitted</w:t>
      </w:r>
      <w:r>
        <w:t xml:space="preserve">.  </w:t>
      </w:r>
      <w:r w:rsidR="00D51262">
        <w:t xml:space="preserve">Setting priorities requires judgment, and </w:t>
      </w:r>
      <w:r w:rsidR="00023809">
        <w:t xml:space="preserve">involves </w:t>
      </w:r>
      <w:r w:rsidR="00D51262">
        <w:t xml:space="preserve">decisions </w:t>
      </w:r>
      <w:r w:rsidR="00023809">
        <w:t>being</w:t>
      </w:r>
      <w:r w:rsidR="00D51262">
        <w:t xml:space="preserve"> made about which pieces of work will </w:t>
      </w:r>
      <w:r w:rsidR="0060124D">
        <w:t>receive the most resources</w:t>
      </w:r>
      <w:r w:rsidR="00D51262">
        <w:t xml:space="preserve">.  </w:t>
      </w:r>
      <w:r w:rsidR="00023809">
        <w:t>Amongst a set of requests involving of a similar level of complexity, this determines which requests will be completed first.</w:t>
      </w:r>
      <w:r w:rsidR="000A3CF1">
        <w:t xml:space="preserve">  </w:t>
      </w:r>
    </w:p>
    <w:p w:rsidR="002005F9" w:rsidRDefault="002005F9" w:rsidP="00190F0F">
      <w:pPr>
        <w:pStyle w:val="BodyText"/>
        <w:keepNext/>
        <w:keepLines/>
      </w:pPr>
      <w:r>
        <w:t>The priority setting framework set out below aims to set the priority given to particular parliamentarian requests against all other outstanding requests that have been submitted to the PBO.  The framework aims to ensure the equitable sharing of our services amongst parliamentarians taking account of factors such as the relevance of particular issues in the contemporary debate</w:t>
      </w:r>
      <w:r w:rsidR="00873D6F">
        <w:t xml:space="preserve"> and the priority that </w:t>
      </w:r>
      <w:proofErr w:type="spellStart"/>
      <w:r w:rsidR="00873D6F">
        <w:t>Parliamentariesn</w:t>
      </w:r>
      <w:proofErr w:type="spellEnd"/>
      <w:r w:rsidR="00873D6F">
        <w:t xml:space="preserve"> place on individual requests.</w:t>
      </w:r>
    </w:p>
    <w:p w:rsidR="00D51262" w:rsidRDefault="00D51262" w:rsidP="00190F0F">
      <w:pPr>
        <w:pStyle w:val="BodyText"/>
        <w:keepNext/>
        <w:keepLines/>
      </w:pPr>
      <w:r>
        <w:t xml:space="preserve">The PBO seeks to remove the subjectivity from the priority decision making process by consistently applying a </w:t>
      </w:r>
      <w:r w:rsidR="00BA515F">
        <w:t>priority setting framework</w:t>
      </w:r>
      <w:r>
        <w:t xml:space="preserve"> at the time </w:t>
      </w:r>
      <w:r w:rsidR="00023809">
        <w:t xml:space="preserve">at </w:t>
      </w:r>
      <w:r>
        <w:t xml:space="preserve">which a costing is received and </w:t>
      </w:r>
      <w:r w:rsidR="00023809">
        <w:t xml:space="preserve">then reviewing this </w:t>
      </w:r>
      <w:r>
        <w:t>on an ongoing basis</w:t>
      </w:r>
      <w:r w:rsidR="00BA515F">
        <w:t xml:space="preserve"> </w:t>
      </w:r>
      <w:r w:rsidR="00023809">
        <w:t xml:space="preserve">through the process of </w:t>
      </w:r>
      <w:r w:rsidR="00BA515F">
        <w:t>the costing being completed</w:t>
      </w:r>
      <w:r>
        <w:t xml:space="preserve">.  </w:t>
      </w:r>
    </w:p>
    <w:p w:rsidR="006375AD" w:rsidRDefault="006375AD">
      <w:pPr>
        <w:rPr>
          <w:rFonts w:cs="Times New Roman"/>
          <w:spacing w:val="-1"/>
        </w:rPr>
      </w:pPr>
      <w:r>
        <w:br w:type="page"/>
      </w:r>
    </w:p>
    <w:p w:rsidR="00D51262" w:rsidRDefault="006C597C" w:rsidP="00D51262">
      <w:pPr>
        <w:pStyle w:val="BodyText"/>
      </w:pPr>
      <w:r>
        <w:t>The PBO’s priority setting framework applies the following criter</w:t>
      </w:r>
      <w:r w:rsidR="00DF758F">
        <w:t>ia</w:t>
      </w:r>
      <w:r>
        <w:t xml:space="preserve"> in the order set out below. </w:t>
      </w:r>
      <w:r w:rsidR="00D51262">
        <w:t xml:space="preserve"> </w:t>
      </w:r>
    </w:p>
    <w:tbl>
      <w:tblPr>
        <w:tblStyle w:val="PullOutBoxTable"/>
        <w:tblpPr w:leftFromText="180" w:rightFromText="180" w:vertAnchor="text" w:horzAnchor="margin" w:tblpY="24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600" w:firstRow="0" w:lastRow="0" w:firstColumn="0" w:lastColumn="0" w:noHBand="1" w:noVBand="1"/>
      </w:tblPr>
      <w:tblGrid>
        <w:gridCol w:w="271"/>
        <w:gridCol w:w="8042"/>
      </w:tblGrid>
      <w:tr w:rsidR="00D36347" w:rsidTr="00BF3319">
        <w:trPr>
          <w:trHeight w:val="895"/>
        </w:trPr>
        <w:tc>
          <w:tcPr>
            <w:tcW w:w="163" w:type="pct"/>
            <w:shd w:val="clear" w:color="auto" w:fill="8B468C" w:themeFill="accent5" w:themeFillShade="BF"/>
          </w:tcPr>
          <w:p w:rsidR="00D36347" w:rsidRPr="00B627C9" w:rsidRDefault="00D36347" w:rsidP="00D36347">
            <w:pPr>
              <w:pStyle w:val="PullOutBoxHeading"/>
              <w:rPr>
                <w:sz w:val="22"/>
              </w:rPr>
            </w:pPr>
          </w:p>
        </w:tc>
        <w:tc>
          <w:tcPr>
            <w:tcW w:w="4837" w:type="pct"/>
            <w:shd w:val="clear" w:color="auto" w:fill="E3E5E6" w:themeFill="accent6" w:themeFillTint="33"/>
          </w:tcPr>
          <w:p w:rsidR="00D36347" w:rsidRPr="000D077A" w:rsidRDefault="00D36347" w:rsidP="00BF3319">
            <w:pPr>
              <w:pStyle w:val="Heading5"/>
              <w:framePr w:hSpace="0" w:wrap="auto" w:vAnchor="margin" w:hAnchor="text" w:yAlign="inline"/>
              <w:outlineLvl w:val="4"/>
            </w:pPr>
            <w:r w:rsidRPr="000D077A">
              <w:t>Priority setting framework criter</w:t>
            </w:r>
            <w:r w:rsidR="00DF758F" w:rsidRPr="000D077A">
              <w:t>ia</w:t>
            </w:r>
          </w:p>
          <w:p w:rsidR="00CD307B" w:rsidRPr="00BF3319" w:rsidRDefault="00CD307B" w:rsidP="00190F0F">
            <w:pPr>
              <w:pStyle w:val="PullOutBoxNumber"/>
              <w:numPr>
                <w:ilvl w:val="0"/>
                <w:numId w:val="32"/>
              </w:numPr>
            </w:pPr>
            <w:r w:rsidRPr="00BF3319">
              <w:t>Relevance of the request to matters before the Parliament or soon to be before the Parliament</w:t>
            </w:r>
          </w:p>
          <w:p w:rsidR="00CD307B" w:rsidRPr="00BF3319" w:rsidRDefault="006E6885" w:rsidP="00190F0F">
            <w:pPr>
              <w:pStyle w:val="PullOutBoxNumber"/>
            </w:pPr>
            <w:r w:rsidRPr="00BF3319">
              <w:t>Level of priority given to the request by the parliamentarian’s political party and/or the parliamentarian</w:t>
            </w:r>
          </w:p>
          <w:p w:rsidR="00CD307B" w:rsidRPr="00BF3319" w:rsidRDefault="00CD307B" w:rsidP="00190F0F">
            <w:pPr>
              <w:pStyle w:val="PullOutBoxNumber"/>
            </w:pPr>
            <w:r w:rsidRPr="00BF3319">
              <w:t xml:space="preserve">Level of representation of the requesting political party in the Parliament </w:t>
            </w:r>
          </w:p>
          <w:p w:rsidR="00CD307B" w:rsidRPr="00BF3319" w:rsidRDefault="00CD307B" w:rsidP="00190F0F">
            <w:pPr>
              <w:pStyle w:val="PullOutBoxNumber"/>
            </w:pPr>
            <w:r w:rsidRPr="00BF3319">
              <w:t xml:space="preserve">Extent to which the parliamentarian or party has recently made use of the PBO’s services </w:t>
            </w:r>
          </w:p>
          <w:p w:rsidR="00D36347" w:rsidRPr="00CD307B" w:rsidRDefault="006E6885" w:rsidP="00190F0F">
            <w:pPr>
              <w:pStyle w:val="PullOutBoxNumber"/>
              <w:rPr>
                <w:b/>
              </w:rPr>
            </w:pPr>
            <w:r w:rsidRPr="00BF3319">
              <w:t>Length of time that a request has been with the PBO</w:t>
            </w:r>
          </w:p>
        </w:tc>
      </w:tr>
    </w:tbl>
    <w:p w:rsidR="00201AC4" w:rsidRDefault="00201AC4" w:rsidP="000D077A">
      <w:pPr>
        <w:pStyle w:val="BodyText17ptAbove"/>
      </w:pPr>
      <w:r>
        <w:t>Note that at the time of an election, w</w:t>
      </w:r>
      <w:r w:rsidRPr="00E074BE">
        <w:t xml:space="preserve">hether </w:t>
      </w:r>
      <w:r>
        <w:t>a</w:t>
      </w:r>
      <w:r w:rsidRPr="00E074BE">
        <w:t xml:space="preserve"> request is a non-caretaker or caretaker request </w:t>
      </w:r>
      <w:r>
        <w:t>is</w:t>
      </w:r>
      <w:r w:rsidRPr="00E074BE">
        <w:t xml:space="preserve"> also an important factor in determining</w:t>
      </w:r>
      <w:r>
        <w:t xml:space="preserve"> the timing</w:t>
      </w:r>
      <w:r w:rsidR="00390FB0">
        <w:t xml:space="preserve"> of its completion</w:t>
      </w:r>
      <w:r w:rsidRPr="00E074BE">
        <w:t>.  During the caretaker period the PBO prioritise</w:t>
      </w:r>
      <w:r>
        <w:t>s</w:t>
      </w:r>
      <w:r w:rsidRPr="00E074BE">
        <w:t xml:space="preserve"> </w:t>
      </w:r>
      <w:r w:rsidR="002005F9">
        <w:t xml:space="preserve">costing requests received in the </w:t>
      </w:r>
      <w:r w:rsidRPr="00E074BE">
        <w:t xml:space="preserve">caretaker </w:t>
      </w:r>
      <w:r w:rsidR="002005F9">
        <w:t>period</w:t>
      </w:r>
      <w:r w:rsidR="002005F9" w:rsidRPr="00E074BE">
        <w:t xml:space="preserve"> </w:t>
      </w:r>
      <w:r w:rsidRPr="00E074BE">
        <w:t>over requests that were lodged prior to the start of the caretaker period.</w:t>
      </w:r>
    </w:p>
    <w:p w:rsidR="00D36347" w:rsidRDefault="00D36347" w:rsidP="00D36347">
      <w:pPr>
        <w:pStyle w:val="BodyText"/>
      </w:pPr>
      <w:r>
        <w:t xml:space="preserve">The </w:t>
      </w:r>
      <w:r w:rsidR="00046572">
        <w:t xml:space="preserve">rest of this </w:t>
      </w:r>
      <w:r>
        <w:t>section work</w:t>
      </w:r>
      <w:r w:rsidR="00046572">
        <w:t>s</w:t>
      </w:r>
      <w:r>
        <w:t xml:space="preserve"> through each </w:t>
      </w:r>
      <w:r w:rsidR="00AC336D">
        <w:t>of the</w:t>
      </w:r>
      <w:r>
        <w:t xml:space="preserve"> criter</w:t>
      </w:r>
      <w:r w:rsidR="00AC336D">
        <w:t>ion</w:t>
      </w:r>
      <w:r>
        <w:t xml:space="preserve">, providing </w:t>
      </w:r>
      <w:r w:rsidR="00023809">
        <w:t xml:space="preserve">additional </w:t>
      </w:r>
      <w:r>
        <w:t xml:space="preserve">detail on how these are applied. </w:t>
      </w:r>
      <w:r w:rsidR="00AC336D">
        <w:t xml:space="preserve"> </w:t>
      </w:r>
      <w:r w:rsidR="009B0B98">
        <w:t xml:space="preserve">It is </w:t>
      </w:r>
      <w:r w:rsidR="001F7452">
        <w:t>important to emphasise at the outset</w:t>
      </w:r>
      <w:r w:rsidR="009B0B98">
        <w:t xml:space="preserve"> that these criteria and the framework we apply does not limit what can be requested by a </w:t>
      </w:r>
      <w:proofErr w:type="gramStart"/>
      <w:r w:rsidR="009B0B98">
        <w:t>member</w:t>
      </w:r>
      <w:proofErr w:type="gramEnd"/>
      <w:r w:rsidR="009B0B98">
        <w:t xml:space="preserve"> of Parliament</w:t>
      </w:r>
      <w:r w:rsidR="001F7452">
        <w:t>, rather, it</w:t>
      </w:r>
      <w:r w:rsidR="009B0B98">
        <w:t xml:space="preserve"> affect</w:t>
      </w:r>
      <w:r w:rsidR="001F7452">
        <w:t>s</w:t>
      </w:r>
      <w:r w:rsidR="009B0B98">
        <w:t xml:space="preserve"> the timing of when requests may be completed.</w:t>
      </w:r>
    </w:p>
    <w:p w:rsidR="00D51262" w:rsidRPr="00BD0061" w:rsidRDefault="00D36347" w:rsidP="00D51262">
      <w:pPr>
        <w:pStyle w:val="Heading2"/>
        <w:numPr>
          <w:ilvl w:val="0"/>
          <w:numId w:val="0"/>
        </w:numPr>
        <w:spacing w:line="288" w:lineRule="auto"/>
      </w:pPr>
      <w:bookmarkStart w:id="11" w:name="_Toc503451074"/>
      <w:r>
        <w:t>Criteri</w:t>
      </w:r>
      <w:r w:rsidR="00DF758F">
        <w:t>on</w:t>
      </w:r>
      <w:r>
        <w:t xml:space="preserve"> </w:t>
      </w:r>
      <w:r w:rsidR="00D51262" w:rsidRPr="00E074BE">
        <w:t>1</w:t>
      </w:r>
      <w:r w:rsidR="00D51262">
        <w:t xml:space="preserve">: </w:t>
      </w:r>
      <w:r w:rsidR="00774E42">
        <w:t>The r</w:t>
      </w:r>
      <w:r w:rsidR="00D51262" w:rsidRPr="00BD0061">
        <w:rPr>
          <w:color w:val="2B3B5F" w:themeColor="accent1"/>
        </w:rPr>
        <w:t>elevance of the request to matters before the Parliament</w:t>
      </w:r>
      <w:bookmarkEnd w:id="11"/>
    </w:p>
    <w:p w:rsidR="00D51262" w:rsidRDefault="00D51262" w:rsidP="00D51262">
      <w:pPr>
        <w:pStyle w:val="BodyText"/>
      </w:pPr>
      <w:r>
        <w:t xml:space="preserve">The </w:t>
      </w:r>
      <w:r w:rsidR="00D36347">
        <w:t>highest</w:t>
      </w:r>
      <w:r>
        <w:t xml:space="preserve"> priority </w:t>
      </w:r>
      <w:r w:rsidR="00D36347">
        <w:t xml:space="preserve">is placed on </w:t>
      </w:r>
      <w:r>
        <w:t>request</w:t>
      </w:r>
      <w:r w:rsidR="00D36347">
        <w:t>s relating</w:t>
      </w:r>
      <w:r>
        <w:t xml:space="preserve"> to matters before the Parliament</w:t>
      </w:r>
      <w:r w:rsidR="00D36347">
        <w:t>,</w:t>
      </w:r>
      <w:r>
        <w:t xml:space="preserve"> or soon to be before the Parliament.  </w:t>
      </w:r>
    </w:p>
    <w:p w:rsidR="00D51262" w:rsidRDefault="00D51262" w:rsidP="00D51262">
      <w:pPr>
        <w:pStyle w:val="BodyText"/>
        <w:spacing w:after="240"/>
      </w:pPr>
      <w:r>
        <w:t xml:space="preserve">This </w:t>
      </w:r>
      <w:r w:rsidR="00DF758F">
        <w:t>criterion</w:t>
      </w:r>
      <w:r>
        <w:t xml:space="preserve"> </w:t>
      </w:r>
      <w:r w:rsidR="002005F9">
        <w:t xml:space="preserve">is particularly relevant in determining the </w:t>
      </w:r>
      <w:r w:rsidR="007E1CBF">
        <w:t xml:space="preserve">relative </w:t>
      </w:r>
      <w:r w:rsidR="002005F9">
        <w:t xml:space="preserve">priority of requests </w:t>
      </w:r>
      <w:r w:rsidR="007E1CBF">
        <w:t xml:space="preserve">received from different parliamentarians or parties.  It </w:t>
      </w:r>
      <w:r>
        <w:t xml:space="preserve">ensures that the PBO’s priority work is consistent with its mandate.  </w:t>
      </w:r>
      <w:r w:rsidR="00735569">
        <w:t xml:space="preserve">The PBO </w:t>
      </w:r>
      <w:r>
        <w:t>inform</w:t>
      </w:r>
      <w:r w:rsidR="00735569">
        <w:t>s</w:t>
      </w:r>
      <w:r>
        <w:t xml:space="preserve"> the Parliament by providing independent and non-partisan advice which aims to level the playing field for all Parliamentarians</w:t>
      </w:r>
      <w:r w:rsidR="00735569">
        <w:t xml:space="preserve">.  Our </w:t>
      </w:r>
      <w:r>
        <w:t>priority setting process must recognise</w:t>
      </w:r>
      <w:r w:rsidR="00023809">
        <w:t xml:space="preserve"> the importance of</w:t>
      </w:r>
      <w:r>
        <w:t xml:space="preserve"> requests that are closely linked to current parliamentary debate</w:t>
      </w:r>
      <w:r w:rsidR="00023809">
        <w:t>s</w:t>
      </w:r>
      <w:r>
        <w:t xml:space="preserve">, relate to upcoming Bills or </w:t>
      </w:r>
      <w:r w:rsidR="00023809">
        <w:t xml:space="preserve">relate to current </w:t>
      </w:r>
      <w:r>
        <w:t xml:space="preserve">Parliamentary committee inquiries.  </w:t>
      </w:r>
      <w:r w:rsidR="00E65CC2">
        <w:t xml:space="preserve">Critical dates for these parliamentary </w:t>
      </w:r>
      <w:r w:rsidR="00023809">
        <w:t xml:space="preserve">matters </w:t>
      </w:r>
      <w:r w:rsidR="00E65CC2">
        <w:t xml:space="preserve">are identified and </w:t>
      </w:r>
      <w:r w:rsidR="00735569">
        <w:t>we work</w:t>
      </w:r>
      <w:r w:rsidR="00E65CC2">
        <w:t xml:space="preserve"> backwards from these in planning </w:t>
      </w:r>
      <w:r w:rsidR="00735569">
        <w:t xml:space="preserve">our </w:t>
      </w:r>
      <w:r w:rsidR="00E65CC2">
        <w:t>costing processes to ensure that</w:t>
      </w:r>
      <w:r w:rsidR="00023809">
        <w:t xml:space="preserve">, wherever possible, </w:t>
      </w:r>
      <w:r w:rsidR="00E65CC2">
        <w:t xml:space="preserve">advice is provided in a timely manner. </w:t>
      </w:r>
    </w:p>
    <w:p w:rsidR="00AA4784" w:rsidRDefault="00AA4784" w:rsidP="00CB145F">
      <w:pPr>
        <w:pStyle w:val="Heading2"/>
        <w:numPr>
          <w:ilvl w:val="0"/>
          <w:numId w:val="0"/>
        </w:numPr>
      </w:pPr>
      <w:bookmarkStart w:id="12" w:name="_Toc503451075"/>
      <w:r>
        <w:t>Criterion</w:t>
      </w:r>
      <w:r w:rsidRPr="00E074BE">
        <w:t xml:space="preserve"> </w:t>
      </w:r>
      <w:r>
        <w:t xml:space="preserve">2: </w:t>
      </w:r>
      <w:r w:rsidRPr="00E074BE">
        <w:t>The level of priority given to the request by the parliamentarian’s political party and/or the parliamentarian</w:t>
      </w:r>
      <w:bookmarkEnd w:id="12"/>
      <w:r w:rsidRPr="00E074BE">
        <w:t xml:space="preserve"> </w:t>
      </w:r>
    </w:p>
    <w:p w:rsidR="00AA4784" w:rsidRDefault="00AA4784" w:rsidP="00AA4784">
      <w:pPr>
        <w:pStyle w:val="BodyText"/>
      </w:pPr>
      <w:r w:rsidRPr="00E074BE">
        <w:t xml:space="preserve">The </w:t>
      </w:r>
      <w:r>
        <w:t>second</w:t>
      </w:r>
      <w:r w:rsidRPr="00E074BE">
        <w:t xml:space="preserve"> </w:t>
      </w:r>
      <w:r>
        <w:t>criterion</w:t>
      </w:r>
      <w:r w:rsidRPr="00E074BE">
        <w:t xml:space="preserve"> is the level of priority given to the request by the parliamentarian’s political party and/or the parliamentarian.  This principle seeks input from the requestor as to the priority of the request relative to their other requests.  </w:t>
      </w:r>
    </w:p>
    <w:p w:rsidR="00AA4784" w:rsidRDefault="00AA4784" w:rsidP="00AA4784">
      <w:pPr>
        <w:pStyle w:val="BodyText"/>
      </w:pPr>
      <w:r>
        <w:t>This criterion is particularly important for major non-Government parties or independent members who make significant use of the PBO.  It enables the PBO to effectively prioritise within the set of requests received from a given party and to make adjustments from time to time within these requests when priorities change.</w:t>
      </w:r>
    </w:p>
    <w:p w:rsidR="00AA4784" w:rsidRDefault="006E6885" w:rsidP="00AA4784">
      <w:pPr>
        <w:pStyle w:val="BodyText"/>
      </w:pPr>
      <w:r>
        <w:t>The h</w:t>
      </w:r>
      <w:r w:rsidR="00AA4784">
        <w:t>igh</w:t>
      </w:r>
      <w:r>
        <w:t>est</w:t>
      </w:r>
      <w:r w:rsidR="00AA4784">
        <w:t xml:space="preserve"> priority requests from parties that do not directly relate to Parliamentary business, usually relate to internal party priorities around policy announcements.  While the PBO will always endeavour to complete costing requests in the timeframes required for policy announcements, it is not always possible given the complexity of requests and </w:t>
      </w:r>
      <w:r>
        <w:t>competing</w:t>
      </w:r>
      <w:r w:rsidR="00AA4784">
        <w:t xml:space="preserve"> priorities.  Consistency in prioritisation, clear communication around critical dates and close engagement through the costing process increases the likelihood that PBO costing</w:t>
      </w:r>
      <w:r w:rsidR="00046572">
        <w:t xml:space="preserve"> and budget analysis requests</w:t>
      </w:r>
      <w:r w:rsidR="00AA4784">
        <w:t xml:space="preserve"> can be completed in desired timeframes</w:t>
      </w:r>
      <w:r w:rsidR="00AA4784" w:rsidRPr="00E074BE">
        <w:t>.</w:t>
      </w:r>
    </w:p>
    <w:p w:rsidR="00D51262" w:rsidRPr="00BD0061" w:rsidRDefault="00D77581" w:rsidP="00CB145F">
      <w:pPr>
        <w:pStyle w:val="Heading2"/>
        <w:numPr>
          <w:ilvl w:val="0"/>
          <w:numId w:val="0"/>
        </w:numPr>
      </w:pPr>
      <w:bookmarkStart w:id="13" w:name="_Toc503451076"/>
      <w:r>
        <w:t>Criterion</w:t>
      </w:r>
      <w:r w:rsidR="00D51262" w:rsidRPr="00E074BE">
        <w:t xml:space="preserve"> </w:t>
      </w:r>
      <w:r w:rsidR="00AA4784">
        <w:t>3</w:t>
      </w:r>
      <w:r w:rsidR="00D51262">
        <w:t xml:space="preserve">: </w:t>
      </w:r>
      <w:r w:rsidR="00D51262" w:rsidRPr="00CB145F">
        <w:t>The level of representation of the party in the parliament</w:t>
      </w:r>
      <w:bookmarkEnd w:id="13"/>
    </w:p>
    <w:p w:rsidR="009B0B98" w:rsidRDefault="009B0B98" w:rsidP="009B0B98">
      <w:pPr>
        <w:pStyle w:val="BodyText"/>
      </w:pPr>
      <w:r>
        <w:t>To provide equitable access to PBO resources across the Parliament, our judgement is that the level of resources allocated across Parliamentary parties should broadly reflect their representation in the Parliament.  This implies that t</w:t>
      </w:r>
      <w:r w:rsidR="00D51262">
        <w:t xml:space="preserve">he larger non-government parties </w:t>
      </w:r>
      <w:r>
        <w:t xml:space="preserve">should generally </w:t>
      </w:r>
      <w:r w:rsidR="00D51262">
        <w:t>receive the majority of the PBO’s costing resources</w:t>
      </w:r>
      <w:r>
        <w:t xml:space="preserve">.  </w:t>
      </w:r>
    </w:p>
    <w:p w:rsidR="009B0B98" w:rsidRDefault="009B0B98" w:rsidP="009B0B98">
      <w:pPr>
        <w:pStyle w:val="BodyText"/>
        <w:spacing w:after="240"/>
      </w:pPr>
      <w:r>
        <w:t>Given that Government Senators and Members have access to the public service to undertake costing analysis on their behalf, the PBO considers it appropriate to prioritise non</w:t>
      </w:r>
      <w:r w:rsidR="00797F56">
        <w:noBreakHyphen/>
      </w:r>
      <w:r>
        <w:t xml:space="preserve">government parliamentary requests where there are competing priorities, although we recognise the value that PBO costings play in internal policy debates within </w:t>
      </w:r>
      <w:r w:rsidR="00CA14BB">
        <w:t xml:space="preserve">all </w:t>
      </w:r>
      <w:r>
        <w:t xml:space="preserve">parties.   </w:t>
      </w:r>
    </w:p>
    <w:p w:rsidR="00D51262" w:rsidRDefault="002B3EFF" w:rsidP="00D51262">
      <w:pPr>
        <w:pStyle w:val="Heading2"/>
        <w:numPr>
          <w:ilvl w:val="0"/>
          <w:numId w:val="0"/>
        </w:numPr>
      </w:pPr>
      <w:bookmarkStart w:id="14" w:name="_Toc503451077"/>
      <w:r>
        <w:t>Criterion</w:t>
      </w:r>
      <w:r w:rsidR="00D51262">
        <w:t xml:space="preserve"> </w:t>
      </w:r>
      <w:r w:rsidR="00AA4784">
        <w:t>4</w:t>
      </w:r>
      <w:r w:rsidR="00D51262">
        <w:t>: The extent to which the parliamentarian or party has made use of the PBO’s services</w:t>
      </w:r>
      <w:bookmarkEnd w:id="14"/>
      <w:r w:rsidR="00D51262">
        <w:t xml:space="preserve"> </w:t>
      </w:r>
    </w:p>
    <w:p w:rsidR="009B0B98" w:rsidRDefault="009B0B98" w:rsidP="009B0B98">
      <w:pPr>
        <w:pStyle w:val="BodyText"/>
        <w:spacing w:after="240"/>
      </w:pPr>
      <w:r w:rsidRPr="00E074BE">
        <w:t xml:space="preserve">This seeks to ensure an equitable sharing of </w:t>
      </w:r>
      <w:r>
        <w:t>our</w:t>
      </w:r>
      <w:r w:rsidRPr="00E074BE">
        <w:t xml:space="preserve"> services among </w:t>
      </w:r>
      <w:r>
        <w:t>members of Parliament over time</w:t>
      </w:r>
      <w:r w:rsidRPr="00E074BE">
        <w:t>.</w:t>
      </w:r>
      <w:r w:rsidRPr="009B0B98">
        <w:t xml:space="preserve"> </w:t>
      </w:r>
      <w:r w:rsidR="00E359F6">
        <w:t xml:space="preserve"> </w:t>
      </w:r>
      <w:r>
        <w:t xml:space="preserve">It takes into account </w:t>
      </w:r>
      <w:r w:rsidR="00D51262" w:rsidRPr="00E074BE">
        <w:t xml:space="preserve">the extent to which the parliamentarian or party has made use of </w:t>
      </w:r>
      <w:r w:rsidR="006B42A1">
        <w:t>our</w:t>
      </w:r>
      <w:r w:rsidR="00D51262" w:rsidRPr="00E074BE">
        <w:t xml:space="preserve"> services.  </w:t>
      </w:r>
    </w:p>
    <w:p w:rsidR="00023809" w:rsidRDefault="009B0B98" w:rsidP="00023809">
      <w:pPr>
        <w:pStyle w:val="BodyText"/>
      </w:pPr>
      <w:r>
        <w:t>The application of this criterion implies that</w:t>
      </w:r>
      <w:r w:rsidR="00CD542D">
        <w:t xml:space="preserve"> requests from</w:t>
      </w:r>
      <w:r>
        <w:t xml:space="preserve"> infrequent users of the PBO’s services</w:t>
      </w:r>
      <w:r w:rsidR="00CD542D">
        <w:t xml:space="preserve"> will be prioritised.  This criterion is important because it means that if</w:t>
      </w:r>
      <w:r>
        <w:t xml:space="preserve"> a minor Party or individual Parliamentarian </w:t>
      </w:r>
      <w:r w:rsidR="00CD542D">
        <w:t>makes</w:t>
      </w:r>
      <w:r>
        <w:t xml:space="preserve"> a number of requests </w:t>
      </w:r>
      <w:r w:rsidR="00CD542D">
        <w:t>of</w:t>
      </w:r>
      <w:r>
        <w:t xml:space="preserve"> the PBO</w:t>
      </w:r>
      <w:r w:rsidR="00CD542D">
        <w:t xml:space="preserve"> at a point in time, after having not used the PBO very much before, </w:t>
      </w:r>
      <w:r>
        <w:t xml:space="preserve">there is a preference to complete these requests as </w:t>
      </w:r>
      <w:r w:rsidR="00CD542D">
        <w:t>a high priority</w:t>
      </w:r>
      <w:r>
        <w:t>.</w:t>
      </w:r>
      <w:r w:rsidR="00CD542D">
        <w:t xml:space="preserve"> </w:t>
      </w:r>
    </w:p>
    <w:p w:rsidR="000C5D9A" w:rsidRDefault="000C5D9A" w:rsidP="00CB145F">
      <w:pPr>
        <w:pStyle w:val="Heading2"/>
        <w:numPr>
          <w:ilvl w:val="0"/>
          <w:numId w:val="0"/>
        </w:numPr>
      </w:pPr>
      <w:bookmarkStart w:id="15" w:name="_Toc503451078"/>
      <w:r>
        <w:t>Criterion</w:t>
      </w:r>
      <w:r w:rsidRPr="00E074BE">
        <w:t xml:space="preserve"> </w:t>
      </w:r>
      <w:r w:rsidR="006E6885">
        <w:t>5</w:t>
      </w:r>
      <w:r>
        <w:t>: Length of time that a request has been with the PBO</w:t>
      </w:r>
      <w:bookmarkEnd w:id="15"/>
    </w:p>
    <w:p w:rsidR="00B62060" w:rsidRDefault="005D197B" w:rsidP="00BA515F">
      <w:pPr>
        <w:pStyle w:val="BodyText"/>
      </w:pPr>
      <w:r>
        <w:t>The PBO aims to complete all requests in a timely manner</w:t>
      </w:r>
      <w:r w:rsidR="006E6885">
        <w:t xml:space="preserve">, but as discussed above, competition for resources makes this challenging. </w:t>
      </w:r>
      <w:r w:rsidR="00E359F6">
        <w:t xml:space="preserve"> </w:t>
      </w:r>
      <w:r w:rsidR="006E6885">
        <w:t xml:space="preserve">The final element of the prioritisation framework is to prioritise </w:t>
      </w:r>
      <w:r>
        <w:t>requests that have been with us for some time</w:t>
      </w:r>
      <w:r w:rsidR="006E6885">
        <w:t xml:space="preserve"> over requests which are afforded a similar priority by Parliamentarians which have only just been received</w:t>
      </w:r>
      <w:r>
        <w:t xml:space="preserve">.   </w:t>
      </w:r>
    </w:p>
    <w:p w:rsidR="00CD307B" w:rsidRDefault="00CD307B" w:rsidP="00E074BE"/>
    <w:p w:rsidR="00CB145F" w:rsidRDefault="00CB145F" w:rsidP="00CB145F">
      <w:pPr>
        <w:pStyle w:val="ListBullet"/>
        <w:numPr>
          <w:ilvl w:val="0"/>
          <w:numId w:val="0"/>
        </w:numPr>
        <w:ind w:left="454" w:hanging="454"/>
        <w:sectPr w:rsidR="00CB145F" w:rsidSect="00CB145F">
          <w:footerReference w:type="even" r:id="rId24"/>
          <w:footerReference w:type="default" r:id="rId25"/>
          <w:pgSz w:w="11907" w:h="16839" w:code="9"/>
          <w:pgMar w:top="1361" w:right="1797" w:bottom="1474" w:left="1797" w:header="283" w:footer="454" w:gutter="0"/>
          <w:pgNumType w:start="1"/>
          <w:cols w:space="708"/>
          <w:docGrid w:linePitch="360"/>
        </w:sectPr>
      </w:pPr>
    </w:p>
    <w:p w:rsidR="00CB145F" w:rsidRPr="00E074BE" w:rsidRDefault="00CB145F" w:rsidP="00CB145F">
      <w:pPr>
        <w:pStyle w:val="ListBullet"/>
        <w:numPr>
          <w:ilvl w:val="0"/>
          <w:numId w:val="0"/>
        </w:numPr>
        <w:ind w:left="454" w:hanging="454"/>
      </w:pPr>
      <w:r w:rsidRPr="003A2FBB">
        <w:rPr>
          <w:noProof/>
          <w:color w:val="FFFFFF" w:themeColor="background1"/>
          <w:sz w:val="72"/>
          <w:szCs w:val="72"/>
          <w:lang w:eastAsia="en-AU"/>
        </w:rPr>
        <mc:AlternateContent>
          <mc:Choice Requires="wpc">
            <w:drawing>
              <wp:anchor distT="0" distB="0" distL="114300" distR="114300" simplePos="0" relativeHeight="251659264" behindDoc="1" locked="0" layoutInCell="1" allowOverlap="1" wp14:anchorId="6773B56F" wp14:editId="5D0440A5">
                <wp:simplePos x="0" y="0"/>
                <wp:positionH relativeFrom="page">
                  <wp:posOffset>0</wp:posOffset>
                </wp:positionH>
                <wp:positionV relativeFrom="page">
                  <wp:posOffset>0</wp:posOffset>
                </wp:positionV>
                <wp:extent cx="7632000" cy="10692000"/>
                <wp:effectExtent l="0" t="0" r="7620" b="0"/>
                <wp:wrapTight wrapText="bothSides">
                  <wp:wrapPolygon edited="0">
                    <wp:start x="0" y="0"/>
                    <wp:lineTo x="0" y="21553"/>
                    <wp:lineTo x="21568" y="21553"/>
                    <wp:lineTo x="21568" y="0"/>
                    <wp:lineTo x="0" y="0"/>
                  </wp:wrapPolygon>
                </wp:wrapTight>
                <wp:docPr id="26" name="Canvas 26"/>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pic:pic xmlns:pic="http://schemas.openxmlformats.org/drawingml/2006/picture">
                        <pic:nvPicPr>
                          <pic:cNvPr id="24" name="Picture 24"/>
                          <pic:cNvPicPr preferRelativeResize="0">
                            <a:picLocks/>
                          </pic:cNvPicPr>
                        </pic:nvPicPr>
                        <pic:blipFill>
                          <a:blip r:embed="rId26" cstate="print">
                            <a:extLst>
                              <a:ext uri="{28A0092B-C50C-407E-A947-70E740481C1C}">
                                <a14:useLocalDpi xmlns:a14="http://schemas.microsoft.com/office/drawing/2010/main" val="0"/>
                              </a:ext>
                            </a:extLst>
                          </a:blip>
                          <a:stretch>
                            <a:fillRect/>
                          </a:stretch>
                        </pic:blipFill>
                        <pic:spPr>
                          <a:xfrm>
                            <a:off x="0" y="7454"/>
                            <a:ext cx="7563600" cy="10687050"/>
                          </a:xfrm>
                          <a:prstGeom prst="rect">
                            <a:avLst/>
                          </a:prstGeom>
                        </pic:spPr>
                      </pic:pic>
                      <wps:wsp>
                        <wps:cNvPr id="25" name="Text Box 2"/>
                        <wps:cNvSpPr txBox="1">
                          <a:spLocks noChangeArrowheads="1"/>
                        </wps:cNvSpPr>
                        <wps:spPr bwMode="auto">
                          <a:xfrm>
                            <a:off x="2520315" y="8763000"/>
                            <a:ext cx="2520000" cy="608400"/>
                          </a:xfrm>
                          <a:prstGeom prst="rect">
                            <a:avLst/>
                          </a:prstGeom>
                          <a:noFill/>
                          <a:ln w="9525">
                            <a:noFill/>
                            <a:miter lim="800000"/>
                            <a:headEnd/>
                            <a:tailEnd/>
                          </a:ln>
                        </wps:spPr>
                        <wps:txbx>
                          <w:txbxContent>
                            <w:p w:rsidR="00CB145F" w:rsidRPr="0061135C" w:rsidRDefault="00C95BA8" w:rsidP="009160FD">
                              <w:pPr>
                                <w:pStyle w:val="xBackPageWebAddress"/>
                                <w:jc w:val="center"/>
                              </w:pPr>
                              <w:hyperlink r:id="rId27" w:history="1">
                                <w:r w:rsidR="00CB145F" w:rsidRPr="0061135C">
                                  <w:t>www.pbo.gov.au</w:t>
                                </w:r>
                              </w:hyperlink>
                            </w:p>
                          </w:txbxContent>
                        </wps:txbx>
                        <wps:bodyPr rot="0" vert="horz" wrap="square" lIns="91440" tIns="45720" rIns="91440" bIns="45720" anchor="b" anchorCtr="0">
                          <a:noAutofit/>
                        </wps:bodyPr>
                      </wps:wsp>
                    </wpc:wpc>
                  </a:graphicData>
                </a:graphic>
                <wp14:sizeRelH relativeFrom="page">
                  <wp14:pctWidth>0</wp14:pctWidth>
                </wp14:sizeRelH>
                <wp14:sizeRelV relativeFrom="page">
                  <wp14:pctHeight>0</wp14:pctHeight>
                </wp14:sizeRelV>
              </wp:anchor>
            </w:drawing>
          </mc:Choice>
          <mc:Fallback>
            <w:pict>
              <v:group id="Canvas 26" o:spid="_x0000_s1026" editas="canvas" style="position:absolute;left:0;text-align:left;margin-left:0;margin-top:0;width:600.95pt;height:841.9pt;z-index:-251657216;mso-position-horizontal-relative:page;mso-position-vertical-relative:page" coordsize="76314,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314;height:106914;visibility:visible;mso-wrap-style:square" filled="t" fillcolor="white [3212]">
                  <v:fill o:detectmouseclick="t"/>
                  <v:path o:connecttype="none"/>
                </v:shape>
                <v:shape id="Picture 24" o:spid="_x0000_s1028" type="#_x0000_t75" style="position:absolute;top:74;width:75636;height:10687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DK7jFAAAA2wAAAA8AAABkcnMvZG93bnJldi54bWxEj0FrwkAUhO9C/8PyCl6k2VRESnQNbaBg&#10;oVBMS8DbI/tMgtm3aXabxH/vFgSPw8x8w2zTybRioN41lhU8RzEI4tLqhisFP9/vTy8gnEfW2Fom&#10;BRdykO4eZltMtB35QEPuKxEg7BJUUHvfJVK6siaDLrIdcfBOtjfog+wrqXscA9y0chnHa2mw4bBQ&#10;Y0dZTeU5/zMK8rHAc15dvmT2tjgeToX8/P0YlJo/Tq8bEJ4mfw/f2nutYLmC/y/hB8jd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wyu4xQAAANsAAAAPAAAAAAAAAAAAAAAA&#10;AJ8CAABkcnMvZG93bnJldi54bWxQSwUGAAAAAAQABAD3AAAAkQMAAAAA&#10;">
                  <v:imagedata r:id="rId28" o:title=""/>
                  <v:path arrowok="t"/>
                  <o:lock v:ext="edit" aspectratio="f"/>
                </v:shape>
                <v:shapetype id="_x0000_t202" coordsize="21600,21600" o:spt="202" path="m,l,21600r21600,l21600,xe">
                  <v:stroke joinstyle="miter"/>
                  <v:path gradientshapeok="t" o:connecttype="rect"/>
                </v:shapetype>
                <v:shape id="Text Box 2" o:spid="_x0000_s1029" type="#_x0000_t202" style="position:absolute;left:25203;top:87630;width:25200;height:60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mlsUA&#10;AADbAAAADwAAAGRycy9kb3ducmV2LnhtbESP0WrCQBRE3wv9h+UW+mY2SpSSukqxFfoi1rQfcJO9&#10;JrHZuyG7Mcnfu0Khj8PMnGHW29E04kqdqy0rmEcxCOLC6ppLBT/f+9kLCOeRNTaWScFEDrabx4c1&#10;ptoOfKJr5ksRIOxSVFB536ZSuqIigy6yLXHwzrYz6IPsSqk7HALcNHIRxytpsOawUGFLu4qK36w3&#10;Cj6+8ilP5pd98h5PuT4Oh13RH5R6fhrfXkF4Gv1/+K/9qRUsln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qaWxQAAANsAAAAPAAAAAAAAAAAAAAAAAJgCAABkcnMv&#10;ZG93bnJldi54bWxQSwUGAAAAAAQABAD1AAAAigMAAAAA&#10;" filled="f" stroked="f">
                  <v:textbox>
                    <w:txbxContent>
                      <w:p w:rsidR="00CB145F" w:rsidRPr="0061135C" w:rsidRDefault="000D077A" w:rsidP="009160FD">
                        <w:pPr>
                          <w:pStyle w:val="xBackPageWebAddress"/>
                          <w:jc w:val="center"/>
                        </w:pPr>
                        <w:hyperlink r:id="rId29" w:history="1">
                          <w:r w:rsidR="00CB145F" w:rsidRPr="0061135C">
                            <w:t>www.pbo.gov.au</w:t>
                          </w:r>
                        </w:hyperlink>
                      </w:p>
                    </w:txbxContent>
                  </v:textbox>
                </v:shape>
                <w10:wrap type="tight" anchorx="page" anchory="page"/>
              </v:group>
            </w:pict>
          </mc:Fallback>
        </mc:AlternateContent>
      </w:r>
    </w:p>
    <w:sectPr w:rsidR="00CB145F" w:rsidRPr="00E074BE" w:rsidSect="00CB145F">
      <w:footerReference w:type="even" r:id="rId30"/>
      <w:footerReference w:type="default" r:id="rId31"/>
      <w:type w:val="evenPage"/>
      <w:pgSz w:w="11907" w:h="16839"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98" w:rsidRDefault="009B0B98" w:rsidP="00A20802">
      <w:pPr>
        <w:spacing w:line="240" w:lineRule="auto"/>
      </w:pPr>
      <w:r>
        <w:separator/>
      </w:r>
    </w:p>
    <w:p w:rsidR="009B0B98" w:rsidRDefault="009B0B98"/>
  </w:endnote>
  <w:endnote w:type="continuationSeparator" w:id="0">
    <w:p w:rsidR="009B0B98" w:rsidRDefault="009B0B98" w:rsidP="00A20802">
      <w:pPr>
        <w:spacing w:line="240" w:lineRule="auto"/>
      </w:pPr>
      <w:r>
        <w:continuationSeparator/>
      </w:r>
    </w:p>
    <w:p w:rsidR="009B0B98" w:rsidRDefault="009B0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9B0B98" w:rsidRPr="00EB388E" w:rsidTr="00BF3333">
      <w:trPr>
        <w:trHeight w:val="567"/>
      </w:trPr>
      <w:tc>
        <w:tcPr>
          <w:tcW w:w="567" w:type="dxa"/>
          <w:tcBorders>
            <w:right w:val="single" w:sz="4" w:space="0" w:color="788184" w:themeColor="background2"/>
          </w:tcBorders>
          <w:vAlign w:val="center"/>
        </w:tcPr>
        <w:p w:rsidR="009B0B98" w:rsidRPr="00CB70DF" w:rsidRDefault="009B0B98" w:rsidP="00BF3333">
          <w:pPr>
            <w:pStyle w:val="FooterLeftPageNumber"/>
            <w:framePr w:wrap="auto" w:vAnchor="margin" w:hAnchor="text" w:yAlign="inline"/>
            <w:spacing w:before="0" w:after="0"/>
          </w:pPr>
          <w:r w:rsidRPr="00EB388E">
            <w:fldChar w:fldCharType="begin"/>
          </w:r>
          <w:r w:rsidRPr="00EB388E">
            <w:instrText xml:space="preserve"> PAGE   \* MERGEFORMAT </w:instrText>
          </w:r>
          <w:r w:rsidRPr="00EB388E">
            <w:fldChar w:fldCharType="separate"/>
          </w:r>
          <w:r w:rsidR="00440974">
            <w:rPr>
              <w:noProof/>
            </w:rPr>
            <w:t>vi</w:t>
          </w:r>
          <w:r w:rsidRPr="00EB388E">
            <w:fldChar w:fldCharType="end"/>
          </w:r>
        </w:p>
      </w:tc>
      <w:tc>
        <w:tcPr>
          <w:tcW w:w="8164" w:type="dxa"/>
          <w:tcBorders>
            <w:left w:val="single" w:sz="4" w:space="0" w:color="788184" w:themeColor="background2"/>
          </w:tcBorders>
          <w:vAlign w:val="center"/>
        </w:tcPr>
        <w:p w:rsidR="009B0B98" w:rsidRPr="00CB70DF" w:rsidRDefault="00775986" w:rsidP="00BF3333">
          <w:pPr>
            <w:pStyle w:val="FooterLeft"/>
            <w:framePr w:wrap="auto" w:vAnchor="margin" w:hAnchor="text" w:yAlign="inline"/>
            <w:spacing w:before="0" w:after="0"/>
          </w:pPr>
          <w:r>
            <w:t xml:space="preserve">PBO costing processes, timeframes </w:t>
          </w:r>
          <w:r w:rsidR="00BF3333">
            <w:br/>
          </w:r>
          <w:r>
            <w:t>and prioritisation framework</w:t>
          </w:r>
        </w:p>
      </w:tc>
    </w:tr>
    <w:tr w:rsidR="009B0B98" w:rsidRPr="00EB388E" w:rsidTr="00BF3333">
      <w:trPr>
        <w:trHeight w:hRule="exact" w:val="403"/>
      </w:trPr>
      <w:tc>
        <w:tcPr>
          <w:tcW w:w="567" w:type="dxa"/>
          <w:tcMar>
            <w:bottom w:w="284" w:type="dxa"/>
          </w:tcMar>
        </w:tcPr>
        <w:p w:rsidR="009B0B98" w:rsidRPr="00EB388E" w:rsidRDefault="009B0B98" w:rsidP="00BF3333">
          <w:pPr>
            <w:pStyle w:val="FooterRightPageNumber"/>
          </w:pPr>
        </w:p>
      </w:tc>
      <w:tc>
        <w:tcPr>
          <w:tcW w:w="8164" w:type="dxa"/>
          <w:tcMar>
            <w:bottom w:w="284" w:type="dxa"/>
          </w:tcMar>
        </w:tcPr>
        <w:p w:rsidR="009B0B98" w:rsidRPr="00090E70" w:rsidRDefault="009B0B98" w:rsidP="00BF3333"/>
      </w:tc>
    </w:tr>
  </w:tbl>
  <w:p w:rsidR="009B0B98" w:rsidRDefault="009B0B98">
    <w:pPr>
      <w:pStyle w:val="Footer"/>
    </w:pPr>
  </w:p>
  <w:p w:rsidR="009B0B98" w:rsidRPr="004816D7" w:rsidRDefault="009B0B98" w:rsidP="00481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9B0B98" w:rsidRPr="00EB388E" w:rsidTr="0087390B">
      <w:trPr>
        <w:trHeight w:val="340"/>
      </w:trPr>
      <w:tc>
        <w:tcPr>
          <w:tcW w:w="8164" w:type="dxa"/>
          <w:tcBorders>
            <w:right w:val="single" w:sz="4" w:space="0" w:color="788184" w:themeColor="background2"/>
          </w:tcBorders>
          <w:vAlign w:val="center"/>
        </w:tcPr>
        <w:p w:rsidR="009B0B98" w:rsidRPr="00CB70DF" w:rsidRDefault="00DF543D" w:rsidP="001C48DE">
          <w:pPr>
            <w:pStyle w:val="FooterRight"/>
            <w:framePr w:wrap="auto" w:vAnchor="margin" w:hAnchor="text" w:xAlign="left" w:yAlign="inline"/>
          </w:pPr>
          <w:fldSimple w:instr=" STYLEREF  &quot;TOC Heading&quot;  \* MERGEFORMAT ">
            <w:r w:rsidR="00440974">
              <w:rPr>
                <w:noProof/>
              </w:rPr>
              <w:t>Contents</w:t>
            </w:r>
          </w:fldSimple>
        </w:p>
      </w:tc>
      <w:tc>
        <w:tcPr>
          <w:tcW w:w="567" w:type="dxa"/>
          <w:tcBorders>
            <w:left w:val="single" w:sz="4" w:space="0" w:color="788184" w:themeColor="background2"/>
          </w:tcBorders>
          <w:vAlign w:val="center"/>
        </w:tcPr>
        <w:p w:rsidR="009B0B98" w:rsidRPr="00CB70DF" w:rsidRDefault="009B0B98" w:rsidP="00E915E6">
          <w:pPr>
            <w:pStyle w:val="FooterRightPageNumber"/>
          </w:pPr>
          <w:r w:rsidRPr="00EB388E">
            <w:fldChar w:fldCharType="begin"/>
          </w:r>
          <w:r w:rsidRPr="00EB388E">
            <w:instrText xml:space="preserve"> PAGE   \* MERGEFORMAT </w:instrText>
          </w:r>
          <w:r w:rsidRPr="00EB388E">
            <w:fldChar w:fldCharType="separate"/>
          </w:r>
          <w:r w:rsidR="00440974">
            <w:t>iii</w:t>
          </w:r>
          <w:r w:rsidRPr="00EB388E">
            <w:fldChar w:fldCharType="end"/>
          </w:r>
        </w:p>
      </w:tc>
    </w:tr>
    <w:tr w:rsidR="009B0B98" w:rsidRPr="00EB388E" w:rsidTr="004F1297">
      <w:trPr>
        <w:trHeight w:hRule="exact" w:val="403"/>
      </w:trPr>
      <w:tc>
        <w:tcPr>
          <w:tcW w:w="8164" w:type="dxa"/>
        </w:tcPr>
        <w:p w:rsidR="009B0B98" w:rsidRPr="00090E70" w:rsidRDefault="009B0B98" w:rsidP="0087390B"/>
      </w:tc>
      <w:tc>
        <w:tcPr>
          <w:tcW w:w="567" w:type="dxa"/>
          <w:tcMar>
            <w:bottom w:w="284" w:type="dxa"/>
          </w:tcMar>
        </w:tcPr>
        <w:p w:rsidR="009B0B98" w:rsidRPr="00090E70" w:rsidRDefault="009B0B98" w:rsidP="0087390B"/>
      </w:tc>
    </w:tr>
  </w:tbl>
  <w:p w:rsidR="009B0B98" w:rsidRDefault="009B0B98">
    <w:pPr>
      <w:pStyle w:val="Footer"/>
    </w:pPr>
  </w:p>
  <w:p w:rsidR="009B0B98" w:rsidRPr="004816D7" w:rsidRDefault="009B0B98" w:rsidP="004816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9B0B98" w:rsidRPr="00EB388E" w:rsidTr="0087390B">
      <w:trPr>
        <w:trHeight w:val="340"/>
      </w:trPr>
      <w:tc>
        <w:tcPr>
          <w:tcW w:w="8164" w:type="dxa"/>
          <w:tcBorders>
            <w:right w:val="single" w:sz="4" w:space="0" w:color="788184" w:themeColor="background2"/>
          </w:tcBorders>
          <w:vAlign w:val="center"/>
        </w:tcPr>
        <w:p w:rsidR="009B0B98" w:rsidRPr="00CB70DF" w:rsidRDefault="00DF543D" w:rsidP="001C48DE">
          <w:pPr>
            <w:pStyle w:val="FooterRight"/>
            <w:framePr w:wrap="auto" w:vAnchor="margin" w:hAnchor="text" w:xAlign="left" w:yAlign="inline"/>
          </w:pPr>
          <w:fldSimple w:instr=" STYLEREF  &quot;Heading 1&quot;  \* MERGEFORMAT ">
            <w:r w:rsidR="00440974">
              <w:rPr>
                <w:noProof/>
              </w:rPr>
              <w:t>Foreword</w:t>
            </w:r>
          </w:fldSimple>
        </w:p>
      </w:tc>
      <w:tc>
        <w:tcPr>
          <w:tcW w:w="567" w:type="dxa"/>
          <w:tcBorders>
            <w:left w:val="single" w:sz="4" w:space="0" w:color="788184" w:themeColor="background2"/>
          </w:tcBorders>
          <w:vAlign w:val="center"/>
        </w:tcPr>
        <w:p w:rsidR="009B0B98" w:rsidRPr="00CB70DF" w:rsidRDefault="009B0B98" w:rsidP="00E915E6">
          <w:pPr>
            <w:pStyle w:val="FooterRightPageNumber"/>
          </w:pPr>
          <w:r w:rsidRPr="00EB388E">
            <w:fldChar w:fldCharType="begin"/>
          </w:r>
          <w:r w:rsidRPr="00EB388E">
            <w:instrText xml:space="preserve"> PAGE   \* MERGEFORMAT </w:instrText>
          </w:r>
          <w:r w:rsidRPr="00EB388E">
            <w:fldChar w:fldCharType="separate"/>
          </w:r>
          <w:r w:rsidR="00440974">
            <w:t>v</w:t>
          </w:r>
          <w:r w:rsidRPr="00EB388E">
            <w:fldChar w:fldCharType="end"/>
          </w:r>
        </w:p>
      </w:tc>
    </w:tr>
    <w:tr w:rsidR="009B0B98" w:rsidRPr="00EB388E" w:rsidTr="004F1297">
      <w:trPr>
        <w:trHeight w:hRule="exact" w:val="403"/>
      </w:trPr>
      <w:tc>
        <w:tcPr>
          <w:tcW w:w="8164" w:type="dxa"/>
        </w:tcPr>
        <w:p w:rsidR="009B0B98" w:rsidRPr="00090E70" w:rsidRDefault="009B0B98" w:rsidP="0087390B"/>
      </w:tc>
      <w:tc>
        <w:tcPr>
          <w:tcW w:w="567" w:type="dxa"/>
          <w:tcMar>
            <w:bottom w:w="284" w:type="dxa"/>
          </w:tcMar>
        </w:tcPr>
        <w:p w:rsidR="009B0B98" w:rsidRPr="00090E70" w:rsidRDefault="009B0B98" w:rsidP="0087390B"/>
      </w:tc>
    </w:tr>
  </w:tbl>
  <w:p w:rsidR="009B0B98" w:rsidRDefault="009B0B98">
    <w:pPr>
      <w:pStyle w:val="Footer"/>
    </w:pPr>
  </w:p>
  <w:p w:rsidR="009B0B98" w:rsidRPr="004816D7" w:rsidRDefault="009B0B98" w:rsidP="004816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9744D0" w:rsidRPr="00EB388E" w:rsidTr="00BF3333">
      <w:trPr>
        <w:trHeight w:val="567"/>
      </w:trPr>
      <w:tc>
        <w:tcPr>
          <w:tcW w:w="567" w:type="dxa"/>
          <w:tcBorders>
            <w:right w:val="single" w:sz="4" w:space="0" w:color="788184" w:themeColor="background2"/>
          </w:tcBorders>
          <w:vAlign w:val="center"/>
        </w:tcPr>
        <w:p w:rsidR="009744D0" w:rsidRPr="00CB70DF" w:rsidRDefault="009744D0" w:rsidP="00BF3333">
          <w:pPr>
            <w:pStyle w:val="FooterLeftPageNumber"/>
            <w:framePr w:wrap="auto" w:vAnchor="margin" w:hAnchor="text" w:yAlign="inline"/>
            <w:spacing w:before="0" w:after="0"/>
          </w:pPr>
          <w:r w:rsidRPr="00EB388E">
            <w:fldChar w:fldCharType="begin"/>
          </w:r>
          <w:r w:rsidRPr="00EB388E">
            <w:instrText xml:space="preserve"> PAGE   \* MERGEFORMAT </w:instrText>
          </w:r>
          <w:r w:rsidRPr="00EB388E">
            <w:fldChar w:fldCharType="separate"/>
          </w:r>
          <w:r w:rsidR="00440974">
            <w:rPr>
              <w:noProof/>
            </w:rPr>
            <w:t>6</w:t>
          </w:r>
          <w:r w:rsidRPr="00EB388E">
            <w:fldChar w:fldCharType="end"/>
          </w:r>
        </w:p>
      </w:tc>
      <w:tc>
        <w:tcPr>
          <w:tcW w:w="8164" w:type="dxa"/>
          <w:tcBorders>
            <w:left w:val="single" w:sz="4" w:space="0" w:color="788184" w:themeColor="background2"/>
          </w:tcBorders>
          <w:vAlign w:val="center"/>
        </w:tcPr>
        <w:p w:rsidR="009744D0" w:rsidRPr="00CB70DF" w:rsidRDefault="00775986" w:rsidP="00BF3333">
          <w:pPr>
            <w:pStyle w:val="FooterLeft"/>
            <w:framePr w:wrap="auto" w:vAnchor="margin" w:hAnchor="text" w:yAlign="inline"/>
            <w:spacing w:before="0" w:after="0"/>
          </w:pPr>
          <w:r>
            <w:t xml:space="preserve">PBO costing processes, timeframes </w:t>
          </w:r>
          <w:r w:rsidR="00BF3333">
            <w:br/>
          </w:r>
          <w:r>
            <w:t>and prioritisation framework</w:t>
          </w:r>
        </w:p>
      </w:tc>
    </w:tr>
    <w:tr w:rsidR="009744D0" w:rsidRPr="00EB388E" w:rsidTr="00BF3333">
      <w:trPr>
        <w:trHeight w:hRule="exact" w:val="403"/>
      </w:trPr>
      <w:tc>
        <w:tcPr>
          <w:tcW w:w="567" w:type="dxa"/>
          <w:tcMar>
            <w:bottom w:w="284" w:type="dxa"/>
          </w:tcMar>
        </w:tcPr>
        <w:p w:rsidR="009744D0" w:rsidRPr="00EB388E" w:rsidRDefault="009744D0" w:rsidP="00BF3333">
          <w:pPr>
            <w:pStyle w:val="FooterRightPageNumber"/>
          </w:pPr>
        </w:p>
      </w:tc>
      <w:tc>
        <w:tcPr>
          <w:tcW w:w="8164" w:type="dxa"/>
          <w:tcMar>
            <w:bottom w:w="284" w:type="dxa"/>
          </w:tcMar>
        </w:tcPr>
        <w:p w:rsidR="009744D0" w:rsidRPr="00090E70" w:rsidRDefault="009744D0" w:rsidP="00BF3333"/>
      </w:tc>
    </w:tr>
  </w:tbl>
  <w:p w:rsidR="009744D0" w:rsidRDefault="009744D0">
    <w:pPr>
      <w:pStyle w:val="Footer"/>
    </w:pPr>
  </w:p>
  <w:p w:rsidR="009744D0" w:rsidRPr="004816D7" w:rsidRDefault="009744D0" w:rsidP="000172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9744D0" w:rsidRPr="00EB388E" w:rsidTr="00BF3333">
      <w:trPr>
        <w:trHeight w:val="567"/>
      </w:trPr>
      <w:tc>
        <w:tcPr>
          <w:tcW w:w="8164" w:type="dxa"/>
          <w:tcBorders>
            <w:right w:val="single" w:sz="4" w:space="0" w:color="788184" w:themeColor="background2"/>
          </w:tcBorders>
          <w:vAlign w:val="center"/>
        </w:tcPr>
        <w:p w:rsidR="009744D0" w:rsidRPr="00CB70DF" w:rsidRDefault="00C95BA8" w:rsidP="00BF3333">
          <w:pPr>
            <w:pStyle w:val="FooterRight"/>
            <w:framePr w:wrap="auto" w:vAnchor="margin" w:hAnchor="text" w:xAlign="left" w:yAlign="inline"/>
            <w:spacing w:before="0" w:after="0"/>
          </w:pPr>
          <w:r>
            <w:fldChar w:fldCharType="begin"/>
          </w:r>
          <w:r>
            <w:instrText xml:space="preserve"> STYLEREF  "Heading 1"  \* MERGEFORMAT </w:instrText>
          </w:r>
          <w:r>
            <w:fldChar w:fldCharType="separate"/>
          </w:r>
          <w:r>
            <w:rPr>
              <w:noProof/>
            </w:rPr>
            <w:t>Our priority setting framework</w:t>
          </w:r>
          <w:r>
            <w:rPr>
              <w:noProof/>
            </w:rPr>
            <w:fldChar w:fldCharType="end"/>
          </w:r>
        </w:p>
      </w:tc>
      <w:tc>
        <w:tcPr>
          <w:tcW w:w="567" w:type="dxa"/>
          <w:tcBorders>
            <w:left w:val="single" w:sz="4" w:space="0" w:color="788184" w:themeColor="background2"/>
          </w:tcBorders>
          <w:vAlign w:val="center"/>
        </w:tcPr>
        <w:p w:rsidR="009744D0" w:rsidRPr="00CB70DF" w:rsidRDefault="009744D0" w:rsidP="00BF3333">
          <w:pPr>
            <w:pStyle w:val="FooterRightPageNumber"/>
            <w:spacing w:before="0" w:after="0"/>
          </w:pPr>
          <w:r w:rsidRPr="00EB388E">
            <w:fldChar w:fldCharType="begin"/>
          </w:r>
          <w:r w:rsidRPr="00EB388E">
            <w:instrText xml:space="preserve"> PAGE   \* MERGEFORMAT </w:instrText>
          </w:r>
          <w:r w:rsidRPr="00EB388E">
            <w:fldChar w:fldCharType="separate"/>
          </w:r>
          <w:r w:rsidR="00C95BA8">
            <w:t>7</w:t>
          </w:r>
          <w:r w:rsidRPr="00EB388E">
            <w:fldChar w:fldCharType="end"/>
          </w:r>
        </w:p>
      </w:tc>
    </w:tr>
    <w:tr w:rsidR="009744D0" w:rsidRPr="00EB388E" w:rsidTr="00BF3333">
      <w:trPr>
        <w:trHeight w:hRule="exact" w:val="403"/>
      </w:trPr>
      <w:tc>
        <w:tcPr>
          <w:tcW w:w="8164" w:type="dxa"/>
        </w:tcPr>
        <w:p w:rsidR="009744D0" w:rsidRPr="00090E70" w:rsidRDefault="009744D0" w:rsidP="009744D0"/>
      </w:tc>
      <w:tc>
        <w:tcPr>
          <w:tcW w:w="567" w:type="dxa"/>
          <w:tcMar>
            <w:bottom w:w="284" w:type="dxa"/>
          </w:tcMar>
        </w:tcPr>
        <w:p w:rsidR="009744D0" w:rsidRPr="00090E70" w:rsidRDefault="009744D0" w:rsidP="009744D0"/>
      </w:tc>
    </w:tr>
  </w:tbl>
  <w:p w:rsidR="009744D0" w:rsidRDefault="009744D0">
    <w:pPr>
      <w:pStyle w:val="Footer"/>
    </w:pPr>
  </w:p>
  <w:p w:rsidR="009744D0" w:rsidRPr="004816D7" w:rsidRDefault="009744D0" w:rsidP="009160F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CB145F" w:rsidRPr="00EB388E" w:rsidTr="00CB145F">
      <w:trPr>
        <w:trHeight w:val="340"/>
      </w:trPr>
      <w:tc>
        <w:tcPr>
          <w:tcW w:w="567" w:type="dxa"/>
          <w:tcBorders>
            <w:right w:val="single" w:sz="4" w:space="0" w:color="788184" w:themeColor="background2"/>
          </w:tcBorders>
          <w:vAlign w:val="center"/>
        </w:tcPr>
        <w:p w:rsidR="00CB145F" w:rsidRPr="00CB70DF" w:rsidRDefault="00CB145F" w:rsidP="00CB145F">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C95BA8">
            <w:rPr>
              <w:noProof/>
            </w:rPr>
            <w:t>8</w:t>
          </w:r>
          <w:r w:rsidRPr="00EB388E">
            <w:fldChar w:fldCharType="end"/>
          </w:r>
        </w:p>
      </w:tc>
      <w:tc>
        <w:tcPr>
          <w:tcW w:w="8164" w:type="dxa"/>
          <w:tcBorders>
            <w:left w:val="single" w:sz="4" w:space="0" w:color="788184" w:themeColor="background2"/>
          </w:tcBorders>
          <w:vAlign w:val="center"/>
        </w:tcPr>
        <w:p w:rsidR="00CB145F" w:rsidRPr="00CB70DF" w:rsidRDefault="000F2128" w:rsidP="00CB145F">
          <w:pPr>
            <w:pStyle w:val="FooterLeft"/>
            <w:framePr w:wrap="auto" w:vAnchor="margin" w:hAnchor="text" w:yAlign="inline"/>
          </w:pPr>
          <w:r>
            <w:fldChar w:fldCharType="begin"/>
          </w:r>
          <w:r>
            <w:instrText xml:space="preserve"> STYLEREF  Title  \* MERGEFORMAT </w:instrText>
          </w:r>
          <w:r w:rsidR="00C95BA8">
            <w:fldChar w:fldCharType="separate"/>
          </w:r>
          <w:r w:rsidR="00C95BA8">
            <w:rPr>
              <w:b w:val="0"/>
              <w:bCs/>
              <w:noProof/>
              <w:lang w:val="en-US"/>
            </w:rPr>
            <w:t>Error! No text of specified style in document.</w:t>
          </w:r>
          <w:r>
            <w:rPr>
              <w:noProof/>
            </w:rPr>
            <w:fldChar w:fldCharType="end"/>
          </w:r>
        </w:p>
      </w:tc>
    </w:tr>
    <w:tr w:rsidR="00CB145F" w:rsidRPr="00EB388E" w:rsidTr="00CB145F">
      <w:trPr>
        <w:trHeight w:hRule="exact" w:val="403"/>
      </w:trPr>
      <w:tc>
        <w:tcPr>
          <w:tcW w:w="567" w:type="dxa"/>
          <w:tcMar>
            <w:bottom w:w="284" w:type="dxa"/>
          </w:tcMar>
        </w:tcPr>
        <w:p w:rsidR="00CB145F" w:rsidRPr="00EB388E" w:rsidRDefault="00CB145F" w:rsidP="00CB145F">
          <w:pPr>
            <w:pStyle w:val="FooterRightPageNumber"/>
          </w:pPr>
        </w:p>
      </w:tc>
      <w:tc>
        <w:tcPr>
          <w:tcW w:w="8164" w:type="dxa"/>
          <w:tcMar>
            <w:bottom w:w="284" w:type="dxa"/>
          </w:tcMar>
        </w:tcPr>
        <w:p w:rsidR="00CB145F" w:rsidRPr="00090E70" w:rsidRDefault="00CB145F" w:rsidP="00CB145F"/>
      </w:tc>
    </w:tr>
  </w:tbl>
  <w:p w:rsidR="00CB145F" w:rsidRDefault="00CB145F">
    <w:pPr>
      <w:pStyle w:val="Footer"/>
    </w:pPr>
  </w:p>
  <w:p w:rsidR="00CB145F" w:rsidRPr="004816D7" w:rsidRDefault="00CB145F" w:rsidP="0001723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CB145F" w:rsidRPr="00EB388E" w:rsidTr="00CB145F">
      <w:trPr>
        <w:trHeight w:val="340"/>
      </w:trPr>
      <w:tc>
        <w:tcPr>
          <w:tcW w:w="8164" w:type="dxa"/>
          <w:tcBorders>
            <w:right w:val="single" w:sz="4" w:space="0" w:color="788184" w:themeColor="background2"/>
          </w:tcBorders>
          <w:vAlign w:val="center"/>
        </w:tcPr>
        <w:p w:rsidR="00CB145F" w:rsidRPr="00CB70DF" w:rsidRDefault="00DF543D" w:rsidP="00CB145F">
          <w:pPr>
            <w:pStyle w:val="FooterRight"/>
            <w:framePr w:wrap="auto" w:vAnchor="margin" w:hAnchor="text" w:xAlign="left" w:yAlign="inline"/>
          </w:pPr>
          <w:fldSimple w:instr=" STYLEREF  &quot;Heading 1&quot;  \* MERGEFORMAT ">
            <w:r w:rsidR="000D077A">
              <w:rPr>
                <w:noProof/>
              </w:rPr>
              <w:t>Our priority setting framework</w:t>
            </w:r>
          </w:fldSimple>
        </w:p>
      </w:tc>
      <w:tc>
        <w:tcPr>
          <w:tcW w:w="567" w:type="dxa"/>
          <w:tcBorders>
            <w:left w:val="single" w:sz="4" w:space="0" w:color="788184" w:themeColor="background2"/>
          </w:tcBorders>
          <w:vAlign w:val="center"/>
        </w:tcPr>
        <w:p w:rsidR="00CB145F" w:rsidRPr="00CB70DF" w:rsidRDefault="00CB145F" w:rsidP="00CB145F">
          <w:pPr>
            <w:pStyle w:val="FooterRightPageNumber"/>
          </w:pPr>
          <w:r w:rsidRPr="00EB388E">
            <w:fldChar w:fldCharType="begin"/>
          </w:r>
          <w:r w:rsidRPr="00EB388E">
            <w:instrText xml:space="preserve"> PAGE   \* MERGEFORMAT </w:instrText>
          </w:r>
          <w:r w:rsidRPr="00EB388E">
            <w:fldChar w:fldCharType="separate"/>
          </w:r>
          <w:r w:rsidR="000D077A">
            <w:t>7</w:t>
          </w:r>
          <w:r w:rsidRPr="00EB388E">
            <w:fldChar w:fldCharType="end"/>
          </w:r>
        </w:p>
      </w:tc>
    </w:tr>
    <w:tr w:rsidR="00CB145F" w:rsidRPr="00EB388E" w:rsidTr="00CB145F">
      <w:trPr>
        <w:trHeight w:hRule="exact" w:val="403"/>
      </w:trPr>
      <w:tc>
        <w:tcPr>
          <w:tcW w:w="8164" w:type="dxa"/>
        </w:tcPr>
        <w:p w:rsidR="00CB145F" w:rsidRPr="00090E70" w:rsidRDefault="00CB145F" w:rsidP="00CB145F"/>
      </w:tc>
      <w:tc>
        <w:tcPr>
          <w:tcW w:w="567" w:type="dxa"/>
          <w:tcMar>
            <w:bottom w:w="284" w:type="dxa"/>
          </w:tcMar>
        </w:tcPr>
        <w:p w:rsidR="00CB145F" w:rsidRPr="00090E70" w:rsidRDefault="00CB145F" w:rsidP="00CB145F"/>
      </w:tc>
    </w:tr>
  </w:tbl>
  <w:p w:rsidR="00CB145F" w:rsidRDefault="00CB145F">
    <w:pPr>
      <w:pStyle w:val="Footer"/>
    </w:pPr>
  </w:p>
  <w:p w:rsidR="00CB145F" w:rsidRPr="004816D7" w:rsidRDefault="00CB145F" w:rsidP="00916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98" w:rsidRPr="000557A7" w:rsidRDefault="009B0B98" w:rsidP="008D5A11">
      <w:pPr>
        <w:pBdr>
          <w:top w:val="single" w:sz="4" w:space="1" w:color="auto"/>
        </w:pBdr>
        <w:spacing w:before="240" w:line="60" w:lineRule="exact"/>
        <w:rPr>
          <w:sz w:val="16"/>
          <w:szCs w:val="16"/>
        </w:rPr>
      </w:pPr>
    </w:p>
  </w:footnote>
  <w:footnote w:type="continuationSeparator" w:id="0">
    <w:p w:rsidR="009B0B98" w:rsidRDefault="009B0B98" w:rsidP="00A20802">
      <w:pPr>
        <w:spacing w:line="240" w:lineRule="auto"/>
      </w:pPr>
      <w:r>
        <w:continuationSeparator/>
      </w:r>
    </w:p>
    <w:p w:rsidR="009B0B98" w:rsidRDefault="009B0B98"/>
  </w:footnote>
  <w:footnote w:id="1">
    <w:p w:rsidR="00237508" w:rsidRPr="00237508" w:rsidRDefault="00237508">
      <w:pPr>
        <w:pStyle w:val="FootnoteText"/>
      </w:pPr>
      <w:r w:rsidRPr="00237508">
        <w:footnoteRef/>
      </w:r>
      <w:r>
        <w:tab/>
        <w:t xml:space="preserve">These timeframes reflect the Memorandum of Understanding between the </w:t>
      </w:r>
      <w:r w:rsidR="00E543D1">
        <w:t xml:space="preserve">Parliamentary Budget Office </w:t>
      </w:r>
      <w:r>
        <w:t xml:space="preserve">and </w:t>
      </w:r>
      <w:r w:rsidR="00E543D1">
        <w:t xml:space="preserve">the Heads of </w:t>
      </w:r>
      <w:r>
        <w:t xml:space="preserve">Commonwealth </w:t>
      </w:r>
      <w:r w:rsidR="00E543D1">
        <w:t>Bodies in relation to the Provision of Information and Documents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63360" behindDoc="1" locked="1" layoutInCell="1" allowOverlap="1" wp14:anchorId="6EF6839D" wp14:editId="02242150">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30"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65408" behindDoc="1" locked="1" layoutInCell="1" allowOverlap="1" wp14:anchorId="3F1EB688" wp14:editId="184D494A">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w:drawing>
        <wp:anchor distT="0" distB="0" distL="114300" distR="114300" simplePos="0" relativeHeight="251674624" behindDoc="1" locked="0" layoutInCell="1" allowOverlap="1" wp14:anchorId="68016A1B" wp14:editId="19507FED">
          <wp:simplePos x="0" y="0"/>
          <wp:positionH relativeFrom="page">
            <wp:posOffset>0</wp:posOffset>
          </wp:positionH>
          <wp:positionV relativeFrom="page">
            <wp:posOffset>0</wp:posOffset>
          </wp:positionV>
          <wp:extent cx="7563600" cy="10695600"/>
          <wp:effectExtent l="0" t="0" r="0" b="0"/>
          <wp:wrapNone/>
          <wp:docPr id="10" name="Picture 1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1" layoutInCell="1" allowOverlap="1" wp14:anchorId="40487313" wp14:editId="367380C9">
              <wp:simplePos x="0" y="0"/>
              <wp:positionH relativeFrom="page">
                <wp:align>center</wp:align>
              </wp:positionH>
              <wp:positionV relativeFrom="page">
                <wp:align>center</wp:align>
              </wp:positionV>
              <wp:extent cx="7560000" cy="17964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S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Q4aTWTQb2fTb2Gzd&#10;z8WexEbTjhuYHi3vMrw4K9HUcnAtKldaQ3k7niepsO4/pwLKfSq0Y6wl6UhXc9gcXHNEp0bYyOoJ&#10;KKwkEAzICJMPDo1U3zAaYIpkWH/dUcUwat8JaIMkJMSOHXchs3kEFzWVbKYSKkqAyrDBaDyuzDiq&#10;dr3i2wYsjY0n5C20Ts0dqW2PjV4dGw4mhYvtONXsKJrendbz7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tyw5K6AgAA&#10;wwUAAA4AAAAAAAAAAAAAAAAALgIAAGRycy9lMm9Eb2MueG1sUEsBAi0AFAAGAAgAAAAhADTFRM7b&#10;AAAABgEAAA8AAAAAAAAAAAAAAAAAFAUAAGRycy9kb3ducmV2LnhtbFBLBQYAAAAABAAEAPMAAAAc&#10;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67456" behindDoc="1" locked="1" layoutInCell="1" allowOverlap="1" wp14:anchorId="0820738B" wp14:editId="5FFD4AC6">
              <wp:simplePos x="0" y="0"/>
              <wp:positionH relativeFrom="page">
                <wp:align>center</wp:align>
              </wp:positionH>
              <wp:positionV relativeFrom="page">
                <wp:align>center</wp:align>
              </wp:positionV>
              <wp:extent cx="7560000" cy="1796400"/>
              <wp:effectExtent l="0" t="0" r="0" b="0"/>
              <wp:wrapNone/>
              <wp:docPr id="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595.3pt;height:141.45pt;z-index:-2516490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CbXotK6AgAA&#10;wwUAAA4AAAAAAAAAAAAAAAAALgIAAGRycy9lMm9Eb2MueG1sUEsBAi0AFAAGAAgAAAAhADTFRM7b&#10;AAAABgEAAA8AAAAAAAAAAAAAAAAAFAUAAGRycy9kb3ducmV2LnhtbFBLBQYAAAAABAAEAPMAAAAc&#10;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69504" behindDoc="1" locked="1" layoutInCell="1" allowOverlap="1" wp14:anchorId="132A7F60" wp14:editId="60653980">
              <wp:simplePos x="0" y="0"/>
              <wp:positionH relativeFrom="page">
                <wp:align>center</wp:align>
              </wp:positionH>
              <wp:positionV relativeFrom="page">
                <wp:align>center</wp:align>
              </wp:positionV>
              <wp:extent cx="7560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595.3pt;height:141.45pt;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mC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FPCCYK6AgAA&#10;wwUAAA4AAAAAAAAAAAAAAAAALgIAAGRycy9lMm9Eb2MueG1sUEsBAi0AFAAGAAgAAAAhADTFRM7b&#10;AAAABgEAAA8AAAAAAAAAAAAAAAAAFAUAAGRycy9kb3ducmV2LnhtbFBLBQYAAAAABAAEAPMAAAAc&#10;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73600" behindDoc="1" locked="1" layoutInCell="1" allowOverlap="1" wp14:anchorId="265BC31C" wp14:editId="2958DA52">
              <wp:simplePos x="0" y="0"/>
              <wp:positionH relativeFrom="page">
                <wp:align>center</wp:align>
              </wp:positionH>
              <wp:positionV relativeFrom="page">
                <wp:align>center</wp:align>
              </wp:positionV>
              <wp:extent cx="7560000" cy="1796400"/>
              <wp:effectExtent l="0" t="0" r="0" b="0"/>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595.3pt;height:141.45pt;z-index:-2516428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MkOloi6AgAA&#10;wwUAAA4AAAAAAAAAAAAAAAAALgIAAGRycy9lMm9Eb2MueG1sUEsBAi0AFAAGAAgAAAAhADTFRM7b&#10;AAAABgEAAA8AAAAAAAAAAAAAAAAAFAUAAGRycy9kb3ducmV2LnhtbFBLBQYAAAAABAAEAPMAAAAc&#10;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98" w:rsidRDefault="009B0B98">
    <w:pPr>
      <w:pStyle w:val="Header"/>
    </w:pPr>
    <w:r>
      <w:rPr>
        <w:noProof/>
        <w:lang w:eastAsia="en-AU"/>
      </w:rPr>
      <mc:AlternateContent>
        <mc:Choice Requires="wps">
          <w:drawing>
            <wp:anchor distT="0" distB="0" distL="114300" distR="114300" simplePos="0" relativeHeight="251671552" behindDoc="1" locked="1" layoutInCell="1" allowOverlap="1" wp14:anchorId="50BC4AC3" wp14:editId="628D05E9">
              <wp:simplePos x="0" y="0"/>
              <wp:positionH relativeFrom="page">
                <wp:align>center</wp:align>
              </wp:positionH>
              <wp:positionV relativeFrom="page">
                <wp:posOffset>4457700</wp:posOffset>
              </wp:positionV>
              <wp:extent cx="7559675" cy="1795780"/>
              <wp:effectExtent l="0" t="0" r="0" b="0"/>
              <wp:wrapNone/>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98" w:rsidRPr="0001226A" w:rsidRDefault="009B0B98"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0;margin-top:351pt;width:595.25pt;height:141.4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s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" filled="f" stroked="f">
              <v:textbox>
                <w:txbxContent>
                  <w:p w:rsidR="009B0B98" w:rsidRPr="0001226A" w:rsidRDefault="009B0B98" w:rsidP="00F45442">
                    <w:pPr>
                      <w:pStyle w:val="xStatus"/>
                      <w:rPr>
                        <w:szCs w:val="120"/>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D745448"/>
    <w:multiLevelType w:val="multilevel"/>
    <w:tmpl w:val="DC380638"/>
    <w:name w:val="PBOHeadings"/>
    <w:lvl w:ilvl="0">
      <w:start w:val="1"/>
      <w:numFmt w:val="decimal"/>
      <w:pStyle w:val="Heading1"/>
      <w:lvlText w:val="%1"/>
      <w:lvlJc w:val="left"/>
      <w:pPr>
        <w:ind w:left="765" w:hanging="765"/>
      </w:pPr>
      <w:rPr>
        <w:rFonts w:hint="default"/>
      </w:rPr>
    </w:lvl>
    <w:lvl w:ilvl="1">
      <w:start w:val="1"/>
      <w:numFmt w:val="decimal"/>
      <w:pStyle w:val="Heading2"/>
      <w:lvlText w:val="%1.%2"/>
      <w:lvlJc w:val="left"/>
      <w:pPr>
        <w:ind w:left="623" w:hanging="765"/>
      </w:pPr>
      <w:rPr>
        <w:rFonts w:hint="default"/>
      </w:rPr>
    </w:lvl>
    <w:lvl w:ilvl="2">
      <w:start w:val="1"/>
      <w:numFmt w:val="decimal"/>
      <w:pStyle w:val="Heading3"/>
      <w:lvlText w:val="%1.%2.%3"/>
      <w:lvlJc w:val="left"/>
      <w:pPr>
        <w:ind w:left="623" w:hanging="765"/>
      </w:pPr>
      <w:rPr>
        <w:rFonts w:hint="default"/>
      </w:rPr>
    </w:lvl>
    <w:lvl w:ilvl="3">
      <w:start w:val="1"/>
      <w:numFmt w:val="none"/>
      <w:lvlText w:val=""/>
      <w:lvlJc w:val="left"/>
      <w:pPr>
        <w:ind w:left="623" w:hanging="765"/>
      </w:pPr>
      <w:rPr>
        <w:rFonts w:hint="default"/>
      </w:rPr>
    </w:lvl>
    <w:lvl w:ilvl="4">
      <w:start w:val="1"/>
      <w:numFmt w:val="none"/>
      <w:lvlText w:val=""/>
      <w:lvlJc w:val="left"/>
      <w:pPr>
        <w:ind w:left="623" w:hanging="765"/>
      </w:pPr>
      <w:rPr>
        <w:rFonts w:hint="default"/>
      </w:rPr>
    </w:lvl>
    <w:lvl w:ilvl="5">
      <w:start w:val="1"/>
      <w:numFmt w:val="none"/>
      <w:lvlText w:val=""/>
      <w:lvlJc w:val="left"/>
      <w:pPr>
        <w:ind w:left="623" w:hanging="765"/>
      </w:pPr>
      <w:rPr>
        <w:rFonts w:hint="default"/>
      </w:rPr>
    </w:lvl>
    <w:lvl w:ilvl="6">
      <w:start w:val="1"/>
      <w:numFmt w:val="none"/>
      <w:lvlText w:val=""/>
      <w:lvlJc w:val="left"/>
      <w:pPr>
        <w:ind w:left="623" w:hanging="765"/>
      </w:pPr>
      <w:rPr>
        <w:rFonts w:hint="default"/>
      </w:rPr>
    </w:lvl>
    <w:lvl w:ilvl="7">
      <w:start w:val="1"/>
      <w:numFmt w:val="none"/>
      <w:lvlText w:val=""/>
      <w:lvlJc w:val="left"/>
      <w:pPr>
        <w:ind w:left="623" w:hanging="765"/>
      </w:pPr>
      <w:rPr>
        <w:rFonts w:hint="default"/>
      </w:rPr>
    </w:lvl>
    <w:lvl w:ilvl="8">
      <w:start w:val="1"/>
      <w:numFmt w:val="none"/>
      <w:lvlText w:val=""/>
      <w:lvlJc w:val="left"/>
      <w:pPr>
        <w:ind w:left="623" w:hanging="765"/>
      </w:pPr>
      <w:rPr>
        <w:rFonts w:hint="default"/>
      </w:rPr>
    </w:lvl>
  </w:abstractNum>
  <w:abstractNum w:abstractNumId="2">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nsid w:val="2C72580B"/>
    <w:multiLevelType w:val="multilevel"/>
    <w:tmpl w:val="F2ECCEA2"/>
    <w:name w:val="PullOutNumbering"/>
    <w:lvl w:ilvl="0">
      <w:start w:val="1"/>
      <w:numFmt w:val="decimal"/>
      <w:pStyle w:val="PullOutBoxNumber"/>
      <w:lvlText w:val="%1"/>
      <w:lvlJc w:val="left"/>
      <w:pPr>
        <w:tabs>
          <w:tab w:val="num" w:pos="453"/>
        </w:tabs>
        <w:ind w:left="453" w:hanging="340"/>
      </w:pPr>
      <w:rPr>
        <w:rFonts w:hint="default"/>
        <w:b w:val="0"/>
        <w:color w:val="auto"/>
      </w:rPr>
    </w:lvl>
    <w:lvl w:ilvl="1">
      <w:start w:val="1"/>
      <w:numFmt w:val="lowerLetter"/>
      <w:pStyle w:val="PullOutBoxNumber2"/>
      <w:lvlText w:val="%2"/>
      <w:lvlJc w:val="left"/>
      <w:pPr>
        <w:tabs>
          <w:tab w:val="num" w:pos="793"/>
        </w:tabs>
        <w:ind w:left="793" w:hanging="340"/>
      </w:pPr>
      <w:rPr>
        <w:rFonts w:hint="default"/>
        <w:color w:val="auto"/>
      </w:rPr>
    </w:lvl>
    <w:lvl w:ilvl="2">
      <w:start w:val="1"/>
      <w:numFmt w:val="lowerRoman"/>
      <w:pStyle w:val="PullOutBoxNumber3"/>
      <w:lvlText w:val="%3"/>
      <w:lvlJc w:val="left"/>
      <w:pPr>
        <w:tabs>
          <w:tab w:val="num" w:pos="1133"/>
        </w:tabs>
        <w:ind w:left="1133" w:hanging="340"/>
      </w:pPr>
      <w:rPr>
        <w:rFonts w:hint="default"/>
        <w:color w:val="auto"/>
        <w:position w:val="2"/>
        <w:sz w:val="22"/>
      </w:rPr>
    </w:lvl>
    <w:lvl w:ilvl="3">
      <w:start w:val="1"/>
      <w:numFmt w:val="none"/>
      <w:lvlText w:val=""/>
      <w:lvlJc w:val="left"/>
      <w:pPr>
        <w:ind w:left="1269" w:hanging="360"/>
      </w:pPr>
      <w:rPr>
        <w:rFonts w:hint="default"/>
      </w:rPr>
    </w:lvl>
    <w:lvl w:ilvl="4">
      <w:start w:val="1"/>
      <w:numFmt w:val="none"/>
      <w:lvlText w:val=""/>
      <w:lvlJc w:val="left"/>
      <w:pPr>
        <w:ind w:left="1629" w:hanging="360"/>
      </w:pPr>
      <w:rPr>
        <w:rFonts w:hint="default"/>
      </w:rPr>
    </w:lvl>
    <w:lvl w:ilvl="5">
      <w:start w:val="1"/>
      <w:numFmt w:val="none"/>
      <w:lvlText w:val=""/>
      <w:lvlJc w:val="left"/>
      <w:pPr>
        <w:ind w:left="1989" w:hanging="360"/>
      </w:pPr>
      <w:rPr>
        <w:rFonts w:hint="default"/>
      </w:rPr>
    </w:lvl>
    <w:lvl w:ilvl="6">
      <w:start w:val="1"/>
      <w:numFmt w:val="none"/>
      <w:lvlText w:val=""/>
      <w:lvlJc w:val="left"/>
      <w:pPr>
        <w:ind w:left="2349" w:hanging="360"/>
      </w:pPr>
      <w:rPr>
        <w:rFonts w:hint="default"/>
      </w:rPr>
    </w:lvl>
    <w:lvl w:ilvl="7">
      <w:start w:val="1"/>
      <w:numFmt w:val="none"/>
      <w:lvlText w:val=""/>
      <w:lvlJc w:val="left"/>
      <w:pPr>
        <w:ind w:left="2709" w:hanging="360"/>
      </w:pPr>
      <w:rPr>
        <w:rFonts w:hint="default"/>
      </w:rPr>
    </w:lvl>
    <w:lvl w:ilvl="8">
      <w:start w:val="1"/>
      <w:numFmt w:val="none"/>
      <w:lvlText w:val=""/>
      <w:lvlJc w:val="left"/>
      <w:pPr>
        <w:ind w:left="3069" w:hanging="360"/>
      </w:pPr>
      <w:rPr>
        <w:rFonts w:hint="default"/>
      </w:rPr>
    </w:lvl>
  </w:abstractNum>
  <w:abstractNum w:abstractNumId="5">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5D0540A9"/>
    <w:multiLevelType w:val="multilevel"/>
    <w:tmpl w:val="0588A4BC"/>
    <w:name w:val="AppendicesNumbering"/>
    <w:lvl w:ilvl="0">
      <w:start w:val="1"/>
      <w:numFmt w:val="upperLetter"/>
      <w:pStyle w:val="Heading8"/>
      <w:suff w:val="nothing"/>
      <w:lvlText w:val="Appendix %1"/>
      <w:lvlJc w:val="left"/>
      <w:pPr>
        <w:ind w:left="0" w:firstLine="0"/>
      </w:pPr>
      <w:rPr>
        <w:rFonts w:hint="default"/>
        <w:b w:val="0"/>
        <w:i w:val="0"/>
        <w:sz w:val="40"/>
      </w:rPr>
    </w:lvl>
    <w:lvl w:ilvl="1">
      <w:start w:val="1"/>
      <w:numFmt w:val="decimal"/>
      <w:pStyle w:val="Heading9"/>
      <w:lvlText w:val="%1%2."/>
      <w:lvlJc w:val="left"/>
      <w:pPr>
        <w:tabs>
          <w:tab w:val="num" w:pos="765"/>
        </w:tabs>
        <w:ind w:left="765" w:hanging="765"/>
      </w:pPr>
      <w:rPr>
        <w:rFonts w:hint="default"/>
        <w:sz w:val="26"/>
      </w:rPr>
    </w:lvl>
    <w:lvl w:ilvl="2">
      <w:start w:val="1"/>
      <w:numFmt w:val="decimal"/>
      <w:pStyle w:val="AppendixHeading2"/>
      <w:lvlText w:val="%1%2.%3"/>
      <w:lvlJc w:val="left"/>
      <w:pPr>
        <w:tabs>
          <w:tab w:val="num" w:pos="765"/>
        </w:tabs>
        <w:ind w:left="765" w:hanging="765"/>
      </w:pPr>
      <w:rPr>
        <w:rFonts w:hint="default"/>
      </w:rPr>
    </w:lvl>
    <w:lvl w:ilvl="3">
      <w:start w:val="1"/>
      <w:numFmt w:val="decimal"/>
      <w:pStyle w:val="AppendixHeading3"/>
      <w:lvlText w:val="%1%2.%3.%4"/>
      <w:lvlJc w:val="left"/>
      <w:pPr>
        <w:tabs>
          <w:tab w:val="num" w:pos="765"/>
        </w:tabs>
        <w:ind w:left="765" w:hanging="765"/>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7">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9">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6"/>
  </w:num>
  <w:num w:numId="2">
    <w:abstractNumId w:val="0"/>
  </w:num>
  <w:num w:numId="3">
    <w:abstractNumId w:val="9"/>
  </w:num>
  <w:num w:numId="4">
    <w:abstractNumId w:val="5"/>
  </w:num>
  <w:num w:numId="5">
    <w:abstractNumId w:val="4"/>
  </w:num>
  <w:num w:numId="6">
    <w:abstractNumId w:val="8"/>
  </w:num>
  <w:num w:numId="7">
    <w:abstractNumId w:val="2"/>
  </w:num>
  <w:num w:numId="8">
    <w:abstractNumId w:val="3"/>
  </w:num>
  <w:num w:numId="9">
    <w:abstractNumId w:val="7"/>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0"/>
  </w:num>
  <w:num w:numId="24">
    <w:abstractNumId w:val="4"/>
  </w:num>
  <w:num w:numId="25">
    <w:abstractNumId w:val="4"/>
  </w:num>
  <w:num w:numId="26">
    <w:abstractNumId w:val="4"/>
  </w:num>
  <w:num w:numId="27">
    <w:abstractNumId w:val="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False"/>
    <w:docVar w:name="AppendixName" w:val="Appendix"/>
    <w:docVar w:name="Disclaimer" w:val="True"/>
    <w:docVar w:name="Foreword" w:val="False"/>
    <w:docVar w:name="Heading1Numbered" w:val="True"/>
    <w:docVar w:name="Heading2Numbered" w:val="True"/>
    <w:docVar w:name="Heading3Numbered" w:val="True"/>
    <w:docVar w:name="IsWordingOverview" w:val="True"/>
    <w:docVar w:name="NumberedBodyText" w:val="False"/>
    <w:docVar w:name="optHeading1OddPage" w:val="True"/>
    <w:docVar w:name="Overview" w:val="True"/>
    <w:docVar w:name="PageSetup" w:val="Double"/>
    <w:docVar w:name="RibbonLabel" w:val="Appendix"/>
    <w:docVar w:name="TOC" w:val="True"/>
    <w:docVar w:name="TOCNew" w:val="True"/>
    <w:docVar w:name="Version" w:val="Version 1"/>
  </w:docVars>
  <w:rsids>
    <w:rsidRoot w:val="00C74F6A"/>
    <w:rsid w:val="0000252F"/>
    <w:rsid w:val="0000322C"/>
    <w:rsid w:val="00003CDD"/>
    <w:rsid w:val="00012BA5"/>
    <w:rsid w:val="00014C5D"/>
    <w:rsid w:val="000168A7"/>
    <w:rsid w:val="00023809"/>
    <w:rsid w:val="000278D0"/>
    <w:rsid w:val="00027E62"/>
    <w:rsid w:val="000307C8"/>
    <w:rsid w:val="00030EB3"/>
    <w:rsid w:val="00030F73"/>
    <w:rsid w:val="00035ADE"/>
    <w:rsid w:val="0004224B"/>
    <w:rsid w:val="00042514"/>
    <w:rsid w:val="00046226"/>
    <w:rsid w:val="00046572"/>
    <w:rsid w:val="0005330D"/>
    <w:rsid w:val="00054E95"/>
    <w:rsid w:val="000557A7"/>
    <w:rsid w:val="00055805"/>
    <w:rsid w:val="00056CB3"/>
    <w:rsid w:val="00060B4E"/>
    <w:rsid w:val="00067A28"/>
    <w:rsid w:val="0007204A"/>
    <w:rsid w:val="0007260F"/>
    <w:rsid w:val="00077718"/>
    <w:rsid w:val="000805D5"/>
    <w:rsid w:val="0008103B"/>
    <w:rsid w:val="00084624"/>
    <w:rsid w:val="00085F97"/>
    <w:rsid w:val="00092A33"/>
    <w:rsid w:val="00097A81"/>
    <w:rsid w:val="000A2FEC"/>
    <w:rsid w:val="000A348F"/>
    <w:rsid w:val="000A3CF1"/>
    <w:rsid w:val="000B0BA3"/>
    <w:rsid w:val="000B6942"/>
    <w:rsid w:val="000C09FA"/>
    <w:rsid w:val="000C37A9"/>
    <w:rsid w:val="000C5D9A"/>
    <w:rsid w:val="000C6728"/>
    <w:rsid w:val="000C702E"/>
    <w:rsid w:val="000D077A"/>
    <w:rsid w:val="000D15E9"/>
    <w:rsid w:val="000D163D"/>
    <w:rsid w:val="000D3182"/>
    <w:rsid w:val="000D45C4"/>
    <w:rsid w:val="000E18F3"/>
    <w:rsid w:val="000E266E"/>
    <w:rsid w:val="000E5912"/>
    <w:rsid w:val="000F02FA"/>
    <w:rsid w:val="000F1515"/>
    <w:rsid w:val="000F16B5"/>
    <w:rsid w:val="000F2128"/>
    <w:rsid w:val="000F616E"/>
    <w:rsid w:val="00110D43"/>
    <w:rsid w:val="001159EA"/>
    <w:rsid w:val="00125410"/>
    <w:rsid w:val="00130858"/>
    <w:rsid w:val="00131B2A"/>
    <w:rsid w:val="00133E81"/>
    <w:rsid w:val="001342B2"/>
    <w:rsid w:val="00136C26"/>
    <w:rsid w:val="0014059F"/>
    <w:rsid w:val="00141551"/>
    <w:rsid w:val="001417CE"/>
    <w:rsid w:val="0014247C"/>
    <w:rsid w:val="0014479F"/>
    <w:rsid w:val="001505A8"/>
    <w:rsid w:val="001531A2"/>
    <w:rsid w:val="00154DC5"/>
    <w:rsid w:val="00160C8D"/>
    <w:rsid w:val="001615C1"/>
    <w:rsid w:val="001629C0"/>
    <w:rsid w:val="00165122"/>
    <w:rsid w:val="00165854"/>
    <w:rsid w:val="00166A97"/>
    <w:rsid w:val="00166DB0"/>
    <w:rsid w:val="00173DFD"/>
    <w:rsid w:val="00180FF9"/>
    <w:rsid w:val="00182258"/>
    <w:rsid w:val="00190F0F"/>
    <w:rsid w:val="00195228"/>
    <w:rsid w:val="00195696"/>
    <w:rsid w:val="00196532"/>
    <w:rsid w:val="001A1EFC"/>
    <w:rsid w:val="001A48EF"/>
    <w:rsid w:val="001A49CC"/>
    <w:rsid w:val="001A5553"/>
    <w:rsid w:val="001A716E"/>
    <w:rsid w:val="001B2C65"/>
    <w:rsid w:val="001B7058"/>
    <w:rsid w:val="001C3A4F"/>
    <w:rsid w:val="001C4121"/>
    <w:rsid w:val="001C48DE"/>
    <w:rsid w:val="001D05DE"/>
    <w:rsid w:val="001D52E3"/>
    <w:rsid w:val="001D576F"/>
    <w:rsid w:val="001D7C29"/>
    <w:rsid w:val="001E0475"/>
    <w:rsid w:val="001E2433"/>
    <w:rsid w:val="001F5C90"/>
    <w:rsid w:val="001F5E24"/>
    <w:rsid w:val="001F7452"/>
    <w:rsid w:val="001F767C"/>
    <w:rsid w:val="002005F9"/>
    <w:rsid w:val="00201AC4"/>
    <w:rsid w:val="00210FCF"/>
    <w:rsid w:val="0021270B"/>
    <w:rsid w:val="00214642"/>
    <w:rsid w:val="0021705A"/>
    <w:rsid w:val="00222EFF"/>
    <w:rsid w:val="002240D5"/>
    <w:rsid w:val="002261A7"/>
    <w:rsid w:val="00226AEC"/>
    <w:rsid w:val="0023121A"/>
    <w:rsid w:val="00237508"/>
    <w:rsid w:val="00240804"/>
    <w:rsid w:val="002545F3"/>
    <w:rsid w:val="0026344F"/>
    <w:rsid w:val="00266A17"/>
    <w:rsid w:val="00270234"/>
    <w:rsid w:val="00270372"/>
    <w:rsid w:val="00275534"/>
    <w:rsid w:val="0027602C"/>
    <w:rsid w:val="00277075"/>
    <w:rsid w:val="002775D2"/>
    <w:rsid w:val="00277AB1"/>
    <w:rsid w:val="00281ADD"/>
    <w:rsid w:val="0028644A"/>
    <w:rsid w:val="00286BBE"/>
    <w:rsid w:val="00293E0D"/>
    <w:rsid w:val="00293E80"/>
    <w:rsid w:val="002973B0"/>
    <w:rsid w:val="00297C14"/>
    <w:rsid w:val="002A220F"/>
    <w:rsid w:val="002A24F1"/>
    <w:rsid w:val="002A5778"/>
    <w:rsid w:val="002B1E84"/>
    <w:rsid w:val="002B2085"/>
    <w:rsid w:val="002B3EC4"/>
    <w:rsid w:val="002B3EFF"/>
    <w:rsid w:val="002C37D5"/>
    <w:rsid w:val="002D34DB"/>
    <w:rsid w:val="002D4B11"/>
    <w:rsid w:val="002E06D3"/>
    <w:rsid w:val="002E5633"/>
    <w:rsid w:val="002E71C2"/>
    <w:rsid w:val="002F0775"/>
    <w:rsid w:val="002F13F7"/>
    <w:rsid w:val="002F1963"/>
    <w:rsid w:val="002F5B6E"/>
    <w:rsid w:val="002F61B5"/>
    <w:rsid w:val="0030209B"/>
    <w:rsid w:val="003127E4"/>
    <w:rsid w:val="00313215"/>
    <w:rsid w:val="003174C3"/>
    <w:rsid w:val="0032557A"/>
    <w:rsid w:val="0033721D"/>
    <w:rsid w:val="00340778"/>
    <w:rsid w:val="00344D2C"/>
    <w:rsid w:val="003458CE"/>
    <w:rsid w:val="00345A57"/>
    <w:rsid w:val="00346D90"/>
    <w:rsid w:val="00351F62"/>
    <w:rsid w:val="003601F4"/>
    <w:rsid w:val="003671E2"/>
    <w:rsid w:val="00372AE6"/>
    <w:rsid w:val="003837E1"/>
    <w:rsid w:val="0038584D"/>
    <w:rsid w:val="00390FB0"/>
    <w:rsid w:val="0039257F"/>
    <w:rsid w:val="003931DE"/>
    <w:rsid w:val="00397D1A"/>
    <w:rsid w:val="003A163C"/>
    <w:rsid w:val="003A2B4E"/>
    <w:rsid w:val="003A2FBB"/>
    <w:rsid w:val="003A3799"/>
    <w:rsid w:val="003A4913"/>
    <w:rsid w:val="003A54A9"/>
    <w:rsid w:val="003A6C83"/>
    <w:rsid w:val="003A7083"/>
    <w:rsid w:val="003B38B3"/>
    <w:rsid w:val="003B3A97"/>
    <w:rsid w:val="003B3D44"/>
    <w:rsid w:val="003C603D"/>
    <w:rsid w:val="003C628F"/>
    <w:rsid w:val="003C7CC2"/>
    <w:rsid w:val="003D1B8F"/>
    <w:rsid w:val="003D2BEB"/>
    <w:rsid w:val="003D50B6"/>
    <w:rsid w:val="003E05DF"/>
    <w:rsid w:val="003E23F4"/>
    <w:rsid w:val="003E2A78"/>
    <w:rsid w:val="003E6085"/>
    <w:rsid w:val="003E67BB"/>
    <w:rsid w:val="003E6CA3"/>
    <w:rsid w:val="003F4C96"/>
    <w:rsid w:val="00406002"/>
    <w:rsid w:val="00406AD3"/>
    <w:rsid w:val="00406E53"/>
    <w:rsid w:val="00411DC9"/>
    <w:rsid w:val="00412E42"/>
    <w:rsid w:val="00417C9A"/>
    <w:rsid w:val="00426356"/>
    <w:rsid w:val="00426929"/>
    <w:rsid w:val="00440974"/>
    <w:rsid w:val="00442C16"/>
    <w:rsid w:val="00446439"/>
    <w:rsid w:val="00450BDA"/>
    <w:rsid w:val="00453A3E"/>
    <w:rsid w:val="0045452F"/>
    <w:rsid w:val="0045766B"/>
    <w:rsid w:val="00465A52"/>
    <w:rsid w:val="00474BB7"/>
    <w:rsid w:val="004816D7"/>
    <w:rsid w:val="0048342E"/>
    <w:rsid w:val="00487478"/>
    <w:rsid w:val="0048782D"/>
    <w:rsid w:val="00492CCF"/>
    <w:rsid w:val="00494DC1"/>
    <w:rsid w:val="004A3F56"/>
    <w:rsid w:val="004A4B62"/>
    <w:rsid w:val="004A5E21"/>
    <w:rsid w:val="004A666A"/>
    <w:rsid w:val="004B143F"/>
    <w:rsid w:val="004B49A0"/>
    <w:rsid w:val="004C0E41"/>
    <w:rsid w:val="004C5673"/>
    <w:rsid w:val="004C6306"/>
    <w:rsid w:val="004C6F5E"/>
    <w:rsid w:val="004C7E94"/>
    <w:rsid w:val="004D6FC3"/>
    <w:rsid w:val="004D7CF8"/>
    <w:rsid w:val="004D7EDA"/>
    <w:rsid w:val="004E0E49"/>
    <w:rsid w:val="004E197A"/>
    <w:rsid w:val="004E5D52"/>
    <w:rsid w:val="004F07D7"/>
    <w:rsid w:val="004F1297"/>
    <w:rsid w:val="004F16DB"/>
    <w:rsid w:val="004F2D2B"/>
    <w:rsid w:val="004F4D7E"/>
    <w:rsid w:val="004F5B16"/>
    <w:rsid w:val="004F5D9D"/>
    <w:rsid w:val="004F68E5"/>
    <w:rsid w:val="004F741B"/>
    <w:rsid w:val="00503253"/>
    <w:rsid w:val="00503A3A"/>
    <w:rsid w:val="00503BB0"/>
    <w:rsid w:val="00503E03"/>
    <w:rsid w:val="00512226"/>
    <w:rsid w:val="005147C6"/>
    <w:rsid w:val="005159B1"/>
    <w:rsid w:val="00517B6E"/>
    <w:rsid w:val="00522502"/>
    <w:rsid w:val="005255A1"/>
    <w:rsid w:val="0052641C"/>
    <w:rsid w:val="005265FF"/>
    <w:rsid w:val="0052740B"/>
    <w:rsid w:val="00527C77"/>
    <w:rsid w:val="00534A68"/>
    <w:rsid w:val="0053795D"/>
    <w:rsid w:val="00544522"/>
    <w:rsid w:val="00544658"/>
    <w:rsid w:val="005468AB"/>
    <w:rsid w:val="00547EA4"/>
    <w:rsid w:val="005501A0"/>
    <w:rsid w:val="00550831"/>
    <w:rsid w:val="00554273"/>
    <w:rsid w:val="00560F26"/>
    <w:rsid w:val="005642B6"/>
    <w:rsid w:val="00571D5E"/>
    <w:rsid w:val="005823D0"/>
    <w:rsid w:val="00586DA5"/>
    <w:rsid w:val="005A2748"/>
    <w:rsid w:val="005A443F"/>
    <w:rsid w:val="005B53EC"/>
    <w:rsid w:val="005B58D4"/>
    <w:rsid w:val="005B68BA"/>
    <w:rsid w:val="005C07B3"/>
    <w:rsid w:val="005C284E"/>
    <w:rsid w:val="005C47D4"/>
    <w:rsid w:val="005D197B"/>
    <w:rsid w:val="005D51D0"/>
    <w:rsid w:val="005D5C96"/>
    <w:rsid w:val="005D6F83"/>
    <w:rsid w:val="005D7877"/>
    <w:rsid w:val="005D7CCF"/>
    <w:rsid w:val="005E3DFA"/>
    <w:rsid w:val="005E58C4"/>
    <w:rsid w:val="005E5D8F"/>
    <w:rsid w:val="005F5A5C"/>
    <w:rsid w:val="005F5CD9"/>
    <w:rsid w:val="005F62EA"/>
    <w:rsid w:val="0060124D"/>
    <w:rsid w:val="00607DE9"/>
    <w:rsid w:val="0061135C"/>
    <w:rsid w:val="006136DD"/>
    <w:rsid w:val="0061429D"/>
    <w:rsid w:val="006149F0"/>
    <w:rsid w:val="006220A5"/>
    <w:rsid w:val="0062267C"/>
    <w:rsid w:val="00624AC8"/>
    <w:rsid w:val="00630E1E"/>
    <w:rsid w:val="00633663"/>
    <w:rsid w:val="00633C60"/>
    <w:rsid w:val="006375AD"/>
    <w:rsid w:val="0064126D"/>
    <w:rsid w:val="006451B8"/>
    <w:rsid w:val="00645722"/>
    <w:rsid w:val="00652432"/>
    <w:rsid w:val="00652B59"/>
    <w:rsid w:val="00657840"/>
    <w:rsid w:val="0066003C"/>
    <w:rsid w:val="0066041E"/>
    <w:rsid w:val="00673CCC"/>
    <w:rsid w:val="00675C98"/>
    <w:rsid w:val="0069026B"/>
    <w:rsid w:val="0069036F"/>
    <w:rsid w:val="006956EA"/>
    <w:rsid w:val="006A490C"/>
    <w:rsid w:val="006A7180"/>
    <w:rsid w:val="006B42A1"/>
    <w:rsid w:val="006B4F7D"/>
    <w:rsid w:val="006C114C"/>
    <w:rsid w:val="006C1746"/>
    <w:rsid w:val="006C3864"/>
    <w:rsid w:val="006C45CB"/>
    <w:rsid w:val="006C5383"/>
    <w:rsid w:val="006C597C"/>
    <w:rsid w:val="006C5E72"/>
    <w:rsid w:val="006D2AEC"/>
    <w:rsid w:val="006D4C8E"/>
    <w:rsid w:val="006E1793"/>
    <w:rsid w:val="006E19D1"/>
    <w:rsid w:val="006E1CBB"/>
    <w:rsid w:val="006E2D3B"/>
    <w:rsid w:val="006E6885"/>
    <w:rsid w:val="006F100B"/>
    <w:rsid w:val="006F239A"/>
    <w:rsid w:val="006F2C9D"/>
    <w:rsid w:val="006F3B2A"/>
    <w:rsid w:val="0070637D"/>
    <w:rsid w:val="007071DD"/>
    <w:rsid w:val="0070771F"/>
    <w:rsid w:val="00712A14"/>
    <w:rsid w:val="00716C04"/>
    <w:rsid w:val="00717180"/>
    <w:rsid w:val="007179D2"/>
    <w:rsid w:val="00720750"/>
    <w:rsid w:val="0072549C"/>
    <w:rsid w:val="00725A80"/>
    <w:rsid w:val="00731B44"/>
    <w:rsid w:val="0073313D"/>
    <w:rsid w:val="00733970"/>
    <w:rsid w:val="00735569"/>
    <w:rsid w:val="007427DC"/>
    <w:rsid w:val="00743004"/>
    <w:rsid w:val="007470BA"/>
    <w:rsid w:val="00751AFE"/>
    <w:rsid w:val="007543D2"/>
    <w:rsid w:val="00754C58"/>
    <w:rsid w:val="0075625C"/>
    <w:rsid w:val="00774E42"/>
    <w:rsid w:val="007752C2"/>
    <w:rsid w:val="00775986"/>
    <w:rsid w:val="0077678C"/>
    <w:rsid w:val="00776E78"/>
    <w:rsid w:val="0078138A"/>
    <w:rsid w:val="00782CFA"/>
    <w:rsid w:val="00783014"/>
    <w:rsid w:val="007834DC"/>
    <w:rsid w:val="0079261A"/>
    <w:rsid w:val="007959D8"/>
    <w:rsid w:val="0079630F"/>
    <w:rsid w:val="00797F56"/>
    <w:rsid w:val="007A04C2"/>
    <w:rsid w:val="007B146A"/>
    <w:rsid w:val="007C0E7C"/>
    <w:rsid w:val="007C0EAA"/>
    <w:rsid w:val="007C44B2"/>
    <w:rsid w:val="007C6496"/>
    <w:rsid w:val="007C745E"/>
    <w:rsid w:val="007D2A0D"/>
    <w:rsid w:val="007D3833"/>
    <w:rsid w:val="007D727F"/>
    <w:rsid w:val="007E1CBF"/>
    <w:rsid w:val="007E3F8C"/>
    <w:rsid w:val="007F2058"/>
    <w:rsid w:val="007F7685"/>
    <w:rsid w:val="0080011D"/>
    <w:rsid w:val="00800EA5"/>
    <w:rsid w:val="00801C01"/>
    <w:rsid w:val="008130BB"/>
    <w:rsid w:val="008155D2"/>
    <w:rsid w:val="008237FA"/>
    <w:rsid w:val="00825D37"/>
    <w:rsid w:val="00830F63"/>
    <w:rsid w:val="0083598B"/>
    <w:rsid w:val="008369B0"/>
    <w:rsid w:val="0085732C"/>
    <w:rsid w:val="00860B45"/>
    <w:rsid w:val="00863860"/>
    <w:rsid w:val="008638B5"/>
    <w:rsid w:val="008734DB"/>
    <w:rsid w:val="0087390B"/>
    <w:rsid w:val="00873D6F"/>
    <w:rsid w:val="008745A1"/>
    <w:rsid w:val="008766F9"/>
    <w:rsid w:val="008768E9"/>
    <w:rsid w:val="0087751B"/>
    <w:rsid w:val="00883D7C"/>
    <w:rsid w:val="00887731"/>
    <w:rsid w:val="00890995"/>
    <w:rsid w:val="00890B7E"/>
    <w:rsid w:val="008914FB"/>
    <w:rsid w:val="00897E99"/>
    <w:rsid w:val="00897FD2"/>
    <w:rsid w:val="008A35A6"/>
    <w:rsid w:val="008A4829"/>
    <w:rsid w:val="008B2384"/>
    <w:rsid w:val="008B38D6"/>
    <w:rsid w:val="008B4802"/>
    <w:rsid w:val="008B69E3"/>
    <w:rsid w:val="008C1FD1"/>
    <w:rsid w:val="008C24A8"/>
    <w:rsid w:val="008C35EF"/>
    <w:rsid w:val="008C5996"/>
    <w:rsid w:val="008C5E32"/>
    <w:rsid w:val="008D5A11"/>
    <w:rsid w:val="008D5E23"/>
    <w:rsid w:val="008E6D59"/>
    <w:rsid w:val="008F5C5D"/>
    <w:rsid w:val="008F5D66"/>
    <w:rsid w:val="00901B1B"/>
    <w:rsid w:val="009028AA"/>
    <w:rsid w:val="00903E3F"/>
    <w:rsid w:val="009049C3"/>
    <w:rsid w:val="009057D9"/>
    <w:rsid w:val="0090774A"/>
    <w:rsid w:val="00910D07"/>
    <w:rsid w:val="00913335"/>
    <w:rsid w:val="00914B2F"/>
    <w:rsid w:val="009150E6"/>
    <w:rsid w:val="009159BC"/>
    <w:rsid w:val="00917F89"/>
    <w:rsid w:val="009255EE"/>
    <w:rsid w:val="00925603"/>
    <w:rsid w:val="00925F76"/>
    <w:rsid w:val="00932A14"/>
    <w:rsid w:val="00932E89"/>
    <w:rsid w:val="0093359D"/>
    <w:rsid w:val="00933F2B"/>
    <w:rsid w:val="00942EEB"/>
    <w:rsid w:val="0094468E"/>
    <w:rsid w:val="00945261"/>
    <w:rsid w:val="009506A5"/>
    <w:rsid w:val="009541CC"/>
    <w:rsid w:val="00956564"/>
    <w:rsid w:val="00956D5A"/>
    <w:rsid w:val="009614ED"/>
    <w:rsid w:val="00961B2C"/>
    <w:rsid w:val="00961DBB"/>
    <w:rsid w:val="0096618E"/>
    <w:rsid w:val="00972B31"/>
    <w:rsid w:val="009744D0"/>
    <w:rsid w:val="00976F51"/>
    <w:rsid w:val="00981433"/>
    <w:rsid w:val="00985C07"/>
    <w:rsid w:val="00993175"/>
    <w:rsid w:val="00995B4F"/>
    <w:rsid w:val="00997582"/>
    <w:rsid w:val="009A2C21"/>
    <w:rsid w:val="009A3E58"/>
    <w:rsid w:val="009A5F02"/>
    <w:rsid w:val="009A7AB1"/>
    <w:rsid w:val="009B0B5B"/>
    <w:rsid w:val="009B0B98"/>
    <w:rsid w:val="009C5B4B"/>
    <w:rsid w:val="009C6DAA"/>
    <w:rsid w:val="009D0E74"/>
    <w:rsid w:val="009D187C"/>
    <w:rsid w:val="009D1A96"/>
    <w:rsid w:val="009D370B"/>
    <w:rsid w:val="009E2087"/>
    <w:rsid w:val="009E252B"/>
    <w:rsid w:val="009E3265"/>
    <w:rsid w:val="009E3353"/>
    <w:rsid w:val="009E446D"/>
    <w:rsid w:val="009E7C09"/>
    <w:rsid w:val="009F146D"/>
    <w:rsid w:val="009F4F1E"/>
    <w:rsid w:val="009F729C"/>
    <w:rsid w:val="00A015E4"/>
    <w:rsid w:val="00A038B6"/>
    <w:rsid w:val="00A075BC"/>
    <w:rsid w:val="00A11222"/>
    <w:rsid w:val="00A12C39"/>
    <w:rsid w:val="00A134FB"/>
    <w:rsid w:val="00A20802"/>
    <w:rsid w:val="00A25B4F"/>
    <w:rsid w:val="00A31A78"/>
    <w:rsid w:val="00A434F2"/>
    <w:rsid w:val="00A442BF"/>
    <w:rsid w:val="00A53716"/>
    <w:rsid w:val="00A5629E"/>
    <w:rsid w:val="00A64832"/>
    <w:rsid w:val="00A732DB"/>
    <w:rsid w:val="00A73E26"/>
    <w:rsid w:val="00A86F04"/>
    <w:rsid w:val="00A946C4"/>
    <w:rsid w:val="00AA4784"/>
    <w:rsid w:val="00AC01F8"/>
    <w:rsid w:val="00AC059A"/>
    <w:rsid w:val="00AC32FA"/>
    <w:rsid w:val="00AC336D"/>
    <w:rsid w:val="00AD0308"/>
    <w:rsid w:val="00AD377A"/>
    <w:rsid w:val="00AD67BB"/>
    <w:rsid w:val="00AD78E4"/>
    <w:rsid w:val="00AE1CC1"/>
    <w:rsid w:val="00AE3EA4"/>
    <w:rsid w:val="00AE7515"/>
    <w:rsid w:val="00AF1B02"/>
    <w:rsid w:val="00AF41E4"/>
    <w:rsid w:val="00AF6672"/>
    <w:rsid w:val="00B0687E"/>
    <w:rsid w:val="00B06A75"/>
    <w:rsid w:val="00B06BC3"/>
    <w:rsid w:val="00B10082"/>
    <w:rsid w:val="00B15A0F"/>
    <w:rsid w:val="00B20236"/>
    <w:rsid w:val="00B20937"/>
    <w:rsid w:val="00B220A0"/>
    <w:rsid w:val="00B22B64"/>
    <w:rsid w:val="00B22FEA"/>
    <w:rsid w:val="00B24321"/>
    <w:rsid w:val="00B30FEB"/>
    <w:rsid w:val="00B340F5"/>
    <w:rsid w:val="00B40AA3"/>
    <w:rsid w:val="00B44478"/>
    <w:rsid w:val="00B554EC"/>
    <w:rsid w:val="00B6002C"/>
    <w:rsid w:val="00B61369"/>
    <w:rsid w:val="00B62060"/>
    <w:rsid w:val="00B620EE"/>
    <w:rsid w:val="00B627C9"/>
    <w:rsid w:val="00B6441C"/>
    <w:rsid w:val="00B85366"/>
    <w:rsid w:val="00B87F60"/>
    <w:rsid w:val="00B9355E"/>
    <w:rsid w:val="00B93D3D"/>
    <w:rsid w:val="00BA1DA3"/>
    <w:rsid w:val="00BA471F"/>
    <w:rsid w:val="00BA515F"/>
    <w:rsid w:val="00BA71FC"/>
    <w:rsid w:val="00BB150B"/>
    <w:rsid w:val="00BB3300"/>
    <w:rsid w:val="00BB5013"/>
    <w:rsid w:val="00BB528E"/>
    <w:rsid w:val="00BC2600"/>
    <w:rsid w:val="00BC36F0"/>
    <w:rsid w:val="00BC4FA7"/>
    <w:rsid w:val="00BC5E30"/>
    <w:rsid w:val="00BD0061"/>
    <w:rsid w:val="00BD02C5"/>
    <w:rsid w:val="00BD068D"/>
    <w:rsid w:val="00BD461A"/>
    <w:rsid w:val="00BE0D9A"/>
    <w:rsid w:val="00BE1A50"/>
    <w:rsid w:val="00BE2F0D"/>
    <w:rsid w:val="00BE7121"/>
    <w:rsid w:val="00BF0BD5"/>
    <w:rsid w:val="00BF3319"/>
    <w:rsid w:val="00BF3333"/>
    <w:rsid w:val="00BF55F8"/>
    <w:rsid w:val="00C051FD"/>
    <w:rsid w:val="00C12313"/>
    <w:rsid w:val="00C14B01"/>
    <w:rsid w:val="00C20C7D"/>
    <w:rsid w:val="00C20DEF"/>
    <w:rsid w:val="00C2387B"/>
    <w:rsid w:val="00C24B25"/>
    <w:rsid w:val="00C274C2"/>
    <w:rsid w:val="00C304E0"/>
    <w:rsid w:val="00C3258B"/>
    <w:rsid w:val="00C32C2F"/>
    <w:rsid w:val="00C362FC"/>
    <w:rsid w:val="00C3738A"/>
    <w:rsid w:val="00C4315A"/>
    <w:rsid w:val="00C43F5E"/>
    <w:rsid w:val="00C44074"/>
    <w:rsid w:val="00C44CA7"/>
    <w:rsid w:val="00C4651F"/>
    <w:rsid w:val="00C51D0B"/>
    <w:rsid w:val="00C52A50"/>
    <w:rsid w:val="00C575D4"/>
    <w:rsid w:val="00C626ED"/>
    <w:rsid w:val="00C642D4"/>
    <w:rsid w:val="00C730F4"/>
    <w:rsid w:val="00C74F6A"/>
    <w:rsid w:val="00C77160"/>
    <w:rsid w:val="00C80200"/>
    <w:rsid w:val="00C8270B"/>
    <w:rsid w:val="00C841A9"/>
    <w:rsid w:val="00C8728F"/>
    <w:rsid w:val="00C900D0"/>
    <w:rsid w:val="00C95BA8"/>
    <w:rsid w:val="00C97FBC"/>
    <w:rsid w:val="00CA0B7E"/>
    <w:rsid w:val="00CA14BB"/>
    <w:rsid w:val="00CA5598"/>
    <w:rsid w:val="00CA5EF8"/>
    <w:rsid w:val="00CB145F"/>
    <w:rsid w:val="00CB28A3"/>
    <w:rsid w:val="00CB492D"/>
    <w:rsid w:val="00CC00A0"/>
    <w:rsid w:val="00CC5455"/>
    <w:rsid w:val="00CC6C06"/>
    <w:rsid w:val="00CD307B"/>
    <w:rsid w:val="00CD542D"/>
    <w:rsid w:val="00CD5509"/>
    <w:rsid w:val="00CE1EB0"/>
    <w:rsid w:val="00CE3BC1"/>
    <w:rsid w:val="00CE3DF2"/>
    <w:rsid w:val="00CE78F7"/>
    <w:rsid w:val="00CF0C0F"/>
    <w:rsid w:val="00CF1690"/>
    <w:rsid w:val="00CF1F2A"/>
    <w:rsid w:val="00CF5CE3"/>
    <w:rsid w:val="00CF7412"/>
    <w:rsid w:val="00D017C1"/>
    <w:rsid w:val="00D030F8"/>
    <w:rsid w:val="00D0497B"/>
    <w:rsid w:val="00D077B7"/>
    <w:rsid w:val="00D20297"/>
    <w:rsid w:val="00D2063E"/>
    <w:rsid w:val="00D21E6B"/>
    <w:rsid w:val="00D23634"/>
    <w:rsid w:val="00D34551"/>
    <w:rsid w:val="00D36347"/>
    <w:rsid w:val="00D367E5"/>
    <w:rsid w:val="00D457D6"/>
    <w:rsid w:val="00D464DA"/>
    <w:rsid w:val="00D51262"/>
    <w:rsid w:val="00D61D9E"/>
    <w:rsid w:val="00D64CE2"/>
    <w:rsid w:val="00D709C4"/>
    <w:rsid w:val="00D7751B"/>
    <w:rsid w:val="00D77581"/>
    <w:rsid w:val="00D815DC"/>
    <w:rsid w:val="00D822B5"/>
    <w:rsid w:val="00D83D3C"/>
    <w:rsid w:val="00D85E66"/>
    <w:rsid w:val="00D867AE"/>
    <w:rsid w:val="00D87BBB"/>
    <w:rsid w:val="00D87C87"/>
    <w:rsid w:val="00D921C4"/>
    <w:rsid w:val="00D9296A"/>
    <w:rsid w:val="00D93C23"/>
    <w:rsid w:val="00D95638"/>
    <w:rsid w:val="00D9584C"/>
    <w:rsid w:val="00D95F67"/>
    <w:rsid w:val="00DA14D9"/>
    <w:rsid w:val="00DB13AD"/>
    <w:rsid w:val="00DB23F9"/>
    <w:rsid w:val="00DB58BE"/>
    <w:rsid w:val="00DB6176"/>
    <w:rsid w:val="00DB6AA0"/>
    <w:rsid w:val="00DB7C3A"/>
    <w:rsid w:val="00DD32AB"/>
    <w:rsid w:val="00DD5BF6"/>
    <w:rsid w:val="00DE1865"/>
    <w:rsid w:val="00DE27EE"/>
    <w:rsid w:val="00DE3606"/>
    <w:rsid w:val="00DE6CEF"/>
    <w:rsid w:val="00DE78B8"/>
    <w:rsid w:val="00DF11C2"/>
    <w:rsid w:val="00DF1798"/>
    <w:rsid w:val="00DF4593"/>
    <w:rsid w:val="00DF52B7"/>
    <w:rsid w:val="00DF543D"/>
    <w:rsid w:val="00DF758F"/>
    <w:rsid w:val="00E074BE"/>
    <w:rsid w:val="00E10D05"/>
    <w:rsid w:val="00E17114"/>
    <w:rsid w:val="00E2223E"/>
    <w:rsid w:val="00E22D98"/>
    <w:rsid w:val="00E24623"/>
    <w:rsid w:val="00E252E3"/>
    <w:rsid w:val="00E31132"/>
    <w:rsid w:val="00E322AB"/>
    <w:rsid w:val="00E33BE0"/>
    <w:rsid w:val="00E351AD"/>
    <w:rsid w:val="00E359F6"/>
    <w:rsid w:val="00E40097"/>
    <w:rsid w:val="00E40505"/>
    <w:rsid w:val="00E42A41"/>
    <w:rsid w:val="00E45766"/>
    <w:rsid w:val="00E543D1"/>
    <w:rsid w:val="00E567E5"/>
    <w:rsid w:val="00E62956"/>
    <w:rsid w:val="00E65CC2"/>
    <w:rsid w:val="00E6708B"/>
    <w:rsid w:val="00E73A8C"/>
    <w:rsid w:val="00E75050"/>
    <w:rsid w:val="00E76F42"/>
    <w:rsid w:val="00E7739F"/>
    <w:rsid w:val="00E81CE9"/>
    <w:rsid w:val="00E85D08"/>
    <w:rsid w:val="00E915E6"/>
    <w:rsid w:val="00E93066"/>
    <w:rsid w:val="00E97FF2"/>
    <w:rsid w:val="00EA3E11"/>
    <w:rsid w:val="00EA6EB3"/>
    <w:rsid w:val="00EB4A8E"/>
    <w:rsid w:val="00EB5EF3"/>
    <w:rsid w:val="00EB65F4"/>
    <w:rsid w:val="00EB695D"/>
    <w:rsid w:val="00ED39CE"/>
    <w:rsid w:val="00ED3F39"/>
    <w:rsid w:val="00ED4134"/>
    <w:rsid w:val="00EE05F1"/>
    <w:rsid w:val="00EE439C"/>
    <w:rsid w:val="00EE471A"/>
    <w:rsid w:val="00EE5492"/>
    <w:rsid w:val="00EF03BE"/>
    <w:rsid w:val="00F07BD5"/>
    <w:rsid w:val="00F122D6"/>
    <w:rsid w:val="00F14175"/>
    <w:rsid w:val="00F15BF4"/>
    <w:rsid w:val="00F17940"/>
    <w:rsid w:val="00F2046C"/>
    <w:rsid w:val="00F20647"/>
    <w:rsid w:val="00F31392"/>
    <w:rsid w:val="00F348B5"/>
    <w:rsid w:val="00F3652B"/>
    <w:rsid w:val="00F36A96"/>
    <w:rsid w:val="00F377B9"/>
    <w:rsid w:val="00F44676"/>
    <w:rsid w:val="00F45442"/>
    <w:rsid w:val="00F4601F"/>
    <w:rsid w:val="00F464ED"/>
    <w:rsid w:val="00F5145E"/>
    <w:rsid w:val="00F558EA"/>
    <w:rsid w:val="00F613CB"/>
    <w:rsid w:val="00F61F79"/>
    <w:rsid w:val="00F656A4"/>
    <w:rsid w:val="00F6665E"/>
    <w:rsid w:val="00F7075F"/>
    <w:rsid w:val="00F71D76"/>
    <w:rsid w:val="00F77783"/>
    <w:rsid w:val="00F8349F"/>
    <w:rsid w:val="00F83FB7"/>
    <w:rsid w:val="00F85935"/>
    <w:rsid w:val="00F85D29"/>
    <w:rsid w:val="00F969D3"/>
    <w:rsid w:val="00FA190E"/>
    <w:rsid w:val="00FA4A5C"/>
    <w:rsid w:val="00FA54D8"/>
    <w:rsid w:val="00FA61AD"/>
    <w:rsid w:val="00FA7057"/>
    <w:rsid w:val="00FA7A37"/>
    <w:rsid w:val="00FC4FB7"/>
    <w:rsid w:val="00FD357B"/>
    <w:rsid w:val="00FD38FC"/>
    <w:rsid w:val="00FD5E34"/>
    <w:rsid w:val="00FD6119"/>
    <w:rsid w:val="00FD688E"/>
    <w:rsid w:val="00FD7C0C"/>
    <w:rsid w:val="00FE045C"/>
    <w:rsid w:val="00FE0C52"/>
    <w:rsid w:val="00FE1692"/>
    <w:rsid w:val="00FF0566"/>
    <w:rsid w:val="00FF6218"/>
    <w:rsid w:val="00FF7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8766F9"/>
  </w:style>
  <w:style w:type="paragraph" w:styleId="Heading1">
    <w:name w:val="heading 1"/>
    <w:basedOn w:val="Normal"/>
    <w:next w:val="BodyText"/>
    <w:link w:val="Heading1Char"/>
    <w:qFormat/>
    <w:rsid w:val="00E93066"/>
    <w:pPr>
      <w:keepNext/>
      <w:keepLines/>
      <w:numPr>
        <w:numId w:val="10"/>
      </w:numPr>
      <w:tabs>
        <w:tab w:val="right" w:pos="1418"/>
        <w:tab w:val="right" w:pos="1701"/>
        <w:tab w:val="right" w:pos="1985"/>
      </w:tabs>
      <w:spacing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CB145F"/>
    <w:pPr>
      <w:keepNext/>
      <w:keepLines/>
      <w:numPr>
        <w:ilvl w:val="1"/>
        <w:numId w:val="10"/>
      </w:numPr>
      <w:tabs>
        <w:tab w:val="left" w:pos="1418"/>
        <w:tab w:val="left" w:pos="1701"/>
        <w:tab w:val="left" w:pos="1985"/>
      </w:tabs>
      <w:spacing w:before="470" w:after="227" w:line="264" w:lineRule="auto"/>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E93066"/>
    <w:pPr>
      <w:keepNext/>
      <w:keepLines/>
      <w:numPr>
        <w:ilvl w:val="2"/>
        <w:numId w:val="10"/>
      </w:numPr>
      <w:tabs>
        <w:tab w:val="left" w:pos="1418"/>
        <w:tab w:val="left" w:pos="1701"/>
        <w:tab w:val="left" w:pos="1985"/>
      </w:tabs>
      <w:spacing w:before="470" w:after="227"/>
      <w:ind w:left="765"/>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F3319"/>
    <w:pPr>
      <w:keepNext/>
      <w:keepLines/>
      <w:framePr w:hSpace="180" w:wrap="around" w:vAnchor="text" w:hAnchor="margin" w:y="247"/>
      <w:spacing w:after="60" w:line="240" w:lineRule="auto"/>
      <w:ind w:left="113"/>
      <w:outlineLvl w:val="4"/>
    </w:pPr>
    <w:rPr>
      <w:rFonts w:eastAsiaTheme="majorEastAsia" w:cstheme="majorBidi"/>
      <w:b/>
      <w:color w:val="2B3B5F" w:themeColor="text2"/>
      <w:sz w:val="28"/>
      <w:lang w:eastAsia="en-AU"/>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E93066"/>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CB145F"/>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E93066"/>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BF3319"/>
    <w:rPr>
      <w:rFonts w:eastAsiaTheme="majorEastAsia" w:cstheme="majorBidi"/>
      <w:b/>
      <w:color w:val="2B3B5F" w:themeColor="text2"/>
      <w:sz w:val="28"/>
      <w:lang w:eastAsia="en-AU"/>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5"/>
      </w:numPr>
    </w:pPr>
  </w:style>
  <w:style w:type="paragraph" w:customStyle="1" w:styleId="PullOutBoxNumber2">
    <w:name w:val="Pull Out Box Number 2"/>
    <w:basedOn w:val="PullOutBoxBodyText"/>
    <w:qFormat/>
    <w:rsid w:val="00961DBB"/>
    <w:pPr>
      <w:numPr>
        <w:ilvl w:val="1"/>
        <w:numId w:val="25"/>
      </w:numPr>
    </w:pPr>
  </w:style>
  <w:style w:type="paragraph" w:customStyle="1" w:styleId="PullOutBoxNumber3">
    <w:name w:val="Pull Out Box Number 3"/>
    <w:basedOn w:val="PullOutBoxBodyText"/>
    <w:qFormat/>
    <w:rsid w:val="00961DBB"/>
    <w:pPr>
      <w:numPr>
        <w:ilvl w:val="2"/>
        <w:numId w:val="2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table" w:styleId="LightList-Accent2">
    <w:name w:val="Light List Accent 2"/>
    <w:basedOn w:val="TableNormal"/>
    <w:uiPriority w:val="61"/>
    <w:rsid w:val="00E074BE"/>
    <w:pPr>
      <w:spacing w:line="240" w:lineRule="auto"/>
    </w:pPr>
    <w:tblPr>
      <w:tblStyleRowBandSize w:val="1"/>
      <w:tblStyleColBandSize w:val="1"/>
      <w:tblBorders>
        <w:top w:val="single" w:sz="8" w:space="0" w:color="95A4C6" w:themeColor="accent2"/>
        <w:left w:val="single" w:sz="8" w:space="0" w:color="95A4C6" w:themeColor="accent2"/>
        <w:bottom w:val="single" w:sz="8" w:space="0" w:color="95A4C6" w:themeColor="accent2"/>
        <w:right w:val="single" w:sz="8" w:space="0" w:color="95A4C6" w:themeColor="accent2"/>
      </w:tblBorders>
    </w:tblPr>
    <w:tblStylePr w:type="firstRow">
      <w:pPr>
        <w:spacing w:before="0" w:after="0" w:line="240" w:lineRule="auto"/>
      </w:pPr>
      <w:rPr>
        <w:b/>
        <w:bCs/>
        <w:color w:val="FFFFFF" w:themeColor="background1"/>
      </w:rPr>
      <w:tblPr/>
      <w:tcPr>
        <w:shd w:val="clear" w:color="auto" w:fill="95A4C6" w:themeFill="accent2"/>
      </w:tcPr>
    </w:tblStylePr>
    <w:tblStylePr w:type="lastRow">
      <w:pPr>
        <w:spacing w:before="0" w:after="0" w:line="240" w:lineRule="auto"/>
      </w:pPr>
      <w:rPr>
        <w:b/>
        <w:bCs/>
      </w:rPr>
      <w:tblPr/>
      <w:tcPr>
        <w:tcBorders>
          <w:top w:val="double" w:sz="6" w:space="0" w:color="95A4C6" w:themeColor="accent2"/>
          <w:left w:val="single" w:sz="8" w:space="0" w:color="95A4C6" w:themeColor="accent2"/>
          <w:bottom w:val="single" w:sz="8" w:space="0" w:color="95A4C6" w:themeColor="accent2"/>
          <w:right w:val="single" w:sz="8" w:space="0" w:color="95A4C6" w:themeColor="accent2"/>
        </w:tcBorders>
      </w:tcPr>
    </w:tblStylePr>
    <w:tblStylePr w:type="firstCol">
      <w:rPr>
        <w:b/>
        <w:bCs/>
      </w:rPr>
    </w:tblStylePr>
    <w:tblStylePr w:type="lastCol">
      <w:rPr>
        <w:b/>
        <w:bCs/>
      </w:rPr>
    </w:tblStylePr>
    <w:tblStylePr w:type="band1Vert">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tblStylePr w:type="band1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style>
  <w:style w:type="character" w:styleId="CommentReference">
    <w:name w:val="annotation reference"/>
    <w:basedOn w:val="DefaultParagraphFont"/>
    <w:semiHidden/>
    <w:unhideWhenUsed/>
    <w:rsid w:val="00BD0061"/>
    <w:rPr>
      <w:sz w:val="16"/>
      <w:szCs w:val="16"/>
    </w:rPr>
  </w:style>
  <w:style w:type="paragraph" w:styleId="CommentText">
    <w:name w:val="annotation text"/>
    <w:basedOn w:val="Normal"/>
    <w:link w:val="CommentTextChar"/>
    <w:semiHidden/>
    <w:unhideWhenUsed/>
    <w:rsid w:val="00BD0061"/>
    <w:pPr>
      <w:spacing w:line="240" w:lineRule="auto"/>
    </w:pPr>
    <w:rPr>
      <w:sz w:val="20"/>
      <w:szCs w:val="20"/>
    </w:rPr>
  </w:style>
  <w:style w:type="character" w:customStyle="1" w:styleId="CommentTextChar">
    <w:name w:val="Comment Text Char"/>
    <w:basedOn w:val="DefaultParagraphFont"/>
    <w:link w:val="CommentText"/>
    <w:semiHidden/>
    <w:rsid w:val="00BD0061"/>
    <w:rPr>
      <w:sz w:val="20"/>
      <w:szCs w:val="20"/>
    </w:rPr>
  </w:style>
  <w:style w:type="paragraph" w:styleId="CommentSubject">
    <w:name w:val="annotation subject"/>
    <w:basedOn w:val="CommentText"/>
    <w:next w:val="CommentText"/>
    <w:link w:val="CommentSubjectChar"/>
    <w:semiHidden/>
    <w:unhideWhenUsed/>
    <w:rsid w:val="00BD0061"/>
    <w:rPr>
      <w:b/>
      <w:bCs/>
    </w:rPr>
  </w:style>
  <w:style w:type="character" w:customStyle="1" w:styleId="CommentSubjectChar">
    <w:name w:val="Comment Subject Char"/>
    <w:basedOn w:val="CommentTextChar"/>
    <w:link w:val="CommentSubject"/>
    <w:semiHidden/>
    <w:rsid w:val="00BD0061"/>
    <w:rPr>
      <w:b/>
      <w:bCs/>
      <w:sz w:val="20"/>
      <w:szCs w:val="20"/>
    </w:rPr>
  </w:style>
  <w:style w:type="table" w:customStyle="1" w:styleId="TableGrid1">
    <w:name w:val="Table Grid1"/>
    <w:basedOn w:val="TableNormal"/>
    <w:next w:val="TableGrid"/>
    <w:rsid w:val="00547EA4"/>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table" w:customStyle="1" w:styleId="PullOutBoxTable1">
    <w:name w:val="Pull Out Box Table1"/>
    <w:basedOn w:val="TableNormal"/>
    <w:uiPriority w:val="99"/>
    <w:rsid w:val="008766F9"/>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Revision">
    <w:name w:val="Revision"/>
    <w:hidden/>
    <w:uiPriority w:val="99"/>
    <w:semiHidden/>
    <w:rsid w:val="0021705A"/>
    <w:pPr>
      <w:spacing w:line="240" w:lineRule="auto"/>
    </w:pPr>
  </w:style>
  <w:style w:type="paragraph" w:styleId="PlainText">
    <w:name w:val="Plain Text"/>
    <w:basedOn w:val="Normal"/>
    <w:link w:val="PlainTextChar"/>
    <w:uiPriority w:val="99"/>
    <w:semiHidden/>
    <w:unhideWhenUsed/>
    <w:rsid w:val="00607DE9"/>
    <w:pPr>
      <w:spacing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607DE9"/>
    <w:rPr>
      <w:rFonts w:ascii="Calibri" w:hAnsi="Calibri" w:cs="Times New Roman"/>
    </w:rPr>
  </w:style>
  <w:style w:type="table" w:customStyle="1" w:styleId="TableAsPlaceholder1">
    <w:name w:val="Table As Placeholder1"/>
    <w:basedOn w:val="TableNormal"/>
    <w:uiPriority w:val="99"/>
    <w:qFormat/>
    <w:rsid w:val="00BF3333"/>
    <w:rPr>
      <w:rFonts w:eastAsia="Times New Roman" w:cs="Arial"/>
      <w:lang w:eastAsia="en-AU"/>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8766F9"/>
  </w:style>
  <w:style w:type="paragraph" w:styleId="Heading1">
    <w:name w:val="heading 1"/>
    <w:basedOn w:val="Normal"/>
    <w:next w:val="BodyText"/>
    <w:link w:val="Heading1Char"/>
    <w:qFormat/>
    <w:rsid w:val="00E93066"/>
    <w:pPr>
      <w:keepNext/>
      <w:keepLines/>
      <w:numPr>
        <w:numId w:val="10"/>
      </w:numPr>
      <w:tabs>
        <w:tab w:val="right" w:pos="1418"/>
        <w:tab w:val="right" w:pos="1701"/>
        <w:tab w:val="right" w:pos="1985"/>
      </w:tabs>
      <w:spacing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CB145F"/>
    <w:pPr>
      <w:keepNext/>
      <w:keepLines/>
      <w:numPr>
        <w:ilvl w:val="1"/>
        <w:numId w:val="10"/>
      </w:numPr>
      <w:tabs>
        <w:tab w:val="left" w:pos="1418"/>
        <w:tab w:val="left" w:pos="1701"/>
        <w:tab w:val="left" w:pos="1985"/>
      </w:tabs>
      <w:spacing w:before="470" w:after="227" w:line="264" w:lineRule="auto"/>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E93066"/>
    <w:pPr>
      <w:keepNext/>
      <w:keepLines/>
      <w:numPr>
        <w:ilvl w:val="2"/>
        <w:numId w:val="10"/>
      </w:numPr>
      <w:tabs>
        <w:tab w:val="left" w:pos="1418"/>
        <w:tab w:val="left" w:pos="1701"/>
        <w:tab w:val="left" w:pos="1985"/>
      </w:tabs>
      <w:spacing w:before="470" w:after="227"/>
      <w:ind w:left="765"/>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F3319"/>
    <w:pPr>
      <w:keepNext/>
      <w:keepLines/>
      <w:framePr w:hSpace="180" w:wrap="around" w:vAnchor="text" w:hAnchor="margin" w:y="247"/>
      <w:spacing w:after="60" w:line="240" w:lineRule="auto"/>
      <w:ind w:left="113"/>
      <w:outlineLvl w:val="4"/>
    </w:pPr>
    <w:rPr>
      <w:rFonts w:eastAsiaTheme="majorEastAsia" w:cstheme="majorBidi"/>
      <w:b/>
      <w:color w:val="2B3B5F" w:themeColor="text2"/>
      <w:sz w:val="28"/>
      <w:lang w:eastAsia="en-AU"/>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E93066"/>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CB145F"/>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E93066"/>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BF3319"/>
    <w:rPr>
      <w:rFonts w:eastAsiaTheme="majorEastAsia" w:cstheme="majorBidi"/>
      <w:b/>
      <w:color w:val="2B3B5F" w:themeColor="text2"/>
      <w:sz w:val="28"/>
      <w:lang w:eastAsia="en-AU"/>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5"/>
      </w:numPr>
    </w:pPr>
  </w:style>
  <w:style w:type="paragraph" w:customStyle="1" w:styleId="PullOutBoxNumber2">
    <w:name w:val="Pull Out Box Number 2"/>
    <w:basedOn w:val="PullOutBoxBodyText"/>
    <w:qFormat/>
    <w:rsid w:val="00961DBB"/>
    <w:pPr>
      <w:numPr>
        <w:ilvl w:val="1"/>
        <w:numId w:val="25"/>
      </w:numPr>
    </w:pPr>
  </w:style>
  <w:style w:type="paragraph" w:customStyle="1" w:styleId="PullOutBoxNumber3">
    <w:name w:val="Pull Out Box Number 3"/>
    <w:basedOn w:val="PullOutBoxBodyText"/>
    <w:qFormat/>
    <w:rsid w:val="00961DBB"/>
    <w:pPr>
      <w:numPr>
        <w:ilvl w:val="2"/>
        <w:numId w:val="2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table" w:styleId="LightList-Accent2">
    <w:name w:val="Light List Accent 2"/>
    <w:basedOn w:val="TableNormal"/>
    <w:uiPriority w:val="61"/>
    <w:rsid w:val="00E074BE"/>
    <w:pPr>
      <w:spacing w:line="240" w:lineRule="auto"/>
    </w:pPr>
    <w:tblPr>
      <w:tblStyleRowBandSize w:val="1"/>
      <w:tblStyleColBandSize w:val="1"/>
      <w:tblBorders>
        <w:top w:val="single" w:sz="8" w:space="0" w:color="95A4C6" w:themeColor="accent2"/>
        <w:left w:val="single" w:sz="8" w:space="0" w:color="95A4C6" w:themeColor="accent2"/>
        <w:bottom w:val="single" w:sz="8" w:space="0" w:color="95A4C6" w:themeColor="accent2"/>
        <w:right w:val="single" w:sz="8" w:space="0" w:color="95A4C6" w:themeColor="accent2"/>
      </w:tblBorders>
    </w:tblPr>
    <w:tblStylePr w:type="firstRow">
      <w:pPr>
        <w:spacing w:before="0" w:after="0" w:line="240" w:lineRule="auto"/>
      </w:pPr>
      <w:rPr>
        <w:b/>
        <w:bCs/>
        <w:color w:val="FFFFFF" w:themeColor="background1"/>
      </w:rPr>
      <w:tblPr/>
      <w:tcPr>
        <w:shd w:val="clear" w:color="auto" w:fill="95A4C6" w:themeFill="accent2"/>
      </w:tcPr>
    </w:tblStylePr>
    <w:tblStylePr w:type="lastRow">
      <w:pPr>
        <w:spacing w:before="0" w:after="0" w:line="240" w:lineRule="auto"/>
      </w:pPr>
      <w:rPr>
        <w:b/>
        <w:bCs/>
      </w:rPr>
      <w:tblPr/>
      <w:tcPr>
        <w:tcBorders>
          <w:top w:val="double" w:sz="6" w:space="0" w:color="95A4C6" w:themeColor="accent2"/>
          <w:left w:val="single" w:sz="8" w:space="0" w:color="95A4C6" w:themeColor="accent2"/>
          <w:bottom w:val="single" w:sz="8" w:space="0" w:color="95A4C6" w:themeColor="accent2"/>
          <w:right w:val="single" w:sz="8" w:space="0" w:color="95A4C6" w:themeColor="accent2"/>
        </w:tcBorders>
      </w:tcPr>
    </w:tblStylePr>
    <w:tblStylePr w:type="firstCol">
      <w:rPr>
        <w:b/>
        <w:bCs/>
      </w:rPr>
    </w:tblStylePr>
    <w:tblStylePr w:type="lastCol">
      <w:rPr>
        <w:b/>
        <w:bCs/>
      </w:rPr>
    </w:tblStylePr>
    <w:tblStylePr w:type="band1Vert">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tblStylePr w:type="band1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style>
  <w:style w:type="character" w:styleId="CommentReference">
    <w:name w:val="annotation reference"/>
    <w:basedOn w:val="DefaultParagraphFont"/>
    <w:semiHidden/>
    <w:unhideWhenUsed/>
    <w:rsid w:val="00BD0061"/>
    <w:rPr>
      <w:sz w:val="16"/>
      <w:szCs w:val="16"/>
    </w:rPr>
  </w:style>
  <w:style w:type="paragraph" w:styleId="CommentText">
    <w:name w:val="annotation text"/>
    <w:basedOn w:val="Normal"/>
    <w:link w:val="CommentTextChar"/>
    <w:semiHidden/>
    <w:unhideWhenUsed/>
    <w:rsid w:val="00BD0061"/>
    <w:pPr>
      <w:spacing w:line="240" w:lineRule="auto"/>
    </w:pPr>
    <w:rPr>
      <w:sz w:val="20"/>
      <w:szCs w:val="20"/>
    </w:rPr>
  </w:style>
  <w:style w:type="character" w:customStyle="1" w:styleId="CommentTextChar">
    <w:name w:val="Comment Text Char"/>
    <w:basedOn w:val="DefaultParagraphFont"/>
    <w:link w:val="CommentText"/>
    <w:semiHidden/>
    <w:rsid w:val="00BD0061"/>
    <w:rPr>
      <w:sz w:val="20"/>
      <w:szCs w:val="20"/>
    </w:rPr>
  </w:style>
  <w:style w:type="paragraph" w:styleId="CommentSubject">
    <w:name w:val="annotation subject"/>
    <w:basedOn w:val="CommentText"/>
    <w:next w:val="CommentText"/>
    <w:link w:val="CommentSubjectChar"/>
    <w:semiHidden/>
    <w:unhideWhenUsed/>
    <w:rsid w:val="00BD0061"/>
    <w:rPr>
      <w:b/>
      <w:bCs/>
    </w:rPr>
  </w:style>
  <w:style w:type="character" w:customStyle="1" w:styleId="CommentSubjectChar">
    <w:name w:val="Comment Subject Char"/>
    <w:basedOn w:val="CommentTextChar"/>
    <w:link w:val="CommentSubject"/>
    <w:semiHidden/>
    <w:rsid w:val="00BD0061"/>
    <w:rPr>
      <w:b/>
      <w:bCs/>
      <w:sz w:val="20"/>
      <w:szCs w:val="20"/>
    </w:rPr>
  </w:style>
  <w:style w:type="table" w:customStyle="1" w:styleId="TableGrid1">
    <w:name w:val="Table Grid1"/>
    <w:basedOn w:val="TableNormal"/>
    <w:next w:val="TableGrid"/>
    <w:rsid w:val="00547EA4"/>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table" w:customStyle="1" w:styleId="PullOutBoxTable1">
    <w:name w:val="Pull Out Box Table1"/>
    <w:basedOn w:val="TableNormal"/>
    <w:uiPriority w:val="99"/>
    <w:rsid w:val="008766F9"/>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Revision">
    <w:name w:val="Revision"/>
    <w:hidden/>
    <w:uiPriority w:val="99"/>
    <w:semiHidden/>
    <w:rsid w:val="0021705A"/>
    <w:pPr>
      <w:spacing w:line="240" w:lineRule="auto"/>
    </w:pPr>
  </w:style>
  <w:style w:type="paragraph" w:styleId="PlainText">
    <w:name w:val="Plain Text"/>
    <w:basedOn w:val="Normal"/>
    <w:link w:val="PlainTextChar"/>
    <w:uiPriority w:val="99"/>
    <w:semiHidden/>
    <w:unhideWhenUsed/>
    <w:rsid w:val="00607DE9"/>
    <w:pPr>
      <w:spacing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607DE9"/>
    <w:rPr>
      <w:rFonts w:ascii="Calibri" w:hAnsi="Calibri" w:cs="Times New Roman"/>
    </w:rPr>
  </w:style>
  <w:style w:type="table" w:customStyle="1" w:styleId="TableAsPlaceholder1">
    <w:name w:val="Table As Placeholder1"/>
    <w:basedOn w:val="TableNormal"/>
    <w:uiPriority w:val="99"/>
    <w:qFormat/>
    <w:rsid w:val="00BF3333"/>
    <w:rPr>
      <w:rFonts w:eastAsia="Times New Roman" w:cs="Arial"/>
      <w:lang w:eastAsia="en-A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578180244">
      <w:bodyDiv w:val="1"/>
      <w:marLeft w:val="0"/>
      <w:marRight w:val="0"/>
      <w:marTop w:val="0"/>
      <w:marBottom w:val="0"/>
      <w:divBdr>
        <w:top w:val="none" w:sz="0" w:space="0" w:color="auto"/>
        <w:left w:val="none" w:sz="0" w:space="0" w:color="auto"/>
        <w:bottom w:val="none" w:sz="0" w:space="0" w:color="auto"/>
        <w:right w:val="none" w:sz="0" w:space="0" w:color="auto"/>
      </w:divBdr>
    </w:div>
    <w:div w:id="1337151067">
      <w:bodyDiv w:val="1"/>
      <w:marLeft w:val="0"/>
      <w:marRight w:val="0"/>
      <w:marTop w:val="0"/>
      <w:marBottom w:val="0"/>
      <w:divBdr>
        <w:top w:val="none" w:sz="0" w:space="0" w:color="auto"/>
        <w:left w:val="none" w:sz="0" w:space="0" w:color="auto"/>
        <w:bottom w:val="none" w:sz="0" w:space="0" w:color="auto"/>
        <w:right w:val="none" w:sz="0" w:space="0" w:color="auto"/>
      </w:divBdr>
    </w:div>
    <w:div w:id="20711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au/" TargetMode="External"/><Relationship Id="rId18" Type="http://schemas.openxmlformats.org/officeDocument/2006/relationships/header" Target="header6.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29" Type="http://schemas.openxmlformats.org/officeDocument/2006/relationships/hyperlink" Target="http://www.pbo.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sanhonour.gov.au/coat-arms" TargetMode="External"/><Relationship Id="rId22" Type="http://schemas.openxmlformats.org/officeDocument/2006/relationships/footer" Target="footer4.xml"/><Relationship Id="rId27" Type="http://schemas.openxmlformats.org/officeDocument/2006/relationships/hyperlink" Target="http://www.pbo.gov.au/" TargetMode="External"/><Relationship Id="rId30"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A582-AAD4-4231-86B0-30C3F20D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3237</Words>
  <Characters>17580</Characters>
  <Application>Microsoft Office Word</Application>
  <DocSecurity>0</DocSecurity>
  <Lines>331</Lines>
  <Paragraphs>155</Paragraphs>
  <ScaleCrop>false</ScaleCrop>
  <HeadingPairs>
    <vt:vector size="2" baseType="variant">
      <vt:variant>
        <vt:lpstr>Title</vt:lpstr>
      </vt:variant>
      <vt:variant>
        <vt:i4>1</vt:i4>
      </vt:variant>
    </vt:vector>
  </HeadingPairs>
  <TitlesOfParts>
    <vt:vector size="1" baseType="lpstr">
      <vt:lpstr>PBO costing processes, timeframes</vt:lpstr>
    </vt:vector>
  </TitlesOfParts>
  <Company>Parliament of Australia</Company>
  <LinksUpToDate>false</LinksUpToDate>
  <CharactersWithSpaces>20662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PBO costing processes, timeframes</dc:title>
  <dc:creator>Parliamentary Budget Office</dc:creator>
  <cp:lastModifiedBy>Pratley, Lauren (PBO)</cp:lastModifiedBy>
  <cp:revision>5</cp:revision>
  <cp:lastPrinted>2018-02-15T01:20:00Z</cp:lastPrinted>
  <dcterms:created xsi:type="dcterms:W3CDTF">2018-02-15T04:18:00Z</dcterms:created>
  <dcterms:modified xsi:type="dcterms:W3CDTF">2018-02-15T04:22:00Z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True</vt:lpwstr>
  </property>
  <property fmtid="{D5CDD505-2E9C-101B-9397-08002B2CF9AE}" pid="11" name="xAppendixName">
    <vt:lpwstr>Appendix</vt:lpwstr>
  </property>
  <property fmtid="{D5CDD505-2E9C-101B-9397-08002B2CF9AE}" pid="12" name="_MarkAsFinal">
    <vt:bool>true</vt:bool>
  </property>
</Properties>
</file>