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tbl>
      <w:tblPr>
        <w:tblStyle w:val="TableAsPlaceholder"/>
        <w:tblpPr w:leftFromText="181" w:rightFromText="181" w:vertAnchor="page" w:horzAnchor="margin" w:tblpY="5779"/>
        <w:tblOverlap w:val="never"/>
        <w:tblW w:w="8277" w:type="dxa"/>
        <w:tblLayout w:type="fixed"/>
        <w:tblLook w:val="04A0" w:firstRow="1" w:lastRow="0" w:firstColumn="1" w:lastColumn="0" w:noHBand="0" w:noVBand="1"/>
      </w:tblPr>
      <w:tblGrid>
        <w:gridCol w:w="8277"/>
      </w:tblGrid>
      <w:tr w:rsidR="00607654" w:rsidTr="00251365">
        <w:trPr>
          <w:trHeight w:val="907"/>
        </w:trPr>
        <w:tc>
          <w:tcPr>
            <w:tcW w:w="8277" w:type="dxa"/>
          </w:tcPr>
          <w:p w:rsidR="00607654" w:rsidRDefault="00607654" w:rsidP="00251365">
            <w:pPr>
              <w:pStyle w:val="Title"/>
              <w:spacing w:line="264" w:lineRule="auto"/>
            </w:pPr>
            <w:r>
              <w:t xml:space="preserve">Factors influencing the reliability </w:t>
            </w:r>
          </w:p>
          <w:p w:rsidR="00607654" w:rsidRDefault="00607654" w:rsidP="00251365">
            <w:pPr>
              <w:pStyle w:val="Title"/>
              <w:spacing w:line="264" w:lineRule="auto"/>
            </w:pPr>
            <w:proofErr w:type="gramStart"/>
            <w:r>
              <w:t>of</w:t>
            </w:r>
            <w:proofErr w:type="gramEnd"/>
            <w:r>
              <w:t xml:space="preserve"> policy proposal costings</w:t>
            </w:r>
          </w:p>
        </w:tc>
      </w:tr>
      <w:tr w:rsidR="00607654" w:rsidTr="0029652F">
        <w:trPr>
          <w:trHeight w:val="680"/>
        </w:trPr>
        <w:tc>
          <w:tcPr>
            <w:tcW w:w="8277" w:type="dxa"/>
            <w:vAlign w:val="center"/>
          </w:tcPr>
          <w:p w:rsidR="00607654" w:rsidRPr="000631D3" w:rsidRDefault="00607654" w:rsidP="0029652F">
            <w:pPr>
              <w:pStyle w:val="Title2"/>
              <w:spacing w:after="0"/>
              <w:rPr>
                <w:i/>
              </w:rPr>
            </w:pPr>
            <w:r>
              <w:rPr>
                <w:i/>
              </w:rPr>
              <w:t>Information paper no. 01/2017</w:t>
            </w:r>
          </w:p>
        </w:tc>
      </w:tr>
      <w:tr w:rsidR="0029652F" w:rsidTr="0029652F">
        <w:trPr>
          <w:trHeight w:val="765"/>
        </w:trPr>
        <w:tc>
          <w:tcPr>
            <w:tcW w:w="8277" w:type="dxa"/>
            <w:vAlign w:val="center"/>
          </w:tcPr>
          <w:p w:rsidR="0029652F" w:rsidRDefault="0029652F" w:rsidP="0029652F">
            <w:pPr>
              <w:pStyle w:val="Title3"/>
              <w:framePr w:wrap="auto" w:vAnchor="margin" w:hAnchor="text" w:yAlign="inline"/>
              <w:spacing w:after="0"/>
            </w:pPr>
            <w:r>
              <w:t>Date issued: 13</w:t>
            </w:r>
            <w:bookmarkStart w:id="0" w:name="_GoBack"/>
            <w:bookmarkEnd w:id="0"/>
            <w:r>
              <w:t xml:space="preserve"> September 201</w:t>
            </w:r>
            <w:r>
              <w:t>7</w:t>
            </w:r>
          </w:p>
        </w:tc>
      </w:tr>
      <w:tr w:rsidR="00607654" w:rsidTr="0029652F">
        <w:trPr>
          <w:trHeight w:val="765"/>
        </w:trPr>
        <w:tc>
          <w:tcPr>
            <w:tcW w:w="8277" w:type="dxa"/>
            <w:vAlign w:val="center"/>
          </w:tcPr>
          <w:p w:rsidR="00607654" w:rsidRDefault="00607654" w:rsidP="0029652F">
            <w:pPr>
              <w:pStyle w:val="Title3"/>
              <w:framePr w:wrap="auto" w:vAnchor="margin" w:hAnchor="text" w:yAlign="inline"/>
              <w:rPr>
                <w:rFonts w:asciiTheme="minorHAnsi" w:hAnsiTheme="minorHAnsi"/>
                <w:i w:val="0"/>
                <w:color w:val="2B3B5F"/>
                <w:sz w:val="24"/>
                <w:szCs w:val="24"/>
              </w:rPr>
            </w:pPr>
          </w:p>
          <w:p w:rsidR="00607654" w:rsidRPr="00382BD5" w:rsidRDefault="00607654" w:rsidP="0029652F">
            <w:pPr>
              <w:pStyle w:val="Title3"/>
              <w:framePr w:wrap="auto" w:vAnchor="margin" w:hAnchor="text" w:yAlign="inline"/>
              <w:rPr>
                <w:rFonts w:asciiTheme="minorHAnsi" w:hAnsiTheme="minorHAnsi"/>
                <w:i w:val="0"/>
                <w:color w:val="2B3B5F"/>
                <w:sz w:val="24"/>
                <w:szCs w:val="24"/>
              </w:rPr>
            </w:pPr>
            <w:r w:rsidRPr="00382BD5">
              <w:rPr>
                <w:rFonts w:asciiTheme="minorHAnsi" w:hAnsiTheme="minorHAnsi"/>
                <w:i w:val="0"/>
                <w:color w:val="2B3B5F"/>
                <w:sz w:val="24"/>
                <w:szCs w:val="24"/>
              </w:rPr>
              <w:t xml:space="preserve">This </w:t>
            </w:r>
            <w:r w:rsidR="00203639">
              <w:rPr>
                <w:rFonts w:asciiTheme="minorHAnsi" w:hAnsiTheme="minorHAnsi"/>
                <w:i w:val="0"/>
                <w:color w:val="2B3B5F"/>
                <w:sz w:val="24"/>
                <w:szCs w:val="24"/>
              </w:rPr>
              <w:t>paper</w:t>
            </w:r>
            <w:r w:rsidRPr="00382BD5">
              <w:rPr>
                <w:rFonts w:asciiTheme="minorHAnsi" w:hAnsiTheme="minorHAnsi"/>
                <w:i w:val="0"/>
                <w:color w:val="2B3B5F"/>
                <w:sz w:val="24"/>
                <w:szCs w:val="24"/>
              </w:rPr>
              <w:t xml:space="preserve"> </w:t>
            </w:r>
            <w:r w:rsidR="00D729E8">
              <w:rPr>
                <w:rFonts w:asciiTheme="minorHAnsi" w:hAnsiTheme="minorHAnsi"/>
                <w:i w:val="0"/>
                <w:color w:val="2B3B5F"/>
                <w:sz w:val="24"/>
                <w:szCs w:val="24"/>
              </w:rPr>
              <w:t>replaces</w:t>
            </w:r>
            <w:r w:rsidRPr="00382BD5">
              <w:rPr>
                <w:rFonts w:asciiTheme="minorHAnsi" w:hAnsiTheme="minorHAnsi"/>
                <w:i w:val="0"/>
                <w:color w:val="2B3B5F"/>
                <w:sz w:val="24"/>
                <w:szCs w:val="24"/>
              </w:rPr>
              <w:t xml:space="preserve"> Technical note no. 01/2015</w:t>
            </w:r>
          </w:p>
          <w:p w:rsidR="00607654" w:rsidRPr="009541CC" w:rsidRDefault="00607654" w:rsidP="0029652F">
            <w:pPr>
              <w:pStyle w:val="Title3"/>
              <w:framePr w:wrap="auto" w:vAnchor="margin" w:hAnchor="text" w:yAlign="inline"/>
              <w:spacing w:after="0"/>
            </w:pPr>
          </w:p>
        </w:tc>
      </w:tr>
    </w:tbl>
    <w:p w:rsidR="00961DBB" w:rsidRDefault="00961DBB" w:rsidP="00961DBB"/>
    <w:p w:rsidR="00961DBB" w:rsidRDefault="00961DBB">
      <w:pPr>
        <w:sectPr w:rsidR="00961DBB" w:rsidSect="009057D9">
          <w:headerReference w:type="even" r:id="rId9"/>
          <w:headerReference w:type="default" r:id="rId10"/>
          <w:footerReference w:type="even" r:id="rId11"/>
          <w:footerReference w:type="default" r:id="rId12"/>
          <w:headerReference w:type="first" r:id="rId13"/>
          <w:footerReference w:type="first" r:id="rId14"/>
          <w:pgSz w:w="11906" w:h="16838" w:code="9"/>
          <w:pgMar w:top="1361" w:right="1797" w:bottom="1474" w:left="1797" w:header="284" w:footer="454" w:gutter="0"/>
          <w:cols w:space="708"/>
          <w:titlePg/>
          <w:docGrid w:linePitch="360"/>
        </w:sectPr>
      </w:pPr>
    </w:p>
    <w:p w:rsidR="00607654" w:rsidRDefault="00607654" w:rsidP="00251365">
      <w:pPr>
        <w:pStyle w:val="Heading4"/>
        <w:rPr>
          <w:i w:val="0"/>
        </w:rPr>
      </w:pPr>
      <w:r>
        <w:rPr>
          <w:i w:val="0"/>
        </w:rPr>
        <w:lastRenderedPageBreak/>
        <w:t>PBO information papers</w:t>
      </w:r>
    </w:p>
    <w:p w:rsidR="00607654" w:rsidRDefault="00607654" w:rsidP="00607654">
      <w:pPr>
        <w:pStyle w:val="PlainText"/>
      </w:pPr>
      <w:r>
        <w:t>PBO information papers are published to help explain, in an accessible way, the underlying data, concepts, methodologies and processes that the PBO uses in preparing costings of policy proposals and budget analyses.  The focus of PBO information papers is different from that of PBO research reports which are aimed at improving the understanding of budget and fiscal policy issues more broadly.</w:t>
      </w:r>
    </w:p>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961DBB" w:rsidTr="0087390B">
        <w:trPr>
          <w:trHeight w:val="8165"/>
        </w:trPr>
        <w:tc>
          <w:tcPr>
            <w:tcW w:w="8220" w:type="dxa"/>
            <w:vAlign w:val="bottom"/>
          </w:tcPr>
          <w:p w:rsidR="00961DBB" w:rsidRPr="00C77B5C" w:rsidRDefault="00961DBB" w:rsidP="00C81922">
            <w:pPr>
              <w:pStyle w:val="xDisclaimerText2"/>
              <w:framePr w:hSpace="0" w:wrap="auto" w:hAnchor="text" w:yAlign="inline"/>
              <w:spacing w:before="1440"/>
              <w:suppressOverlap w:val="0"/>
            </w:pPr>
            <w:bookmarkStart w:id="1" w:name="_DisclaimerMarker"/>
            <w:bookmarkEnd w:id="1"/>
            <w:r w:rsidRPr="00C77B5C">
              <w:t xml:space="preserve">© </w:t>
            </w:r>
            <w:r w:rsidRPr="0087390B">
              <w:t>Commonwealth</w:t>
            </w:r>
            <w:r w:rsidRPr="00C77B5C">
              <w:t xml:space="preserve"> of Australia</w:t>
            </w:r>
            <w:r w:rsidR="00F20647">
              <w:t xml:space="preserve"> </w:t>
            </w:r>
            <w:r w:rsidR="00EC0C71">
              <w:t>2017</w:t>
            </w:r>
          </w:p>
          <w:p w:rsidR="00961DBB" w:rsidRPr="00BB5013" w:rsidRDefault="00961DBB" w:rsidP="00BB5013">
            <w:pPr>
              <w:pStyle w:val="xDisclaimerText2"/>
              <w:framePr w:hSpace="0" w:wrap="auto" w:hAnchor="text" w:yAlign="inline"/>
              <w:suppressOverlap w:val="0"/>
            </w:pPr>
            <w:r w:rsidRPr="008E314A">
              <w:t>IS</w:t>
            </w:r>
            <w:r w:rsidR="00072C7C">
              <w:t>B</w:t>
            </w:r>
            <w:r w:rsidRPr="008E314A">
              <w:t xml:space="preserve">N </w:t>
            </w:r>
            <w:r w:rsidR="00F01C64" w:rsidRPr="00F01C64">
              <w:t>978-0-9953836-4-7</w:t>
            </w:r>
            <w:r w:rsidRPr="008E314A">
              <w:t xml:space="preserve"> (</w:t>
            </w:r>
            <w:r w:rsidRPr="00870C85">
              <w:t>Online</w:t>
            </w:r>
            <w:r w:rsidRPr="00C77B5C">
              <w:t>)</w:t>
            </w:r>
          </w:p>
          <w:p w:rsidR="00961DBB" w:rsidRDefault="00961DBB" w:rsidP="00BB5013">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w:t>
            </w:r>
            <w:proofErr w:type="spellStart"/>
            <w:r w:rsidRPr="008E314A">
              <w:t>NonCommercial</w:t>
            </w:r>
            <w:proofErr w:type="spellEnd"/>
            <w:r w:rsidRPr="008E314A">
              <w:t>-</w:t>
            </w:r>
            <w:proofErr w:type="spellStart"/>
            <w:r w:rsidRPr="008E314A">
              <w:t>NoDerivs</w:t>
            </w:r>
            <w:proofErr w:type="spellEnd"/>
            <w:r w:rsidRPr="008E314A">
              <w:t xml:space="preserve"> 3.0 Australia License</w:t>
            </w:r>
            <w:r>
              <w:t>.</w:t>
            </w:r>
          </w:p>
          <w:p w:rsidR="00961DBB" w:rsidRPr="0084503F" w:rsidRDefault="003B3D44" w:rsidP="00BB5013">
            <w:pPr>
              <w:pStyle w:val="xDisclaimerText2"/>
              <w:framePr w:hSpace="0" w:wrap="auto" w:hAnchor="text" w:yAlign="inline"/>
              <w:spacing w:before="240"/>
              <w:suppressOverlap w:val="0"/>
            </w:pPr>
            <w:r>
              <w:rPr>
                <w:noProof/>
              </w:rPr>
              <w:drawing>
                <wp:inline distT="0" distB="0" distL="0" distR="0" wp14:anchorId="618AF631" wp14:editId="2B13A5D2">
                  <wp:extent cx="1079086" cy="377985"/>
                  <wp:effectExtent l="0" t="0" r="6985" b="3175"/>
                  <wp:docPr id="1" name="Picture 1"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607654" w:rsidRDefault="00607654" w:rsidP="00607654">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r w:rsidRPr="00346892">
              <w:rPr>
                <w:u w:val="single"/>
              </w:rPr>
              <w:t>http://creativecommons.org/licenses/by-nc-nd/3.0/au/</w:t>
            </w:r>
            <w:r>
              <w:t xml:space="preserve"> </w:t>
            </w:r>
          </w:p>
          <w:p w:rsidR="00607654" w:rsidRPr="00BB5013" w:rsidRDefault="00607654" w:rsidP="00607654">
            <w:pPr>
              <w:pStyle w:val="xDisclaimerHeading"/>
              <w:framePr w:hSpace="0" w:wrap="auto" w:hAnchor="text" w:yAlign="inline"/>
              <w:suppressOverlap w:val="0"/>
            </w:pPr>
            <w:r>
              <w:t xml:space="preserve">Use </w:t>
            </w:r>
            <w:r w:rsidRPr="00D0237F">
              <w:t>of</w:t>
            </w:r>
            <w:r>
              <w:t xml:space="preserve"> </w:t>
            </w:r>
            <w:r w:rsidRPr="00D0237F">
              <w:t>the</w:t>
            </w:r>
            <w:r>
              <w:t xml:space="preserve"> Coat of Arms</w:t>
            </w:r>
          </w:p>
          <w:p w:rsidR="00607654" w:rsidRDefault="00607654" w:rsidP="00607654">
            <w:pPr>
              <w:pStyle w:val="xDisclaimerText2"/>
              <w:framePr w:hSpace="0" w:wrap="auto" w:hAnchor="text" w:yAlign="inline"/>
              <w:suppressOverlap w:val="0"/>
            </w:pPr>
            <w:r>
              <w:t xml:space="preserve">The terms under which the Coat of Arms </w:t>
            </w:r>
            <w:r w:rsidRPr="00BB5013">
              <w:t>can</w:t>
            </w:r>
            <w:r>
              <w:t xml:space="preserve"> be used are detailed on the following website: </w:t>
            </w:r>
            <w:r w:rsidRPr="00346892">
              <w:rPr>
                <w:u w:val="single"/>
              </w:rPr>
              <w:t>www.itsanhonour.gov.au/coat-arms</w:t>
            </w:r>
          </w:p>
          <w:p w:rsidR="00607654" w:rsidRPr="00937096" w:rsidRDefault="00607654" w:rsidP="00607654">
            <w:pPr>
              <w:spacing w:after="57" w:line="302" w:lineRule="atLeast"/>
              <w:rPr>
                <w:rFonts w:eastAsiaTheme="minorHAnsi" w:cs="Times New Roman"/>
                <w:lang w:eastAsia="en-US"/>
              </w:rPr>
            </w:pPr>
            <w:r w:rsidRPr="00997BFA">
              <w:rPr>
                <w:rFonts w:eastAsiaTheme="minorHAnsi" w:cs="Times New Roman"/>
                <w:lang w:eastAsia="en-US"/>
              </w:rPr>
              <w:t>Parliamentary Budget Office</w:t>
            </w:r>
          </w:p>
          <w:p w:rsidR="00607654" w:rsidRPr="00CC54EC" w:rsidRDefault="00607654" w:rsidP="00607654">
            <w:pPr>
              <w:spacing w:after="57" w:line="302" w:lineRule="atLeast"/>
              <w:rPr>
                <w:rFonts w:eastAsiaTheme="minorHAnsi" w:cs="Times New Roman"/>
                <w:lang w:eastAsia="en-US"/>
              </w:rPr>
            </w:pPr>
            <w:r w:rsidRPr="00CC54EC">
              <w:rPr>
                <w:rFonts w:eastAsiaTheme="minorHAnsi" w:cs="Times New Roman"/>
                <w:lang w:eastAsia="en-US"/>
              </w:rPr>
              <w:t>Parliament House</w:t>
            </w:r>
          </w:p>
          <w:p w:rsidR="00607654" w:rsidRPr="00CC54EC" w:rsidRDefault="00607654" w:rsidP="00607654">
            <w:pPr>
              <w:spacing w:after="57" w:line="302" w:lineRule="atLeast"/>
              <w:rPr>
                <w:rFonts w:eastAsiaTheme="minorHAnsi" w:cs="Times New Roman"/>
                <w:lang w:eastAsia="en-US"/>
              </w:rPr>
            </w:pPr>
            <w:r w:rsidRPr="00CC54EC">
              <w:rPr>
                <w:rFonts w:eastAsiaTheme="minorHAnsi" w:cs="Times New Roman"/>
                <w:lang w:eastAsia="en-US"/>
              </w:rPr>
              <w:t>PO Box 6010</w:t>
            </w:r>
          </w:p>
          <w:p w:rsidR="00607654" w:rsidRPr="00CC54EC" w:rsidRDefault="00607654" w:rsidP="00607654">
            <w:pPr>
              <w:spacing w:after="170" w:line="302" w:lineRule="atLeast"/>
              <w:rPr>
                <w:rFonts w:eastAsiaTheme="minorHAnsi" w:cstheme="minorBidi"/>
                <w:lang w:eastAsia="en-US"/>
              </w:rPr>
            </w:pPr>
            <w:r w:rsidRPr="00CC54EC">
              <w:rPr>
                <w:rFonts w:eastAsiaTheme="minorHAnsi" w:cstheme="minorBidi"/>
                <w:lang w:eastAsia="en-US"/>
              </w:rPr>
              <w:t>CANBERRA ACT 2600</w:t>
            </w:r>
          </w:p>
          <w:p w:rsidR="00607654" w:rsidRPr="00CC54EC" w:rsidRDefault="00607654" w:rsidP="00607654">
            <w:pPr>
              <w:spacing w:after="57" w:line="302" w:lineRule="atLeast"/>
              <w:rPr>
                <w:rFonts w:eastAsiaTheme="minorHAnsi" w:cs="Times New Roman"/>
                <w:lang w:eastAsia="en-US"/>
              </w:rPr>
            </w:pPr>
            <w:r w:rsidRPr="00CC54EC">
              <w:rPr>
                <w:rFonts w:eastAsiaTheme="minorHAnsi" w:cs="Times New Roman"/>
                <w:lang w:eastAsia="en-US"/>
              </w:rPr>
              <w:t>Phone: (02) 6277 9500</w:t>
            </w:r>
          </w:p>
          <w:p w:rsidR="00961DBB" w:rsidRDefault="00607654" w:rsidP="00607654">
            <w:pPr>
              <w:pStyle w:val="xDisclaimerText"/>
            </w:pPr>
            <w:r w:rsidRPr="00CC54EC">
              <w:rPr>
                <w:rFonts w:eastAsiaTheme="minorHAnsi" w:cstheme="minorBidi"/>
                <w:lang w:eastAsia="en-US"/>
              </w:rPr>
              <w:t>Email: pbo@pbo.gov.au</w:t>
            </w:r>
          </w:p>
        </w:tc>
      </w:tr>
    </w:tbl>
    <w:p w:rsidR="00961DBB" w:rsidRDefault="00961DBB" w:rsidP="00961DBB"/>
    <w:p w:rsidR="00961DBB" w:rsidRDefault="00961DBB">
      <w:pPr>
        <w:sectPr w:rsidR="00961DBB" w:rsidSect="00045D76">
          <w:headerReference w:type="even" r:id="rId16"/>
          <w:headerReference w:type="default" r:id="rId17"/>
          <w:footerReference w:type="default" r:id="rId18"/>
          <w:pgSz w:w="11906" w:h="16838" w:code="9"/>
          <w:pgMar w:top="1361" w:right="1797" w:bottom="1474" w:left="1797" w:header="284" w:footer="454" w:gutter="0"/>
          <w:pgNumType w:fmt="lowerRoman"/>
          <w:cols w:space="708"/>
          <w:docGrid w:linePitch="360"/>
        </w:sectPr>
      </w:pPr>
    </w:p>
    <w:p w:rsidR="00961DBB" w:rsidRPr="00733970" w:rsidRDefault="00903E3F" w:rsidP="00733970">
      <w:pPr>
        <w:pStyle w:val="TOCHeading"/>
      </w:pPr>
      <w:r w:rsidRPr="00903E3F">
        <w:lastRenderedPageBreak/>
        <w:t>Contents</w:t>
      </w:r>
      <w:bookmarkStart w:id="2" w:name="Here"/>
      <w:bookmarkStart w:id="3" w:name="_TOCMarker"/>
      <w:bookmarkEnd w:id="2"/>
      <w:bookmarkEnd w:id="3"/>
    </w:p>
    <w:p w:rsidR="00926315" w:rsidRDefault="00903E3F">
      <w:pPr>
        <w:pStyle w:val="TOC1"/>
        <w:rPr>
          <w:rFonts w:eastAsiaTheme="minorEastAsia"/>
          <w:b w:val="0"/>
          <w:color w:val="auto"/>
          <w:lang w:eastAsia="en-AU"/>
        </w:rPr>
      </w:pPr>
      <w:r>
        <w:fldChar w:fldCharType="begin"/>
      </w:r>
      <w:r>
        <w:instrText xml:space="preserve"> TOC  \h \z \t "</w:instrText>
      </w:r>
      <w:r w:rsidR="00085F97">
        <w:instrText>Heading 1,1,Heading 1 No Numbering,1,Heading 2,2, Heading 3,3,</w:instrText>
      </w:r>
      <w:r>
        <w:instrText xml:space="preserve">Section Heading,5" </w:instrText>
      </w:r>
      <w:r>
        <w:fldChar w:fldCharType="separate"/>
      </w:r>
      <w:hyperlink w:anchor="_Toc492995383" w:history="1">
        <w:r w:rsidR="00926315" w:rsidRPr="00A04E2C">
          <w:rPr>
            <w:rStyle w:val="Hyperlink"/>
          </w:rPr>
          <w:t>Introduction</w:t>
        </w:r>
        <w:r w:rsidR="00926315">
          <w:rPr>
            <w:webHidden/>
          </w:rPr>
          <w:tab/>
        </w:r>
        <w:r w:rsidR="00926315">
          <w:rPr>
            <w:webHidden/>
          </w:rPr>
          <w:fldChar w:fldCharType="begin"/>
        </w:r>
        <w:r w:rsidR="00926315">
          <w:rPr>
            <w:webHidden/>
          </w:rPr>
          <w:instrText xml:space="preserve"> PAGEREF _Toc492995383 \h </w:instrText>
        </w:r>
        <w:r w:rsidR="00926315">
          <w:rPr>
            <w:webHidden/>
          </w:rPr>
        </w:r>
        <w:r w:rsidR="00926315">
          <w:rPr>
            <w:webHidden/>
          </w:rPr>
          <w:fldChar w:fldCharType="separate"/>
        </w:r>
        <w:r w:rsidR="000946A0">
          <w:rPr>
            <w:webHidden/>
          </w:rPr>
          <w:t>1</w:t>
        </w:r>
        <w:r w:rsidR="00926315">
          <w:rPr>
            <w:webHidden/>
          </w:rPr>
          <w:fldChar w:fldCharType="end"/>
        </w:r>
      </w:hyperlink>
    </w:p>
    <w:p w:rsidR="00926315" w:rsidRDefault="0029652F">
      <w:pPr>
        <w:pStyle w:val="TOC1"/>
        <w:rPr>
          <w:rFonts w:eastAsiaTheme="minorEastAsia"/>
          <w:b w:val="0"/>
          <w:color w:val="auto"/>
          <w:lang w:eastAsia="en-AU"/>
        </w:rPr>
      </w:pPr>
      <w:hyperlink w:anchor="_Toc492995384" w:history="1">
        <w:r w:rsidR="00926315" w:rsidRPr="00A04E2C">
          <w:rPr>
            <w:rStyle w:val="Hyperlink"/>
          </w:rPr>
          <w:t>1</w:t>
        </w:r>
        <w:r w:rsidR="00926315">
          <w:rPr>
            <w:rFonts w:eastAsiaTheme="minorEastAsia"/>
            <w:b w:val="0"/>
            <w:color w:val="auto"/>
            <w:lang w:eastAsia="en-AU"/>
          </w:rPr>
          <w:tab/>
        </w:r>
        <w:r w:rsidR="00926315" w:rsidRPr="00A04E2C">
          <w:rPr>
            <w:rStyle w:val="Hyperlink"/>
          </w:rPr>
          <w:t>Why is uncertainty an issue in costings?</w:t>
        </w:r>
        <w:r w:rsidR="00926315">
          <w:rPr>
            <w:webHidden/>
          </w:rPr>
          <w:tab/>
        </w:r>
        <w:r w:rsidR="00926315">
          <w:rPr>
            <w:webHidden/>
          </w:rPr>
          <w:fldChar w:fldCharType="begin"/>
        </w:r>
        <w:r w:rsidR="00926315">
          <w:rPr>
            <w:webHidden/>
          </w:rPr>
          <w:instrText xml:space="preserve"> PAGEREF _Toc492995384 \h </w:instrText>
        </w:r>
        <w:r w:rsidR="00926315">
          <w:rPr>
            <w:webHidden/>
          </w:rPr>
        </w:r>
        <w:r w:rsidR="00926315">
          <w:rPr>
            <w:webHidden/>
          </w:rPr>
          <w:fldChar w:fldCharType="separate"/>
        </w:r>
        <w:r w:rsidR="000946A0">
          <w:rPr>
            <w:webHidden/>
          </w:rPr>
          <w:t>1</w:t>
        </w:r>
        <w:r w:rsidR="00926315">
          <w:rPr>
            <w:webHidden/>
          </w:rPr>
          <w:fldChar w:fldCharType="end"/>
        </w:r>
      </w:hyperlink>
    </w:p>
    <w:p w:rsidR="00926315" w:rsidRDefault="0029652F">
      <w:pPr>
        <w:pStyle w:val="TOC1"/>
        <w:rPr>
          <w:rFonts w:eastAsiaTheme="minorEastAsia"/>
          <w:b w:val="0"/>
          <w:color w:val="auto"/>
          <w:lang w:eastAsia="en-AU"/>
        </w:rPr>
      </w:pPr>
      <w:hyperlink w:anchor="_Toc492995385" w:history="1">
        <w:r w:rsidR="00926315" w:rsidRPr="00A04E2C">
          <w:rPr>
            <w:rStyle w:val="Hyperlink"/>
          </w:rPr>
          <w:t>2</w:t>
        </w:r>
        <w:r w:rsidR="00926315">
          <w:rPr>
            <w:rFonts w:eastAsiaTheme="minorEastAsia"/>
            <w:b w:val="0"/>
            <w:color w:val="auto"/>
            <w:lang w:eastAsia="en-AU"/>
          </w:rPr>
          <w:tab/>
        </w:r>
        <w:r w:rsidR="00926315" w:rsidRPr="00A04E2C">
          <w:rPr>
            <w:rStyle w:val="Hyperlink"/>
          </w:rPr>
          <w:t>Factors affecting the level of uncertainty of costings</w:t>
        </w:r>
        <w:r w:rsidR="00926315">
          <w:rPr>
            <w:webHidden/>
          </w:rPr>
          <w:tab/>
        </w:r>
        <w:r w:rsidR="00926315">
          <w:rPr>
            <w:webHidden/>
          </w:rPr>
          <w:fldChar w:fldCharType="begin"/>
        </w:r>
        <w:r w:rsidR="00926315">
          <w:rPr>
            <w:webHidden/>
          </w:rPr>
          <w:instrText xml:space="preserve"> PAGEREF _Toc492995385 \h </w:instrText>
        </w:r>
        <w:r w:rsidR="00926315">
          <w:rPr>
            <w:webHidden/>
          </w:rPr>
        </w:r>
        <w:r w:rsidR="00926315">
          <w:rPr>
            <w:webHidden/>
          </w:rPr>
          <w:fldChar w:fldCharType="separate"/>
        </w:r>
        <w:r w:rsidR="000946A0">
          <w:rPr>
            <w:webHidden/>
          </w:rPr>
          <w:t>2</w:t>
        </w:r>
        <w:r w:rsidR="00926315">
          <w:rPr>
            <w:webHidden/>
          </w:rPr>
          <w:fldChar w:fldCharType="end"/>
        </w:r>
      </w:hyperlink>
    </w:p>
    <w:p w:rsidR="00926315" w:rsidRDefault="0029652F">
      <w:pPr>
        <w:pStyle w:val="TOC2"/>
        <w:rPr>
          <w:rFonts w:eastAsiaTheme="minorEastAsia"/>
          <w:szCs w:val="22"/>
          <w:lang w:eastAsia="en-AU"/>
        </w:rPr>
      </w:pPr>
      <w:hyperlink w:anchor="_Toc492995386" w:history="1">
        <w:r w:rsidR="00926315" w:rsidRPr="00A04E2C">
          <w:rPr>
            <w:rStyle w:val="Hyperlink"/>
          </w:rPr>
          <w:t>2.1</w:t>
        </w:r>
        <w:r w:rsidR="00926315">
          <w:rPr>
            <w:rFonts w:eastAsiaTheme="minorEastAsia"/>
            <w:szCs w:val="22"/>
            <w:lang w:eastAsia="en-AU"/>
          </w:rPr>
          <w:tab/>
        </w:r>
        <w:r w:rsidR="00926315" w:rsidRPr="00A04E2C">
          <w:rPr>
            <w:rStyle w:val="Hyperlink"/>
          </w:rPr>
          <w:t>Data quality</w:t>
        </w:r>
        <w:r w:rsidR="00926315">
          <w:rPr>
            <w:webHidden/>
          </w:rPr>
          <w:tab/>
        </w:r>
        <w:r w:rsidR="00926315">
          <w:rPr>
            <w:webHidden/>
          </w:rPr>
          <w:fldChar w:fldCharType="begin"/>
        </w:r>
        <w:r w:rsidR="00926315">
          <w:rPr>
            <w:webHidden/>
          </w:rPr>
          <w:instrText xml:space="preserve"> PAGEREF _Toc492995386 \h </w:instrText>
        </w:r>
        <w:r w:rsidR="00926315">
          <w:rPr>
            <w:webHidden/>
          </w:rPr>
        </w:r>
        <w:r w:rsidR="00926315">
          <w:rPr>
            <w:webHidden/>
          </w:rPr>
          <w:fldChar w:fldCharType="separate"/>
        </w:r>
        <w:r w:rsidR="000946A0">
          <w:rPr>
            <w:webHidden/>
          </w:rPr>
          <w:t>2</w:t>
        </w:r>
        <w:r w:rsidR="00926315">
          <w:rPr>
            <w:webHidden/>
          </w:rPr>
          <w:fldChar w:fldCharType="end"/>
        </w:r>
      </w:hyperlink>
    </w:p>
    <w:p w:rsidR="00926315" w:rsidRDefault="0029652F">
      <w:pPr>
        <w:pStyle w:val="TOC2"/>
        <w:rPr>
          <w:rFonts w:eastAsiaTheme="minorEastAsia"/>
          <w:szCs w:val="22"/>
          <w:lang w:eastAsia="en-AU"/>
        </w:rPr>
      </w:pPr>
      <w:hyperlink w:anchor="_Toc492995387" w:history="1">
        <w:r w:rsidR="00926315" w:rsidRPr="00A04E2C">
          <w:rPr>
            <w:rStyle w:val="Hyperlink"/>
          </w:rPr>
          <w:t>2.2</w:t>
        </w:r>
        <w:r w:rsidR="00926315">
          <w:rPr>
            <w:rFonts w:eastAsiaTheme="minorEastAsia"/>
            <w:szCs w:val="22"/>
            <w:lang w:eastAsia="en-AU"/>
          </w:rPr>
          <w:tab/>
        </w:r>
        <w:r w:rsidR="00926315" w:rsidRPr="00A04E2C">
          <w:rPr>
            <w:rStyle w:val="Hyperlink"/>
          </w:rPr>
          <w:t>Assumptions</w:t>
        </w:r>
        <w:r w:rsidR="00926315">
          <w:rPr>
            <w:webHidden/>
          </w:rPr>
          <w:tab/>
        </w:r>
        <w:r w:rsidR="00926315">
          <w:rPr>
            <w:webHidden/>
          </w:rPr>
          <w:fldChar w:fldCharType="begin"/>
        </w:r>
        <w:r w:rsidR="00926315">
          <w:rPr>
            <w:webHidden/>
          </w:rPr>
          <w:instrText xml:space="preserve"> PAGEREF _Toc492995387 \h </w:instrText>
        </w:r>
        <w:r w:rsidR="00926315">
          <w:rPr>
            <w:webHidden/>
          </w:rPr>
        </w:r>
        <w:r w:rsidR="00926315">
          <w:rPr>
            <w:webHidden/>
          </w:rPr>
          <w:fldChar w:fldCharType="separate"/>
        </w:r>
        <w:r w:rsidR="000946A0">
          <w:rPr>
            <w:webHidden/>
          </w:rPr>
          <w:t>5</w:t>
        </w:r>
        <w:r w:rsidR="00926315">
          <w:rPr>
            <w:webHidden/>
          </w:rPr>
          <w:fldChar w:fldCharType="end"/>
        </w:r>
      </w:hyperlink>
    </w:p>
    <w:p w:rsidR="00926315" w:rsidRDefault="0029652F">
      <w:pPr>
        <w:pStyle w:val="TOC2"/>
        <w:rPr>
          <w:rFonts w:eastAsiaTheme="minorEastAsia"/>
          <w:szCs w:val="22"/>
          <w:lang w:eastAsia="en-AU"/>
        </w:rPr>
      </w:pPr>
      <w:hyperlink w:anchor="_Toc492995388" w:history="1">
        <w:r w:rsidR="00926315" w:rsidRPr="00A04E2C">
          <w:rPr>
            <w:rStyle w:val="Hyperlink"/>
          </w:rPr>
          <w:t>2.3</w:t>
        </w:r>
        <w:r w:rsidR="00926315">
          <w:rPr>
            <w:rFonts w:eastAsiaTheme="minorEastAsia"/>
            <w:szCs w:val="22"/>
            <w:lang w:eastAsia="en-AU"/>
          </w:rPr>
          <w:tab/>
        </w:r>
        <w:r w:rsidR="00926315" w:rsidRPr="00A04E2C">
          <w:rPr>
            <w:rStyle w:val="Hyperlink"/>
          </w:rPr>
          <w:t>Volatility of the costing base</w:t>
        </w:r>
        <w:r w:rsidR="00926315">
          <w:rPr>
            <w:webHidden/>
          </w:rPr>
          <w:tab/>
        </w:r>
        <w:r w:rsidR="00926315">
          <w:rPr>
            <w:webHidden/>
          </w:rPr>
          <w:fldChar w:fldCharType="begin"/>
        </w:r>
        <w:r w:rsidR="00926315">
          <w:rPr>
            <w:webHidden/>
          </w:rPr>
          <w:instrText xml:space="preserve"> PAGEREF _Toc492995388 \h </w:instrText>
        </w:r>
        <w:r w:rsidR="00926315">
          <w:rPr>
            <w:webHidden/>
          </w:rPr>
        </w:r>
        <w:r w:rsidR="00926315">
          <w:rPr>
            <w:webHidden/>
          </w:rPr>
          <w:fldChar w:fldCharType="separate"/>
        </w:r>
        <w:r w:rsidR="000946A0">
          <w:rPr>
            <w:webHidden/>
          </w:rPr>
          <w:t>7</w:t>
        </w:r>
        <w:r w:rsidR="00926315">
          <w:rPr>
            <w:webHidden/>
          </w:rPr>
          <w:fldChar w:fldCharType="end"/>
        </w:r>
      </w:hyperlink>
    </w:p>
    <w:p w:rsidR="00926315" w:rsidRDefault="0029652F">
      <w:pPr>
        <w:pStyle w:val="TOC2"/>
        <w:rPr>
          <w:rFonts w:eastAsiaTheme="minorEastAsia"/>
          <w:szCs w:val="22"/>
          <w:lang w:eastAsia="en-AU"/>
        </w:rPr>
      </w:pPr>
      <w:hyperlink w:anchor="_Toc492995389" w:history="1">
        <w:r w:rsidR="00926315" w:rsidRPr="00A04E2C">
          <w:rPr>
            <w:rStyle w:val="Hyperlink"/>
          </w:rPr>
          <w:t>2.4</w:t>
        </w:r>
        <w:r w:rsidR="00926315">
          <w:rPr>
            <w:rFonts w:eastAsiaTheme="minorEastAsia"/>
            <w:szCs w:val="22"/>
            <w:lang w:eastAsia="en-AU"/>
          </w:rPr>
          <w:tab/>
        </w:r>
        <w:r w:rsidR="00926315" w:rsidRPr="00A04E2C">
          <w:rPr>
            <w:rStyle w:val="Hyperlink"/>
          </w:rPr>
          <w:t>The magnitude of the policy change</w:t>
        </w:r>
        <w:r w:rsidR="00926315">
          <w:rPr>
            <w:webHidden/>
          </w:rPr>
          <w:tab/>
        </w:r>
        <w:r w:rsidR="00926315">
          <w:rPr>
            <w:webHidden/>
          </w:rPr>
          <w:fldChar w:fldCharType="begin"/>
        </w:r>
        <w:r w:rsidR="00926315">
          <w:rPr>
            <w:webHidden/>
          </w:rPr>
          <w:instrText xml:space="preserve"> PAGEREF _Toc492995389 \h </w:instrText>
        </w:r>
        <w:r w:rsidR="00926315">
          <w:rPr>
            <w:webHidden/>
          </w:rPr>
        </w:r>
        <w:r w:rsidR="00926315">
          <w:rPr>
            <w:webHidden/>
          </w:rPr>
          <w:fldChar w:fldCharType="separate"/>
        </w:r>
        <w:r w:rsidR="000946A0">
          <w:rPr>
            <w:webHidden/>
          </w:rPr>
          <w:t>9</w:t>
        </w:r>
        <w:r w:rsidR="00926315">
          <w:rPr>
            <w:webHidden/>
          </w:rPr>
          <w:fldChar w:fldCharType="end"/>
        </w:r>
      </w:hyperlink>
    </w:p>
    <w:p w:rsidR="00926315" w:rsidRDefault="0029652F">
      <w:pPr>
        <w:pStyle w:val="TOC1"/>
        <w:rPr>
          <w:rFonts w:eastAsiaTheme="minorEastAsia"/>
          <w:b w:val="0"/>
          <w:color w:val="auto"/>
          <w:lang w:eastAsia="en-AU"/>
        </w:rPr>
      </w:pPr>
      <w:hyperlink w:anchor="_Toc492995390" w:history="1">
        <w:r w:rsidR="00926315" w:rsidRPr="00A04E2C">
          <w:rPr>
            <w:rStyle w:val="Hyperlink"/>
          </w:rPr>
          <w:t>3</w:t>
        </w:r>
        <w:r w:rsidR="00926315">
          <w:rPr>
            <w:rFonts w:eastAsiaTheme="minorEastAsia"/>
            <w:b w:val="0"/>
            <w:color w:val="auto"/>
            <w:lang w:eastAsia="en-AU"/>
          </w:rPr>
          <w:tab/>
        </w:r>
        <w:r w:rsidR="00926315" w:rsidRPr="00A04E2C">
          <w:rPr>
            <w:rStyle w:val="Hyperlink"/>
          </w:rPr>
          <w:t>How the PBO takes account of uncertainty in costings</w:t>
        </w:r>
        <w:r w:rsidR="00926315">
          <w:rPr>
            <w:webHidden/>
          </w:rPr>
          <w:tab/>
        </w:r>
        <w:r w:rsidR="00926315">
          <w:rPr>
            <w:webHidden/>
          </w:rPr>
          <w:fldChar w:fldCharType="begin"/>
        </w:r>
        <w:r w:rsidR="00926315">
          <w:rPr>
            <w:webHidden/>
          </w:rPr>
          <w:instrText xml:space="preserve"> PAGEREF _Toc492995390 \h </w:instrText>
        </w:r>
        <w:r w:rsidR="00926315">
          <w:rPr>
            <w:webHidden/>
          </w:rPr>
        </w:r>
        <w:r w:rsidR="00926315">
          <w:rPr>
            <w:webHidden/>
          </w:rPr>
          <w:fldChar w:fldCharType="separate"/>
        </w:r>
        <w:r w:rsidR="000946A0">
          <w:rPr>
            <w:webHidden/>
          </w:rPr>
          <w:t>11</w:t>
        </w:r>
        <w:r w:rsidR="00926315">
          <w:rPr>
            <w:webHidden/>
          </w:rPr>
          <w:fldChar w:fldCharType="end"/>
        </w:r>
      </w:hyperlink>
    </w:p>
    <w:p w:rsidR="00903E3F" w:rsidRDefault="00903E3F" w:rsidP="00903E3F">
      <w:r>
        <w:fldChar w:fldCharType="end"/>
      </w:r>
    </w:p>
    <w:p w:rsidR="00E915E6" w:rsidRDefault="00E915E6">
      <w:pPr>
        <w:sectPr w:rsidR="00E915E6" w:rsidSect="00045D76">
          <w:headerReference w:type="even" r:id="rId19"/>
          <w:headerReference w:type="default" r:id="rId20"/>
          <w:footerReference w:type="even" r:id="rId21"/>
          <w:footerReference w:type="default" r:id="rId22"/>
          <w:pgSz w:w="11906" w:h="16838" w:code="9"/>
          <w:pgMar w:top="1361" w:right="1797" w:bottom="1474" w:left="1797" w:header="284" w:footer="454" w:gutter="0"/>
          <w:pgNumType w:fmt="lowerRoman"/>
          <w:cols w:space="708"/>
          <w:docGrid w:linePitch="360"/>
        </w:sectPr>
      </w:pPr>
    </w:p>
    <w:p w:rsidR="00045D76" w:rsidRDefault="00E63AC2" w:rsidP="00FE5A8E">
      <w:pPr>
        <w:pStyle w:val="Heading1NoNumbering"/>
      </w:pPr>
      <w:bookmarkStart w:id="4" w:name="_Toc492995383"/>
      <w:r>
        <w:lastRenderedPageBreak/>
        <w:t>Introduction</w:t>
      </w:r>
      <w:bookmarkEnd w:id="4"/>
    </w:p>
    <w:p w:rsidR="00045D76" w:rsidRDefault="00045D76" w:rsidP="00072C7C">
      <w:pPr>
        <w:pStyle w:val="OverviewBodyText"/>
      </w:pPr>
      <w:r>
        <w:t>Costings</w:t>
      </w:r>
      <w:r w:rsidR="008154D4">
        <w:t xml:space="preserve"> produced by the Parliamentary Budget </w:t>
      </w:r>
      <w:r w:rsidR="00595897">
        <w:t>O</w:t>
      </w:r>
      <w:r w:rsidR="008154D4">
        <w:t>ffice (PBO)</w:t>
      </w:r>
      <w:r>
        <w:t xml:space="preserve"> are estimates of the financial impact of policy proposals</w:t>
      </w:r>
      <w:r w:rsidR="008154D4">
        <w:t xml:space="preserve"> on the Commonwealth Government’s budget.  They </w:t>
      </w:r>
      <w:r w:rsidR="00BB0D63">
        <w:t xml:space="preserve">generally </w:t>
      </w:r>
      <w:r w:rsidR="008154D4">
        <w:t>cover a</w:t>
      </w:r>
      <w:r>
        <w:t xml:space="preserve"> future time period</w:t>
      </w:r>
      <w:r w:rsidR="008154D4">
        <w:t xml:space="preserve"> of between four and </w:t>
      </w:r>
      <w:r w:rsidR="004349F0">
        <w:t xml:space="preserve">10 </w:t>
      </w:r>
      <w:r w:rsidR="008154D4">
        <w:t>years</w:t>
      </w:r>
      <w:r>
        <w:t xml:space="preserve">.  Despite being the </w:t>
      </w:r>
      <w:r w:rsidR="004D6676">
        <w:t xml:space="preserve">PBO’s </w:t>
      </w:r>
      <w:r>
        <w:t xml:space="preserve">best possible estimates of the </w:t>
      </w:r>
      <w:r w:rsidR="008154D4">
        <w:t xml:space="preserve">budget </w:t>
      </w:r>
      <w:r>
        <w:t xml:space="preserve">impact of a policy, all costing estimates are subject to </w:t>
      </w:r>
      <w:r w:rsidR="00E618DC">
        <w:t>some degree of</w:t>
      </w:r>
      <w:r w:rsidR="00AC00AF">
        <w:t xml:space="preserve"> </w:t>
      </w:r>
      <w:r>
        <w:t>uncertainty</w:t>
      </w:r>
      <w:r w:rsidR="00042C5B">
        <w:t xml:space="preserve"> </w:t>
      </w:r>
      <w:r w:rsidR="00516287">
        <w:t>about</w:t>
      </w:r>
      <w:r w:rsidR="00042C5B">
        <w:t xml:space="preserve"> how closely they would correspond to actual outcomes, were the policy proposal implemented.  The level of uncertainty </w:t>
      </w:r>
      <w:r>
        <w:t>will vary from costing to costing depending upon factors such as data quality, assumptions</w:t>
      </w:r>
      <w:r w:rsidR="002479BA">
        <w:t>, methodology</w:t>
      </w:r>
      <w:r w:rsidR="00BF31FE">
        <w:t xml:space="preserve">, </w:t>
      </w:r>
      <w:proofErr w:type="gramStart"/>
      <w:r w:rsidR="00BF31FE">
        <w:t>the</w:t>
      </w:r>
      <w:proofErr w:type="gramEnd"/>
      <w:r w:rsidR="00BF31FE">
        <w:t xml:space="preserve"> </w:t>
      </w:r>
      <w:r>
        <w:t>volatility of the costing base</w:t>
      </w:r>
      <w:r w:rsidR="00BF31FE">
        <w:t xml:space="preserve"> and the magnitude of the policy change</w:t>
      </w:r>
      <w:r w:rsidR="00595897">
        <w:t>.</w:t>
      </w:r>
    </w:p>
    <w:p w:rsidR="008154D4" w:rsidRPr="006F7568" w:rsidRDefault="008154D4" w:rsidP="00072C7C">
      <w:pPr>
        <w:pStyle w:val="OverviewBodyText"/>
      </w:pPr>
      <w:r>
        <w:t xml:space="preserve">The PBO is committed to providing transparency in relation to the factors that affect the </w:t>
      </w:r>
      <w:r w:rsidR="00CE581D">
        <w:t xml:space="preserve">reliability </w:t>
      </w:r>
      <w:r>
        <w:t xml:space="preserve">of any given costing.  This </w:t>
      </w:r>
      <w:r w:rsidR="00C24FB5">
        <w:t>information paper</w:t>
      </w:r>
      <w:r>
        <w:t xml:space="preserve"> </w:t>
      </w:r>
      <w:r w:rsidR="00C42F9B">
        <w:t>has been prepared to raise awareness of the factors affecting uncertainty in costings and how the PBO deals with them.</w:t>
      </w:r>
    </w:p>
    <w:p w:rsidR="00045D76" w:rsidRPr="001B4B09" w:rsidRDefault="005F4378" w:rsidP="00FE5A8E">
      <w:pPr>
        <w:pStyle w:val="Heading1"/>
      </w:pPr>
      <w:bookmarkStart w:id="5" w:name="_Toc422927305"/>
      <w:bookmarkStart w:id="6" w:name="_Toc422927436"/>
      <w:bookmarkStart w:id="7" w:name="_Toc492995384"/>
      <w:r w:rsidRPr="001B4B09">
        <w:t xml:space="preserve">Why is </w:t>
      </w:r>
      <w:r w:rsidR="007167AA" w:rsidRPr="001B4B09">
        <w:t>un</w:t>
      </w:r>
      <w:r w:rsidRPr="001B4B09">
        <w:t xml:space="preserve">certainty </w:t>
      </w:r>
      <w:r w:rsidR="00AC00AF" w:rsidRPr="001B4B09">
        <w:t xml:space="preserve">an issue in </w:t>
      </w:r>
      <w:r w:rsidRPr="001B4B09">
        <w:t>costings</w:t>
      </w:r>
      <w:r w:rsidR="00045D76" w:rsidRPr="001B4B09">
        <w:t>?</w:t>
      </w:r>
      <w:bookmarkEnd w:id="5"/>
      <w:bookmarkEnd w:id="6"/>
      <w:bookmarkEnd w:id="7"/>
    </w:p>
    <w:p w:rsidR="00045D76" w:rsidRDefault="00C42F9B" w:rsidP="00045D76">
      <w:pPr>
        <w:pStyle w:val="BodyText"/>
      </w:pPr>
      <w:r>
        <w:t>A key role of the PBO is to prepare</w:t>
      </w:r>
      <w:r w:rsidR="00045D76">
        <w:t xml:space="preserve"> costings of policy proposals for parliamentarians.  The PBO’s estimates are prepared subject to the same rules and conventions as government budget estimates and are the</w:t>
      </w:r>
      <w:r w:rsidR="00BB0D63">
        <w:t xml:space="preserve"> PBO’s</w:t>
      </w:r>
      <w:r w:rsidR="00045D76">
        <w:t xml:space="preserve"> best possible estimates of the financial impact of a policy, given the information, time and resources available.</w:t>
      </w:r>
    </w:p>
    <w:p w:rsidR="00045D76" w:rsidRDefault="00045D76" w:rsidP="00045D76">
      <w:pPr>
        <w:pStyle w:val="BodyText"/>
      </w:pPr>
      <w:r>
        <w:t>Notwithstanding this, there are a number of elements that introduce uncertainty into the costing process which mean that the point estimate</w:t>
      </w:r>
      <w:r w:rsidR="00C42F9B">
        <w:t>s</w:t>
      </w:r>
      <w:r>
        <w:t xml:space="preserve"> in some costings </w:t>
      </w:r>
      <w:r w:rsidR="00DA5CAC">
        <w:t xml:space="preserve">would </w:t>
      </w:r>
      <w:r>
        <w:t xml:space="preserve">more </w:t>
      </w:r>
      <w:r w:rsidR="004D6676">
        <w:t xml:space="preserve">likely </w:t>
      </w:r>
      <w:r>
        <w:t>represent the actual outcomes (were the policy implemented) than is the case for other policy costings</w:t>
      </w:r>
      <w:r w:rsidR="00C42F9B">
        <w:t xml:space="preserve"> (see Fig</w:t>
      </w:r>
      <w:r w:rsidR="00F01C64">
        <w:t>ure</w:t>
      </w:r>
      <w:r w:rsidR="00C42F9B">
        <w:t xml:space="preserve"> 1)</w:t>
      </w:r>
      <w:r w:rsidR="009153E7">
        <w:t xml:space="preserve">.  Uncertainty is also a factor that leads to costings prepared at one time differing from costings </w:t>
      </w:r>
      <w:r w:rsidR="0097472B">
        <w:t>of the same policy prepared at a later date</w:t>
      </w:r>
      <w:r>
        <w:t>.</w:t>
      </w:r>
    </w:p>
    <w:p w:rsidR="00972172" w:rsidRDefault="00972172" w:rsidP="00972172">
      <w:pPr>
        <w:pStyle w:val="Caption1"/>
      </w:pPr>
      <w:r>
        <w:t>Figure 1: Uncertainty in costings</w:t>
      </w:r>
    </w:p>
    <w:tbl>
      <w:tblPr>
        <w:tblStyle w:val="PullOutBoxTable"/>
        <w:tblW w:w="0" w:type="auto"/>
        <w:tblLook w:val="04A0" w:firstRow="1" w:lastRow="0" w:firstColumn="1" w:lastColumn="0" w:noHBand="0" w:noVBand="1"/>
      </w:tblPr>
      <w:tblGrid>
        <w:gridCol w:w="8322"/>
      </w:tblGrid>
      <w:tr w:rsidR="00E618DC" w:rsidTr="004D6676">
        <w:tc>
          <w:tcPr>
            <w:tcW w:w="8322" w:type="dxa"/>
          </w:tcPr>
          <w:p w:rsidR="00E618DC" w:rsidRDefault="00524339" w:rsidP="00EF5C89">
            <w:pPr>
              <w:pStyle w:val="BodyText"/>
              <w:jc w:val="center"/>
            </w:pPr>
            <w:r>
              <w:rPr>
                <w:noProof/>
              </w:rPr>
              <w:drawing>
                <wp:inline distT="0" distB="0" distL="0" distR="0" wp14:anchorId="55CA3EA9" wp14:editId="4AD2ADFD">
                  <wp:extent cx="3619500" cy="1856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33017" cy="1863307"/>
                          </a:xfrm>
                          <a:prstGeom prst="rect">
                            <a:avLst/>
                          </a:prstGeom>
                          <a:noFill/>
                        </pic:spPr>
                      </pic:pic>
                    </a:graphicData>
                  </a:graphic>
                </wp:inline>
              </w:drawing>
            </w:r>
          </w:p>
        </w:tc>
      </w:tr>
      <w:tr w:rsidR="00E618DC" w:rsidTr="004D6676">
        <w:tc>
          <w:tcPr>
            <w:tcW w:w="8322" w:type="dxa"/>
          </w:tcPr>
          <w:p w:rsidR="00E618DC" w:rsidRPr="00E618DC" w:rsidRDefault="00E618DC" w:rsidP="00E618DC">
            <w:pPr>
              <w:pStyle w:val="BodyText"/>
              <w:spacing w:line="260" w:lineRule="atLeast"/>
              <w:ind w:left="113" w:right="113"/>
              <w:rPr>
                <w:sz w:val="20"/>
              </w:rPr>
            </w:pPr>
            <w:r w:rsidRPr="00E618DC">
              <w:rPr>
                <w:sz w:val="20"/>
              </w:rPr>
              <w:t>Estimates are presented as point or central estimates in costings.</w:t>
            </w:r>
          </w:p>
          <w:p w:rsidR="00E618DC" w:rsidRDefault="00E618DC" w:rsidP="00EF5C89">
            <w:pPr>
              <w:pStyle w:val="BodyText"/>
              <w:spacing w:line="260" w:lineRule="atLeast"/>
              <w:ind w:left="113" w:right="113"/>
            </w:pPr>
            <w:r w:rsidRPr="00E618DC">
              <w:rPr>
                <w:sz w:val="20"/>
              </w:rPr>
              <w:t xml:space="preserve">Uncertainty means that the actual outcome could be any of a range of values, with the resulting ‘error bar’ larger the more uncertain the estimate, as illustrated in the diagram above. </w:t>
            </w:r>
          </w:p>
        </w:tc>
      </w:tr>
    </w:tbl>
    <w:p w:rsidR="004D6676" w:rsidRDefault="004D6676" w:rsidP="001B4B09">
      <w:pPr>
        <w:pStyle w:val="BodyText"/>
      </w:pPr>
      <w:r>
        <w:lastRenderedPageBreak/>
        <w:t xml:space="preserve">Uncertainty is something that affects all costings, regardless of who produces them.  The issue of uncertainty in projections and costings has been recognised by the United States Congressional Budget Office which seeks to highlight the level of uncertainty in its estimates </w:t>
      </w:r>
      <w:r w:rsidR="006F3149" w:rsidRPr="008A2DEA">
        <w:t>through qualitative statements</w:t>
      </w:r>
      <w:r w:rsidR="00BE7A0E">
        <w:t>.</w:t>
      </w:r>
      <w:r>
        <w:rPr>
          <w:rStyle w:val="FootnoteReference"/>
        </w:rPr>
        <w:footnoteReference w:id="1"/>
      </w:r>
      <w:r>
        <w:t xml:space="preserve"> </w:t>
      </w:r>
      <w:r w:rsidR="00595897">
        <w:t xml:space="preserve"> </w:t>
      </w:r>
      <w:r>
        <w:t>The United Kingdom’s Office of Budget Responsibility also recognises uncertainty in costings and has recently adopted a system of uncertainty ratings for each certified policy costing included in the United Kingdom Budget</w:t>
      </w:r>
      <w:r w:rsidR="00BE7A0E">
        <w:t>.</w:t>
      </w:r>
      <w:r>
        <w:rPr>
          <w:rStyle w:val="FootnoteReference"/>
        </w:rPr>
        <w:footnoteReference w:id="2"/>
      </w:r>
    </w:p>
    <w:p w:rsidR="00045D76" w:rsidRDefault="00045D76" w:rsidP="00045D76">
      <w:pPr>
        <w:pStyle w:val="BodyText"/>
        <w:rPr>
          <w:rFonts w:cs="Arial"/>
        </w:rPr>
      </w:pPr>
      <w:r>
        <w:t xml:space="preserve">The PBO includes </w:t>
      </w:r>
      <w:r w:rsidR="005F4378">
        <w:t>commentary in its costing reports about the factors that may lead</w:t>
      </w:r>
      <w:r w:rsidR="005F72AF">
        <w:t xml:space="preserve"> to</w:t>
      </w:r>
      <w:r w:rsidR="005F4378">
        <w:t xml:space="preserve"> the actual outcome from a </w:t>
      </w:r>
      <w:r w:rsidR="004D6676">
        <w:t xml:space="preserve">policy </w:t>
      </w:r>
      <w:r w:rsidR="005F4378">
        <w:t xml:space="preserve">proposal, should it be implemented, differing from the costing estimate.  This commentary is intended </w:t>
      </w:r>
      <w:r w:rsidR="00FA08B8">
        <w:t xml:space="preserve">to </w:t>
      </w:r>
      <w:r w:rsidR="005F4378">
        <w:t xml:space="preserve">alert the user of the costing to </w:t>
      </w:r>
      <w:r w:rsidR="00AC00AF">
        <w:t xml:space="preserve">factors that affect the </w:t>
      </w:r>
      <w:r w:rsidR="003E373E">
        <w:t>level of un</w:t>
      </w:r>
      <w:r w:rsidR="00AC00AF">
        <w:t>certainty of</w:t>
      </w:r>
      <w:r w:rsidR="005F4378">
        <w:t xml:space="preserve"> the costing</w:t>
      </w:r>
      <w:r w:rsidR="00505901">
        <w:t xml:space="preserve"> </w:t>
      </w:r>
      <w:r>
        <w:rPr>
          <w:rFonts w:cs="Arial"/>
        </w:rPr>
        <w:t>estimate</w:t>
      </w:r>
      <w:r w:rsidRPr="00836C8F">
        <w:rPr>
          <w:rFonts w:cs="Arial"/>
        </w:rPr>
        <w:t>.</w:t>
      </w:r>
    </w:p>
    <w:p w:rsidR="00045D76" w:rsidRDefault="00184425" w:rsidP="00045D76">
      <w:pPr>
        <w:pStyle w:val="BodyText"/>
      </w:pPr>
      <w:r>
        <w:t xml:space="preserve">The key factors that </w:t>
      </w:r>
      <w:r w:rsidR="00AC00AF">
        <w:t xml:space="preserve">affect the </w:t>
      </w:r>
      <w:r w:rsidR="003E373E">
        <w:t>un</w:t>
      </w:r>
      <w:r w:rsidR="00AC00AF">
        <w:t>certainty of</w:t>
      </w:r>
      <w:r>
        <w:t xml:space="preserve"> costing estimates </w:t>
      </w:r>
      <w:r w:rsidR="00045D76">
        <w:t>are discussed in Section 2</w:t>
      </w:r>
      <w:r w:rsidR="004D6676">
        <w:t xml:space="preserve"> and the PBO’s approach to providing transparency on these factors is discussed in Section 3</w:t>
      </w:r>
      <w:r w:rsidR="00045D76">
        <w:t>.</w:t>
      </w:r>
    </w:p>
    <w:p w:rsidR="00045D76" w:rsidRPr="001B4B09" w:rsidRDefault="00045D76" w:rsidP="00FE5A8E">
      <w:pPr>
        <w:pStyle w:val="Heading1"/>
      </w:pPr>
      <w:bookmarkStart w:id="8" w:name="_Toc422927306"/>
      <w:bookmarkStart w:id="9" w:name="_Toc422927437"/>
      <w:bookmarkStart w:id="10" w:name="_Toc492995385"/>
      <w:r w:rsidRPr="00FE5A8E">
        <w:t>Factors</w:t>
      </w:r>
      <w:r w:rsidRPr="001B4B09">
        <w:t xml:space="preserve"> affecting the </w:t>
      </w:r>
      <w:r w:rsidR="00601C64" w:rsidRPr="001B4B09">
        <w:t xml:space="preserve">level of </w:t>
      </w:r>
      <w:r w:rsidR="00E7111E" w:rsidRPr="001B4B09">
        <w:t xml:space="preserve">uncertainty </w:t>
      </w:r>
      <w:r w:rsidRPr="001B4B09">
        <w:t>of costings</w:t>
      </w:r>
      <w:bookmarkEnd w:id="8"/>
      <w:bookmarkEnd w:id="9"/>
      <w:bookmarkEnd w:id="10"/>
    </w:p>
    <w:p w:rsidR="004D6676" w:rsidRDefault="00045D76" w:rsidP="00045D76">
      <w:pPr>
        <w:pStyle w:val="BodyText"/>
      </w:pPr>
      <w:r>
        <w:t xml:space="preserve">The most important factors affecting the </w:t>
      </w:r>
      <w:r w:rsidR="00AC00AF">
        <w:t xml:space="preserve">level of </w:t>
      </w:r>
      <w:r w:rsidR="00B03F3F">
        <w:t>un</w:t>
      </w:r>
      <w:r w:rsidR="00E7111E">
        <w:t xml:space="preserve">certainty </w:t>
      </w:r>
      <w:r>
        <w:t>of costings are</w:t>
      </w:r>
      <w:r w:rsidR="004D6676">
        <w:t>:</w:t>
      </w:r>
    </w:p>
    <w:p w:rsidR="004D6676" w:rsidRDefault="00045D76" w:rsidP="003E17B5">
      <w:pPr>
        <w:pStyle w:val="ListBullet"/>
      </w:pPr>
      <w:r>
        <w:t xml:space="preserve">the </w:t>
      </w:r>
      <w:r w:rsidRPr="001B4B09">
        <w:rPr>
          <w:b/>
        </w:rPr>
        <w:t>quality of the data</w:t>
      </w:r>
      <w:r>
        <w:t xml:space="preserve"> available to undertake the costing</w:t>
      </w:r>
    </w:p>
    <w:p w:rsidR="004D6676" w:rsidRDefault="00045D76" w:rsidP="003E17B5">
      <w:pPr>
        <w:pStyle w:val="ListBullet"/>
      </w:pPr>
      <w:r>
        <w:t xml:space="preserve">the number and </w:t>
      </w:r>
      <w:r w:rsidRPr="003D4D7B">
        <w:t>soundness</w:t>
      </w:r>
      <w:r>
        <w:t xml:space="preserve"> of any </w:t>
      </w:r>
      <w:r w:rsidRPr="001B4B09">
        <w:rPr>
          <w:b/>
        </w:rPr>
        <w:t>assumptions</w:t>
      </w:r>
      <w:r>
        <w:t xml:space="preserve"> made in the costing analysis</w:t>
      </w:r>
    </w:p>
    <w:p w:rsidR="004D6676" w:rsidRDefault="00045D76" w:rsidP="003E17B5">
      <w:pPr>
        <w:pStyle w:val="ListBullet"/>
      </w:pPr>
      <w:r>
        <w:t xml:space="preserve">the volatility of the </w:t>
      </w:r>
      <w:r w:rsidR="00BF31FE" w:rsidRPr="001B4B09">
        <w:rPr>
          <w:b/>
        </w:rPr>
        <w:t>costing base</w:t>
      </w:r>
      <w:r w:rsidR="00181E84">
        <w:t xml:space="preserve"> and</w:t>
      </w:r>
    </w:p>
    <w:p w:rsidR="00045D76" w:rsidRPr="006F7568" w:rsidRDefault="00BF31FE" w:rsidP="003E17B5">
      <w:pPr>
        <w:pStyle w:val="ListBullet"/>
      </w:pPr>
      <w:proofErr w:type="gramStart"/>
      <w:r>
        <w:t>the</w:t>
      </w:r>
      <w:proofErr w:type="gramEnd"/>
      <w:r>
        <w:t xml:space="preserve"> </w:t>
      </w:r>
      <w:r w:rsidRPr="001B4B09">
        <w:rPr>
          <w:b/>
        </w:rPr>
        <w:t>magnitude</w:t>
      </w:r>
      <w:r>
        <w:t xml:space="preserve"> of the policy change</w:t>
      </w:r>
      <w:r w:rsidR="00045D76">
        <w:t>.</w:t>
      </w:r>
    </w:p>
    <w:p w:rsidR="00045D76" w:rsidRDefault="00045D76" w:rsidP="00045D76">
      <w:pPr>
        <w:pStyle w:val="Heading2"/>
      </w:pPr>
      <w:bookmarkStart w:id="11" w:name="_Toc422926488"/>
      <w:bookmarkStart w:id="12" w:name="_Toc422927307"/>
      <w:bookmarkStart w:id="13" w:name="_Toc422927438"/>
      <w:bookmarkStart w:id="14" w:name="_Toc422928255"/>
      <w:bookmarkStart w:id="15" w:name="_Toc492995386"/>
      <w:r>
        <w:t>Data</w:t>
      </w:r>
      <w:bookmarkEnd w:id="11"/>
      <w:bookmarkEnd w:id="12"/>
      <w:bookmarkEnd w:id="13"/>
      <w:bookmarkEnd w:id="14"/>
      <w:r w:rsidR="0097472B">
        <w:t xml:space="preserve"> quality</w:t>
      </w:r>
      <w:bookmarkEnd w:id="15"/>
    </w:p>
    <w:p w:rsidR="00045D76" w:rsidRDefault="00045D76" w:rsidP="00045D76">
      <w:pPr>
        <w:pStyle w:val="BodyText"/>
      </w:pPr>
      <w:r>
        <w:t xml:space="preserve">Data </w:t>
      </w:r>
      <w:r w:rsidR="00B03F3F">
        <w:t xml:space="preserve">are </w:t>
      </w:r>
      <w:r>
        <w:t xml:space="preserve">the factual base from which the costing analysis starts.  Data </w:t>
      </w:r>
      <w:r w:rsidR="00B03F3F">
        <w:t xml:space="preserve">are </w:t>
      </w:r>
      <w:r>
        <w:t xml:space="preserve">used as the basis for describing the costing base and/or eligible population for a costing analysis.  The data used in policy costings can come from a range of sources which can differ significantly in quality, where quality is measured in terms of </w:t>
      </w:r>
      <w:r w:rsidR="00FA08B8">
        <w:t>how well</w:t>
      </w:r>
      <w:r>
        <w:t xml:space="preserve"> the data represent the target population for a costing analysis.</w:t>
      </w:r>
      <w:r w:rsidR="00F61AD2">
        <w:t xml:space="preserve">  The lower the quality of the data, the more uncertain the costing becomes.</w:t>
      </w:r>
    </w:p>
    <w:p w:rsidR="00181E84" w:rsidRDefault="00045D76" w:rsidP="00045D76">
      <w:pPr>
        <w:pStyle w:val="BodyText"/>
      </w:pPr>
      <w:r>
        <w:t xml:space="preserve">Data from sources such as unit record administrative data </w:t>
      </w:r>
      <w:r w:rsidR="003E17B5">
        <w:t>are</w:t>
      </w:r>
      <w:r>
        <w:t xml:space="preserve"> </w:t>
      </w:r>
      <w:r w:rsidR="00DC6890">
        <w:t xml:space="preserve">highly </w:t>
      </w:r>
      <w:r w:rsidR="004D6676">
        <w:t xml:space="preserve">reliable </w:t>
      </w:r>
      <w:r>
        <w:t xml:space="preserve">as </w:t>
      </w:r>
      <w:r w:rsidR="00B03F3F">
        <w:t xml:space="preserve">they </w:t>
      </w:r>
      <w:r>
        <w:t>represent the actual outcome of programs</w:t>
      </w:r>
      <w:r w:rsidR="00CF5CB3">
        <w:t xml:space="preserve"> or revenues</w:t>
      </w:r>
      <w:r w:rsidR="00F61AD2">
        <w:t xml:space="preserve"> for a particular period</w:t>
      </w:r>
      <w:r>
        <w:t xml:space="preserve"> and in many cases can provide a high level of detail regarding the target population for a costing analysis.</w:t>
      </w:r>
    </w:p>
    <w:p w:rsidR="00045D76" w:rsidRDefault="00045D76" w:rsidP="00045D76">
      <w:pPr>
        <w:pStyle w:val="BodyText"/>
      </w:pPr>
      <w:r>
        <w:t xml:space="preserve">The Australian Bureau of Statistics (ABS) produces a wide range of high quality data that </w:t>
      </w:r>
      <w:r w:rsidR="00B03F3F">
        <w:t xml:space="preserve">are </w:t>
      </w:r>
      <w:r>
        <w:t xml:space="preserve">the product of rigorous statistical </w:t>
      </w:r>
      <w:r w:rsidR="00F61AD2">
        <w:t>analysis</w:t>
      </w:r>
      <w:r>
        <w:t>.</w:t>
      </w:r>
      <w:r w:rsidR="00F61AD2">
        <w:t xml:space="preserve">  In many cases, </w:t>
      </w:r>
      <w:r w:rsidR="00B03F3F">
        <w:t xml:space="preserve">these </w:t>
      </w:r>
      <w:r w:rsidR="00F61AD2">
        <w:t xml:space="preserve">data may be derived from the high quality administrative sources described above.  Other ABS data </w:t>
      </w:r>
      <w:r w:rsidR="00B03F3F">
        <w:t xml:space="preserve">are </w:t>
      </w:r>
      <w:r w:rsidR="00F61AD2">
        <w:t xml:space="preserve">derived from </w:t>
      </w:r>
      <w:r w:rsidR="00F61AD2">
        <w:lastRenderedPageBreak/>
        <w:t xml:space="preserve">surveys and </w:t>
      </w:r>
      <w:r w:rsidR="003E17B5">
        <w:t>generally</w:t>
      </w:r>
      <w:r w:rsidR="00F61AD2">
        <w:t xml:space="preserve"> </w:t>
      </w:r>
      <w:r>
        <w:t xml:space="preserve">come with quantitative measures of the </w:t>
      </w:r>
      <w:r w:rsidR="00DC6890">
        <w:t>level of uncertainty in</w:t>
      </w:r>
      <w:r>
        <w:t xml:space="preserve"> the data</w:t>
      </w:r>
      <w:r w:rsidR="00F61AD2">
        <w:t>,</w:t>
      </w:r>
      <w:r>
        <w:t xml:space="preserve"> and indicators against the more uncertain data values.</w:t>
      </w:r>
    </w:p>
    <w:p w:rsidR="00045D76" w:rsidRDefault="00045D76" w:rsidP="00045D76">
      <w:pPr>
        <w:pStyle w:val="BodyText"/>
      </w:pPr>
      <w:r>
        <w:t xml:space="preserve">Less reliable data </w:t>
      </w:r>
      <w:r w:rsidR="009D6B5E">
        <w:t xml:space="preserve">are those which </w:t>
      </w:r>
      <w:r w:rsidR="00DD5B68">
        <w:t>may</w:t>
      </w:r>
      <w:r>
        <w:t xml:space="preserve"> not </w:t>
      </w:r>
      <w:r w:rsidR="00F61AD2">
        <w:t>provide precisely the information being sought</w:t>
      </w:r>
      <w:r>
        <w:t>, come from small sample surveys, or which originate from less rigorous statistical sources or those with an uncertain reputation.</w:t>
      </w:r>
    </w:p>
    <w:p w:rsidR="00DD5B68" w:rsidRDefault="00872729" w:rsidP="00045D76">
      <w:pPr>
        <w:pStyle w:val="BodyText"/>
      </w:pPr>
      <w:r>
        <w:t xml:space="preserve">Using older data introduces a further element of uncertainty into costings that becomes greater the </w:t>
      </w:r>
      <w:r w:rsidR="00DD5B68">
        <w:t xml:space="preserve">longer the time between </w:t>
      </w:r>
      <w:r>
        <w:t xml:space="preserve">the data’s </w:t>
      </w:r>
      <w:r w:rsidR="00DD5B68">
        <w:t>reference date (</w:t>
      </w:r>
      <w:proofErr w:type="spellStart"/>
      <w:r w:rsidR="003E17B5">
        <w:t>ie</w:t>
      </w:r>
      <w:proofErr w:type="spellEnd"/>
      <w:r w:rsidR="00DD5B68">
        <w:t xml:space="preserve"> the period </w:t>
      </w:r>
      <w:r>
        <w:t>to which the data for the</w:t>
      </w:r>
      <w:r w:rsidR="00016F40">
        <w:t xml:space="preserve"> target population</w:t>
      </w:r>
      <w:r>
        <w:t xml:space="preserve"> refers</w:t>
      </w:r>
      <w:r w:rsidR="00DD5B68">
        <w:t xml:space="preserve">) and the period of the costing analysis.  That is because the extrapolation of data from the reference period to the costing period introduces uncertainty related to </w:t>
      </w:r>
      <w:r>
        <w:t xml:space="preserve">both </w:t>
      </w:r>
      <w:r w:rsidR="00DD5B68">
        <w:t>the projection parameters being used</w:t>
      </w:r>
      <w:r>
        <w:t xml:space="preserve"> and changes in the target population over time</w:t>
      </w:r>
      <w:r w:rsidR="00DD5B68">
        <w:t>.</w:t>
      </w:r>
    </w:p>
    <w:p w:rsidR="008662B4" w:rsidRDefault="00045D76" w:rsidP="00045D76">
      <w:pPr>
        <w:pStyle w:val="BodyText"/>
      </w:pPr>
      <w:r>
        <w:t xml:space="preserve">In many cases, </w:t>
      </w:r>
      <w:r w:rsidR="00DD5B68">
        <w:t xml:space="preserve">timely </w:t>
      </w:r>
      <w:r>
        <w:t>high quality data may not be available, with the result that a costing will have to be based on lower quality data sources, introducing a greater level of uncertainty into the costing estimates.</w:t>
      </w:r>
    </w:p>
    <w:p w:rsidR="003D4D7B" w:rsidRDefault="003D4D7B" w:rsidP="00045D76">
      <w:pPr>
        <w:pStyle w:val="BodyText"/>
      </w:pPr>
      <w:r>
        <w:t>Fig</w:t>
      </w:r>
      <w:r w:rsidR="00F01C64">
        <w:t>ure</w:t>
      </w:r>
      <w:r>
        <w:t xml:space="preserve"> 2 provides examples of how a range of data sources can be categorised</w:t>
      </w:r>
      <w:r w:rsidR="004D6676">
        <w:t xml:space="preserve"> in terms of their relative uncertainty</w:t>
      </w:r>
      <w:r>
        <w:t>.</w:t>
      </w:r>
    </w:p>
    <w:p w:rsidR="007167AA" w:rsidRDefault="007167AA" w:rsidP="00045D76">
      <w:pPr>
        <w:pStyle w:val="BodyText"/>
      </w:pPr>
    </w:p>
    <w:p w:rsidR="005E4431" w:rsidRDefault="005E4431" w:rsidP="005E4431">
      <w:pPr>
        <w:pStyle w:val="Caption1"/>
      </w:pPr>
    </w:p>
    <w:p w:rsidR="005E4431" w:rsidRDefault="005E4431" w:rsidP="005E4431">
      <w:pPr>
        <w:pStyle w:val="Caption1"/>
        <w:sectPr w:rsidR="005E4431" w:rsidSect="00045D76">
          <w:headerReference w:type="even" r:id="rId24"/>
          <w:headerReference w:type="default" r:id="rId25"/>
          <w:footerReference w:type="even" r:id="rId26"/>
          <w:footerReference w:type="default" r:id="rId27"/>
          <w:headerReference w:type="first" r:id="rId28"/>
          <w:footerReference w:type="first" r:id="rId29"/>
          <w:pgSz w:w="11906" w:h="16838" w:code="9"/>
          <w:pgMar w:top="1361" w:right="1797" w:bottom="1474" w:left="1797" w:header="284" w:footer="454" w:gutter="0"/>
          <w:pgNumType w:start="1"/>
          <w:cols w:space="708"/>
          <w:docGrid w:linePitch="360"/>
        </w:sectPr>
      </w:pPr>
    </w:p>
    <w:p w:rsidR="005E4431" w:rsidRDefault="005E4431" w:rsidP="005E4431">
      <w:pPr>
        <w:pStyle w:val="Caption1"/>
      </w:pPr>
      <w:r w:rsidRPr="005E4431">
        <w:lastRenderedPageBreak/>
        <w:t>Figure 2:  Data quality and uncertaint</w:t>
      </w:r>
      <w:r>
        <w:t xml:space="preserve">y </w:t>
      </w:r>
      <w:r w:rsidRPr="00CC56A1">
        <w:rPr>
          <w:rStyle w:val="FootnoteReference"/>
          <w:color w:val="FFFFFF" w:themeColor="background1"/>
        </w:rPr>
        <w:footnoteReference w:id="3"/>
      </w:r>
      <w:r w:rsidRPr="00CC56A1">
        <w:rPr>
          <w:color w:val="FFFFFF" w:themeColor="background1"/>
        </w:rPr>
        <w:t xml:space="preserve"> </w:t>
      </w:r>
      <w:r w:rsidRPr="00CC56A1">
        <w:rPr>
          <w:rStyle w:val="FootnoteReference"/>
          <w:color w:val="FFFFFF" w:themeColor="background1"/>
        </w:rPr>
        <w:footnoteReference w:id="4"/>
      </w:r>
      <w:r w:rsidRPr="00CC56A1">
        <w:rPr>
          <w:color w:val="FFFFFF" w:themeColor="background1"/>
        </w:rPr>
        <w:t xml:space="preserve"> </w:t>
      </w:r>
      <w:r w:rsidRPr="00CC56A1">
        <w:rPr>
          <w:rStyle w:val="FootnoteReference"/>
          <w:color w:val="FFFFFF" w:themeColor="background1"/>
        </w:rPr>
        <w:footnoteReference w:id="5"/>
      </w:r>
    </w:p>
    <w:tbl>
      <w:tblPr>
        <w:tblStyle w:val="TableGrid"/>
        <w:tblW w:w="0" w:type="auto"/>
        <w:tblLook w:val="04A0" w:firstRow="1" w:lastRow="0" w:firstColumn="1" w:lastColumn="0" w:noHBand="0" w:noVBand="1"/>
      </w:tblPr>
      <w:tblGrid>
        <w:gridCol w:w="13833"/>
      </w:tblGrid>
      <w:tr w:rsidR="005E4431" w:rsidTr="000859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33" w:type="dxa"/>
            <w:tcBorders>
              <w:top w:val="single" w:sz="4" w:space="0" w:color="auto"/>
              <w:left w:val="single" w:sz="4" w:space="0" w:color="auto"/>
              <w:bottom w:val="single" w:sz="4" w:space="0" w:color="auto"/>
              <w:right w:val="single" w:sz="4" w:space="0" w:color="auto"/>
            </w:tcBorders>
            <w:shd w:val="clear" w:color="auto" w:fill="auto"/>
          </w:tcPr>
          <w:p w:rsidR="005E4431" w:rsidRDefault="005E4431" w:rsidP="00085906">
            <w:pPr>
              <w:pStyle w:val="PullOutBoxBodyText"/>
              <w:ind w:right="0"/>
              <w:jc w:val="center"/>
            </w:pPr>
            <w:r>
              <w:rPr>
                <w:noProof/>
              </w:rPr>
              <w:drawing>
                <wp:inline distT="0" distB="0" distL="0" distR="0" wp14:anchorId="0F699F86" wp14:editId="62199EA3">
                  <wp:extent cx="8702055" cy="354483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04.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702055" cy="3544830"/>
                          </a:xfrm>
                          <a:prstGeom prst="rect">
                            <a:avLst/>
                          </a:prstGeom>
                        </pic:spPr>
                      </pic:pic>
                    </a:graphicData>
                  </a:graphic>
                </wp:inline>
              </w:drawing>
            </w:r>
          </w:p>
        </w:tc>
      </w:tr>
    </w:tbl>
    <w:p w:rsidR="005E4431" w:rsidRDefault="005E4431" w:rsidP="00045D76">
      <w:pPr>
        <w:pStyle w:val="BodyText"/>
        <w:sectPr w:rsidR="005E4431" w:rsidSect="00EF5C89">
          <w:headerReference w:type="default" r:id="rId31"/>
          <w:pgSz w:w="16838" w:h="11906" w:orient="landscape" w:code="9"/>
          <w:pgMar w:top="1797" w:right="1361" w:bottom="1797" w:left="1474" w:header="284" w:footer="454" w:gutter="0"/>
          <w:cols w:space="708"/>
          <w:docGrid w:linePitch="360"/>
        </w:sectPr>
      </w:pPr>
    </w:p>
    <w:p w:rsidR="00045D76" w:rsidRDefault="00045D76" w:rsidP="00045D76">
      <w:pPr>
        <w:pStyle w:val="Heading2"/>
      </w:pPr>
      <w:bookmarkStart w:id="16" w:name="_Toc422926489"/>
      <w:bookmarkStart w:id="17" w:name="_Toc422927308"/>
      <w:bookmarkStart w:id="18" w:name="_Toc422927439"/>
      <w:bookmarkStart w:id="19" w:name="_Toc422928256"/>
      <w:bookmarkStart w:id="20" w:name="_Toc492995387"/>
      <w:r>
        <w:lastRenderedPageBreak/>
        <w:t>Assumptions</w:t>
      </w:r>
      <w:bookmarkEnd w:id="16"/>
      <w:bookmarkEnd w:id="17"/>
      <w:bookmarkEnd w:id="18"/>
      <w:bookmarkEnd w:id="19"/>
      <w:bookmarkEnd w:id="20"/>
    </w:p>
    <w:p w:rsidR="000E0DB6" w:rsidRDefault="009D6B5E">
      <w:pPr>
        <w:pStyle w:val="BodyText"/>
        <w:rPr>
          <w:rFonts w:cs="Arial"/>
        </w:rPr>
      </w:pPr>
      <w:r>
        <w:rPr>
          <w:rFonts w:cs="Arial"/>
        </w:rPr>
        <w:t xml:space="preserve">In addition to data, costing analyses always require a set of assumptions about </w:t>
      </w:r>
      <w:r w:rsidR="0063368F">
        <w:rPr>
          <w:rFonts w:cs="Arial"/>
        </w:rPr>
        <w:t xml:space="preserve">matters </w:t>
      </w:r>
      <w:r w:rsidR="00C14B55">
        <w:rPr>
          <w:rFonts w:cs="Arial"/>
        </w:rPr>
        <w:t>such as the</w:t>
      </w:r>
      <w:r>
        <w:rPr>
          <w:rFonts w:cs="Arial"/>
        </w:rPr>
        <w:t xml:space="preserve"> context</w:t>
      </w:r>
      <w:r w:rsidR="00C14B55">
        <w:rPr>
          <w:rFonts w:cs="Arial"/>
        </w:rPr>
        <w:t xml:space="preserve"> for the policy</w:t>
      </w:r>
      <w:r>
        <w:rPr>
          <w:rFonts w:cs="Arial"/>
        </w:rPr>
        <w:t>, policy settings or behav</w:t>
      </w:r>
      <w:r w:rsidR="00C14B55">
        <w:rPr>
          <w:rFonts w:cs="Arial"/>
        </w:rPr>
        <w:t>ioural responses</w:t>
      </w:r>
      <w:r>
        <w:rPr>
          <w:rFonts w:cs="Arial"/>
        </w:rPr>
        <w:t xml:space="preserve">.  They are important elements of the costing ‘model’ that is developed.  </w:t>
      </w:r>
      <w:r w:rsidR="00C14B55">
        <w:rPr>
          <w:rFonts w:cs="Arial"/>
        </w:rPr>
        <w:t>Unlike data which are the factual information on which the costing is based, a</w:t>
      </w:r>
      <w:r w:rsidR="000E0DB6">
        <w:rPr>
          <w:rFonts w:cs="Arial"/>
        </w:rPr>
        <w:t>ssumption</w:t>
      </w:r>
      <w:r>
        <w:rPr>
          <w:rFonts w:cs="Arial"/>
        </w:rPr>
        <w:t>s</w:t>
      </w:r>
      <w:r w:rsidR="000E0DB6">
        <w:rPr>
          <w:rFonts w:cs="Arial"/>
        </w:rPr>
        <w:t xml:space="preserve"> </w:t>
      </w:r>
      <w:r>
        <w:rPr>
          <w:rFonts w:cs="Arial"/>
        </w:rPr>
        <w:t>are</w:t>
      </w:r>
      <w:r w:rsidR="000E0DB6">
        <w:rPr>
          <w:rFonts w:cs="Arial"/>
        </w:rPr>
        <w:t xml:space="preserve"> </w:t>
      </w:r>
      <w:r w:rsidR="003E17B5">
        <w:rPr>
          <w:rFonts w:cs="Arial"/>
        </w:rPr>
        <w:t>based on a combination of empirical evidence, theoretical conjecture and professional judgement</w:t>
      </w:r>
      <w:r w:rsidR="00100B4A">
        <w:rPr>
          <w:rFonts w:cs="Arial"/>
        </w:rPr>
        <w:t>.</w:t>
      </w:r>
    </w:p>
    <w:p w:rsidR="000E0DB6" w:rsidRDefault="00A843D4">
      <w:pPr>
        <w:pStyle w:val="BodyText"/>
        <w:rPr>
          <w:rFonts w:cs="Arial"/>
        </w:rPr>
      </w:pPr>
      <w:r>
        <w:rPr>
          <w:rFonts w:cs="Arial"/>
        </w:rPr>
        <w:t>A</w:t>
      </w:r>
      <w:r w:rsidR="000E0DB6">
        <w:rPr>
          <w:rFonts w:cs="Arial"/>
        </w:rPr>
        <w:t>ssumptions are used in costings in a number of roles:</w:t>
      </w:r>
    </w:p>
    <w:p w:rsidR="000E0DB6" w:rsidRDefault="000E0DB6" w:rsidP="007167AA">
      <w:pPr>
        <w:pStyle w:val="ListBullet"/>
      </w:pPr>
      <w:r>
        <w:t>to fill gaps in the information or data underlying the costing</w:t>
      </w:r>
    </w:p>
    <w:p w:rsidR="000E0DB6" w:rsidRDefault="000E0DB6" w:rsidP="007167AA">
      <w:pPr>
        <w:pStyle w:val="ListBullet"/>
      </w:pPr>
      <w:r>
        <w:t>to take account of unknown elements in the costing such as the behavioural responses of those affected by a proposal, or</w:t>
      </w:r>
    </w:p>
    <w:p w:rsidR="000E0DB6" w:rsidRDefault="000E0DB6" w:rsidP="007167AA">
      <w:pPr>
        <w:pStyle w:val="ListBullet"/>
      </w:pPr>
      <w:proofErr w:type="gramStart"/>
      <w:r>
        <w:t>as</w:t>
      </w:r>
      <w:proofErr w:type="gramEnd"/>
      <w:r>
        <w:t xml:space="preserve"> elements in the specification of the structure of the costing model.</w:t>
      </w:r>
    </w:p>
    <w:p w:rsidR="00045D76" w:rsidRDefault="00DC6890">
      <w:pPr>
        <w:pStyle w:val="BodyText"/>
        <w:rPr>
          <w:rFonts w:cs="Arial"/>
        </w:rPr>
      </w:pPr>
      <w:r>
        <w:rPr>
          <w:rFonts w:cs="Arial"/>
        </w:rPr>
        <w:t>The assumptions used in a costing may be explicit or implicit.  Explicit assumptions are those where the analyst makes a deliberate choice in setting the value of the assumption</w:t>
      </w:r>
      <w:r w:rsidR="0063368F">
        <w:rPr>
          <w:rFonts w:cs="Arial"/>
        </w:rPr>
        <w:t>, for example an adjustment may be made to account for a specific type and amount of behavioural change.  I</w:t>
      </w:r>
      <w:r>
        <w:rPr>
          <w:rFonts w:cs="Arial"/>
        </w:rPr>
        <w:t xml:space="preserve">mplicit assumptions are the </w:t>
      </w:r>
      <w:r w:rsidR="00595032">
        <w:rPr>
          <w:rFonts w:cs="Arial"/>
        </w:rPr>
        <w:t xml:space="preserve">(less obvious) </w:t>
      </w:r>
      <w:r>
        <w:rPr>
          <w:rFonts w:cs="Arial"/>
        </w:rPr>
        <w:t xml:space="preserve">assumptions </w:t>
      </w:r>
      <w:r w:rsidR="00B97EFB">
        <w:rPr>
          <w:rFonts w:cs="Arial"/>
        </w:rPr>
        <w:t xml:space="preserve">embedded in aspects of the costing such as the </w:t>
      </w:r>
      <w:r w:rsidR="00595032">
        <w:rPr>
          <w:rFonts w:cs="Arial"/>
        </w:rPr>
        <w:t xml:space="preserve">structure of the model or the </w:t>
      </w:r>
      <w:r w:rsidR="00B97EFB">
        <w:rPr>
          <w:rFonts w:cs="Arial"/>
        </w:rPr>
        <w:t>methodology used to produce the estimates</w:t>
      </w:r>
      <w:r w:rsidR="003E17B5">
        <w:rPr>
          <w:rFonts w:cs="Arial"/>
        </w:rPr>
        <w:t>,</w:t>
      </w:r>
      <w:r w:rsidR="0063368F">
        <w:rPr>
          <w:rFonts w:cs="Arial"/>
        </w:rPr>
        <w:t xml:space="preserve"> often relating to matters such as compliance</w:t>
      </w:r>
      <w:r w:rsidR="00B97EFB">
        <w:rPr>
          <w:rFonts w:cs="Arial"/>
        </w:rPr>
        <w:t>.</w:t>
      </w:r>
    </w:p>
    <w:p w:rsidR="00595032" w:rsidRDefault="00595032">
      <w:pPr>
        <w:pStyle w:val="BodyText"/>
        <w:rPr>
          <w:rFonts w:cs="Arial"/>
        </w:rPr>
      </w:pPr>
      <w:r>
        <w:rPr>
          <w:rFonts w:cs="Arial"/>
        </w:rPr>
        <w:t xml:space="preserve">The impact of assumptions on the </w:t>
      </w:r>
      <w:r w:rsidR="00CE581D">
        <w:rPr>
          <w:rFonts w:cs="Arial"/>
        </w:rPr>
        <w:t xml:space="preserve">reliability </w:t>
      </w:r>
      <w:r>
        <w:rPr>
          <w:rFonts w:cs="Arial"/>
        </w:rPr>
        <w:t>of a costing will depend upon factors such as how reasonable each assumption is, the range of potential values that an assumption could have</w:t>
      </w:r>
      <w:r w:rsidR="00FB0198">
        <w:rPr>
          <w:rFonts w:cs="Arial"/>
        </w:rPr>
        <w:t>,</w:t>
      </w:r>
      <w:r>
        <w:rPr>
          <w:rFonts w:cs="Arial"/>
        </w:rPr>
        <w:t xml:space="preserve"> what impact variations in the assumption </w:t>
      </w:r>
      <w:r w:rsidR="00042C5B">
        <w:rPr>
          <w:rFonts w:cs="Arial"/>
        </w:rPr>
        <w:t xml:space="preserve">have </w:t>
      </w:r>
      <w:r>
        <w:rPr>
          <w:rFonts w:cs="Arial"/>
        </w:rPr>
        <w:t>on the costing outcome and the number of assumptions needed to produce a costing outcome.</w:t>
      </w:r>
    </w:p>
    <w:p w:rsidR="00595032" w:rsidRDefault="00A843D4" w:rsidP="007167AA">
      <w:pPr>
        <w:pStyle w:val="ListBullet"/>
      </w:pPr>
      <w:r>
        <w:t>The ‘reasonableness’</w:t>
      </w:r>
      <w:r w:rsidR="00773323">
        <w:t xml:space="preserve"> of an assumption </w:t>
      </w:r>
      <w:r>
        <w:t xml:space="preserve">can be tested by how acceptable </w:t>
      </w:r>
      <w:r w:rsidR="00773323">
        <w:t>it</w:t>
      </w:r>
      <w:r>
        <w:t xml:space="preserve"> is to a reasonable person or by reference to</w:t>
      </w:r>
      <w:r w:rsidR="00773323">
        <w:t xml:space="preserve"> supporting</w:t>
      </w:r>
      <w:r>
        <w:t xml:space="preserve"> evidence such as academic studies</w:t>
      </w:r>
      <w:r w:rsidR="00AF23D0">
        <w:t>,</w:t>
      </w:r>
      <w:r>
        <w:t xml:space="preserve"> </w:t>
      </w:r>
      <w:r w:rsidR="00773323">
        <w:t>quantitative analysis</w:t>
      </w:r>
      <w:r w:rsidR="00AF23D0">
        <w:t xml:space="preserve"> or previous experience</w:t>
      </w:r>
      <w:r>
        <w:t>.</w:t>
      </w:r>
    </w:p>
    <w:p w:rsidR="00AE5CA1" w:rsidRDefault="00AE5CA1" w:rsidP="007167AA">
      <w:pPr>
        <w:pStyle w:val="ListBullet"/>
      </w:pPr>
      <w:r>
        <w:t xml:space="preserve">There may be a range of ‘reasonable’ values that could be used </w:t>
      </w:r>
      <w:r w:rsidR="00773323">
        <w:t>in</w:t>
      </w:r>
      <w:r>
        <w:t xml:space="preserve"> an assumption.  The wider this reasonable range is, the more uncertain the costing will be.</w:t>
      </w:r>
    </w:p>
    <w:p w:rsidR="00AE5CA1" w:rsidRDefault="00AE5CA1" w:rsidP="007167AA">
      <w:pPr>
        <w:pStyle w:val="ListBullet"/>
      </w:pPr>
      <w:r>
        <w:t xml:space="preserve">Variations in </w:t>
      </w:r>
      <w:r w:rsidR="0063368F">
        <w:t>assumptions</w:t>
      </w:r>
      <w:r>
        <w:t xml:space="preserve"> may impact on a costing estimate differently.  The greater the impact that an assumption has on the costing outcome, the greater the uncertainty.  The impact of assumptions can be determined by sensitivity analysis.</w:t>
      </w:r>
    </w:p>
    <w:p w:rsidR="00AE5CA1" w:rsidRDefault="00AE5CA1" w:rsidP="007167AA">
      <w:pPr>
        <w:pStyle w:val="ListBullet"/>
      </w:pPr>
      <w:r>
        <w:t>The number of assumptions made in a costing has an impact on the uncertainty of the results as does the way in which these assumptions interact.  Generally, the more assumptions required to complete a costing, the more uncertain the result will be.  This uncertainty will be further affected depending upon how assumptions interact, for instance, whether they cancel out, are additive or compound</w:t>
      </w:r>
      <w:r w:rsidR="00042C5B">
        <w:t>ing</w:t>
      </w:r>
      <w:r>
        <w:t xml:space="preserve"> in their effects.</w:t>
      </w:r>
    </w:p>
    <w:p w:rsidR="00D4032F" w:rsidRPr="003D4D7B" w:rsidRDefault="00D4032F" w:rsidP="00D4032F">
      <w:pPr>
        <w:pStyle w:val="BodyText"/>
      </w:pPr>
      <w:r>
        <w:t>Fig</w:t>
      </w:r>
      <w:r w:rsidR="00F01C64">
        <w:t>ure</w:t>
      </w:r>
      <w:r>
        <w:t xml:space="preserve"> 3 summarises how assumptions can affect the </w:t>
      </w:r>
      <w:r w:rsidR="00CE581D">
        <w:t xml:space="preserve">reliability </w:t>
      </w:r>
      <w:r w:rsidR="000A3E44">
        <w:t>of a costing.</w:t>
      </w:r>
    </w:p>
    <w:p w:rsidR="00773323" w:rsidRDefault="00773323" w:rsidP="00773323">
      <w:pPr>
        <w:rPr>
          <w:rFonts w:cs="Arial"/>
          <w:spacing w:val="-1"/>
        </w:rPr>
      </w:pPr>
    </w:p>
    <w:p w:rsidR="008905F2" w:rsidRPr="008905F2" w:rsidRDefault="008905F2" w:rsidP="008905F2">
      <w:pPr>
        <w:pStyle w:val="Caption1"/>
        <w:sectPr w:rsidR="008905F2" w:rsidRPr="008905F2" w:rsidSect="00EF5C89">
          <w:headerReference w:type="even" r:id="rId32"/>
          <w:headerReference w:type="default" r:id="rId33"/>
          <w:footerReference w:type="even" r:id="rId34"/>
          <w:footerReference w:type="default" r:id="rId35"/>
          <w:headerReference w:type="first" r:id="rId36"/>
          <w:footerReference w:type="first" r:id="rId37"/>
          <w:pgSz w:w="11906" w:h="16838" w:code="9"/>
          <w:pgMar w:top="1361" w:right="1797" w:bottom="1474" w:left="1797" w:header="284" w:footer="454" w:gutter="0"/>
          <w:cols w:space="708"/>
          <w:docGrid w:linePitch="360"/>
        </w:sectPr>
      </w:pPr>
    </w:p>
    <w:p w:rsidR="00773323" w:rsidRDefault="008905F2" w:rsidP="008905F2">
      <w:pPr>
        <w:pStyle w:val="Caption1"/>
      </w:pPr>
      <w:r w:rsidRPr="008905F2">
        <w:lastRenderedPageBreak/>
        <w:t>Figure 3:  Impact of assumptions on uncertaint</w:t>
      </w:r>
      <w:r>
        <w:t>y</w:t>
      </w:r>
    </w:p>
    <w:tbl>
      <w:tblPr>
        <w:tblStyle w:val="TableGrid"/>
        <w:tblW w:w="0" w:type="auto"/>
        <w:tblLook w:val="04A0" w:firstRow="1" w:lastRow="0" w:firstColumn="1" w:lastColumn="0" w:noHBand="0" w:noVBand="1"/>
      </w:tblPr>
      <w:tblGrid>
        <w:gridCol w:w="14008"/>
      </w:tblGrid>
      <w:tr w:rsidR="008905F2" w:rsidTr="00085906">
        <w:trPr>
          <w:cnfStyle w:val="100000000000" w:firstRow="1" w:lastRow="0" w:firstColumn="0" w:lastColumn="0" w:oddVBand="0" w:evenVBand="0" w:oddHBand="0" w:evenHBand="0" w:firstRowFirstColumn="0" w:firstRowLastColumn="0" w:lastRowFirstColumn="0" w:lastRowLastColumn="0"/>
          <w:trHeight w:val="2470"/>
        </w:trPr>
        <w:tc>
          <w:tcPr>
            <w:cnfStyle w:val="001000000100" w:firstRow="0" w:lastRow="0" w:firstColumn="1" w:lastColumn="0" w:oddVBand="0" w:evenVBand="0" w:oddHBand="0" w:evenHBand="0" w:firstRowFirstColumn="1" w:firstRowLastColumn="0" w:lastRowFirstColumn="0" w:lastRowLastColumn="0"/>
            <w:tcW w:w="14008" w:type="dxa"/>
            <w:tcBorders>
              <w:top w:val="single" w:sz="4" w:space="0" w:color="auto"/>
              <w:left w:val="single" w:sz="4" w:space="0" w:color="auto"/>
              <w:bottom w:val="single" w:sz="4" w:space="0" w:color="auto"/>
              <w:right w:val="single" w:sz="4" w:space="0" w:color="auto"/>
            </w:tcBorders>
            <w:shd w:val="clear" w:color="auto" w:fill="auto"/>
          </w:tcPr>
          <w:p w:rsidR="008905F2" w:rsidRDefault="008905F2" w:rsidP="00085906">
            <w:pPr>
              <w:pStyle w:val="PullOutBoxBodyText"/>
              <w:jc w:val="center"/>
            </w:pPr>
            <w:r>
              <w:rPr>
                <w:noProof/>
              </w:rPr>
              <w:drawing>
                <wp:inline distT="0" distB="0" distL="0" distR="0" wp14:anchorId="0BE7AD95" wp14:editId="51FAE2DA">
                  <wp:extent cx="8416072" cy="4701799"/>
                  <wp:effectExtent l="0" t="0" r="444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03.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416072" cy="4701799"/>
                          </a:xfrm>
                          <a:prstGeom prst="rect">
                            <a:avLst/>
                          </a:prstGeom>
                        </pic:spPr>
                      </pic:pic>
                    </a:graphicData>
                  </a:graphic>
                </wp:inline>
              </w:drawing>
            </w:r>
          </w:p>
        </w:tc>
      </w:tr>
    </w:tbl>
    <w:p w:rsidR="008905F2" w:rsidRDefault="008905F2" w:rsidP="00773323">
      <w:pPr>
        <w:pStyle w:val="BodyText"/>
        <w:sectPr w:rsidR="008905F2" w:rsidSect="00EF5C89">
          <w:headerReference w:type="default" r:id="rId39"/>
          <w:pgSz w:w="16838" w:h="11906" w:orient="landscape" w:code="9"/>
          <w:pgMar w:top="1797" w:right="1361" w:bottom="1797" w:left="1474" w:header="284" w:footer="454" w:gutter="0"/>
          <w:cols w:space="708"/>
          <w:docGrid w:linePitch="360"/>
        </w:sectPr>
      </w:pPr>
    </w:p>
    <w:p w:rsidR="008905F2" w:rsidRDefault="008905F2" w:rsidP="008905F2">
      <w:pPr>
        <w:pStyle w:val="BodyText"/>
        <w:rPr>
          <w:rFonts w:cs="Arial"/>
        </w:rPr>
      </w:pPr>
      <w:bookmarkStart w:id="21" w:name="_Toc422926490"/>
      <w:bookmarkStart w:id="22" w:name="_Toc422927309"/>
      <w:bookmarkStart w:id="23" w:name="_Toc422927440"/>
      <w:bookmarkStart w:id="24" w:name="_Toc422928257"/>
      <w:bookmarkStart w:id="25" w:name="_Toc492995388"/>
      <w:r>
        <w:rPr>
          <w:rFonts w:cs="Arial"/>
        </w:rPr>
        <w:lastRenderedPageBreak/>
        <w:t xml:space="preserve">Implicit assumptions can impact on the uncertainty of a costing, often without </w:t>
      </w:r>
      <w:r w:rsidRPr="00D4032F">
        <w:rPr>
          <w:rFonts w:cs="Arial"/>
        </w:rPr>
        <w:t>their effect being obvious</w:t>
      </w:r>
      <w:r>
        <w:rPr>
          <w:rFonts w:cs="Arial"/>
        </w:rPr>
        <w:t>.  Some commonly used implicit assumptions are:</w:t>
      </w:r>
    </w:p>
    <w:p w:rsidR="008905F2" w:rsidRPr="00432EEE" w:rsidRDefault="008905F2" w:rsidP="008905F2">
      <w:pPr>
        <w:pStyle w:val="ListBullet"/>
      </w:pPr>
      <w:r w:rsidRPr="003E17B5">
        <w:rPr>
          <w:b/>
        </w:rPr>
        <w:t>Rationality</w:t>
      </w:r>
    </w:p>
    <w:p w:rsidR="008905F2" w:rsidRDefault="008905F2" w:rsidP="008905F2">
      <w:pPr>
        <w:pStyle w:val="ListBullet"/>
        <w:numPr>
          <w:ilvl w:val="0"/>
          <w:numId w:val="0"/>
        </w:numPr>
        <w:ind w:left="454"/>
      </w:pPr>
      <w:r w:rsidRPr="00432EEE">
        <w:t>This assumption is that entities affected by a policy change will respond in a ‘rational’</w:t>
      </w:r>
      <w:r>
        <w:t xml:space="preserve"> manner.  This most commonly involves assuming that those affected by a policy (consumers, taxpayers, companies, </w:t>
      </w:r>
      <w:proofErr w:type="spellStart"/>
      <w:r>
        <w:t>etc</w:t>
      </w:r>
      <w:proofErr w:type="spellEnd"/>
      <w:r>
        <w:t>) will act in a manner that is in their best interests, such as maximising income or minimising taxes.  This assumption may not always play out in reality as behaviour may be more complex, or those affected by policy may have different objectives.</w:t>
      </w:r>
    </w:p>
    <w:p w:rsidR="008905F2" w:rsidRDefault="008905F2" w:rsidP="008905F2">
      <w:pPr>
        <w:pStyle w:val="ListBullet"/>
      </w:pPr>
      <w:r w:rsidRPr="003E17B5">
        <w:rPr>
          <w:b/>
        </w:rPr>
        <w:t>Compliance</w:t>
      </w:r>
    </w:p>
    <w:p w:rsidR="008905F2" w:rsidRDefault="008905F2" w:rsidP="008905F2">
      <w:pPr>
        <w:pStyle w:val="ListBullet"/>
        <w:numPr>
          <w:ilvl w:val="0"/>
          <w:numId w:val="0"/>
        </w:numPr>
        <w:ind w:left="454"/>
      </w:pPr>
      <w:r>
        <w:t>This assumption is that entities affected by a regulatory change will comply with the regulation that is imposed.  Compliance behaviour may, however, depend upon other factors, such as the level of penalty for non-compliance and the resources allocated to enforcement.</w:t>
      </w:r>
    </w:p>
    <w:p w:rsidR="008905F2" w:rsidRDefault="008905F2" w:rsidP="008905F2">
      <w:pPr>
        <w:pStyle w:val="ListBullet"/>
      </w:pPr>
      <w:r w:rsidRPr="003E17B5">
        <w:rPr>
          <w:b/>
        </w:rPr>
        <w:t>Implementation</w:t>
      </w:r>
    </w:p>
    <w:p w:rsidR="008905F2" w:rsidRDefault="008905F2" w:rsidP="008905F2">
      <w:pPr>
        <w:pStyle w:val="ListBullet"/>
        <w:numPr>
          <w:ilvl w:val="0"/>
          <w:numId w:val="0"/>
        </w:numPr>
        <w:ind w:left="454"/>
      </w:pPr>
      <w:r>
        <w:t>Often costings will assume that the policy proposal can be implemented.  In practice, there may be a number of legal, technical or practical obstacles to implementing a policy that are assumed away in a costing.</w:t>
      </w:r>
    </w:p>
    <w:p w:rsidR="008905F2" w:rsidRPr="00432EEE" w:rsidRDefault="008905F2" w:rsidP="008905F2">
      <w:pPr>
        <w:pStyle w:val="BodyText"/>
      </w:pPr>
      <w:r>
        <w:t>Another assumption sometimes used in analysis is that of no</w:t>
      </w:r>
      <w:r w:rsidRPr="00432EEE">
        <w:t xml:space="preserve"> behavioural change</w:t>
      </w:r>
      <w:r>
        <w:t xml:space="preserve">.  Costings that employ this assumption only estimate the ‘static’ impact of a proposal as they do not take account of behavioural impacts.  This assumption should be treated with caution as it </w:t>
      </w:r>
      <w:r w:rsidRPr="00432EEE">
        <w:t>implies that the transactions concerned are completely price inelastic</w:t>
      </w:r>
      <w:r>
        <w:t xml:space="preserve">.  In the case of policies that </w:t>
      </w:r>
      <w:r w:rsidRPr="00432EEE">
        <w:t xml:space="preserve">impact on </w:t>
      </w:r>
      <w:r>
        <w:t xml:space="preserve">price sensitive </w:t>
      </w:r>
      <w:r w:rsidRPr="00432EEE">
        <w:t xml:space="preserve">transactions or which are intended to change behaviour, </w:t>
      </w:r>
      <w:r>
        <w:t>a ‘no behaviour change’ assumption could detract from the reliability of the costing.</w:t>
      </w:r>
    </w:p>
    <w:p w:rsidR="008905F2" w:rsidRDefault="008905F2" w:rsidP="008905F2">
      <w:pPr>
        <w:pStyle w:val="BodyText"/>
      </w:pPr>
      <w:r>
        <w:t>Implicit assumptions</w:t>
      </w:r>
      <w:r w:rsidRPr="00432EEE">
        <w:t xml:space="preserve"> </w:t>
      </w:r>
      <w:r>
        <w:t xml:space="preserve">may be difficult to identify because they are often built into the costing methodology and cannot be readily manipulated, giving rise to a risk that they are overlooked.  Nonetheless, implicit assumptions </w:t>
      </w:r>
      <w:r w:rsidRPr="00432EEE">
        <w:t xml:space="preserve">can </w:t>
      </w:r>
      <w:r>
        <w:t>affect</w:t>
      </w:r>
      <w:r w:rsidRPr="00432EEE">
        <w:t xml:space="preserve"> the </w:t>
      </w:r>
      <w:r>
        <w:t>reliability</w:t>
      </w:r>
      <w:r w:rsidRPr="00432EEE">
        <w:t xml:space="preserve"> of a costing as much as any other costing assumption.</w:t>
      </w:r>
    </w:p>
    <w:p w:rsidR="008905F2" w:rsidRDefault="008905F2">
      <w:pPr>
        <w:rPr>
          <w:rFonts w:cs="Times New Roman"/>
          <w:spacing w:val="-1"/>
        </w:rPr>
      </w:pPr>
      <w:r>
        <w:br w:type="page"/>
      </w:r>
    </w:p>
    <w:p w:rsidR="00045D76" w:rsidRDefault="00045D76" w:rsidP="00045D76">
      <w:pPr>
        <w:pStyle w:val="Heading2"/>
      </w:pPr>
      <w:r>
        <w:lastRenderedPageBreak/>
        <w:t xml:space="preserve">Volatility of the </w:t>
      </w:r>
      <w:bookmarkEnd w:id="21"/>
      <w:bookmarkEnd w:id="22"/>
      <w:bookmarkEnd w:id="23"/>
      <w:bookmarkEnd w:id="24"/>
      <w:r w:rsidR="00432EEE">
        <w:t xml:space="preserve">costing </w:t>
      </w:r>
      <w:r w:rsidR="00BB0D63">
        <w:t>base</w:t>
      </w:r>
      <w:bookmarkEnd w:id="25"/>
    </w:p>
    <w:p w:rsidR="001E397A" w:rsidRDefault="00BB0D63" w:rsidP="00045D76">
      <w:pPr>
        <w:pStyle w:val="BodyText"/>
        <w:rPr>
          <w:rFonts w:cs="Arial"/>
        </w:rPr>
      </w:pPr>
      <w:r>
        <w:rPr>
          <w:rFonts w:cs="Arial"/>
        </w:rPr>
        <w:t xml:space="preserve">The ‘costing base’ refers to the most recent budget estimates for the program or </w:t>
      </w:r>
      <w:r w:rsidR="00291612">
        <w:rPr>
          <w:rFonts w:cs="Arial"/>
        </w:rPr>
        <w:t xml:space="preserve">item of </w:t>
      </w:r>
      <w:r>
        <w:rPr>
          <w:rFonts w:cs="Arial"/>
        </w:rPr>
        <w:t xml:space="preserve">revenue to which the costing relates.  For </w:t>
      </w:r>
      <w:r w:rsidR="0006634F">
        <w:rPr>
          <w:rFonts w:cs="Arial"/>
        </w:rPr>
        <w:t>example</w:t>
      </w:r>
      <w:r>
        <w:rPr>
          <w:rFonts w:cs="Arial"/>
        </w:rPr>
        <w:t xml:space="preserve">, </w:t>
      </w:r>
      <w:r w:rsidR="008170C7">
        <w:rPr>
          <w:rFonts w:cs="Arial"/>
        </w:rPr>
        <w:t>to cost</w:t>
      </w:r>
      <w:r>
        <w:rPr>
          <w:rFonts w:cs="Arial"/>
        </w:rPr>
        <w:t xml:space="preserve"> a proposal to change the taper rate of the </w:t>
      </w:r>
      <w:r w:rsidR="00FE5A8E">
        <w:rPr>
          <w:rFonts w:cs="Arial"/>
        </w:rPr>
        <w:t>Age Pension</w:t>
      </w:r>
      <w:r>
        <w:rPr>
          <w:rFonts w:cs="Arial"/>
        </w:rPr>
        <w:t xml:space="preserve">, the costing base would be </w:t>
      </w:r>
      <w:r w:rsidR="00616439">
        <w:rPr>
          <w:rFonts w:cs="Arial"/>
        </w:rPr>
        <w:t xml:space="preserve">the </w:t>
      </w:r>
      <w:r>
        <w:rPr>
          <w:rFonts w:cs="Arial"/>
        </w:rPr>
        <w:t xml:space="preserve">estimate for </w:t>
      </w:r>
      <w:r w:rsidR="00FE5A8E">
        <w:rPr>
          <w:rFonts w:cs="Arial"/>
        </w:rPr>
        <w:t xml:space="preserve">Age Pension </w:t>
      </w:r>
      <w:r>
        <w:rPr>
          <w:rFonts w:cs="Arial"/>
        </w:rPr>
        <w:t>payments contained in the most recent economic and fiscal outlook statement.</w:t>
      </w:r>
    </w:p>
    <w:p w:rsidR="00337D70" w:rsidRDefault="00337D70" w:rsidP="00045D76">
      <w:pPr>
        <w:pStyle w:val="BodyText"/>
        <w:rPr>
          <w:rFonts w:cs="Arial"/>
        </w:rPr>
      </w:pPr>
      <w:r>
        <w:rPr>
          <w:rFonts w:cs="Arial"/>
        </w:rPr>
        <w:t xml:space="preserve">Volatility of the costing base affects the </w:t>
      </w:r>
      <w:r w:rsidR="00CE581D">
        <w:rPr>
          <w:rFonts w:cs="Arial"/>
        </w:rPr>
        <w:t xml:space="preserve">reliability </w:t>
      </w:r>
      <w:r>
        <w:rPr>
          <w:rFonts w:cs="Arial"/>
        </w:rPr>
        <w:t>with which that costing base can be grown over the projection period.  In situations where a costing base shows predictable growth over the projection period, with little variation from year to year, costing projections will be able to be made with more confidence.</w:t>
      </w:r>
    </w:p>
    <w:p w:rsidR="00045D76" w:rsidRDefault="00337D70" w:rsidP="00045D76">
      <w:pPr>
        <w:pStyle w:val="BodyText"/>
        <w:rPr>
          <w:rFonts w:cs="Arial"/>
        </w:rPr>
      </w:pPr>
      <w:r>
        <w:rPr>
          <w:rFonts w:cs="Arial"/>
        </w:rPr>
        <w:t xml:space="preserve">On the other hand, some costing bases show highly </w:t>
      </w:r>
      <w:r w:rsidR="0063368F">
        <w:rPr>
          <w:rFonts w:cs="Arial"/>
        </w:rPr>
        <w:t xml:space="preserve">variable </w:t>
      </w:r>
      <w:r>
        <w:rPr>
          <w:rFonts w:cs="Arial"/>
        </w:rPr>
        <w:t>growth</w:t>
      </w:r>
      <w:r w:rsidR="0063368F">
        <w:rPr>
          <w:rFonts w:cs="Arial"/>
        </w:rPr>
        <w:t xml:space="preserve"> </w:t>
      </w:r>
      <w:r>
        <w:rPr>
          <w:rFonts w:cs="Arial"/>
        </w:rPr>
        <w:t>from year to year.  These year to year variations make forecasting these bases extremely uncertain and significantly increase the uncertainty of any costings associated with policy variations to the costing bases concerned.</w:t>
      </w:r>
    </w:p>
    <w:p w:rsidR="008905F2" w:rsidRPr="008905F2" w:rsidRDefault="008905F2" w:rsidP="008905F2">
      <w:pPr>
        <w:pStyle w:val="Caption1"/>
      </w:pPr>
      <w:r w:rsidRPr="008905F2">
        <w:rPr>
          <w:rStyle w:val="Caption1Char"/>
          <w:b/>
          <w:bCs/>
        </w:rPr>
        <w:t>Figure 4: Uncertainty - volatile versus stable costing ba</w:t>
      </w:r>
      <w:r w:rsidRPr="008905F2">
        <w:t>se</w:t>
      </w:r>
    </w:p>
    <w:tbl>
      <w:tblPr>
        <w:tblStyle w:val="PullOutBoxTable"/>
        <w:tblW w:w="0" w:type="auto"/>
        <w:tblLook w:val="04A0" w:firstRow="1" w:lastRow="0" w:firstColumn="1" w:lastColumn="0" w:noHBand="0" w:noVBand="1"/>
      </w:tblPr>
      <w:tblGrid>
        <w:gridCol w:w="8322"/>
      </w:tblGrid>
      <w:tr w:rsidR="00190003" w:rsidTr="001E397A">
        <w:tc>
          <w:tcPr>
            <w:tcW w:w="8322" w:type="dxa"/>
            <w:vAlign w:val="center"/>
          </w:tcPr>
          <w:p w:rsidR="00190003" w:rsidRDefault="00316521" w:rsidP="0037725B">
            <w:pPr>
              <w:pStyle w:val="BodyText"/>
              <w:jc w:val="center"/>
              <w:rPr>
                <w:rFonts w:cs="Arial"/>
              </w:rPr>
            </w:pPr>
            <w:r>
              <w:rPr>
                <w:noProof/>
              </w:rPr>
              <w:drawing>
                <wp:inline distT="0" distB="0" distL="0" distR="0" wp14:anchorId="20DDA81A" wp14:editId="7286BE4A">
                  <wp:extent cx="5266944" cy="2984038"/>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266944" cy="2984038"/>
                          </a:xfrm>
                          <a:prstGeom prst="rect">
                            <a:avLst/>
                          </a:prstGeom>
                        </pic:spPr>
                      </pic:pic>
                    </a:graphicData>
                  </a:graphic>
                </wp:inline>
              </w:drawing>
            </w:r>
          </w:p>
        </w:tc>
      </w:tr>
      <w:tr w:rsidR="00190003" w:rsidTr="001E397A">
        <w:tc>
          <w:tcPr>
            <w:tcW w:w="8322" w:type="dxa"/>
          </w:tcPr>
          <w:p w:rsidR="00190003" w:rsidRDefault="00190003" w:rsidP="003E17B5">
            <w:pPr>
              <w:pStyle w:val="PullOutBoxBodyText"/>
            </w:pPr>
            <w:r>
              <w:t xml:space="preserve">Even though both </w:t>
            </w:r>
            <w:r w:rsidR="001B4B09">
              <w:t>costing bases</w:t>
            </w:r>
            <w:r>
              <w:t xml:space="preserve"> </w:t>
            </w:r>
            <w:r w:rsidR="000F28B7">
              <w:t>are based on the</w:t>
            </w:r>
            <w:r>
              <w:t xml:space="preserve"> same </w:t>
            </w:r>
            <w:r w:rsidR="000F28B7">
              <w:t xml:space="preserve">underlying </w:t>
            </w:r>
            <w:r>
              <w:t xml:space="preserve">trend, projections of the stable </w:t>
            </w:r>
            <w:r w:rsidR="00337D70">
              <w:t xml:space="preserve">costing base </w:t>
            </w:r>
            <w:r>
              <w:t xml:space="preserve">will be much less uncertain than projections of the volatile </w:t>
            </w:r>
            <w:r w:rsidR="00337D70">
              <w:t>costing base</w:t>
            </w:r>
            <w:r>
              <w:t>.</w:t>
            </w:r>
          </w:p>
        </w:tc>
      </w:tr>
    </w:tbl>
    <w:p w:rsidR="00263660" w:rsidRDefault="001E397A" w:rsidP="003E17B5">
      <w:pPr>
        <w:pStyle w:val="BodyText17ptAbove"/>
      </w:pPr>
      <w:r>
        <w:t>Fig</w:t>
      </w:r>
      <w:r w:rsidR="00BE7A0E">
        <w:t>ure</w:t>
      </w:r>
      <w:r>
        <w:t xml:space="preserve"> 4 illustrates </w:t>
      </w:r>
      <w:r w:rsidR="00FB41E4">
        <w:t xml:space="preserve">how volatility affects the </w:t>
      </w:r>
      <w:r w:rsidR="00CE581D">
        <w:t xml:space="preserve">reliability </w:t>
      </w:r>
      <w:r w:rsidR="00FB41E4">
        <w:t xml:space="preserve">with which </w:t>
      </w:r>
      <w:r w:rsidR="007A3122">
        <w:t>costing bases</w:t>
      </w:r>
      <w:r w:rsidR="00FB41E4">
        <w:t xml:space="preserve"> can be projected</w:t>
      </w:r>
      <w:r>
        <w:t xml:space="preserve">.  </w:t>
      </w:r>
      <w:r w:rsidR="000F28B7">
        <w:t xml:space="preserve">Both the </w:t>
      </w:r>
      <w:r w:rsidR="004C2EC7">
        <w:t>‘</w:t>
      </w:r>
      <w:r w:rsidR="00316521">
        <w:t>volatile</w:t>
      </w:r>
      <w:r w:rsidR="004C2EC7">
        <w:t>’</w:t>
      </w:r>
      <w:r w:rsidR="000F28B7">
        <w:t xml:space="preserve"> and </w:t>
      </w:r>
      <w:r w:rsidR="004C2EC7">
        <w:t>‘</w:t>
      </w:r>
      <w:r w:rsidR="00316521">
        <w:t>stable</w:t>
      </w:r>
      <w:r w:rsidR="004C2EC7">
        <w:t>’</w:t>
      </w:r>
      <w:r w:rsidR="000F28B7">
        <w:t xml:space="preserve"> </w:t>
      </w:r>
      <w:r w:rsidR="00316521">
        <w:t>time series</w:t>
      </w:r>
      <w:r w:rsidR="000F28B7">
        <w:t xml:space="preserve"> are based on </w:t>
      </w:r>
      <w:r w:rsidR="004C2EC7">
        <w:t xml:space="preserve">exactly </w:t>
      </w:r>
      <w:r w:rsidR="00316521">
        <w:t xml:space="preserve">the same </w:t>
      </w:r>
      <w:r w:rsidR="000F28B7">
        <w:t xml:space="preserve">underlying </w:t>
      </w:r>
      <w:r w:rsidR="00FB41E4">
        <w:t xml:space="preserve">trend </w:t>
      </w:r>
      <w:r w:rsidR="004C2EC7">
        <w:t>shown as the thin</w:t>
      </w:r>
      <w:r w:rsidR="005F72AF">
        <w:t xml:space="preserve"> dark</w:t>
      </w:r>
      <w:r w:rsidR="004C2EC7">
        <w:t xml:space="preserve"> red line.  Each </w:t>
      </w:r>
      <w:r w:rsidR="008170C7">
        <w:t>series varies randomly from that trend</w:t>
      </w:r>
      <w:r w:rsidR="004C2EC7">
        <w:t xml:space="preserve">, </w:t>
      </w:r>
      <w:r w:rsidR="008170C7">
        <w:t xml:space="preserve">with the </w:t>
      </w:r>
      <w:r w:rsidR="004C2EC7">
        <w:t>v</w:t>
      </w:r>
      <w:r w:rsidR="00FB41E4">
        <w:t xml:space="preserve">olatile </w:t>
      </w:r>
      <w:r w:rsidR="004C2EC7">
        <w:t xml:space="preserve">series </w:t>
      </w:r>
      <w:r w:rsidR="008170C7">
        <w:t xml:space="preserve">varying </w:t>
      </w:r>
      <w:r w:rsidR="00BE0179">
        <w:t>by much more</w:t>
      </w:r>
      <w:r w:rsidR="00FB41E4">
        <w:t xml:space="preserve"> than the stable </w:t>
      </w:r>
      <w:r w:rsidR="004C2EC7">
        <w:t>series</w:t>
      </w:r>
      <w:r w:rsidR="00263660">
        <w:t>.</w:t>
      </w:r>
    </w:p>
    <w:p w:rsidR="00263660" w:rsidRPr="00921CED" w:rsidRDefault="00263660" w:rsidP="004349F0">
      <w:pPr>
        <w:pStyle w:val="BodyText"/>
      </w:pPr>
      <w:r>
        <w:t xml:space="preserve">Each panel of the chart depicts </w:t>
      </w:r>
      <w:r w:rsidR="00355B6A">
        <w:t>30 periods of data</w:t>
      </w:r>
      <w:r w:rsidR="00FF1F30">
        <w:t>.  The first 26 periods of ‘actual’ data are shown as a solid blue line</w:t>
      </w:r>
      <w:r w:rsidR="004C2EC7">
        <w:t xml:space="preserve"> and the ‘outcomes’ in the projection period are shown as a dashed blue line.  Forecasts for the projection period are based, in each case, on the trend that is calculated from the actual data. </w:t>
      </w:r>
      <w:r w:rsidR="005F72AF">
        <w:t xml:space="preserve"> </w:t>
      </w:r>
      <w:r w:rsidR="004C2EC7">
        <w:t xml:space="preserve">This is shown as the solid red line.  This figure illustrates that </w:t>
      </w:r>
      <w:r w:rsidR="004C2EC7">
        <w:lastRenderedPageBreak/>
        <w:t xml:space="preserve">the estimated trend for a volatile series can vary significantly from the actual trend that is underlying the series, whereas the estimated trend for a stable series will always be much closer to the actual underlying trend. </w:t>
      </w:r>
    </w:p>
    <w:p w:rsidR="001E397A" w:rsidRPr="005F72AF" w:rsidRDefault="001B4B09" w:rsidP="004349F0">
      <w:pPr>
        <w:pStyle w:val="BodyText"/>
        <w:rPr>
          <w:rFonts w:cs="Arial"/>
        </w:rPr>
      </w:pPr>
      <w:r w:rsidRPr="004349F0">
        <w:rPr>
          <w:rFonts w:cs="Arial"/>
        </w:rPr>
        <w:t>Fig</w:t>
      </w:r>
      <w:r w:rsidR="00F01C64" w:rsidRPr="004349F0">
        <w:rPr>
          <w:rFonts w:cs="Arial"/>
        </w:rPr>
        <w:t>ure</w:t>
      </w:r>
      <w:r w:rsidRPr="004349F0">
        <w:rPr>
          <w:rFonts w:cs="Arial"/>
        </w:rPr>
        <w:t xml:space="preserve"> 4</w:t>
      </w:r>
      <w:r w:rsidR="00316521" w:rsidRPr="004349F0">
        <w:rPr>
          <w:rFonts w:cs="Arial"/>
        </w:rPr>
        <w:t xml:space="preserve"> shows that</w:t>
      </w:r>
      <w:r w:rsidR="00263660" w:rsidRPr="004349F0">
        <w:rPr>
          <w:rFonts w:cs="Arial"/>
        </w:rPr>
        <w:t xml:space="preserve"> even before new policies are considered,</w:t>
      </w:r>
      <w:r w:rsidR="00316521" w:rsidRPr="004349F0">
        <w:rPr>
          <w:rFonts w:cs="Arial"/>
        </w:rPr>
        <w:t xml:space="preserve"> the projections of </w:t>
      </w:r>
      <w:r w:rsidR="004C2EC7">
        <w:rPr>
          <w:rFonts w:cs="Arial"/>
        </w:rPr>
        <w:t xml:space="preserve">a </w:t>
      </w:r>
      <w:r w:rsidR="00316521" w:rsidRPr="003F091A">
        <w:rPr>
          <w:rFonts w:cs="Arial"/>
        </w:rPr>
        <w:t xml:space="preserve">volatile </w:t>
      </w:r>
      <w:r w:rsidR="004C2EC7">
        <w:rPr>
          <w:rFonts w:cs="Arial"/>
        </w:rPr>
        <w:t>cost base</w:t>
      </w:r>
      <w:r w:rsidR="004C2EC7" w:rsidRPr="003F091A">
        <w:rPr>
          <w:rFonts w:cs="Arial"/>
        </w:rPr>
        <w:t xml:space="preserve"> </w:t>
      </w:r>
      <w:r w:rsidR="00316521" w:rsidRPr="005F72AF">
        <w:rPr>
          <w:rFonts w:cs="Arial"/>
        </w:rPr>
        <w:t xml:space="preserve">are </w:t>
      </w:r>
      <w:r w:rsidR="00263660" w:rsidRPr="005F72AF">
        <w:rPr>
          <w:rFonts w:cs="Arial"/>
        </w:rPr>
        <w:t xml:space="preserve">likely to be </w:t>
      </w:r>
      <w:r w:rsidR="00316521" w:rsidRPr="005F72AF">
        <w:rPr>
          <w:rFonts w:cs="Arial"/>
        </w:rPr>
        <w:t>much less representative of the underlying trend than the</w:t>
      </w:r>
      <w:r w:rsidRPr="00E01D21">
        <w:rPr>
          <w:rFonts w:cs="Arial"/>
        </w:rPr>
        <w:t xml:space="preserve"> projections of </w:t>
      </w:r>
      <w:r w:rsidR="004C2EC7">
        <w:rPr>
          <w:rFonts w:cs="Arial"/>
        </w:rPr>
        <w:t>a</w:t>
      </w:r>
      <w:r w:rsidR="004C2EC7" w:rsidRPr="003F091A">
        <w:rPr>
          <w:rFonts w:cs="Arial"/>
        </w:rPr>
        <w:t xml:space="preserve"> </w:t>
      </w:r>
      <w:r w:rsidR="00316521" w:rsidRPr="005F72AF">
        <w:rPr>
          <w:rFonts w:cs="Arial"/>
        </w:rPr>
        <w:t xml:space="preserve">stable </w:t>
      </w:r>
      <w:r w:rsidR="004C2EC7">
        <w:rPr>
          <w:rFonts w:cs="Arial"/>
        </w:rPr>
        <w:t>cost base</w:t>
      </w:r>
      <w:r w:rsidR="003F091A">
        <w:rPr>
          <w:rFonts w:cs="Arial"/>
        </w:rPr>
        <w:t xml:space="preserve">, creating a significant degree of uncertainty about the costing baseline.  It also shows that </w:t>
      </w:r>
      <w:r w:rsidR="00316521" w:rsidRPr="005F72AF">
        <w:rPr>
          <w:rFonts w:cs="Arial"/>
        </w:rPr>
        <w:t xml:space="preserve">the projections for </w:t>
      </w:r>
      <w:r w:rsidR="003F091A">
        <w:rPr>
          <w:rFonts w:cs="Arial"/>
        </w:rPr>
        <w:t>a</w:t>
      </w:r>
      <w:r w:rsidR="003F091A" w:rsidRPr="003F091A">
        <w:rPr>
          <w:rFonts w:cs="Arial"/>
        </w:rPr>
        <w:t xml:space="preserve"> </w:t>
      </w:r>
      <w:r w:rsidR="00316521" w:rsidRPr="005F72AF">
        <w:rPr>
          <w:rFonts w:cs="Arial"/>
        </w:rPr>
        <w:t xml:space="preserve">volatile series are </w:t>
      </w:r>
      <w:r w:rsidR="003F091A">
        <w:rPr>
          <w:rFonts w:cs="Arial"/>
        </w:rPr>
        <w:t xml:space="preserve">always </w:t>
      </w:r>
      <w:r w:rsidR="00316521" w:rsidRPr="003F091A">
        <w:rPr>
          <w:rFonts w:cs="Arial"/>
        </w:rPr>
        <w:t xml:space="preserve">much less likely to correspond with </w:t>
      </w:r>
      <w:r w:rsidR="0096065D" w:rsidRPr="005F72AF">
        <w:rPr>
          <w:rFonts w:cs="Arial"/>
        </w:rPr>
        <w:t>the outcomes in the projection period</w:t>
      </w:r>
      <w:r w:rsidR="003F091A">
        <w:rPr>
          <w:rFonts w:cs="Arial"/>
        </w:rPr>
        <w:t xml:space="preserve"> than for a stable series</w:t>
      </w:r>
      <w:r w:rsidR="0096065D" w:rsidRPr="003F091A">
        <w:rPr>
          <w:rFonts w:cs="Arial"/>
        </w:rPr>
        <w:t>.</w:t>
      </w:r>
    </w:p>
    <w:p w:rsidR="001E397A" w:rsidRDefault="001E397A" w:rsidP="00045D76">
      <w:pPr>
        <w:pStyle w:val="BodyText"/>
        <w:rPr>
          <w:rFonts w:cs="Arial"/>
        </w:rPr>
      </w:pPr>
      <w:r>
        <w:rPr>
          <w:rFonts w:cs="Arial"/>
        </w:rPr>
        <w:t xml:space="preserve">The volatility of </w:t>
      </w:r>
      <w:r w:rsidR="00373492">
        <w:rPr>
          <w:rFonts w:cs="Arial"/>
        </w:rPr>
        <w:t xml:space="preserve">the </w:t>
      </w:r>
      <w:r w:rsidR="007A3122">
        <w:rPr>
          <w:rFonts w:cs="Arial"/>
        </w:rPr>
        <w:t xml:space="preserve">costing base </w:t>
      </w:r>
      <w:r>
        <w:rPr>
          <w:rFonts w:cs="Arial"/>
        </w:rPr>
        <w:t xml:space="preserve">is </w:t>
      </w:r>
      <w:r w:rsidR="007A3122">
        <w:rPr>
          <w:rFonts w:cs="Arial"/>
        </w:rPr>
        <w:t>not a</w:t>
      </w:r>
      <w:r>
        <w:rPr>
          <w:rFonts w:cs="Arial"/>
        </w:rPr>
        <w:t xml:space="preserve"> data quality</w:t>
      </w:r>
      <w:r w:rsidR="007A3122">
        <w:rPr>
          <w:rFonts w:cs="Arial"/>
        </w:rPr>
        <w:t xml:space="preserve"> issue</w:t>
      </w:r>
      <w:r>
        <w:rPr>
          <w:rFonts w:cs="Arial"/>
        </w:rPr>
        <w:t xml:space="preserve">.  </w:t>
      </w:r>
      <w:r w:rsidR="00E11DCE">
        <w:rPr>
          <w:rFonts w:cs="Arial"/>
        </w:rPr>
        <w:t xml:space="preserve">It is </w:t>
      </w:r>
      <w:r w:rsidR="00565591">
        <w:rPr>
          <w:rFonts w:cs="Arial"/>
        </w:rPr>
        <w:t xml:space="preserve">simply </w:t>
      </w:r>
      <w:r w:rsidR="00E11DCE">
        <w:rPr>
          <w:rFonts w:cs="Arial"/>
        </w:rPr>
        <w:t>a reflection of how predictable the underlying costing base is.</w:t>
      </w:r>
      <w:r>
        <w:rPr>
          <w:rFonts w:cs="Arial"/>
        </w:rPr>
        <w:t xml:space="preserve">  Volatility can arise because the </w:t>
      </w:r>
      <w:r w:rsidR="00E11DCE">
        <w:rPr>
          <w:rFonts w:cs="Arial"/>
        </w:rPr>
        <w:t xml:space="preserve">costing base </w:t>
      </w:r>
      <w:r>
        <w:rPr>
          <w:rFonts w:cs="Arial"/>
        </w:rPr>
        <w:t xml:space="preserve">is affected by random events or because of underlying influences on </w:t>
      </w:r>
      <w:r w:rsidR="00E11DCE">
        <w:rPr>
          <w:rFonts w:cs="Arial"/>
        </w:rPr>
        <w:t>that base</w:t>
      </w:r>
      <w:r>
        <w:rPr>
          <w:rFonts w:cs="Arial"/>
        </w:rPr>
        <w:t xml:space="preserve"> such as economic conditions, market events or consumer sentiment.</w:t>
      </w:r>
    </w:p>
    <w:p w:rsidR="00045D76" w:rsidRDefault="00045D76" w:rsidP="00045D76">
      <w:pPr>
        <w:pStyle w:val="BodyText"/>
        <w:rPr>
          <w:rFonts w:cs="Arial"/>
        </w:rPr>
      </w:pPr>
      <w:r>
        <w:rPr>
          <w:rFonts w:cs="Arial"/>
        </w:rPr>
        <w:t xml:space="preserve">For instance, costings </w:t>
      </w:r>
      <w:r w:rsidR="00FA4354">
        <w:rPr>
          <w:rFonts w:cs="Arial"/>
        </w:rPr>
        <w:t xml:space="preserve">affecting </w:t>
      </w:r>
      <w:r>
        <w:rPr>
          <w:rFonts w:cs="Arial"/>
        </w:rPr>
        <w:t>gross income tax revenue (</w:t>
      </w:r>
      <w:proofErr w:type="spellStart"/>
      <w:r w:rsidR="008C274E">
        <w:rPr>
          <w:rFonts w:cs="Arial"/>
        </w:rPr>
        <w:t>ie</w:t>
      </w:r>
      <w:proofErr w:type="spellEnd"/>
      <w:r>
        <w:rPr>
          <w:rFonts w:cs="Arial"/>
        </w:rPr>
        <w:t xml:space="preserve"> personal income tax withheld from wages and salaries) for the whole population are more </w:t>
      </w:r>
      <w:r w:rsidR="00590637">
        <w:rPr>
          <w:rFonts w:cs="Arial"/>
        </w:rPr>
        <w:t xml:space="preserve">certain </w:t>
      </w:r>
      <w:r>
        <w:rPr>
          <w:rFonts w:cs="Arial"/>
        </w:rPr>
        <w:t xml:space="preserve">than costings </w:t>
      </w:r>
      <w:r w:rsidR="00FA4354">
        <w:rPr>
          <w:rFonts w:cs="Arial"/>
        </w:rPr>
        <w:t xml:space="preserve">affecting </w:t>
      </w:r>
      <w:r>
        <w:rPr>
          <w:rFonts w:cs="Arial"/>
        </w:rPr>
        <w:t xml:space="preserve">capital gains tax (CGT) revenue.  This is because </w:t>
      </w:r>
      <w:r w:rsidR="00565591">
        <w:rPr>
          <w:rFonts w:cs="Arial"/>
        </w:rPr>
        <w:t xml:space="preserve">gross income tax </w:t>
      </w:r>
      <w:r>
        <w:rPr>
          <w:rFonts w:cs="Arial"/>
        </w:rPr>
        <w:t>revenue tends to be very stable from year to year, affected only at the margin by variations in nominal wages</w:t>
      </w:r>
      <w:r w:rsidR="00B34DC6">
        <w:rPr>
          <w:rFonts w:cs="Arial"/>
        </w:rPr>
        <w:t xml:space="preserve"> growth and employment growth.</w:t>
      </w:r>
      <w:r w:rsidR="00565591">
        <w:rPr>
          <w:rFonts w:cs="Arial"/>
        </w:rPr>
        <w:t xml:space="preserve">  </w:t>
      </w:r>
      <w:r>
        <w:rPr>
          <w:rFonts w:cs="Arial"/>
        </w:rPr>
        <w:t>On the other hand, CGT revenue can vary substantially as asset prices rise or fall</w:t>
      </w:r>
      <w:r w:rsidR="006573C2">
        <w:rPr>
          <w:rFonts w:cs="Arial"/>
        </w:rPr>
        <w:t xml:space="preserve"> relative to the CGT cost base of assets</w:t>
      </w:r>
      <w:r>
        <w:rPr>
          <w:rFonts w:cs="Arial"/>
        </w:rPr>
        <w:t xml:space="preserve"> and as taxpayers adjust the realisation rate of assets in response to asset price changes.</w:t>
      </w:r>
    </w:p>
    <w:p w:rsidR="00045D76" w:rsidRDefault="00045D76" w:rsidP="00045D76">
      <w:pPr>
        <w:pStyle w:val="BodyText"/>
        <w:rPr>
          <w:rFonts w:cs="Arial"/>
        </w:rPr>
      </w:pPr>
      <w:r>
        <w:rPr>
          <w:rFonts w:cs="Arial"/>
        </w:rPr>
        <w:t xml:space="preserve">The </w:t>
      </w:r>
      <w:r w:rsidR="00CE581D">
        <w:rPr>
          <w:rFonts w:cs="Arial"/>
        </w:rPr>
        <w:t xml:space="preserve">reliability </w:t>
      </w:r>
      <w:r>
        <w:rPr>
          <w:rFonts w:cs="Arial"/>
        </w:rPr>
        <w:t xml:space="preserve">with which the costing </w:t>
      </w:r>
      <w:r w:rsidR="00E11DCE">
        <w:rPr>
          <w:rFonts w:cs="Arial"/>
        </w:rPr>
        <w:t>base</w:t>
      </w:r>
      <w:r w:rsidR="00BE0179">
        <w:rPr>
          <w:rFonts w:cs="Arial"/>
        </w:rPr>
        <w:t xml:space="preserve"> </w:t>
      </w:r>
      <w:r>
        <w:rPr>
          <w:rFonts w:cs="Arial"/>
        </w:rPr>
        <w:t xml:space="preserve">can be </w:t>
      </w:r>
      <w:r w:rsidR="00BE0179">
        <w:rPr>
          <w:rFonts w:cs="Arial"/>
        </w:rPr>
        <w:t xml:space="preserve">projected </w:t>
      </w:r>
      <w:r>
        <w:rPr>
          <w:rFonts w:cs="Arial"/>
        </w:rPr>
        <w:t>will generally decline the longer the forecasting horizon becomes because forecasting errors tend to compound over time.</w:t>
      </w:r>
    </w:p>
    <w:p w:rsidR="00FC79B8" w:rsidRDefault="00FC79B8" w:rsidP="00423670">
      <w:pPr>
        <w:pStyle w:val="Heading2"/>
      </w:pPr>
      <w:bookmarkStart w:id="26" w:name="_Toc492995389"/>
      <w:r>
        <w:t xml:space="preserve">The </w:t>
      </w:r>
      <w:r w:rsidR="00BF31FE">
        <w:t>magnitude</w:t>
      </w:r>
      <w:r>
        <w:t xml:space="preserve"> of the policy change</w:t>
      </w:r>
      <w:bookmarkEnd w:id="26"/>
      <w:r>
        <w:t xml:space="preserve"> </w:t>
      </w:r>
    </w:p>
    <w:p w:rsidR="00FC79B8" w:rsidRDefault="00FC79B8" w:rsidP="00FC79B8">
      <w:pPr>
        <w:pStyle w:val="BodyText"/>
        <w:rPr>
          <w:rFonts w:cs="Arial"/>
        </w:rPr>
      </w:pPr>
      <w:r>
        <w:rPr>
          <w:rFonts w:cs="Arial"/>
        </w:rPr>
        <w:t xml:space="preserve">A further source of uncertainty arises from the scale of policy change, that is, how far a policy proposal departs from </w:t>
      </w:r>
      <w:r w:rsidR="00FF1F30">
        <w:rPr>
          <w:rFonts w:cs="Arial"/>
        </w:rPr>
        <w:t>existing</w:t>
      </w:r>
      <w:r>
        <w:rPr>
          <w:rFonts w:cs="Arial"/>
        </w:rPr>
        <w:t xml:space="preserve"> policy.  The larger the scale of a policy change</w:t>
      </w:r>
      <w:r w:rsidR="00FF1F30">
        <w:rPr>
          <w:rFonts w:cs="Arial"/>
        </w:rPr>
        <w:t>,</w:t>
      </w:r>
      <w:r>
        <w:rPr>
          <w:rFonts w:cs="Arial"/>
        </w:rPr>
        <w:t xml:space="preserve"> the more uncertain the resulting costing is likely to be.  This due </w:t>
      </w:r>
      <w:r w:rsidR="00565591">
        <w:rPr>
          <w:rFonts w:cs="Arial"/>
        </w:rPr>
        <w:t xml:space="preserve">to a number of </w:t>
      </w:r>
      <w:r>
        <w:rPr>
          <w:rFonts w:cs="Arial"/>
        </w:rPr>
        <w:t>factors</w:t>
      </w:r>
      <w:r w:rsidR="00565591">
        <w:rPr>
          <w:rFonts w:cs="Arial"/>
        </w:rPr>
        <w:t>:</w:t>
      </w:r>
    </w:p>
    <w:p w:rsidR="00FC79B8" w:rsidRDefault="00875EAE" w:rsidP="00FC79B8">
      <w:pPr>
        <w:pStyle w:val="ListBullet"/>
      </w:pPr>
      <w:r>
        <w:t>Large</w:t>
      </w:r>
      <w:r w:rsidR="00FC79B8">
        <w:t xml:space="preserve"> policy proposals may impact on previously unaffected populations, increasing the uncertainty associated with behavioural responses as programs extend to populations whose responses have not been tested previously.</w:t>
      </w:r>
    </w:p>
    <w:p w:rsidR="00FC79B8" w:rsidRDefault="00875EAE" w:rsidP="00FC79B8">
      <w:pPr>
        <w:pStyle w:val="ListBullet"/>
      </w:pPr>
      <w:r>
        <w:t>I</w:t>
      </w:r>
      <w:r w:rsidR="00FC79B8">
        <w:t>nformation on responses to policy changes gen</w:t>
      </w:r>
      <w:r w:rsidR="008905F2">
        <w:t>erally relate to small changes ‘</w:t>
      </w:r>
      <w:r w:rsidR="00FC79B8">
        <w:t>at the margin</w:t>
      </w:r>
      <w:r w:rsidR="008905F2">
        <w:t>’ rather than ‘</w:t>
      </w:r>
      <w:r w:rsidR="00565591">
        <w:t>significant changes</w:t>
      </w:r>
      <w:r w:rsidR="008905F2">
        <w:t>’</w:t>
      </w:r>
      <w:r w:rsidR="00FC79B8">
        <w:t xml:space="preserve"> in entitlements or liabilities</w:t>
      </w:r>
      <w:r w:rsidR="00FF1F30">
        <w:t xml:space="preserve">.  Large changes, therefore, </w:t>
      </w:r>
      <w:r w:rsidR="00FC79B8">
        <w:t>increas</w:t>
      </w:r>
      <w:r w:rsidR="00FF1F30">
        <w:t>e</w:t>
      </w:r>
      <w:r w:rsidR="00FC79B8">
        <w:t xml:space="preserve"> the uncertainty associated with behavioural assumptions</w:t>
      </w:r>
      <w:r w:rsidR="00F22859">
        <w:t>.</w:t>
      </w:r>
    </w:p>
    <w:p w:rsidR="00FC79B8" w:rsidRDefault="00875EAE" w:rsidP="00FC79B8">
      <w:pPr>
        <w:pStyle w:val="ListBullet"/>
      </w:pPr>
      <w:r>
        <w:t>Data may not exist in relation to changes</w:t>
      </w:r>
      <w:r w:rsidR="00FC79B8">
        <w:t xml:space="preserve"> that extend entitlements or liabilities beyond the existing costing base</w:t>
      </w:r>
      <w:r w:rsidR="00FF1F30">
        <w:t xml:space="preserve">. </w:t>
      </w:r>
      <w:r w:rsidR="00921CED">
        <w:t xml:space="preserve"> </w:t>
      </w:r>
      <w:r w:rsidR="00FF1F30">
        <w:t>As a result, additional assumptions are needed</w:t>
      </w:r>
      <w:r>
        <w:t xml:space="preserve"> in order to </w:t>
      </w:r>
      <w:r w:rsidR="00FF1F30">
        <w:t>determine critical parameters such as the size of the population affected by a new policy</w:t>
      </w:r>
      <w:r w:rsidR="00FC79B8">
        <w:t>.</w:t>
      </w:r>
      <w:r w:rsidR="00594030">
        <w:t xml:space="preserve">  </w:t>
      </w:r>
      <w:r w:rsidR="00921CED">
        <w:t>These details can</w:t>
      </w:r>
      <w:r w:rsidR="00594030">
        <w:t xml:space="preserve"> substantially increases the uncertainty associated with the costing.</w:t>
      </w:r>
    </w:p>
    <w:p w:rsidR="00322D79" w:rsidRPr="00760E51" w:rsidRDefault="00322D79" w:rsidP="00322D79">
      <w:pPr>
        <w:pStyle w:val="BodyText"/>
      </w:pPr>
      <w:r>
        <w:t>The</w:t>
      </w:r>
      <w:r w:rsidR="004B5FFE">
        <w:t xml:space="preserve"> transition and</w:t>
      </w:r>
      <w:r>
        <w:t xml:space="preserve"> implementation details </w:t>
      </w:r>
      <w:r w:rsidR="004B5FFE">
        <w:t>are</w:t>
      </w:r>
      <w:r>
        <w:t xml:space="preserve"> </w:t>
      </w:r>
      <w:r w:rsidR="00594030">
        <w:t xml:space="preserve">also </w:t>
      </w:r>
      <w:r>
        <w:t>important elements of a costing specification</w:t>
      </w:r>
      <w:r w:rsidR="004B5FFE">
        <w:t xml:space="preserve"> that can affect uncertainty</w:t>
      </w:r>
      <w:r w:rsidR="00565591" w:rsidRPr="00565591">
        <w:t xml:space="preserve"> </w:t>
      </w:r>
      <w:r w:rsidR="00565591">
        <w:t>and this is particularly the case for large policy changes</w:t>
      </w:r>
      <w:r>
        <w:t xml:space="preserve">.  </w:t>
      </w:r>
      <w:r w:rsidR="00594030">
        <w:t>These details can</w:t>
      </w:r>
      <w:r w:rsidR="004B5FFE">
        <w:t xml:space="preserve"> significantly impact on the actual costs through elements such as take up rates and compliance.</w:t>
      </w:r>
    </w:p>
    <w:p w:rsidR="00BE7A0E" w:rsidRDefault="008905F2" w:rsidP="00423670">
      <w:pPr>
        <w:pStyle w:val="BodyText"/>
      </w:pPr>
      <w:r>
        <w:lastRenderedPageBreak/>
        <w:t>Table 1</w:t>
      </w:r>
      <w:r w:rsidR="007073B0">
        <w:t xml:space="preserve"> provides examples of how the magnitude of policy change affects the uncertainty of a costing estimate.</w:t>
      </w:r>
    </w:p>
    <w:p w:rsidR="007073B0" w:rsidRPr="009F517E" w:rsidRDefault="008905F2" w:rsidP="008905F2">
      <w:pPr>
        <w:pStyle w:val="Caption1"/>
      </w:pPr>
      <w:r>
        <w:t>Table 1</w:t>
      </w:r>
      <w:r w:rsidR="00F22859" w:rsidRPr="00F22859">
        <w:t>:  How the size of policy change affects uncertainty</w:t>
      </w:r>
    </w:p>
    <w:tbl>
      <w:tblPr>
        <w:tblStyle w:val="LightList-Accent1"/>
        <w:tblW w:w="0" w:type="auto"/>
        <w:tblCellMar>
          <w:left w:w="85" w:type="dxa"/>
          <w:right w:w="85" w:type="dxa"/>
        </w:tblCellMar>
        <w:tblLook w:val="04A0" w:firstRow="1" w:lastRow="0" w:firstColumn="1" w:lastColumn="0" w:noHBand="0" w:noVBand="1"/>
      </w:tblPr>
      <w:tblGrid>
        <w:gridCol w:w="1843"/>
        <w:gridCol w:w="1843"/>
        <w:gridCol w:w="4626"/>
      </w:tblGrid>
      <w:tr w:rsidR="00662345" w:rsidRPr="00F22859" w:rsidTr="003E1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rsidR="00BF31FE" w:rsidRPr="00F22859" w:rsidRDefault="007073B0" w:rsidP="003E17B5">
            <w:pPr>
              <w:pStyle w:val="BodyText"/>
            </w:pPr>
            <w:r w:rsidRPr="00F22859">
              <w:t>Category</w:t>
            </w:r>
          </w:p>
        </w:tc>
        <w:tc>
          <w:tcPr>
            <w:tcW w:w="1843" w:type="dxa"/>
            <w:vAlign w:val="center"/>
          </w:tcPr>
          <w:p w:rsidR="00BF31FE" w:rsidRPr="003E17B5" w:rsidRDefault="00662345" w:rsidP="003E17B5">
            <w:pPr>
              <w:pStyle w:val="BodyText"/>
              <w:cnfStyle w:val="100000000000" w:firstRow="1" w:lastRow="0" w:firstColumn="0" w:lastColumn="0" w:oddVBand="0" w:evenVBand="0" w:oddHBand="0" w:evenHBand="0" w:firstRowFirstColumn="0" w:firstRowLastColumn="0" w:lastRowFirstColumn="0" w:lastRowLastColumn="0"/>
            </w:pPr>
            <w:r w:rsidRPr="003E17B5">
              <w:t>Hypothetical e</w:t>
            </w:r>
            <w:r w:rsidR="007073B0" w:rsidRPr="003E17B5">
              <w:t>xample</w:t>
            </w:r>
          </w:p>
        </w:tc>
        <w:tc>
          <w:tcPr>
            <w:tcW w:w="4626" w:type="dxa"/>
            <w:vAlign w:val="center"/>
          </w:tcPr>
          <w:p w:rsidR="00BF31FE" w:rsidRPr="003E17B5" w:rsidRDefault="007073B0" w:rsidP="003E17B5">
            <w:pPr>
              <w:pStyle w:val="BodyText"/>
              <w:cnfStyle w:val="100000000000" w:firstRow="1" w:lastRow="0" w:firstColumn="0" w:lastColumn="0" w:oddVBand="0" w:evenVBand="0" w:oddHBand="0" w:evenHBand="0" w:firstRowFirstColumn="0" w:firstRowLastColumn="0" w:lastRowFirstColumn="0" w:lastRowLastColumn="0"/>
            </w:pPr>
            <w:r w:rsidRPr="003E17B5">
              <w:t>Uncertainty generated</w:t>
            </w:r>
          </w:p>
        </w:tc>
      </w:tr>
      <w:tr w:rsidR="00662345" w:rsidTr="003E1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BF31FE" w:rsidRDefault="007073B0" w:rsidP="003E17B5">
            <w:pPr>
              <w:pStyle w:val="BodyText"/>
            </w:pPr>
            <w:r>
              <w:t>Policy change affects previously unaffected populations</w:t>
            </w:r>
          </w:p>
        </w:tc>
        <w:tc>
          <w:tcPr>
            <w:tcW w:w="1843" w:type="dxa"/>
          </w:tcPr>
          <w:p w:rsidR="00BF31FE" w:rsidRDefault="006B32E2" w:rsidP="003E17B5">
            <w:pPr>
              <w:pStyle w:val="BodyText"/>
              <w:cnfStyle w:val="000000100000" w:firstRow="0" w:lastRow="0" w:firstColumn="0" w:lastColumn="0" w:oddVBand="0" w:evenVBand="0" w:oddHBand="1" w:evenHBand="0" w:firstRowFirstColumn="0" w:firstRowLastColumn="0" w:lastRowFirstColumn="0" w:lastRowLastColumn="0"/>
            </w:pPr>
            <w:r>
              <w:t>New income tested tax offset for undertaking specified activities</w:t>
            </w:r>
          </w:p>
        </w:tc>
        <w:tc>
          <w:tcPr>
            <w:tcW w:w="4626" w:type="dxa"/>
          </w:tcPr>
          <w:p w:rsidR="006B32E2" w:rsidRDefault="006B32E2" w:rsidP="003E17B5">
            <w:pPr>
              <w:pStyle w:val="BodyText"/>
              <w:cnfStyle w:val="000000100000" w:firstRow="0" w:lastRow="0" w:firstColumn="0" w:lastColumn="0" w:oddVBand="0" w:evenVBand="0" w:oddHBand="1" w:evenHBand="0" w:firstRowFirstColumn="0" w:firstRowLastColumn="0" w:lastRowFirstColumn="0" w:lastRowLastColumn="0"/>
            </w:pPr>
            <w:r>
              <w:t>Data for the existing level of the specified activity may or may not exist.</w:t>
            </w:r>
          </w:p>
          <w:p w:rsidR="00BF31FE" w:rsidRDefault="00662345" w:rsidP="003E17B5">
            <w:pPr>
              <w:pStyle w:val="BodyText"/>
              <w:cnfStyle w:val="000000100000" w:firstRow="0" w:lastRow="0" w:firstColumn="0" w:lastColumn="0" w:oddVBand="0" w:evenVBand="0" w:oddHBand="1" w:evenHBand="0" w:firstRowFirstColumn="0" w:firstRowLastColumn="0" w:lastRowFirstColumn="0" w:lastRowLastColumn="0"/>
            </w:pPr>
            <w:r>
              <w:t>Income tax d</w:t>
            </w:r>
            <w:r w:rsidR="006B32E2">
              <w:t>ata for assessing the income test eligibility exists but the take up rate</w:t>
            </w:r>
            <w:r w:rsidR="00E01D21">
              <w:t>s</w:t>
            </w:r>
            <w:r w:rsidR="006B32E2">
              <w:t xml:space="preserve">, both in relation to inducement to undertake the specified activity and the </w:t>
            </w:r>
            <w:proofErr w:type="gramStart"/>
            <w:r w:rsidR="006B32E2">
              <w:t>rate</w:t>
            </w:r>
            <w:proofErr w:type="gramEnd"/>
            <w:r w:rsidR="006B32E2">
              <w:t xml:space="preserve"> at which people make claims</w:t>
            </w:r>
            <w:r w:rsidR="00E01D21">
              <w:t>,</w:t>
            </w:r>
            <w:r w:rsidR="006B32E2">
              <w:t xml:space="preserve"> are unknown.</w:t>
            </w:r>
          </w:p>
        </w:tc>
      </w:tr>
      <w:tr w:rsidR="006B32E2" w:rsidTr="003E17B5">
        <w:tc>
          <w:tcPr>
            <w:cnfStyle w:val="001000000000" w:firstRow="0" w:lastRow="0" w:firstColumn="1" w:lastColumn="0" w:oddVBand="0" w:evenVBand="0" w:oddHBand="0" w:evenHBand="0" w:firstRowFirstColumn="0" w:firstRowLastColumn="0" w:lastRowFirstColumn="0" w:lastRowLastColumn="0"/>
            <w:tcW w:w="1843" w:type="dxa"/>
          </w:tcPr>
          <w:p w:rsidR="006B32E2" w:rsidRDefault="006B32E2" w:rsidP="003E17B5">
            <w:pPr>
              <w:pStyle w:val="BodyText"/>
            </w:pPr>
            <w:r>
              <w:t>Information on behavioural response exists at the margin but not for large changes</w:t>
            </w:r>
          </w:p>
        </w:tc>
        <w:tc>
          <w:tcPr>
            <w:tcW w:w="1843" w:type="dxa"/>
          </w:tcPr>
          <w:p w:rsidR="006B32E2" w:rsidRDefault="00662345" w:rsidP="003E17B5">
            <w:pPr>
              <w:pStyle w:val="BodyText"/>
              <w:cnfStyle w:val="000000000000" w:firstRow="0" w:lastRow="0" w:firstColumn="0" w:lastColumn="0" w:oddVBand="0" w:evenVBand="0" w:oddHBand="0" w:evenHBand="0" w:firstRowFirstColumn="0" w:firstRowLastColumn="0" w:lastRowFirstColumn="0" w:lastRowLastColumn="0"/>
            </w:pPr>
            <w:r>
              <w:t>50</w:t>
            </w:r>
            <w:r w:rsidR="006B32E2">
              <w:t xml:space="preserve"> per cent increases </w:t>
            </w:r>
            <w:r w:rsidR="00A23872">
              <w:t>in</w:t>
            </w:r>
            <w:r w:rsidR="006B32E2">
              <w:t xml:space="preserve"> tobacco</w:t>
            </w:r>
            <w:r w:rsidR="00A23872">
              <w:t xml:space="preserve"> excise</w:t>
            </w:r>
          </w:p>
        </w:tc>
        <w:tc>
          <w:tcPr>
            <w:tcW w:w="4626" w:type="dxa"/>
          </w:tcPr>
          <w:p w:rsidR="006B32E2" w:rsidRDefault="006B32E2" w:rsidP="003E17B5">
            <w:pPr>
              <w:pStyle w:val="BodyText"/>
              <w:cnfStyle w:val="000000000000" w:firstRow="0" w:lastRow="0" w:firstColumn="0" w:lastColumn="0" w:oddVBand="0" w:evenVBand="0" w:oddHBand="0" w:evenHBand="0" w:firstRowFirstColumn="0" w:firstRowLastColumn="0" w:lastRowFirstColumn="0" w:lastRowLastColumn="0"/>
            </w:pPr>
            <w:r>
              <w:t>Excise already accounts for a significant portion of the price of tobacco products, so the scheduled increases can be expected to significantly add to the price.</w:t>
            </w:r>
          </w:p>
          <w:p w:rsidR="00A23872" w:rsidRDefault="00A23872" w:rsidP="003E17B5">
            <w:pPr>
              <w:pStyle w:val="BodyText"/>
              <w:cnfStyle w:val="000000000000" w:firstRow="0" w:lastRow="0" w:firstColumn="0" w:lastColumn="0" w:oddVBand="0" w:evenVBand="0" w:oddHBand="0" w:evenHBand="0" w:firstRowFirstColumn="0" w:firstRowLastColumn="0" w:lastRowFirstColumn="0" w:lastRowLastColumn="0"/>
            </w:pPr>
            <w:r>
              <w:t>The extent to which the excise increase is passed on to consumers may become more uncertain as higher prices reduce demand for the product.</w:t>
            </w:r>
          </w:p>
          <w:p w:rsidR="006B32E2" w:rsidRDefault="006B32E2" w:rsidP="00921CED">
            <w:pPr>
              <w:pStyle w:val="BodyText"/>
              <w:cnfStyle w:val="000000000000" w:firstRow="0" w:lastRow="0" w:firstColumn="0" w:lastColumn="0" w:oddVBand="0" w:evenVBand="0" w:oddHBand="0" w:evenHBand="0" w:firstRowFirstColumn="0" w:firstRowLastColumn="0" w:lastRowFirstColumn="0" w:lastRowLastColumn="0"/>
            </w:pPr>
            <w:r>
              <w:t xml:space="preserve">The price elasticity of products is </w:t>
            </w:r>
            <w:r w:rsidR="00594030">
              <w:t xml:space="preserve">typically </w:t>
            </w:r>
            <w:r>
              <w:t>estimated by looking at the impact of small increases in price</w:t>
            </w:r>
            <w:r w:rsidR="00594030">
              <w:t xml:space="preserve">. </w:t>
            </w:r>
            <w:r w:rsidR="00A23872">
              <w:t xml:space="preserve"> </w:t>
            </w:r>
            <w:r w:rsidR="00594030">
              <w:t>The</w:t>
            </w:r>
            <w:r w:rsidR="00A23872">
              <w:t xml:space="preserve"> response to a large increase in price is less certain, particularly as income effects may also occur.</w:t>
            </w:r>
          </w:p>
        </w:tc>
      </w:tr>
      <w:tr w:rsidR="00A23872" w:rsidTr="003E1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A23872" w:rsidRDefault="00A23872" w:rsidP="003E17B5">
            <w:pPr>
              <w:pStyle w:val="BodyText"/>
            </w:pPr>
            <w:r>
              <w:t>Data may not exist for some changes</w:t>
            </w:r>
          </w:p>
        </w:tc>
        <w:tc>
          <w:tcPr>
            <w:tcW w:w="1843" w:type="dxa"/>
          </w:tcPr>
          <w:p w:rsidR="00A23872" w:rsidRDefault="00662345" w:rsidP="003E17B5">
            <w:pPr>
              <w:pStyle w:val="BodyText"/>
              <w:cnfStyle w:val="000000100000" w:firstRow="0" w:lastRow="0" w:firstColumn="0" w:lastColumn="0" w:oddVBand="0" w:evenVBand="0" w:oddHBand="1" w:evenHBand="0" w:firstRowFirstColumn="0" w:firstRowLastColumn="0" w:lastRowFirstColumn="0" w:lastRowLastColumn="0"/>
            </w:pPr>
            <w:r>
              <w:t>Halve the pension assets test withdrawal rate</w:t>
            </w:r>
          </w:p>
        </w:tc>
        <w:tc>
          <w:tcPr>
            <w:tcW w:w="4626" w:type="dxa"/>
          </w:tcPr>
          <w:p w:rsidR="00A23872" w:rsidRDefault="00662345" w:rsidP="003E17B5">
            <w:pPr>
              <w:pStyle w:val="BodyText"/>
              <w:cnfStyle w:val="000000100000" w:firstRow="0" w:lastRow="0" w:firstColumn="0" w:lastColumn="0" w:oddVBand="0" w:evenVBand="0" w:oddHBand="1" w:evenHBand="0" w:firstRowFirstColumn="0" w:firstRowLastColumn="0" w:lastRowFirstColumn="0" w:lastRowLastColumn="0"/>
            </w:pPr>
            <w:r>
              <w:t>The policy would</w:t>
            </w:r>
            <w:r w:rsidR="00A23872">
              <w:t xml:space="preserve"> extend eligibility for </w:t>
            </w:r>
            <w:r>
              <w:t xml:space="preserve">the </w:t>
            </w:r>
            <w:r w:rsidR="00A23872">
              <w:t xml:space="preserve">part rate pensions to previously ineligible </w:t>
            </w:r>
            <w:r>
              <w:t>people.</w:t>
            </w:r>
          </w:p>
          <w:p w:rsidR="00662345" w:rsidRDefault="00662345" w:rsidP="003E17B5">
            <w:pPr>
              <w:pStyle w:val="BodyText"/>
              <w:cnfStyle w:val="000000100000" w:firstRow="0" w:lastRow="0" w:firstColumn="0" w:lastColumn="0" w:oddVBand="0" w:evenVBand="0" w:oddHBand="1" w:evenHBand="0" w:firstRowFirstColumn="0" w:firstRowLastColumn="0" w:lastRowFirstColumn="0" w:lastRowLastColumn="0"/>
            </w:pPr>
            <w:r>
              <w:t>Pension administrative data is not available for the previously ineligible population, requiring impacts to be assessed by imputing or extrapolating data.  Alternative data sources on the distribution of assets may be less reliable.</w:t>
            </w:r>
          </w:p>
        </w:tc>
      </w:tr>
      <w:tr w:rsidR="001B4B09" w:rsidTr="003E17B5">
        <w:tc>
          <w:tcPr>
            <w:cnfStyle w:val="001000000000" w:firstRow="0" w:lastRow="0" w:firstColumn="1" w:lastColumn="0" w:oddVBand="0" w:evenVBand="0" w:oddHBand="0" w:evenHBand="0" w:firstRowFirstColumn="0" w:firstRowLastColumn="0" w:lastRowFirstColumn="0" w:lastRowLastColumn="0"/>
            <w:tcW w:w="1843" w:type="dxa"/>
          </w:tcPr>
          <w:p w:rsidR="001B4B09" w:rsidRDefault="001B4B09" w:rsidP="003E17B5">
            <w:pPr>
              <w:pStyle w:val="BodyText"/>
            </w:pPr>
            <w:r>
              <w:t xml:space="preserve">Large policy change </w:t>
            </w:r>
            <w:r w:rsidR="00701C88">
              <w:t>with significant transitional uncertainty</w:t>
            </w:r>
          </w:p>
        </w:tc>
        <w:tc>
          <w:tcPr>
            <w:tcW w:w="1843" w:type="dxa"/>
          </w:tcPr>
          <w:p w:rsidR="001B4B09" w:rsidRDefault="00701C88" w:rsidP="003E17B5">
            <w:pPr>
              <w:pStyle w:val="BodyText"/>
              <w:cnfStyle w:val="000000000000" w:firstRow="0" w:lastRow="0" w:firstColumn="0" w:lastColumn="0" w:oddVBand="0" w:evenVBand="0" w:oddHBand="0" w:evenHBand="0" w:firstRowFirstColumn="0" w:firstRowLastColumn="0" w:lastRowFirstColumn="0" w:lastRowLastColumn="0"/>
            </w:pPr>
            <w:r>
              <w:t>Introduction of the</w:t>
            </w:r>
            <w:r w:rsidR="008905F2">
              <w:t xml:space="preserve"> </w:t>
            </w:r>
            <w:r w:rsidR="008905F2" w:rsidRPr="008905F2">
              <w:t>goods and services tax</w:t>
            </w:r>
            <w:r w:rsidR="008905F2">
              <w:t xml:space="preserve"> (GST)</w:t>
            </w:r>
          </w:p>
        </w:tc>
        <w:tc>
          <w:tcPr>
            <w:tcW w:w="4626" w:type="dxa"/>
          </w:tcPr>
          <w:p w:rsidR="00701C88" w:rsidRDefault="007D02D5" w:rsidP="003E17B5">
            <w:pPr>
              <w:pStyle w:val="BodyText"/>
              <w:cnfStyle w:val="000000000000" w:firstRow="0" w:lastRow="0" w:firstColumn="0" w:lastColumn="0" w:oddVBand="0" w:evenVBand="0" w:oddHBand="0" w:evenHBand="0" w:firstRowFirstColumn="0" w:firstRowLastColumn="0" w:lastRowFirstColumn="0" w:lastRowLastColumn="0"/>
            </w:pPr>
            <w:r>
              <w:t xml:space="preserve">Transitional uncertainty occurred </w:t>
            </w:r>
            <w:r w:rsidR="00701C88">
              <w:t xml:space="preserve">relating to price adjustments, </w:t>
            </w:r>
            <w:r>
              <w:t xml:space="preserve">GST accounting rules, implementation of </w:t>
            </w:r>
            <w:r w:rsidR="00701C88">
              <w:t xml:space="preserve">point of sale technology, transition from the previous wholesale sales tax regime </w:t>
            </w:r>
            <w:r>
              <w:t>and compliance issues.  Uncertainty arose regarding the demarcation between GST-free and taxable goods. These uncertainties affected costing estimates, particularly in relation to the timing and scale of collections.</w:t>
            </w:r>
          </w:p>
        </w:tc>
      </w:tr>
    </w:tbl>
    <w:p w:rsidR="00322D79" w:rsidRPr="003D4D7B" w:rsidRDefault="00322D79" w:rsidP="003D4D7B">
      <w:pPr>
        <w:pStyle w:val="BodyText"/>
      </w:pPr>
    </w:p>
    <w:p w:rsidR="00450858" w:rsidRDefault="00450858" w:rsidP="00EF5C89">
      <w:pPr>
        <w:pStyle w:val="Heading1"/>
      </w:pPr>
      <w:bookmarkStart w:id="27" w:name="_Toc491355380"/>
      <w:bookmarkStart w:id="28" w:name="_Toc492995390"/>
      <w:bookmarkEnd w:id="27"/>
      <w:r>
        <w:lastRenderedPageBreak/>
        <w:t>How the PBO takes account of uncertainty in costings</w:t>
      </w:r>
      <w:bookmarkEnd w:id="28"/>
    </w:p>
    <w:p w:rsidR="006573C2" w:rsidRDefault="00450858" w:rsidP="00EF5C89">
      <w:pPr>
        <w:pStyle w:val="BodyText"/>
      </w:pPr>
      <w:r>
        <w:t>The PBO</w:t>
      </w:r>
      <w:r w:rsidR="006573C2">
        <w:t xml:space="preserve"> is committed to </w:t>
      </w:r>
      <w:r w:rsidR="007F017C">
        <w:t xml:space="preserve">providing transparency in relation to the factors that affect the </w:t>
      </w:r>
      <w:r w:rsidR="00565591">
        <w:t xml:space="preserve">reliability </w:t>
      </w:r>
      <w:r w:rsidR="007F017C">
        <w:t xml:space="preserve">of </w:t>
      </w:r>
      <w:r w:rsidR="00565591">
        <w:t>the</w:t>
      </w:r>
      <w:r w:rsidR="007F017C">
        <w:t xml:space="preserve"> costing</w:t>
      </w:r>
      <w:r w:rsidR="00565591">
        <w:t>s it prepares</w:t>
      </w:r>
      <w:r w:rsidR="007F017C">
        <w:t xml:space="preserve">.  This means that PBO costings identify those factors that could be expected to make the actual costing outcome, were the policy proposal to </w:t>
      </w:r>
      <w:r w:rsidR="00565591">
        <w:t>be implemented</w:t>
      </w:r>
      <w:r w:rsidR="007F017C">
        <w:t>, significantly different from the point estimate provided in the costing.</w:t>
      </w:r>
    </w:p>
    <w:p w:rsidR="00450858" w:rsidRDefault="006573C2" w:rsidP="00EF5C89">
      <w:pPr>
        <w:pStyle w:val="BodyText"/>
      </w:pPr>
      <w:r>
        <w:t>The PBO</w:t>
      </w:r>
      <w:r w:rsidR="00450858">
        <w:t xml:space="preserve">’s approach to identifying uncertainty in its costings is to include a </w:t>
      </w:r>
      <w:r w:rsidR="00CB2722">
        <w:t xml:space="preserve">qualitative </w:t>
      </w:r>
      <w:r w:rsidR="00450858">
        <w:t>statement</w:t>
      </w:r>
      <w:r w:rsidR="00FA4354">
        <w:t xml:space="preserve"> </w:t>
      </w:r>
      <w:r w:rsidR="00450858">
        <w:t xml:space="preserve">in the costing overview </w:t>
      </w:r>
      <w:r w:rsidR="00CB2722">
        <w:t xml:space="preserve">that sets out the </w:t>
      </w:r>
      <w:r w:rsidR="00450858">
        <w:t>key factors that impact on uncertainty in the costing, drawing on the considerations outlined in sections 2.1 to 2.</w:t>
      </w:r>
      <w:r w:rsidR="00207657">
        <w:t xml:space="preserve">4 </w:t>
      </w:r>
      <w:r w:rsidR="00450858">
        <w:t>above</w:t>
      </w:r>
      <w:r w:rsidR="00594030">
        <w:t xml:space="preserve"> (see </w:t>
      </w:r>
      <w:hyperlink r:id="rId41" w:history="1">
        <w:r w:rsidR="00594030" w:rsidRPr="000E6179">
          <w:rPr>
            <w:rStyle w:val="Hyperlink"/>
          </w:rPr>
          <w:t>PBO Guidance 01/2017</w:t>
        </w:r>
      </w:hyperlink>
      <w:r w:rsidR="00594030">
        <w:t>)</w:t>
      </w:r>
      <w:r w:rsidR="00450858">
        <w:t xml:space="preserve">.  </w:t>
      </w:r>
      <w:r w:rsidR="00565591">
        <w:t>T</w:t>
      </w:r>
      <w:r w:rsidR="00CB2722">
        <w:t xml:space="preserve">hese qualitative statements </w:t>
      </w:r>
      <w:r w:rsidR="00450858">
        <w:t xml:space="preserve">highlight particular factors that could be expected to impact on the uncertainty of the costing, such as the quality and currency of the data </w:t>
      </w:r>
      <w:proofErr w:type="gramStart"/>
      <w:r w:rsidR="00450858">
        <w:t>used,</w:t>
      </w:r>
      <w:proofErr w:type="gramEnd"/>
      <w:r w:rsidR="00450858">
        <w:t xml:space="preserve"> the quality, number and impact of the assumptions made and </w:t>
      </w:r>
      <w:r w:rsidR="00CB2722">
        <w:t xml:space="preserve">the volatility of the underlying </w:t>
      </w:r>
      <w:r w:rsidR="00565591">
        <w:t>costing base</w:t>
      </w:r>
      <w:r w:rsidR="00CB2722">
        <w:t>.  These statements may be further elaborated upon in the commentary on assumptions and methodology included in the costing minute.</w:t>
      </w:r>
    </w:p>
    <w:p w:rsidR="00CB2722" w:rsidRPr="00EF5C89" w:rsidRDefault="00CB2722" w:rsidP="00EF5C89">
      <w:pPr>
        <w:pStyle w:val="BodyText"/>
      </w:pPr>
      <w:r>
        <w:t>The assessment of the level of uncertainty in a costing will also be reflected in the rounding of estimates.  Estimates are rounded in order to restrict the costing estimate to providing meaningful information</w:t>
      </w:r>
      <w:r w:rsidR="00DF6273">
        <w:t xml:space="preserve">.  As the level of uncertainty </w:t>
      </w:r>
      <w:proofErr w:type="gramStart"/>
      <w:r w:rsidR="00DF6273">
        <w:t>in a costing increases</w:t>
      </w:r>
      <w:proofErr w:type="gramEnd"/>
      <w:r w:rsidR="00DF6273">
        <w:t xml:space="preserve"> the number of significant figures is reduced.</w:t>
      </w:r>
    </w:p>
    <w:p w:rsidR="008905F2" w:rsidRDefault="008905F2" w:rsidP="00045D76">
      <w:pPr>
        <w:spacing w:before="60"/>
        <w:ind w:hanging="142"/>
        <w:rPr>
          <w:rFonts w:cs="Arial"/>
          <w:sz w:val="18"/>
          <w:szCs w:val="18"/>
        </w:rPr>
      </w:pPr>
      <w:r>
        <w:rPr>
          <w:rFonts w:cs="Arial"/>
          <w:sz w:val="18"/>
          <w:szCs w:val="18"/>
        </w:rPr>
        <w:br w:type="page"/>
      </w:r>
    </w:p>
    <w:p w:rsidR="00045D76" w:rsidRDefault="000404AF" w:rsidP="00045D76">
      <w:pPr>
        <w:spacing w:before="60"/>
        <w:ind w:hanging="142"/>
      </w:pPr>
      <w:r w:rsidRPr="000404AF">
        <w:rPr>
          <w:noProof/>
          <w:lang w:eastAsia="en-AU"/>
        </w:rPr>
        <w:lastRenderedPageBreak/>
        <w:drawing>
          <wp:anchor distT="0" distB="0" distL="114300" distR="114300" simplePos="0" relativeHeight="251659264" behindDoc="0" locked="0" layoutInCell="1" allowOverlap="1" wp14:anchorId="4E28C328" wp14:editId="0CD3ACFA">
            <wp:simplePos x="0" y="0"/>
            <wp:positionH relativeFrom="column">
              <wp:posOffset>-1141095</wp:posOffset>
            </wp:positionH>
            <wp:positionV relativeFrom="paragraph">
              <wp:posOffset>-857250</wp:posOffset>
            </wp:positionV>
            <wp:extent cx="7562850" cy="10686415"/>
            <wp:effectExtent l="0" t="0" r="0" b="635"/>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562850" cy="10686415"/>
                    </a:xfrm>
                    <a:prstGeom prst="rect">
                      <a:avLst/>
                    </a:prstGeom>
                  </pic:spPr>
                </pic:pic>
              </a:graphicData>
            </a:graphic>
          </wp:anchor>
        </w:drawing>
      </w:r>
      <w:r w:rsidRPr="000404AF">
        <w:rPr>
          <w:noProof/>
          <w:lang w:eastAsia="en-AU"/>
        </w:rPr>
        <mc:AlternateContent>
          <mc:Choice Requires="wps">
            <w:drawing>
              <wp:anchor distT="0" distB="0" distL="114300" distR="114300" simplePos="0" relativeHeight="251660288" behindDoc="0" locked="0" layoutInCell="1" allowOverlap="1" wp14:anchorId="08915D84" wp14:editId="4BBD38BD">
                <wp:simplePos x="0" y="0"/>
                <wp:positionH relativeFrom="column">
                  <wp:posOffset>1369060</wp:posOffset>
                </wp:positionH>
                <wp:positionV relativeFrom="paragraph">
                  <wp:posOffset>7898130</wp:posOffset>
                </wp:positionV>
                <wp:extent cx="2519680" cy="608330"/>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608330"/>
                        </a:xfrm>
                        <a:prstGeom prst="rect">
                          <a:avLst/>
                        </a:prstGeom>
                        <a:noFill/>
                        <a:ln w="9525">
                          <a:noFill/>
                          <a:miter lim="800000"/>
                          <a:headEnd/>
                          <a:tailEnd/>
                        </a:ln>
                      </wps:spPr>
                      <wps:txbx>
                        <w:txbxContent>
                          <w:p w:rsidR="000404AF" w:rsidRPr="0061135C" w:rsidRDefault="0029652F" w:rsidP="000404AF">
                            <w:pPr>
                              <w:pStyle w:val="xBackPageWebAddress"/>
                              <w:jc w:val="center"/>
                            </w:pPr>
                            <w:hyperlink r:id="rId43" w:history="1">
                              <w:r w:rsidR="000404AF" w:rsidRPr="0061135C">
                                <w:t>www.pbo.gov.au</w:t>
                              </w:r>
                            </w:hyperlink>
                          </w:p>
                        </w:txbxContent>
                      </wps:txbx>
                      <wps:bodyPr rot="0" vert="horz" wrap="square" lIns="91440" tIns="45720" rIns="91440" bIns="45720" anchor="b"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8pt;margin-top:621.9pt;width:198.4pt;height:47.9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" filled="f" stroked="f">
                <v:textbox>
                  <w:txbxContent>
                    <w:p w:rsidR="000404AF" w:rsidRPr="0061135C" w:rsidRDefault="000404AF" w:rsidP="000404AF">
                      <w:pPr>
                        <w:pStyle w:val="xBackPageWebAddress"/>
                        <w:jc w:val="center"/>
                      </w:pPr>
                      <w:hyperlink r:id="rId44" w:history="1">
                        <w:r w:rsidRPr="0061135C">
                          <w:t>www.pbo.gov.au</w:t>
                        </w:r>
                      </w:hyperlink>
                    </w:p>
                  </w:txbxContent>
                </v:textbox>
              </v:shape>
            </w:pict>
          </mc:Fallback>
        </mc:AlternateContent>
      </w:r>
    </w:p>
    <w:sectPr w:rsidR="00045D76" w:rsidSect="008905F2">
      <w:headerReference w:type="default" r:id="rId45"/>
      <w:footerReference w:type="default" r:id="rId46"/>
      <w:pgSz w:w="11906" w:h="16838" w:code="9"/>
      <w:pgMar w:top="1361" w:right="1797" w:bottom="1474" w:left="1797"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1F" w:rsidRDefault="00207C1F" w:rsidP="00A20802">
      <w:pPr>
        <w:spacing w:line="240" w:lineRule="auto"/>
      </w:pPr>
      <w:r>
        <w:separator/>
      </w:r>
    </w:p>
    <w:p w:rsidR="00207C1F" w:rsidRDefault="00207C1F"/>
  </w:endnote>
  <w:endnote w:type="continuationSeparator" w:id="0">
    <w:p w:rsidR="00207C1F" w:rsidRDefault="00207C1F" w:rsidP="00A20802">
      <w:pPr>
        <w:spacing w:line="240" w:lineRule="auto"/>
      </w:pPr>
      <w:r>
        <w:continuationSeparator/>
      </w:r>
    </w:p>
    <w:p w:rsidR="00207C1F" w:rsidRDefault="00207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AF" w:rsidRDefault="000404A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207C1F" w:rsidRPr="00EB388E" w:rsidTr="003E17B5">
      <w:trPr>
        <w:trHeight w:val="340"/>
      </w:trPr>
      <w:tc>
        <w:tcPr>
          <w:tcW w:w="567" w:type="dxa"/>
          <w:tcBorders>
            <w:right w:val="single" w:sz="4" w:space="0" w:color="788184" w:themeColor="background2"/>
          </w:tcBorders>
          <w:vAlign w:val="center"/>
        </w:tcPr>
        <w:p w:rsidR="00207C1F" w:rsidRPr="00CB70DF" w:rsidRDefault="00207C1F"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29652F">
            <w:rPr>
              <w:noProof/>
            </w:rPr>
            <w:t>12</w:t>
          </w:r>
          <w:r w:rsidRPr="00EB388E">
            <w:fldChar w:fldCharType="end"/>
          </w:r>
        </w:p>
      </w:tc>
      <w:tc>
        <w:tcPr>
          <w:tcW w:w="8164" w:type="dxa"/>
          <w:tcBorders>
            <w:left w:val="single" w:sz="4" w:space="0" w:color="788184" w:themeColor="background2"/>
          </w:tcBorders>
          <w:vAlign w:val="center"/>
        </w:tcPr>
        <w:p w:rsidR="00207C1F" w:rsidRPr="00CB70DF" w:rsidRDefault="00E63F18" w:rsidP="00595897">
          <w:pPr>
            <w:pStyle w:val="FooterLeft"/>
            <w:framePr w:wrap="auto" w:vAnchor="margin" w:hAnchor="text" w:yAlign="inline"/>
          </w:pPr>
          <w:r w:rsidRPr="00EB4D28">
            <w:rPr>
              <w:color w:val="788184" w:themeColor="accent6"/>
            </w:rPr>
            <w:t>Factors influencing the reliability of policy proposal costings</w:t>
          </w:r>
        </w:p>
      </w:tc>
    </w:tr>
    <w:tr w:rsidR="00207C1F" w:rsidRPr="00EB388E" w:rsidTr="003E17B5">
      <w:trPr>
        <w:trHeight w:hRule="exact" w:val="403"/>
      </w:trPr>
      <w:tc>
        <w:tcPr>
          <w:tcW w:w="567" w:type="dxa"/>
          <w:tcMar>
            <w:bottom w:w="284" w:type="dxa"/>
          </w:tcMar>
        </w:tcPr>
        <w:p w:rsidR="00207C1F" w:rsidRPr="00EB388E" w:rsidRDefault="00207C1F" w:rsidP="00C80200">
          <w:pPr>
            <w:pStyle w:val="FooterRightPageNumber"/>
          </w:pPr>
        </w:p>
      </w:tc>
      <w:tc>
        <w:tcPr>
          <w:tcW w:w="8164" w:type="dxa"/>
          <w:tcMar>
            <w:bottom w:w="284" w:type="dxa"/>
          </w:tcMar>
        </w:tcPr>
        <w:p w:rsidR="00207C1F" w:rsidRPr="00090E70" w:rsidRDefault="00207C1F" w:rsidP="00C80200"/>
      </w:tc>
    </w:tr>
  </w:tbl>
  <w:p w:rsidR="00207C1F" w:rsidRDefault="00207C1F">
    <w:pPr>
      <w:pStyle w:val="Footer"/>
    </w:pPr>
  </w:p>
  <w:p w:rsidR="00207C1F" w:rsidRPr="004816D7" w:rsidRDefault="00207C1F" w:rsidP="004816D7">
    <w:pPr>
      <w:pStyle w:val="Footer"/>
    </w:pPr>
  </w:p>
  <w:p w:rsidR="00207C1F" w:rsidRDefault="00207C1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207C1F" w:rsidRPr="00EB388E" w:rsidTr="0087390B">
      <w:trPr>
        <w:trHeight w:val="340"/>
      </w:trPr>
      <w:tc>
        <w:tcPr>
          <w:tcW w:w="8164" w:type="dxa"/>
          <w:tcBorders>
            <w:right w:val="single" w:sz="4" w:space="0" w:color="788184" w:themeColor="background2"/>
          </w:tcBorders>
          <w:vAlign w:val="center"/>
        </w:tcPr>
        <w:p w:rsidR="00207C1F" w:rsidRPr="00923917" w:rsidRDefault="00E63F18" w:rsidP="00FB0721">
          <w:pPr>
            <w:pStyle w:val="FooterRight"/>
            <w:framePr w:wrap="auto" w:vAnchor="margin" w:hAnchor="text" w:xAlign="left" w:yAlign="inline"/>
          </w:pPr>
          <w:r w:rsidRPr="00EB4D28">
            <w:rPr>
              <w:color w:val="788184" w:themeColor="accent6"/>
            </w:rPr>
            <w:t>Factors influencing the reliability of policy proposal costings</w:t>
          </w:r>
        </w:p>
      </w:tc>
      <w:tc>
        <w:tcPr>
          <w:tcW w:w="567" w:type="dxa"/>
          <w:tcBorders>
            <w:left w:val="single" w:sz="4" w:space="0" w:color="788184" w:themeColor="background2"/>
          </w:tcBorders>
          <w:vAlign w:val="center"/>
        </w:tcPr>
        <w:p w:rsidR="00207C1F" w:rsidRPr="00CB70DF" w:rsidRDefault="00207C1F" w:rsidP="00E915E6">
          <w:pPr>
            <w:pStyle w:val="FooterRightPageNumber"/>
          </w:pPr>
          <w:r w:rsidRPr="00EB388E">
            <w:fldChar w:fldCharType="begin"/>
          </w:r>
          <w:r w:rsidRPr="00EB388E">
            <w:instrText xml:space="preserve"> PAGE   \* MERGEFORMAT </w:instrText>
          </w:r>
          <w:r w:rsidRPr="00EB388E">
            <w:fldChar w:fldCharType="separate"/>
          </w:r>
          <w:r w:rsidR="0029652F">
            <w:t>5</w:t>
          </w:r>
          <w:r w:rsidRPr="00EB388E">
            <w:fldChar w:fldCharType="end"/>
          </w:r>
        </w:p>
      </w:tc>
    </w:tr>
    <w:tr w:rsidR="00207C1F" w:rsidRPr="00EB388E" w:rsidTr="004F1297">
      <w:trPr>
        <w:trHeight w:hRule="exact" w:val="403"/>
      </w:trPr>
      <w:tc>
        <w:tcPr>
          <w:tcW w:w="8164" w:type="dxa"/>
        </w:tcPr>
        <w:p w:rsidR="00207C1F" w:rsidRPr="00090E70" w:rsidRDefault="00207C1F" w:rsidP="0087390B"/>
      </w:tc>
      <w:tc>
        <w:tcPr>
          <w:tcW w:w="567" w:type="dxa"/>
          <w:tcMar>
            <w:bottom w:w="284" w:type="dxa"/>
          </w:tcMar>
        </w:tcPr>
        <w:p w:rsidR="00207C1F" w:rsidRPr="00090E70" w:rsidRDefault="00207C1F" w:rsidP="0087390B"/>
      </w:tc>
    </w:tr>
  </w:tbl>
  <w:p w:rsidR="00207C1F" w:rsidRDefault="00207C1F">
    <w:pPr>
      <w:pStyle w:val="Footer"/>
    </w:pPr>
  </w:p>
  <w:p w:rsidR="00207C1F" w:rsidRPr="004816D7" w:rsidRDefault="00207C1F" w:rsidP="004816D7">
    <w:pPr>
      <w:pStyle w:val="Footer"/>
    </w:pPr>
  </w:p>
  <w:p w:rsidR="00207C1F" w:rsidRDefault="00207C1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8905F2" w:rsidRPr="00EB388E" w:rsidTr="0087390B">
      <w:trPr>
        <w:trHeight w:val="340"/>
      </w:trPr>
      <w:tc>
        <w:tcPr>
          <w:tcW w:w="8164" w:type="dxa"/>
          <w:tcBorders>
            <w:right w:val="single" w:sz="4" w:space="0" w:color="788184" w:themeColor="background2"/>
          </w:tcBorders>
          <w:vAlign w:val="center"/>
        </w:tcPr>
        <w:p w:rsidR="008905F2" w:rsidRPr="00923917" w:rsidRDefault="008905F2" w:rsidP="00FB0721">
          <w:pPr>
            <w:pStyle w:val="FooterRight"/>
            <w:framePr w:wrap="auto" w:vAnchor="margin" w:hAnchor="text" w:xAlign="left" w:yAlign="inline"/>
          </w:pPr>
          <w:r w:rsidRPr="00EB4D28">
            <w:rPr>
              <w:color w:val="788184" w:themeColor="accent6"/>
            </w:rPr>
            <w:t>Factors influencing the reliability of policy proposal costings</w:t>
          </w:r>
        </w:p>
      </w:tc>
      <w:tc>
        <w:tcPr>
          <w:tcW w:w="567" w:type="dxa"/>
          <w:tcBorders>
            <w:left w:val="single" w:sz="4" w:space="0" w:color="788184" w:themeColor="background2"/>
          </w:tcBorders>
          <w:vAlign w:val="center"/>
        </w:tcPr>
        <w:p w:rsidR="008905F2" w:rsidRPr="00CB70DF" w:rsidRDefault="008905F2" w:rsidP="00E915E6">
          <w:pPr>
            <w:pStyle w:val="FooterRightPageNumber"/>
          </w:pPr>
          <w:r w:rsidRPr="00EB388E">
            <w:fldChar w:fldCharType="begin"/>
          </w:r>
          <w:r w:rsidRPr="00EB388E">
            <w:instrText xml:space="preserve"> PAGE   \* MERGEFORMAT </w:instrText>
          </w:r>
          <w:r w:rsidRPr="00EB388E">
            <w:fldChar w:fldCharType="separate"/>
          </w:r>
          <w:r w:rsidR="0029652F">
            <w:t>11</w:t>
          </w:r>
          <w:r w:rsidRPr="00EB388E">
            <w:fldChar w:fldCharType="end"/>
          </w:r>
        </w:p>
      </w:tc>
    </w:tr>
    <w:tr w:rsidR="008905F2" w:rsidRPr="00EB388E" w:rsidTr="004F1297">
      <w:trPr>
        <w:trHeight w:hRule="exact" w:val="403"/>
      </w:trPr>
      <w:tc>
        <w:tcPr>
          <w:tcW w:w="8164" w:type="dxa"/>
        </w:tcPr>
        <w:p w:rsidR="008905F2" w:rsidRPr="00090E70" w:rsidRDefault="008905F2" w:rsidP="0087390B"/>
      </w:tc>
      <w:tc>
        <w:tcPr>
          <w:tcW w:w="567" w:type="dxa"/>
          <w:tcMar>
            <w:bottom w:w="284" w:type="dxa"/>
          </w:tcMar>
        </w:tcPr>
        <w:p w:rsidR="008905F2" w:rsidRPr="00090E70" w:rsidRDefault="008905F2" w:rsidP="0087390B"/>
      </w:tc>
    </w:tr>
  </w:tbl>
  <w:p w:rsidR="008905F2" w:rsidRDefault="008905F2">
    <w:pPr>
      <w:pStyle w:val="Footer"/>
    </w:pPr>
  </w:p>
  <w:p w:rsidR="008905F2" w:rsidRPr="004816D7" w:rsidRDefault="008905F2" w:rsidP="004816D7">
    <w:pPr>
      <w:pStyle w:val="Footer"/>
    </w:pPr>
  </w:p>
  <w:p w:rsidR="008905F2" w:rsidRDefault="008905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AF" w:rsidRDefault="00040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AF" w:rsidRDefault="000404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207C1F" w:rsidRPr="00EB388E" w:rsidTr="00C80200">
      <w:trPr>
        <w:trHeight w:val="340"/>
      </w:trPr>
      <w:tc>
        <w:tcPr>
          <w:tcW w:w="567" w:type="dxa"/>
          <w:tcBorders>
            <w:right w:val="single" w:sz="4" w:space="0" w:color="788184" w:themeColor="background2"/>
          </w:tcBorders>
          <w:vAlign w:val="center"/>
        </w:tcPr>
        <w:p w:rsidR="00207C1F" w:rsidRPr="00CB70DF" w:rsidRDefault="00207C1F"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0946A0">
            <w:rPr>
              <w:noProof/>
            </w:rPr>
            <w:t>xii</w:t>
          </w:r>
          <w:r w:rsidRPr="00EB388E">
            <w:fldChar w:fldCharType="end"/>
          </w:r>
        </w:p>
      </w:tc>
      <w:tc>
        <w:tcPr>
          <w:tcW w:w="8164" w:type="dxa"/>
          <w:tcBorders>
            <w:left w:val="single" w:sz="4" w:space="0" w:color="788184" w:themeColor="background2"/>
          </w:tcBorders>
          <w:vAlign w:val="center"/>
        </w:tcPr>
        <w:p w:rsidR="00207C1F" w:rsidRPr="00CB70DF" w:rsidRDefault="0029652F" w:rsidP="005A224B">
          <w:pPr>
            <w:pStyle w:val="FooterLeft"/>
            <w:framePr w:wrap="auto" w:vAnchor="margin" w:hAnchor="text" w:yAlign="inline"/>
          </w:pPr>
          <w:r>
            <w:fldChar w:fldCharType="begin"/>
          </w:r>
          <w:r>
            <w:instrText xml:space="preserve"> STYLEREF  Title  \* MERGEFORMAT </w:instrText>
          </w:r>
          <w:r>
            <w:fldChar w:fldCharType="separate"/>
          </w:r>
          <w:r w:rsidR="00203639">
            <w:rPr>
              <w:noProof/>
            </w:rPr>
            <w:t>of policy proposal costings</w:t>
          </w:r>
          <w:r>
            <w:rPr>
              <w:noProof/>
            </w:rPr>
            <w:fldChar w:fldCharType="end"/>
          </w:r>
        </w:p>
      </w:tc>
    </w:tr>
    <w:tr w:rsidR="00207C1F" w:rsidRPr="00EB388E" w:rsidTr="00C80200">
      <w:trPr>
        <w:trHeight w:hRule="exact" w:val="403"/>
      </w:trPr>
      <w:tc>
        <w:tcPr>
          <w:tcW w:w="567" w:type="dxa"/>
          <w:tcMar>
            <w:bottom w:w="284" w:type="dxa"/>
          </w:tcMar>
        </w:tcPr>
        <w:p w:rsidR="00207C1F" w:rsidRPr="00EB388E" w:rsidRDefault="00207C1F" w:rsidP="00C80200">
          <w:pPr>
            <w:pStyle w:val="FooterRightPageNumber"/>
          </w:pPr>
        </w:p>
      </w:tc>
      <w:tc>
        <w:tcPr>
          <w:tcW w:w="8164" w:type="dxa"/>
          <w:tcMar>
            <w:bottom w:w="284" w:type="dxa"/>
          </w:tcMar>
        </w:tcPr>
        <w:p w:rsidR="00207C1F" w:rsidRPr="00090E70" w:rsidRDefault="00207C1F" w:rsidP="00C80200"/>
      </w:tc>
    </w:tr>
  </w:tbl>
  <w:p w:rsidR="00207C1F" w:rsidRDefault="00207C1F">
    <w:pPr>
      <w:pStyle w:val="Footer"/>
    </w:pPr>
  </w:p>
  <w:p w:rsidR="00207C1F" w:rsidRPr="004816D7" w:rsidRDefault="00207C1F" w:rsidP="004816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207C1F" w:rsidRPr="00EB388E" w:rsidTr="0087390B">
      <w:trPr>
        <w:trHeight w:val="340"/>
      </w:trPr>
      <w:tc>
        <w:tcPr>
          <w:tcW w:w="8164" w:type="dxa"/>
          <w:tcBorders>
            <w:right w:val="single" w:sz="4" w:space="0" w:color="788184" w:themeColor="background2"/>
          </w:tcBorders>
          <w:vAlign w:val="center"/>
        </w:tcPr>
        <w:p w:rsidR="00207C1F" w:rsidRPr="00CB70DF" w:rsidRDefault="00BE7A0E" w:rsidP="00595897">
          <w:pPr>
            <w:pStyle w:val="FooterRight"/>
            <w:framePr w:wrap="auto" w:vAnchor="margin" w:hAnchor="text" w:xAlign="left" w:yAlign="inline"/>
          </w:pPr>
          <w:r w:rsidRPr="00EB4D28">
            <w:rPr>
              <w:color w:val="788184" w:themeColor="accent6"/>
            </w:rPr>
            <w:t>Factors influencing the reliability of policy proposal costings</w:t>
          </w:r>
        </w:p>
      </w:tc>
      <w:tc>
        <w:tcPr>
          <w:tcW w:w="567" w:type="dxa"/>
          <w:tcBorders>
            <w:left w:val="single" w:sz="4" w:space="0" w:color="788184" w:themeColor="background2"/>
          </w:tcBorders>
          <w:vAlign w:val="center"/>
        </w:tcPr>
        <w:p w:rsidR="00207C1F" w:rsidRPr="00CB70DF" w:rsidRDefault="00207C1F" w:rsidP="00E915E6">
          <w:pPr>
            <w:pStyle w:val="FooterRightPageNumber"/>
          </w:pPr>
          <w:r w:rsidRPr="00EB388E">
            <w:fldChar w:fldCharType="begin"/>
          </w:r>
          <w:r w:rsidRPr="00EB388E">
            <w:instrText xml:space="preserve"> PAGE   \* MERGEFORMAT </w:instrText>
          </w:r>
          <w:r w:rsidRPr="00EB388E">
            <w:fldChar w:fldCharType="separate"/>
          </w:r>
          <w:r w:rsidR="0029652F">
            <w:t>iii</w:t>
          </w:r>
          <w:r w:rsidRPr="00EB388E">
            <w:fldChar w:fldCharType="end"/>
          </w:r>
        </w:p>
      </w:tc>
    </w:tr>
    <w:tr w:rsidR="00207C1F" w:rsidRPr="00EB388E" w:rsidTr="004F1297">
      <w:trPr>
        <w:trHeight w:hRule="exact" w:val="403"/>
      </w:trPr>
      <w:tc>
        <w:tcPr>
          <w:tcW w:w="8164" w:type="dxa"/>
        </w:tcPr>
        <w:p w:rsidR="00207C1F" w:rsidRPr="00090E70" w:rsidRDefault="00207C1F" w:rsidP="0087390B"/>
      </w:tc>
      <w:tc>
        <w:tcPr>
          <w:tcW w:w="567" w:type="dxa"/>
          <w:tcMar>
            <w:bottom w:w="284" w:type="dxa"/>
          </w:tcMar>
        </w:tcPr>
        <w:p w:rsidR="00207C1F" w:rsidRPr="00090E70" w:rsidRDefault="00207C1F" w:rsidP="0087390B"/>
      </w:tc>
    </w:tr>
  </w:tbl>
  <w:p w:rsidR="00207C1F" w:rsidRDefault="00207C1F">
    <w:pPr>
      <w:pStyle w:val="Footer"/>
    </w:pPr>
  </w:p>
  <w:p w:rsidR="00207C1F" w:rsidRPr="004816D7" w:rsidRDefault="00207C1F" w:rsidP="004816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207C1F" w:rsidRPr="00EB388E" w:rsidTr="00C80200">
      <w:trPr>
        <w:trHeight w:val="340"/>
      </w:trPr>
      <w:tc>
        <w:tcPr>
          <w:tcW w:w="567" w:type="dxa"/>
          <w:tcBorders>
            <w:right w:val="single" w:sz="4" w:space="0" w:color="788184" w:themeColor="background2"/>
          </w:tcBorders>
          <w:vAlign w:val="center"/>
        </w:tcPr>
        <w:p w:rsidR="00207C1F" w:rsidRPr="00CB70DF" w:rsidRDefault="00207C1F"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29652F">
            <w:rPr>
              <w:noProof/>
            </w:rPr>
            <w:t>2</w:t>
          </w:r>
          <w:r w:rsidRPr="00EB388E">
            <w:fldChar w:fldCharType="end"/>
          </w:r>
        </w:p>
      </w:tc>
      <w:tc>
        <w:tcPr>
          <w:tcW w:w="8164" w:type="dxa"/>
          <w:tcBorders>
            <w:left w:val="single" w:sz="4" w:space="0" w:color="788184" w:themeColor="background2"/>
          </w:tcBorders>
          <w:vAlign w:val="center"/>
        </w:tcPr>
        <w:p w:rsidR="00207C1F" w:rsidRPr="00CB70DF" w:rsidRDefault="00BE7A0E" w:rsidP="00181E84">
          <w:pPr>
            <w:pStyle w:val="FooterLeft"/>
            <w:framePr w:wrap="auto" w:vAnchor="margin" w:hAnchor="text" w:yAlign="inline"/>
          </w:pPr>
          <w:r w:rsidRPr="00EB4D28">
            <w:rPr>
              <w:color w:val="788184" w:themeColor="accent6"/>
            </w:rPr>
            <w:t>Factors influencing the reliability of policy proposal costings</w:t>
          </w:r>
        </w:p>
      </w:tc>
    </w:tr>
    <w:tr w:rsidR="00207C1F" w:rsidRPr="00EB388E" w:rsidTr="00C80200">
      <w:trPr>
        <w:trHeight w:hRule="exact" w:val="403"/>
      </w:trPr>
      <w:tc>
        <w:tcPr>
          <w:tcW w:w="567" w:type="dxa"/>
          <w:tcMar>
            <w:bottom w:w="284" w:type="dxa"/>
          </w:tcMar>
        </w:tcPr>
        <w:p w:rsidR="00207C1F" w:rsidRPr="00EB388E" w:rsidRDefault="00207C1F" w:rsidP="00C80200">
          <w:pPr>
            <w:pStyle w:val="FooterRightPageNumber"/>
          </w:pPr>
        </w:p>
      </w:tc>
      <w:tc>
        <w:tcPr>
          <w:tcW w:w="8164" w:type="dxa"/>
          <w:tcMar>
            <w:bottom w:w="284" w:type="dxa"/>
          </w:tcMar>
        </w:tcPr>
        <w:p w:rsidR="00207C1F" w:rsidRPr="00090E70" w:rsidRDefault="00207C1F" w:rsidP="00C80200"/>
      </w:tc>
    </w:tr>
  </w:tbl>
  <w:p w:rsidR="00207C1F" w:rsidRDefault="00207C1F">
    <w:pPr>
      <w:pStyle w:val="Footer"/>
    </w:pPr>
  </w:p>
  <w:p w:rsidR="00207C1F" w:rsidRPr="004816D7" w:rsidRDefault="00207C1F" w:rsidP="004816D7">
    <w:pPr>
      <w:pStyle w:val="Footer"/>
    </w:pPr>
  </w:p>
  <w:p w:rsidR="00207C1F" w:rsidRDefault="00207C1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BE7A0E" w:rsidRPr="00BE7A0E" w:rsidTr="0087390B">
      <w:trPr>
        <w:trHeight w:val="340"/>
      </w:trPr>
      <w:tc>
        <w:tcPr>
          <w:tcW w:w="8164" w:type="dxa"/>
          <w:tcBorders>
            <w:right w:val="single" w:sz="4" w:space="0" w:color="788184" w:themeColor="background2"/>
          </w:tcBorders>
          <w:vAlign w:val="center"/>
        </w:tcPr>
        <w:p w:rsidR="00207C1F" w:rsidRPr="00923917" w:rsidRDefault="00BE7A0E" w:rsidP="00595897">
          <w:pPr>
            <w:pStyle w:val="FooterRight"/>
            <w:framePr w:wrap="auto" w:vAnchor="margin" w:hAnchor="text" w:xAlign="left" w:yAlign="inline"/>
          </w:pPr>
          <w:r w:rsidRPr="003E17B5">
            <w:rPr>
              <w:color w:val="788184" w:themeColor="accent6"/>
            </w:rPr>
            <w:t>Factors influencing the reliability of policy proposal costings</w:t>
          </w:r>
        </w:p>
      </w:tc>
      <w:tc>
        <w:tcPr>
          <w:tcW w:w="567" w:type="dxa"/>
          <w:tcBorders>
            <w:left w:val="single" w:sz="4" w:space="0" w:color="788184" w:themeColor="background2"/>
          </w:tcBorders>
          <w:vAlign w:val="center"/>
        </w:tcPr>
        <w:p w:rsidR="00207C1F" w:rsidRPr="003E17B5" w:rsidRDefault="00207C1F" w:rsidP="00E915E6">
          <w:pPr>
            <w:pStyle w:val="FooterRightPageNumber"/>
            <w:rPr>
              <w:color w:val="788184" w:themeColor="accent6"/>
            </w:rPr>
          </w:pPr>
          <w:r w:rsidRPr="003E17B5">
            <w:rPr>
              <w:color w:val="788184" w:themeColor="accent6"/>
            </w:rPr>
            <w:fldChar w:fldCharType="begin"/>
          </w:r>
          <w:r w:rsidRPr="003E17B5">
            <w:rPr>
              <w:color w:val="788184" w:themeColor="accent6"/>
            </w:rPr>
            <w:instrText xml:space="preserve"> PAGE   \* MERGEFORMAT </w:instrText>
          </w:r>
          <w:r w:rsidRPr="003E17B5">
            <w:rPr>
              <w:color w:val="788184" w:themeColor="accent6"/>
            </w:rPr>
            <w:fldChar w:fldCharType="separate"/>
          </w:r>
          <w:r w:rsidR="0029652F">
            <w:rPr>
              <w:color w:val="788184" w:themeColor="accent6"/>
            </w:rPr>
            <w:t>1</w:t>
          </w:r>
          <w:r w:rsidRPr="003E17B5">
            <w:rPr>
              <w:color w:val="788184" w:themeColor="accent6"/>
            </w:rPr>
            <w:fldChar w:fldCharType="end"/>
          </w:r>
        </w:p>
      </w:tc>
    </w:tr>
    <w:tr w:rsidR="00207C1F" w:rsidRPr="00EB388E" w:rsidTr="004F1297">
      <w:trPr>
        <w:trHeight w:hRule="exact" w:val="403"/>
      </w:trPr>
      <w:tc>
        <w:tcPr>
          <w:tcW w:w="8164" w:type="dxa"/>
        </w:tcPr>
        <w:p w:rsidR="00207C1F" w:rsidRPr="00090E70" w:rsidRDefault="00207C1F" w:rsidP="0087390B"/>
      </w:tc>
      <w:tc>
        <w:tcPr>
          <w:tcW w:w="567" w:type="dxa"/>
          <w:tcMar>
            <w:bottom w:w="284" w:type="dxa"/>
          </w:tcMar>
        </w:tcPr>
        <w:p w:rsidR="00207C1F" w:rsidRPr="00090E70" w:rsidRDefault="00207C1F" w:rsidP="0087390B"/>
      </w:tc>
    </w:tr>
  </w:tbl>
  <w:p w:rsidR="00207C1F" w:rsidRDefault="00207C1F">
    <w:pPr>
      <w:pStyle w:val="Footer"/>
    </w:pPr>
  </w:p>
  <w:p w:rsidR="00207C1F" w:rsidRPr="004816D7" w:rsidRDefault="00207C1F" w:rsidP="004816D7">
    <w:pPr>
      <w:pStyle w:val="Footer"/>
    </w:pPr>
  </w:p>
  <w:p w:rsidR="00207C1F" w:rsidRDefault="00207C1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1F" w:rsidRPr="000557A7" w:rsidRDefault="00207C1F" w:rsidP="008D5A11">
      <w:pPr>
        <w:pBdr>
          <w:top w:val="single" w:sz="4" w:space="1" w:color="auto"/>
        </w:pBdr>
        <w:spacing w:before="240" w:line="60" w:lineRule="exact"/>
        <w:rPr>
          <w:sz w:val="16"/>
          <w:szCs w:val="16"/>
        </w:rPr>
      </w:pPr>
    </w:p>
  </w:footnote>
  <w:footnote w:type="continuationSeparator" w:id="0">
    <w:p w:rsidR="00207C1F" w:rsidRDefault="00207C1F" w:rsidP="00A20802">
      <w:pPr>
        <w:spacing w:line="240" w:lineRule="auto"/>
      </w:pPr>
      <w:r>
        <w:continuationSeparator/>
      </w:r>
    </w:p>
    <w:p w:rsidR="00207C1F" w:rsidRDefault="00207C1F"/>
  </w:footnote>
  <w:footnote w:id="1">
    <w:p w:rsidR="00207C1F" w:rsidRPr="001E666F" w:rsidRDefault="00207C1F" w:rsidP="004D6676">
      <w:pPr>
        <w:pStyle w:val="FootnoteText"/>
      </w:pPr>
      <w:r w:rsidRPr="003E17B5">
        <w:rPr>
          <w:vertAlign w:val="superscript"/>
        </w:rPr>
        <w:footnoteRef/>
      </w:r>
      <w:r>
        <w:tab/>
      </w:r>
      <w:r w:rsidR="008905F2">
        <w:t>See: ‘</w:t>
      </w:r>
      <w:r>
        <w:t>Communicating the Uncertainty of CBO's Estimates</w:t>
      </w:r>
      <w:r w:rsidR="008905F2">
        <w:t>’</w:t>
      </w:r>
      <w:r>
        <w:t xml:space="preserve">, post by Doug Elmendorf, December 15, 2014 at </w:t>
      </w:r>
      <w:hyperlink r:id="rId1" w:history="1">
        <w:r w:rsidRPr="001E666F">
          <w:rPr>
            <w:rStyle w:val="Hyperlink"/>
          </w:rPr>
          <w:t>http://www.cbo.gov/publication/49860</w:t>
        </w:r>
      </w:hyperlink>
      <w:r>
        <w:t>.</w:t>
      </w:r>
    </w:p>
  </w:footnote>
  <w:footnote w:id="2">
    <w:p w:rsidR="00207C1F" w:rsidRPr="00ED0703" w:rsidRDefault="00207C1F" w:rsidP="004D6676">
      <w:pPr>
        <w:pStyle w:val="FootnoteText"/>
      </w:pPr>
      <w:r w:rsidRPr="003E17B5">
        <w:rPr>
          <w:vertAlign w:val="superscript"/>
        </w:rPr>
        <w:footnoteRef/>
      </w:r>
      <w:r>
        <w:tab/>
        <w:t xml:space="preserve">See: </w:t>
      </w:r>
      <w:r w:rsidR="008905F2">
        <w:t>‘Economic and fiscal outlook’</w:t>
      </w:r>
      <w:r>
        <w:t xml:space="preserve">, Office for Budget Responsibility, United Kingdom, </w:t>
      </w:r>
      <w:proofErr w:type="gramStart"/>
      <w:r>
        <w:t>March</w:t>
      </w:r>
      <w:proofErr w:type="gramEnd"/>
      <w:r>
        <w:t xml:space="preserve"> 2015.  Page 201</w:t>
      </w:r>
    </w:p>
  </w:footnote>
  <w:footnote w:id="3">
    <w:p w:rsidR="005E4431" w:rsidRDefault="005E4431" w:rsidP="005E4431">
      <w:pPr>
        <w:pStyle w:val="FootnoteText"/>
      </w:pPr>
      <w:r>
        <w:rPr>
          <w:rStyle w:val="FootnoteReference"/>
        </w:rPr>
        <w:footnoteRef/>
      </w:r>
      <w:r>
        <w:t xml:space="preserve"> </w:t>
      </w:r>
      <w:r>
        <w:tab/>
      </w:r>
      <w:proofErr w:type="gramStart"/>
      <w:r>
        <w:t>Household Income and Labour Dynamics in Australia survey, conducted by the Melbourne Institute.</w:t>
      </w:r>
      <w:proofErr w:type="gramEnd"/>
    </w:p>
  </w:footnote>
  <w:footnote w:id="4">
    <w:p w:rsidR="005E4431" w:rsidRDefault="005E4431" w:rsidP="005E4431">
      <w:pPr>
        <w:pStyle w:val="FootnoteText"/>
      </w:pPr>
      <w:r>
        <w:rPr>
          <w:rStyle w:val="FootnoteReference"/>
        </w:rPr>
        <w:footnoteRef/>
      </w:r>
      <w:r w:rsidR="00CC56A1">
        <w:t xml:space="preserve"> </w:t>
      </w:r>
      <w:r w:rsidR="00CC56A1">
        <w:tab/>
      </w:r>
      <w:proofErr w:type="gramStart"/>
      <w:r w:rsidR="00CC56A1">
        <w:t>For example data in the ‘</w:t>
      </w:r>
      <w:r>
        <w:t>2015–16 Key industry figures</w:t>
      </w:r>
      <w:r w:rsidR="00CC56A1">
        <w:t>’</w:t>
      </w:r>
      <w:r>
        <w:t xml:space="preserve"> table of ABS Cat.</w:t>
      </w:r>
      <w:proofErr w:type="gramEnd"/>
      <w:r>
        <w:t xml:space="preserve"> No. </w:t>
      </w:r>
      <w:r w:rsidRPr="005C5B1B">
        <w:t xml:space="preserve">8155.0 - Australian Industry, </w:t>
      </w:r>
      <w:r>
        <w:t xml:space="preserve">2015–16, caveated:  </w:t>
      </w:r>
      <w:r w:rsidR="00CC56A1">
        <w:t>‘</w:t>
      </w:r>
      <w:r w:rsidRPr="005C5B1B">
        <w:t>^ estimate has a relative standard error of 10</w:t>
      </w:r>
      <w:r>
        <w:t> per cent</w:t>
      </w:r>
      <w:r w:rsidRPr="005C5B1B">
        <w:t xml:space="preserve"> to less than 25</w:t>
      </w:r>
      <w:r>
        <w:t> per cent</w:t>
      </w:r>
      <w:r w:rsidRPr="005C5B1B">
        <w:t xml:space="preserve"> and should be used with caution</w:t>
      </w:r>
      <w:r w:rsidR="00CC56A1">
        <w:t>’ or ‘</w:t>
      </w:r>
      <w:r>
        <w:t>* estimate has a relative standard error of 25 per cent to 50 per cent and should be used with caution</w:t>
      </w:r>
      <w:r w:rsidR="00CC56A1">
        <w:t>’</w:t>
      </w:r>
      <w:r>
        <w:t>.</w:t>
      </w:r>
    </w:p>
  </w:footnote>
  <w:footnote w:id="5">
    <w:p w:rsidR="005E4431" w:rsidRDefault="005E4431" w:rsidP="005E4431">
      <w:pPr>
        <w:pStyle w:val="FootnoteText"/>
      </w:pPr>
      <w:r>
        <w:rPr>
          <w:rStyle w:val="FootnoteReference"/>
        </w:rPr>
        <w:footnoteRef/>
      </w:r>
      <w:r>
        <w:t xml:space="preserve"> </w:t>
      </w:r>
      <w:r>
        <w:tab/>
      </w:r>
      <w:proofErr w:type="gramStart"/>
      <w:r>
        <w:t>For example data in Table 2 of ABS Cat.</w:t>
      </w:r>
      <w:proofErr w:type="gramEnd"/>
      <w:r>
        <w:t xml:space="preserve"> No. </w:t>
      </w:r>
      <w:r w:rsidRPr="005C5B1B">
        <w:t>8155.0 - Australian Industry, 20</w:t>
      </w:r>
      <w:r>
        <w:t xml:space="preserve">15–16, is caveated:  </w:t>
      </w:r>
      <w:r w:rsidR="00CC56A1">
        <w:t>‘</w:t>
      </w:r>
      <w:r w:rsidRPr="005C5B1B">
        <w:t>estimate has a relative standard error of greater than 50</w:t>
      </w:r>
      <w:r>
        <w:t> per cent</w:t>
      </w:r>
      <w:r w:rsidRPr="005C5B1B">
        <w:t xml:space="preserve"> and is considered too unreliable for general use</w:t>
      </w:r>
      <w:r w:rsidR="00CC56A1">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r>
      <w:rPr>
        <w:noProof/>
        <w:lang w:eastAsia="en-AU"/>
      </w:rPr>
      <mc:AlternateContent>
        <mc:Choice Requires="wps">
          <w:drawing>
            <wp:anchor distT="0" distB="0" distL="114300" distR="114300" simplePos="0" relativeHeight="251663360" behindDoc="1" locked="1" layoutInCell="1" allowOverlap="1" wp14:anchorId="07019A61" wp14:editId="638C1DEE">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7"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v:textbox>
              <w10:wrap anchorx="page"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r>
      <w:rPr>
        <w:noProof/>
        <w:lang w:eastAsia="en-AU"/>
      </w:rPr>
      <w:drawing>
        <wp:anchor distT="0" distB="0" distL="114300" distR="114300" simplePos="0" relativeHeight="251686912" behindDoc="1" locked="0" layoutInCell="1" allowOverlap="1" wp14:anchorId="52E25999" wp14:editId="50941B69">
          <wp:simplePos x="0" y="0"/>
          <wp:positionH relativeFrom="page">
            <wp:posOffset>0</wp:posOffset>
          </wp:positionH>
          <wp:positionV relativeFrom="page">
            <wp:posOffset>0</wp:posOffset>
          </wp:positionV>
          <wp:extent cx="7563600" cy="10695600"/>
          <wp:effectExtent l="0" t="0" r="0" b="0"/>
          <wp:wrapNone/>
          <wp:docPr id="22" name="Picture 2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5888" behindDoc="1" locked="1" layoutInCell="1" allowOverlap="1" wp14:anchorId="5CEC5EB0" wp14:editId="72F97414">
              <wp:simplePos x="0" y="0"/>
              <wp:positionH relativeFrom="page">
                <wp:align>center</wp:align>
              </wp:positionH>
              <wp:positionV relativeFrom="page">
                <wp:align>center</wp:align>
              </wp:positionV>
              <wp:extent cx="7560000" cy="1796400"/>
              <wp:effectExtent l="0" t="0" r="0" b="0"/>
              <wp:wrapNone/>
              <wp:docPr id="1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595.3pt;height:141.45pt;z-index:-2516305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7ugIAAMQ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NSr/vu6AgAA&#10;xAUAAA4AAAAAAAAAAAAAAAAALgIAAGRycy9lMm9Eb2MueG1sUEsBAi0AFAAGAAgAAAAhADTFRM7b&#10;AAAABgEAAA8AAAAAAAAAAAAAAAAAFAUAAGRycy9kb3ducmV2LnhtbFBLBQYAAAAABAAEAPMAAAAc&#10;BgAAAAA=&#10;" filled="f" stroked="f">
              <v:textbo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v:textbox>
              <w10:wrap anchorx="page" anchory="pag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p>
  <w:p w:rsidR="00207C1F" w:rsidRDefault="00207C1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p>
  <w:p w:rsidR="00207C1F" w:rsidRDefault="00207C1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p>
  <w:p w:rsidR="00207C1F" w:rsidRDefault="00207C1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r>
      <w:rPr>
        <w:noProof/>
        <w:lang w:eastAsia="en-AU"/>
      </w:rPr>
      <w:drawing>
        <wp:anchor distT="0" distB="0" distL="114300" distR="114300" simplePos="0" relativeHeight="251692032" behindDoc="1" locked="0" layoutInCell="1" allowOverlap="1" wp14:anchorId="66E723EA" wp14:editId="4C59C390">
          <wp:simplePos x="0" y="0"/>
          <wp:positionH relativeFrom="page">
            <wp:posOffset>0</wp:posOffset>
          </wp:positionH>
          <wp:positionV relativeFrom="page">
            <wp:posOffset>0</wp:posOffset>
          </wp:positionV>
          <wp:extent cx="7563600" cy="10695600"/>
          <wp:effectExtent l="0" t="0" r="0" b="0"/>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91008" behindDoc="1" locked="1" layoutInCell="1" allowOverlap="1" wp14:anchorId="2AB0594F" wp14:editId="4A5EF80D">
              <wp:simplePos x="0" y="0"/>
              <wp:positionH relativeFrom="page">
                <wp:align>center</wp:align>
              </wp:positionH>
              <wp:positionV relativeFrom="page">
                <wp:align>center</wp:align>
              </wp:positionV>
              <wp:extent cx="7560000" cy="1796400"/>
              <wp:effectExtent l="0" t="0" r="0" b="0"/>
              <wp:wrapNone/>
              <wp:docPr id="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254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7V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CV6DtW6AgAA&#10;wwUAAA4AAAAAAAAAAAAAAAAALgIAAGRycy9lMm9Eb2MueG1sUEsBAi0AFAAGAAgAAAAhADTFRM7b&#10;AAAABgEAAA8AAAAAAAAAAAAAAAAAFAUAAGRycy9kb3ducmV2LnhtbFBLBQYAAAAABAAEAPMAAAAc&#10;BgAAAAA=&#10;" filled="f" stroked="f">
              <v:textbo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v:textbox>
              <w10:wrap anchorx="page" anchory="page"/>
              <w10:anchorlock/>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p>
  <w:p w:rsidR="00207C1F" w:rsidRDefault="00207C1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p>
  <w:p w:rsidR="00207C1F" w:rsidRDefault="00207C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r>
      <w:rPr>
        <w:noProof/>
        <w:lang w:eastAsia="en-AU"/>
      </w:rPr>
      <mc:AlternateContent>
        <mc:Choice Requires="wps">
          <w:drawing>
            <wp:anchor distT="0" distB="0" distL="114300" distR="114300" simplePos="0" relativeHeight="251665408" behindDoc="1" locked="1" layoutInCell="1" allowOverlap="1" wp14:anchorId="11651120" wp14:editId="6D4EAE0C">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r>
      <w:rPr>
        <w:noProof/>
        <w:lang w:eastAsia="en-AU"/>
      </w:rPr>
      <w:drawing>
        <wp:anchor distT="0" distB="0" distL="114300" distR="114300" simplePos="0" relativeHeight="251674624" behindDoc="1" locked="0" layoutInCell="1" allowOverlap="1" wp14:anchorId="56590D74" wp14:editId="31660564">
          <wp:simplePos x="0" y="0"/>
          <wp:positionH relativeFrom="page">
            <wp:posOffset>-635</wp:posOffset>
          </wp:positionH>
          <wp:positionV relativeFrom="page">
            <wp:posOffset>0</wp:posOffset>
          </wp:positionV>
          <wp:extent cx="7563600" cy="10695600"/>
          <wp:effectExtent l="0" t="0" r="0" b="0"/>
          <wp:wrapNone/>
          <wp:docPr id="10" name="Picture 1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r>
      <w:rPr>
        <w:noProof/>
        <w:lang w:eastAsia="en-AU"/>
      </w:rPr>
      <mc:AlternateContent>
        <mc:Choice Requires="wps">
          <w:drawing>
            <wp:anchor distT="0" distB="0" distL="114300" distR="114300" simplePos="0" relativeHeight="251669504" behindDoc="1" locked="1" layoutInCell="1" allowOverlap="1" wp14:anchorId="532300B7" wp14:editId="00DF5921">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0;width:595.3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WF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BvpYW6AgAA&#10;wwUAAA4AAAAAAAAAAAAAAAAALgIAAGRycy9lMm9Eb2MueG1sUEsBAi0AFAAGAAgAAAAhADTFRM7b&#10;AAAABgEAAA8AAAAAAAAAAAAAAAAAFAUAAGRycy9kb3ducmV2LnhtbFBLBQYAAAAABAAEAPMAAAAc&#10;BgAAAAA=&#10;" filled="f" stroked="f">
              <v:textbo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r>
      <w:rPr>
        <w:noProof/>
        <w:lang w:eastAsia="en-AU"/>
      </w:rPr>
      <mc:AlternateContent>
        <mc:Choice Requires="wps">
          <w:drawing>
            <wp:anchor distT="0" distB="0" distL="114300" distR="114300" simplePos="0" relativeHeight="251673600" behindDoc="1" locked="1" layoutInCell="1" allowOverlap="1" wp14:anchorId="136B0901" wp14:editId="0C451FD1">
              <wp:simplePos x="0" y="0"/>
              <wp:positionH relativeFrom="page">
                <wp:align>center</wp:align>
              </wp:positionH>
              <wp:positionV relativeFrom="page">
                <wp:align>center</wp:align>
              </wp:positionV>
              <wp:extent cx="7560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595.3pt;height:141.45pt;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MqjOo+6AgAA&#10;wwUAAA4AAAAAAAAAAAAAAAAALgIAAGRycy9lMm9Eb2MueG1sUEsBAi0AFAAGAAgAAAAhADTFRM7b&#10;AAAABgEAAA8AAAAAAAAAAAAAAAAAFAUAAGRycy9kb3ducmV2LnhtbFBLBQYAAAAABAAEAPMAAAAc&#10;BgAAAAA=&#10;" filled="f" stroked="f">
              <v:textbox>
                <w:txbxContent>
                  <w:p w:rsidR="00207C1F" w:rsidRPr="0001226A" w:rsidRDefault="00207C1F"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203639">
                      <w:rPr>
                        <w:szCs w:val="120"/>
                      </w:rPr>
                      <w:t>DRAFT</w:t>
                    </w:r>
                    <w:r w:rsidRPr="0001226A">
                      <w:rPr>
                        <w:szCs w:val="120"/>
                      </w:rPr>
                      <w:fldChar w:fldCharType="end"/>
                    </w: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p>
  <w:p w:rsidR="00207C1F" w:rsidRDefault="00207C1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1F" w:rsidRDefault="00207C1F">
    <w:pPr>
      <w:pStyle w:val="Header"/>
    </w:pPr>
  </w:p>
  <w:p w:rsidR="00207C1F" w:rsidRDefault="00207C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8303A82"/>
    <w:lvl w:ilvl="0">
      <w:start w:val="1"/>
      <w:numFmt w:val="decimal"/>
      <w:lvlText w:val="%1."/>
      <w:lvlJc w:val="left"/>
      <w:pPr>
        <w:tabs>
          <w:tab w:val="num" w:pos="926"/>
        </w:tabs>
        <w:ind w:left="926" w:hanging="360"/>
      </w:pPr>
    </w:lvl>
  </w:abstractNum>
  <w:abstractNum w:abstractNumId="1">
    <w:nsid w:val="FFFFFF7F"/>
    <w:multiLevelType w:val="singleLevel"/>
    <w:tmpl w:val="4EB87814"/>
    <w:lvl w:ilvl="0">
      <w:start w:val="1"/>
      <w:numFmt w:val="decimal"/>
      <w:lvlText w:val="%1."/>
      <w:lvlJc w:val="left"/>
      <w:pPr>
        <w:tabs>
          <w:tab w:val="num" w:pos="643"/>
        </w:tabs>
        <w:ind w:left="643" w:hanging="360"/>
      </w:pPr>
    </w:lvl>
  </w:abstractNum>
  <w:abstractNum w:abstractNumId="2">
    <w:nsid w:val="FFFFFF82"/>
    <w:multiLevelType w:val="singleLevel"/>
    <w:tmpl w:val="37844A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E30B58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FB6BBE4"/>
    <w:lvl w:ilvl="0">
      <w:start w:val="1"/>
      <w:numFmt w:val="decimal"/>
      <w:lvlText w:val="%1."/>
      <w:lvlJc w:val="left"/>
      <w:pPr>
        <w:tabs>
          <w:tab w:val="num" w:pos="360"/>
        </w:tabs>
        <w:ind w:left="360" w:hanging="360"/>
      </w:pPr>
    </w:lvl>
  </w:abstractNum>
  <w:abstractNum w:abstractNumId="5">
    <w:nsid w:val="FFFFFF89"/>
    <w:multiLevelType w:val="singleLevel"/>
    <w:tmpl w:val="01905BD0"/>
    <w:lvl w:ilvl="0">
      <w:start w:val="1"/>
      <w:numFmt w:val="bullet"/>
      <w:lvlText w:val=""/>
      <w:lvlJc w:val="left"/>
      <w:pPr>
        <w:tabs>
          <w:tab w:val="num" w:pos="360"/>
        </w:tabs>
        <w:ind w:left="360" w:hanging="360"/>
      </w:pPr>
      <w:rPr>
        <w:rFonts w:ascii="Symbol" w:hAnsi="Symbol" w:hint="default"/>
      </w:rPr>
    </w:lvl>
  </w:abstractNum>
  <w:abstractNum w:abstractNumId="6">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nsid w:val="0D745448"/>
    <w:multiLevelType w:val="multilevel"/>
    <w:tmpl w:val="74AA25B0"/>
    <w:name w:val="PBOHeadings"/>
    <w:lvl w:ilvl="0">
      <w:start w:val="1"/>
      <w:numFmt w:val="decimal"/>
      <w:lvlRestart w:val="0"/>
      <w:pStyle w:val="Heading1"/>
      <w:lvlText w:val="%1"/>
      <w:lvlJc w:val="left"/>
      <w:pPr>
        <w:tabs>
          <w:tab w:val="num" w:pos="765"/>
        </w:tabs>
        <w:ind w:left="765" w:hanging="765"/>
      </w:pPr>
      <w:rPr>
        <w:rFonts w:hint="default"/>
      </w:rPr>
    </w:lvl>
    <w:lvl w:ilvl="1">
      <w:start w:val="1"/>
      <w:numFmt w:val="decimal"/>
      <w:pStyle w:val="Heading2"/>
      <w:lvlText w:val="%1.%2"/>
      <w:lvlJc w:val="left"/>
      <w:pPr>
        <w:tabs>
          <w:tab w:val="num" w:pos="765"/>
        </w:tabs>
        <w:ind w:left="765" w:hanging="765"/>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8">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9">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nsid w:val="22D045EF"/>
    <w:multiLevelType w:val="multilevel"/>
    <w:tmpl w:val="D34CA962"/>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851"/>
        </w:tabs>
        <w:ind w:left="851" w:hanging="426"/>
      </w:pPr>
      <w:rPr>
        <w:rFonts w:ascii="Webdings" w:hAnsi="Webdings" w:hint="default"/>
        <w:b w:val="0"/>
        <w:i w:val="0"/>
        <w:color w:val="auto"/>
        <w:position w:val="2"/>
        <w:sz w:val="18"/>
      </w:rPr>
    </w:lvl>
    <w:lvl w:ilvl="2">
      <w:start w:val="1"/>
      <w:numFmt w:val="bullet"/>
      <w:lvlText w:val="–"/>
      <w:lvlJc w:val="left"/>
      <w:pPr>
        <w:tabs>
          <w:tab w:val="num" w:pos="1276"/>
        </w:tabs>
        <w:ind w:left="1276" w:hanging="425"/>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42667628"/>
    <w:multiLevelType w:val="hybridMultilevel"/>
    <w:tmpl w:val="8196BCD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nsid w:val="5D0540A9"/>
    <w:multiLevelType w:val="multilevel"/>
    <w:tmpl w:val="2F52C2C0"/>
    <w:name w:val="AppendicesNumbering"/>
    <w:lvl w:ilvl="0">
      <w:start w:val="1"/>
      <w:numFmt w:val="upperLetter"/>
      <w:lvlRestart w:val="0"/>
      <w:pStyle w:val="Heading8"/>
      <w:suff w:val="space"/>
      <w:lvlText w:val="Appendix %1"/>
      <w:lvlJc w:val="left"/>
      <w:pPr>
        <w:ind w:left="0" w:firstLine="0"/>
      </w:pPr>
      <w:rPr>
        <w:rFonts w:hint="default"/>
        <w:b w:val="0"/>
        <w:i w:val="0"/>
        <w:sz w:val="40"/>
      </w:rPr>
    </w:lvl>
    <w:lvl w:ilvl="1">
      <w:start w:val="1"/>
      <w:numFmt w:val="decimal"/>
      <w:pStyle w:val="Heading9"/>
      <w:lvlText w:val="%1%2."/>
      <w:lvlJc w:val="left"/>
      <w:pPr>
        <w:tabs>
          <w:tab w:val="num" w:pos="765"/>
        </w:tabs>
        <w:ind w:left="765" w:hanging="765"/>
      </w:pPr>
      <w:rPr>
        <w:rFonts w:hint="default"/>
        <w:sz w:val="26"/>
      </w:rPr>
    </w:lvl>
    <w:lvl w:ilvl="2">
      <w:start w:val="1"/>
      <w:numFmt w:val="decimal"/>
      <w:pStyle w:val="AppendixHeading2"/>
      <w:lvlText w:val="%1%2.%3"/>
      <w:lvlJc w:val="left"/>
      <w:pPr>
        <w:tabs>
          <w:tab w:val="num" w:pos="765"/>
        </w:tabs>
        <w:ind w:left="765" w:hanging="765"/>
      </w:pPr>
      <w:rPr>
        <w:rFonts w:hint="default"/>
      </w:rPr>
    </w:lvl>
    <w:lvl w:ilvl="3">
      <w:start w:val="1"/>
      <w:numFmt w:val="none"/>
      <w:lvlRestart w:val="2"/>
      <w:pStyle w:val="Appendix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5">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7">
    <w:nsid w:val="73F67AD7"/>
    <w:multiLevelType w:val="hybridMultilevel"/>
    <w:tmpl w:val="CDB40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4"/>
  </w:num>
  <w:num w:numId="2">
    <w:abstractNumId w:val="14"/>
  </w:num>
  <w:num w:numId="3">
    <w:abstractNumId w:val="14"/>
  </w:num>
  <w:num w:numId="4">
    <w:abstractNumId w:val="14"/>
  </w:num>
  <w:num w:numId="5">
    <w:abstractNumId w:val="5"/>
  </w:num>
  <w:num w:numId="6">
    <w:abstractNumId w:val="6"/>
  </w:num>
  <w:num w:numId="7">
    <w:abstractNumId w:val="3"/>
  </w:num>
  <w:num w:numId="8">
    <w:abstractNumId w:val="6"/>
  </w:num>
  <w:num w:numId="9">
    <w:abstractNumId w:val="2"/>
  </w:num>
  <w:num w:numId="10">
    <w:abstractNumId w:val="6"/>
  </w:num>
  <w:num w:numId="11">
    <w:abstractNumId w:val="4"/>
  </w:num>
  <w:num w:numId="12">
    <w:abstractNumId w:val="18"/>
  </w:num>
  <w:num w:numId="13">
    <w:abstractNumId w:val="1"/>
  </w:num>
  <w:num w:numId="14">
    <w:abstractNumId w:val="18"/>
  </w:num>
  <w:num w:numId="15">
    <w:abstractNumId w:val="0"/>
  </w:num>
  <w:num w:numId="16">
    <w:abstractNumId w:val="18"/>
  </w:num>
  <w:num w:numId="17">
    <w:abstractNumId w:val="12"/>
  </w:num>
  <w:num w:numId="18">
    <w:abstractNumId w:val="12"/>
  </w:num>
  <w:num w:numId="19">
    <w:abstractNumId w:val="12"/>
  </w:num>
  <w:num w:numId="20">
    <w:abstractNumId w:val="11"/>
  </w:num>
  <w:num w:numId="21">
    <w:abstractNumId w:val="11"/>
  </w:num>
  <w:num w:numId="22">
    <w:abstractNumId w:val="11"/>
  </w:num>
  <w:num w:numId="23">
    <w:abstractNumId w:val="16"/>
  </w:num>
  <w:num w:numId="24">
    <w:abstractNumId w:val="16"/>
  </w:num>
  <w:num w:numId="25">
    <w:abstractNumId w:val="8"/>
  </w:num>
  <w:num w:numId="26">
    <w:abstractNumId w:val="9"/>
  </w:num>
  <w:num w:numId="27">
    <w:abstractNumId w:val="9"/>
  </w:num>
  <w:num w:numId="28">
    <w:abstractNumId w:val="9"/>
  </w:num>
  <w:num w:numId="29">
    <w:abstractNumId w:val="15"/>
  </w:num>
  <w:num w:numId="30">
    <w:abstractNumId w:val="15"/>
  </w:num>
  <w:num w:numId="31">
    <w:abstractNumId w:val="15"/>
  </w:num>
  <w:num w:numId="32">
    <w:abstractNumId w:val="10"/>
  </w:num>
  <w:num w:numId="33">
    <w:abstractNumId w:val="7"/>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False"/>
    <w:docVar w:name="AppendixName" w:val="Appendix"/>
    <w:docVar w:name="Disclaimer" w:val="True"/>
    <w:docVar w:name="Foreword" w:val="False"/>
    <w:docVar w:name="Heading1Numbered" w:val="True"/>
    <w:docVar w:name="Heading2Numbered" w:val="Tru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045D76"/>
    <w:rsid w:val="0000322C"/>
    <w:rsid w:val="00003CDD"/>
    <w:rsid w:val="00011C98"/>
    <w:rsid w:val="000168A7"/>
    <w:rsid w:val="00016F40"/>
    <w:rsid w:val="000278D0"/>
    <w:rsid w:val="00027E62"/>
    <w:rsid w:val="000307C8"/>
    <w:rsid w:val="00030F73"/>
    <w:rsid w:val="00035ADE"/>
    <w:rsid w:val="000404AF"/>
    <w:rsid w:val="0004224B"/>
    <w:rsid w:val="00042C5B"/>
    <w:rsid w:val="00045D76"/>
    <w:rsid w:val="00046226"/>
    <w:rsid w:val="0005330D"/>
    <w:rsid w:val="000552C9"/>
    <w:rsid w:val="000557A7"/>
    <w:rsid w:val="00055805"/>
    <w:rsid w:val="00056CB3"/>
    <w:rsid w:val="00057E09"/>
    <w:rsid w:val="0006634F"/>
    <w:rsid w:val="00067A28"/>
    <w:rsid w:val="0007260F"/>
    <w:rsid w:val="00072C7C"/>
    <w:rsid w:val="000756F9"/>
    <w:rsid w:val="000805D5"/>
    <w:rsid w:val="0008103B"/>
    <w:rsid w:val="00085F97"/>
    <w:rsid w:val="00092A33"/>
    <w:rsid w:val="000946A0"/>
    <w:rsid w:val="000A2FEC"/>
    <w:rsid w:val="000A348F"/>
    <w:rsid w:val="000A3E44"/>
    <w:rsid w:val="000B15AB"/>
    <w:rsid w:val="000B6942"/>
    <w:rsid w:val="000C09FA"/>
    <w:rsid w:val="000C15D6"/>
    <w:rsid w:val="000C37A9"/>
    <w:rsid w:val="000C6728"/>
    <w:rsid w:val="000C702E"/>
    <w:rsid w:val="000D15E9"/>
    <w:rsid w:val="000D3182"/>
    <w:rsid w:val="000D45C4"/>
    <w:rsid w:val="000E0A31"/>
    <w:rsid w:val="000E0DB6"/>
    <w:rsid w:val="000E18F3"/>
    <w:rsid w:val="000E266E"/>
    <w:rsid w:val="000E6179"/>
    <w:rsid w:val="000F1515"/>
    <w:rsid w:val="000F16B5"/>
    <w:rsid w:val="000F28B7"/>
    <w:rsid w:val="000F616E"/>
    <w:rsid w:val="00100B4A"/>
    <w:rsid w:val="00110D43"/>
    <w:rsid w:val="001159EA"/>
    <w:rsid w:val="00125410"/>
    <w:rsid w:val="00130858"/>
    <w:rsid w:val="00136C26"/>
    <w:rsid w:val="0014059F"/>
    <w:rsid w:val="00141551"/>
    <w:rsid w:val="001417CE"/>
    <w:rsid w:val="00143EC7"/>
    <w:rsid w:val="001444C1"/>
    <w:rsid w:val="0014479F"/>
    <w:rsid w:val="00150BD6"/>
    <w:rsid w:val="00151AFC"/>
    <w:rsid w:val="00154348"/>
    <w:rsid w:val="00154DC5"/>
    <w:rsid w:val="00157E3E"/>
    <w:rsid w:val="00160C8D"/>
    <w:rsid w:val="001629C0"/>
    <w:rsid w:val="00165122"/>
    <w:rsid w:val="00165854"/>
    <w:rsid w:val="00173DFD"/>
    <w:rsid w:val="00175F3F"/>
    <w:rsid w:val="00180FF9"/>
    <w:rsid w:val="00181E84"/>
    <w:rsid w:val="00184425"/>
    <w:rsid w:val="00190003"/>
    <w:rsid w:val="00195228"/>
    <w:rsid w:val="00195696"/>
    <w:rsid w:val="00196532"/>
    <w:rsid w:val="001A1EFC"/>
    <w:rsid w:val="001A48EF"/>
    <w:rsid w:val="001A49CC"/>
    <w:rsid w:val="001A5553"/>
    <w:rsid w:val="001A716E"/>
    <w:rsid w:val="001B2C65"/>
    <w:rsid w:val="001B4B09"/>
    <w:rsid w:val="001B7058"/>
    <w:rsid w:val="001C3A4F"/>
    <w:rsid w:val="001C4121"/>
    <w:rsid w:val="001C48DE"/>
    <w:rsid w:val="001D52E3"/>
    <w:rsid w:val="001D576F"/>
    <w:rsid w:val="001D6CDB"/>
    <w:rsid w:val="001D7C29"/>
    <w:rsid w:val="001E0475"/>
    <w:rsid w:val="001E397A"/>
    <w:rsid w:val="001F0932"/>
    <w:rsid w:val="001F0FBD"/>
    <w:rsid w:val="001F5C90"/>
    <w:rsid w:val="001F767C"/>
    <w:rsid w:val="00201AA4"/>
    <w:rsid w:val="00203639"/>
    <w:rsid w:val="002061BF"/>
    <w:rsid w:val="00207657"/>
    <w:rsid w:val="00207C1F"/>
    <w:rsid w:val="00210FCF"/>
    <w:rsid w:val="00222EFF"/>
    <w:rsid w:val="002240D5"/>
    <w:rsid w:val="002261A7"/>
    <w:rsid w:val="00226AEC"/>
    <w:rsid w:val="00240ADE"/>
    <w:rsid w:val="002479BA"/>
    <w:rsid w:val="002545F3"/>
    <w:rsid w:val="0026344F"/>
    <w:rsid w:val="00263660"/>
    <w:rsid w:val="00264AA9"/>
    <w:rsid w:val="00266A17"/>
    <w:rsid w:val="00270372"/>
    <w:rsid w:val="002712AD"/>
    <w:rsid w:val="00275534"/>
    <w:rsid w:val="00277075"/>
    <w:rsid w:val="002775D2"/>
    <w:rsid w:val="00281ADD"/>
    <w:rsid w:val="00291612"/>
    <w:rsid w:val="00293E0D"/>
    <w:rsid w:val="00293E80"/>
    <w:rsid w:val="0029652F"/>
    <w:rsid w:val="002973B0"/>
    <w:rsid w:val="00297C14"/>
    <w:rsid w:val="002A220F"/>
    <w:rsid w:val="002A24F1"/>
    <w:rsid w:val="002A5778"/>
    <w:rsid w:val="002B1E84"/>
    <w:rsid w:val="002B2085"/>
    <w:rsid w:val="002B3EC4"/>
    <w:rsid w:val="002B5EF8"/>
    <w:rsid w:val="002C2D42"/>
    <w:rsid w:val="002C37D5"/>
    <w:rsid w:val="002D34DB"/>
    <w:rsid w:val="002D4B11"/>
    <w:rsid w:val="002E5633"/>
    <w:rsid w:val="002E6314"/>
    <w:rsid w:val="002F1963"/>
    <w:rsid w:val="002F5B6E"/>
    <w:rsid w:val="002F61B5"/>
    <w:rsid w:val="002F675B"/>
    <w:rsid w:val="00300C5C"/>
    <w:rsid w:val="0030209B"/>
    <w:rsid w:val="003127E4"/>
    <w:rsid w:val="00313215"/>
    <w:rsid w:val="00316521"/>
    <w:rsid w:val="003174C3"/>
    <w:rsid w:val="0032157F"/>
    <w:rsid w:val="00322D79"/>
    <w:rsid w:val="00324880"/>
    <w:rsid w:val="0032557A"/>
    <w:rsid w:val="00337D70"/>
    <w:rsid w:val="00340778"/>
    <w:rsid w:val="00344D2C"/>
    <w:rsid w:val="003458CE"/>
    <w:rsid w:val="00345A57"/>
    <w:rsid w:val="00346D90"/>
    <w:rsid w:val="00351F62"/>
    <w:rsid w:val="00354F0D"/>
    <w:rsid w:val="00355B6A"/>
    <w:rsid w:val="003601F4"/>
    <w:rsid w:val="00361F0E"/>
    <w:rsid w:val="003671E2"/>
    <w:rsid w:val="00372AE6"/>
    <w:rsid w:val="00373492"/>
    <w:rsid w:val="0037725B"/>
    <w:rsid w:val="00382BD5"/>
    <w:rsid w:val="003837E1"/>
    <w:rsid w:val="0038584D"/>
    <w:rsid w:val="0039257F"/>
    <w:rsid w:val="003931DE"/>
    <w:rsid w:val="00394580"/>
    <w:rsid w:val="00397D1A"/>
    <w:rsid w:val="003A163C"/>
    <w:rsid w:val="003A2B4E"/>
    <w:rsid w:val="003A2FBB"/>
    <w:rsid w:val="003A2FD0"/>
    <w:rsid w:val="003A3799"/>
    <w:rsid w:val="003A4282"/>
    <w:rsid w:val="003A4913"/>
    <w:rsid w:val="003A54A9"/>
    <w:rsid w:val="003A7083"/>
    <w:rsid w:val="003B38B3"/>
    <w:rsid w:val="003B3A97"/>
    <w:rsid w:val="003B3D44"/>
    <w:rsid w:val="003B4A1B"/>
    <w:rsid w:val="003C7CC2"/>
    <w:rsid w:val="003D4D7B"/>
    <w:rsid w:val="003D50B6"/>
    <w:rsid w:val="003E05DF"/>
    <w:rsid w:val="003E17B5"/>
    <w:rsid w:val="003E373E"/>
    <w:rsid w:val="003E6085"/>
    <w:rsid w:val="003E6CA3"/>
    <w:rsid w:val="003F091A"/>
    <w:rsid w:val="003F4C96"/>
    <w:rsid w:val="00406002"/>
    <w:rsid w:val="00406AD3"/>
    <w:rsid w:val="00412E42"/>
    <w:rsid w:val="00423670"/>
    <w:rsid w:val="00426356"/>
    <w:rsid w:val="00426929"/>
    <w:rsid w:val="00432249"/>
    <w:rsid w:val="00432EEE"/>
    <w:rsid w:val="004349F0"/>
    <w:rsid w:val="00436A09"/>
    <w:rsid w:val="00440505"/>
    <w:rsid w:val="00442C16"/>
    <w:rsid w:val="00446439"/>
    <w:rsid w:val="00450858"/>
    <w:rsid w:val="00450BDA"/>
    <w:rsid w:val="00453A3E"/>
    <w:rsid w:val="0045452F"/>
    <w:rsid w:val="0045766B"/>
    <w:rsid w:val="00462ADF"/>
    <w:rsid w:val="00474BB7"/>
    <w:rsid w:val="004816D7"/>
    <w:rsid w:val="0048342E"/>
    <w:rsid w:val="00487478"/>
    <w:rsid w:val="0048782D"/>
    <w:rsid w:val="004922E9"/>
    <w:rsid w:val="00494DC1"/>
    <w:rsid w:val="004A3F56"/>
    <w:rsid w:val="004A5E21"/>
    <w:rsid w:val="004A666A"/>
    <w:rsid w:val="004A69F7"/>
    <w:rsid w:val="004B143F"/>
    <w:rsid w:val="004B49A0"/>
    <w:rsid w:val="004B5FFE"/>
    <w:rsid w:val="004C2EC7"/>
    <w:rsid w:val="004C6306"/>
    <w:rsid w:val="004C6F5E"/>
    <w:rsid w:val="004C7E94"/>
    <w:rsid w:val="004D6676"/>
    <w:rsid w:val="004D7CF8"/>
    <w:rsid w:val="004D7EDA"/>
    <w:rsid w:val="004E0E49"/>
    <w:rsid w:val="004E197A"/>
    <w:rsid w:val="004E5D52"/>
    <w:rsid w:val="004E7BB1"/>
    <w:rsid w:val="004F07D7"/>
    <w:rsid w:val="004F1297"/>
    <w:rsid w:val="004F16DB"/>
    <w:rsid w:val="004F4D7E"/>
    <w:rsid w:val="004F5B16"/>
    <w:rsid w:val="004F5D9D"/>
    <w:rsid w:val="004F68E5"/>
    <w:rsid w:val="004F741B"/>
    <w:rsid w:val="00503253"/>
    <w:rsid w:val="00503BB0"/>
    <w:rsid w:val="00503E03"/>
    <w:rsid w:val="00505901"/>
    <w:rsid w:val="00512226"/>
    <w:rsid w:val="005147C6"/>
    <w:rsid w:val="005159B1"/>
    <w:rsid w:val="00516287"/>
    <w:rsid w:val="00520B82"/>
    <w:rsid w:val="00522502"/>
    <w:rsid w:val="00524339"/>
    <w:rsid w:val="005255A1"/>
    <w:rsid w:val="0052641C"/>
    <w:rsid w:val="0053795D"/>
    <w:rsid w:val="00544522"/>
    <w:rsid w:val="005468AB"/>
    <w:rsid w:val="005501A0"/>
    <w:rsid w:val="00550831"/>
    <w:rsid w:val="00550E4E"/>
    <w:rsid w:val="00554273"/>
    <w:rsid w:val="005642B6"/>
    <w:rsid w:val="00565591"/>
    <w:rsid w:val="00571D5E"/>
    <w:rsid w:val="005823D0"/>
    <w:rsid w:val="00590637"/>
    <w:rsid w:val="00590CFC"/>
    <w:rsid w:val="00594030"/>
    <w:rsid w:val="00595032"/>
    <w:rsid w:val="00595897"/>
    <w:rsid w:val="005A13D8"/>
    <w:rsid w:val="005A224B"/>
    <w:rsid w:val="005A2748"/>
    <w:rsid w:val="005A443F"/>
    <w:rsid w:val="005B58D4"/>
    <w:rsid w:val="005C07B3"/>
    <w:rsid w:val="005C284E"/>
    <w:rsid w:val="005C47D4"/>
    <w:rsid w:val="005D51D0"/>
    <w:rsid w:val="005D6F83"/>
    <w:rsid w:val="005D7877"/>
    <w:rsid w:val="005D7CCF"/>
    <w:rsid w:val="005E4431"/>
    <w:rsid w:val="005E58C4"/>
    <w:rsid w:val="005E5D8F"/>
    <w:rsid w:val="005F4378"/>
    <w:rsid w:val="005F5A5C"/>
    <w:rsid w:val="005F5CD9"/>
    <w:rsid w:val="005F72AF"/>
    <w:rsid w:val="00601C64"/>
    <w:rsid w:val="00607654"/>
    <w:rsid w:val="00611343"/>
    <w:rsid w:val="0061135C"/>
    <w:rsid w:val="006136DD"/>
    <w:rsid w:val="006149F0"/>
    <w:rsid w:val="00616439"/>
    <w:rsid w:val="006220A5"/>
    <w:rsid w:val="00624AC8"/>
    <w:rsid w:val="00630248"/>
    <w:rsid w:val="0063368F"/>
    <w:rsid w:val="00633C60"/>
    <w:rsid w:val="0064126D"/>
    <w:rsid w:val="006451B8"/>
    <w:rsid w:val="00645722"/>
    <w:rsid w:val="00652432"/>
    <w:rsid w:val="00656B02"/>
    <w:rsid w:val="006573C2"/>
    <w:rsid w:val="00657840"/>
    <w:rsid w:val="0066003C"/>
    <w:rsid w:val="0066041E"/>
    <w:rsid w:val="00661CAA"/>
    <w:rsid w:val="00662345"/>
    <w:rsid w:val="00673CCC"/>
    <w:rsid w:val="00675C98"/>
    <w:rsid w:val="0069026B"/>
    <w:rsid w:val="006956EA"/>
    <w:rsid w:val="006A0028"/>
    <w:rsid w:val="006A17F6"/>
    <w:rsid w:val="006A490C"/>
    <w:rsid w:val="006B32E2"/>
    <w:rsid w:val="006B4F7D"/>
    <w:rsid w:val="006C114C"/>
    <w:rsid w:val="006C3864"/>
    <w:rsid w:val="006C5383"/>
    <w:rsid w:val="006C5E72"/>
    <w:rsid w:val="006D2AEC"/>
    <w:rsid w:val="006D4C8E"/>
    <w:rsid w:val="006E19D1"/>
    <w:rsid w:val="006E1CBB"/>
    <w:rsid w:val="006F100B"/>
    <w:rsid w:val="006F239A"/>
    <w:rsid w:val="006F2C9D"/>
    <w:rsid w:val="006F3149"/>
    <w:rsid w:val="00701C88"/>
    <w:rsid w:val="0070637D"/>
    <w:rsid w:val="007071DD"/>
    <w:rsid w:val="007073B0"/>
    <w:rsid w:val="0070771F"/>
    <w:rsid w:val="00712A14"/>
    <w:rsid w:val="007167AA"/>
    <w:rsid w:val="00716C04"/>
    <w:rsid w:val="00717180"/>
    <w:rsid w:val="007179D2"/>
    <w:rsid w:val="00720750"/>
    <w:rsid w:val="0072549C"/>
    <w:rsid w:val="00725A80"/>
    <w:rsid w:val="00733970"/>
    <w:rsid w:val="00754C58"/>
    <w:rsid w:val="00773323"/>
    <w:rsid w:val="00773B9A"/>
    <w:rsid w:val="00776E78"/>
    <w:rsid w:val="0078138A"/>
    <w:rsid w:val="00783014"/>
    <w:rsid w:val="007834DC"/>
    <w:rsid w:val="007959D8"/>
    <w:rsid w:val="0079630F"/>
    <w:rsid w:val="007A04C2"/>
    <w:rsid w:val="007A1A92"/>
    <w:rsid w:val="007A3122"/>
    <w:rsid w:val="007B146A"/>
    <w:rsid w:val="007C0E7C"/>
    <w:rsid w:val="007C0EAA"/>
    <w:rsid w:val="007C44B2"/>
    <w:rsid w:val="007C6496"/>
    <w:rsid w:val="007C745E"/>
    <w:rsid w:val="007D02D5"/>
    <w:rsid w:val="007D6AFA"/>
    <w:rsid w:val="007E3F8C"/>
    <w:rsid w:val="007F017C"/>
    <w:rsid w:val="007F2058"/>
    <w:rsid w:val="007F7685"/>
    <w:rsid w:val="0080011D"/>
    <w:rsid w:val="00800EA5"/>
    <w:rsid w:val="00801C01"/>
    <w:rsid w:val="008076CD"/>
    <w:rsid w:val="008130BB"/>
    <w:rsid w:val="008154D4"/>
    <w:rsid w:val="008170C7"/>
    <w:rsid w:val="008237FA"/>
    <w:rsid w:val="00825D37"/>
    <w:rsid w:val="008369B0"/>
    <w:rsid w:val="00851372"/>
    <w:rsid w:val="0085732C"/>
    <w:rsid w:val="00860B45"/>
    <w:rsid w:val="00863860"/>
    <w:rsid w:val="008638B5"/>
    <w:rsid w:val="0086589C"/>
    <w:rsid w:val="008662B4"/>
    <w:rsid w:val="00872729"/>
    <w:rsid w:val="00873344"/>
    <w:rsid w:val="008734DB"/>
    <w:rsid w:val="008738DE"/>
    <w:rsid w:val="0087390B"/>
    <w:rsid w:val="008745A1"/>
    <w:rsid w:val="00875EAE"/>
    <w:rsid w:val="008768E9"/>
    <w:rsid w:val="0087751B"/>
    <w:rsid w:val="008905F2"/>
    <w:rsid w:val="00890995"/>
    <w:rsid w:val="008914FB"/>
    <w:rsid w:val="00891642"/>
    <w:rsid w:val="0089253F"/>
    <w:rsid w:val="00897E99"/>
    <w:rsid w:val="008A2DEA"/>
    <w:rsid w:val="008A4829"/>
    <w:rsid w:val="008A6C0E"/>
    <w:rsid w:val="008A7481"/>
    <w:rsid w:val="008A7921"/>
    <w:rsid w:val="008B2384"/>
    <w:rsid w:val="008B38D6"/>
    <w:rsid w:val="008B4802"/>
    <w:rsid w:val="008B69E3"/>
    <w:rsid w:val="008C0B0C"/>
    <w:rsid w:val="008C1FD1"/>
    <w:rsid w:val="008C24A8"/>
    <w:rsid w:val="008C274E"/>
    <w:rsid w:val="008C35EF"/>
    <w:rsid w:val="008C5996"/>
    <w:rsid w:val="008D5A11"/>
    <w:rsid w:val="008D5E23"/>
    <w:rsid w:val="008E6D59"/>
    <w:rsid w:val="008F56F5"/>
    <w:rsid w:val="008F5D66"/>
    <w:rsid w:val="009028AA"/>
    <w:rsid w:val="00903E3F"/>
    <w:rsid w:val="009049C3"/>
    <w:rsid w:val="009057D9"/>
    <w:rsid w:val="0090774A"/>
    <w:rsid w:val="00910D07"/>
    <w:rsid w:val="00914B2F"/>
    <w:rsid w:val="009150E6"/>
    <w:rsid w:val="009153E7"/>
    <w:rsid w:val="00917F89"/>
    <w:rsid w:val="00921CED"/>
    <w:rsid w:val="00923917"/>
    <w:rsid w:val="009255EE"/>
    <w:rsid w:val="00925603"/>
    <w:rsid w:val="00925F76"/>
    <w:rsid w:val="00926315"/>
    <w:rsid w:val="0093030E"/>
    <w:rsid w:val="00932E89"/>
    <w:rsid w:val="0093359D"/>
    <w:rsid w:val="00933F2B"/>
    <w:rsid w:val="009351C5"/>
    <w:rsid w:val="00941AC1"/>
    <w:rsid w:val="00942EEB"/>
    <w:rsid w:val="0094468E"/>
    <w:rsid w:val="00945261"/>
    <w:rsid w:val="009506A5"/>
    <w:rsid w:val="00952995"/>
    <w:rsid w:val="009541CC"/>
    <w:rsid w:val="00956564"/>
    <w:rsid w:val="00956D5A"/>
    <w:rsid w:val="0096065D"/>
    <w:rsid w:val="00961B2C"/>
    <w:rsid w:val="00961DBB"/>
    <w:rsid w:val="0096618E"/>
    <w:rsid w:val="00972172"/>
    <w:rsid w:val="0097472B"/>
    <w:rsid w:val="00981433"/>
    <w:rsid w:val="00985C07"/>
    <w:rsid w:val="00995B4F"/>
    <w:rsid w:val="00997582"/>
    <w:rsid w:val="009A2C21"/>
    <w:rsid w:val="009A3E58"/>
    <w:rsid w:val="009A56C5"/>
    <w:rsid w:val="009A5F02"/>
    <w:rsid w:val="009A7AB1"/>
    <w:rsid w:val="009C6DAA"/>
    <w:rsid w:val="009D0E74"/>
    <w:rsid w:val="009D1A96"/>
    <w:rsid w:val="009D370B"/>
    <w:rsid w:val="009D3DBD"/>
    <w:rsid w:val="009D6B5E"/>
    <w:rsid w:val="009E2087"/>
    <w:rsid w:val="009E252B"/>
    <w:rsid w:val="009E3265"/>
    <w:rsid w:val="009E3353"/>
    <w:rsid w:val="009E39C2"/>
    <w:rsid w:val="009E446D"/>
    <w:rsid w:val="009E7C09"/>
    <w:rsid w:val="009F146D"/>
    <w:rsid w:val="009F4F1E"/>
    <w:rsid w:val="009F517E"/>
    <w:rsid w:val="009F57FE"/>
    <w:rsid w:val="00A015E4"/>
    <w:rsid w:val="00A075BC"/>
    <w:rsid w:val="00A11222"/>
    <w:rsid w:val="00A12C39"/>
    <w:rsid w:val="00A130B0"/>
    <w:rsid w:val="00A134FB"/>
    <w:rsid w:val="00A20802"/>
    <w:rsid w:val="00A23872"/>
    <w:rsid w:val="00A25B4F"/>
    <w:rsid w:val="00A322AA"/>
    <w:rsid w:val="00A32E5C"/>
    <w:rsid w:val="00A442BF"/>
    <w:rsid w:val="00A53716"/>
    <w:rsid w:val="00A5629E"/>
    <w:rsid w:val="00A57300"/>
    <w:rsid w:val="00A57F22"/>
    <w:rsid w:val="00A64832"/>
    <w:rsid w:val="00A732DB"/>
    <w:rsid w:val="00A843D4"/>
    <w:rsid w:val="00A86F04"/>
    <w:rsid w:val="00A946C4"/>
    <w:rsid w:val="00AA6C3D"/>
    <w:rsid w:val="00AB72FA"/>
    <w:rsid w:val="00AC00AF"/>
    <w:rsid w:val="00AC01F8"/>
    <w:rsid w:val="00AC059A"/>
    <w:rsid w:val="00AC3168"/>
    <w:rsid w:val="00AD0308"/>
    <w:rsid w:val="00AD1EED"/>
    <w:rsid w:val="00AD377A"/>
    <w:rsid w:val="00AD67BB"/>
    <w:rsid w:val="00AE1CC1"/>
    <w:rsid w:val="00AE3EA4"/>
    <w:rsid w:val="00AE5CA1"/>
    <w:rsid w:val="00AF1B02"/>
    <w:rsid w:val="00AF23D0"/>
    <w:rsid w:val="00AF41E4"/>
    <w:rsid w:val="00B03F3F"/>
    <w:rsid w:val="00B06A75"/>
    <w:rsid w:val="00B06BC3"/>
    <w:rsid w:val="00B15A0F"/>
    <w:rsid w:val="00B20236"/>
    <w:rsid w:val="00B20937"/>
    <w:rsid w:val="00B220A0"/>
    <w:rsid w:val="00B22B64"/>
    <w:rsid w:val="00B22FEA"/>
    <w:rsid w:val="00B24321"/>
    <w:rsid w:val="00B2679A"/>
    <w:rsid w:val="00B30FEB"/>
    <w:rsid w:val="00B34DC6"/>
    <w:rsid w:val="00B40AA3"/>
    <w:rsid w:val="00B44478"/>
    <w:rsid w:val="00B6002C"/>
    <w:rsid w:val="00B620EE"/>
    <w:rsid w:val="00B85366"/>
    <w:rsid w:val="00B87F60"/>
    <w:rsid w:val="00B93D3D"/>
    <w:rsid w:val="00B97EFB"/>
    <w:rsid w:val="00BA471F"/>
    <w:rsid w:val="00BB0D63"/>
    <w:rsid w:val="00BB1FC6"/>
    <w:rsid w:val="00BB5013"/>
    <w:rsid w:val="00BB528E"/>
    <w:rsid w:val="00BC2600"/>
    <w:rsid w:val="00BC36EE"/>
    <w:rsid w:val="00BC36F0"/>
    <w:rsid w:val="00BC4FA7"/>
    <w:rsid w:val="00BC5E30"/>
    <w:rsid w:val="00BD02C5"/>
    <w:rsid w:val="00BD068D"/>
    <w:rsid w:val="00BE0179"/>
    <w:rsid w:val="00BE0D9A"/>
    <w:rsid w:val="00BE1A50"/>
    <w:rsid w:val="00BE2F0D"/>
    <w:rsid w:val="00BE7A0E"/>
    <w:rsid w:val="00BF0BD5"/>
    <w:rsid w:val="00BF31FE"/>
    <w:rsid w:val="00BF55F8"/>
    <w:rsid w:val="00C051FD"/>
    <w:rsid w:val="00C14B55"/>
    <w:rsid w:val="00C20C7D"/>
    <w:rsid w:val="00C20DEF"/>
    <w:rsid w:val="00C24B25"/>
    <w:rsid w:val="00C24FB5"/>
    <w:rsid w:val="00C32C2F"/>
    <w:rsid w:val="00C3738A"/>
    <w:rsid w:val="00C414DB"/>
    <w:rsid w:val="00C42F9B"/>
    <w:rsid w:val="00C4315A"/>
    <w:rsid w:val="00C43F5E"/>
    <w:rsid w:val="00C44074"/>
    <w:rsid w:val="00C4651F"/>
    <w:rsid w:val="00C46600"/>
    <w:rsid w:val="00C51071"/>
    <w:rsid w:val="00C51D0B"/>
    <w:rsid w:val="00C52A50"/>
    <w:rsid w:val="00C642D4"/>
    <w:rsid w:val="00C730F4"/>
    <w:rsid w:val="00C80200"/>
    <w:rsid w:val="00C81922"/>
    <w:rsid w:val="00C8270B"/>
    <w:rsid w:val="00C841A9"/>
    <w:rsid w:val="00C8728F"/>
    <w:rsid w:val="00C97FBC"/>
    <w:rsid w:val="00CA0B7E"/>
    <w:rsid w:val="00CA5598"/>
    <w:rsid w:val="00CA5EF8"/>
    <w:rsid w:val="00CB2722"/>
    <w:rsid w:val="00CB28A3"/>
    <w:rsid w:val="00CB6813"/>
    <w:rsid w:val="00CC00A0"/>
    <w:rsid w:val="00CC5455"/>
    <w:rsid w:val="00CC56A1"/>
    <w:rsid w:val="00CC6C06"/>
    <w:rsid w:val="00CD5509"/>
    <w:rsid w:val="00CE1EB0"/>
    <w:rsid w:val="00CE3DF2"/>
    <w:rsid w:val="00CE581D"/>
    <w:rsid w:val="00CF0C0F"/>
    <w:rsid w:val="00CF1690"/>
    <w:rsid w:val="00CF1F2A"/>
    <w:rsid w:val="00CF5CB3"/>
    <w:rsid w:val="00CF5CE3"/>
    <w:rsid w:val="00CF7412"/>
    <w:rsid w:val="00D030F8"/>
    <w:rsid w:val="00D05BC3"/>
    <w:rsid w:val="00D077B7"/>
    <w:rsid w:val="00D10B68"/>
    <w:rsid w:val="00D16272"/>
    <w:rsid w:val="00D20297"/>
    <w:rsid w:val="00D21E6B"/>
    <w:rsid w:val="00D23634"/>
    <w:rsid w:val="00D34551"/>
    <w:rsid w:val="00D4032F"/>
    <w:rsid w:val="00D457D6"/>
    <w:rsid w:val="00D64CE2"/>
    <w:rsid w:val="00D729E8"/>
    <w:rsid w:val="00D7751B"/>
    <w:rsid w:val="00D815DC"/>
    <w:rsid w:val="00D822B5"/>
    <w:rsid w:val="00D83D3C"/>
    <w:rsid w:val="00D867AE"/>
    <w:rsid w:val="00D86EF6"/>
    <w:rsid w:val="00D87BBB"/>
    <w:rsid w:val="00D87C87"/>
    <w:rsid w:val="00D921C4"/>
    <w:rsid w:val="00D9296A"/>
    <w:rsid w:val="00D93C23"/>
    <w:rsid w:val="00D95638"/>
    <w:rsid w:val="00D9584C"/>
    <w:rsid w:val="00DA14D9"/>
    <w:rsid w:val="00DA5CAC"/>
    <w:rsid w:val="00DA7CD9"/>
    <w:rsid w:val="00DB13AD"/>
    <w:rsid w:val="00DB23F9"/>
    <w:rsid w:val="00DB58BE"/>
    <w:rsid w:val="00DB6176"/>
    <w:rsid w:val="00DB6AA0"/>
    <w:rsid w:val="00DB7C3A"/>
    <w:rsid w:val="00DC6890"/>
    <w:rsid w:val="00DD32AB"/>
    <w:rsid w:val="00DD5B68"/>
    <w:rsid w:val="00DD5BF6"/>
    <w:rsid w:val="00DE1865"/>
    <w:rsid w:val="00DE6CEF"/>
    <w:rsid w:val="00DF11C2"/>
    <w:rsid w:val="00DF4593"/>
    <w:rsid w:val="00DF6273"/>
    <w:rsid w:val="00E01D21"/>
    <w:rsid w:val="00E10D05"/>
    <w:rsid w:val="00E11DCE"/>
    <w:rsid w:val="00E2223E"/>
    <w:rsid w:val="00E22D98"/>
    <w:rsid w:val="00E24623"/>
    <w:rsid w:val="00E252E3"/>
    <w:rsid w:val="00E40505"/>
    <w:rsid w:val="00E42A41"/>
    <w:rsid w:val="00E432C5"/>
    <w:rsid w:val="00E45766"/>
    <w:rsid w:val="00E567E5"/>
    <w:rsid w:val="00E618DC"/>
    <w:rsid w:val="00E63AC2"/>
    <w:rsid w:val="00E63F18"/>
    <w:rsid w:val="00E6708B"/>
    <w:rsid w:val="00E7111E"/>
    <w:rsid w:val="00E73A8C"/>
    <w:rsid w:val="00E75050"/>
    <w:rsid w:val="00E76F42"/>
    <w:rsid w:val="00E915E6"/>
    <w:rsid w:val="00E94853"/>
    <w:rsid w:val="00EA3E11"/>
    <w:rsid w:val="00EA6EB3"/>
    <w:rsid w:val="00EB4A8E"/>
    <w:rsid w:val="00EB5EF3"/>
    <w:rsid w:val="00EB6051"/>
    <w:rsid w:val="00EB65B4"/>
    <w:rsid w:val="00EB695D"/>
    <w:rsid w:val="00EC0C71"/>
    <w:rsid w:val="00ED39CE"/>
    <w:rsid w:val="00ED4134"/>
    <w:rsid w:val="00EE05F1"/>
    <w:rsid w:val="00EE471A"/>
    <w:rsid w:val="00EE5492"/>
    <w:rsid w:val="00EF5C89"/>
    <w:rsid w:val="00EF7ED8"/>
    <w:rsid w:val="00F01C64"/>
    <w:rsid w:val="00F04B2C"/>
    <w:rsid w:val="00F07BD5"/>
    <w:rsid w:val="00F122D6"/>
    <w:rsid w:val="00F15BF4"/>
    <w:rsid w:val="00F17940"/>
    <w:rsid w:val="00F2046C"/>
    <w:rsid w:val="00F20647"/>
    <w:rsid w:val="00F22859"/>
    <w:rsid w:val="00F31392"/>
    <w:rsid w:val="00F348B5"/>
    <w:rsid w:val="00F3652B"/>
    <w:rsid w:val="00F377B9"/>
    <w:rsid w:val="00F45442"/>
    <w:rsid w:val="00F5145E"/>
    <w:rsid w:val="00F558EA"/>
    <w:rsid w:val="00F613CB"/>
    <w:rsid w:val="00F61AD2"/>
    <w:rsid w:val="00F61F79"/>
    <w:rsid w:val="00F656A4"/>
    <w:rsid w:val="00F6665E"/>
    <w:rsid w:val="00F7075F"/>
    <w:rsid w:val="00F71D76"/>
    <w:rsid w:val="00F8349F"/>
    <w:rsid w:val="00F83FB7"/>
    <w:rsid w:val="00F85935"/>
    <w:rsid w:val="00F85D29"/>
    <w:rsid w:val="00F969D3"/>
    <w:rsid w:val="00FA08B8"/>
    <w:rsid w:val="00FA190E"/>
    <w:rsid w:val="00FA4354"/>
    <w:rsid w:val="00FA54D8"/>
    <w:rsid w:val="00FA56C5"/>
    <w:rsid w:val="00FA79B5"/>
    <w:rsid w:val="00FB0198"/>
    <w:rsid w:val="00FB0721"/>
    <w:rsid w:val="00FB41E4"/>
    <w:rsid w:val="00FC0960"/>
    <w:rsid w:val="00FC4FB7"/>
    <w:rsid w:val="00FC79B8"/>
    <w:rsid w:val="00FD1070"/>
    <w:rsid w:val="00FD357B"/>
    <w:rsid w:val="00FD38FC"/>
    <w:rsid w:val="00FD6119"/>
    <w:rsid w:val="00FD688E"/>
    <w:rsid w:val="00FD7C0C"/>
    <w:rsid w:val="00FE045C"/>
    <w:rsid w:val="00FE07BC"/>
    <w:rsid w:val="00FE0C52"/>
    <w:rsid w:val="00FE1692"/>
    <w:rsid w:val="00FE5A8E"/>
    <w:rsid w:val="00FE7800"/>
    <w:rsid w:val="00FF0566"/>
    <w:rsid w:val="00FF1F30"/>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33"/>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link w:val="CaptionChar"/>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8A7481"/>
    <w:pPr>
      <w:spacing w:before="113" w:after="113"/>
      <w:ind w:left="113" w:right="113"/>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4"/>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0"/>
        <w:tab w:val="right" w:leader="underscore" w:pos="8164"/>
      </w:tabs>
      <w:spacing w:after="227"/>
      <w:ind w:left="1020" w:right="851" w:hanging="567"/>
    </w:pPr>
    <w:rPr>
      <w:noProof/>
      <w:szCs w:val="28"/>
    </w:rPr>
  </w:style>
  <w:style w:type="paragraph" w:styleId="TOC3">
    <w:name w:val="toc 3"/>
    <w:basedOn w:val="Normal"/>
    <w:next w:val="Normal"/>
    <w:rsid w:val="001B2C65"/>
    <w:pPr>
      <w:tabs>
        <w:tab w:val="right" w:leader="underscore" w:pos="8164"/>
      </w:tabs>
      <w:spacing w:after="227"/>
      <w:ind w:left="1020" w:right="851"/>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2000" w:lineRule="exact"/>
      <w:jc w:val="center"/>
    </w:pPr>
    <w:rPr>
      <w:caps/>
      <w:color w:val="EAEAEA"/>
      <w:spacing w:val="40"/>
      <w:sz w:val="20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styleId="PlainText">
    <w:name w:val="Plain Text"/>
    <w:basedOn w:val="Normal"/>
    <w:link w:val="PlainTextChar"/>
    <w:uiPriority w:val="99"/>
    <w:semiHidden/>
    <w:unhideWhenUsed/>
    <w:rsid w:val="00324880"/>
    <w:pPr>
      <w:spacing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24880"/>
    <w:rPr>
      <w:rFonts w:ascii="Calibri" w:hAnsi="Calibri" w:cs="Times New Roman"/>
    </w:rPr>
  </w:style>
  <w:style w:type="character" w:styleId="CommentReference">
    <w:name w:val="annotation reference"/>
    <w:basedOn w:val="DefaultParagraphFont"/>
    <w:semiHidden/>
    <w:unhideWhenUsed/>
    <w:rsid w:val="00891642"/>
    <w:rPr>
      <w:sz w:val="16"/>
      <w:szCs w:val="16"/>
    </w:rPr>
  </w:style>
  <w:style w:type="paragraph" w:styleId="CommentText">
    <w:name w:val="annotation text"/>
    <w:basedOn w:val="Normal"/>
    <w:link w:val="CommentTextChar"/>
    <w:semiHidden/>
    <w:unhideWhenUsed/>
    <w:rsid w:val="00891642"/>
    <w:pPr>
      <w:spacing w:line="240" w:lineRule="auto"/>
    </w:pPr>
    <w:rPr>
      <w:sz w:val="20"/>
      <w:szCs w:val="20"/>
    </w:rPr>
  </w:style>
  <w:style w:type="character" w:customStyle="1" w:styleId="CommentTextChar">
    <w:name w:val="Comment Text Char"/>
    <w:basedOn w:val="DefaultParagraphFont"/>
    <w:link w:val="CommentText"/>
    <w:semiHidden/>
    <w:rsid w:val="00891642"/>
    <w:rPr>
      <w:sz w:val="20"/>
      <w:szCs w:val="20"/>
    </w:rPr>
  </w:style>
  <w:style w:type="paragraph" w:styleId="CommentSubject">
    <w:name w:val="annotation subject"/>
    <w:basedOn w:val="CommentText"/>
    <w:next w:val="CommentText"/>
    <w:link w:val="CommentSubjectChar"/>
    <w:semiHidden/>
    <w:unhideWhenUsed/>
    <w:rsid w:val="00891642"/>
    <w:rPr>
      <w:b/>
      <w:bCs/>
    </w:rPr>
  </w:style>
  <w:style w:type="character" w:customStyle="1" w:styleId="CommentSubjectChar">
    <w:name w:val="Comment Subject Char"/>
    <w:basedOn w:val="CommentTextChar"/>
    <w:link w:val="CommentSubject"/>
    <w:semiHidden/>
    <w:rsid w:val="00891642"/>
    <w:rPr>
      <w:b/>
      <w:bCs/>
      <w:sz w:val="20"/>
      <w:szCs w:val="20"/>
    </w:rPr>
  </w:style>
  <w:style w:type="paragraph" w:styleId="Revision">
    <w:name w:val="Revision"/>
    <w:hidden/>
    <w:uiPriority w:val="99"/>
    <w:semiHidden/>
    <w:rsid w:val="00851372"/>
    <w:pPr>
      <w:spacing w:line="240" w:lineRule="auto"/>
    </w:pPr>
  </w:style>
  <w:style w:type="table" w:styleId="LightList-Accent1">
    <w:name w:val="Light List Accent 1"/>
    <w:basedOn w:val="TableNormal"/>
    <w:uiPriority w:val="61"/>
    <w:rsid w:val="00207657"/>
    <w:pPr>
      <w:spacing w:line="240" w:lineRule="auto"/>
    </w:pPr>
    <w:tblPr>
      <w:tblStyleRowBandSize w:val="1"/>
      <w:tblStyleColBandSize w:val="1"/>
      <w:tblBorders>
        <w:top w:val="single" w:sz="8" w:space="0" w:color="2B3B5F" w:themeColor="accent1"/>
        <w:left w:val="single" w:sz="8" w:space="0" w:color="2B3B5F" w:themeColor="accent1"/>
        <w:bottom w:val="single" w:sz="8" w:space="0" w:color="2B3B5F" w:themeColor="accent1"/>
        <w:right w:val="single" w:sz="8" w:space="0" w:color="2B3B5F" w:themeColor="accent1"/>
      </w:tblBorders>
    </w:tblPr>
    <w:tblStylePr w:type="firstRow">
      <w:pPr>
        <w:spacing w:before="0" w:after="0" w:line="240" w:lineRule="auto"/>
      </w:pPr>
      <w:rPr>
        <w:b/>
        <w:bCs/>
        <w:color w:val="FFFFFF" w:themeColor="background1"/>
      </w:rPr>
      <w:tblPr/>
      <w:tcPr>
        <w:shd w:val="clear" w:color="auto" w:fill="2B3B5F" w:themeFill="accent1"/>
      </w:tcPr>
    </w:tblStylePr>
    <w:tblStylePr w:type="lastRow">
      <w:pPr>
        <w:spacing w:before="0" w:after="0" w:line="240" w:lineRule="auto"/>
      </w:pPr>
      <w:rPr>
        <w:b/>
        <w:bCs/>
      </w:rPr>
      <w:tblPr/>
      <w:tcPr>
        <w:tcBorders>
          <w:top w:val="double" w:sz="6" w:space="0" w:color="2B3B5F" w:themeColor="accent1"/>
          <w:left w:val="single" w:sz="8" w:space="0" w:color="2B3B5F" w:themeColor="accent1"/>
          <w:bottom w:val="single" w:sz="8" w:space="0" w:color="2B3B5F" w:themeColor="accent1"/>
          <w:right w:val="single" w:sz="8" w:space="0" w:color="2B3B5F" w:themeColor="accent1"/>
        </w:tcBorders>
      </w:tcPr>
    </w:tblStylePr>
    <w:tblStylePr w:type="firstCol">
      <w:rPr>
        <w:b/>
        <w:bCs/>
      </w:rPr>
    </w:tblStylePr>
    <w:tblStylePr w:type="lastCol">
      <w:rPr>
        <w:b/>
        <w:bCs/>
      </w:rPr>
    </w:tblStylePr>
    <w:tblStylePr w:type="band1Vert">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tcPr>
    </w:tblStylePr>
    <w:tblStylePr w:type="band1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tcPr>
    </w:tblStylePr>
  </w:style>
  <w:style w:type="character" w:styleId="FollowedHyperlink">
    <w:name w:val="FollowedHyperlink"/>
    <w:basedOn w:val="DefaultParagraphFont"/>
    <w:semiHidden/>
    <w:unhideWhenUsed/>
    <w:rsid w:val="00EC0C71"/>
    <w:rPr>
      <w:color w:val="000000" w:themeColor="followedHyperlink"/>
      <w:u w:val="single"/>
    </w:rPr>
  </w:style>
  <w:style w:type="paragraph" w:styleId="NormalWeb">
    <w:name w:val="Normal (Web)"/>
    <w:basedOn w:val="Normal"/>
    <w:uiPriority w:val="99"/>
    <w:semiHidden/>
    <w:unhideWhenUsed/>
    <w:rsid w:val="004A69F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Caption1">
    <w:name w:val="Caption 1"/>
    <w:basedOn w:val="Caption"/>
    <w:link w:val="Caption1Char"/>
    <w:qFormat/>
    <w:rsid w:val="00972172"/>
  </w:style>
  <w:style w:type="character" w:customStyle="1" w:styleId="CaptionChar">
    <w:name w:val="Caption Char"/>
    <w:basedOn w:val="DefaultParagraphFont"/>
    <w:link w:val="Caption"/>
    <w:rsid w:val="00972172"/>
    <w:rPr>
      <w:b/>
      <w:bCs/>
      <w:color w:val="2B3B5F" w:themeColor="text2"/>
      <w:spacing w:val="-4"/>
    </w:rPr>
  </w:style>
  <w:style w:type="character" w:customStyle="1" w:styleId="Caption1Char">
    <w:name w:val="Caption 1 Char"/>
    <w:basedOn w:val="CaptionChar"/>
    <w:link w:val="Caption1"/>
    <w:rsid w:val="00972172"/>
    <w:rPr>
      <w:b/>
      <w:bCs/>
      <w:color w:val="2B3B5F" w:themeColor="text2"/>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33"/>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link w:val="CaptionChar"/>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8A7481"/>
    <w:pPr>
      <w:spacing w:before="113" w:after="113"/>
      <w:ind w:left="113" w:right="113"/>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4"/>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0"/>
        <w:tab w:val="right" w:leader="underscore" w:pos="8164"/>
      </w:tabs>
      <w:spacing w:after="227"/>
      <w:ind w:left="1020" w:right="851" w:hanging="567"/>
    </w:pPr>
    <w:rPr>
      <w:noProof/>
      <w:szCs w:val="28"/>
    </w:rPr>
  </w:style>
  <w:style w:type="paragraph" w:styleId="TOC3">
    <w:name w:val="toc 3"/>
    <w:basedOn w:val="Normal"/>
    <w:next w:val="Normal"/>
    <w:rsid w:val="001B2C65"/>
    <w:pPr>
      <w:tabs>
        <w:tab w:val="right" w:leader="underscore" w:pos="8164"/>
      </w:tabs>
      <w:spacing w:after="227"/>
      <w:ind w:left="1020" w:right="851"/>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2000" w:lineRule="exact"/>
      <w:jc w:val="center"/>
    </w:pPr>
    <w:rPr>
      <w:caps/>
      <w:color w:val="EAEAEA"/>
      <w:spacing w:val="40"/>
      <w:sz w:val="20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styleId="PlainText">
    <w:name w:val="Plain Text"/>
    <w:basedOn w:val="Normal"/>
    <w:link w:val="PlainTextChar"/>
    <w:uiPriority w:val="99"/>
    <w:semiHidden/>
    <w:unhideWhenUsed/>
    <w:rsid w:val="00324880"/>
    <w:pPr>
      <w:spacing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24880"/>
    <w:rPr>
      <w:rFonts w:ascii="Calibri" w:hAnsi="Calibri" w:cs="Times New Roman"/>
    </w:rPr>
  </w:style>
  <w:style w:type="character" w:styleId="CommentReference">
    <w:name w:val="annotation reference"/>
    <w:basedOn w:val="DefaultParagraphFont"/>
    <w:semiHidden/>
    <w:unhideWhenUsed/>
    <w:rsid w:val="00891642"/>
    <w:rPr>
      <w:sz w:val="16"/>
      <w:szCs w:val="16"/>
    </w:rPr>
  </w:style>
  <w:style w:type="paragraph" w:styleId="CommentText">
    <w:name w:val="annotation text"/>
    <w:basedOn w:val="Normal"/>
    <w:link w:val="CommentTextChar"/>
    <w:semiHidden/>
    <w:unhideWhenUsed/>
    <w:rsid w:val="00891642"/>
    <w:pPr>
      <w:spacing w:line="240" w:lineRule="auto"/>
    </w:pPr>
    <w:rPr>
      <w:sz w:val="20"/>
      <w:szCs w:val="20"/>
    </w:rPr>
  </w:style>
  <w:style w:type="character" w:customStyle="1" w:styleId="CommentTextChar">
    <w:name w:val="Comment Text Char"/>
    <w:basedOn w:val="DefaultParagraphFont"/>
    <w:link w:val="CommentText"/>
    <w:semiHidden/>
    <w:rsid w:val="00891642"/>
    <w:rPr>
      <w:sz w:val="20"/>
      <w:szCs w:val="20"/>
    </w:rPr>
  </w:style>
  <w:style w:type="paragraph" w:styleId="CommentSubject">
    <w:name w:val="annotation subject"/>
    <w:basedOn w:val="CommentText"/>
    <w:next w:val="CommentText"/>
    <w:link w:val="CommentSubjectChar"/>
    <w:semiHidden/>
    <w:unhideWhenUsed/>
    <w:rsid w:val="00891642"/>
    <w:rPr>
      <w:b/>
      <w:bCs/>
    </w:rPr>
  </w:style>
  <w:style w:type="character" w:customStyle="1" w:styleId="CommentSubjectChar">
    <w:name w:val="Comment Subject Char"/>
    <w:basedOn w:val="CommentTextChar"/>
    <w:link w:val="CommentSubject"/>
    <w:semiHidden/>
    <w:rsid w:val="00891642"/>
    <w:rPr>
      <w:b/>
      <w:bCs/>
      <w:sz w:val="20"/>
      <w:szCs w:val="20"/>
    </w:rPr>
  </w:style>
  <w:style w:type="paragraph" w:styleId="Revision">
    <w:name w:val="Revision"/>
    <w:hidden/>
    <w:uiPriority w:val="99"/>
    <w:semiHidden/>
    <w:rsid w:val="00851372"/>
    <w:pPr>
      <w:spacing w:line="240" w:lineRule="auto"/>
    </w:pPr>
  </w:style>
  <w:style w:type="table" w:styleId="LightList-Accent1">
    <w:name w:val="Light List Accent 1"/>
    <w:basedOn w:val="TableNormal"/>
    <w:uiPriority w:val="61"/>
    <w:rsid w:val="00207657"/>
    <w:pPr>
      <w:spacing w:line="240" w:lineRule="auto"/>
    </w:pPr>
    <w:tblPr>
      <w:tblStyleRowBandSize w:val="1"/>
      <w:tblStyleColBandSize w:val="1"/>
      <w:tblBorders>
        <w:top w:val="single" w:sz="8" w:space="0" w:color="2B3B5F" w:themeColor="accent1"/>
        <w:left w:val="single" w:sz="8" w:space="0" w:color="2B3B5F" w:themeColor="accent1"/>
        <w:bottom w:val="single" w:sz="8" w:space="0" w:color="2B3B5F" w:themeColor="accent1"/>
        <w:right w:val="single" w:sz="8" w:space="0" w:color="2B3B5F" w:themeColor="accent1"/>
      </w:tblBorders>
    </w:tblPr>
    <w:tblStylePr w:type="firstRow">
      <w:pPr>
        <w:spacing w:before="0" w:after="0" w:line="240" w:lineRule="auto"/>
      </w:pPr>
      <w:rPr>
        <w:b/>
        <w:bCs/>
        <w:color w:val="FFFFFF" w:themeColor="background1"/>
      </w:rPr>
      <w:tblPr/>
      <w:tcPr>
        <w:shd w:val="clear" w:color="auto" w:fill="2B3B5F" w:themeFill="accent1"/>
      </w:tcPr>
    </w:tblStylePr>
    <w:tblStylePr w:type="lastRow">
      <w:pPr>
        <w:spacing w:before="0" w:after="0" w:line="240" w:lineRule="auto"/>
      </w:pPr>
      <w:rPr>
        <w:b/>
        <w:bCs/>
      </w:rPr>
      <w:tblPr/>
      <w:tcPr>
        <w:tcBorders>
          <w:top w:val="double" w:sz="6" w:space="0" w:color="2B3B5F" w:themeColor="accent1"/>
          <w:left w:val="single" w:sz="8" w:space="0" w:color="2B3B5F" w:themeColor="accent1"/>
          <w:bottom w:val="single" w:sz="8" w:space="0" w:color="2B3B5F" w:themeColor="accent1"/>
          <w:right w:val="single" w:sz="8" w:space="0" w:color="2B3B5F" w:themeColor="accent1"/>
        </w:tcBorders>
      </w:tcPr>
    </w:tblStylePr>
    <w:tblStylePr w:type="firstCol">
      <w:rPr>
        <w:b/>
        <w:bCs/>
      </w:rPr>
    </w:tblStylePr>
    <w:tblStylePr w:type="lastCol">
      <w:rPr>
        <w:b/>
        <w:bCs/>
      </w:rPr>
    </w:tblStylePr>
    <w:tblStylePr w:type="band1Vert">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tcPr>
    </w:tblStylePr>
    <w:tblStylePr w:type="band1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tcPr>
    </w:tblStylePr>
  </w:style>
  <w:style w:type="character" w:styleId="FollowedHyperlink">
    <w:name w:val="FollowedHyperlink"/>
    <w:basedOn w:val="DefaultParagraphFont"/>
    <w:semiHidden/>
    <w:unhideWhenUsed/>
    <w:rsid w:val="00EC0C71"/>
    <w:rPr>
      <w:color w:val="000000" w:themeColor="followedHyperlink"/>
      <w:u w:val="single"/>
    </w:rPr>
  </w:style>
  <w:style w:type="paragraph" w:styleId="NormalWeb">
    <w:name w:val="Normal (Web)"/>
    <w:basedOn w:val="Normal"/>
    <w:uiPriority w:val="99"/>
    <w:semiHidden/>
    <w:unhideWhenUsed/>
    <w:rsid w:val="004A69F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Caption1">
    <w:name w:val="Caption 1"/>
    <w:basedOn w:val="Caption"/>
    <w:link w:val="Caption1Char"/>
    <w:qFormat/>
    <w:rsid w:val="00972172"/>
  </w:style>
  <w:style w:type="character" w:customStyle="1" w:styleId="CaptionChar">
    <w:name w:val="Caption Char"/>
    <w:basedOn w:val="DefaultParagraphFont"/>
    <w:link w:val="Caption"/>
    <w:rsid w:val="00972172"/>
    <w:rPr>
      <w:b/>
      <w:bCs/>
      <w:color w:val="2B3B5F" w:themeColor="text2"/>
      <w:spacing w:val="-4"/>
    </w:rPr>
  </w:style>
  <w:style w:type="character" w:customStyle="1" w:styleId="Caption1Char">
    <w:name w:val="Caption 1 Char"/>
    <w:basedOn w:val="CaptionChar"/>
    <w:link w:val="Caption1"/>
    <w:rsid w:val="00972172"/>
    <w:rPr>
      <w:b/>
      <w:bCs/>
      <w:color w:val="2B3B5F" w:themeColor="text2"/>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1734623463">
      <w:bodyDiv w:val="1"/>
      <w:marLeft w:val="0"/>
      <w:marRight w:val="0"/>
      <w:marTop w:val="0"/>
      <w:marBottom w:val="0"/>
      <w:divBdr>
        <w:top w:val="none" w:sz="0" w:space="0" w:color="auto"/>
        <w:left w:val="none" w:sz="0" w:space="0" w:color="auto"/>
        <w:bottom w:val="none" w:sz="0" w:space="0" w:color="auto"/>
        <w:right w:val="none" w:sz="0" w:space="0" w:color="auto"/>
      </w:divBdr>
    </w:div>
    <w:div w:id="20275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image" Target="media/image7.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image" Target="media/image5.png"/><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9.xml"/><Relationship Id="rId41" Type="http://schemas.openxmlformats.org/officeDocument/2006/relationships/hyperlink" Target="http://www.aph.gov.au/About_Parliament/Parliamentary_Departments/Parliamentary_Budget_Office/guidance/Guidance_012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image" Target="media/image6.png"/><Relationship Id="rId45"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yperlink" Target="http://www.pbo.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4.png"/><Relationship Id="rId35" Type="http://schemas.openxmlformats.org/officeDocument/2006/relationships/footer" Target="footer11.xml"/><Relationship Id="rId43" Type="http://schemas.openxmlformats.org/officeDocument/2006/relationships/hyperlink" Target="http://www.pbo.gov.au/"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bo.gov/publication/49860"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PBO\Research%20Report.dotm" TargetMode="Externa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740D-F50F-4541-8FA8-7619BB5F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Report.dotm</Template>
  <TotalTime>9</TotalTime>
  <Pages>16</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Factors influencing the reliability of costings of policy proposals</vt:lpstr>
    </vt:vector>
  </TitlesOfParts>
  <Company>Parliament of Australia</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influencing the reliability of costings of policy proposals</dc:title>
  <dc:subject>Reliability ratings</dc:subject>
  <dc:creator>Parliamentary Budget Office</dc:creator>
  <cp:keywords/>
  <cp:lastModifiedBy>Pratley, Lauren (PBO)</cp:lastModifiedBy>
  <cp:revision>7</cp:revision>
  <cp:lastPrinted>2017-09-13T00:53:00Z</cp:lastPrinted>
  <dcterms:created xsi:type="dcterms:W3CDTF">2017-12-08T03:45:00Z</dcterms:created>
  <dcterms:modified xsi:type="dcterms:W3CDTF">2017-12-08T04:38:00Z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DRAFT</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_MarkAsFinal">
    <vt:bool>true</vt:bool>
  </property>
</Properties>
</file>