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BF6" w:rsidRDefault="00597BF6" w:rsidP="00785B35">
      <w:pPr>
        <w:pStyle w:val="Title"/>
      </w:pPr>
    </w:p>
    <w:p w:rsidR="00E67BBF" w:rsidRPr="00BE42AD" w:rsidRDefault="00057104" w:rsidP="00785B35">
      <w:pPr>
        <w:pStyle w:val="Title"/>
        <w:rPr>
          <w:color w:val="FFFFFF"/>
        </w:rPr>
      </w:pPr>
      <w:r>
        <w:t xml:space="preserve">behavioural assumptions </w:t>
      </w:r>
      <w:r w:rsidR="00D34383">
        <w:t>and</w:t>
      </w:r>
      <w:r>
        <w:t xml:space="preserve"> pbo costings</w:t>
      </w:r>
    </w:p>
    <w:p w:rsidR="00086FD2" w:rsidRPr="00BA0753" w:rsidRDefault="00057104" w:rsidP="00057104">
      <w:pPr>
        <w:pStyle w:val="Title3"/>
        <w:framePr w:w="3586" w:wrap="around" w:x="7831"/>
      </w:pPr>
      <w:r>
        <w:rPr>
          <w:rStyle w:val="Title3Heading"/>
        </w:rPr>
        <w:t>Information paper</w:t>
      </w:r>
      <w:r w:rsidR="00086FD2" w:rsidRPr="008621A9">
        <w:rPr>
          <w:rStyle w:val="Title3Heading"/>
        </w:rPr>
        <w:t xml:space="preserve"> </w:t>
      </w:r>
      <w:r w:rsidR="00F12CCB">
        <w:rPr>
          <w:rStyle w:val="Title3Heading"/>
        </w:rPr>
        <w:t>n</w:t>
      </w:r>
      <w:r w:rsidR="00F12CCB" w:rsidRPr="008621A9">
        <w:rPr>
          <w:rStyle w:val="Title3Heading"/>
        </w:rPr>
        <w:t>o</w:t>
      </w:r>
      <w:proofErr w:type="gramStart"/>
      <w:r w:rsidR="00086FD2" w:rsidRPr="008621A9">
        <w:rPr>
          <w:rStyle w:val="Title3Heading"/>
        </w:rPr>
        <w:t>.</w:t>
      </w:r>
      <w:proofErr w:type="gramEnd"/>
      <w:r w:rsidR="00AD1DE2">
        <w:rPr>
          <w:rStyle w:val="Title3Heading"/>
        </w:rPr>
        <w:br/>
      </w:r>
      <w:r>
        <w:t>01/20</w:t>
      </w:r>
      <w:r w:rsidR="002A4F31">
        <w:t>20</w:t>
      </w:r>
    </w:p>
    <w:p w:rsidR="00C800F2" w:rsidRDefault="00057104" w:rsidP="00AD1DE2">
      <w:pPr>
        <w:pStyle w:val="Title2"/>
      </w:pPr>
      <w:r>
        <w:t xml:space="preserve">Date issued: </w:t>
      </w:r>
      <w:r w:rsidR="00FC4E46">
        <w:t>1</w:t>
      </w:r>
      <w:r w:rsidR="0013240B">
        <w:t>5</w:t>
      </w:r>
      <w:r w:rsidR="002A4F31">
        <w:t xml:space="preserve"> January </w:t>
      </w:r>
      <w:r>
        <w:t>20</w:t>
      </w:r>
      <w:r w:rsidR="002A4F31">
        <w:t>20</w:t>
      </w:r>
    </w:p>
    <w:p w:rsidR="00086FD2" w:rsidRDefault="00086FD2" w:rsidP="00961DBB">
      <w:pPr>
        <w:sectPr w:rsidR="00086FD2" w:rsidSect="00A16EB0">
          <w:headerReference w:type="even" r:id="rId9"/>
          <w:headerReference w:type="default" r:id="rId10"/>
          <w:headerReference w:type="first" r:id="rId11"/>
          <w:pgSz w:w="11907" w:h="16840" w:code="9"/>
          <w:pgMar w:top="1191" w:right="1418" w:bottom="1021" w:left="1418" w:header="567" w:footer="709" w:gutter="0"/>
          <w:cols w:space="708"/>
          <w:titlePg/>
          <w:docGrid w:linePitch="360"/>
        </w:sectPr>
      </w:pPr>
    </w:p>
    <w:tbl>
      <w:tblPr>
        <w:tblpPr w:leftFromText="181" w:rightFromText="181" w:horzAnchor="margin" w:tblpY="4310"/>
        <w:tblOverlap w:val="never"/>
        <w:tblW w:w="0" w:type="auto"/>
        <w:tblCellMar>
          <w:bottom w:w="57" w:type="dxa"/>
          <w:right w:w="57" w:type="dxa"/>
        </w:tblCellMar>
        <w:tblLook w:val="04A0" w:firstRow="1" w:lastRow="0" w:firstColumn="1" w:lastColumn="0" w:noHBand="0" w:noVBand="1"/>
      </w:tblPr>
      <w:tblGrid>
        <w:gridCol w:w="8220"/>
      </w:tblGrid>
      <w:tr w:rsidR="001830F3" w:rsidRPr="001830F3" w:rsidTr="00CC37CA">
        <w:trPr>
          <w:trHeight w:val="8165"/>
        </w:trPr>
        <w:tc>
          <w:tcPr>
            <w:tcW w:w="8220" w:type="dxa"/>
            <w:vAlign w:val="bottom"/>
          </w:tcPr>
          <w:p w:rsidR="001830F3" w:rsidRPr="001830F3" w:rsidRDefault="001830F3" w:rsidP="00CC37CA">
            <w:pPr>
              <w:pStyle w:val="xDisclaimerText2"/>
              <w:framePr w:hSpace="0" w:wrap="auto" w:hAnchor="text" w:yAlign="inline"/>
              <w:suppressOverlap w:val="0"/>
            </w:pPr>
            <w:r w:rsidRPr="001830F3">
              <w:lastRenderedPageBreak/>
              <w:t>©</w:t>
            </w:r>
            <w:bookmarkStart w:id="0" w:name="_DisclaimerMarker"/>
            <w:bookmarkEnd w:id="0"/>
            <w:r w:rsidRPr="001830F3">
              <w:t xml:space="preserve"> Commonwealth of Australia </w:t>
            </w:r>
            <w:r w:rsidR="00E660C0">
              <w:t>20</w:t>
            </w:r>
            <w:bookmarkStart w:id="1" w:name="Here"/>
            <w:bookmarkEnd w:id="1"/>
            <w:r w:rsidR="0013240B">
              <w:t>20</w:t>
            </w:r>
          </w:p>
          <w:p w:rsidR="001830F3" w:rsidRPr="00F73498" w:rsidRDefault="00F73498" w:rsidP="00CC37CA">
            <w:pPr>
              <w:pStyle w:val="xDisclaimerText2"/>
              <w:framePr w:hSpace="0" w:wrap="auto" w:hAnchor="text" w:yAlign="inline"/>
              <w:suppressOverlap w:val="0"/>
            </w:pPr>
            <w:r w:rsidRPr="00F73498">
              <w:t>ISBN 978-0-6483701-5-4</w:t>
            </w:r>
            <w:r>
              <w:t xml:space="preserve"> (online)</w:t>
            </w:r>
          </w:p>
          <w:p w:rsidR="008A0A35" w:rsidRDefault="008A0A35" w:rsidP="008A0A35">
            <w:pPr>
              <w:pStyle w:val="xDisclaimerHeading"/>
              <w:framePr w:hSpace="0" w:wrap="auto" w:hAnchor="text" w:yAlign="inline"/>
              <w:suppressOverlap w:val="0"/>
            </w:pPr>
            <w:r>
              <w:t xml:space="preserve">Copyright </w:t>
            </w:r>
            <w:r w:rsidRPr="0086076E">
              <w:t>notice</w:t>
            </w:r>
          </w:p>
          <w:p w:rsidR="001830F3" w:rsidRPr="001830F3" w:rsidRDefault="001830F3" w:rsidP="00CC37CA">
            <w:pPr>
              <w:pStyle w:val="xDisclaimerText2"/>
              <w:framePr w:hSpace="0" w:wrap="auto" w:hAnchor="text" w:yAlign="inline"/>
              <w:suppressOverlap w:val="0"/>
            </w:pPr>
            <w:r w:rsidRPr="001830F3">
              <w:t>This work is licensed under the Creative Commons Attribution-</w:t>
            </w:r>
            <w:proofErr w:type="spellStart"/>
            <w:r w:rsidRPr="001830F3">
              <w:t>NonCommercial</w:t>
            </w:r>
            <w:proofErr w:type="spellEnd"/>
            <w:r w:rsidRPr="001830F3">
              <w:t>-</w:t>
            </w:r>
            <w:proofErr w:type="spellStart"/>
            <w:r w:rsidRPr="001830F3">
              <w:t>NoDerivs</w:t>
            </w:r>
            <w:proofErr w:type="spellEnd"/>
            <w:r w:rsidR="00395ABA">
              <w:br/>
            </w:r>
            <w:r w:rsidRPr="001830F3">
              <w:t>3.0 Australia License</w:t>
            </w:r>
            <w:r w:rsidR="008A0A35">
              <w:t xml:space="preserve"> </w:t>
            </w:r>
            <w:hyperlink r:id="rId12" w:history="1">
              <w:r w:rsidR="008A0A35" w:rsidRPr="00FF62B9">
                <w:rPr>
                  <w:rFonts w:ascii="Calibri" w:eastAsia="Calibri" w:hAnsi="Calibri" w:cs="Times New Roman"/>
                  <w:u w:val="single"/>
                </w:rPr>
                <w:t>http://creativecommons.org/licenses/by-nc-nd/3.0/au/</w:t>
              </w:r>
            </w:hyperlink>
          </w:p>
          <w:p w:rsidR="001830F3" w:rsidRPr="001830F3" w:rsidRDefault="00395ABA" w:rsidP="00CC37CA">
            <w:pPr>
              <w:pStyle w:val="xDisclaimerText2"/>
              <w:framePr w:hSpace="0" w:wrap="auto" w:hAnchor="text" w:yAlign="inline"/>
              <w:suppressOverlap w:val="0"/>
            </w:pPr>
            <w:r w:rsidRPr="00FF62B9">
              <w:rPr>
                <w:rFonts w:ascii="Calibri" w:eastAsia="Calibri" w:hAnsi="Calibri" w:cs="Times New Roman"/>
                <w:noProof/>
                <w:lang w:eastAsia="en-AU"/>
              </w:rPr>
              <w:drawing>
                <wp:inline distT="0" distB="0" distL="0" distR="0" wp14:anchorId="36546F80" wp14:editId="60465A83">
                  <wp:extent cx="731520" cy="25623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on creative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9523" cy="255539"/>
                          </a:xfrm>
                          <a:prstGeom prst="rect">
                            <a:avLst/>
                          </a:prstGeom>
                        </pic:spPr>
                      </pic:pic>
                    </a:graphicData>
                  </a:graphic>
                </wp:inline>
              </w:drawing>
            </w:r>
          </w:p>
          <w:p w:rsidR="001830F3" w:rsidRDefault="00395ABA" w:rsidP="00CC37CA">
            <w:pPr>
              <w:pStyle w:val="xDisclaimerHeading"/>
              <w:framePr w:hSpace="0" w:wrap="auto" w:hAnchor="text" w:yAlign="inline"/>
              <w:suppressOverlap w:val="0"/>
            </w:pPr>
            <w:r>
              <w:t>Attribution</w:t>
            </w:r>
          </w:p>
          <w:p w:rsidR="00395ABA" w:rsidRPr="00CC37CA" w:rsidRDefault="00395ABA" w:rsidP="00395ABA">
            <w:pPr>
              <w:pStyle w:val="xDisclaimerText"/>
              <w:framePr w:w="0" w:wrap="auto" w:hAnchor="text" w:yAlign="inline"/>
            </w:pPr>
            <w:r>
              <w:t xml:space="preserve">This publication should be attributed as follows: Parliamentary Budget Office, </w:t>
            </w:r>
            <w:r w:rsidR="00057104">
              <w:t>Information</w:t>
            </w:r>
            <w:r w:rsidR="00232019">
              <w:t> </w:t>
            </w:r>
            <w:r w:rsidR="00057104">
              <w:t xml:space="preserve">paper </w:t>
            </w:r>
            <w:r w:rsidR="00F12CCB">
              <w:t>n</w:t>
            </w:r>
            <w:r w:rsidR="0013240B">
              <w:t>o. 01/2020</w:t>
            </w:r>
            <w:r w:rsidR="00057104">
              <w:t xml:space="preserve">: </w:t>
            </w:r>
            <w:r w:rsidR="00F12CCB">
              <w:t>B</w:t>
            </w:r>
            <w:r w:rsidR="00057104">
              <w:t xml:space="preserve">ehavioural assumptions </w:t>
            </w:r>
            <w:r w:rsidR="00F12CCB">
              <w:t>and</w:t>
            </w:r>
            <w:r w:rsidR="00057104">
              <w:t xml:space="preserve"> PBO costings</w:t>
            </w:r>
            <w:r>
              <w:t>.</w:t>
            </w:r>
          </w:p>
          <w:p w:rsidR="00395ABA" w:rsidRDefault="00395ABA" w:rsidP="00395ABA">
            <w:pPr>
              <w:pStyle w:val="xDisclaimerHeading"/>
              <w:framePr w:hSpace="0" w:wrap="auto" w:hAnchor="text" w:yAlign="inline"/>
              <w:suppressOverlap w:val="0"/>
            </w:pPr>
            <w:r>
              <w:t>Use of the Coat of Arms</w:t>
            </w:r>
          </w:p>
          <w:p w:rsidR="001830F3" w:rsidRDefault="00395ABA" w:rsidP="00CC37CA">
            <w:pPr>
              <w:pStyle w:val="xDisclaimerText2"/>
              <w:framePr w:hSpace="0" w:wrap="auto" w:hAnchor="text" w:yAlign="inline"/>
              <w:suppressOverlap w:val="0"/>
            </w:pPr>
            <w:r w:rsidRPr="00FF62B9">
              <w:rPr>
                <w:rFonts w:ascii="Calibri" w:eastAsia="Calibri" w:hAnsi="Calibri" w:cs="Times New Roman"/>
              </w:rPr>
              <w:t xml:space="preserve">The terms under which the Coat of Arms can be used are detailed on the following website: </w:t>
            </w:r>
            <w:hyperlink r:id="rId14" w:history="1">
              <w:r w:rsidR="00E660C0" w:rsidRPr="00E9090D">
                <w:rPr>
                  <w:rStyle w:val="Hyperlink"/>
                </w:rPr>
                <w:t>https://www.pmc.gov.au/government/commonwealth-coat-arms</w:t>
              </w:r>
            </w:hyperlink>
            <w:r w:rsidR="00E660C0">
              <w:t xml:space="preserve"> </w:t>
            </w:r>
          </w:p>
          <w:p w:rsidR="00057104" w:rsidRDefault="00057104" w:rsidP="00057104">
            <w:pPr>
              <w:pStyle w:val="xDisclaimerHeading"/>
              <w:framePr w:hSpace="0" w:wrap="auto" w:hAnchor="text" w:yAlign="inline"/>
              <w:suppressOverlap w:val="0"/>
            </w:pPr>
            <w:r>
              <w:t>Feedback</w:t>
            </w:r>
          </w:p>
          <w:p w:rsidR="00057104" w:rsidRPr="001830F3" w:rsidRDefault="00057104" w:rsidP="008E4EC9">
            <w:pPr>
              <w:pStyle w:val="xDisclaimerText"/>
              <w:framePr w:w="0" w:wrap="auto" w:hAnchor="text" w:yAlign="inline"/>
            </w:pPr>
            <w:r w:rsidRPr="00057104">
              <w:rPr>
                <w:rFonts w:ascii="Calibri" w:eastAsia="Calibri" w:hAnsi="Calibri"/>
              </w:rPr>
              <w:t>If you found this information paper and/or the list of</w:t>
            </w:r>
            <w:r>
              <w:t xml:space="preserve"> behavioural assumptions useful, or have suggestions for improvement, please provide feedback to</w:t>
            </w:r>
            <w:r w:rsidR="008E4EC9">
              <w:t xml:space="preserve"> </w:t>
            </w:r>
            <w:hyperlink r:id="rId15" w:history="1">
              <w:r w:rsidR="008E4EC9" w:rsidRPr="003D3077">
                <w:rPr>
                  <w:rStyle w:val="Hyperlink"/>
                </w:rPr>
                <w:t>feedback@pbo.gov.au</w:t>
              </w:r>
            </w:hyperlink>
            <w:r>
              <w:t>.</w:t>
            </w:r>
          </w:p>
        </w:tc>
      </w:tr>
    </w:tbl>
    <w:p w:rsidR="00924801" w:rsidRDefault="00924801"/>
    <w:p w:rsidR="00C800F2" w:rsidRDefault="00C800F2"/>
    <w:p w:rsidR="00057104" w:rsidRDefault="00057104" w:rsidP="00057104">
      <w:pPr>
        <w:pStyle w:val="xDisclaimerHeading"/>
        <w:framePr w:hSpace="0" w:wrap="auto" w:hAnchor="text" w:yAlign="inline"/>
        <w:suppressOverlap w:val="0"/>
      </w:pPr>
      <w:r>
        <w:t>PBO information papers</w:t>
      </w:r>
    </w:p>
    <w:p w:rsidR="00057104" w:rsidRDefault="00057104" w:rsidP="00057104">
      <w:pPr>
        <w:pStyle w:val="BodyText"/>
      </w:pPr>
      <w:r>
        <w:t>PBO information papers are published to help explain, in an accessible way, the underlying data, concepts, methodologies and processes that the PBO uses in preparing costings of policy proposals and budget analyses.  The focus of PBO information papers i</w:t>
      </w:r>
      <w:r w:rsidR="00F12CCB">
        <w:t>s</w:t>
      </w:r>
      <w:r>
        <w:t xml:space="preserve"> different from that of PBO research reports which are aimed at improving the understanding of budget and fiscal policy issues more broadly.</w:t>
      </w:r>
    </w:p>
    <w:p w:rsidR="00057104" w:rsidRDefault="00057104" w:rsidP="00057104">
      <w:pPr>
        <w:pStyle w:val="BodyText"/>
      </w:pPr>
    </w:p>
    <w:p w:rsidR="00057104" w:rsidRDefault="00057104" w:rsidP="00057104">
      <w:pPr>
        <w:pStyle w:val="BodyText"/>
        <w:sectPr w:rsidR="00057104" w:rsidSect="00A16EB0">
          <w:headerReference w:type="even" r:id="rId16"/>
          <w:headerReference w:type="default" r:id="rId17"/>
          <w:footerReference w:type="even" r:id="rId18"/>
          <w:footerReference w:type="default" r:id="rId19"/>
          <w:headerReference w:type="first" r:id="rId20"/>
          <w:footerReference w:type="first" r:id="rId21"/>
          <w:pgSz w:w="11907" w:h="16840" w:code="9"/>
          <w:pgMar w:top="1191" w:right="1418" w:bottom="1021" w:left="1418" w:header="567" w:footer="709" w:gutter="0"/>
          <w:cols w:space="708"/>
          <w:docGrid w:linePitch="360"/>
        </w:sectPr>
      </w:pPr>
      <w:r>
        <w:br/>
      </w:r>
    </w:p>
    <w:p w:rsidR="00D559DF" w:rsidRDefault="00D559DF" w:rsidP="00FF1368">
      <w:pPr>
        <w:pStyle w:val="TOCHeading"/>
      </w:pPr>
      <w:r w:rsidRPr="00FF1368">
        <w:lastRenderedPageBreak/>
        <w:t>Contents</w:t>
      </w:r>
      <w:bookmarkStart w:id="2" w:name="_TOCMarker"/>
      <w:bookmarkEnd w:id="2"/>
    </w:p>
    <w:p w:rsidR="00DD7124" w:rsidRDefault="00195248">
      <w:pPr>
        <w:pStyle w:val="TOC1"/>
        <w:rPr>
          <w:rFonts w:eastAsiaTheme="minorEastAsia"/>
          <w:b w:val="0"/>
          <w:color w:val="auto"/>
          <w:sz w:val="22"/>
          <w:lang w:eastAsia="en-AU"/>
        </w:rPr>
      </w:pPr>
      <w:r>
        <w:rPr>
          <w:color w:val="9778B4" w:themeColor="text2"/>
        </w:rPr>
        <w:fldChar w:fldCharType="begin"/>
      </w:r>
      <w:r>
        <w:rPr>
          <w:color w:val="9778B4" w:themeColor="text2"/>
        </w:rPr>
        <w:instrText xml:space="preserve"> TOC \o "1-1" \h \z \u </w:instrText>
      </w:r>
      <w:r>
        <w:rPr>
          <w:color w:val="9778B4" w:themeColor="text2"/>
        </w:rPr>
        <w:fldChar w:fldCharType="separate"/>
      </w:r>
      <w:hyperlink w:anchor="_Toc29891180" w:history="1">
        <w:r w:rsidR="00DD7124" w:rsidRPr="0003229C">
          <w:rPr>
            <w:rStyle w:val="Hyperlink"/>
          </w:rPr>
          <w:t>Overview</w:t>
        </w:r>
        <w:r w:rsidR="00DD7124">
          <w:rPr>
            <w:webHidden/>
          </w:rPr>
          <w:tab/>
        </w:r>
        <w:r w:rsidR="00DD7124">
          <w:rPr>
            <w:webHidden/>
          </w:rPr>
          <w:fldChar w:fldCharType="begin"/>
        </w:r>
        <w:r w:rsidR="00DD7124">
          <w:rPr>
            <w:webHidden/>
          </w:rPr>
          <w:instrText xml:space="preserve"> PAGEREF _Toc29891180 \h </w:instrText>
        </w:r>
        <w:r w:rsidR="00DD7124">
          <w:rPr>
            <w:webHidden/>
          </w:rPr>
        </w:r>
        <w:r w:rsidR="00DD7124">
          <w:rPr>
            <w:webHidden/>
          </w:rPr>
          <w:fldChar w:fldCharType="separate"/>
        </w:r>
        <w:r w:rsidR="00DC02AF">
          <w:rPr>
            <w:webHidden/>
          </w:rPr>
          <w:t>iii</w:t>
        </w:r>
        <w:r w:rsidR="00DD7124">
          <w:rPr>
            <w:webHidden/>
          </w:rPr>
          <w:fldChar w:fldCharType="end"/>
        </w:r>
      </w:hyperlink>
    </w:p>
    <w:p w:rsidR="00DD7124" w:rsidRDefault="00E608E2">
      <w:pPr>
        <w:pStyle w:val="TOC1"/>
        <w:rPr>
          <w:rFonts w:eastAsiaTheme="minorEastAsia"/>
          <w:b w:val="0"/>
          <w:color w:val="auto"/>
          <w:sz w:val="22"/>
          <w:lang w:eastAsia="en-AU"/>
        </w:rPr>
      </w:pPr>
      <w:hyperlink w:anchor="_Toc29891181" w:history="1">
        <w:r w:rsidR="00DD7124" w:rsidRPr="0003229C">
          <w:rPr>
            <w:rStyle w:val="Hyperlink"/>
          </w:rPr>
          <w:t>1</w:t>
        </w:r>
        <w:r w:rsidR="00DD7124">
          <w:rPr>
            <w:rFonts w:eastAsiaTheme="minorEastAsia"/>
            <w:b w:val="0"/>
            <w:color w:val="auto"/>
            <w:sz w:val="22"/>
            <w:lang w:eastAsia="en-AU"/>
          </w:rPr>
          <w:tab/>
        </w:r>
        <w:r w:rsidR="00DD7124" w:rsidRPr="0003229C">
          <w:rPr>
            <w:rStyle w:val="Hyperlink"/>
          </w:rPr>
          <w:t>Policy costings and behavioural assumptions</w:t>
        </w:r>
        <w:r w:rsidR="00DD7124">
          <w:rPr>
            <w:webHidden/>
          </w:rPr>
          <w:tab/>
        </w:r>
        <w:r w:rsidR="00DD7124">
          <w:rPr>
            <w:webHidden/>
          </w:rPr>
          <w:fldChar w:fldCharType="begin"/>
        </w:r>
        <w:r w:rsidR="00DD7124">
          <w:rPr>
            <w:webHidden/>
          </w:rPr>
          <w:instrText xml:space="preserve"> PAGEREF _Toc29891181 \h </w:instrText>
        </w:r>
        <w:r w:rsidR="00DD7124">
          <w:rPr>
            <w:webHidden/>
          </w:rPr>
        </w:r>
        <w:r w:rsidR="00DD7124">
          <w:rPr>
            <w:webHidden/>
          </w:rPr>
          <w:fldChar w:fldCharType="separate"/>
        </w:r>
        <w:r w:rsidR="00DC02AF">
          <w:rPr>
            <w:webHidden/>
          </w:rPr>
          <w:t>1</w:t>
        </w:r>
        <w:r w:rsidR="00DD7124">
          <w:rPr>
            <w:webHidden/>
          </w:rPr>
          <w:fldChar w:fldCharType="end"/>
        </w:r>
      </w:hyperlink>
    </w:p>
    <w:p w:rsidR="00DD7124" w:rsidRDefault="00E608E2">
      <w:pPr>
        <w:pStyle w:val="TOC1"/>
        <w:rPr>
          <w:rFonts w:eastAsiaTheme="minorEastAsia"/>
          <w:b w:val="0"/>
          <w:color w:val="auto"/>
          <w:sz w:val="22"/>
          <w:lang w:eastAsia="en-AU"/>
        </w:rPr>
      </w:pPr>
      <w:hyperlink w:anchor="_Toc29891182" w:history="1">
        <w:r w:rsidR="00DD7124" w:rsidRPr="0003229C">
          <w:rPr>
            <w:rStyle w:val="Hyperlink"/>
          </w:rPr>
          <w:t>2</w:t>
        </w:r>
        <w:r w:rsidR="00DD7124">
          <w:rPr>
            <w:rFonts w:eastAsiaTheme="minorEastAsia"/>
            <w:b w:val="0"/>
            <w:color w:val="auto"/>
            <w:sz w:val="22"/>
            <w:lang w:eastAsia="en-AU"/>
          </w:rPr>
          <w:tab/>
        </w:r>
        <w:r w:rsidR="00DD7124" w:rsidRPr="0003229C">
          <w:rPr>
            <w:rStyle w:val="Hyperlink"/>
          </w:rPr>
          <w:t>Consistency across policies</w:t>
        </w:r>
        <w:r w:rsidR="00DD7124">
          <w:rPr>
            <w:webHidden/>
          </w:rPr>
          <w:tab/>
        </w:r>
        <w:r w:rsidR="00DD7124">
          <w:rPr>
            <w:webHidden/>
          </w:rPr>
          <w:fldChar w:fldCharType="begin"/>
        </w:r>
        <w:r w:rsidR="00DD7124">
          <w:rPr>
            <w:webHidden/>
          </w:rPr>
          <w:instrText xml:space="preserve"> PAGEREF _Toc29891182 \h </w:instrText>
        </w:r>
        <w:r w:rsidR="00DD7124">
          <w:rPr>
            <w:webHidden/>
          </w:rPr>
        </w:r>
        <w:r w:rsidR="00DD7124">
          <w:rPr>
            <w:webHidden/>
          </w:rPr>
          <w:fldChar w:fldCharType="separate"/>
        </w:r>
        <w:r w:rsidR="00DC02AF">
          <w:rPr>
            <w:webHidden/>
          </w:rPr>
          <w:t>3</w:t>
        </w:r>
        <w:r w:rsidR="00DD7124">
          <w:rPr>
            <w:webHidden/>
          </w:rPr>
          <w:fldChar w:fldCharType="end"/>
        </w:r>
      </w:hyperlink>
    </w:p>
    <w:p w:rsidR="00DD7124" w:rsidRDefault="00E608E2">
      <w:pPr>
        <w:pStyle w:val="TOC1"/>
        <w:rPr>
          <w:rFonts w:eastAsiaTheme="minorEastAsia"/>
          <w:b w:val="0"/>
          <w:color w:val="auto"/>
          <w:sz w:val="22"/>
          <w:lang w:eastAsia="en-AU"/>
        </w:rPr>
      </w:pPr>
      <w:hyperlink w:anchor="_Toc29891183" w:history="1">
        <w:r w:rsidR="00DD7124" w:rsidRPr="0003229C">
          <w:rPr>
            <w:rStyle w:val="Hyperlink"/>
          </w:rPr>
          <w:t>3</w:t>
        </w:r>
        <w:r w:rsidR="00DD7124">
          <w:rPr>
            <w:rFonts w:eastAsiaTheme="minorEastAsia"/>
            <w:b w:val="0"/>
            <w:color w:val="auto"/>
            <w:sz w:val="22"/>
            <w:lang w:eastAsia="en-AU"/>
          </w:rPr>
          <w:tab/>
        </w:r>
        <w:r w:rsidR="00DD7124" w:rsidRPr="0003229C">
          <w:rPr>
            <w:rStyle w:val="Hyperlink"/>
          </w:rPr>
          <w:t>Empirical research</w:t>
        </w:r>
        <w:r w:rsidR="00DD7124">
          <w:rPr>
            <w:webHidden/>
          </w:rPr>
          <w:tab/>
        </w:r>
        <w:r w:rsidR="00DD7124">
          <w:rPr>
            <w:webHidden/>
          </w:rPr>
          <w:fldChar w:fldCharType="begin"/>
        </w:r>
        <w:r w:rsidR="00DD7124">
          <w:rPr>
            <w:webHidden/>
          </w:rPr>
          <w:instrText xml:space="preserve"> PAGEREF _Toc29891183 \h </w:instrText>
        </w:r>
        <w:r w:rsidR="00DD7124">
          <w:rPr>
            <w:webHidden/>
          </w:rPr>
        </w:r>
        <w:r w:rsidR="00DD7124">
          <w:rPr>
            <w:webHidden/>
          </w:rPr>
          <w:fldChar w:fldCharType="separate"/>
        </w:r>
        <w:r w:rsidR="00DC02AF">
          <w:rPr>
            <w:webHidden/>
          </w:rPr>
          <w:t>5</w:t>
        </w:r>
        <w:r w:rsidR="00DD7124">
          <w:rPr>
            <w:webHidden/>
          </w:rPr>
          <w:fldChar w:fldCharType="end"/>
        </w:r>
      </w:hyperlink>
    </w:p>
    <w:p w:rsidR="00DD7124" w:rsidRDefault="00E608E2">
      <w:pPr>
        <w:pStyle w:val="TOC1"/>
        <w:rPr>
          <w:rFonts w:eastAsiaTheme="minorEastAsia"/>
          <w:b w:val="0"/>
          <w:color w:val="auto"/>
          <w:sz w:val="22"/>
          <w:lang w:eastAsia="en-AU"/>
        </w:rPr>
      </w:pPr>
      <w:hyperlink w:anchor="_Toc29891184" w:history="1">
        <w:r w:rsidR="00DD7124" w:rsidRPr="0003229C">
          <w:rPr>
            <w:rStyle w:val="Hyperlink"/>
          </w:rPr>
          <w:t>4</w:t>
        </w:r>
        <w:r w:rsidR="00DD7124">
          <w:rPr>
            <w:rFonts w:eastAsiaTheme="minorEastAsia"/>
            <w:b w:val="0"/>
            <w:color w:val="auto"/>
            <w:sz w:val="22"/>
            <w:lang w:eastAsia="en-AU"/>
          </w:rPr>
          <w:tab/>
        </w:r>
        <w:r w:rsidR="00DD7124" w:rsidRPr="0003229C">
          <w:rPr>
            <w:rStyle w:val="Hyperlink"/>
          </w:rPr>
          <w:t>Expert advice</w:t>
        </w:r>
        <w:r w:rsidR="00DD7124">
          <w:rPr>
            <w:webHidden/>
          </w:rPr>
          <w:tab/>
        </w:r>
        <w:r w:rsidR="00DD7124">
          <w:rPr>
            <w:webHidden/>
          </w:rPr>
          <w:fldChar w:fldCharType="begin"/>
        </w:r>
        <w:r w:rsidR="00DD7124">
          <w:rPr>
            <w:webHidden/>
          </w:rPr>
          <w:instrText xml:space="preserve"> PAGEREF _Toc29891184 \h </w:instrText>
        </w:r>
        <w:r w:rsidR="00DD7124">
          <w:rPr>
            <w:webHidden/>
          </w:rPr>
        </w:r>
        <w:r w:rsidR="00DD7124">
          <w:rPr>
            <w:webHidden/>
          </w:rPr>
          <w:fldChar w:fldCharType="separate"/>
        </w:r>
        <w:r w:rsidR="00DC02AF">
          <w:rPr>
            <w:webHidden/>
          </w:rPr>
          <w:t>7</w:t>
        </w:r>
        <w:r w:rsidR="00DD7124">
          <w:rPr>
            <w:webHidden/>
          </w:rPr>
          <w:fldChar w:fldCharType="end"/>
        </w:r>
      </w:hyperlink>
    </w:p>
    <w:p w:rsidR="00DD7124" w:rsidRDefault="00E608E2">
      <w:pPr>
        <w:pStyle w:val="TOC1"/>
        <w:rPr>
          <w:rFonts w:eastAsiaTheme="minorEastAsia"/>
          <w:b w:val="0"/>
          <w:color w:val="auto"/>
          <w:sz w:val="22"/>
          <w:lang w:eastAsia="en-AU"/>
        </w:rPr>
      </w:pPr>
      <w:hyperlink w:anchor="_Toc29891185" w:history="1">
        <w:r w:rsidR="00DD7124" w:rsidRPr="0003229C">
          <w:rPr>
            <w:rStyle w:val="Hyperlink"/>
          </w:rPr>
          <w:t>5</w:t>
        </w:r>
        <w:r w:rsidR="00DD7124">
          <w:rPr>
            <w:rFonts w:eastAsiaTheme="minorEastAsia"/>
            <w:b w:val="0"/>
            <w:color w:val="auto"/>
            <w:sz w:val="22"/>
            <w:lang w:eastAsia="en-AU"/>
          </w:rPr>
          <w:tab/>
        </w:r>
        <w:r w:rsidR="00DD7124" w:rsidRPr="0003229C">
          <w:rPr>
            <w:rStyle w:val="Hyperlink"/>
          </w:rPr>
          <w:t>Ensuring transparency</w:t>
        </w:r>
        <w:r w:rsidR="00DD7124">
          <w:rPr>
            <w:webHidden/>
          </w:rPr>
          <w:tab/>
        </w:r>
        <w:r w:rsidR="00DD7124">
          <w:rPr>
            <w:webHidden/>
          </w:rPr>
          <w:fldChar w:fldCharType="begin"/>
        </w:r>
        <w:r w:rsidR="00DD7124">
          <w:rPr>
            <w:webHidden/>
          </w:rPr>
          <w:instrText xml:space="preserve"> PAGEREF _Toc29891185 \h </w:instrText>
        </w:r>
        <w:r w:rsidR="00DD7124">
          <w:rPr>
            <w:webHidden/>
          </w:rPr>
        </w:r>
        <w:r w:rsidR="00DD7124">
          <w:rPr>
            <w:webHidden/>
          </w:rPr>
          <w:fldChar w:fldCharType="separate"/>
        </w:r>
        <w:r w:rsidR="00DC02AF">
          <w:rPr>
            <w:webHidden/>
          </w:rPr>
          <w:t>9</w:t>
        </w:r>
        <w:r w:rsidR="00DD7124">
          <w:rPr>
            <w:webHidden/>
          </w:rPr>
          <w:fldChar w:fldCharType="end"/>
        </w:r>
      </w:hyperlink>
    </w:p>
    <w:p w:rsidR="00DD7124" w:rsidRDefault="00E608E2">
      <w:pPr>
        <w:pStyle w:val="TOC1"/>
        <w:rPr>
          <w:rFonts w:eastAsiaTheme="minorEastAsia"/>
          <w:b w:val="0"/>
          <w:color w:val="auto"/>
          <w:sz w:val="22"/>
          <w:lang w:eastAsia="en-AU"/>
        </w:rPr>
      </w:pPr>
      <w:hyperlink w:anchor="_Toc29891186" w:history="1">
        <w:r w:rsidR="00DD7124" w:rsidRPr="0003229C">
          <w:rPr>
            <w:rStyle w:val="Hyperlink"/>
          </w:rPr>
          <w:t>References</w:t>
        </w:r>
        <w:r w:rsidR="00DD7124">
          <w:rPr>
            <w:webHidden/>
          </w:rPr>
          <w:tab/>
        </w:r>
        <w:r w:rsidR="00DD7124">
          <w:rPr>
            <w:webHidden/>
          </w:rPr>
          <w:fldChar w:fldCharType="begin"/>
        </w:r>
        <w:r w:rsidR="00DD7124">
          <w:rPr>
            <w:webHidden/>
          </w:rPr>
          <w:instrText xml:space="preserve"> PAGEREF _Toc29891186 \h </w:instrText>
        </w:r>
        <w:r w:rsidR="00DD7124">
          <w:rPr>
            <w:webHidden/>
          </w:rPr>
        </w:r>
        <w:r w:rsidR="00DD7124">
          <w:rPr>
            <w:webHidden/>
          </w:rPr>
          <w:fldChar w:fldCharType="separate"/>
        </w:r>
        <w:r w:rsidR="00DC02AF">
          <w:rPr>
            <w:webHidden/>
          </w:rPr>
          <w:t>10</w:t>
        </w:r>
        <w:r w:rsidR="00DD7124">
          <w:rPr>
            <w:webHidden/>
          </w:rPr>
          <w:fldChar w:fldCharType="end"/>
        </w:r>
      </w:hyperlink>
    </w:p>
    <w:p w:rsidR="00DD7124" w:rsidRDefault="00E608E2" w:rsidP="00FA0877">
      <w:pPr>
        <w:pStyle w:val="TOC1"/>
        <w:tabs>
          <w:tab w:val="clear" w:pos="567"/>
          <w:tab w:val="left" w:pos="1418"/>
        </w:tabs>
        <w:ind w:left="1418" w:right="1985" w:hanging="1418"/>
        <w:rPr>
          <w:rFonts w:eastAsiaTheme="minorEastAsia"/>
          <w:b w:val="0"/>
          <w:color w:val="auto"/>
          <w:sz w:val="22"/>
          <w:lang w:eastAsia="en-AU"/>
        </w:rPr>
      </w:pPr>
      <w:hyperlink w:anchor="_Toc29891187" w:history="1">
        <w:r w:rsidR="00DD7124" w:rsidRPr="0003229C">
          <w:rPr>
            <w:rStyle w:val="Hyperlink"/>
          </w:rPr>
          <w:t>Appendix A</w:t>
        </w:r>
        <w:r w:rsidR="00232019" w:rsidRPr="0003229C">
          <w:rPr>
            <w:rStyle w:val="Hyperlink"/>
          </w:rPr>
          <w:t>:</w:t>
        </w:r>
        <w:r w:rsidR="00232019">
          <w:rPr>
            <w:rStyle w:val="Hyperlink"/>
          </w:rPr>
          <w:tab/>
        </w:r>
        <w:r w:rsidR="00DD7124" w:rsidRPr="0003229C">
          <w:rPr>
            <w:rStyle w:val="Hyperlink"/>
          </w:rPr>
          <w:t>Consolidated list of behavioural assumptions used in published PBO costings in 2019</w:t>
        </w:r>
        <w:r w:rsidR="00DD7124">
          <w:rPr>
            <w:webHidden/>
          </w:rPr>
          <w:tab/>
        </w:r>
        <w:r w:rsidR="00DD7124">
          <w:rPr>
            <w:webHidden/>
          </w:rPr>
          <w:fldChar w:fldCharType="begin"/>
        </w:r>
        <w:r w:rsidR="00DD7124">
          <w:rPr>
            <w:webHidden/>
          </w:rPr>
          <w:instrText xml:space="preserve"> PAGEREF _Toc29891187 \h </w:instrText>
        </w:r>
        <w:r w:rsidR="00DD7124">
          <w:rPr>
            <w:webHidden/>
          </w:rPr>
        </w:r>
        <w:r w:rsidR="00DD7124">
          <w:rPr>
            <w:webHidden/>
          </w:rPr>
          <w:fldChar w:fldCharType="separate"/>
        </w:r>
        <w:r w:rsidR="00DC02AF">
          <w:rPr>
            <w:webHidden/>
          </w:rPr>
          <w:t>11</w:t>
        </w:r>
        <w:r w:rsidR="00DD7124">
          <w:rPr>
            <w:webHidden/>
          </w:rPr>
          <w:fldChar w:fldCharType="end"/>
        </w:r>
      </w:hyperlink>
    </w:p>
    <w:p w:rsidR="00CC37CA" w:rsidRDefault="00195248">
      <w:pPr>
        <w:rPr>
          <w:bCs/>
        </w:rPr>
        <w:sectPr w:rsidR="00CC37CA" w:rsidSect="00A16EB0">
          <w:headerReference w:type="even" r:id="rId22"/>
          <w:headerReference w:type="default" r:id="rId23"/>
          <w:footerReference w:type="even" r:id="rId24"/>
          <w:footerReference w:type="default" r:id="rId25"/>
          <w:type w:val="oddPage"/>
          <w:pgSz w:w="11907" w:h="16840" w:code="9"/>
          <w:pgMar w:top="1191" w:right="1418" w:bottom="1021" w:left="1418" w:header="567" w:footer="709" w:gutter="0"/>
          <w:pgNumType w:fmt="lowerRoman" w:start="1"/>
          <w:cols w:space="708"/>
          <w:docGrid w:linePitch="360"/>
        </w:sectPr>
      </w:pPr>
      <w:r>
        <w:rPr>
          <w:noProof/>
          <w:color w:val="9778B4" w:themeColor="text2"/>
          <w:sz w:val="24"/>
        </w:rPr>
        <w:fldChar w:fldCharType="end"/>
      </w:r>
    </w:p>
    <w:p w:rsidR="00CC37CA" w:rsidRPr="00C51D0B" w:rsidRDefault="00CC37CA" w:rsidP="00CC37CA">
      <w:pPr>
        <w:pStyle w:val="Heading1NoNumbering"/>
      </w:pPr>
      <w:bookmarkStart w:id="3" w:name="_ForewordMarker"/>
      <w:bookmarkStart w:id="4" w:name="_Toc396331954"/>
      <w:bookmarkStart w:id="5" w:name="_Toc29891180"/>
      <w:bookmarkEnd w:id="3"/>
      <w:r w:rsidRPr="00C51D0B">
        <w:lastRenderedPageBreak/>
        <w:t>Overview</w:t>
      </w:r>
      <w:bookmarkStart w:id="6" w:name="_OverviewMarker"/>
      <w:bookmarkEnd w:id="4"/>
      <w:bookmarkEnd w:id="5"/>
      <w:bookmarkEnd w:id="6"/>
    </w:p>
    <w:p w:rsidR="00033F36" w:rsidRDefault="00C4650C" w:rsidP="00D363B3">
      <w:pPr>
        <w:pStyle w:val="BodyText"/>
      </w:pPr>
      <w:r>
        <w:t>A key role for the Parliamentary Budget Office (PBO) is to provide advice to parliamentarians on the estimated financial implications, or ‘cost’, of policy proposals</w:t>
      </w:r>
      <w:r w:rsidR="00D34383">
        <w:t xml:space="preserve"> they are considering</w:t>
      </w:r>
      <w:r>
        <w:t xml:space="preserve">.  </w:t>
      </w:r>
      <w:r w:rsidR="00D34383">
        <w:t>We</w:t>
      </w:r>
      <w:r w:rsidR="00151123">
        <w:t xml:space="preserve"> provide independent </w:t>
      </w:r>
      <w:r w:rsidR="00D34383">
        <w:t xml:space="preserve">advice </w:t>
      </w:r>
      <w:r w:rsidR="00151123">
        <w:t xml:space="preserve">that can be interpreted in the same way as </w:t>
      </w:r>
      <w:r w:rsidR="00D34383">
        <w:t xml:space="preserve">the costings </w:t>
      </w:r>
      <w:r w:rsidR="00151123">
        <w:t xml:space="preserve">presented by the </w:t>
      </w:r>
      <w:r w:rsidR="00701FA7">
        <w:t>g</w:t>
      </w:r>
      <w:r w:rsidR="00151123">
        <w:t xml:space="preserve">overnment in </w:t>
      </w:r>
      <w:r>
        <w:t xml:space="preserve">the </w:t>
      </w:r>
      <w:r w:rsidR="00701FA7">
        <w:t>b</w:t>
      </w:r>
      <w:r w:rsidR="00151123">
        <w:t xml:space="preserve">udget, prepared to the same standards and using the same concepts. </w:t>
      </w:r>
      <w:r w:rsidR="00910205">
        <w:t xml:space="preserve"> </w:t>
      </w:r>
    </w:p>
    <w:p w:rsidR="003869D4" w:rsidRDefault="00910205" w:rsidP="00D363B3">
      <w:pPr>
        <w:pStyle w:val="BodyText"/>
      </w:pPr>
      <w:r>
        <w:t xml:space="preserve">Our advice is typically sought by members of the </w:t>
      </w:r>
      <w:r w:rsidR="00F12CCB">
        <w:t>O</w:t>
      </w:r>
      <w:r>
        <w:t xml:space="preserve">pposition and minor parties </w:t>
      </w:r>
      <w:r w:rsidR="00F12CCB">
        <w:t>as</w:t>
      </w:r>
      <w:r>
        <w:t xml:space="preserve"> they cannot ask government departments for such advice.</w:t>
      </w:r>
      <w:r w:rsidR="007635AB">
        <w:t xml:space="preserve">  </w:t>
      </w:r>
      <w:r w:rsidR="008F61D4">
        <w:t>We provide o</w:t>
      </w:r>
      <w:r w:rsidR="007635AB">
        <w:t xml:space="preserve">ur </w:t>
      </w:r>
      <w:r w:rsidR="008F61D4">
        <w:t xml:space="preserve">costing </w:t>
      </w:r>
      <w:r w:rsidR="007635AB">
        <w:t xml:space="preserve">advice on a confidential basis if the parliamentarian requests it, </w:t>
      </w:r>
      <w:r w:rsidR="00F12CCB">
        <w:t>and therefore</w:t>
      </w:r>
      <w:r w:rsidR="007635AB">
        <w:t xml:space="preserve"> it is </w:t>
      </w:r>
      <w:r w:rsidR="00F12CCB">
        <w:t>the decision of</w:t>
      </w:r>
      <w:r w:rsidR="007635AB">
        <w:t xml:space="preserve"> the parliamentarian </w:t>
      </w:r>
      <w:r w:rsidR="00F12CCB">
        <w:t xml:space="preserve">on </w:t>
      </w:r>
      <w:r w:rsidR="007635AB">
        <w:t xml:space="preserve">whether </w:t>
      </w:r>
      <w:r w:rsidR="00F12CCB">
        <w:t xml:space="preserve">or not </w:t>
      </w:r>
      <w:r w:rsidR="007635AB">
        <w:t xml:space="preserve">to </w:t>
      </w:r>
      <w:r w:rsidR="008F61D4">
        <w:t xml:space="preserve">publicly </w:t>
      </w:r>
      <w:r w:rsidR="007635AB">
        <w:t xml:space="preserve">release the </w:t>
      </w:r>
      <w:r w:rsidR="008F61D4">
        <w:t>costing</w:t>
      </w:r>
      <w:r w:rsidR="007635AB">
        <w:t>.</w:t>
      </w:r>
    </w:p>
    <w:p w:rsidR="00C4650C" w:rsidRDefault="00C4650C" w:rsidP="00D363B3">
      <w:pPr>
        <w:pStyle w:val="BodyText"/>
      </w:pPr>
      <w:r>
        <w:t xml:space="preserve">A costing </w:t>
      </w:r>
      <w:r w:rsidR="0003142D">
        <w:t xml:space="preserve">critically </w:t>
      </w:r>
      <w:r w:rsidR="00F12CCB">
        <w:t xml:space="preserve">depends </w:t>
      </w:r>
      <w:r w:rsidR="0003142D">
        <w:t xml:space="preserve">on </w:t>
      </w:r>
      <w:r>
        <w:t xml:space="preserve">the details of </w:t>
      </w:r>
      <w:r w:rsidR="00D34383">
        <w:t xml:space="preserve">the specification of the proposed </w:t>
      </w:r>
      <w:r>
        <w:t>policy</w:t>
      </w:r>
      <w:r w:rsidR="00F12CCB">
        <w:t>,</w:t>
      </w:r>
      <w:r>
        <w:t xml:space="preserve"> </w:t>
      </w:r>
      <w:r w:rsidR="0003142D">
        <w:t xml:space="preserve">as well as </w:t>
      </w:r>
      <w:r w:rsidR="00910205">
        <w:t xml:space="preserve">our </w:t>
      </w:r>
      <w:r>
        <w:t>assumptions</w:t>
      </w:r>
      <w:r w:rsidR="0003142D">
        <w:t xml:space="preserve"> about </w:t>
      </w:r>
      <w:r w:rsidR="007F2E20">
        <w:t xml:space="preserve">how </w:t>
      </w:r>
      <w:r w:rsidR="00D34383">
        <w:t xml:space="preserve">people </w:t>
      </w:r>
      <w:r w:rsidR="009118F8">
        <w:t xml:space="preserve">affected by the </w:t>
      </w:r>
      <w:r w:rsidR="00D34383">
        <w:t xml:space="preserve">policy </w:t>
      </w:r>
      <w:r w:rsidR="009118F8">
        <w:t xml:space="preserve">would </w:t>
      </w:r>
      <w:r w:rsidR="00D34383">
        <w:t xml:space="preserve">be likely to </w:t>
      </w:r>
      <w:r w:rsidR="0003142D">
        <w:t>change their behaviour</w:t>
      </w:r>
      <w:r w:rsidR="00D34383">
        <w:t xml:space="preserve"> in response to the policy</w:t>
      </w:r>
      <w:r w:rsidR="009118F8">
        <w:t>.</w:t>
      </w:r>
      <w:r w:rsidR="00501ADC">
        <w:t xml:space="preserve">  </w:t>
      </w:r>
      <w:r w:rsidR="00501ADC" w:rsidRPr="00B42323">
        <w:t xml:space="preserve">  </w:t>
      </w:r>
    </w:p>
    <w:p w:rsidR="009118F8" w:rsidRDefault="009118F8" w:rsidP="009118F8">
      <w:pPr>
        <w:pStyle w:val="BodyText"/>
      </w:pPr>
      <w:r w:rsidRPr="00175E6F">
        <w:t xml:space="preserve">This information paper explains </w:t>
      </w:r>
      <w:r w:rsidR="00033F36">
        <w:t>our</w:t>
      </w:r>
      <w:r>
        <w:t xml:space="preserve"> </w:t>
      </w:r>
      <w:r w:rsidRPr="00175E6F">
        <w:t xml:space="preserve">approach </w:t>
      </w:r>
      <w:r>
        <w:t xml:space="preserve">to </w:t>
      </w:r>
      <w:r w:rsidRPr="00175E6F">
        <w:t>determin</w:t>
      </w:r>
      <w:r>
        <w:t>ing</w:t>
      </w:r>
      <w:r w:rsidRPr="00175E6F">
        <w:t xml:space="preserve"> </w:t>
      </w:r>
      <w:r w:rsidR="00D34383">
        <w:t xml:space="preserve">the </w:t>
      </w:r>
      <w:r w:rsidRPr="00175E6F">
        <w:t xml:space="preserve">behavioural assumptions </w:t>
      </w:r>
      <w:r w:rsidR="00D34383">
        <w:t>we apply when estimating the cost of policy proposals</w:t>
      </w:r>
      <w:r w:rsidRPr="00175E6F">
        <w:t xml:space="preserve">.  </w:t>
      </w:r>
      <w:r>
        <w:t>We are guided by three principles.  Behavioural assumptions aim to be:</w:t>
      </w:r>
    </w:p>
    <w:p w:rsidR="009118F8" w:rsidRDefault="009118F8" w:rsidP="003B51C0">
      <w:pPr>
        <w:pStyle w:val="ListNumber"/>
        <w:tabs>
          <w:tab w:val="clear" w:pos="852"/>
          <w:tab w:val="num" w:pos="567"/>
        </w:tabs>
        <w:ind w:left="284"/>
      </w:pPr>
      <w:r>
        <w:t>consistent across similar policies</w:t>
      </w:r>
    </w:p>
    <w:p w:rsidR="009118F8" w:rsidRDefault="009118F8" w:rsidP="003B51C0">
      <w:pPr>
        <w:pStyle w:val="ListNumber"/>
        <w:tabs>
          <w:tab w:val="clear" w:pos="852"/>
          <w:tab w:val="num" w:pos="567"/>
        </w:tabs>
        <w:ind w:left="284"/>
      </w:pPr>
      <w:r>
        <w:t>backed by empirical evidence</w:t>
      </w:r>
    </w:p>
    <w:p w:rsidR="009118F8" w:rsidRDefault="009118F8" w:rsidP="003B51C0">
      <w:pPr>
        <w:pStyle w:val="ListNumber"/>
        <w:tabs>
          <w:tab w:val="clear" w:pos="852"/>
          <w:tab w:val="num" w:pos="567"/>
        </w:tabs>
        <w:ind w:left="284"/>
      </w:pPr>
      <w:proofErr w:type="gramStart"/>
      <w:r>
        <w:t>informed</w:t>
      </w:r>
      <w:proofErr w:type="gramEnd"/>
      <w:r>
        <w:t xml:space="preserve"> by expert </w:t>
      </w:r>
      <w:r w:rsidR="007F2023">
        <w:t>advice</w:t>
      </w:r>
      <w:r w:rsidR="008F61D4">
        <w:t>.</w:t>
      </w:r>
    </w:p>
    <w:p w:rsidR="009118F8" w:rsidRDefault="009118F8" w:rsidP="00D363B3">
      <w:pPr>
        <w:pStyle w:val="BodyText"/>
      </w:pPr>
      <w:r>
        <w:t>Given that a policy costing</w:t>
      </w:r>
      <w:r w:rsidR="003869D4">
        <w:t xml:space="preserve"> can be particularly sensitive to </w:t>
      </w:r>
      <w:r w:rsidR="00D34383">
        <w:t xml:space="preserve">assumed </w:t>
      </w:r>
      <w:r w:rsidR="003869D4">
        <w:t xml:space="preserve">behavioural </w:t>
      </w:r>
      <w:r w:rsidR="00D34383">
        <w:t>responses</w:t>
      </w:r>
      <w:r>
        <w:t xml:space="preserve">, we are committed to transparency around these assumptions.  The advice we provide to parliamentarians includes </w:t>
      </w:r>
      <w:r w:rsidR="00D34383">
        <w:t>detailed information on</w:t>
      </w:r>
      <w:r>
        <w:t xml:space="preserve"> </w:t>
      </w:r>
      <w:r w:rsidR="00D34383">
        <w:t xml:space="preserve">the </w:t>
      </w:r>
      <w:r>
        <w:t xml:space="preserve">assumptions </w:t>
      </w:r>
      <w:r w:rsidR="00D34383">
        <w:t xml:space="preserve">that </w:t>
      </w:r>
      <w:r>
        <w:t xml:space="preserve">have been made </w:t>
      </w:r>
      <w:r w:rsidR="00D34383">
        <w:t xml:space="preserve">in preparing the costing </w:t>
      </w:r>
      <w:r>
        <w:t>and</w:t>
      </w:r>
      <w:r w:rsidR="00D34383">
        <w:t xml:space="preserve"> the basis for these assumptions.</w:t>
      </w:r>
      <w:r>
        <w:t xml:space="preserve"> </w:t>
      </w:r>
      <w:r w:rsidR="00D34383">
        <w:t xml:space="preserve"> </w:t>
      </w:r>
      <w:r>
        <w:t>Where assumptions are particularly uncertain, we may include sensitivity analysis in our advice</w:t>
      </w:r>
      <w:r w:rsidR="00910205">
        <w:t xml:space="preserve"> to parliamentarians</w:t>
      </w:r>
      <w:r>
        <w:t>.</w:t>
      </w:r>
    </w:p>
    <w:p w:rsidR="009118F8" w:rsidRPr="003869D4" w:rsidRDefault="009118F8" w:rsidP="00D363B3">
      <w:pPr>
        <w:pStyle w:val="BodyText"/>
      </w:pPr>
      <w:r>
        <w:t xml:space="preserve">To further improve transparency and gather feedback, this paper presents a consolidated list of </w:t>
      </w:r>
      <w:r w:rsidR="00FD768C">
        <w:t xml:space="preserve">the </w:t>
      </w:r>
      <w:r>
        <w:t xml:space="preserve">behavioural </w:t>
      </w:r>
      <w:r w:rsidR="00FD768C">
        <w:t>assumptions we have made in</w:t>
      </w:r>
      <w:r w:rsidR="00D34383">
        <w:t xml:space="preserve"> costings that </w:t>
      </w:r>
      <w:r w:rsidR="001C1F9D">
        <w:t>were</w:t>
      </w:r>
      <w:r w:rsidR="00D34383">
        <w:t xml:space="preserve"> </w:t>
      </w:r>
      <w:r w:rsidR="007635AB">
        <w:t xml:space="preserve">publicly released </w:t>
      </w:r>
      <w:r w:rsidR="00F32A3C">
        <w:t>during 2019</w:t>
      </w:r>
      <w:r w:rsidR="00FD768C">
        <w:t xml:space="preserve"> (see </w:t>
      </w:r>
      <w:hyperlink w:anchor="_Appendix_A:_Consolidated" w:history="1">
        <w:r w:rsidR="00FD768C" w:rsidRPr="00844C62">
          <w:rPr>
            <w:rStyle w:val="Hyperlink"/>
          </w:rPr>
          <w:t>Appendix A</w:t>
        </w:r>
      </w:hyperlink>
      <w:r w:rsidR="00FD768C" w:rsidRPr="00494E00">
        <w:rPr>
          <w:rStyle w:val="Hyperlink"/>
          <w:u w:val="none"/>
        </w:rPr>
        <w:t>)</w:t>
      </w:r>
      <w:r w:rsidR="00D34383">
        <w:t xml:space="preserve">. </w:t>
      </w:r>
      <w:r w:rsidR="00910205">
        <w:t xml:space="preserve"> </w:t>
      </w:r>
      <w:r w:rsidR="00D34383">
        <w:t xml:space="preserve">In particular, this list </w:t>
      </w:r>
      <w:r w:rsidRPr="00175E6F">
        <w:t>includ</w:t>
      </w:r>
      <w:r w:rsidR="00D34383">
        <w:t>es</w:t>
      </w:r>
      <w:r w:rsidRPr="00175E6F">
        <w:t xml:space="preserve"> </w:t>
      </w:r>
      <w:r w:rsidR="008F61D4">
        <w:t xml:space="preserve">behavioural </w:t>
      </w:r>
      <w:r w:rsidR="00D34383">
        <w:t xml:space="preserve">assumptions that </w:t>
      </w:r>
      <w:r w:rsidR="008A00C1">
        <w:t xml:space="preserve">we </w:t>
      </w:r>
      <w:r w:rsidRPr="00175E6F">
        <w:t xml:space="preserve">used </w:t>
      </w:r>
      <w:r w:rsidR="00D34383">
        <w:t>in</w:t>
      </w:r>
      <w:r w:rsidR="00D34383" w:rsidRPr="00175E6F">
        <w:t xml:space="preserve"> </w:t>
      </w:r>
      <w:r w:rsidRPr="00175E6F">
        <w:t xml:space="preserve">costings in the </w:t>
      </w:r>
      <w:hyperlink r:id="rId26" w:history="1">
        <w:r w:rsidRPr="003E3928">
          <w:rPr>
            <w:rStyle w:val="Hyperlink"/>
          </w:rPr>
          <w:t>2019 Post-election report of election commitments</w:t>
        </w:r>
      </w:hyperlink>
      <w:r w:rsidRPr="002C66AD">
        <w:rPr>
          <w:rStyle w:val="Hyperlink"/>
          <w:u w:val="none"/>
        </w:rPr>
        <w:t xml:space="preserve">.  </w:t>
      </w:r>
      <w:r w:rsidR="003869D4">
        <w:t>We welcome feedback on any of the assumptions included in this list</w:t>
      </w:r>
      <w:r w:rsidR="00FD768C">
        <w:t xml:space="preserve">, including </w:t>
      </w:r>
      <w:r w:rsidR="00F32A3C">
        <w:t xml:space="preserve">the provision of </w:t>
      </w:r>
      <w:r w:rsidR="00FD768C">
        <w:t>alternative evidence where available.  W</w:t>
      </w:r>
      <w:r w:rsidR="003869D4">
        <w:t xml:space="preserve">e invite you to </w:t>
      </w:r>
      <w:r w:rsidR="00F32A3C">
        <w:t xml:space="preserve">email </w:t>
      </w:r>
      <w:r w:rsidR="00FD768C">
        <w:t xml:space="preserve">any comments </w:t>
      </w:r>
      <w:r w:rsidR="00F32A3C">
        <w:t>to</w:t>
      </w:r>
      <w:r w:rsidR="003869D4">
        <w:t xml:space="preserve"> </w:t>
      </w:r>
      <w:hyperlink r:id="rId27" w:history="1">
        <w:r w:rsidR="003869D4">
          <w:rPr>
            <w:rStyle w:val="Hyperlink"/>
          </w:rPr>
          <w:t>feedback</w:t>
        </w:r>
        <w:r w:rsidR="003869D4" w:rsidRPr="0068619B">
          <w:rPr>
            <w:rStyle w:val="Hyperlink"/>
          </w:rPr>
          <w:t>@pbo.gov.au</w:t>
        </w:r>
      </w:hyperlink>
      <w:r w:rsidR="003869D4">
        <w:t>.</w:t>
      </w:r>
    </w:p>
    <w:p w:rsidR="00CC37CA" w:rsidRDefault="00897470" w:rsidP="00CC37CA">
      <w:pPr>
        <w:pStyle w:val="BodyText"/>
        <w:sectPr w:rsidR="00CC37CA" w:rsidSect="00A16EB0">
          <w:headerReference w:type="even" r:id="rId28"/>
          <w:headerReference w:type="default" r:id="rId29"/>
          <w:footerReference w:type="even" r:id="rId30"/>
          <w:footerReference w:type="default" r:id="rId31"/>
          <w:type w:val="oddPage"/>
          <w:pgSz w:w="11907" w:h="16840" w:code="9"/>
          <w:pgMar w:top="1191" w:right="1418" w:bottom="1021" w:left="1418" w:header="567" w:footer="709" w:gutter="0"/>
          <w:pgNumType w:fmt="lowerRoman"/>
          <w:cols w:space="708"/>
          <w:docGrid w:linePitch="360"/>
        </w:sectPr>
      </w:pPr>
      <w:r>
        <w:t xml:space="preserve">  </w:t>
      </w:r>
    </w:p>
    <w:p w:rsidR="001D6C52" w:rsidRDefault="007A0FDA" w:rsidP="00297971">
      <w:pPr>
        <w:pStyle w:val="Heading1"/>
      </w:pPr>
      <w:bookmarkStart w:id="7" w:name="_Toc29891181"/>
      <w:r>
        <w:lastRenderedPageBreak/>
        <w:t>P</w:t>
      </w:r>
      <w:r w:rsidR="007C6C7A">
        <w:t xml:space="preserve">olicy costings and </w:t>
      </w:r>
      <w:r>
        <w:t xml:space="preserve">behavioural </w:t>
      </w:r>
      <w:r w:rsidR="00DF4EF3">
        <w:t>assumptions</w:t>
      </w:r>
      <w:bookmarkEnd w:id="7"/>
    </w:p>
    <w:p w:rsidR="00587FCD" w:rsidRDefault="007D6436" w:rsidP="00494E00">
      <w:pPr>
        <w:pStyle w:val="BodyText"/>
      </w:pPr>
      <w:bookmarkStart w:id="8" w:name="ReturnHere"/>
      <w:bookmarkEnd w:id="8"/>
      <w:r>
        <w:t xml:space="preserve">A </w:t>
      </w:r>
      <w:r w:rsidR="00AF3AA6">
        <w:t xml:space="preserve">policy </w:t>
      </w:r>
      <w:r>
        <w:t xml:space="preserve">costing </w:t>
      </w:r>
      <w:r w:rsidR="00AF3AA6">
        <w:t xml:space="preserve">provides an estimate of </w:t>
      </w:r>
      <w:r>
        <w:t xml:space="preserve">the impact </w:t>
      </w:r>
      <w:r w:rsidR="00015A2B">
        <w:t xml:space="preserve">that </w:t>
      </w:r>
      <w:r>
        <w:t xml:space="preserve">a </w:t>
      </w:r>
      <w:r w:rsidR="00AF3AA6">
        <w:t xml:space="preserve">proposed </w:t>
      </w:r>
      <w:r>
        <w:t xml:space="preserve">policy </w:t>
      </w:r>
      <w:r w:rsidR="00015A2B">
        <w:t xml:space="preserve">would have on the budget if it </w:t>
      </w:r>
      <w:r w:rsidR="004E76C5">
        <w:t xml:space="preserve">were </w:t>
      </w:r>
      <w:r w:rsidR="00015A2B">
        <w:t>implemented</w:t>
      </w:r>
      <w:r>
        <w:t xml:space="preserve">.  </w:t>
      </w:r>
      <w:r w:rsidR="00EF7CA7">
        <w:t xml:space="preserve">The PBO </w:t>
      </w:r>
      <w:r w:rsidR="00E7669B">
        <w:t xml:space="preserve">information paper </w:t>
      </w:r>
      <w:proofErr w:type="gramStart"/>
      <w:r w:rsidR="00E7669B" w:rsidRPr="003B51C0">
        <w:rPr>
          <w:i/>
        </w:rPr>
        <w:t>What</w:t>
      </w:r>
      <w:proofErr w:type="gramEnd"/>
      <w:r w:rsidR="00E7669B" w:rsidRPr="003B51C0">
        <w:rPr>
          <w:i/>
        </w:rPr>
        <w:t xml:space="preserve"> is a Parliamentary Budget Office costing</w:t>
      </w:r>
      <w:r w:rsidR="00587FCD">
        <w:rPr>
          <w:i/>
        </w:rPr>
        <w:t>?</w:t>
      </w:r>
      <w:r w:rsidR="00E7669B">
        <w:t xml:space="preserve"> </w:t>
      </w:r>
      <w:proofErr w:type="gramStart"/>
      <w:r w:rsidR="00E7669B">
        <w:t>explains</w:t>
      </w:r>
      <w:proofErr w:type="gramEnd"/>
      <w:r w:rsidR="00E7669B">
        <w:t xml:space="preserve"> what a costing is designed to capture and how a costing estimate is generated.</w:t>
      </w:r>
      <w:r w:rsidR="00A61536">
        <w:rPr>
          <w:rStyle w:val="FootnoteReference"/>
        </w:rPr>
        <w:footnoteReference w:id="1"/>
      </w:r>
      <w:r w:rsidR="00E7669B">
        <w:t xml:space="preserve">  </w:t>
      </w:r>
      <w:r w:rsidR="00587FCD">
        <w:t>It</w:t>
      </w:r>
      <w:r w:rsidR="00E7669B">
        <w:t xml:space="preserve"> explains that a key role for </w:t>
      </w:r>
      <w:r w:rsidR="001C1F9D">
        <w:t>us</w:t>
      </w:r>
      <w:r w:rsidR="00E7669B">
        <w:t xml:space="preserve"> is to determine the most appropriate data, models and assumptions to use in order to estimate the budget impact of a policy proposal</w:t>
      </w:r>
      <w:r w:rsidR="00587FCD">
        <w:t xml:space="preserve">.  It also highlights that costing estimates </w:t>
      </w:r>
      <w:r w:rsidR="00F32A3C">
        <w:t xml:space="preserve">critically </w:t>
      </w:r>
      <w:r w:rsidR="00587FCD">
        <w:t xml:space="preserve">depend on the details of the policy specification and the assumptions made about how people and organisations affected by the policy would be likely to respond to it.  </w:t>
      </w:r>
    </w:p>
    <w:p w:rsidR="00587FCD" w:rsidRDefault="007635AB" w:rsidP="00494E00">
      <w:pPr>
        <w:pStyle w:val="BodyText"/>
      </w:pPr>
      <w:r>
        <w:t xml:space="preserve">In this </w:t>
      </w:r>
      <w:r w:rsidR="00587FCD">
        <w:t>paper</w:t>
      </w:r>
      <w:r>
        <w:t>, we</w:t>
      </w:r>
      <w:r w:rsidR="00587FCD">
        <w:t xml:space="preserve"> </w:t>
      </w:r>
      <w:r w:rsidR="001C1F9D">
        <w:t>explain</w:t>
      </w:r>
      <w:r w:rsidR="00587FCD">
        <w:t xml:space="preserve"> how </w:t>
      </w:r>
      <w:r w:rsidR="001C1F9D">
        <w:t>we</w:t>
      </w:r>
      <w:r w:rsidR="00587FCD">
        <w:t xml:space="preserve"> determine the behavioural assumptions that </w:t>
      </w:r>
      <w:r w:rsidR="00AF3AA6">
        <w:t>underpin our</w:t>
      </w:r>
      <w:r w:rsidR="00587FCD">
        <w:t xml:space="preserve"> costings.  </w:t>
      </w:r>
    </w:p>
    <w:p w:rsidR="00A61536" w:rsidRDefault="001C1F9D" w:rsidP="007D6436">
      <w:pPr>
        <w:pStyle w:val="BodyText"/>
      </w:pPr>
      <w:r>
        <w:t>Our</w:t>
      </w:r>
      <w:r w:rsidR="00E7669B">
        <w:t xml:space="preserve"> </w:t>
      </w:r>
      <w:r w:rsidR="00587FCD">
        <w:t xml:space="preserve">costings </w:t>
      </w:r>
      <w:r w:rsidR="00E7669B">
        <w:t>always</w:t>
      </w:r>
      <w:r w:rsidR="00272DA8">
        <w:t xml:space="preserve"> </w:t>
      </w:r>
      <w:r w:rsidR="002A25B4">
        <w:t>capture</w:t>
      </w:r>
      <w:r w:rsidR="00587FCD">
        <w:t xml:space="preserve"> </w:t>
      </w:r>
      <w:r w:rsidR="002A25B4">
        <w:t xml:space="preserve">how </w:t>
      </w:r>
      <w:r w:rsidR="00587FCD">
        <w:t xml:space="preserve">individuals, businesses or organisations </w:t>
      </w:r>
      <w:proofErr w:type="gramStart"/>
      <w:r w:rsidR="00587FCD">
        <w:t>who</w:t>
      </w:r>
      <w:proofErr w:type="gramEnd"/>
      <w:r w:rsidR="00587FCD">
        <w:t xml:space="preserve"> are directly affected by a proposed</w:t>
      </w:r>
      <w:r w:rsidR="002A25B4">
        <w:t xml:space="preserve"> policy would be likely to respond to it.  </w:t>
      </w:r>
      <w:r w:rsidR="00922B66">
        <w:t xml:space="preserve">Some policy proposals are designed to induce a particular behavioural response, while others may induce unintended behavioural responses.  In </w:t>
      </w:r>
      <w:r w:rsidR="008F61D4">
        <w:t xml:space="preserve">either case, </w:t>
      </w:r>
      <w:r w:rsidR="00922B66">
        <w:t>it is necessary to make assumptions about how those affected by a proposal may respond</w:t>
      </w:r>
      <w:r w:rsidR="008F61D4">
        <w:t xml:space="preserve"> in order to accurately estimate the budget impact of a proposal</w:t>
      </w:r>
      <w:r w:rsidR="00922B66">
        <w:t xml:space="preserve">.  </w:t>
      </w:r>
      <w:r w:rsidR="002A25B4">
        <w:t>Sometimes we determine that these responses may be significant</w:t>
      </w:r>
      <w:r w:rsidR="00A61536">
        <w:t xml:space="preserve"> and would materially affect a costing, while </w:t>
      </w:r>
      <w:r w:rsidR="002A25B4">
        <w:t xml:space="preserve">in other cases we determine that there may be no behavioural response that </w:t>
      </w:r>
      <w:r w:rsidR="00A61536">
        <w:t>needs to be taken into account</w:t>
      </w:r>
      <w:r w:rsidR="002A25B4">
        <w:t>.</w:t>
      </w:r>
      <w:r w:rsidR="00A61536">
        <w:t xml:space="preserve">  Some behavioural responses </w:t>
      </w:r>
      <w:r w:rsidR="00EF7CA7">
        <w:t xml:space="preserve">can be precisely estimated, while others are much more uncertain. </w:t>
      </w:r>
      <w:r w:rsidR="00A61536">
        <w:t xml:space="preserve">    </w:t>
      </w:r>
      <w:r w:rsidR="002A25B4">
        <w:t xml:space="preserve">  </w:t>
      </w:r>
    </w:p>
    <w:p w:rsidR="007D6436" w:rsidRDefault="00EF7CA7" w:rsidP="00494E00">
      <w:pPr>
        <w:pStyle w:val="BodyText"/>
      </w:pPr>
      <w:r>
        <w:t xml:space="preserve">In broad terms, there are two types of </w:t>
      </w:r>
      <w:r w:rsidR="00584125">
        <w:t>behavioural responses</w:t>
      </w:r>
      <w:r>
        <w:t xml:space="preserve"> </w:t>
      </w:r>
      <w:r w:rsidR="001B5698">
        <w:t xml:space="preserve">we consider when undertaking a </w:t>
      </w:r>
      <w:r>
        <w:t xml:space="preserve">costing.  First, there are the behavioural responses that would be expected to have a temporary impact on the budget.  These are driven by individuals or businesses changing the timing of their spending or saving </w:t>
      </w:r>
      <w:r w:rsidR="001B5698">
        <w:t xml:space="preserve">behaviour </w:t>
      </w:r>
      <w:r>
        <w:t xml:space="preserve">around the start </w:t>
      </w:r>
      <w:r w:rsidR="008F61D4">
        <w:t xml:space="preserve">(or end) </w:t>
      </w:r>
      <w:r>
        <w:t>date of a proposal.  The i</w:t>
      </w:r>
      <w:r w:rsidR="001B5698">
        <w:t xml:space="preserve">ntroduction of a </w:t>
      </w:r>
      <w:r w:rsidR="007635AB">
        <w:t xml:space="preserve">temporary </w:t>
      </w:r>
      <w:r w:rsidR="001B5698">
        <w:t xml:space="preserve">investment incentive, for example, would be expected to lead some businesses to </w:t>
      </w:r>
      <w:r w:rsidR="007635AB">
        <w:t xml:space="preserve">change the timing of </w:t>
      </w:r>
      <w:r w:rsidR="001B5698">
        <w:t xml:space="preserve">investments </w:t>
      </w:r>
      <w:r w:rsidR="007635AB">
        <w:t xml:space="preserve">around the period that the proposal applies </w:t>
      </w:r>
      <w:r w:rsidR="001B5698">
        <w:t xml:space="preserve">to take advantage of the incentive.  The second type of behavioural response we consider </w:t>
      </w:r>
      <w:r w:rsidR="00041523">
        <w:t>is one</w:t>
      </w:r>
      <w:r w:rsidR="001B5698">
        <w:t xml:space="preserve"> that ha</w:t>
      </w:r>
      <w:r w:rsidR="00041523">
        <w:t>s</w:t>
      </w:r>
      <w:r w:rsidR="001B5698">
        <w:t xml:space="preserve"> an ongoing budget impact.  A</w:t>
      </w:r>
      <w:r w:rsidR="00096C92">
        <w:t xml:space="preserve"> proposal to increase the highest marginal tax rate</w:t>
      </w:r>
      <w:r w:rsidR="001B5698">
        <w:t>, for example,</w:t>
      </w:r>
      <w:r w:rsidR="00096C92">
        <w:t xml:space="preserve"> may lead some high-income earners to find ways </w:t>
      </w:r>
      <w:r w:rsidR="001B5698">
        <w:t xml:space="preserve">to </w:t>
      </w:r>
      <w:r w:rsidR="00096C92">
        <w:t xml:space="preserve">permanently reduce their taxable income, affecting </w:t>
      </w:r>
      <w:r w:rsidR="007124CE">
        <w:t xml:space="preserve">tax </w:t>
      </w:r>
      <w:r w:rsidR="00096C92">
        <w:t>collections in all years</w:t>
      </w:r>
      <w:r w:rsidR="0025311D">
        <w:t xml:space="preserve"> after the proposal is implemented</w:t>
      </w:r>
      <w:r w:rsidR="00096C92">
        <w:t xml:space="preserve">. </w:t>
      </w:r>
    </w:p>
    <w:p w:rsidR="00EF7CA7" w:rsidRDefault="007635AB" w:rsidP="00EF7CA7">
      <w:pPr>
        <w:pStyle w:val="BodyText"/>
      </w:pPr>
      <w:r>
        <w:t xml:space="preserve">Our </w:t>
      </w:r>
      <w:r w:rsidR="00C027F9">
        <w:t>costings do not</w:t>
      </w:r>
      <w:r w:rsidR="00094294">
        <w:t xml:space="preserve"> generally</w:t>
      </w:r>
      <w:r w:rsidR="00C027F9">
        <w:t xml:space="preserve"> capture the fiscal impacts of the</w:t>
      </w:r>
      <w:r>
        <w:t xml:space="preserve"> </w:t>
      </w:r>
      <w:r w:rsidR="00C027F9">
        <w:t xml:space="preserve">potential </w:t>
      </w:r>
      <w:r w:rsidR="00EF7CA7" w:rsidRPr="00F15353">
        <w:t>broader</w:t>
      </w:r>
      <w:r w:rsidR="00C027F9">
        <w:t xml:space="preserve"> economic</w:t>
      </w:r>
      <w:r w:rsidR="00EF7CA7" w:rsidRPr="00F15353">
        <w:t xml:space="preserve"> impacts</w:t>
      </w:r>
      <w:r w:rsidR="00C027F9">
        <w:t xml:space="preserve"> of policy proposals, such as from changes in </w:t>
      </w:r>
      <w:r w:rsidR="00EF7CA7">
        <w:t xml:space="preserve">aggregate prices, employment levels or productivity growth.  These </w:t>
      </w:r>
      <w:r w:rsidR="00041523">
        <w:t xml:space="preserve">broader economic </w:t>
      </w:r>
      <w:r w:rsidR="00EF7CA7">
        <w:t xml:space="preserve">impacts are not usually quantified in </w:t>
      </w:r>
      <w:r w:rsidR="008A0BE8">
        <w:t xml:space="preserve">our </w:t>
      </w:r>
      <w:r w:rsidR="00EF7CA7">
        <w:t xml:space="preserve">costings </w:t>
      </w:r>
      <w:r w:rsidR="003916FC">
        <w:t>unless the funding mechanism is specified, and there is compelling evidence on the direction, size and timing of the broader economic effects.</w:t>
      </w:r>
      <w:r w:rsidR="00EF7CA7">
        <w:t xml:space="preserve"> </w:t>
      </w:r>
      <w:r w:rsidR="003916FC">
        <w:t xml:space="preserve"> Where we do not include broader economic effects, o</w:t>
      </w:r>
      <w:r w:rsidR="00EF7CA7">
        <w:t xml:space="preserve">ur advice </w:t>
      </w:r>
      <w:r>
        <w:t>to parliamentarians</w:t>
      </w:r>
      <w:r w:rsidR="003916FC">
        <w:t xml:space="preserve"> </w:t>
      </w:r>
      <w:r w:rsidR="00EF7CA7">
        <w:t xml:space="preserve">does include a qualitative discussion of these impacts when we consider they could be material.  Further discussion about </w:t>
      </w:r>
      <w:r w:rsidR="008F61D4">
        <w:t xml:space="preserve">estimating </w:t>
      </w:r>
      <w:r w:rsidR="00EF7CA7">
        <w:t xml:space="preserve">broader economic impacts is provided in </w:t>
      </w:r>
      <w:r w:rsidR="008A0BE8">
        <w:t>our</w:t>
      </w:r>
      <w:r w:rsidR="00EF7CA7">
        <w:t xml:space="preserve"> information paper </w:t>
      </w:r>
      <w:proofErr w:type="gramStart"/>
      <w:r w:rsidR="00EF7CA7">
        <w:rPr>
          <w:i/>
        </w:rPr>
        <w:t>Including</w:t>
      </w:r>
      <w:proofErr w:type="gramEnd"/>
      <w:r w:rsidR="00EF7CA7">
        <w:rPr>
          <w:i/>
        </w:rPr>
        <w:t xml:space="preserve"> broader economic effects in policy costings</w:t>
      </w:r>
      <w:r w:rsidR="00EF7CA7">
        <w:t>.</w:t>
      </w:r>
      <w:r w:rsidR="00EF7CA7">
        <w:rPr>
          <w:rStyle w:val="FootnoteReference"/>
        </w:rPr>
        <w:footnoteReference w:id="2"/>
      </w:r>
      <w:r w:rsidR="00EF7CA7">
        <w:t xml:space="preserve"> </w:t>
      </w:r>
    </w:p>
    <w:p w:rsidR="005C76BF" w:rsidRDefault="005C76BF" w:rsidP="00FA0877">
      <w:pPr>
        <w:pStyle w:val="BodyText"/>
      </w:pPr>
      <w:r>
        <w:t xml:space="preserve">In determining the direction and magnitude of the assumptions we make about behavioural responses, we </w:t>
      </w:r>
      <w:r w:rsidR="00DC02AF">
        <w:t xml:space="preserve">apply </w:t>
      </w:r>
      <w:r>
        <w:t>three principles</w:t>
      </w:r>
      <w:r w:rsidR="008F61D4">
        <w:t>.</w:t>
      </w:r>
      <w:r w:rsidR="001B3872">
        <w:t xml:space="preserve"> </w:t>
      </w:r>
      <w:r w:rsidR="008F61D4">
        <w:t xml:space="preserve"> These are </w:t>
      </w:r>
      <w:r w:rsidR="00833D7D">
        <w:t xml:space="preserve">outlined </w:t>
      </w:r>
      <w:r w:rsidR="0036730B">
        <w:t>in</w:t>
      </w:r>
      <w:r w:rsidR="00652AA1">
        <w:t xml:space="preserve"> </w:t>
      </w:r>
      <w:r w:rsidR="00652AA1">
        <w:fldChar w:fldCharType="begin"/>
      </w:r>
      <w:r w:rsidR="00652AA1">
        <w:instrText xml:space="preserve"> REF _Ref26434952 \h </w:instrText>
      </w:r>
      <w:r w:rsidR="00652AA1">
        <w:fldChar w:fldCharType="separate"/>
      </w:r>
      <w:r w:rsidR="00DC02AF">
        <w:t xml:space="preserve">Figure </w:t>
      </w:r>
      <w:r w:rsidR="00DC02AF">
        <w:rPr>
          <w:noProof/>
        </w:rPr>
        <w:t>1</w:t>
      </w:r>
      <w:r w:rsidR="00652AA1">
        <w:fldChar w:fldCharType="end"/>
      </w:r>
      <w:r w:rsidR="00833D7D">
        <w:t xml:space="preserve"> and discussed further in Sections </w:t>
      </w:r>
      <w:r w:rsidR="008F61D4">
        <w:fldChar w:fldCharType="begin"/>
      </w:r>
      <w:r w:rsidR="008F61D4">
        <w:instrText xml:space="preserve"> REF _Ref27496477 \r \h </w:instrText>
      </w:r>
      <w:r w:rsidR="008F61D4">
        <w:fldChar w:fldCharType="separate"/>
      </w:r>
      <w:r w:rsidR="00DC02AF">
        <w:t>2</w:t>
      </w:r>
      <w:r w:rsidR="008F61D4">
        <w:fldChar w:fldCharType="end"/>
      </w:r>
      <w:r w:rsidR="008F61D4">
        <w:t xml:space="preserve"> to </w:t>
      </w:r>
      <w:r w:rsidR="008F61D4">
        <w:fldChar w:fldCharType="begin"/>
      </w:r>
      <w:r w:rsidR="008F61D4">
        <w:instrText xml:space="preserve"> REF _Ref27496481 \r \h </w:instrText>
      </w:r>
      <w:r w:rsidR="008F61D4">
        <w:fldChar w:fldCharType="separate"/>
      </w:r>
      <w:r w:rsidR="00DC02AF">
        <w:t>4</w:t>
      </w:r>
      <w:r w:rsidR="008F61D4">
        <w:fldChar w:fldCharType="end"/>
      </w:r>
      <w:r w:rsidR="00833D7D">
        <w:t xml:space="preserve"> of this paper</w:t>
      </w:r>
      <w:r w:rsidR="0036730B">
        <w:t>.</w:t>
      </w:r>
    </w:p>
    <w:p w:rsidR="0036730B" w:rsidRDefault="0036730B" w:rsidP="00BD6726">
      <w:pPr>
        <w:pStyle w:val="Caption"/>
        <w:spacing w:before="240" w:after="0"/>
      </w:pPr>
      <w:bookmarkStart w:id="9" w:name="_Ref26434952"/>
      <w:r>
        <w:lastRenderedPageBreak/>
        <w:t xml:space="preserve">Figure </w:t>
      </w:r>
      <w:r w:rsidR="00E608E2">
        <w:fldChar w:fldCharType="begin"/>
      </w:r>
      <w:r w:rsidR="00E608E2">
        <w:instrText xml:space="preserve"> SEQ Figure \* ARABI</w:instrText>
      </w:r>
      <w:r w:rsidR="00E608E2">
        <w:instrText xml:space="preserve">C </w:instrText>
      </w:r>
      <w:r w:rsidR="00E608E2">
        <w:fldChar w:fldCharType="separate"/>
      </w:r>
      <w:r w:rsidR="00DC02AF">
        <w:rPr>
          <w:noProof/>
        </w:rPr>
        <w:t>1</w:t>
      </w:r>
      <w:r w:rsidR="00E608E2">
        <w:rPr>
          <w:noProof/>
        </w:rPr>
        <w:fldChar w:fldCharType="end"/>
      </w:r>
      <w:bookmarkEnd w:id="9"/>
      <w:r>
        <w:rPr>
          <w:noProof/>
        </w:rPr>
        <w:t>: Three principles applied in determining behavioural assumptions</w:t>
      </w:r>
    </w:p>
    <w:p w:rsidR="0036730B" w:rsidRDefault="007253F3" w:rsidP="00BD6726">
      <w:pPr>
        <w:pStyle w:val="BodyText"/>
        <w:spacing w:before="0"/>
      </w:pPr>
      <w:r w:rsidRPr="007253F3">
        <w:rPr>
          <w:noProof/>
          <w:lang w:eastAsia="en-AU"/>
        </w:rPr>
        <mc:AlternateContent>
          <mc:Choice Requires="wpg">
            <w:drawing>
              <wp:inline distT="0" distB="0" distL="0" distR="0" wp14:anchorId="1165DC7F" wp14:editId="0BC8BE3F">
                <wp:extent cx="5736636" cy="2498131"/>
                <wp:effectExtent l="57150" t="95250" r="54610" b="92710"/>
                <wp:docPr id="117" name="Group 24"/>
                <wp:cNvGraphicFramePr/>
                <a:graphic xmlns:a="http://schemas.openxmlformats.org/drawingml/2006/main">
                  <a:graphicData uri="http://schemas.microsoft.com/office/word/2010/wordprocessingGroup">
                    <wpg:wgp>
                      <wpg:cNvGrpSpPr/>
                      <wpg:grpSpPr>
                        <a:xfrm>
                          <a:off x="0" y="0"/>
                          <a:ext cx="5736636" cy="2498131"/>
                          <a:chOff x="0" y="0"/>
                          <a:chExt cx="5736636" cy="2498131"/>
                        </a:xfrm>
                      </wpg:grpSpPr>
                      <wps:wsp>
                        <wps:cNvPr id="118" name="Rectangle 118"/>
                        <wps:cNvSpPr/>
                        <wps:spPr>
                          <a:xfrm>
                            <a:off x="2187682" y="0"/>
                            <a:ext cx="3506229" cy="726174"/>
                          </a:xfrm>
                          <a:prstGeom prst="rect">
                            <a:avLst/>
                          </a:prstGeom>
                          <a:solidFill>
                            <a:schemeClr val="bg1"/>
                          </a:solidFill>
                          <a:ln>
                            <a:noFill/>
                          </a:ln>
                          <a:effectLst>
                            <a:outerShdw blurRad="50800" dist="38100" dir="16200000" rotWithShape="0">
                              <a:schemeClr val="bg1">
                                <a:lumMod val="75000"/>
                                <a:alpha val="40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9" name="Rectangle 119"/>
                        <wps:cNvSpPr/>
                        <wps:spPr>
                          <a:xfrm>
                            <a:off x="2193301" y="885978"/>
                            <a:ext cx="3506229" cy="726174"/>
                          </a:xfrm>
                          <a:prstGeom prst="rect">
                            <a:avLst/>
                          </a:prstGeom>
                          <a:solidFill>
                            <a:schemeClr val="bg1"/>
                          </a:solidFill>
                          <a:ln>
                            <a:noFill/>
                          </a:ln>
                          <a:effectLst>
                            <a:outerShdw blurRad="50800" dist="38100" dir="16200000" rotWithShape="0">
                              <a:schemeClr val="bg1">
                                <a:lumMod val="75000"/>
                                <a:alpha val="40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0" name="Rectangle 120"/>
                        <wps:cNvSpPr/>
                        <wps:spPr>
                          <a:xfrm>
                            <a:off x="2187682" y="1771957"/>
                            <a:ext cx="3506229" cy="726174"/>
                          </a:xfrm>
                          <a:prstGeom prst="rect">
                            <a:avLst/>
                          </a:prstGeom>
                          <a:solidFill>
                            <a:schemeClr val="bg1"/>
                          </a:solidFill>
                          <a:ln>
                            <a:noFill/>
                          </a:ln>
                          <a:effectLst>
                            <a:outerShdw blurRad="50800" dist="38100" dir="16200000" rotWithShape="0">
                              <a:schemeClr val="bg1">
                                <a:lumMod val="75000"/>
                                <a:alpha val="40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2187682" y="0"/>
                            <a:ext cx="3506229" cy="726174"/>
                          </a:xfrm>
                          <a:prstGeom prst="rect">
                            <a:avLst/>
                          </a:prstGeom>
                          <a:solidFill>
                            <a:schemeClr val="bg1"/>
                          </a:solidFill>
                          <a:ln>
                            <a:noFill/>
                          </a:ln>
                          <a:effectLst>
                            <a:outerShdw blurRad="50800" dist="38100" dir="2700000" algn="tl" rotWithShape="0">
                              <a:schemeClr val="bg1">
                                <a:lumMod val="65000"/>
                                <a:alpha val="40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2" name="Rectangle 122"/>
                        <wps:cNvSpPr/>
                        <wps:spPr>
                          <a:xfrm>
                            <a:off x="2193301" y="885978"/>
                            <a:ext cx="3506229" cy="726174"/>
                          </a:xfrm>
                          <a:prstGeom prst="rect">
                            <a:avLst/>
                          </a:prstGeom>
                          <a:solidFill>
                            <a:schemeClr val="bg1"/>
                          </a:solidFill>
                          <a:ln>
                            <a:noFill/>
                          </a:ln>
                          <a:effectLst>
                            <a:outerShdw blurRad="50800" dist="38100" dir="2700000" algn="tl" rotWithShape="0">
                              <a:schemeClr val="bg1">
                                <a:lumMod val="65000"/>
                                <a:alpha val="40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3" name="Rectangle 123"/>
                        <wps:cNvSpPr/>
                        <wps:spPr>
                          <a:xfrm>
                            <a:off x="2187682" y="1771957"/>
                            <a:ext cx="3506229" cy="726174"/>
                          </a:xfrm>
                          <a:prstGeom prst="rect">
                            <a:avLst/>
                          </a:prstGeom>
                          <a:solidFill>
                            <a:schemeClr val="bg1"/>
                          </a:solidFill>
                          <a:ln>
                            <a:noFill/>
                          </a:ln>
                          <a:effectLst>
                            <a:outerShdw blurRad="50800" dist="38100" dir="2700000" algn="tl" rotWithShape="0">
                              <a:schemeClr val="bg1">
                                <a:lumMod val="65000"/>
                                <a:alpha val="40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4" name="Pentagon 124"/>
                        <wps:cNvSpPr/>
                        <wps:spPr>
                          <a:xfrm>
                            <a:off x="0" y="0"/>
                            <a:ext cx="2403706" cy="726174"/>
                          </a:xfrm>
                          <a:prstGeom prst="homePlate">
                            <a:avLst>
                              <a:gd name="adj" fmla="val 30438"/>
                            </a:avLst>
                          </a:prstGeom>
                          <a:solidFill>
                            <a:srgbClr val="3D4D7D"/>
                          </a:solidFill>
                          <a:ln>
                            <a:noFill/>
                          </a:ln>
                          <a:effectLst>
                            <a:outerShdw blurRad="50800" dist="38100" dir="5400000" algn="t" rotWithShape="0">
                              <a:schemeClr val="bg1">
                                <a:lumMod val="65000"/>
                                <a:alpha val="40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5" name="Pentagon 125"/>
                        <wps:cNvSpPr/>
                        <wps:spPr>
                          <a:xfrm>
                            <a:off x="0" y="878574"/>
                            <a:ext cx="2403706" cy="726174"/>
                          </a:xfrm>
                          <a:prstGeom prst="homePlate">
                            <a:avLst>
                              <a:gd name="adj" fmla="val 30438"/>
                            </a:avLst>
                          </a:prstGeom>
                          <a:solidFill>
                            <a:srgbClr val="5A70AE"/>
                          </a:solidFill>
                          <a:ln>
                            <a:noFill/>
                          </a:ln>
                          <a:effectLst>
                            <a:outerShdw blurRad="50800" dist="38100" dir="5400000" algn="t" rotWithShape="0">
                              <a:schemeClr val="bg1">
                                <a:lumMod val="65000"/>
                                <a:alpha val="40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6" name="Pentagon 126"/>
                        <wps:cNvSpPr/>
                        <wps:spPr>
                          <a:xfrm>
                            <a:off x="0" y="1771957"/>
                            <a:ext cx="2403706" cy="726174"/>
                          </a:xfrm>
                          <a:prstGeom prst="homePlate">
                            <a:avLst>
                              <a:gd name="adj" fmla="val 30438"/>
                            </a:avLst>
                          </a:prstGeom>
                          <a:solidFill>
                            <a:srgbClr val="8695C4"/>
                          </a:solidFill>
                          <a:ln>
                            <a:noFill/>
                          </a:ln>
                          <a:effectLst>
                            <a:outerShdw blurRad="50800" dist="38100" dir="5400000" algn="t" rotWithShape="0">
                              <a:schemeClr val="bg1">
                                <a:lumMod val="65000"/>
                                <a:alpha val="40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7" name="Oval 127"/>
                        <wps:cNvSpPr/>
                        <wps:spPr>
                          <a:xfrm>
                            <a:off x="249085" y="84087"/>
                            <a:ext cx="558000" cy="558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16768" w:rsidRDefault="00716768" w:rsidP="007253F3">
                              <w:pPr>
                                <w:pStyle w:val="NormalWeb"/>
                                <w:spacing w:before="0" w:beforeAutospacing="0" w:after="0" w:afterAutospacing="0"/>
                                <w:jc w:val="center"/>
                              </w:pPr>
                              <w:r>
                                <w:rPr>
                                  <w:rFonts w:asciiTheme="minorHAnsi" w:hAnsi="Calibri" w:cstheme="minorBidi"/>
                                  <w:b/>
                                  <w:bCs/>
                                  <w:color w:val="3D4D7D"/>
                                  <w:kern w:val="24"/>
                                  <w:sz w:val="48"/>
                                  <w:szCs w:val="48"/>
                                </w:rPr>
                                <w:t>01</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8" name="Oval 128"/>
                        <wps:cNvSpPr/>
                        <wps:spPr>
                          <a:xfrm>
                            <a:off x="249085" y="970066"/>
                            <a:ext cx="558000" cy="558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16768" w:rsidRPr="00716768" w:rsidRDefault="00716768" w:rsidP="007253F3">
                              <w:pPr>
                                <w:pStyle w:val="NormalWeb"/>
                                <w:spacing w:before="0" w:beforeAutospacing="0" w:after="0" w:afterAutospacing="0"/>
                                <w:jc w:val="center"/>
                                <w:rPr>
                                  <w:color w:val="5A70AE"/>
                                </w:rPr>
                              </w:pPr>
                              <w:r w:rsidRPr="00716768">
                                <w:rPr>
                                  <w:rFonts w:asciiTheme="minorHAnsi" w:hAnsi="Calibri" w:cstheme="minorBidi"/>
                                  <w:b/>
                                  <w:bCs/>
                                  <w:color w:val="5A70AE"/>
                                  <w:kern w:val="24"/>
                                  <w:sz w:val="48"/>
                                  <w:szCs w:val="48"/>
                                </w:rPr>
                                <w:t>02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9" name="Oval 129"/>
                        <wps:cNvSpPr/>
                        <wps:spPr>
                          <a:xfrm>
                            <a:off x="249085" y="1856044"/>
                            <a:ext cx="558000" cy="558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16768" w:rsidRPr="00716768" w:rsidRDefault="00716768" w:rsidP="007253F3">
                              <w:pPr>
                                <w:pStyle w:val="NormalWeb"/>
                                <w:spacing w:before="0" w:beforeAutospacing="0" w:after="0" w:afterAutospacing="0"/>
                                <w:jc w:val="center"/>
                                <w:rPr>
                                  <w:color w:val="8695C4"/>
                                </w:rPr>
                              </w:pPr>
                              <w:r w:rsidRPr="00716768">
                                <w:rPr>
                                  <w:rFonts w:asciiTheme="minorHAnsi" w:hAnsi="Calibri" w:cstheme="minorBidi"/>
                                  <w:b/>
                                  <w:bCs/>
                                  <w:color w:val="8695C4"/>
                                  <w:kern w:val="24"/>
                                  <w:sz w:val="48"/>
                                  <w:szCs w:val="48"/>
                                </w:rPr>
                                <w:t>03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0" name="TextBox 17"/>
                        <wps:cNvSpPr txBox="1"/>
                        <wps:spPr>
                          <a:xfrm>
                            <a:off x="2381404" y="0"/>
                            <a:ext cx="3354169" cy="726161"/>
                          </a:xfrm>
                          <a:prstGeom prst="rect">
                            <a:avLst/>
                          </a:prstGeom>
                          <a:noFill/>
                          <a:ln w="9525">
                            <a:noFill/>
                          </a:ln>
                        </wps:spPr>
                        <wps:txbx>
                          <w:txbxContent>
                            <w:p w:rsidR="00716768" w:rsidRDefault="00716768" w:rsidP="00716768">
                              <w:pPr>
                                <w:pStyle w:val="NormalWeb"/>
                                <w:spacing w:before="0" w:beforeAutospacing="0" w:after="0" w:afterAutospacing="0"/>
                              </w:pPr>
                              <w:r>
                                <w:rPr>
                                  <w:rFonts w:asciiTheme="minorHAnsi" w:hAnsi="Calibri" w:cstheme="minorBidi"/>
                                  <w:color w:val="000000" w:themeColor="text1"/>
                                  <w:kern w:val="24"/>
                                  <w:sz w:val="20"/>
                                  <w:szCs w:val="20"/>
                                </w:rPr>
                                <w:t>We examine the behavioural assumptions for new policy proposals for their consistency in scale and direction with assumptions we have previously made for similar proposals.</w:t>
                              </w:r>
                            </w:p>
                          </w:txbxContent>
                        </wps:txbx>
                        <wps:bodyPr wrap="square" lIns="108000" tIns="36000" rIns="108000" bIns="36000" rtlCol="0" anchor="ctr" anchorCtr="0">
                          <a:noAutofit/>
                        </wps:bodyPr>
                      </wps:wsp>
                      <wps:wsp>
                        <wps:cNvPr id="131" name="TextBox 18"/>
                        <wps:cNvSpPr txBox="1"/>
                        <wps:spPr>
                          <a:xfrm>
                            <a:off x="824983" y="0"/>
                            <a:ext cx="1295644" cy="726161"/>
                          </a:xfrm>
                          <a:prstGeom prst="rect">
                            <a:avLst/>
                          </a:prstGeom>
                          <a:noFill/>
                          <a:ln w="9525">
                            <a:noFill/>
                          </a:ln>
                        </wps:spPr>
                        <wps:txbx>
                          <w:txbxContent>
                            <w:p w:rsidR="00716768" w:rsidRDefault="00716768" w:rsidP="00716768">
                              <w:pPr>
                                <w:pStyle w:val="NormalWeb"/>
                                <w:spacing w:before="0" w:beforeAutospacing="0" w:after="0" w:afterAutospacing="0"/>
                                <w:jc w:val="center"/>
                              </w:pPr>
                              <w:r>
                                <w:rPr>
                                  <w:rFonts w:asciiTheme="minorHAnsi" w:hAnsi="Calibri" w:cstheme="minorBidi"/>
                                  <w:color w:val="FFFFFF" w:themeColor="background1"/>
                                  <w:kern w:val="24"/>
                                  <w:sz w:val="20"/>
                                  <w:szCs w:val="20"/>
                                </w:rPr>
                                <w:t>Assumptions should be consistent across similar policies</w:t>
                              </w:r>
                            </w:p>
                          </w:txbxContent>
                        </wps:txbx>
                        <wps:bodyPr wrap="square" lIns="36000" tIns="36000" rIns="36000" bIns="36000" rtlCol="0" anchor="ctr" anchorCtr="0">
                          <a:noAutofit/>
                        </wps:bodyPr>
                      </wps:wsp>
                      <wps:wsp>
                        <wps:cNvPr id="132" name="TextBox 19"/>
                        <wps:cNvSpPr txBox="1"/>
                        <wps:spPr>
                          <a:xfrm>
                            <a:off x="2382364" y="885948"/>
                            <a:ext cx="3354169" cy="718774"/>
                          </a:xfrm>
                          <a:prstGeom prst="rect">
                            <a:avLst/>
                          </a:prstGeom>
                          <a:noFill/>
                          <a:ln w="9525">
                            <a:noFill/>
                          </a:ln>
                        </wps:spPr>
                        <wps:txbx>
                          <w:txbxContent>
                            <w:p w:rsidR="00716768" w:rsidRDefault="00716768" w:rsidP="00716768">
                              <w:pPr>
                                <w:pStyle w:val="NormalWeb"/>
                                <w:spacing w:before="0" w:beforeAutospacing="0" w:after="0" w:afterAutospacing="0"/>
                              </w:pPr>
                              <w:r>
                                <w:rPr>
                                  <w:rFonts w:asciiTheme="minorHAnsi" w:hAnsi="Calibri" w:cstheme="minorBidi"/>
                                  <w:color w:val="000000" w:themeColor="text1"/>
                                  <w:kern w:val="24"/>
                                  <w:sz w:val="20"/>
                                  <w:szCs w:val="20"/>
                                </w:rPr>
                                <w:t>We draw upon academic empirical research and our own</w:t>
                              </w:r>
                            </w:p>
                            <w:p w:rsidR="00716768" w:rsidRDefault="00716768" w:rsidP="00716768">
                              <w:pPr>
                                <w:pStyle w:val="NormalWeb"/>
                                <w:spacing w:before="0" w:beforeAutospacing="0" w:after="0" w:afterAutospacing="0"/>
                              </w:pPr>
                              <w:proofErr w:type="gramStart"/>
                              <w:r>
                                <w:rPr>
                                  <w:rFonts w:asciiTheme="minorHAnsi" w:hAnsi="Calibri" w:cstheme="minorBidi"/>
                                  <w:color w:val="000000" w:themeColor="text1"/>
                                  <w:kern w:val="24"/>
                                  <w:sz w:val="20"/>
                                  <w:szCs w:val="20"/>
                                </w:rPr>
                                <w:t>analysis</w:t>
                              </w:r>
                              <w:proofErr w:type="gramEnd"/>
                              <w:r>
                                <w:rPr>
                                  <w:rFonts w:asciiTheme="minorHAnsi" w:hAnsi="Calibri" w:cstheme="minorBidi"/>
                                  <w:color w:val="000000" w:themeColor="text1"/>
                                  <w:kern w:val="24"/>
                                  <w:sz w:val="20"/>
                                  <w:szCs w:val="20"/>
                                </w:rPr>
                                <w:t xml:space="preserve"> of historical data to inform our assumptions.</w:t>
                              </w:r>
                            </w:p>
                          </w:txbxContent>
                        </wps:txbx>
                        <wps:bodyPr wrap="square" lIns="108000" tIns="36000" rIns="108000" bIns="36000" rtlCol="0" anchor="ctr" anchorCtr="0">
                          <a:noAutofit/>
                        </wps:bodyPr>
                      </wps:wsp>
                      <wps:wsp>
                        <wps:cNvPr id="133" name="TextBox 20"/>
                        <wps:cNvSpPr txBox="1"/>
                        <wps:spPr>
                          <a:xfrm>
                            <a:off x="824983" y="878546"/>
                            <a:ext cx="1295644" cy="726176"/>
                          </a:xfrm>
                          <a:prstGeom prst="rect">
                            <a:avLst/>
                          </a:prstGeom>
                          <a:noFill/>
                          <a:ln w="9525">
                            <a:noFill/>
                          </a:ln>
                        </wps:spPr>
                        <wps:txbx>
                          <w:txbxContent>
                            <w:p w:rsidR="00716768" w:rsidRDefault="00716768" w:rsidP="00716768">
                              <w:pPr>
                                <w:pStyle w:val="NormalWeb"/>
                                <w:spacing w:before="0" w:beforeAutospacing="0" w:after="0" w:afterAutospacing="0"/>
                                <w:jc w:val="center"/>
                              </w:pPr>
                              <w:r>
                                <w:rPr>
                                  <w:rFonts w:asciiTheme="minorHAnsi" w:hAnsi="Calibri" w:cstheme="minorBidi"/>
                                  <w:color w:val="FFFFFF" w:themeColor="background1"/>
                                  <w:kern w:val="24"/>
                                  <w:sz w:val="20"/>
                                  <w:szCs w:val="20"/>
                                </w:rPr>
                                <w:t>Assumptions should be backed by</w:t>
                              </w:r>
                            </w:p>
                            <w:p w:rsidR="00716768" w:rsidRDefault="00716768" w:rsidP="00716768">
                              <w:pPr>
                                <w:pStyle w:val="NormalWeb"/>
                                <w:spacing w:before="0" w:beforeAutospacing="0" w:after="0" w:afterAutospacing="0"/>
                                <w:jc w:val="center"/>
                              </w:pPr>
                              <w:proofErr w:type="gramStart"/>
                              <w:r>
                                <w:rPr>
                                  <w:rFonts w:asciiTheme="minorHAnsi" w:hAnsi="Calibri" w:cstheme="minorBidi"/>
                                  <w:color w:val="FFFFFF" w:themeColor="background1"/>
                                  <w:kern w:val="24"/>
                                  <w:sz w:val="20"/>
                                  <w:szCs w:val="20"/>
                                </w:rPr>
                                <w:t>empirical</w:t>
                              </w:r>
                              <w:proofErr w:type="gramEnd"/>
                              <w:r>
                                <w:rPr>
                                  <w:rFonts w:asciiTheme="minorHAnsi" w:hAnsi="Calibri" w:cstheme="minorBidi"/>
                                  <w:color w:val="FFFFFF" w:themeColor="background1"/>
                                  <w:kern w:val="24"/>
                                  <w:sz w:val="20"/>
                                  <w:szCs w:val="20"/>
                                </w:rPr>
                                <w:t xml:space="preserve"> evidence</w:t>
                              </w:r>
                            </w:p>
                          </w:txbxContent>
                        </wps:txbx>
                        <wps:bodyPr wrap="square" lIns="36000" tIns="36000" rIns="36000" bIns="36000" rtlCol="0" anchor="ctr" anchorCtr="0">
                          <a:noAutofit/>
                        </wps:bodyPr>
                      </wps:wsp>
                      <wps:wsp>
                        <wps:cNvPr id="134" name="TextBox 21"/>
                        <wps:cNvSpPr txBox="1"/>
                        <wps:spPr>
                          <a:xfrm>
                            <a:off x="2382467" y="1771898"/>
                            <a:ext cx="3354169" cy="726191"/>
                          </a:xfrm>
                          <a:prstGeom prst="rect">
                            <a:avLst/>
                          </a:prstGeom>
                          <a:noFill/>
                          <a:ln w="9525">
                            <a:noFill/>
                          </a:ln>
                        </wps:spPr>
                        <wps:txbx>
                          <w:txbxContent>
                            <w:p w:rsidR="00716768" w:rsidRDefault="00716768" w:rsidP="00716768">
                              <w:pPr>
                                <w:pStyle w:val="NormalWeb"/>
                                <w:spacing w:before="0" w:beforeAutospacing="0" w:after="0" w:afterAutospacing="0"/>
                              </w:pPr>
                              <w:r>
                                <w:rPr>
                                  <w:rFonts w:asciiTheme="minorHAnsi" w:hAnsi="Calibri" w:cstheme="minorBidi"/>
                                  <w:color w:val="000000" w:themeColor="text1"/>
                                  <w:kern w:val="24"/>
                                  <w:sz w:val="20"/>
                                  <w:szCs w:val="20"/>
                                </w:rPr>
                                <w:t>We test our assumptions with advice from experts</w:t>
                              </w:r>
                            </w:p>
                            <w:p w:rsidR="00716768" w:rsidRDefault="00716768" w:rsidP="00716768">
                              <w:pPr>
                                <w:pStyle w:val="NormalWeb"/>
                                <w:spacing w:before="0" w:beforeAutospacing="0" w:after="0" w:afterAutospacing="0"/>
                              </w:pPr>
                              <w:proofErr w:type="gramStart"/>
                              <w:r>
                                <w:rPr>
                                  <w:rFonts w:asciiTheme="minorHAnsi" w:hAnsi="Calibri" w:cstheme="minorBidi"/>
                                  <w:color w:val="000000" w:themeColor="text1"/>
                                  <w:kern w:val="24"/>
                                  <w:sz w:val="20"/>
                                  <w:szCs w:val="20"/>
                                </w:rPr>
                                <w:t>and</w:t>
                              </w:r>
                              <w:proofErr w:type="gramEnd"/>
                              <w:r>
                                <w:rPr>
                                  <w:rFonts w:asciiTheme="minorHAnsi" w:hAnsi="Calibri" w:cstheme="minorBidi"/>
                                  <w:color w:val="000000" w:themeColor="text1"/>
                                  <w:kern w:val="24"/>
                                  <w:sz w:val="20"/>
                                  <w:szCs w:val="20"/>
                                </w:rPr>
                                <w:t xml:space="preserve"> advice from other similar organisations.</w:t>
                              </w:r>
                            </w:p>
                          </w:txbxContent>
                        </wps:txbx>
                        <wps:bodyPr wrap="square" lIns="108000" tIns="36000" rIns="108000" bIns="36000" rtlCol="0" anchor="ctr" anchorCtr="0">
                          <a:noAutofit/>
                        </wps:bodyPr>
                      </wps:wsp>
                      <wps:wsp>
                        <wps:cNvPr id="135" name="TextBox 22"/>
                        <wps:cNvSpPr txBox="1"/>
                        <wps:spPr>
                          <a:xfrm>
                            <a:off x="824983" y="1771899"/>
                            <a:ext cx="1295644" cy="726191"/>
                          </a:xfrm>
                          <a:prstGeom prst="rect">
                            <a:avLst/>
                          </a:prstGeom>
                          <a:noFill/>
                          <a:ln w="9525">
                            <a:noFill/>
                          </a:ln>
                        </wps:spPr>
                        <wps:txbx>
                          <w:txbxContent>
                            <w:p w:rsidR="00716768" w:rsidRDefault="00716768" w:rsidP="00716768">
                              <w:pPr>
                                <w:pStyle w:val="NormalWeb"/>
                                <w:spacing w:before="0" w:beforeAutospacing="0" w:after="0" w:afterAutospacing="0"/>
                                <w:jc w:val="center"/>
                              </w:pPr>
                              <w:r>
                                <w:rPr>
                                  <w:rFonts w:asciiTheme="minorHAnsi" w:hAnsi="Calibri" w:cstheme="minorBidi"/>
                                  <w:color w:val="FFFFFF" w:themeColor="background1"/>
                                  <w:kern w:val="24"/>
                                  <w:sz w:val="20"/>
                                  <w:szCs w:val="20"/>
                                </w:rPr>
                                <w:t>Assumptions should be informed by expert advice and theory</w:t>
                              </w:r>
                            </w:p>
                          </w:txbxContent>
                        </wps:txbx>
                        <wps:bodyPr wrap="square" lIns="36000" tIns="36000" rIns="36000" bIns="36000" rtlCol="0" anchor="ctr" anchorCtr="0">
                          <a:noAutofit/>
                        </wps:bodyPr>
                      </wps:wsp>
                    </wpg:wgp>
                  </a:graphicData>
                </a:graphic>
              </wp:inline>
            </w:drawing>
          </mc:Choice>
          <mc:Fallback>
            <w:pict>
              <v:group id="Group 24" o:spid="_x0000_s1026" style="width:451.7pt;height:196.7pt;mso-position-horizontal-relative:char;mso-position-vertical-relative:line" coordsize="57366,24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">
                <v:rect id="Rectangle 118" o:spid="_x0000_s1027" style="position:absolute;left:21876;width:35063;height:72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xf/8YA&#10;AADcAAAADwAAAGRycy9kb3ducmV2LnhtbESPQU/DMAyF70j8h8iTuLF0CBAqy6YJaYA07cAYPXuN&#10;1xQap0pCV/49PkzazdZ7fu/zfDn6Tg0UUxvYwGxagCKug225MbD/XN8+gUoZ2WIXmAz8UYLl4vpq&#10;jqUNJ/6gYZcbJSGcSjTgcu5LrVPtyGOahp5YtGOIHrOssdE24knCfafviuJRe2xZGhz29OKo/tn9&#10;egPfzddDVcT19u1wvx+061831aYy5mYyrp5BZRrzxXy+freCPxNaeUYm0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mxf/8YAAADcAAAADwAAAAAAAAAAAAAAAACYAgAAZHJz&#10;L2Rvd25yZXYueG1sUEsFBgAAAAAEAAQA9QAAAIsDAAAAAA==&#10;" fillcolor="white [3212]" stroked="f" strokeweight="2pt">
                  <v:shadow on="t" color="#bfbfbf [2412]" opacity="26214f" origin=",.5" offset="0,-3pt"/>
                </v:rect>
                <v:rect id="Rectangle 119" o:spid="_x0000_s1028" style="position:absolute;left:21933;top:8859;width:35062;height:72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D6ZMMA&#10;AADcAAAADwAAAGRycy9kb3ducmV2LnhtbERPTWsCMRC9C/6HMIXeNGtpi90apRSsBfGgtXuebqab&#10;rZvJksR1/fdGKHibx/uc2aK3jejIh9qxgsk4A0FcOl1zpWD/tRxNQYSIrLFxTArOFGAxHw5mmGt3&#10;4i11u1iJFMIhRwUmxjaXMpSGLIaxa4kT9+u8xZigr6T2eErhtpEPWfYsLdacGgy29G6oPOyOVsFf&#10;9f1UZH65Wf087jtp2o91sS6Uur/r315BROrjTfzv/tRp/uQFrs+kC+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D6ZMMAAADcAAAADwAAAAAAAAAAAAAAAACYAgAAZHJzL2Rv&#10;d25yZXYueG1sUEsFBgAAAAAEAAQA9QAAAIgDAAAAAA==&#10;" fillcolor="white [3212]" stroked="f" strokeweight="2pt">
                  <v:shadow on="t" color="#bfbfbf [2412]" opacity="26214f" origin=",.5" offset="0,-3pt"/>
                </v:rect>
                <v:rect id="Rectangle 120" o:spid="_x0000_s1029" style="position:absolute;left:21876;top:17719;width:35063;height:72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aZRMYA&#10;AADcAAAADwAAAGRycy9kb3ducmV2LnhtbESPQU/DMAyF70j8h8hI3Fi6CdBUlk0T0gBp4sA2evYa&#10;ryk0TpWErvx7fEDazdZ7fu/zYjX6Tg0UUxvYwHRSgCKug225MXDYb+7moFJGttgFJgO/lGC1vL5a&#10;YGnDmT9o2OVGSQinEg24nPtS61Q78pgmoScW7RSixyxrbLSNeJZw3+lZUTxqjy1Lg8Oenh3V37sf&#10;b+Cr+Xyoirh5fz3eHwbt+pdtta2Mub0Z10+gMo35Yv6/frOCPxN8eUYm0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naZRMYAAADcAAAADwAAAAAAAAAAAAAAAACYAgAAZHJz&#10;L2Rvd25yZXYueG1sUEsFBgAAAAAEAAQA9QAAAIsDAAAAAA==&#10;" fillcolor="white [3212]" stroked="f" strokeweight="2pt">
                  <v:shadow on="t" color="#bfbfbf [2412]" opacity="26214f" origin=",.5" offset="0,-3pt"/>
                </v:rect>
                <v:rect id="Rectangle 121" o:spid="_x0000_s1030" style="position:absolute;left:21876;width:35063;height:72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if1MEA&#10;AADcAAAADwAAAGRycy9kb3ducmV2LnhtbERPzWrCQBC+F3yHZQQvRTexRUJ0FSkoPfRS9QHG7JgN&#10;ZmfD7jaJb+8WCr3Nx/c7m91oW9GTD41jBfkiA0FcOd1wreByPswLECEia2wdk4IHBdhtJy8bLLUb&#10;+Jv6U6xFCuFQogITY1dKGSpDFsPCdcSJuzlvMSboa6k9DinctnKZZStpseHUYLCjD0PV/fRjFUh/&#10;7Io3dP2XHPSrzQ9jcX03Ss2m434NItIY/8V/7k+d5i9z+H0mXSC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Yn9TBAAAA3AAAAA8AAAAAAAAAAAAAAAAAmAIAAGRycy9kb3du&#10;cmV2LnhtbFBLBQYAAAAABAAEAPUAAACGAwAAAAA=&#10;" fillcolor="white [3212]" stroked="f" strokeweight="2pt">
                  <v:shadow on="t" color="#a5a5a5 [2092]" opacity="26214f" origin="-.5,-.5" offset=".74836mm,.74836mm"/>
                </v:rect>
                <v:rect id="Rectangle 122" o:spid="_x0000_s1031" style="position:absolute;left:21933;top:8859;width:35062;height:72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oBo8EA&#10;AADcAAAADwAAAGRycy9kb3ducmV2LnhtbERPzWrCQBC+F3yHZQQvRTemRUJ0FSkoPfRS9QHG7JgN&#10;ZmfD7jaJb+8WCr3Nx/c7m91oW9GTD41jBctFBoK4crrhWsHlfJgXIEJE1tg6JgUPCrDbTl42WGo3&#10;8Df1p1iLFMKhRAUmxq6UMlSGLIaF64gTd3PeYkzQ11J7HFK4bWWeZStpseHUYLCjD0PV/fRjFUh/&#10;7Io3dP2XHPSrXR7G4vpulJpNx/0aRKQx/ov/3J86zc9z+H0mXSC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KAaPBAAAA3AAAAA8AAAAAAAAAAAAAAAAAmAIAAGRycy9kb3du&#10;cmV2LnhtbFBLBQYAAAAABAAEAPUAAACGAwAAAAA=&#10;" fillcolor="white [3212]" stroked="f" strokeweight="2pt">
                  <v:shadow on="t" color="#a5a5a5 [2092]" opacity="26214f" origin="-.5,-.5" offset=".74836mm,.74836mm"/>
                </v:rect>
                <v:rect id="Rectangle 123" o:spid="_x0000_s1032" style="position:absolute;left:21876;top:17719;width:35063;height:72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akOMEA&#10;AADcAAAADwAAAGRycy9kb3ducmV2LnhtbERPS2rDMBDdF3oHMYVsSiw7KcU4UUwpJHTRTZMcYGpN&#10;LBNrZCTFdm5fFQrdzeN9Z1vPthcj+dA5VlBkOQjixumOWwXn035ZgggRWWPvmBTcKUC9e3zYYqXd&#10;xF80HmMrUgiHChWYGIdKytAYshgyNxAn7uK8xZigb6X2OKVw28tVnr9Kix2nBoMDvRtqrsebVSD9&#10;YSjX6MZPOelnW+zn8vvFKLV4mt82ICLN8V/85/7Qaf5qDb/PpAv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GpDjBAAAA3AAAAA8AAAAAAAAAAAAAAAAAmAIAAGRycy9kb3du&#10;cmV2LnhtbFBLBQYAAAAABAAEAPUAAACGAwAAAAA=&#10;" fillcolor="white [3212]" stroked="f" strokeweight="2pt">
                  <v:shadow on="t" color="#a5a5a5 [2092]" opacity="26214f" origin="-.5,-.5" offset=".74836mm,.74836mm"/>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24" o:spid="_x0000_s1033" type="#_x0000_t15" style="position:absolute;width:24037;height:72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VNMMQA&#10;AADcAAAADwAAAGRycy9kb3ducmV2LnhtbERPS2sCMRC+F/wPYQRvNeujRbZGEWGxpfTgo9DjsBk3&#10;SzeTdRPj+u+bQqG3+fies1z3thGROl87VjAZZyCIS6drrhScjsXjAoQPyBobx6TgTh7Wq8HDEnPt&#10;bryneAiVSCHsc1RgQmhzKX1pyKIfu5Y4cWfXWQwJdpXUHd5SuG3kNMuepcWaU4PBlraGyu/D1Sp4&#10;2uu4Ocav4qOYvX+a3Vu8uN1ZqdGw37yACNSHf/Gf+1Wn+dM5/D6TLp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VTTDEAAAA3AAAAA8AAAAAAAAAAAAAAAAAmAIAAGRycy9k&#10;b3ducmV2LnhtbFBLBQYAAAAABAAEAPUAAACJAwAAAAA=&#10;" adj="19614" fillcolor="#3d4d7d" stroked="f" strokeweight="2pt">
                  <v:shadow on="t" color="#a5a5a5 [2092]" opacity="26214f" origin=",-.5" offset="0,3pt"/>
                </v:shape>
                <v:shape id="Pentagon 125" o:spid="_x0000_s1034" type="#_x0000_t15" style="position:absolute;top:8785;width:24037;height:72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eMZMIA&#10;AADcAAAADwAAAGRycy9kb3ducmV2LnhtbERPTWvCQBC9C/0PyxS86aYRRVJXKRVBRBBjDz1Os2Oy&#10;bXY2ZLcm/ntXELzN433OYtXbWlyo9caxgrdxAoK4cNpwqeDrtBnNQfiArLF2TAqu5GG1fBksMNOu&#10;4yNd8lCKGMI+QwVVCE0mpS8qsujHriGO3Nm1FkOEbSl1i10Mt7VMk2QmLRqODRU29FlR8Zf/WwX2&#10;/Hs6rjd+bb87k+5MPtkfflip4Wv/8Q4iUB+e4od7q+P8dAr3Z+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Z4xkwgAAANwAAAAPAAAAAAAAAAAAAAAAAJgCAABkcnMvZG93&#10;bnJldi54bWxQSwUGAAAAAAQABAD1AAAAhwMAAAAA&#10;" adj="19614" fillcolor="#5a70ae" stroked="f" strokeweight="2pt">
                  <v:shadow on="t" color="#a5a5a5 [2092]" opacity="26214f" origin=",-.5" offset="0,3pt"/>
                </v:shape>
                <v:shape id="Pentagon 126" o:spid="_x0000_s1035" type="#_x0000_t15" style="position:absolute;top:17719;width:24037;height:72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UjmMIA&#10;AADcAAAADwAAAGRycy9kb3ducmV2LnhtbERPS4vCMBC+L+x/CLPgZdFUqbJUo4ggKnjxwXodmtmm&#10;bDMpTdTqrzeC4G0+vudMZq2txIUaXzpW0O8lIIhzp0suFBwPy+4PCB+QNVaOScGNPMymnx8TzLS7&#10;8o4u+1CIGMI+QwUmhDqT0ueGLPqeq4kj9+caiyHCppC6wWsMt5UcJMlIWiw5NhisaWEo/9+frYJ0&#10;48N33pr78Ly4ndLt72m7SVdKdb7a+RhEoDa8xS/3Wsf5gxE8n4kX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RSOYwgAAANwAAAAPAAAAAAAAAAAAAAAAAJgCAABkcnMvZG93&#10;bnJldi54bWxQSwUGAAAAAAQABAD1AAAAhwMAAAAA&#10;" adj="19614" fillcolor="#8695c4" stroked="f" strokeweight="2pt">
                  <v:shadow on="t" color="#a5a5a5 [2092]" opacity="26214f" origin=",-.5" offset="0,3pt"/>
                </v:shape>
                <v:oval id="Oval 127" o:spid="_x0000_s1036" style="position:absolute;left:2490;top:840;width:5580;height:55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KsMA&#10;AADcAAAADwAAAGRycy9kb3ducmV2LnhtbESPQYvCMBCF7wv+hzCCl0XT9VClGkXEBb0oWvE8NmNb&#10;bCaliVr/vREEbzO8N+97M523phJ3alxpWcHfIAJBnFldcq7gmP73xyCcR9ZYWSYFT3Iwn3V+ppho&#10;++A93Q8+FyGEXYIKCu/rREqXFWTQDWxNHLSLbQz6sDa51A0+Qrip5DCKYmmw5EAosKZlQdn1cDOB&#10;Gx/T7QrTZbr5XVzO0Wmk491ZqV63XUxAeGr91/y5XutQfziC9zNhAj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KsMAAADcAAAADwAAAAAAAAAAAAAAAACYAgAAZHJzL2Rv&#10;d25yZXYueG1sUEsFBgAAAAAEAAQA9QAAAIgDAAAAAA==&#10;" fillcolor="white [3212]" stroked="f" strokeweight="2pt">
                  <v:textbox inset="0,0,0,0">
                    <w:txbxContent>
                      <w:p w:rsidR="00716768" w:rsidRDefault="00716768" w:rsidP="007253F3">
                        <w:pPr>
                          <w:pStyle w:val="NormalWeb"/>
                          <w:spacing w:before="0" w:beforeAutospacing="0" w:after="0" w:afterAutospacing="0"/>
                          <w:jc w:val="center"/>
                        </w:pPr>
                        <w:r>
                          <w:rPr>
                            <w:rFonts w:asciiTheme="minorHAnsi" w:hAnsi="Calibri" w:cstheme="minorBidi"/>
                            <w:b/>
                            <w:bCs/>
                            <w:color w:val="3D4D7D"/>
                            <w:kern w:val="24"/>
                            <w:sz w:val="48"/>
                            <w:szCs w:val="48"/>
                          </w:rPr>
                          <w:t>01</w:t>
                        </w:r>
                      </w:p>
                    </w:txbxContent>
                  </v:textbox>
                </v:oval>
                <v:oval id="Oval 128" o:spid="_x0000_s1037" style="position:absolute;left:2490;top:9700;width:5580;height:55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ArWMMA&#10;AADcAAAADwAAAGRycy9kb3ducmV2LnhtbESPTWvCQBCG7wX/wzKCl6KbekgluoqIBb201IjnMTsm&#10;wexsyK4a/71zKPQ2w7wfzyxWvWvUnbpQezbwMUlAERfe1lwaOOZf4xmoEJEtNp7JwJMCrJaDtwVm&#10;1j/4l+6HWCoJ4ZChgSrGNtM6FBU5DBPfEsvt4juHUdau1LbDh4S7Rk+TJNUOa5aGClvaVFRcDzcn&#10;vekx/95ivsn37+vLOTl92vTnbMxo2K/noCL18V/8595ZwZ8KrTwjE+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ArWMMAAADcAAAADwAAAAAAAAAAAAAAAACYAgAAZHJzL2Rv&#10;d25yZXYueG1sUEsFBgAAAAAEAAQA9QAAAIgDAAAAAA==&#10;" fillcolor="white [3212]" stroked="f" strokeweight="2pt">
                  <v:textbox inset="0,0,0,0">
                    <w:txbxContent>
                      <w:p w:rsidR="00716768" w:rsidRPr="00716768" w:rsidRDefault="00716768" w:rsidP="007253F3">
                        <w:pPr>
                          <w:pStyle w:val="NormalWeb"/>
                          <w:spacing w:before="0" w:beforeAutospacing="0" w:after="0" w:afterAutospacing="0"/>
                          <w:jc w:val="center"/>
                          <w:rPr>
                            <w:color w:val="5A70AE"/>
                          </w:rPr>
                        </w:pPr>
                        <w:r w:rsidRPr="00716768">
                          <w:rPr>
                            <w:rFonts w:asciiTheme="minorHAnsi" w:hAnsi="Calibri" w:cstheme="minorBidi"/>
                            <w:b/>
                            <w:bCs/>
                            <w:color w:val="5A70AE"/>
                            <w:kern w:val="24"/>
                            <w:sz w:val="48"/>
                            <w:szCs w:val="48"/>
                          </w:rPr>
                          <w:t>02</w:t>
                        </w:r>
                      </w:p>
                    </w:txbxContent>
                  </v:textbox>
                </v:oval>
                <v:oval id="Oval 129" o:spid="_x0000_s1038" style="position:absolute;left:2490;top:18560;width:5580;height:55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yOw8QA&#10;AADcAAAADwAAAGRycy9kb3ducmV2LnhtbESPQYvCMBCF74L/IYzgZdFUD12tRhFZwb2s2IrnsRnb&#10;YjMpTVbrv98sCN5meG/e92a57kwt7tS6yrKCyTgCQZxbXXGh4JTtRjMQziNrrC2Tgic5WK/6vSUm&#10;2j74SPfUFyKEsEtQQel9k0jp8pIMurFtiIN2ta1BH9a2kLrFRwg3tZxGUSwNVhwIJTa0LSm/pb8m&#10;cONT9vOF2Tb7/thcL9H5U8eHi1LDQbdZgPDU+bf5db3Xof50Dv/PhAn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8jsPEAAAA3AAAAA8AAAAAAAAAAAAAAAAAmAIAAGRycy9k&#10;b3ducmV2LnhtbFBLBQYAAAAABAAEAPUAAACJAwAAAAA=&#10;" fillcolor="white [3212]" stroked="f" strokeweight="2pt">
                  <v:textbox inset="0,0,0,0">
                    <w:txbxContent>
                      <w:p w:rsidR="00716768" w:rsidRPr="00716768" w:rsidRDefault="00716768" w:rsidP="007253F3">
                        <w:pPr>
                          <w:pStyle w:val="NormalWeb"/>
                          <w:spacing w:before="0" w:beforeAutospacing="0" w:after="0" w:afterAutospacing="0"/>
                          <w:jc w:val="center"/>
                          <w:rPr>
                            <w:color w:val="8695C4"/>
                          </w:rPr>
                        </w:pPr>
                        <w:r w:rsidRPr="00716768">
                          <w:rPr>
                            <w:rFonts w:asciiTheme="minorHAnsi" w:hAnsi="Calibri" w:cstheme="minorBidi"/>
                            <w:b/>
                            <w:bCs/>
                            <w:color w:val="8695C4"/>
                            <w:kern w:val="24"/>
                            <w:sz w:val="48"/>
                            <w:szCs w:val="48"/>
                          </w:rPr>
                          <w:t>03</w:t>
                        </w:r>
                      </w:p>
                    </w:txbxContent>
                  </v:textbox>
                </v:oval>
                <v:shapetype id="_x0000_t202" coordsize="21600,21600" o:spt="202" path="m,l,21600r21600,l21600,xe">
                  <v:stroke joinstyle="miter"/>
                  <v:path gradientshapeok="t" o:connecttype="rect"/>
                </v:shapetype>
                <v:shape id="TextBox 17" o:spid="_x0000_s1039" type="#_x0000_t202" style="position:absolute;left:23814;width:33541;height:72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bpSMQA&#10;AADcAAAADwAAAGRycy9kb3ducmV2LnhtbESPQW/CMAyF70j7D5En7UZTtglNHQFNY0yIE7T8AKsx&#10;bUXjlCSD7t/Ph0ncbL3n9z4vVqPr1ZVC7DwbmGU5KOLa244bA8dqM30DFROyxd4zGfilCKvlw2SB&#10;hfU3PtC1TI2SEI4FGmhTGgqtY92Sw5j5gVi0kw8Ok6yh0TbgTcJdr5/zfK4ddiwNLQ702VJ9Ln+c&#10;gZKO33mFX7ty87q97Lt5tQuztTFPj+PHO6hEY7qb/6+3VvBfBF+ekQn0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26UjEAAAA3AAAAA8AAAAAAAAAAAAAAAAAmAIAAGRycy9k&#10;b3ducmV2LnhtbFBLBQYAAAAABAAEAPUAAACJAwAAAAA=&#10;" filled="f" stroked="f">
                  <v:textbox inset="3mm,1mm,3mm,1mm">
                    <w:txbxContent>
                      <w:p w:rsidR="00716768" w:rsidRDefault="00716768" w:rsidP="00716768">
                        <w:pPr>
                          <w:pStyle w:val="NormalWeb"/>
                          <w:spacing w:before="0" w:beforeAutospacing="0" w:after="0" w:afterAutospacing="0"/>
                        </w:pPr>
                        <w:r>
                          <w:rPr>
                            <w:rFonts w:asciiTheme="minorHAnsi" w:hAnsi="Calibri" w:cstheme="minorBidi"/>
                            <w:color w:val="000000" w:themeColor="text1"/>
                            <w:kern w:val="24"/>
                            <w:sz w:val="20"/>
                            <w:szCs w:val="20"/>
                          </w:rPr>
                          <w:t>We examine the behavioural assumptions for new policy proposals for their consistency in scale and direction with assumptions we have previously made for similar proposals.</w:t>
                        </w:r>
                      </w:p>
                    </w:txbxContent>
                  </v:textbox>
                </v:shape>
                <v:shape id="TextBox 18" o:spid="_x0000_s1040" type="#_x0000_t202" style="position:absolute;left:8249;width:12957;height:72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vXjsEA&#10;AADcAAAADwAAAGRycy9kb3ducmV2LnhtbERPTYvCMBC9C/6HMII3TVUQqaZFFGFPylYv3oZmbKvN&#10;pDTZWv31G2Fhb/N4n7NJe1OLjlpXWVYwm0YgiHOrKy4UXM6HyQqE88gaa8uk4EUO0mQ42GCs7ZO/&#10;qct8IUIIuxgVlN43sZQuL8mgm9qGOHA32xr0AbaF1C0+Q7ip5TyKltJgxaGhxIZ2JeWP7McosIv+&#10;crxHD/Pe76+yO5x2mdEvpcajfrsG4an3/+I/95cO8xcz+DwTLpDJ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7147BAAAA3AAAAA8AAAAAAAAAAAAAAAAAmAIAAGRycy9kb3du&#10;cmV2LnhtbFBLBQYAAAAABAAEAPUAAACGAwAAAAA=&#10;" filled="f" stroked="f">
                  <v:textbox inset="1mm,1mm,1mm,1mm">
                    <w:txbxContent>
                      <w:p w:rsidR="00716768" w:rsidRDefault="00716768" w:rsidP="00716768">
                        <w:pPr>
                          <w:pStyle w:val="NormalWeb"/>
                          <w:spacing w:before="0" w:beforeAutospacing="0" w:after="0" w:afterAutospacing="0"/>
                          <w:jc w:val="center"/>
                        </w:pPr>
                        <w:r>
                          <w:rPr>
                            <w:rFonts w:asciiTheme="minorHAnsi" w:hAnsi="Calibri" w:cstheme="minorBidi"/>
                            <w:color w:val="FFFFFF" w:themeColor="background1"/>
                            <w:kern w:val="24"/>
                            <w:sz w:val="20"/>
                            <w:szCs w:val="20"/>
                          </w:rPr>
                          <w:t>Assumptions should be consistent across similar policies</w:t>
                        </w:r>
                      </w:p>
                    </w:txbxContent>
                  </v:textbox>
                </v:shape>
                <v:shape id="TextBox 19" o:spid="_x0000_s1041" type="#_x0000_t202" style="position:absolute;left:23823;top:8859;width:33542;height:7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jSpMEA&#10;AADcAAAADwAAAGRycy9kb3ducmV2LnhtbERP24rCMBB9F/Yfwiz4pqkXZOkaZVlXEZ+09QOGZmyL&#10;zaQmWa1/bwTBtzmc68yXnWnElZyvLSsYDRMQxIXVNZcKjvl68AXCB2SNjWVScCcPy8VHb46ptjc+&#10;0DULpYgh7FNUUIXQplL6oiKDfmhb4sidrDMYInSl1A5vMdw0cpwkM2mw5thQYUu/FRXn7N8oyOi4&#10;SXL822Xr6fayr2f5zo1WSvU/u59vEIG68Ba/3Fsd50/G8HwmXi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o0qTBAAAA3AAAAA8AAAAAAAAAAAAAAAAAmAIAAGRycy9kb3du&#10;cmV2LnhtbFBLBQYAAAAABAAEAPUAAACGAwAAAAA=&#10;" filled="f" stroked="f">
                  <v:textbox inset="3mm,1mm,3mm,1mm">
                    <w:txbxContent>
                      <w:p w:rsidR="00716768" w:rsidRDefault="00716768" w:rsidP="00716768">
                        <w:pPr>
                          <w:pStyle w:val="NormalWeb"/>
                          <w:spacing w:before="0" w:beforeAutospacing="0" w:after="0" w:afterAutospacing="0"/>
                        </w:pPr>
                        <w:r>
                          <w:rPr>
                            <w:rFonts w:asciiTheme="minorHAnsi" w:hAnsi="Calibri" w:cstheme="minorBidi"/>
                            <w:color w:val="000000" w:themeColor="text1"/>
                            <w:kern w:val="24"/>
                            <w:sz w:val="20"/>
                            <w:szCs w:val="20"/>
                          </w:rPr>
                          <w:t>We draw upon academic empirical research and our own</w:t>
                        </w:r>
                      </w:p>
                      <w:p w:rsidR="00716768" w:rsidRDefault="00716768" w:rsidP="00716768">
                        <w:pPr>
                          <w:pStyle w:val="NormalWeb"/>
                          <w:spacing w:before="0" w:beforeAutospacing="0" w:after="0" w:afterAutospacing="0"/>
                        </w:pPr>
                        <w:r>
                          <w:rPr>
                            <w:rFonts w:asciiTheme="minorHAnsi" w:hAnsi="Calibri" w:cstheme="minorBidi"/>
                            <w:color w:val="000000" w:themeColor="text1"/>
                            <w:kern w:val="24"/>
                            <w:sz w:val="20"/>
                            <w:szCs w:val="20"/>
                          </w:rPr>
                          <w:t>analysis of historical data to inform our assumptions.</w:t>
                        </w:r>
                      </w:p>
                    </w:txbxContent>
                  </v:textbox>
                </v:shape>
                <v:shape id="TextBox 20" o:spid="_x0000_s1042" type="#_x0000_t202" style="position:absolute;left:8249;top:8785;width:12957;height:72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XsYsEA&#10;AADcAAAADwAAAGRycy9kb3ducmV2LnhtbERPTYvCMBC9C/6HMII3TbWwLNVYRBH2pNj14m1oxra2&#10;mZQmW6u/3iws7G0e73PW6WAa0VPnKssKFvMIBHFudcWFgsv3YfYJwnlkjY1lUvAkB+lmPFpjou2D&#10;z9RnvhAhhF2CCkrv20RKl5dk0M1tSxy4m+0M+gC7QuoOHyHcNHIZRR/SYMWhocSWdiXldfZjFNh4&#10;uBzvUW1e+/1V9ofTLjP6qdR0MmxXIDwN/l/85/7SYX4cw+8z4QK5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7l7GLBAAAA3AAAAA8AAAAAAAAAAAAAAAAAmAIAAGRycy9kb3du&#10;cmV2LnhtbFBLBQYAAAAABAAEAPUAAACGAwAAAAA=&#10;" filled="f" stroked="f">
                  <v:textbox inset="1mm,1mm,1mm,1mm">
                    <w:txbxContent>
                      <w:p w:rsidR="00716768" w:rsidRDefault="00716768" w:rsidP="00716768">
                        <w:pPr>
                          <w:pStyle w:val="NormalWeb"/>
                          <w:spacing w:before="0" w:beforeAutospacing="0" w:after="0" w:afterAutospacing="0"/>
                          <w:jc w:val="center"/>
                        </w:pPr>
                        <w:r>
                          <w:rPr>
                            <w:rFonts w:asciiTheme="minorHAnsi" w:hAnsi="Calibri" w:cstheme="minorBidi"/>
                            <w:color w:val="FFFFFF" w:themeColor="background1"/>
                            <w:kern w:val="24"/>
                            <w:sz w:val="20"/>
                            <w:szCs w:val="20"/>
                          </w:rPr>
                          <w:t>Assumptions should be backed by</w:t>
                        </w:r>
                      </w:p>
                      <w:p w:rsidR="00716768" w:rsidRDefault="00716768" w:rsidP="00716768">
                        <w:pPr>
                          <w:pStyle w:val="NormalWeb"/>
                          <w:spacing w:before="0" w:beforeAutospacing="0" w:after="0" w:afterAutospacing="0"/>
                          <w:jc w:val="center"/>
                        </w:pPr>
                        <w:r>
                          <w:rPr>
                            <w:rFonts w:asciiTheme="minorHAnsi" w:hAnsi="Calibri" w:cstheme="minorBidi"/>
                            <w:color w:val="FFFFFF" w:themeColor="background1"/>
                            <w:kern w:val="24"/>
                            <w:sz w:val="20"/>
                            <w:szCs w:val="20"/>
                          </w:rPr>
                          <w:t>empirical evidence</w:t>
                        </w:r>
                      </w:p>
                    </w:txbxContent>
                  </v:textbox>
                </v:shape>
                <v:shape id="TextBox 21" o:spid="_x0000_s1043" type="#_x0000_t202" style="position:absolute;left:23824;top:17718;width:33542;height:72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3vS8IA&#10;AADcAAAADwAAAGRycy9kb3ducmV2LnhtbERPzWrCQBC+F3yHZYTe6sY2iERXEdsU8VQTH2DITpPQ&#10;7Gy6u03i27uFQm/z8f3Odj+ZTgzkfGtZwXKRgCCurG65VnAt86c1CB+QNXaWScGNPOx3s4ctZtqO&#10;fKGhCLWIIewzVNCE0GdS+qohg35he+LIfVpnMEToaqkdjjHcdPI5SVbSYMuxocGejg1VX8WPUVDQ&#10;9T0p8e1c5Onp+6NdlWe3fFXqcT4dNiACTeFf/Oc+6Tj/JYXfZ+IFcn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je9LwgAAANwAAAAPAAAAAAAAAAAAAAAAAJgCAABkcnMvZG93&#10;bnJldi54bWxQSwUGAAAAAAQABAD1AAAAhwMAAAAA&#10;" filled="f" stroked="f">
                  <v:textbox inset="3mm,1mm,3mm,1mm">
                    <w:txbxContent>
                      <w:p w:rsidR="00716768" w:rsidRDefault="00716768" w:rsidP="00716768">
                        <w:pPr>
                          <w:pStyle w:val="NormalWeb"/>
                          <w:spacing w:before="0" w:beforeAutospacing="0" w:after="0" w:afterAutospacing="0"/>
                        </w:pPr>
                        <w:r>
                          <w:rPr>
                            <w:rFonts w:asciiTheme="minorHAnsi" w:hAnsi="Calibri" w:cstheme="minorBidi"/>
                            <w:color w:val="000000" w:themeColor="text1"/>
                            <w:kern w:val="24"/>
                            <w:sz w:val="20"/>
                            <w:szCs w:val="20"/>
                          </w:rPr>
                          <w:t>We test our assumptions with advice from experts</w:t>
                        </w:r>
                      </w:p>
                      <w:p w:rsidR="00716768" w:rsidRDefault="00716768" w:rsidP="00716768">
                        <w:pPr>
                          <w:pStyle w:val="NormalWeb"/>
                          <w:spacing w:before="0" w:beforeAutospacing="0" w:after="0" w:afterAutospacing="0"/>
                        </w:pPr>
                        <w:r>
                          <w:rPr>
                            <w:rFonts w:asciiTheme="minorHAnsi" w:hAnsi="Calibri" w:cstheme="minorBidi"/>
                            <w:color w:val="000000" w:themeColor="text1"/>
                            <w:kern w:val="24"/>
                            <w:sz w:val="20"/>
                            <w:szCs w:val="20"/>
                          </w:rPr>
                          <w:t>and advice from other similar organisations.</w:t>
                        </w:r>
                      </w:p>
                    </w:txbxContent>
                  </v:textbox>
                </v:shape>
                <v:shape id="TextBox 22" o:spid="_x0000_s1044" type="#_x0000_t202" style="position:absolute;left:8249;top:17718;width:12957;height:72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DRjcEA&#10;AADcAAAADwAAAGRycy9kb3ducmV2LnhtbERPTYvCMBC9L/gfwgje1lTFRaqxiCJ4ctnqxdvQjG1t&#10;MylNrNVfvxEW9jaP9zmrpDe16Kh1pWUFk3EEgjizuuRcwfm0/1yAcB5ZY22ZFDzJQbIefKww1vbB&#10;P9SlPhchhF2MCgrvm1hKlxVk0I1tQxy4q20N+gDbXOoWHyHc1HIaRV/SYMmhocCGtgVlVXo3Cuys&#10;Px9vUWVeu91FdvvvbWr0U6nRsN8sQXjq/b/4z33QYf5sDu9nwgV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A0Y3BAAAA3AAAAA8AAAAAAAAAAAAAAAAAmAIAAGRycy9kb3du&#10;cmV2LnhtbFBLBQYAAAAABAAEAPUAAACGAwAAAAA=&#10;" filled="f" stroked="f">
                  <v:textbox inset="1mm,1mm,1mm,1mm">
                    <w:txbxContent>
                      <w:p w:rsidR="00716768" w:rsidRDefault="00716768" w:rsidP="00716768">
                        <w:pPr>
                          <w:pStyle w:val="NormalWeb"/>
                          <w:spacing w:before="0" w:beforeAutospacing="0" w:after="0" w:afterAutospacing="0"/>
                          <w:jc w:val="center"/>
                        </w:pPr>
                        <w:r>
                          <w:rPr>
                            <w:rFonts w:asciiTheme="minorHAnsi" w:hAnsi="Calibri" w:cstheme="minorBidi"/>
                            <w:color w:val="FFFFFF" w:themeColor="background1"/>
                            <w:kern w:val="24"/>
                            <w:sz w:val="20"/>
                            <w:szCs w:val="20"/>
                          </w:rPr>
                          <w:t>Assumptions should be informed by expert advice and theory</w:t>
                        </w:r>
                      </w:p>
                    </w:txbxContent>
                  </v:textbox>
                </v:shape>
                <w10:anchorlock/>
              </v:group>
            </w:pict>
          </mc:Fallback>
        </mc:AlternateContent>
      </w:r>
    </w:p>
    <w:p w:rsidR="00621BD6" w:rsidRDefault="00176036" w:rsidP="002C66AD">
      <w:pPr>
        <w:pStyle w:val="BodyText"/>
        <w:spacing w:before="240"/>
      </w:pPr>
      <w:r>
        <w:t>We are</w:t>
      </w:r>
      <w:r w:rsidR="0036730B">
        <w:t xml:space="preserve"> committed to transparency around </w:t>
      </w:r>
      <w:r w:rsidR="00833D7D">
        <w:t xml:space="preserve">the </w:t>
      </w:r>
      <w:r w:rsidR="0036730B">
        <w:t>behavioural assumptions</w:t>
      </w:r>
      <w:r w:rsidR="00833D7D">
        <w:t xml:space="preserve"> that we apply in our costings</w:t>
      </w:r>
      <w:r w:rsidR="0036730B">
        <w:t>.  This includes</w:t>
      </w:r>
      <w:r w:rsidR="00FD768C">
        <w:t xml:space="preserve"> being transparent about our assumptions,</w:t>
      </w:r>
      <w:r w:rsidR="0036730B">
        <w:t xml:space="preserve"> </w:t>
      </w:r>
      <w:r w:rsidR="00B311A4">
        <w:t>and</w:t>
      </w:r>
      <w:r w:rsidR="00FD768C">
        <w:t xml:space="preserve"> the</w:t>
      </w:r>
      <w:r w:rsidR="00B311A4">
        <w:t xml:space="preserve"> justification </w:t>
      </w:r>
      <w:r w:rsidR="00FD768C">
        <w:t xml:space="preserve">for </w:t>
      </w:r>
      <w:r w:rsidR="0036730B">
        <w:t>these</w:t>
      </w:r>
      <w:r w:rsidR="00FD768C">
        <w:t>,</w:t>
      </w:r>
      <w:r w:rsidR="0036730B">
        <w:t xml:space="preserve"> </w:t>
      </w:r>
      <w:r w:rsidR="00B311A4">
        <w:t xml:space="preserve">in our costing advice to parliamentarians, as well as providing sensitivity analysis </w:t>
      </w:r>
      <w:r w:rsidR="00FD768C">
        <w:t xml:space="preserve">where </w:t>
      </w:r>
      <w:r w:rsidR="00B311A4">
        <w:t>assumptions are particularly uncertain.  This is discussed further in Section</w:t>
      </w:r>
      <w:r w:rsidR="008F61D4">
        <w:t xml:space="preserve"> </w:t>
      </w:r>
      <w:r w:rsidR="008F61D4">
        <w:fldChar w:fldCharType="begin"/>
      </w:r>
      <w:r w:rsidR="008F61D4">
        <w:instrText xml:space="preserve"> REF _Ref26366634 \r \h </w:instrText>
      </w:r>
      <w:r w:rsidR="008F61D4">
        <w:fldChar w:fldCharType="separate"/>
      </w:r>
      <w:r w:rsidR="00DC02AF">
        <w:t>5</w:t>
      </w:r>
      <w:r w:rsidR="008F61D4">
        <w:fldChar w:fldCharType="end"/>
      </w:r>
      <w:r w:rsidR="00B311A4">
        <w:t>.</w:t>
      </w:r>
    </w:p>
    <w:p w:rsidR="0036730B" w:rsidRDefault="00B311A4" w:rsidP="002C66AD">
      <w:pPr>
        <w:pStyle w:val="BodyText"/>
        <w:spacing w:before="240"/>
      </w:pPr>
      <w:r>
        <w:t xml:space="preserve">As part of our commitment to transparency, we have </w:t>
      </w:r>
      <w:r w:rsidR="00FD768C">
        <w:t>provided</w:t>
      </w:r>
      <w:r>
        <w:t xml:space="preserve"> a consolidated list of behavioural assumptions</w:t>
      </w:r>
      <w:r w:rsidR="00840B1C">
        <w:t xml:space="preserve"> </w:t>
      </w:r>
      <w:proofErr w:type="gramStart"/>
      <w:r w:rsidR="00FD768C">
        <w:t xml:space="preserve">at </w:t>
      </w:r>
      <w:proofErr w:type="gramEnd"/>
      <w:r w:rsidR="00333991">
        <w:fldChar w:fldCharType="begin"/>
      </w:r>
      <w:r w:rsidR="00333991">
        <w:instrText xml:space="preserve"> HYPERLINK \l "_Appendix_A:_Consolidated" </w:instrText>
      </w:r>
      <w:r w:rsidR="00333991">
        <w:fldChar w:fldCharType="separate"/>
      </w:r>
      <w:hyperlink w:anchor="_Appendix_A:_Consolidated" w:history="1">
        <w:r w:rsidR="00B92443" w:rsidRPr="00844C62">
          <w:rPr>
            <w:rStyle w:val="Hyperlink"/>
          </w:rPr>
          <w:t>Appendix A</w:t>
        </w:r>
      </w:hyperlink>
      <w:r w:rsidR="00333991">
        <w:rPr>
          <w:rStyle w:val="Hyperlink"/>
        </w:rPr>
        <w:fldChar w:fldCharType="end"/>
      </w:r>
      <w:r w:rsidRPr="002C66AD">
        <w:rPr>
          <w:rStyle w:val="Hyperlink"/>
          <w:u w:val="none"/>
        </w:rPr>
        <w:t xml:space="preserve">.  </w:t>
      </w:r>
      <w:r>
        <w:rPr>
          <w:rStyle w:val="Hyperlink"/>
          <w:u w:val="none"/>
        </w:rPr>
        <w:t>This list details behavioural assumptions we have made in costings</w:t>
      </w:r>
      <w:r w:rsidR="00FD768C">
        <w:rPr>
          <w:rStyle w:val="Hyperlink"/>
          <w:u w:val="none"/>
        </w:rPr>
        <w:t xml:space="preserve"> that </w:t>
      </w:r>
      <w:r w:rsidR="00840B1C">
        <w:rPr>
          <w:rStyle w:val="Hyperlink"/>
          <w:u w:val="none"/>
        </w:rPr>
        <w:t>were</w:t>
      </w:r>
      <w:r w:rsidR="00FD768C">
        <w:rPr>
          <w:rStyle w:val="Hyperlink"/>
          <w:u w:val="none"/>
        </w:rPr>
        <w:t xml:space="preserve"> published </w:t>
      </w:r>
      <w:r w:rsidR="00840B1C">
        <w:rPr>
          <w:rStyle w:val="Hyperlink"/>
          <w:u w:val="none"/>
        </w:rPr>
        <w:t>in 2019</w:t>
      </w:r>
      <w:r>
        <w:rPr>
          <w:rStyle w:val="Hyperlink"/>
          <w:u w:val="none"/>
        </w:rPr>
        <w:t xml:space="preserve">, </w:t>
      </w:r>
      <w:r w:rsidR="00621BD6" w:rsidRPr="00175E6F">
        <w:t xml:space="preserve">including those used for costings in the </w:t>
      </w:r>
      <w:r w:rsidR="00621BD6" w:rsidRPr="00716768">
        <w:rPr>
          <w:i/>
        </w:rPr>
        <w:t>2019 Post</w:t>
      </w:r>
      <w:r w:rsidR="00621BD6" w:rsidRPr="00716768">
        <w:rPr>
          <w:i/>
        </w:rPr>
        <w:noBreakHyphen/>
        <w:t>election report of election commitments</w:t>
      </w:r>
      <w:r w:rsidR="00621BD6">
        <w:t>.</w:t>
      </w:r>
      <w:r w:rsidR="00716768">
        <w:rPr>
          <w:rStyle w:val="FootnoteReference"/>
        </w:rPr>
        <w:footnoteReference w:id="3"/>
      </w:r>
      <w:r>
        <w:t xml:space="preserve"> </w:t>
      </w:r>
      <w:r w:rsidR="00621BD6">
        <w:t xml:space="preserve"> </w:t>
      </w:r>
      <w:r w:rsidR="00FD768C">
        <w:t xml:space="preserve">Where available, links to </w:t>
      </w:r>
      <w:r w:rsidR="00621BD6">
        <w:t xml:space="preserve">any research or data used in determining the </w:t>
      </w:r>
      <w:r w:rsidR="00FD768C">
        <w:t>assumptions have been provided</w:t>
      </w:r>
      <w:r w:rsidR="00621BD6">
        <w:t>.</w:t>
      </w:r>
    </w:p>
    <w:p w:rsidR="00E86239" w:rsidRPr="006A4E1E" w:rsidRDefault="00E86239" w:rsidP="00FE6B7D">
      <w:pPr>
        <w:pStyle w:val="BodyText"/>
        <w:spacing w:before="240"/>
      </w:pPr>
      <w:r>
        <w:br w:type="page"/>
      </w:r>
    </w:p>
    <w:p w:rsidR="00E86239" w:rsidRDefault="0014244D" w:rsidP="002C66AD">
      <w:pPr>
        <w:pStyle w:val="Heading1"/>
      </w:pPr>
      <w:bookmarkStart w:id="10" w:name="_Ref27496477"/>
      <w:bookmarkStart w:id="11" w:name="_Toc29891182"/>
      <w:r>
        <w:lastRenderedPageBreak/>
        <w:t>Consistency across policies</w:t>
      </w:r>
      <w:bookmarkEnd w:id="10"/>
      <w:bookmarkEnd w:id="11"/>
    </w:p>
    <w:p w:rsidR="00C041D0" w:rsidRDefault="0014244D" w:rsidP="00335D14">
      <w:pPr>
        <w:pStyle w:val="BodyText"/>
      </w:pPr>
      <w:r>
        <w:t>A principle that the PBO applies when determining behavioural assumptions is to take a consistent approach across policies</w:t>
      </w:r>
      <w:r w:rsidR="00E236AF">
        <w:t xml:space="preserve">.  Assumptions are, of course, updated over time to reflect new information and </w:t>
      </w:r>
      <w:r w:rsidR="008123F4">
        <w:t xml:space="preserve">changes in the </w:t>
      </w:r>
      <w:r w:rsidR="00041523">
        <w:t xml:space="preserve">broader </w:t>
      </w:r>
      <w:r w:rsidR="008123F4">
        <w:t>environment</w:t>
      </w:r>
      <w:r>
        <w:t xml:space="preserve">.  </w:t>
      </w:r>
      <w:r w:rsidR="00B92120">
        <w:t xml:space="preserve">This implies that when two policy proposals are expected to have </w:t>
      </w:r>
      <w:r w:rsidR="002C66AD">
        <w:t xml:space="preserve">a </w:t>
      </w:r>
      <w:r w:rsidR="00B92120">
        <w:t xml:space="preserve">similar impact on </w:t>
      </w:r>
      <w:r w:rsidR="002C66AD">
        <w:t>similar groups</w:t>
      </w:r>
      <w:r w:rsidR="00B92120">
        <w:t xml:space="preserve">, </w:t>
      </w:r>
      <w:r w:rsidR="002C66AD">
        <w:t xml:space="preserve">we would </w:t>
      </w:r>
      <w:r w:rsidR="00041523">
        <w:t xml:space="preserve">generally </w:t>
      </w:r>
      <w:r w:rsidR="002C66AD">
        <w:t xml:space="preserve">assume </w:t>
      </w:r>
      <w:r w:rsidR="00B92120">
        <w:t xml:space="preserve">similar behavioural responses.  </w:t>
      </w:r>
      <w:r w:rsidR="002C66AD">
        <w:t xml:space="preserve">Conversely, when one policy proposal has a relatively large impact on those affected and another has a small impact, we would expect a stronger behavioural response to the proposal that has a larger impact.  </w:t>
      </w:r>
      <w:r w:rsidR="00E236AF">
        <w:t>T</w:t>
      </w:r>
      <w:r w:rsidR="00A61105">
        <w:t xml:space="preserve">his principle </w:t>
      </w:r>
      <w:r>
        <w:t>assist</w:t>
      </w:r>
      <w:r w:rsidR="00E236AF">
        <w:t>s</w:t>
      </w:r>
      <w:r>
        <w:t xml:space="preserve"> comparisons across different costings</w:t>
      </w:r>
      <w:r w:rsidR="00C041D0">
        <w:t>.</w:t>
      </w:r>
    </w:p>
    <w:p w:rsidR="00071876" w:rsidRDefault="002C66AD" w:rsidP="00071876">
      <w:pPr>
        <w:pStyle w:val="Heading2"/>
      </w:pPr>
      <w:r>
        <w:t xml:space="preserve">We draw upon </w:t>
      </w:r>
      <w:r w:rsidR="00E86239" w:rsidRPr="009A766D">
        <w:t>behavioural assumptions</w:t>
      </w:r>
      <w:r w:rsidR="00E86239">
        <w:t xml:space="preserve"> </w:t>
      </w:r>
      <w:r w:rsidR="00E86239" w:rsidRPr="00071876">
        <w:t>for policy proposals we have costed before</w:t>
      </w:r>
    </w:p>
    <w:p w:rsidR="00E86239" w:rsidRDefault="008A0BE8" w:rsidP="00E86239">
      <w:pPr>
        <w:pStyle w:val="BodyText"/>
      </w:pPr>
      <w:r>
        <w:t>We have</w:t>
      </w:r>
      <w:r w:rsidR="00B92120">
        <w:t xml:space="preserve"> costed a wide range of policy proposals over time.  A starting point for determining the behaviour assumption</w:t>
      </w:r>
      <w:r w:rsidR="008F61D4">
        <w:t>s</w:t>
      </w:r>
      <w:r w:rsidR="00B92120">
        <w:t xml:space="preserve"> that will be applied in any new costing is to understand whether we</w:t>
      </w:r>
      <w:r w:rsidR="00E86239">
        <w:t xml:space="preserve"> have previously costed the same or a similar proposal and</w:t>
      </w:r>
      <w:r w:rsidR="00B92120">
        <w:t>, if so,</w:t>
      </w:r>
      <w:r w:rsidR="00E86239">
        <w:t xml:space="preserve"> </w:t>
      </w:r>
      <w:r w:rsidR="00B92120">
        <w:t>what</w:t>
      </w:r>
      <w:r w:rsidR="00E86239">
        <w:t xml:space="preserve"> behavioural assumption</w:t>
      </w:r>
      <w:r w:rsidR="00443A91">
        <w:t>s</w:t>
      </w:r>
      <w:r w:rsidR="00E86239">
        <w:t xml:space="preserve"> </w:t>
      </w:r>
      <w:r w:rsidR="00B92120">
        <w:t>w</w:t>
      </w:r>
      <w:r w:rsidR="00443A91">
        <w:t>ere</w:t>
      </w:r>
      <w:r w:rsidR="00B92120">
        <w:t xml:space="preserve"> used</w:t>
      </w:r>
      <w:r w:rsidR="00E86239">
        <w:t xml:space="preserve">.  </w:t>
      </w:r>
      <w:r w:rsidR="000118B4">
        <w:t xml:space="preserve">Before </w:t>
      </w:r>
      <w:r w:rsidR="00B92120">
        <w:t xml:space="preserve">applying a previous assumption, </w:t>
      </w:r>
      <w:r w:rsidR="00A61105">
        <w:t xml:space="preserve">however, we have to determine that it is </w:t>
      </w:r>
      <w:r w:rsidR="000118B4">
        <w:t>still applicable</w:t>
      </w:r>
      <w:r w:rsidR="00E86239">
        <w:t xml:space="preserve">.  For instance, we explore whether new data or evidence is available that either supports the existing assumption or requires </w:t>
      </w:r>
      <w:r w:rsidR="00A61105">
        <w:t xml:space="preserve">it </w:t>
      </w:r>
      <w:r w:rsidR="00E86239">
        <w:t xml:space="preserve">to be revised.  </w:t>
      </w:r>
      <w:r w:rsidR="00A61105">
        <w:t xml:space="preserve">We also examine whether there </w:t>
      </w:r>
      <w:r w:rsidR="00E86239">
        <w:t>have been changes to government policy or economic conditions that suggest a different behavioural response</w:t>
      </w:r>
      <w:r w:rsidR="00041523">
        <w:t xml:space="preserve"> may occur</w:t>
      </w:r>
      <w:r w:rsidR="00E86239">
        <w:t>.</w:t>
      </w:r>
    </w:p>
    <w:p w:rsidR="00D314D7" w:rsidRDefault="00176036" w:rsidP="00E86239">
      <w:pPr>
        <w:pStyle w:val="BodyText"/>
      </w:pPr>
      <w:r>
        <w:t>We</w:t>
      </w:r>
      <w:r w:rsidR="00470F0A">
        <w:t xml:space="preserve"> regularly </w:t>
      </w:r>
      <w:r w:rsidR="00D314D7">
        <w:t xml:space="preserve">review </w:t>
      </w:r>
      <w:r w:rsidR="00E236AF">
        <w:t xml:space="preserve">completed </w:t>
      </w:r>
      <w:r w:rsidR="004F1D45" w:rsidRPr="004F1D45">
        <w:t>policy costing</w:t>
      </w:r>
      <w:r w:rsidR="00D77118">
        <w:t xml:space="preserve">s, including </w:t>
      </w:r>
      <w:r w:rsidR="00696617">
        <w:t xml:space="preserve">reviewing </w:t>
      </w:r>
      <w:r w:rsidR="00A61105">
        <w:t xml:space="preserve">the behavioural </w:t>
      </w:r>
      <w:r w:rsidR="00D77118">
        <w:t>assumptions</w:t>
      </w:r>
      <w:r w:rsidR="00A61105">
        <w:t xml:space="preserve"> that were applied</w:t>
      </w:r>
      <w:r w:rsidR="00D77118">
        <w:t>,</w:t>
      </w:r>
      <w:r w:rsidR="004F1D45" w:rsidRPr="004F1D45">
        <w:t xml:space="preserve"> to identify areas for i</w:t>
      </w:r>
      <w:r w:rsidR="004F1D45">
        <w:t>mprovement in future costings</w:t>
      </w:r>
      <w:r w:rsidR="00470F0A">
        <w:t>.</w:t>
      </w:r>
      <w:r w:rsidR="00D314D7">
        <w:t xml:space="preserve"> </w:t>
      </w:r>
    </w:p>
    <w:p w:rsidR="005B426F" w:rsidRDefault="005032B3" w:rsidP="005B426F">
      <w:pPr>
        <w:pStyle w:val="Heading2"/>
      </w:pPr>
      <w:r>
        <w:t xml:space="preserve">Our </w:t>
      </w:r>
      <w:r w:rsidR="00B91F88">
        <w:t xml:space="preserve">costing models </w:t>
      </w:r>
      <w:r w:rsidR="00041523">
        <w:t>usually imply that</w:t>
      </w:r>
      <w:r w:rsidR="00AC2A53">
        <w:t xml:space="preserve"> behavioural responses</w:t>
      </w:r>
      <w:r w:rsidR="00041523">
        <w:t xml:space="preserve"> will be proportionate to the policy impact</w:t>
      </w:r>
    </w:p>
    <w:p w:rsidR="00AC2A53" w:rsidRDefault="00AC2A53" w:rsidP="00AC2A53">
      <w:pPr>
        <w:pStyle w:val="BodyText"/>
      </w:pPr>
      <w:r>
        <w:t xml:space="preserve">Many </w:t>
      </w:r>
      <w:r w:rsidR="008A0BE8">
        <w:t xml:space="preserve">of our </w:t>
      </w:r>
      <w:r>
        <w:t xml:space="preserve">costings are estimated using </w:t>
      </w:r>
      <w:r w:rsidR="00E1169B">
        <w:t>administrative</w:t>
      </w:r>
      <w:r>
        <w:t xml:space="preserve"> data </w:t>
      </w:r>
      <w:r w:rsidR="00E1169B">
        <w:t xml:space="preserve">for individuals, families, businesses or other affected groups </w:t>
      </w:r>
      <w:r>
        <w:t xml:space="preserve">to simulate the effects of a policy proposal.  These </w:t>
      </w:r>
      <w:r w:rsidR="00041523">
        <w:t xml:space="preserve">micro-simulation </w:t>
      </w:r>
      <w:r>
        <w:t xml:space="preserve">models </w:t>
      </w:r>
      <w:r w:rsidR="00041523">
        <w:t xml:space="preserve">generally incorporate assumptions that any responses to </w:t>
      </w:r>
      <w:r w:rsidR="008F61D4">
        <w:t xml:space="preserve">changes in </w:t>
      </w:r>
      <w:r w:rsidR="00041523">
        <w:t>income</w:t>
      </w:r>
      <w:r w:rsidR="008F61D4">
        <w:t xml:space="preserve"> tax</w:t>
      </w:r>
      <w:r w:rsidR="00041523">
        <w:t>, price</w:t>
      </w:r>
      <w:r w:rsidR="008F61D4">
        <w:t>s</w:t>
      </w:r>
      <w:r w:rsidR="00041523">
        <w:t xml:space="preserve"> or cost</w:t>
      </w:r>
      <w:r w:rsidR="008F61D4">
        <w:t>s</w:t>
      </w:r>
      <w:r w:rsidR="00041523">
        <w:t xml:space="preserve"> would be proportionate</w:t>
      </w:r>
      <w:r w:rsidR="008F61D4">
        <w:t xml:space="preserve"> to the magnitude of the change.  These assumptions are </w:t>
      </w:r>
      <w:r w:rsidR="00041523">
        <w:t xml:space="preserve">applied through </w:t>
      </w:r>
      <w:r>
        <w:t>elasticities.</w:t>
      </w:r>
      <w:r w:rsidR="00BF4461">
        <w:rPr>
          <w:rStyle w:val="FootnoteReference"/>
        </w:rPr>
        <w:footnoteReference w:id="4"/>
      </w:r>
      <w:r>
        <w:t xml:space="preserve">  This helps to ensure </w:t>
      </w:r>
      <w:r w:rsidR="00BF4461">
        <w:t xml:space="preserve">proportionality of behavioural impacts </w:t>
      </w:r>
      <w:r>
        <w:t xml:space="preserve">across </w:t>
      </w:r>
      <w:r w:rsidR="00E1169B">
        <w:t>two or more proposals affecting a similar policy area, such as the personal income tax system, child care subsidies, or the out-of-pocket costs of health care</w:t>
      </w:r>
      <w:r w:rsidR="00701FA7">
        <w:t>.</w:t>
      </w:r>
      <w:r>
        <w:t xml:space="preserve">  </w:t>
      </w:r>
    </w:p>
    <w:p w:rsidR="005B426F" w:rsidRDefault="00F804F4" w:rsidP="00AC2A53">
      <w:pPr>
        <w:pStyle w:val="BodyText"/>
      </w:pPr>
      <w:r w:rsidRPr="00F804F4">
        <w:fldChar w:fldCharType="begin"/>
      </w:r>
      <w:r w:rsidRPr="00F804F4">
        <w:rPr>
          <w:noProof/>
        </w:rPr>
        <w:instrText xml:space="preserve"> REF _Ref26271441 \h </w:instrText>
      </w:r>
      <w:r w:rsidRPr="00F804F4">
        <w:instrText xml:space="preserve"> \* MERGEFORMAT </w:instrText>
      </w:r>
      <w:r w:rsidRPr="00F804F4">
        <w:fldChar w:fldCharType="separate"/>
      </w:r>
      <w:r w:rsidR="00DC02AF" w:rsidRPr="00DC02AF">
        <w:t xml:space="preserve">Box </w:t>
      </w:r>
      <w:r w:rsidR="00DC02AF" w:rsidRPr="00DC02AF">
        <w:rPr>
          <w:noProof/>
        </w:rPr>
        <w:t>1</w:t>
      </w:r>
      <w:r w:rsidRPr="00F804F4">
        <w:fldChar w:fldCharType="end"/>
      </w:r>
      <w:r w:rsidR="00BF3666">
        <w:rPr>
          <w:noProof/>
        </w:rPr>
        <w:t xml:space="preserve"> </w:t>
      </w:r>
      <w:r w:rsidR="00BF4461">
        <w:t>illustrates how taxable income elasticities are used to capture behavioural responses to changes in marginal tax rates and how these vary across individuals</w:t>
      </w:r>
      <w:r w:rsidR="00653C1B">
        <w:t>,</w:t>
      </w:r>
      <w:r w:rsidR="00BF4461">
        <w:t xml:space="preserve"> depending on their income levels.  </w:t>
      </w:r>
      <w:r w:rsidR="005B426F">
        <w:t xml:space="preserve">  </w:t>
      </w:r>
    </w:p>
    <w:p w:rsidR="00C041D0" w:rsidRDefault="00701FA7" w:rsidP="00C041D0">
      <w:pPr>
        <w:pStyle w:val="Heading2"/>
      </w:pPr>
      <w:r>
        <w:lastRenderedPageBreak/>
        <w:t xml:space="preserve">We review assumptions </w:t>
      </w:r>
      <w:r w:rsidR="008F6958">
        <w:t xml:space="preserve">used </w:t>
      </w:r>
      <w:r>
        <w:t>when costing budget measures</w:t>
      </w:r>
    </w:p>
    <w:p w:rsidR="00E86239" w:rsidRDefault="00701FA7" w:rsidP="008A00C1">
      <w:pPr>
        <w:pStyle w:val="BodyText"/>
        <w:keepLines/>
        <w:spacing w:after="120"/>
      </w:pPr>
      <w:r>
        <w:t xml:space="preserve">Other government agencies make behavioural assumptions when costing budget measures.  In the interests of preparing costings consistent with those prepared for the government, </w:t>
      </w:r>
      <w:r w:rsidR="0080392A">
        <w:t xml:space="preserve">we often draw upon these assumptions </w:t>
      </w:r>
      <w:r w:rsidR="00BF4461">
        <w:t xml:space="preserve">in </w:t>
      </w:r>
      <w:r w:rsidR="0080392A">
        <w:t xml:space="preserve">our own costings.  </w:t>
      </w:r>
      <w:r w:rsidR="00E236AF">
        <w:t xml:space="preserve">Before accepting these </w:t>
      </w:r>
      <w:r w:rsidR="0080392A">
        <w:t>assumptions</w:t>
      </w:r>
      <w:r w:rsidR="00E236AF">
        <w:t xml:space="preserve">, we thoroughly assess </w:t>
      </w:r>
      <w:r w:rsidR="0080392A">
        <w:t xml:space="preserve">them, just as we scrutinise </w:t>
      </w:r>
      <w:r w:rsidR="00E236AF">
        <w:t xml:space="preserve">the </w:t>
      </w:r>
      <w:r w:rsidR="0080392A">
        <w:t>assumptions that we have made before.  We also look to consult with other agencies to understand their analysis, thought processes and the information they have used to determine their assumptions.</w:t>
      </w:r>
    </w:p>
    <w:tbl>
      <w:tblPr>
        <w:tblStyle w:val="TableGrid"/>
        <w:tblW w:w="0" w:type="auto"/>
        <w:tblBorders>
          <w:top w:val="none" w:sz="0" w:space="0" w:color="auto"/>
          <w:bottom w:val="none" w:sz="0" w:space="0" w:color="auto"/>
        </w:tblBorders>
        <w:shd w:val="clear" w:color="auto" w:fill="E3E5E6" w:themeFill="accent6" w:themeFillTint="33"/>
        <w:tblCellMar>
          <w:top w:w="113" w:type="dxa"/>
          <w:bottom w:w="113" w:type="dxa"/>
        </w:tblCellMar>
        <w:tblLook w:val="04A0" w:firstRow="1" w:lastRow="0" w:firstColumn="1" w:lastColumn="0" w:noHBand="0" w:noVBand="1"/>
      </w:tblPr>
      <w:tblGrid>
        <w:gridCol w:w="9071"/>
      </w:tblGrid>
      <w:tr w:rsidR="001F78AC" w:rsidTr="005D3665">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9071" w:type="dxa"/>
            <w:tcBorders>
              <w:bottom w:val="none" w:sz="0" w:space="0" w:color="auto"/>
            </w:tcBorders>
            <w:shd w:val="clear" w:color="auto" w:fill="E3E5E6" w:themeFill="accent6" w:themeFillTint="33"/>
          </w:tcPr>
          <w:p w:rsidR="002F6875" w:rsidRPr="005D3665" w:rsidRDefault="002F6875" w:rsidP="002F6875">
            <w:pPr>
              <w:pStyle w:val="Caption"/>
              <w:jc w:val="left"/>
              <w:rPr>
                <w:b/>
                <w:sz w:val="22"/>
              </w:rPr>
            </w:pPr>
            <w:bookmarkStart w:id="12" w:name="_Ref26271441"/>
            <w:r w:rsidRPr="005D3665">
              <w:rPr>
                <w:b/>
                <w:sz w:val="22"/>
              </w:rPr>
              <w:t xml:space="preserve">Box </w:t>
            </w:r>
            <w:r w:rsidR="005D3665" w:rsidRPr="005D3665">
              <w:fldChar w:fldCharType="begin"/>
            </w:r>
            <w:r w:rsidR="005D3665" w:rsidRPr="005D3665">
              <w:rPr>
                <w:b/>
                <w:sz w:val="22"/>
              </w:rPr>
              <w:instrText xml:space="preserve"> SEQ Box \* ARABIC </w:instrText>
            </w:r>
            <w:r w:rsidR="005D3665" w:rsidRPr="005D3665">
              <w:fldChar w:fldCharType="separate"/>
            </w:r>
            <w:r w:rsidR="00DC02AF">
              <w:rPr>
                <w:b/>
                <w:noProof/>
                <w:sz w:val="22"/>
              </w:rPr>
              <w:t>1</w:t>
            </w:r>
            <w:r w:rsidR="005D3665" w:rsidRPr="005D3665">
              <w:rPr>
                <w:noProof/>
              </w:rPr>
              <w:fldChar w:fldCharType="end"/>
            </w:r>
            <w:bookmarkEnd w:id="12"/>
            <w:r w:rsidRPr="005D3665">
              <w:rPr>
                <w:b/>
                <w:sz w:val="22"/>
              </w:rPr>
              <w:t xml:space="preserve">: </w:t>
            </w:r>
            <w:r w:rsidR="00931740">
              <w:rPr>
                <w:b/>
                <w:sz w:val="22"/>
              </w:rPr>
              <w:t>T</w:t>
            </w:r>
            <w:r w:rsidRPr="005D3665">
              <w:rPr>
                <w:b/>
                <w:sz w:val="22"/>
              </w:rPr>
              <w:t xml:space="preserve">axable income elasticities </w:t>
            </w:r>
            <w:r w:rsidR="00931740">
              <w:rPr>
                <w:b/>
                <w:sz w:val="22"/>
              </w:rPr>
              <w:t>help ensure consistency across personal income tax costings</w:t>
            </w:r>
          </w:p>
          <w:p w:rsidR="00F037D6" w:rsidRPr="005D3665" w:rsidRDefault="006F3C9A" w:rsidP="005D3665">
            <w:pPr>
              <w:pStyle w:val="BodyText"/>
              <w:rPr>
                <w:b w:val="0"/>
                <w:sz w:val="22"/>
                <w:lang w:eastAsia="en-AU"/>
              </w:rPr>
            </w:pPr>
            <w:r w:rsidRPr="005D3665">
              <w:rPr>
                <w:b w:val="0"/>
                <w:sz w:val="22"/>
                <w:lang w:eastAsia="en-AU"/>
              </w:rPr>
              <w:t>P</w:t>
            </w:r>
            <w:r w:rsidR="001F78AC" w:rsidRPr="005D3665">
              <w:rPr>
                <w:b w:val="0"/>
                <w:sz w:val="22"/>
                <w:lang w:eastAsia="en-AU"/>
              </w:rPr>
              <w:t>olic</w:t>
            </w:r>
            <w:r w:rsidRPr="005D3665">
              <w:rPr>
                <w:b w:val="0"/>
                <w:sz w:val="22"/>
                <w:lang w:eastAsia="en-AU"/>
              </w:rPr>
              <w:t>ies</w:t>
            </w:r>
            <w:r w:rsidR="001F78AC" w:rsidRPr="005D3665">
              <w:rPr>
                <w:b w:val="0"/>
                <w:sz w:val="22"/>
                <w:lang w:eastAsia="en-AU"/>
              </w:rPr>
              <w:t xml:space="preserve"> that make changes to personal income tax rates and thresholds</w:t>
            </w:r>
            <w:r w:rsidRPr="005D3665">
              <w:rPr>
                <w:b w:val="0"/>
                <w:sz w:val="22"/>
                <w:lang w:eastAsia="en-AU"/>
              </w:rPr>
              <w:t xml:space="preserve"> are likely to lead </w:t>
            </w:r>
            <w:r w:rsidR="00867372" w:rsidRPr="005D3665">
              <w:rPr>
                <w:b w:val="0"/>
                <w:sz w:val="22"/>
                <w:lang w:eastAsia="en-AU"/>
              </w:rPr>
              <w:t xml:space="preserve">some individuals to </w:t>
            </w:r>
            <w:r w:rsidR="00F037D6" w:rsidRPr="005D3665">
              <w:rPr>
                <w:b w:val="0"/>
                <w:sz w:val="22"/>
                <w:lang w:eastAsia="en-AU"/>
              </w:rPr>
              <w:t xml:space="preserve">look for ways to change </w:t>
            </w:r>
            <w:r w:rsidR="00867372" w:rsidRPr="005D3665">
              <w:rPr>
                <w:b w:val="0"/>
                <w:sz w:val="22"/>
                <w:lang w:eastAsia="en-AU"/>
              </w:rPr>
              <w:t xml:space="preserve">their taxable income.  </w:t>
            </w:r>
            <w:r w:rsidR="00F037D6" w:rsidRPr="005D3665">
              <w:rPr>
                <w:b w:val="0"/>
                <w:sz w:val="22"/>
                <w:lang w:eastAsia="en-AU"/>
              </w:rPr>
              <w:t xml:space="preserve">If marginal tax rates are increased, for example, some individuals </w:t>
            </w:r>
            <w:r w:rsidR="00B571DE">
              <w:rPr>
                <w:b w:val="0"/>
                <w:sz w:val="22"/>
                <w:lang w:eastAsia="en-AU"/>
              </w:rPr>
              <w:t xml:space="preserve">may </w:t>
            </w:r>
            <w:r w:rsidR="00F037D6" w:rsidRPr="005D3665">
              <w:rPr>
                <w:b w:val="0"/>
                <w:sz w:val="22"/>
                <w:lang w:eastAsia="en-AU"/>
              </w:rPr>
              <w:t xml:space="preserve">look to </w:t>
            </w:r>
            <w:r w:rsidR="00B571DE">
              <w:rPr>
                <w:b w:val="0"/>
                <w:sz w:val="22"/>
                <w:lang w:eastAsia="en-AU"/>
              </w:rPr>
              <w:t xml:space="preserve">find additional deductions, delay the realisation of capital gains, or </w:t>
            </w:r>
            <w:r w:rsidR="00F037D6" w:rsidRPr="005D3665">
              <w:rPr>
                <w:b w:val="0"/>
                <w:sz w:val="22"/>
                <w:lang w:eastAsia="en-AU"/>
              </w:rPr>
              <w:t>re</w:t>
            </w:r>
            <w:r w:rsidR="00B571DE">
              <w:rPr>
                <w:b w:val="0"/>
                <w:sz w:val="22"/>
                <w:lang w:eastAsia="en-AU"/>
              </w:rPr>
              <w:t xml:space="preserve">structure </w:t>
            </w:r>
            <w:r w:rsidR="00F037D6" w:rsidRPr="005D3665">
              <w:rPr>
                <w:b w:val="0"/>
                <w:sz w:val="22"/>
                <w:lang w:eastAsia="en-AU"/>
              </w:rPr>
              <w:t xml:space="preserve">their </w:t>
            </w:r>
            <w:r w:rsidR="00B571DE">
              <w:rPr>
                <w:b w:val="0"/>
                <w:sz w:val="22"/>
                <w:lang w:eastAsia="en-AU"/>
              </w:rPr>
              <w:t xml:space="preserve">investments </w:t>
            </w:r>
            <w:r w:rsidR="00F037D6" w:rsidRPr="005D3665">
              <w:rPr>
                <w:b w:val="0"/>
                <w:sz w:val="22"/>
                <w:lang w:eastAsia="en-AU"/>
              </w:rPr>
              <w:t>to reduce their taxable income</w:t>
            </w:r>
            <w:r w:rsidR="00910205">
              <w:rPr>
                <w:b w:val="0"/>
                <w:sz w:val="22"/>
                <w:lang w:eastAsia="en-AU"/>
              </w:rPr>
              <w:t xml:space="preserve">, which </w:t>
            </w:r>
            <w:r w:rsidR="00F037D6" w:rsidRPr="005D3665">
              <w:rPr>
                <w:b w:val="0"/>
                <w:sz w:val="22"/>
                <w:lang w:eastAsia="en-AU"/>
              </w:rPr>
              <w:t>will reduce the amount of tax raised by the change in policy.</w:t>
            </w:r>
            <w:r w:rsidR="00614C3F">
              <w:rPr>
                <w:b w:val="0"/>
                <w:sz w:val="22"/>
                <w:lang w:eastAsia="en-AU"/>
              </w:rPr>
              <w:t xml:space="preserve">  Such a </w:t>
            </w:r>
            <w:r w:rsidR="00614C3F" w:rsidRPr="001453FF">
              <w:rPr>
                <w:b w:val="0"/>
                <w:sz w:val="22"/>
                <w:lang w:eastAsia="en-AU"/>
              </w:rPr>
              <w:t>policy</w:t>
            </w:r>
            <w:r w:rsidR="00614C3F">
              <w:rPr>
                <w:b w:val="0"/>
                <w:sz w:val="22"/>
                <w:lang w:eastAsia="en-AU"/>
              </w:rPr>
              <w:t xml:space="preserve"> may also lead to individuals choosing to work more or less, but there is considerable uncertainty regarding the direction, magnitude and timing of the effect of </w:t>
            </w:r>
            <w:r w:rsidR="00BF76CA">
              <w:rPr>
                <w:b w:val="0"/>
                <w:sz w:val="22"/>
                <w:lang w:eastAsia="en-AU"/>
              </w:rPr>
              <w:t xml:space="preserve">personal income </w:t>
            </w:r>
            <w:r w:rsidR="00614C3F">
              <w:rPr>
                <w:b w:val="0"/>
                <w:sz w:val="22"/>
                <w:lang w:eastAsia="en-AU"/>
              </w:rPr>
              <w:t xml:space="preserve">tax changes on labour </w:t>
            </w:r>
            <w:proofErr w:type="gramStart"/>
            <w:r w:rsidR="00614C3F">
              <w:rPr>
                <w:b w:val="0"/>
                <w:sz w:val="22"/>
                <w:lang w:eastAsia="en-AU"/>
              </w:rPr>
              <w:t>supply,</w:t>
            </w:r>
            <w:proofErr w:type="gramEnd"/>
            <w:r w:rsidR="00614C3F">
              <w:rPr>
                <w:b w:val="0"/>
                <w:sz w:val="22"/>
                <w:lang w:eastAsia="en-AU"/>
              </w:rPr>
              <w:t xml:space="preserve"> and </w:t>
            </w:r>
            <w:r w:rsidR="00BF76CA">
              <w:rPr>
                <w:b w:val="0"/>
                <w:sz w:val="22"/>
                <w:lang w:eastAsia="en-AU"/>
              </w:rPr>
              <w:t xml:space="preserve">this </w:t>
            </w:r>
            <w:r w:rsidR="00614C3F">
              <w:rPr>
                <w:b w:val="0"/>
                <w:sz w:val="22"/>
                <w:lang w:eastAsia="en-AU"/>
              </w:rPr>
              <w:t>is not usually incorporated into PBO costings.</w:t>
            </w:r>
          </w:p>
          <w:p w:rsidR="001F78AC" w:rsidRPr="005D3665" w:rsidRDefault="006F601B">
            <w:pPr>
              <w:pStyle w:val="BodyText"/>
              <w:rPr>
                <w:b w:val="0"/>
                <w:sz w:val="22"/>
                <w:lang w:eastAsia="en-AU"/>
              </w:rPr>
            </w:pPr>
            <w:r w:rsidRPr="005D3665">
              <w:rPr>
                <w:b w:val="0"/>
                <w:sz w:val="22"/>
                <w:lang w:eastAsia="en-AU"/>
              </w:rPr>
              <w:t>T</w:t>
            </w:r>
            <w:r w:rsidR="001F78AC" w:rsidRPr="005D3665">
              <w:rPr>
                <w:b w:val="0"/>
                <w:sz w:val="22"/>
                <w:lang w:eastAsia="en-AU"/>
              </w:rPr>
              <w:t>axable income elasticities</w:t>
            </w:r>
            <w:r w:rsidRPr="005D3665">
              <w:rPr>
                <w:b w:val="0"/>
                <w:sz w:val="22"/>
                <w:lang w:eastAsia="en-AU"/>
              </w:rPr>
              <w:t xml:space="preserve"> </w:t>
            </w:r>
            <w:r w:rsidR="001F78AC" w:rsidRPr="005D3665">
              <w:rPr>
                <w:b w:val="0"/>
                <w:sz w:val="22"/>
                <w:lang w:eastAsia="en-AU"/>
              </w:rPr>
              <w:t>measure how responsive individuals are to changes in marginal tax rate</w:t>
            </w:r>
            <w:r w:rsidR="006F3C9A" w:rsidRPr="005D3665">
              <w:rPr>
                <w:b w:val="0"/>
                <w:sz w:val="22"/>
                <w:lang w:eastAsia="en-AU"/>
              </w:rPr>
              <w:t>s</w:t>
            </w:r>
            <w:r w:rsidR="001F78AC" w:rsidRPr="005D3665">
              <w:rPr>
                <w:b w:val="0"/>
                <w:sz w:val="22"/>
                <w:lang w:eastAsia="en-AU"/>
              </w:rPr>
              <w:t xml:space="preserve">.  </w:t>
            </w:r>
            <w:r w:rsidR="00B571DE">
              <w:rPr>
                <w:b w:val="0"/>
                <w:sz w:val="22"/>
                <w:lang w:eastAsia="en-AU"/>
              </w:rPr>
              <w:t>Specifically, t</w:t>
            </w:r>
            <w:r w:rsidR="00B571DE" w:rsidRPr="005D3665">
              <w:rPr>
                <w:b w:val="0"/>
                <w:sz w:val="22"/>
                <w:lang w:eastAsia="en-AU"/>
              </w:rPr>
              <w:t xml:space="preserve">hey </w:t>
            </w:r>
            <w:r w:rsidR="00F037D6" w:rsidRPr="005D3665">
              <w:rPr>
                <w:b w:val="0"/>
                <w:sz w:val="22"/>
                <w:lang w:eastAsia="en-AU"/>
              </w:rPr>
              <w:t xml:space="preserve">measure the percentage change in </w:t>
            </w:r>
            <w:r w:rsidR="00B571DE">
              <w:rPr>
                <w:b w:val="0"/>
                <w:sz w:val="22"/>
                <w:lang w:eastAsia="en-AU"/>
              </w:rPr>
              <w:t xml:space="preserve">an individual’s </w:t>
            </w:r>
            <w:r w:rsidR="00F037D6" w:rsidRPr="005D3665">
              <w:rPr>
                <w:b w:val="0"/>
                <w:sz w:val="22"/>
                <w:lang w:eastAsia="en-AU"/>
              </w:rPr>
              <w:t xml:space="preserve">taxable income that is expected to result from </w:t>
            </w:r>
            <w:r w:rsidR="0014244D" w:rsidRPr="005D3665">
              <w:rPr>
                <w:b w:val="0"/>
                <w:sz w:val="22"/>
                <w:lang w:eastAsia="en-AU"/>
              </w:rPr>
              <w:t xml:space="preserve">a </w:t>
            </w:r>
            <w:r w:rsidR="00BF4461">
              <w:rPr>
                <w:b w:val="0"/>
                <w:sz w:val="22"/>
                <w:lang w:eastAsia="en-AU"/>
              </w:rPr>
              <w:t>percentage</w:t>
            </w:r>
            <w:r w:rsidR="0014244D" w:rsidRPr="005D3665">
              <w:rPr>
                <w:b w:val="0"/>
                <w:sz w:val="22"/>
                <w:lang w:eastAsia="en-AU"/>
              </w:rPr>
              <w:t xml:space="preserve"> change in </w:t>
            </w:r>
            <w:r w:rsidR="00B669B9">
              <w:rPr>
                <w:b w:val="0"/>
                <w:sz w:val="22"/>
                <w:lang w:eastAsia="en-AU"/>
              </w:rPr>
              <w:t>the</w:t>
            </w:r>
            <w:r w:rsidR="00CE1E1C">
              <w:rPr>
                <w:b w:val="0"/>
                <w:sz w:val="22"/>
                <w:lang w:eastAsia="en-AU"/>
              </w:rPr>
              <w:t>ir net-of-tax rate.  T</w:t>
            </w:r>
            <w:r w:rsidR="00B571DE">
              <w:rPr>
                <w:b w:val="0"/>
                <w:sz w:val="22"/>
                <w:lang w:eastAsia="en-AU"/>
              </w:rPr>
              <w:t xml:space="preserve">he net-of-tax rate is </w:t>
            </w:r>
            <w:r w:rsidR="00CE1E1C">
              <w:rPr>
                <w:b w:val="0"/>
                <w:sz w:val="22"/>
                <w:lang w:eastAsia="en-AU"/>
              </w:rPr>
              <w:t>one minus the individual’s marginal tax rate</w:t>
            </w:r>
            <w:r w:rsidR="00BF3666">
              <w:rPr>
                <w:b w:val="0"/>
                <w:sz w:val="22"/>
                <w:lang w:eastAsia="en-AU"/>
              </w:rPr>
              <w:t>;</w:t>
            </w:r>
            <w:r w:rsidR="00CE1E1C">
              <w:rPr>
                <w:b w:val="0"/>
                <w:sz w:val="22"/>
                <w:lang w:eastAsia="en-AU"/>
              </w:rPr>
              <w:t xml:space="preserve"> it measures </w:t>
            </w:r>
            <w:r w:rsidR="00B571DE">
              <w:rPr>
                <w:b w:val="0"/>
                <w:sz w:val="22"/>
                <w:lang w:eastAsia="en-AU"/>
              </w:rPr>
              <w:t xml:space="preserve">the </w:t>
            </w:r>
            <w:r w:rsidR="00366EA2">
              <w:rPr>
                <w:b w:val="0"/>
                <w:sz w:val="22"/>
                <w:lang w:eastAsia="en-AU"/>
              </w:rPr>
              <w:t xml:space="preserve">proportion of an additional dollar of income </w:t>
            </w:r>
            <w:r w:rsidR="00B571DE">
              <w:rPr>
                <w:b w:val="0"/>
                <w:sz w:val="22"/>
                <w:lang w:eastAsia="en-AU"/>
              </w:rPr>
              <w:t>that an individual would keep after tax is taken out</w:t>
            </w:r>
            <w:r w:rsidR="001453FF">
              <w:rPr>
                <w:b w:val="0"/>
                <w:sz w:val="22"/>
                <w:lang w:eastAsia="en-AU"/>
              </w:rPr>
              <w:t>.</w:t>
            </w:r>
            <w:r w:rsidR="00B571DE">
              <w:rPr>
                <w:b w:val="0"/>
                <w:sz w:val="22"/>
                <w:lang w:eastAsia="en-AU"/>
              </w:rPr>
              <w:t xml:space="preserve">  </w:t>
            </w:r>
            <w:r w:rsidR="00AF5EAA" w:rsidRPr="005D3665">
              <w:rPr>
                <w:b w:val="0"/>
                <w:sz w:val="22"/>
                <w:lang w:eastAsia="en-AU"/>
              </w:rPr>
              <w:t xml:space="preserve">For </w:t>
            </w:r>
            <w:r w:rsidR="00F47792">
              <w:rPr>
                <w:b w:val="0"/>
                <w:sz w:val="22"/>
                <w:lang w:eastAsia="en-AU"/>
              </w:rPr>
              <w:t>instance</w:t>
            </w:r>
            <w:r w:rsidR="00AF5EAA" w:rsidRPr="005D3665">
              <w:rPr>
                <w:b w:val="0"/>
                <w:sz w:val="22"/>
                <w:lang w:eastAsia="en-AU"/>
              </w:rPr>
              <w:t xml:space="preserve">, </w:t>
            </w:r>
            <w:r w:rsidR="00F47792">
              <w:rPr>
                <w:b w:val="0"/>
                <w:sz w:val="22"/>
                <w:lang w:eastAsia="en-AU"/>
              </w:rPr>
              <w:t>the highest marginal tax rate is currently 47 per cent (including the Medicare levy).  For taxpayers facing this rate, their net</w:t>
            </w:r>
            <w:r w:rsidR="00F47792">
              <w:rPr>
                <w:b w:val="0"/>
                <w:sz w:val="22"/>
                <w:lang w:eastAsia="en-AU"/>
              </w:rPr>
              <w:noBreakHyphen/>
              <w:t>of-tax rate</w:t>
            </w:r>
            <w:r w:rsidR="00793E26">
              <w:rPr>
                <w:b w:val="0"/>
                <w:sz w:val="22"/>
                <w:lang w:eastAsia="en-AU"/>
              </w:rPr>
              <w:t>, shown as a percentage,</w:t>
            </w:r>
            <w:r w:rsidR="00F47792">
              <w:rPr>
                <w:b w:val="0"/>
                <w:sz w:val="22"/>
                <w:lang w:eastAsia="en-AU"/>
              </w:rPr>
              <w:t xml:space="preserve"> is 53 per cent.  </w:t>
            </w:r>
          </w:p>
          <w:p w:rsidR="00757F22" w:rsidRPr="005D3665" w:rsidRDefault="00176036" w:rsidP="005D3665">
            <w:pPr>
              <w:pStyle w:val="BodyText"/>
              <w:rPr>
                <w:b w:val="0"/>
                <w:sz w:val="22"/>
                <w:lang w:eastAsia="en-AU"/>
              </w:rPr>
            </w:pPr>
            <w:r>
              <w:rPr>
                <w:b w:val="0"/>
                <w:sz w:val="22"/>
                <w:lang w:eastAsia="en-AU"/>
              </w:rPr>
              <w:t xml:space="preserve">We </w:t>
            </w:r>
            <w:r w:rsidR="001F78AC" w:rsidRPr="005D3665">
              <w:rPr>
                <w:b w:val="0"/>
                <w:sz w:val="22"/>
                <w:lang w:eastAsia="en-AU"/>
              </w:rPr>
              <w:t>assume that individuals with a taxable income above the highest threshold (currently $180,000) have a taxable income elasticity of 0.2.</w:t>
            </w:r>
            <w:r w:rsidR="00757F22" w:rsidRPr="005D3665">
              <w:rPr>
                <w:b w:val="0"/>
                <w:sz w:val="22"/>
                <w:lang w:eastAsia="en-AU"/>
              </w:rPr>
              <w:t xml:space="preserve"> </w:t>
            </w:r>
            <w:r w:rsidR="001F78AC" w:rsidRPr="005D3665">
              <w:rPr>
                <w:b w:val="0"/>
                <w:sz w:val="22"/>
                <w:lang w:eastAsia="en-AU"/>
              </w:rPr>
              <w:t xml:space="preserve"> </w:t>
            </w:r>
            <w:r w:rsidR="00757F22" w:rsidRPr="005D3665">
              <w:rPr>
                <w:b w:val="0"/>
                <w:sz w:val="22"/>
                <w:lang w:eastAsia="en-AU"/>
              </w:rPr>
              <w:t>These individuals are assumed to reduce their taxable incomes in response to increases in the highest marginal tax rate, and increase their taxable incomes in response to decreases in the highest marginal tax rate.</w:t>
            </w:r>
            <w:r w:rsidR="008A00C1">
              <w:rPr>
                <w:b w:val="0"/>
                <w:sz w:val="22"/>
                <w:lang w:eastAsia="en-AU"/>
              </w:rPr>
              <w:t xml:space="preserve">  For </w:t>
            </w:r>
            <w:r w:rsidR="008F61D4">
              <w:rPr>
                <w:b w:val="0"/>
                <w:sz w:val="22"/>
                <w:lang w:eastAsia="en-AU"/>
              </w:rPr>
              <w:t>instance, a</w:t>
            </w:r>
            <w:r w:rsidR="001453FF">
              <w:rPr>
                <w:b w:val="0"/>
                <w:sz w:val="22"/>
                <w:lang w:eastAsia="en-AU"/>
              </w:rPr>
              <w:t xml:space="preserve"> 2019</w:t>
            </w:r>
            <w:r w:rsidR="008F61D4">
              <w:rPr>
                <w:b w:val="0"/>
                <w:sz w:val="22"/>
                <w:lang w:eastAsia="en-AU"/>
              </w:rPr>
              <w:t xml:space="preserve"> election commitment by the Australian Greens involved increasing the highest marginal tax rate by two</w:t>
            </w:r>
            <w:r w:rsidR="001F682A">
              <w:rPr>
                <w:b w:val="0"/>
                <w:sz w:val="22"/>
                <w:lang w:eastAsia="en-AU"/>
              </w:rPr>
              <w:t> </w:t>
            </w:r>
            <w:r w:rsidR="008F61D4">
              <w:rPr>
                <w:b w:val="0"/>
                <w:sz w:val="22"/>
                <w:lang w:eastAsia="en-AU"/>
              </w:rPr>
              <w:t xml:space="preserve">percentage points (see </w:t>
            </w:r>
            <w:r w:rsidR="008F61D4">
              <w:rPr>
                <w:b w:val="0"/>
                <w:i/>
                <w:sz w:val="22"/>
                <w:lang w:eastAsia="en-AU"/>
              </w:rPr>
              <w:t>Introduce a 35 per cent minimum tax rate on incomes above $300,000 and make the deficit levy permanent</w:t>
            </w:r>
            <w:r w:rsidR="008F61D4">
              <w:rPr>
                <w:b w:val="0"/>
                <w:sz w:val="22"/>
                <w:lang w:eastAsia="en-AU"/>
              </w:rPr>
              <w:t xml:space="preserve"> </w:t>
            </w:r>
            <w:hyperlink r:id="rId32" w:history="1">
              <w:r w:rsidR="008F61D4" w:rsidRPr="008A00C1">
                <w:rPr>
                  <w:rStyle w:val="Hyperlink"/>
                  <w:b w:val="0"/>
                  <w:sz w:val="22"/>
                  <w:lang w:eastAsia="en-AU"/>
                </w:rPr>
                <w:t>PER618</w:t>
              </w:r>
            </w:hyperlink>
            <w:r w:rsidR="008F61D4">
              <w:rPr>
                <w:b w:val="0"/>
                <w:sz w:val="22"/>
                <w:lang w:eastAsia="en-AU"/>
              </w:rPr>
              <w:t>);</w:t>
            </w:r>
            <w:r w:rsidR="008A00C1">
              <w:rPr>
                <w:b w:val="0"/>
                <w:sz w:val="22"/>
                <w:lang w:eastAsia="en-AU"/>
              </w:rPr>
              <w:t xml:space="preserve"> </w:t>
            </w:r>
            <w:r w:rsidR="001453FF">
              <w:rPr>
                <w:b w:val="0"/>
                <w:sz w:val="22"/>
                <w:lang w:eastAsia="en-AU"/>
              </w:rPr>
              <w:t xml:space="preserve">our </w:t>
            </w:r>
            <w:r w:rsidR="008A00C1">
              <w:rPr>
                <w:b w:val="0"/>
                <w:sz w:val="22"/>
                <w:lang w:eastAsia="en-AU"/>
              </w:rPr>
              <w:t xml:space="preserve">elasticity </w:t>
            </w:r>
            <w:r w:rsidR="001453FF">
              <w:rPr>
                <w:b w:val="0"/>
                <w:sz w:val="22"/>
                <w:lang w:eastAsia="en-AU"/>
              </w:rPr>
              <w:t xml:space="preserve">assumption </w:t>
            </w:r>
            <w:r w:rsidR="008A00C1">
              <w:rPr>
                <w:b w:val="0"/>
                <w:sz w:val="22"/>
                <w:lang w:eastAsia="en-AU"/>
              </w:rPr>
              <w:t>reduce</w:t>
            </w:r>
            <w:r w:rsidR="008F61D4">
              <w:rPr>
                <w:b w:val="0"/>
                <w:sz w:val="22"/>
                <w:lang w:eastAsia="en-AU"/>
              </w:rPr>
              <w:t>d</w:t>
            </w:r>
            <w:r w:rsidR="008A00C1">
              <w:rPr>
                <w:b w:val="0"/>
                <w:sz w:val="22"/>
                <w:lang w:eastAsia="en-AU"/>
              </w:rPr>
              <w:t xml:space="preserve"> the revenue gain </w:t>
            </w:r>
            <w:r w:rsidR="008F61D4">
              <w:rPr>
                <w:b w:val="0"/>
                <w:sz w:val="22"/>
                <w:lang w:eastAsia="en-AU"/>
              </w:rPr>
              <w:t xml:space="preserve">from this proposal </w:t>
            </w:r>
            <w:r w:rsidR="008A00C1">
              <w:rPr>
                <w:b w:val="0"/>
                <w:sz w:val="22"/>
                <w:lang w:eastAsia="en-AU"/>
              </w:rPr>
              <w:t>by around 40 per cent relative to a scenario in which no behavioural response</w:t>
            </w:r>
            <w:r w:rsidR="008F61D4">
              <w:rPr>
                <w:b w:val="0"/>
                <w:sz w:val="22"/>
                <w:lang w:eastAsia="en-AU"/>
              </w:rPr>
              <w:t xml:space="preserve"> is assumed</w:t>
            </w:r>
            <w:r w:rsidR="008A00C1">
              <w:rPr>
                <w:b w:val="0"/>
                <w:sz w:val="22"/>
                <w:lang w:eastAsia="en-AU"/>
              </w:rPr>
              <w:t>.</w:t>
            </w:r>
          </w:p>
          <w:p w:rsidR="001F78AC" w:rsidRPr="001453FF" w:rsidRDefault="00851D61" w:rsidP="005D3665">
            <w:pPr>
              <w:pStyle w:val="BodyText"/>
              <w:rPr>
                <w:b w:val="0"/>
                <w:spacing w:val="-1"/>
                <w:sz w:val="22"/>
                <w:lang w:eastAsia="en-AU"/>
              </w:rPr>
            </w:pPr>
            <w:r w:rsidRPr="001453FF">
              <w:rPr>
                <w:b w:val="0"/>
                <w:spacing w:val="-1"/>
                <w:sz w:val="22"/>
                <w:lang w:eastAsia="en-AU"/>
              </w:rPr>
              <w:t>I</w:t>
            </w:r>
            <w:r w:rsidR="001F78AC" w:rsidRPr="001453FF">
              <w:rPr>
                <w:b w:val="0"/>
                <w:spacing w:val="-1"/>
                <w:sz w:val="22"/>
                <w:lang w:eastAsia="en-AU"/>
              </w:rPr>
              <w:t xml:space="preserve">ndividuals with </w:t>
            </w:r>
            <w:r w:rsidR="00CB6718" w:rsidRPr="001453FF">
              <w:rPr>
                <w:b w:val="0"/>
                <w:spacing w:val="-1"/>
                <w:sz w:val="22"/>
                <w:lang w:eastAsia="en-AU"/>
              </w:rPr>
              <w:t xml:space="preserve">a </w:t>
            </w:r>
            <w:r w:rsidR="001F78AC" w:rsidRPr="001453FF">
              <w:rPr>
                <w:b w:val="0"/>
                <w:spacing w:val="-1"/>
                <w:sz w:val="22"/>
                <w:lang w:eastAsia="en-AU"/>
              </w:rPr>
              <w:t xml:space="preserve">taxable income below the highest threshold </w:t>
            </w:r>
            <w:r w:rsidRPr="001453FF">
              <w:rPr>
                <w:b w:val="0"/>
                <w:spacing w:val="-1"/>
                <w:sz w:val="22"/>
                <w:lang w:eastAsia="en-AU"/>
              </w:rPr>
              <w:t xml:space="preserve">are assumed to </w:t>
            </w:r>
            <w:r w:rsidR="001F78AC" w:rsidRPr="001453FF">
              <w:rPr>
                <w:b w:val="0"/>
                <w:spacing w:val="-1"/>
                <w:sz w:val="22"/>
                <w:lang w:eastAsia="en-AU"/>
              </w:rPr>
              <w:t xml:space="preserve">have a taxable income elasticity of zero.  </w:t>
            </w:r>
            <w:r w:rsidR="00757F22" w:rsidRPr="001453FF">
              <w:rPr>
                <w:b w:val="0"/>
                <w:spacing w:val="-1"/>
                <w:sz w:val="22"/>
                <w:lang w:eastAsia="en-AU"/>
              </w:rPr>
              <w:t xml:space="preserve">It is assumed that these individuals </w:t>
            </w:r>
            <w:r w:rsidR="001F78AC" w:rsidRPr="001453FF">
              <w:rPr>
                <w:b w:val="0"/>
                <w:spacing w:val="-1"/>
                <w:sz w:val="22"/>
                <w:lang w:eastAsia="en-AU"/>
              </w:rPr>
              <w:t>would not adjust their taxable incomes in response to a change in marginal tax rates</w:t>
            </w:r>
            <w:r w:rsidR="00614C3F" w:rsidRPr="001453FF">
              <w:rPr>
                <w:b w:val="0"/>
                <w:spacing w:val="-1"/>
                <w:sz w:val="22"/>
                <w:lang w:eastAsia="en-AU"/>
              </w:rPr>
              <w:t xml:space="preserve">, reflecting that </w:t>
            </w:r>
            <w:r w:rsidR="00AC5895" w:rsidRPr="001453FF">
              <w:rPr>
                <w:b w:val="0"/>
                <w:spacing w:val="-1"/>
                <w:sz w:val="22"/>
                <w:lang w:eastAsia="en-AU"/>
              </w:rPr>
              <w:t>there are limited options available to lower-income earners</w:t>
            </w:r>
            <w:r w:rsidR="00094294" w:rsidRPr="001453FF">
              <w:rPr>
                <w:b w:val="0"/>
                <w:spacing w:val="-1"/>
                <w:sz w:val="22"/>
                <w:lang w:eastAsia="en-AU"/>
              </w:rPr>
              <w:t>, particularly wage and salary earners</w:t>
            </w:r>
            <w:r w:rsidR="00F6000C" w:rsidRPr="001453FF">
              <w:rPr>
                <w:b w:val="0"/>
                <w:spacing w:val="-1"/>
                <w:sz w:val="22"/>
                <w:lang w:eastAsia="en-AU"/>
              </w:rPr>
              <w:t>,</w:t>
            </w:r>
            <w:r w:rsidR="00AC5895" w:rsidRPr="001453FF">
              <w:rPr>
                <w:b w:val="0"/>
                <w:spacing w:val="-1"/>
                <w:sz w:val="22"/>
                <w:lang w:eastAsia="en-AU"/>
              </w:rPr>
              <w:t xml:space="preserve"> to restructure their investments</w:t>
            </w:r>
            <w:r w:rsidR="001F78AC" w:rsidRPr="001453FF">
              <w:rPr>
                <w:b w:val="0"/>
                <w:spacing w:val="-1"/>
                <w:sz w:val="22"/>
                <w:lang w:eastAsia="en-AU"/>
              </w:rPr>
              <w:t>.</w:t>
            </w:r>
          </w:p>
          <w:p w:rsidR="001F78AC" w:rsidRPr="001F78AC" w:rsidRDefault="001F78AC" w:rsidP="00176036">
            <w:pPr>
              <w:pStyle w:val="BodyText"/>
              <w:rPr>
                <w:b w:val="0"/>
                <w:lang w:eastAsia="en-AU"/>
              </w:rPr>
            </w:pPr>
            <w:r w:rsidRPr="005D3665">
              <w:rPr>
                <w:b w:val="0"/>
                <w:sz w:val="22"/>
                <w:lang w:eastAsia="en-AU"/>
              </w:rPr>
              <w:t xml:space="preserve">There is a broad range of taxable income elasticities estimated in the empirical literature across a number of developed economies.  The elasticities </w:t>
            </w:r>
            <w:r w:rsidR="00094294">
              <w:rPr>
                <w:b w:val="0"/>
                <w:sz w:val="22"/>
                <w:lang w:eastAsia="en-AU"/>
              </w:rPr>
              <w:t xml:space="preserve">we </w:t>
            </w:r>
            <w:r w:rsidRPr="005D3665">
              <w:rPr>
                <w:b w:val="0"/>
                <w:sz w:val="22"/>
                <w:lang w:eastAsia="en-AU"/>
              </w:rPr>
              <w:t>use are close to the median estimates</w:t>
            </w:r>
            <w:r w:rsidR="00DC02AF">
              <w:rPr>
                <w:b w:val="0"/>
                <w:sz w:val="22"/>
                <w:lang w:eastAsia="en-AU"/>
              </w:rPr>
              <w:t xml:space="preserve"> in the literature</w:t>
            </w:r>
            <w:r w:rsidRPr="005D3665">
              <w:rPr>
                <w:b w:val="0"/>
                <w:sz w:val="22"/>
                <w:lang w:eastAsia="en-AU"/>
              </w:rPr>
              <w:t>, and setting a higher elasticity for higher-income earners is consistent with the literature.</w:t>
            </w:r>
            <w:r w:rsidRPr="005D3665">
              <w:rPr>
                <w:b w:val="0"/>
                <w:sz w:val="22"/>
                <w:vertAlign w:val="superscript"/>
                <w:lang w:eastAsia="en-AU"/>
              </w:rPr>
              <w:footnoteReference w:id="5"/>
            </w:r>
            <w:r w:rsidRPr="005D3665">
              <w:rPr>
                <w:b w:val="0"/>
                <w:sz w:val="22"/>
                <w:lang w:eastAsia="en-AU"/>
              </w:rPr>
              <w:t xml:space="preserve">  Having a standard approach to taxable income elasticities helps to ensure behavioural responses are consistent across costings that make changes to income tax rates and thresholds.</w:t>
            </w:r>
            <w:r w:rsidRPr="005D3665">
              <w:rPr>
                <w:b w:val="0"/>
                <w:sz w:val="22"/>
                <w:vertAlign w:val="superscript"/>
                <w:lang w:eastAsia="en-AU"/>
              </w:rPr>
              <w:footnoteReference w:id="6"/>
            </w:r>
          </w:p>
        </w:tc>
      </w:tr>
    </w:tbl>
    <w:p w:rsidR="00E86239" w:rsidRDefault="00E2450C" w:rsidP="00EA42DD">
      <w:pPr>
        <w:pStyle w:val="Heading1"/>
      </w:pPr>
      <w:r>
        <w:br w:type="page"/>
      </w:r>
      <w:bookmarkStart w:id="13" w:name="_Toc29891183"/>
      <w:r w:rsidR="00A60EE9">
        <w:lastRenderedPageBreak/>
        <w:t>E</w:t>
      </w:r>
      <w:r w:rsidR="001F78AC">
        <w:t>mpirical research</w:t>
      </w:r>
      <w:bookmarkEnd w:id="13"/>
    </w:p>
    <w:p w:rsidR="000F5808" w:rsidRPr="00E61A16" w:rsidRDefault="00A22B42" w:rsidP="00335D14">
      <w:pPr>
        <w:pStyle w:val="BodyText"/>
      </w:pPr>
      <w:r>
        <w:t xml:space="preserve">Another principle </w:t>
      </w:r>
      <w:r w:rsidR="007D2DCC">
        <w:t xml:space="preserve">the PBO </w:t>
      </w:r>
      <w:r>
        <w:t>appl</w:t>
      </w:r>
      <w:r w:rsidR="007D2DCC">
        <w:t>ies</w:t>
      </w:r>
      <w:r>
        <w:t xml:space="preserve"> i</w:t>
      </w:r>
      <w:r w:rsidR="00B33560">
        <w:t>n determining behavioural assumptions i</w:t>
      </w:r>
      <w:r>
        <w:t xml:space="preserve">s </w:t>
      </w:r>
      <w:r w:rsidR="007D2DCC">
        <w:t>that</w:t>
      </w:r>
      <w:r w:rsidR="00BF3666">
        <w:t>,</w:t>
      </w:r>
      <w:r w:rsidR="007D2DCC">
        <w:t xml:space="preserve"> wherever possible, they should be informed by</w:t>
      </w:r>
      <w:r w:rsidR="00757F22">
        <w:t xml:space="preserve"> empirical research</w:t>
      </w:r>
      <w:r w:rsidR="007C7D67">
        <w:t xml:space="preserve"> or analysis</w:t>
      </w:r>
      <w:r w:rsidR="000F5808">
        <w:t>.</w:t>
      </w:r>
    </w:p>
    <w:p w:rsidR="00071876" w:rsidRDefault="007D2DCC" w:rsidP="00071876">
      <w:pPr>
        <w:pStyle w:val="Heading2"/>
      </w:pPr>
      <w:r>
        <w:t>Peer</w:t>
      </w:r>
      <w:r w:rsidR="00D44E61">
        <w:t>-</w:t>
      </w:r>
      <w:r>
        <w:t>reviewed academic research</w:t>
      </w:r>
      <w:r w:rsidR="001F78AC" w:rsidRPr="00EB43E9">
        <w:t xml:space="preserve"> is usually the ‘gold standard’ for quantifying behavioural responses</w:t>
      </w:r>
    </w:p>
    <w:p w:rsidR="007D2DCC" w:rsidRDefault="001F78AC" w:rsidP="001F78AC">
      <w:pPr>
        <w:pStyle w:val="BodyText"/>
      </w:pPr>
      <w:r>
        <w:t>There are numerous empirical studies</w:t>
      </w:r>
      <w:r w:rsidR="007C7D67">
        <w:t xml:space="preserve"> in academic literature</w:t>
      </w:r>
      <w:r>
        <w:t xml:space="preserve"> that estimate price or taxable income elasticities, as well as other behavioural responses to policy changes.  </w:t>
      </w:r>
      <w:r w:rsidR="007D2DCC">
        <w:t>Some of these studies show very robust results and others suggest significant variations in responses across countries, sectors or time.</w:t>
      </w:r>
    </w:p>
    <w:p w:rsidR="001F78AC" w:rsidRPr="00D7442C" w:rsidRDefault="001F78AC" w:rsidP="001F78AC">
      <w:pPr>
        <w:pStyle w:val="BodyText"/>
        <w:rPr>
          <w:spacing w:val="-1"/>
        </w:rPr>
      </w:pPr>
      <w:r w:rsidRPr="00D7442C">
        <w:rPr>
          <w:spacing w:val="-1"/>
        </w:rPr>
        <w:t>While we aim to back</w:t>
      </w:r>
      <w:r w:rsidR="00FA0877">
        <w:rPr>
          <w:spacing w:val="-1"/>
        </w:rPr>
        <w:t xml:space="preserve"> </w:t>
      </w:r>
      <w:r w:rsidRPr="00D7442C">
        <w:rPr>
          <w:spacing w:val="-1"/>
        </w:rPr>
        <w:t xml:space="preserve">up all behavioural assumptions with </w:t>
      </w:r>
      <w:r w:rsidR="00432038" w:rsidRPr="00D7442C">
        <w:rPr>
          <w:spacing w:val="-1"/>
        </w:rPr>
        <w:t xml:space="preserve">evidence from </w:t>
      </w:r>
      <w:r w:rsidRPr="00D7442C">
        <w:rPr>
          <w:spacing w:val="-1"/>
        </w:rPr>
        <w:t xml:space="preserve">empirical literature, </w:t>
      </w:r>
      <w:r w:rsidR="00F5112B" w:rsidRPr="00D7442C">
        <w:rPr>
          <w:spacing w:val="-1"/>
        </w:rPr>
        <w:t xml:space="preserve">it can </w:t>
      </w:r>
      <w:r w:rsidR="007D2DCC" w:rsidRPr="00D7442C">
        <w:rPr>
          <w:spacing w:val="-1"/>
        </w:rPr>
        <w:t xml:space="preserve">often </w:t>
      </w:r>
      <w:r w:rsidR="00F5112B" w:rsidRPr="00D7442C">
        <w:rPr>
          <w:spacing w:val="-1"/>
        </w:rPr>
        <w:t xml:space="preserve">be challenging to find </w:t>
      </w:r>
      <w:r w:rsidRPr="00D7442C">
        <w:rPr>
          <w:spacing w:val="-1"/>
        </w:rPr>
        <w:t>academic stud</w:t>
      </w:r>
      <w:r w:rsidR="00BF3666" w:rsidRPr="00D7442C">
        <w:rPr>
          <w:spacing w:val="-1"/>
        </w:rPr>
        <w:t>ies</w:t>
      </w:r>
      <w:r w:rsidR="00F5112B" w:rsidRPr="00D7442C">
        <w:rPr>
          <w:spacing w:val="-1"/>
        </w:rPr>
        <w:t xml:space="preserve"> that</w:t>
      </w:r>
      <w:r w:rsidR="007D2DCC" w:rsidRPr="00D7442C">
        <w:rPr>
          <w:spacing w:val="-1"/>
        </w:rPr>
        <w:t xml:space="preserve"> directly</w:t>
      </w:r>
      <w:r w:rsidR="00F5112B" w:rsidRPr="00D7442C">
        <w:rPr>
          <w:spacing w:val="-1"/>
        </w:rPr>
        <w:t xml:space="preserve"> </w:t>
      </w:r>
      <w:r w:rsidR="007C7D67" w:rsidRPr="00D7442C">
        <w:rPr>
          <w:spacing w:val="-1"/>
        </w:rPr>
        <w:t xml:space="preserve">apply </w:t>
      </w:r>
      <w:r w:rsidR="00F5112B" w:rsidRPr="00D7442C">
        <w:rPr>
          <w:spacing w:val="-1"/>
        </w:rPr>
        <w:t xml:space="preserve">to </w:t>
      </w:r>
      <w:r w:rsidR="00D44E61">
        <w:rPr>
          <w:spacing w:val="-1"/>
        </w:rPr>
        <w:t>a</w:t>
      </w:r>
      <w:r w:rsidR="00D44E61" w:rsidRPr="00D7442C">
        <w:rPr>
          <w:spacing w:val="-1"/>
        </w:rPr>
        <w:t xml:space="preserve"> </w:t>
      </w:r>
      <w:r w:rsidR="007D2DCC" w:rsidRPr="00D7442C">
        <w:rPr>
          <w:spacing w:val="-1"/>
        </w:rPr>
        <w:t xml:space="preserve">specific </w:t>
      </w:r>
      <w:r w:rsidR="00F5112B" w:rsidRPr="00D7442C">
        <w:rPr>
          <w:spacing w:val="-1"/>
        </w:rPr>
        <w:t>policy proposal</w:t>
      </w:r>
      <w:r w:rsidRPr="00D7442C">
        <w:rPr>
          <w:spacing w:val="-1"/>
        </w:rPr>
        <w:t>.</w:t>
      </w:r>
      <w:r w:rsidR="00F5112B" w:rsidRPr="00D7442C">
        <w:rPr>
          <w:spacing w:val="-1"/>
        </w:rPr>
        <w:t xml:space="preserve">  </w:t>
      </w:r>
      <w:r w:rsidRPr="00D7442C">
        <w:rPr>
          <w:spacing w:val="-1"/>
        </w:rPr>
        <w:t xml:space="preserve">For instance, </w:t>
      </w:r>
      <w:r w:rsidR="00F5112B" w:rsidRPr="00D7442C">
        <w:rPr>
          <w:spacing w:val="-1"/>
        </w:rPr>
        <w:t xml:space="preserve">the best </w:t>
      </w:r>
      <w:r w:rsidR="002A32F7" w:rsidRPr="00D7442C">
        <w:rPr>
          <w:spacing w:val="-1"/>
        </w:rPr>
        <w:t xml:space="preserve">evidence </w:t>
      </w:r>
      <w:r w:rsidR="00F5112B" w:rsidRPr="00D7442C">
        <w:rPr>
          <w:spacing w:val="-1"/>
        </w:rPr>
        <w:t xml:space="preserve">we may be able to obtain </w:t>
      </w:r>
      <w:r w:rsidR="0066253D" w:rsidRPr="00D7442C">
        <w:rPr>
          <w:spacing w:val="-1"/>
        </w:rPr>
        <w:t>might</w:t>
      </w:r>
      <w:r w:rsidR="00F5112B" w:rsidRPr="00D7442C">
        <w:rPr>
          <w:spacing w:val="-1"/>
        </w:rPr>
        <w:t xml:space="preserve"> be an empirical study </w:t>
      </w:r>
      <w:r w:rsidR="00432038" w:rsidRPr="00D7442C">
        <w:rPr>
          <w:spacing w:val="-1"/>
        </w:rPr>
        <w:t>from</w:t>
      </w:r>
      <w:r w:rsidR="00F5112B" w:rsidRPr="00D7442C">
        <w:rPr>
          <w:spacing w:val="-1"/>
        </w:rPr>
        <w:t xml:space="preserve"> another advanced economy that estimates the behavioural response of a similar policy to the one proposed.  Such research can </w:t>
      </w:r>
      <w:r w:rsidRPr="00D7442C">
        <w:rPr>
          <w:spacing w:val="-1"/>
        </w:rPr>
        <w:t>still be extremely useful in providing evidence of how</w:t>
      </w:r>
      <w:r w:rsidR="00094294">
        <w:rPr>
          <w:spacing w:val="-1"/>
        </w:rPr>
        <w:t>,</w:t>
      </w:r>
      <w:r w:rsidR="000F5808" w:rsidRPr="00D7442C">
        <w:rPr>
          <w:spacing w:val="-1"/>
        </w:rPr>
        <w:t xml:space="preserve"> and to what extent</w:t>
      </w:r>
      <w:r w:rsidR="00094294">
        <w:rPr>
          <w:spacing w:val="-1"/>
        </w:rPr>
        <w:t>,</w:t>
      </w:r>
      <w:r w:rsidRPr="00D7442C">
        <w:rPr>
          <w:spacing w:val="-1"/>
        </w:rPr>
        <w:t xml:space="preserve"> those affected </w:t>
      </w:r>
      <w:r w:rsidR="000F5808" w:rsidRPr="00D7442C">
        <w:rPr>
          <w:spacing w:val="-1"/>
        </w:rPr>
        <w:t xml:space="preserve">may </w:t>
      </w:r>
      <w:r w:rsidRPr="00D7442C">
        <w:rPr>
          <w:spacing w:val="-1"/>
        </w:rPr>
        <w:t xml:space="preserve">respond to particular policy changes.  </w:t>
      </w:r>
      <w:r w:rsidR="00B8514E" w:rsidRPr="00D7442C">
        <w:rPr>
          <w:spacing w:val="-1"/>
        </w:rPr>
        <w:fldChar w:fldCharType="begin"/>
      </w:r>
      <w:r w:rsidR="00B8514E" w:rsidRPr="00D7442C">
        <w:rPr>
          <w:spacing w:val="-1"/>
        </w:rPr>
        <w:instrText xml:space="preserve"> REF _Ref26264436 \h </w:instrText>
      </w:r>
      <w:r w:rsidR="002A32F7">
        <w:rPr>
          <w:spacing w:val="-1"/>
        </w:rPr>
        <w:instrText xml:space="preserve"> \* MERGEFORMAT </w:instrText>
      </w:r>
      <w:r w:rsidR="00B8514E" w:rsidRPr="00D7442C">
        <w:rPr>
          <w:spacing w:val="-1"/>
        </w:rPr>
      </w:r>
      <w:r w:rsidR="00B8514E" w:rsidRPr="00D7442C">
        <w:rPr>
          <w:spacing w:val="-1"/>
        </w:rPr>
        <w:fldChar w:fldCharType="separate"/>
      </w:r>
      <w:r w:rsidR="00DC02AF" w:rsidRPr="00DC02AF">
        <w:rPr>
          <w:spacing w:val="-1"/>
        </w:rPr>
        <w:t xml:space="preserve">Figure </w:t>
      </w:r>
      <w:r w:rsidR="00DC02AF" w:rsidRPr="00DC02AF">
        <w:rPr>
          <w:noProof/>
          <w:spacing w:val="-1"/>
        </w:rPr>
        <w:t>2</w:t>
      </w:r>
      <w:r w:rsidR="00B8514E" w:rsidRPr="00D7442C">
        <w:rPr>
          <w:spacing w:val="-1"/>
        </w:rPr>
        <w:fldChar w:fldCharType="end"/>
      </w:r>
      <w:r w:rsidR="00B8514E" w:rsidRPr="00D7442C">
        <w:rPr>
          <w:spacing w:val="-1"/>
        </w:rPr>
        <w:t xml:space="preserve"> </w:t>
      </w:r>
      <w:r w:rsidRPr="00D7442C">
        <w:rPr>
          <w:spacing w:val="-1"/>
        </w:rPr>
        <w:t xml:space="preserve">outlines </w:t>
      </w:r>
      <w:r w:rsidR="007A4789" w:rsidRPr="00D7442C">
        <w:rPr>
          <w:spacing w:val="-1"/>
        </w:rPr>
        <w:t xml:space="preserve">a set of </w:t>
      </w:r>
      <w:r w:rsidR="0054637F" w:rsidRPr="00D7442C">
        <w:rPr>
          <w:spacing w:val="-1"/>
        </w:rPr>
        <w:t xml:space="preserve">questions </w:t>
      </w:r>
      <w:r w:rsidRPr="00D7442C">
        <w:rPr>
          <w:spacing w:val="-1"/>
        </w:rPr>
        <w:t>we a</w:t>
      </w:r>
      <w:r w:rsidR="0054637F" w:rsidRPr="00D7442C">
        <w:rPr>
          <w:spacing w:val="-1"/>
        </w:rPr>
        <w:t>sk ourselves</w:t>
      </w:r>
      <w:r w:rsidRPr="00D7442C">
        <w:rPr>
          <w:spacing w:val="-1"/>
        </w:rPr>
        <w:t xml:space="preserve"> to determine </w:t>
      </w:r>
      <w:r w:rsidR="007A4789" w:rsidRPr="00D7442C">
        <w:rPr>
          <w:spacing w:val="-1"/>
        </w:rPr>
        <w:t xml:space="preserve">whether a particular empirical study </w:t>
      </w:r>
      <w:r w:rsidR="00164505" w:rsidRPr="00D7442C">
        <w:rPr>
          <w:spacing w:val="-1"/>
        </w:rPr>
        <w:t xml:space="preserve">should inform </w:t>
      </w:r>
      <w:r w:rsidR="007A4789" w:rsidRPr="00D7442C">
        <w:rPr>
          <w:spacing w:val="-1"/>
        </w:rPr>
        <w:t>a behavioural assumption</w:t>
      </w:r>
      <w:r w:rsidR="00DB772A" w:rsidRPr="00D7442C">
        <w:rPr>
          <w:spacing w:val="-1"/>
        </w:rPr>
        <w:t>.</w:t>
      </w:r>
    </w:p>
    <w:p w:rsidR="00B8514E" w:rsidRDefault="00B8514E" w:rsidP="0021311D">
      <w:pPr>
        <w:pStyle w:val="Caption"/>
        <w:spacing w:before="240" w:after="0"/>
      </w:pPr>
      <w:bookmarkStart w:id="14" w:name="_Ref26264436"/>
      <w:r>
        <w:t xml:space="preserve">Figure </w:t>
      </w:r>
      <w:r w:rsidR="00E608E2">
        <w:fldChar w:fldCharType="begin"/>
      </w:r>
      <w:r w:rsidR="00E608E2">
        <w:instrText xml:space="preserve"> SEQ Figure \* ARABIC </w:instrText>
      </w:r>
      <w:r w:rsidR="00E608E2">
        <w:fldChar w:fldCharType="separate"/>
      </w:r>
      <w:r w:rsidR="00DC02AF">
        <w:rPr>
          <w:noProof/>
        </w:rPr>
        <w:t>2</w:t>
      </w:r>
      <w:r w:rsidR="00E608E2">
        <w:rPr>
          <w:noProof/>
        </w:rPr>
        <w:fldChar w:fldCharType="end"/>
      </w:r>
      <w:bookmarkEnd w:id="14"/>
      <w:r>
        <w:rPr>
          <w:noProof/>
        </w:rPr>
        <w:t>: How the PBO evaluate</w:t>
      </w:r>
      <w:r w:rsidR="00F400DA">
        <w:rPr>
          <w:noProof/>
        </w:rPr>
        <w:t>s</w:t>
      </w:r>
      <w:r>
        <w:rPr>
          <w:noProof/>
        </w:rPr>
        <w:t xml:space="preserve"> an empirical study for use in a costing</w:t>
      </w:r>
    </w:p>
    <w:p w:rsidR="00071876" w:rsidRDefault="00766443" w:rsidP="00BD6726">
      <w:pPr>
        <w:pStyle w:val="CaptionDescriptor"/>
        <w:keepNext w:val="0"/>
        <w:spacing w:before="0"/>
        <w:jc w:val="left"/>
      </w:pPr>
      <w:r w:rsidRPr="00766443">
        <w:rPr>
          <w:noProof/>
          <w:lang w:eastAsia="en-AU"/>
        </w:rPr>
        <mc:AlternateContent>
          <mc:Choice Requires="wpg">
            <w:drawing>
              <wp:inline distT="0" distB="0" distL="0" distR="0" wp14:anchorId="2F371CA7" wp14:editId="7052FB1F">
                <wp:extent cx="5737272" cy="4270216"/>
                <wp:effectExtent l="57150" t="95250" r="53975" b="92710"/>
                <wp:docPr id="111" name="Group 2"/>
                <wp:cNvGraphicFramePr/>
                <a:graphic xmlns:a="http://schemas.openxmlformats.org/drawingml/2006/main">
                  <a:graphicData uri="http://schemas.microsoft.com/office/word/2010/wordprocessingGroup">
                    <wpg:wgp>
                      <wpg:cNvGrpSpPr/>
                      <wpg:grpSpPr>
                        <a:xfrm>
                          <a:off x="0" y="0"/>
                          <a:ext cx="5737272" cy="4270216"/>
                          <a:chOff x="0" y="0"/>
                          <a:chExt cx="5737272" cy="4270216"/>
                        </a:xfrm>
                      </wpg:grpSpPr>
                      <wps:wsp>
                        <wps:cNvPr id="112" name="Rectangle 112"/>
                        <wps:cNvSpPr/>
                        <wps:spPr>
                          <a:xfrm>
                            <a:off x="1689246" y="0"/>
                            <a:ext cx="4004666" cy="726174"/>
                          </a:xfrm>
                          <a:prstGeom prst="rect">
                            <a:avLst/>
                          </a:prstGeom>
                          <a:solidFill>
                            <a:schemeClr val="bg1"/>
                          </a:solidFill>
                          <a:ln>
                            <a:noFill/>
                          </a:ln>
                          <a:effectLst>
                            <a:outerShdw blurRad="50800" dist="38100" dir="16200000" rotWithShape="0">
                              <a:schemeClr val="bg1">
                                <a:lumMod val="75000"/>
                                <a:alpha val="40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3" name="Rectangle 113"/>
                        <wps:cNvSpPr/>
                        <wps:spPr>
                          <a:xfrm>
                            <a:off x="1694865" y="885978"/>
                            <a:ext cx="4004666" cy="726174"/>
                          </a:xfrm>
                          <a:prstGeom prst="rect">
                            <a:avLst/>
                          </a:prstGeom>
                          <a:solidFill>
                            <a:schemeClr val="bg1"/>
                          </a:solidFill>
                          <a:ln>
                            <a:noFill/>
                          </a:ln>
                          <a:effectLst>
                            <a:outerShdw blurRad="50800" dist="38100" dir="16200000" rotWithShape="0">
                              <a:schemeClr val="bg1">
                                <a:lumMod val="75000"/>
                                <a:alpha val="40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4" name="Rectangle 114"/>
                        <wps:cNvSpPr/>
                        <wps:spPr>
                          <a:xfrm>
                            <a:off x="1689246" y="1771957"/>
                            <a:ext cx="4004666" cy="726174"/>
                          </a:xfrm>
                          <a:prstGeom prst="rect">
                            <a:avLst/>
                          </a:prstGeom>
                          <a:solidFill>
                            <a:schemeClr val="bg1"/>
                          </a:solidFill>
                          <a:ln>
                            <a:noFill/>
                          </a:ln>
                          <a:effectLst>
                            <a:outerShdw blurRad="50800" dist="38100" dir="16200000" rotWithShape="0">
                              <a:schemeClr val="bg1">
                                <a:lumMod val="75000"/>
                                <a:alpha val="40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5" name="Rectangle 115"/>
                        <wps:cNvSpPr/>
                        <wps:spPr>
                          <a:xfrm>
                            <a:off x="1689246" y="0"/>
                            <a:ext cx="4004666" cy="726174"/>
                          </a:xfrm>
                          <a:prstGeom prst="rect">
                            <a:avLst/>
                          </a:prstGeom>
                          <a:solidFill>
                            <a:schemeClr val="bg1"/>
                          </a:solidFill>
                          <a:ln>
                            <a:noFill/>
                          </a:ln>
                          <a:effectLst>
                            <a:outerShdw blurRad="50800" dist="38100" dir="2700000" algn="tl" rotWithShape="0">
                              <a:schemeClr val="bg1">
                                <a:lumMod val="65000"/>
                                <a:alpha val="40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6" name="Rectangle 116"/>
                        <wps:cNvSpPr/>
                        <wps:spPr>
                          <a:xfrm>
                            <a:off x="1694865" y="885978"/>
                            <a:ext cx="4004666" cy="726174"/>
                          </a:xfrm>
                          <a:prstGeom prst="rect">
                            <a:avLst/>
                          </a:prstGeom>
                          <a:solidFill>
                            <a:schemeClr val="bg1"/>
                          </a:solidFill>
                          <a:ln>
                            <a:noFill/>
                          </a:ln>
                          <a:effectLst>
                            <a:outerShdw blurRad="50800" dist="38100" dir="2700000" algn="tl" rotWithShape="0">
                              <a:schemeClr val="bg1">
                                <a:lumMod val="65000"/>
                                <a:alpha val="40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2" name="Rectangle 162"/>
                        <wps:cNvSpPr/>
                        <wps:spPr>
                          <a:xfrm>
                            <a:off x="1689246" y="1771957"/>
                            <a:ext cx="4004666" cy="726174"/>
                          </a:xfrm>
                          <a:prstGeom prst="rect">
                            <a:avLst/>
                          </a:prstGeom>
                          <a:solidFill>
                            <a:schemeClr val="bg1"/>
                          </a:solidFill>
                          <a:ln>
                            <a:noFill/>
                          </a:ln>
                          <a:effectLst>
                            <a:outerShdw blurRad="50800" dist="38100" dir="2700000" algn="tl" rotWithShape="0">
                              <a:schemeClr val="bg1">
                                <a:lumMod val="65000"/>
                                <a:alpha val="40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4" name="Pentagon 164"/>
                        <wps:cNvSpPr/>
                        <wps:spPr>
                          <a:xfrm>
                            <a:off x="0" y="0"/>
                            <a:ext cx="1905269" cy="726174"/>
                          </a:xfrm>
                          <a:prstGeom prst="homePlate">
                            <a:avLst>
                              <a:gd name="adj" fmla="val 30438"/>
                            </a:avLst>
                          </a:prstGeom>
                          <a:solidFill>
                            <a:srgbClr val="2E3A5E"/>
                          </a:solidFill>
                          <a:ln>
                            <a:noFill/>
                          </a:ln>
                          <a:effectLst>
                            <a:outerShdw blurRad="50800" dist="38100" dir="5400000" algn="t" rotWithShape="0">
                              <a:schemeClr val="bg1">
                                <a:lumMod val="65000"/>
                                <a:alpha val="40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5" name="Pentagon 165"/>
                        <wps:cNvSpPr/>
                        <wps:spPr>
                          <a:xfrm>
                            <a:off x="0" y="878574"/>
                            <a:ext cx="1905269" cy="726174"/>
                          </a:xfrm>
                          <a:prstGeom prst="homePlate">
                            <a:avLst>
                              <a:gd name="adj" fmla="val 30438"/>
                            </a:avLst>
                          </a:prstGeom>
                          <a:solidFill>
                            <a:srgbClr val="3D4D7D"/>
                          </a:solidFill>
                          <a:ln>
                            <a:noFill/>
                          </a:ln>
                          <a:effectLst>
                            <a:outerShdw blurRad="50800" dist="38100" dir="5400000" algn="t" rotWithShape="0">
                              <a:schemeClr val="bg1">
                                <a:lumMod val="65000"/>
                                <a:alpha val="40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6" name="Pentagon 166"/>
                        <wps:cNvSpPr/>
                        <wps:spPr>
                          <a:xfrm>
                            <a:off x="0" y="1771957"/>
                            <a:ext cx="1905269" cy="726174"/>
                          </a:xfrm>
                          <a:prstGeom prst="homePlate">
                            <a:avLst>
                              <a:gd name="adj" fmla="val 30438"/>
                            </a:avLst>
                          </a:prstGeom>
                          <a:solidFill>
                            <a:srgbClr val="5A70AE"/>
                          </a:solidFill>
                          <a:ln>
                            <a:noFill/>
                          </a:ln>
                          <a:effectLst>
                            <a:outerShdw blurRad="50800" dist="38100" dir="5400000" algn="t" rotWithShape="0">
                              <a:schemeClr val="bg1">
                                <a:lumMod val="65000"/>
                                <a:alpha val="40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7" name="TextBox 17"/>
                        <wps:cNvSpPr txBox="1"/>
                        <wps:spPr>
                          <a:xfrm>
                            <a:off x="2049041" y="1"/>
                            <a:ext cx="3688179" cy="726092"/>
                          </a:xfrm>
                          <a:prstGeom prst="rect">
                            <a:avLst/>
                          </a:prstGeom>
                          <a:noFill/>
                          <a:ln w="9525">
                            <a:noFill/>
                          </a:ln>
                        </wps:spPr>
                        <wps:txbx>
                          <w:txbxContent>
                            <w:p w:rsidR="00716768" w:rsidRDefault="00716768" w:rsidP="00716768">
                              <w:pPr>
                                <w:pStyle w:val="NormalWeb"/>
                                <w:spacing w:before="0" w:beforeAutospacing="0" w:after="0" w:afterAutospacing="0"/>
                              </w:pPr>
                              <w:r>
                                <w:rPr>
                                  <w:rFonts w:asciiTheme="minorHAnsi" w:hAnsi="Calibri" w:cstheme="minorBidi"/>
                                  <w:color w:val="000000" w:themeColor="text1"/>
                                  <w:kern w:val="24"/>
                                  <w:sz w:val="20"/>
                                  <w:szCs w:val="20"/>
                                </w:rPr>
                                <w:t>If, for example, the study examined the response to a policy</w:t>
                              </w:r>
                            </w:p>
                            <w:p w:rsidR="00716768" w:rsidRDefault="00716768" w:rsidP="00716768">
                              <w:pPr>
                                <w:pStyle w:val="NormalWeb"/>
                                <w:spacing w:before="0" w:beforeAutospacing="0" w:after="0" w:afterAutospacing="0"/>
                              </w:pPr>
                              <w:proofErr w:type="gramStart"/>
                              <w:r>
                                <w:rPr>
                                  <w:rFonts w:asciiTheme="minorHAnsi" w:hAnsi="Calibri" w:cstheme="minorBidi"/>
                                  <w:color w:val="000000" w:themeColor="text1"/>
                                  <w:kern w:val="24"/>
                                  <w:sz w:val="20"/>
                                  <w:szCs w:val="20"/>
                                </w:rPr>
                                <w:t>of</w:t>
                              </w:r>
                              <w:proofErr w:type="gramEnd"/>
                              <w:r>
                                <w:rPr>
                                  <w:rFonts w:asciiTheme="minorHAnsi" w:hAnsi="Calibri" w:cstheme="minorBidi"/>
                                  <w:color w:val="000000" w:themeColor="text1"/>
                                  <w:kern w:val="24"/>
                                  <w:sz w:val="20"/>
                                  <w:szCs w:val="20"/>
                                </w:rPr>
                                <w:t xml:space="preserve"> a different scale to the policy proposal being costed, we</w:t>
                              </w:r>
                            </w:p>
                            <w:p w:rsidR="00716768" w:rsidRDefault="00716768" w:rsidP="00716768">
                              <w:pPr>
                                <w:pStyle w:val="NormalWeb"/>
                                <w:spacing w:before="0" w:beforeAutospacing="0" w:after="0" w:afterAutospacing="0"/>
                              </w:pPr>
                              <w:proofErr w:type="gramStart"/>
                              <w:r>
                                <w:rPr>
                                  <w:rFonts w:asciiTheme="minorHAnsi" w:hAnsi="Calibri" w:cstheme="minorBidi"/>
                                  <w:color w:val="000000" w:themeColor="text1"/>
                                  <w:kern w:val="24"/>
                                  <w:sz w:val="20"/>
                                  <w:szCs w:val="20"/>
                                </w:rPr>
                                <w:t>would</w:t>
                              </w:r>
                              <w:proofErr w:type="gramEnd"/>
                              <w:r>
                                <w:rPr>
                                  <w:rFonts w:asciiTheme="minorHAnsi" w:hAnsi="Calibri" w:cstheme="minorBidi"/>
                                  <w:color w:val="000000" w:themeColor="text1"/>
                                  <w:kern w:val="24"/>
                                  <w:sz w:val="20"/>
                                  <w:szCs w:val="20"/>
                                </w:rPr>
                                <w:t xml:space="preserve"> consider whether to modify the behavioural response.</w:t>
                              </w:r>
                            </w:p>
                          </w:txbxContent>
                        </wps:txbx>
                        <wps:bodyPr wrap="square" lIns="108000" tIns="36000" rIns="108000" bIns="36000" rtlCol="0" anchor="ctr" anchorCtr="0">
                          <a:noAutofit/>
                        </wps:bodyPr>
                      </wps:wsp>
                      <wps:wsp>
                        <wps:cNvPr id="168" name="TextBox 18"/>
                        <wps:cNvSpPr txBox="1"/>
                        <wps:spPr>
                          <a:xfrm>
                            <a:off x="221391" y="2"/>
                            <a:ext cx="1295644" cy="726010"/>
                          </a:xfrm>
                          <a:prstGeom prst="rect">
                            <a:avLst/>
                          </a:prstGeom>
                          <a:noFill/>
                          <a:ln w="9525">
                            <a:noFill/>
                          </a:ln>
                        </wps:spPr>
                        <wps:txbx>
                          <w:txbxContent>
                            <w:p w:rsidR="00716768" w:rsidRDefault="00716768" w:rsidP="00716768">
                              <w:pPr>
                                <w:pStyle w:val="NormalWeb"/>
                                <w:spacing w:before="0" w:beforeAutospacing="0" w:after="0" w:afterAutospacing="0"/>
                                <w:jc w:val="center"/>
                              </w:pPr>
                              <w:r>
                                <w:rPr>
                                  <w:rFonts w:asciiTheme="minorHAnsi" w:hAnsi="Calibri" w:cstheme="minorBidi"/>
                                  <w:color w:val="FFFFFF" w:themeColor="background1"/>
                                  <w:kern w:val="24"/>
                                  <w:sz w:val="20"/>
                                  <w:szCs w:val="20"/>
                                </w:rPr>
                                <w:t>How similar are</w:t>
                              </w:r>
                            </w:p>
                            <w:p w:rsidR="00716768" w:rsidRDefault="00716768" w:rsidP="00716768">
                              <w:pPr>
                                <w:pStyle w:val="NormalWeb"/>
                                <w:spacing w:before="0" w:beforeAutospacing="0" w:after="0" w:afterAutospacing="0"/>
                                <w:jc w:val="center"/>
                              </w:pPr>
                              <w:proofErr w:type="gramStart"/>
                              <w:r>
                                <w:rPr>
                                  <w:rFonts w:asciiTheme="minorHAnsi" w:hAnsi="Calibri" w:cstheme="minorBidi"/>
                                  <w:color w:val="FFFFFF" w:themeColor="background1"/>
                                  <w:kern w:val="24"/>
                                  <w:sz w:val="20"/>
                                  <w:szCs w:val="20"/>
                                </w:rPr>
                                <w:t>the</w:t>
                              </w:r>
                              <w:proofErr w:type="gramEnd"/>
                              <w:r>
                                <w:rPr>
                                  <w:rFonts w:asciiTheme="minorHAnsi" w:hAnsi="Calibri" w:cstheme="minorBidi"/>
                                  <w:color w:val="FFFFFF" w:themeColor="background1"/>
                                  <w:kern w:val="24"/>
                                  <w:sz w:val="20"/>
                                  <w:szCs w:val="20"/>
                                </w:rPr>
                                <w:t xml:space="preserve"> policies in</w:t>
                              </w:r>
                            </w:p>
                            <w:p w:rsidR="00716768" w:rsidRDefault="00716768" w:rsidP="00716768">
                              <w:pPr>
                                <w:pStyle w:val="NormalWeb"/>
                                <w:spacing w:before="0" w:beforeAutospacing="0" w:after="0" w:afterAutospacing="0"/>
                                <w:jc w:val="center"/>
                              </w:pPr>
                              <w:proofErr w:type="gramStart"/>
                              <w:r>
                                <w:rPr>
                                  <w:rFonts w:asciiTheme="minorHAnsi" w:hAnsi="Calibri" w:cstheme="minorBidi"/>
                                  <w:color w:val="FFFFFF" w:themeColor="background1"/>
                                  <w:kern w:val="24"/>
                                  <w:sz w:val="20"/>
                                  <w:szCs w:val="20"/>
                                </w:rPr>
                                <w:t>both</w:t>
                              </w:r>
                              <w:proofErr w:type="gramEnd"/>
                              <w:r>
                                <w:rPr>
                                  <w:rFonts w:asciiTheme="minorHAnsi" w:hAnsi="Calibri" w:cstheme="minorBidi"/>
                                  <w:color w:val="FFFFFF" w:themeColor="background1"/>
                                  <w:kern w:val="24"/>
                                  <w:sz w:val="20"/>
                                  <w:szCs w:val="20"/>
                                </w:rPr>
                                <w:t xml:space="preserve"> scale and scope?</w:t>
                              </w:r>
                            </w:p>
                          </w:txbxContent>
                        </wps:txbx>
                        <wps:bodyPr wrap="square" lIns="36000" tIns="36000" rIns="36000" bIns="36000" rtlCol="0" anchor="ctr" anchorCtr="0">
                          <a:noAutofit/>
                        </wps:bodyPr>
                      </wps:wsp>
                      <wps:wsp>
                        <wps:cNvPr id="169" name="TextBox 19"/>
                        <wps:cNvSpPr txBox="1"/>
                        <wps:spPr>
                          <a:xfrm>
                            <a:off x="2049067" y="885780"/>
                            <a:ext cx="3688179" cy="718789"/>
                          </a:xfrm>
                          <a:prstGeom prst="rect">
                            <a:avLst/>
                          </a:prstGeom>
                          <a:noFill/>
                          <a:ln w="9525">
                            <a:noFill/>
                          </a:ln>
                        </wps:spPr>
                        <wps:txbx>
                          <w:txbxContent>
                            <w:p w:rsidR="00716768" w:rsidRDefault="00716768" w:rsidP="00716768">
                              <w:pPr>
                                <w:pStyle w:val="NormalWeb"/>
                                <w:spacing w:before="0" w:beforeAutospacing="0" w:after="0" w:afterAutospacing="0"/>
                              </w:pPr>
                              <w:r>
                                <w:rPr>
                                  <w:rFonts w:asciiTheme="minorHAnsi" w:hAnsi="Calibri" w:cstheme="minorBidi"/>
                                  <w:color w:val="000000" w:themeColor="text1"/>
                                  <w:kern w:val="24"/>
                                  <w:sz w:val="20"/>
                                  <w:szCs w:val="20"/>
                                </w:rPr>
                                <w:t>We look for similarities in the distribution of incomes,</w:t>
                              </w:r>
                            </w:p>
                            <w:p w:rsidR="00716768" w:rsidRDefault="00716768" w:rsidP="00716768">
                              <w:pPr>
                                <w:pStyle w:val="NormalWeb"/>
                                <w:spacing w:before="0" w:beforeAutospacing="0" w:after="0" w:afterAutospacing="0"/>
                              </w:pPr>
                              <w:proofErr w:type="gramStart"/>
                              <w:r>
                                <w:rPr>
                                  <w:rFonts w:asciiTheme="minorHAnsi" w:hAnsi="Calibri" w:cstheme="minorBidi"/>
                                  <w:color w:val="000000" w:themeColor="text1"/>
                                  <w:kern w:val="24"/>
                                  <w:sz w:val="20"/>
                                  <w:szCs w:val="20"/>
                                </w:rPr>
                                <w:t>tax</w:t>
                              </w:r>
                              <w:proofErr w:type="gramEnd"/>
                              <w:r>
                                <w:rPr>
                                  <w:rFonts w:asciiTheme="minorHAnsi" w:hAnsi="Calibri" w:cstheme="minorBidi"/>
                                  <w:color w:val="000000" w:themeColor="text1"/>
                                  <w:kern w:val="24"/>
                                  <w:sz w:val="20"/>
                                  <w:szCs w:val="20"/>
                                </w:rPr>
                                <w:t xml:space="preserve"> rates, and the overall policy environment for the</w:t>
                              </w:r>
                            </w:p>
                            <w:p w:rsidR="00716768" w:rsidRDefault="00716768" w:rsidP="00716768">
                              <w:pPr>
                                <w:pStyle w:val="NormalWeb"/>
                                <w:spacing w:before="0" w:beforeAutospacing="0" w:after="0" w:afterAutospacing="0"/>
                              </w:pPr>
                              <w:proofErr w:type="gramStart"/>
                              <w:r>
                                <w:rPr>
                                  <w:rFonts w:asciiTheme="minorHAnsi" w:hAnsi="Calibri" w:cstheme="minorBidi"/>
                                  <w:color w:val="000000" w:themeColor="text1"/>
                                  <w:kern w:val="24"/>
                                  <w:sz w:val="20"/>
                                  <w:szCs w:val="20"/>
                                </w:rPr>
                                <w:t>population</w:t>
                              </w:r>
                              <w:proofErr w:type="gramEnd"/>
                              <w:r>
                                <w:rPr>
                                  <w:rFonts w:asciiTheme="minorHAnsi" w:hAnsi="Calibri" w:cstheme="minorBidi"/>
                                  <w:color w:val="000000" w:themeColor="text1"/>
                                  <w:kern w:val="24"/>
                                  <w:sz w:val="20"/>
                                  <w:szCs w:val="20"/>
                                </w:rPr>
                                <w:t xml:space="preserve"> in the study and the costing population.</w:t>
                              </w:r>
                            </w:p>
                          </w:txbxContent>
                        </wps:txbx>
                        <wps:bodyPr wrap="square" lIns="108000" tIns="36000" rIns="108000" bIns="36000" rtlCol="0" anchor="ctr" anchorCtr="0">
                          <a:noAutofit/>
                        </wps:bodyPr>
                      </wps:wsp>
                      <wps:wsp>
                        <wps:cNvPr id="170" name="TextBox 20"/>
                        <wps:cNvSpPr txBox="1"/>
                        <wps:spPr>
                          <a:xfrm>
                            <a:off x="121721" y="885780"/>
                            <a:ext cx="1495034" cy="718610"/>
                          </a:xfrm>
                          <a:prstGeom prst="rect">
                            <a:avLst/>
                          </a:prstGeom>
                          <a:noFill/>
                          <a:ln w="9525">
                            <a:noFill/>
                          </a:ln>
                        </wps:spPr>
                        <wps:txbx>
                          <w:txbxContent>
                            <w:p w:rsidR="00716768" w:rsidRDefault="00716768" w:rsidP="00716768">
                              <w:pPr>
                                <w:pStyle w:val="NormalWeb"/>
                                <w:spacing w:before="0" w:beforeAutospacing="0" w:after="0" w:afterAutospacing="0"/>
                                <w:jc w:val="center"/>
                              </w:pPr>
                              <w:r>
                                <w:rPr>
                                  <w:rFonts w:asciiTheme="minorHAnsi" w:hAnsi="Calibri" w:cstheme="minorBidi"/>
                                  <w:color w:val="FFFFFF" w:themeColor="background1"/>
                                  <w:kern w:val="24"/>
                                  <w:sz w:val="20"/>
                                  <w:szCs w:val="20"/>
                                </w:rPr>
                                <w:t xml:space="preserve">Are those </w:t>
                              </w:r>
                              <w:proofErr w:type="gramStart"/>
                              <w:r>
                                <w:rPr>
                                  <w:rFonts w:asciiTheme="minorHAnsi" w:hAnsi="Calibri" w:cstheme="minorBidi"/>
                                  <w:color w:val="FFFFFF" w:themeColor="background1"/>
                                  <w:kern w:val="24"/>
                                  <w:sz w:val="20"/>
                                  <w:szCs w:val="20"/>
                                </w:rPr>
                                <w:t>affected</w:t>
                              </w:r>
                              <w:proofErr w:type="gramEnd"/>
                            </w:p>
                            <w:p w:rsidR="00716768" w:rsidRDefault="00716768" w:rsidP="00716768">
                              <w:pPr>
                                <w:pStyle w:val="NormalWeb"/>
                                <w:spacing w:before="0" w:beforeAutospacing="0" w:after="0" w:afterAutospacing="0"/>
                                <w:jc w:val="center"/>
                              </w:pPr>
                              <w:proofErr w:type="gramStart"/>
                              <w:r>
                                <w:rPr>
                                  <w:rFonts w:asciiTheme="minorHAnsi" w:hAnsi="Calibri" w:cstheme="minorBidi"/>
                                  <w:color w:val="FFFFFF" w:themeColor="background1"/>
                                  <w:kern w:val="24"/>
                                  <w:sz w:val="20"/>
                                  <w:szCs w:val="20"/>
                                </w:rPr>
                                <w:t>by</w:t>
                              </w:r>
                              <w:proofErr w:type="gramEnd"/>
                              <w:r>
                                <w:rPr>
                                  <w:rFonts w:asciiTheme="minorHAnsi" w:hAnsi="Calibri" w:cstheme="minorBidi"/>
                                  <w:color w:val="FFFFFF" w:themeColor="background1"/>
                                  <w:kern w:val="24"/>
                                  <w:sz w:val="20"/>
                                  <w:szCs w:val="20"/>
                                </w:rPr>
                                <w:t xml:space="preserve"> the policy in the study</w:t>
                              </w:r>
                            </w:p>
                            <w:p w:rsidR="00716768" w:rsidRDefault="00716768" w:rsidP="00716768">
                              <w:pPr>
                                <w:pStyle w:val="NormalWeb"/>
                                <w:spacing w:before="0" w:beforeAutospacing="0" w:after="0" w:afterAutospacing="0"/>
                                <w:jc w:val="center"/>
                              </w:pPr>
                              <w:proofErr w:type="gramStart"/>
                              <w:r>
                                <w:rPr>
                                  <w:rFonts w:asciiTheme="minorHAnsi" w:hAnsi="Calibri" w:cstheme="minorBidi"/>
                                  <w:color w:val="FFFFFF" w:themeColor="background1"/>
                                  <w:kern w:val="24"/>
                                  <w:sz w:val="20"/>
                                  <w:szCs w:val="20"/>
                                </w:rPr>
                                <w:t>broadly</w:t>
                              </w:r>
                              <w:proofErr w:type="gramEnd"/>
                              <w:r>
                                <w:rPr>
                                  <w:rFonts w:asciiTheme="minorHAnsi" w:hAnsi="Calibri" w:cstheme="minorBidi"/>
                                  <w:color w:val="FFFFFF" w:themeColor="background1"/>
                                  <w:kern w:val="24"/>
                                  <w:sz w:val="20"/>
                                  <w:szCs w:val="20"/>
                                </w:rPr>
                                <w:t xml:space="preserve"> representative?</w:t>
                              </w:r>
                            </w:p>
                          </w:txbxContent>
                        </wps:txbx>
                        <wps:bodyPr wrap="square" lIns="36000" tIns="36000" rIns="36000" bIns="36000" rtlCol="0" anchor="ctr" anchorCtr="0">
                          <a:noAutofit/>
                        </wps:bodyPr>
                      </wps:wsp>
                      <wps:wsp>
                        <wps:cNvPr id="171" name="TextBox 21"/>
                        <wps:cNvSpPr txBox="1"/>
                        <wps:spPr>
                          <a:xfrm>
                            <a:off x="2049093" y="1769749"/>
                            <a:ext cx="3688179" cy="728103"/>
                          </a:xfrm>
                          <a:prstGeom prst="rect">
                            <a:avLst/>
                          </a:prstGeom>
                          <a:noFill/>
                          <a:ln w="9525">
                            <a:noFill/>
                          </a:ln>
                        </wps:spPr>
                        <wps:txbx>
                          <w:txbxContent>
                            <w:p w:rsidR="00716768" w:rsidRDefault="00716768" w:rsidP="00716768">
                              <w:pPr>
                                <w:pStyle w:val="NormalWeb"/>
                                <w:spacing w:before="0" w:beforeAutospacing="0" w:after="0" w:afterAutospacing="0"/>
                              </w:pPr>
                              <w:r>
                                <w:rPr>
                                  <w:rFonts w:asciiTheme="minorHAnsi" w:hAnsi="Calibri" w:cstheme="minorBidi"/>
                                  <w:color w:val="000000" w:themeColor="text1"/>
                                  <w:kern w:val="24"/>
                                  <w:sz w:val="20"/>
                                  <w:szCs w:val="20"/>
                                </w:rPr>
                                <w:t>Studies that estimate a broad range of possible responses are still</w:t>
                              </w:r>
                            </w:p>
                            <w:p w:rsidR="00716768" w:rsidRDefault="00716768" w:rsidP="00716768">
                              <w:pPr>
                                <w:pStyle w:val="NormalWeb"/>
                                <w:spacing w:before="0" w:beforeAutospacing="0" w:after="0" w:afterAutospacing="0"/>
                              </w:pPr>
                              <w:proofErr w:type="gramStart"/>
                              <w:r>
                                <w:rPr>
                                  <w:rFonts w:asciiTheme="minorHAnsi" w:hAnsi="Calibri" w:cstheme="minorBidi"/>
                                  <w:color w:val="000000" w:themeColor="text1"/>
                                  <w:kern w:val="24"/>
                                  <w:sz w:val="20"/>
                                  <w:szCs w:val="20"/>
                                </w:rPr>
                                <w:t>informative</w:t>
                              </w:r>
                              <w:proofErr w:type="gramEnd"/>
                              <w:r>
                                <w:rPr>
                                  <w:rFonts w:asciiTheme="minorHAnsi" w:hAnsi="Calibri" w:cstheme="minorBidi"/>
                                  <w:color w:val="000000" w:themeColor="text1"/>
                                  <w:kern w:val="24"/>
                                  <w:sz w:val="20"/>
                                  <w:szCs w:val="20"/>
                                </w:rPr>
                                <w:t>, but can suggest a higher degree of uncertainty for</w:t>
                              </w:r>
                            </w:p>
                            <w:p w:rsidR="00716768" w:rsidRDefault="00716768" w:rsidP="00716768">
                              <w:pPr>
                                <w:pStyle w:val="NormalWeb"/>
                                <w:spacing w:before="0" w:beforeAutospacing="0" w:after="0" w:afterAutospacing="0"/>
                              </w:pPr>
                              <w:proofErr w:type="gramStart"/>
                              <w:r>
                                <w:rPr>
                                  <w:rFonts w:asciiTheme="minorHAnsi" w:hAnsi="Calibri" w:cstheme="minorBidi"/>
                                  <w:color w:val="000000" w:themeColor="text1"/>
                                  <w:kern w:val="24"/>
                                  <w:sz w:val="20"/>
                                  <w:szCs w:val="20"/>
                                </w:rPr>
                                <w:t>a</w:t>
                              </w:r>
                              <w:proofErr w:type="gramEnd"/>
                              <w:r>
                                <w:rPr>
                                  <w:rFonts w:asciiTheme="minorHAnsi" w:hAnsi="Calibri" w:cstheme="minorBidi"/>
                                  <w:color w:val="000000" w:themeColor="text1"/>
                                  <w:kern w:val="24"/>
                                  <w:sz w:val="20"/>
                                  <w:szCs w:val="20"/>
                                </w:rPr>
                                <w:t xml:space="preserve"> costing.  In such cases we look to provide sensitivity analysis</w:t>
                              </w:r>
                            </w:p>
                            <w:p w:rsidR="00716768" w:rsidRDefault="00716768" w:rsidP="00716768">
                              <w:pPr>
                                <w:pStyle w:val="NormalWeb"/>
                                <w:spacing w:before="0" w:beforeAutospacing="0" w:after="0" w:afterAutospacing="0"/>
                              </w:pPr>
                              <w:proofErr w:type="gramStart"/>
                              <w:r>
                                <w:rPr>
                                  <w:rFonts w:asciiTheme="minorHAnsi" w:hAnsi="Calibri" w:cstheme="minorBidi"/>
                                  <w:color w:val="000000" w:themeColor="text1"/>
                                  <w:kern w:val="24"/>
                                  <w:sz w:val="20"/>
                                  <w:szCs w:val="20"/>
                                </w:rPr>
                                <w:t>around</w:t>
                              </w:r>
                              <w:proofErr w:type="gramEnd"/>
                              <w:r>
                                <w:rPr>
                                  <w:rFonts w:asciiTheme="minorHAnsi" w:hAnsi="Calibri" w:cstheme="minorBidi"/>
                                  <w:color w:val="000000" w:themeColor="text1"/>
                                  <w:kern w:val="24"/>
                                  <w:sz w:val="20"/>
                                  <w:szCs w:val="20"/>
                                </w:rPr>
                                <w:t xml:space="preserve"> the behavioural assumption and its impact on the costing.</w:t>
                              </w:r>
                            </w:p>
                          </w:txbxContent>
                        </wps:txbx>
                        <wps:bodyPr wrap="square" lIns="108000" tIns="36000" rIns="108000" bIns="36000" rtlCol="0" anchor="ctr" anchorCtr="0">
                          <a:noAutofit/>
                        </wps:bodyPr>
                      </wps:wsp>
                      <wps:wsp>
                        <wps:cNvPr id="172" name="TextBox 22"/>
                        <wps:cNvSpPr txBox="1"/>
                        <wps:spPr>
                          <a:xfrm>
                            <a:off x="121721" y="1771562"/>
                            <a:ext cx="1495034" cy="726011"/>
                          </a:xfrm>
                          <a:prstGeom prst="rect">
                            <a:avLst/>
                          </a:prstGeom>
                          <a:noFill/>
                          <a:ln w="9525">
                            <a:noFill/>
                          </a:ln>
                        </wps:spPr>
                        <wps:txbx>
                          <w:txbxContent>
                            <w:p w:rsidR="00716768" w:rsidRDefault="00716768" w:rsidP="00716768">
                              <w:pPr>
                                <w:pStyle w:val="NormalWeb"/>
                                <w:spacing w:before="0" w:beforeAutospacing="0" w:after="0" w:afterAutospacing="0"/>
                                <w:jc w:val="center"/>
                              </w:pPr>
                              <w:r>
                                <w:rPr>
                                  <w:rFonts w:asciiTheme="minorHAnsi" w:hAnsi="Calibri" w:cstheme="minorBidi"/>
                                  <w:color w:val="FFFFFF" w:themeColor="background1"/>
                                  <w:kern w:val="24"/>
                                  <w:sz w:val="20"/>
                                  <w:szCs w:val="20"/>
                                </w:rPr>
                                <w:t>Is the behavioural</w:t>
                              </w:r>
                            </w:p>
                            <w:p w:rsidR="00716768" w:rsidRDefault="00716768" w:rsidP="00716768">
                              <w:pPr>
                                <w:pStyle w:val="NormalWeb"/>
                                <w:spacing w:before="0" w:beforeAutospacing="0" w:after="0" w:afterAutospacing="0"/>
                                <w:jc w:val="center"/>
                              </w:pPr>
                              <w:proofErr w:type="gramStart"/>
                              <w:r>
                                <w:rPr>
                                  <w:rFonts w:asciiTheme="minorHAnsi" w:hAnsi="Calibri" w:cstheme="minorBidi"/>
                                  <w:color w:val="FFFFFF" w:themeColor="background1"/>
                                  <w:kern w:val="24"/>
                                  <w:sz w:val="20"/>
                                  <w:szCs w:val="20"/>
                                </w:rPr>
                                <w:t>response</w:t>
                              </w:r>
                              <w:proofErr w:type="gramEnd"/>
                              <w:r>
                                <w:rPr>
                                  <w:rFonts w:asciiTheme="minorHAnsi" w:hAnsi="Calibri" w:cstheme="minorBidi"/>
                                  <w:color w:val="FFFFFF" w:themeColor="background1"/>
                                  <w:kern w:val="24"/>
                                  <w:sz w:val="20"/>
                                  <w:szCs w:val="20"/>
                                </w:rPr>
                                <w:t xml:space="preserve"> estimated with a</w:t>
                              </w:r>
                            </w:p>
                            <w:p w:rsidR="00716768" w:rsidRDefault="00716768" w:rsidP="00716768">
                              <w:pPr>
                                <w:pStyle w:val="NormalWeb"/>
                                <w:spacing w:before="0" w:beforeAutospacing="0" w:after="0" w:afterAutospacing="0"/>
                                <w:jc w:val="center"/>
                              </w:pPr>
                              <w:proofErr w:type="gramStart"/>
                              <w:r>
                                <w:rPr>
                                  <w:rFonts w:asciiTheme="minorHAnsi" w:hAnsi="Calibri" w:cstheme="minorBidi"/>
                                  <w:color w:val="FFFFFF" w:themeColor="background1"/>
                                  <w:kern w:val="24"/>
                                  <w:sz w:val="20"/>
                                  <w:szCs w:val="20"/>
                                </w:rPr>
                                <w:t>high</w:t>
                              </w:r>
                              <w:proofErr w:type="gramEnd"/>
                              <w:r>
                                <w:rPr>
                                  <w:rFonts w:asciiTheme="minorHAnsi" w:hAnsi="Calibri" w:cstheme="minorBidi"/>
                                  <w:color w:val="FFFFFF" w:themeColor="background1"/>
                                  <w:kern w:val="24"/>
                                  <w:sz w:val="20"/>
                                  <w:szCs w:val="20"/>
                                </w:rPr>
                                <w:t xml:space="preserve"> degree of precision?</w:t>
                              </w:r>
                            </w:p>
                          </w:txbxContent>
                        </wps:txbx>
                        <wps:bodyPr wrap="square" lIns="36000" tIns="36000" rIns="36000" bIns="36000" rtlCol="0" anchor="ctr" anchorCtr="0">
                          <a:noAutofit/>
                        </wps:bodyPr>
                      </wps:wsp>
                      <wps:wsp>
                        <wps:cNvPr id="173" name="Rectangle 173"/>
                        <wps:cNvSpPr/>
                        <wps:spPr>
                          <a:xfrm>
                            <a:off x="1694865" y="2658063"/>
                            <a:ext cx="4004666" cy="726174"/>
                          </a:xfrm>
                          <a:prstGeom prst="rect">
                            <a:avLst/>
                          </a:prstGeom>
                          <a:solidFill>
                            <a:schemeClr val="bg1"/>
                          </a:solidFill>
                          <a:ln>
                            <a:noFill/>
                          </a:ln>
                          <a:effectLst>
                            <a:outerShdw blurRad="50800" dist="38100" dir="16200000" rotWithShape="0">
                              <a:schemeClr val="bg1">
                                <a:lumMod val="75000"/>
                                <a:alpha val="40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4" name="Rectangle 174"/>
                        <wps:cNvSpPr/>
                        <wps:spPr>
                          <a:xfrm>
                            <a:off x="1689246" y="3544042"/>
                            <a:ext cx="4004666" cy="726174"/>
                          </a:xfrm>
                          <a:prstGeom prst="rect">
                            <a:avLst/>
                          </a:prstGeom>
                          <a:solidFill>
                            <a:schemeClr val="bg1"/>
                          </a:solidFill>
                          <a:ln>
                            <a:noFill/>
                          </a:ln>
                          <a:effectLst>
                            <a:outerShdw blurRad="50800" dist="38100" dir="16200000" rotWithShape="0">
                              <a:schemeClr val="bg1">
                                <a:lumMod val="75000"/>
                                <a:alpha val="40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5" name="Rectangle 175"/>
                        <wps:cNvSpPr/>
                        <wps:spPr>
                          <a:xfrm>
                            <a:off x="1694865" y="2658063"/>
                            <a:ext cx="4004666" cy="726174"/>
                          </a:xfrm>
                          <a:prstGeom prst="rect">
                            <a:avLst/>
                          </a:prstGeom>
                          <a:solidFill>
                            <a:schemeClr val="bg1"/>
                          </a:solidFill>
                          <a:ln>
                            <a:noFill/>
                          </a:ln>
                          <a:effectLst>
                            <a:outerShdw blurRad="50800" dist="38100" dir="2700000" algn="tl" rotWithShape="0">
                              <a:schemeClr val="bg1">
                                <a:lumMod val="65000"/>
                                <a:alpha val="40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6" name="Rectangle 176"/>
                        <wps:cNvSpPr/>
                        <wps:spPr>
                          <a:xfrm>
                            <a:off x="1689246" y="3544042"/>
                            <a:ext cx="4004666" cy="726174"/>
                          </a:xfrm>
                          <a:prstGeom prst="rect">
                            <a:avLst/>
                          </a:prstGeom>
                          <a:solidFill>
                            <a:schemeClr val="bg1"/>
                          </a:solidFill>
                          <a:ln>
                            <a:noFill/>
                          </a:ln>
                          <a:effectLst>
                            <a:outerShdw blurRad="50800" dist="38100" dir="2700000" algn="tl" rotWithShape="0">
                              <a:schemeClr val="bg1">
                                <a:lumMod val="65000"/>
                                <a:alpha val="40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7" name="Pentagon 177"/>
                        <wps:cNvSpPr/>
                        <wps:spPr>
                          <a:xfrm>
                            <a:off x="0" y="2650659"/>
                            <a:ext cx="1905269" cy="726174"/>
                          </a:xfrm>
                          <a:prstGeom prst="homePlate">
                            <a:avLst>
                              <a:gd name="adj" fmla="val 30438"/>
                            </a:avLst>
                          </a:prstGeom>
                          <a:solidFill>
                            <a:srgbClr val="8695C4"/>
                          </a:solidFill>
                          <a:ln>
                            <a:noFill/>
                          </a:ln>
                          <a:effectLst>
                            <a:outerShdw blurRad="50800" dist="38100" dir="5400000" algn="t" rotWithShape="0">
                              <a:schemeClr val="bg1">
                                <a:lumMod val="65000"/>
                                <a:alpha val="40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8" name="Pentagon 178"/>
                        <wps:cNvSpPr/>
                        <wps:spPr>
                          <a:xfrm>
                            <a:off x="0" y="3544042"/>
                            <a:ext cx="1905269" cy="726174"/>
                          </a:xfrm>
                          <a:prstGeom prst="homePlate">
                            <a:avLst>
                              <a:gd name="adj" fmla="val 30438"/>
                            </a:avLst>
                          </a:prstGeom>
                          <a:solidFill>
                            <a:srgbClr val="B1BBD9"/>
                          </a:solidFill>
                          <a:ln>
                            <a:noFill/>
                          </a:ln>
                          <a:effectLst>
                            <a:outerShdw blurRad="50800" dist="38100" dir="5400000" algn="t" rotWithShape="0">
                              <a:schemeClr val="bg1">
                                <a:lumMod val="65000"/>
                                <a:alpha val="40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9" name="TextBox 35"/>
                        <wps:cNvSpPr txBox="1"/>
                        <wps:spPr>
                          <a:xfrm>
                            <a:off x="2049015" y="2657767"/>
                            <a:ext cx="3688179" cy="725339"/>
                          </a:xfrm>
                          <a:prstGeom prst="rect">
                            <a:avLst/>
                          </a:prstGeom>
                          <a:noFill/>
                          <a:ln w="9525">
                            <a:noFill/>
                          </a:ln>
                        </wps:spPr>
                        <wps:txbx>
                          <w:txbxContent>
                            <w:p w:rsidR="00716768" w:rsidRDefault="00716768" w:rsidP="00716768">
                              <w:pPr>
                                <w:pStyle w:val="NormalWeb"/>
                                <w:spacing w:before="0" w:beforeAutospacing="0" w:after="0" w:afterAutospacing="0"/>
                              </w:pPr>
                              <w:r>
                                <w:rPr>
                                  <w:rFonts w:asciiTheme="minorHAnsi" w:hAnsi="Calibri" w:cstheme="minorBidi"/>
                                  <w:color w:val="000000" w:themeColor="text1"/>
                                  <w:kern w:val="24"/>
                                  <w:sz w:val="20"/>
                                  <w:szCs w:val="20"/>
                                </w:rPr>
                                <w:t>For instance, some commissioned research may not be</w:t>
                              </w:r>
                            </w:p>
                            <w:p w:rsidR="00716768" w:rsidRDefault="00716768" w:rsidP="00716768">
                              <w:pPr>
                                <w:pStyle w:val="NormalWeb"/>
                                <w:spacing w:before="0" w:beforeAutospacing="0" w:after="0" w:afterAutospacing="0"/>
                              </w:pPr>
                              <w:proofErr w:type="gramStart"/>
                              <w:r>
                                <w:rPr>
                                  <w:rFonts w:asciiTheme="minorHAnsi" w:hAnsi="Calibri" w:cstheme="minorBidi"/>
                                  <w:color w:val="000000" w:themeColor="text1"/>
                                  <w:kern w:val="24"/>
                                  <w:sz w:val="20"/>
                                  <w:szCs w:val="20"/>
                                </w:rPr>
                                <w:t>independent</w:t>
                              </w:r>
                              <w:proofErr w:type="gramEnd"/>
                              <w:r>
                                <w:rPr>
                                  <w:rFonts w:asciiTheme="minorHAnsi" w:hAnsi="Calibri" w:cstheme="minorBidi"/>
                                  <w:color w:val="000000" w:themeColor="text1"/>
                                  <w:kern w:val="24"/>
                                  <w:sz w:val="20"/>
                                  <w:szCs w:val="20"/>
                                </w:rPr>
                                <w:t xml:space="preserve"> and would generally be treated with</w:t>
                              </w:r>
                            </w:p>
                            <w:p w:rsidR="00716768" w:rsidRDefault="00716768" w:rsidP="00716768">
                              <w:pPr>
                                <w:pStyle w:val="NormalWeb"/>
                                <w:spacing w:before="0" w:beforeAutospacing="0" w:after="0" w:afterAutospacing="0"/>
                              </w:pPr>
                              <w:proofErr w:type="gramStart"/>
                              <w:r>
                                <w:rPr>
                                  <w:rFonts w:asciiTheme="minorHAnsi" w:hAnsi="Calibri" w:cstheme="minorBidi"/>
                                  <w:color w:val="000000" w:themeColor="text1"/>
                                  <w:kern w:val="24"/>
                                  <w:sz w:val="20"/>
                                  <w:szCs w:val="20"/>
                                </w:rPr>
                                <w:t>caution</w:t>
                              </w:r>
                              <w:proofErr w:type="gramEnd"/>
                              <w:r>
                                <w:rPr>
                                  <w:rFonts w:asciiTheme="minorHAnsi" w:hAnsi="Calibri" w:cstheme="minorBidi"/>
                                  <w:color w:val="000000" w:themeColor="text1"/>
                                  <w:kern w:val="24"/>
                                  <w:sz w:val="20"/>
                                  <w:szCs w:val="20"/>
                                </w:rPr>
                                <w:t xml:space="preserve"> as evidence of a particular behavioural response.</w:t>
                              </w:r>
                            </w:p>
                          </w:txbxContent>
                        </wps:txbx>
                        <wps:bodyPr wrap="square" lIns="108000" tIns="36000" rIns="108000" bIns="36000" rtlCol="0" anchor="ctr" anchorCtr="0">
                          <a:noAutofit/>
                        </wps:bodyPr>
                      </wps:wsp>
                      <wps:wsp>
                        <wps:cNvPr id="180" name="TextBox 36"/>
                        <wps:cNvSpPr txBox="1"/>
                        <wps:spPr>
                          <a:xfrm>
                            <a:off x="121721" y="2650069"/>
                            <a:ext cx="1495034" cy="726387"/>
                          </a:xfrm>
                          <a:prstGeom prst="rect">
                            <a:avLst/>
                          </a:prstGeom>
                          <a:noFill/>
                          <a:ln w="9525">
                            <a:noFill/>
                          </a:ln>
                        </wps:spPr>
                        <wps:txbx>
                          <w:txbxContent>
                            <w:p w:rsidR="00716768" w:rsidRDefault="00716768" w:rsidP="00716768">
                              <w:pPr>
                                <w:pStyle w:val="NormalWeb"/>
                                <w:spacing w:before="0" w:beforeAutospacing="0" w:after="0" w:afterAutospacing="0"/>
                                <w:jc w:val="center"/>
                              </w:pPr>
                              <w:r>
                                <w:rPr>
                                  <w:rFonts w:asciiTheme="minorHAnsi" w:hAnsi="Calibri" w:cstheme="minorBidi"/>
                                  <w:color w:val="FFFFFF" w:themeColor="background1"/>
                                  <w:kern w:val="24"/>
                                  <w:sz w:val="20"/>
                                  <w:szCs w:val="20"/>
                                </w:rPr>
                                <w:t>Is there any reason</w:t>
                              </w:r>
                            </w:p>
                            <w:p w:rsidR="00716768" w:rsidRDefault="00716768" w:rsidP="00716768">
                              <w:pPr>
                                <w:pStyle w:val="NormalWeb"/>
                                <w:spacing w:before="0" w:beforeAutospacing="0" w:after="0" w:afterAutospacing="0"/>
                                <w:jc w:val="center"/>
                              </w:pPr>
                              <w:proofErr w:type="gramStart"/>
                              <w:r>
                                <w:rPr>
                                  <w:rFonts w:asciiTheme="minorHAnsi" w:hAnsi="Calibri" w:cstheme="minorBidi"/>
                                  <w:color w:val="FFFFFF" w:themeColor="background1"/>
                                  <w:kern w:val="24"/>
                                  <w:sz w:val="20"/>
                                  <w:szCs w:val="20"/>
                                </w:rPr>
                                <w:t>to</w:t>
                              </w:r>
                              <w:proofErr w:type="gramEnd"/>
                              <w:r>
                                <w:rPr>
                                  <w:rFonts w:asciiTheme="minorHAnsi" w:hAnsi="Calibri" w:cstheme="minorBidi"/>
                                  <w:color w:val="FFFFFF" w:themeColor="background1"/>
                                  <w:kern w:val="24"/>
                                  <w:sz w:val="20"/>
                                  <w:szCs w:val="20"/>
                                </w:rPr>
                                <w:t xml:space="preserve"> be sceptical of</w:t>
                              </w:r>
                            </w:p>
                            <w:p w:rsidR="00716768" w:rsidRDefault="00716768" w:rsidP="00716768">
                              <w:pPr>
                                <w:pStyle w:val="NormalWeb"/>
                                <w:spacing w:before="0" w:beforeAutospacing="0" w:after="0" w:afterAutospacing="0"/>
                                <w:jc w:val="center"/>
                              </w:pPr>
                              <w:proofErr w:type="gramStart"/>
                              <w:r>
                                <w:rPr>
                                  <w:rFonts w:asciiTheme="minorHAnsi" w:hAnsi="Calibri" w:cstheme="minorBidi"/>
                                  <w:color w:val="FFFFFF" w:themeColor="background1"/>
                                  <w:kern w:val="24"/>
                                  <w:sz w:val="20"/>
                                  <w:szCs w:val="20"/>
                                </w:rPr>
                                <w:t>the</w:t>
                              </w:r>
                              <w:proofErr w:type="gramEnd"/>
                              <w:r>
                                <w:rPr>
                                  <w:rFonts w:asciiTheme="minorHAnsi" w:hAnsi="Calibri" w:cstheme="minorBidi"/>
                                  <w:color w:val="FFFFFF" w:themeColor="background1"/>
                                  <w:kern w:val="24"/>
                                  <w:sz w:val="20"/>
                                  <w:szCs w:val="20"/>
                                </w:rPr>
                                <w:t xml:space="preserve"> methodology?</w:t>
                              </w:r>
                            </w:p>
                          </w:txbxContent>
                        </wps:txbx>
                        <wps:bodyPr wrap="square" lIns="36000" tIns="36000" rIns="36000" bIns="36000" rtlCol="0" anchor="ctr" anchorCtr="0">
                          <a:noAutofit/>
                        </wps:bodyPr>
                      </wps:wsp>
                      <wps:wsp>
                        <wps:cNvPr id="181" name="TextBox 37"/>
                        <wps:cNvSpPr txBox="1"/>
                        <wps:spPr>
                          <a:xfrm>
                            <a:off x="2049076" y="3543252"/>
                            <a:ext cx="3688179" cy="726488"/>
                          </a:xfrm>
                          <a:prstGeom prst="rect">
                            <a:avLst/>
                          </a:prstGeom>
                          <a:noFill/>
                          <a:ln w="9525">
                            <a:noFill/>
                          </a:ln>
                        </wps:spPr>
                        <wps:txbx>
                          <w:txbxContent>
                            <w:p w:rsidR="00716768" w:rsidRDefault="00716768" w:rsidP="00716768">
                              <w:pPr>
                                <w:pStyle w:val="NormalWeb"/>
                                <w:spacing w:before="0" w:beforeAutospacing="0" w:after="0" w:afterAutospacing="0"/>
                              </w:pPr>
                              <w:r>
                                <w:rPr>
                                  <w:rFonts w:asciiTheme="minorHAnsi" w:hAnsi="Calibri" w:cstheme="minorBidi"/>
                                  <w:color w:val="000000" w:themeColor="text1"/>
                                  <w:kern w:val="24"/>
                                  <w:sz w:val="20"/>
                                  <w:szCs w:val="20"/>
                                </w:rPr>
                                <w:t>A collective body of evidence is always more reliable than</w:t>
                              </w:r>
                            </w:p>
                            <w:p w:rsidR="00716768" w:rsidRDefault="00716768" w:rsidP="00716768">
                              <w:pPr>
                                <w:pStyle w:val="NormalWeb"/>
                                <w:spacing w:before="0" w:beforeAutospacing="0" w:after="0" w:afterAutospacing="0"/>
                              </w:pPr>
                              <w:proofErr w:type="gramStart"/>
                              <w:r>
                                <w:rPr>
                                  <w:rFonts w:asciiTheme="minorHAnsi" w:hAnsi="Calibri" w:cstheme="minorBidi"/>
                                  <w:color w:val="000000" w:themeColor="text1"/>
                                  <w:kern w:val="24"/>
                                  <w:sz w:val="20"/>
                                  <w:szCs w:val="20"/>
                                </w:rPr>
                                <w:t>a</w:t>
                              </w:r>
                              <w:proofErr w:type="gramEnd"/>
                              <w:r>
                                <w:rPr>
                                  <w:rFonts w:asciiTheme="minorHAnsi" w:hAnsi="Calibri" w:cstheme="minorBidi"/>
                                  <w:color w:val="000000" w:themeColor="text1"/>
                                  <w:kern w:val="24"/>
                                  <w:sz w:val="20"/>
                                  <w:szCs w:val="20"/>
                                </w:rPr>
                                <w:t xml:space="preserve"> single study.  As such, we look to see if the results</w:t>
                              </w:r>
                            </w:p>
                            <w:p w:rsidR="00716768" w:rsidRDefault="00716768" w:rsidP="00716768">
                              <w:pPr>
                                <w:pStyle w:val="NormalWeb"/>
                                <w:spacing w:before="0" w:beforeAutospacing="0" w:after="0" w:afterAutospacing="0"/>
                              </w:pPr>
                              <w:proofErr w:type="gramStart"/>
                              <w:r>
                                <w:rPr>
                                  <w:rFonts w:asciiTheme="minorHAnsi" w:hAnsi="Calibri" w:cstheme="minorBidi"/>
                                  <w:color w:val="000000" w:themeColor="text1"/>
                                  <w:kern w:val="24"/>
                                  <w:sz w:val="20"/>
                                  <w:szCs w:val="20"/>
                                </w:rPr>
                                <w:t>of</w:t>
                              </w:r>
                              <w:proofErr w:type="gramEnd"/>
                              <w:r>
                                <w:rPr>
                                  <w:rFonts w:asciiTheme="minorHAnsi" w:hAnsi="Calibri" w:cstheme="minorBidi"/>
                                  <w:color w:val="000000" w:themeColor="text1"/>
                                  <w:kern w:val="24"/>
                                  <w:sz w:val="20"/>
                                  <w:szCs w:val="20"/>
                                </w:rPr>
                                <w:t xml:space="preserve"> a particular study are consistent with others.</w:t>
                              </w:r>
                            </w:p>
                          </w:txbxContent>
                        </wps:txbx>
                        <wps:bodyPr wrap="square" lIns="108000" tIns="36000" rIns="108000" bIns="36000" rtlCol="0" anchor="ctr" anchorCtr="0">
                          <a:noAutofit/>
                        </wps:bodyPr>
                      </wps:wsp>
                      <wps:wsp>
                        <wps:cNvPr id="182" name="TextBox 38"/>
                        <wps:cNvSpPr txBox="1"/>
                        <wps:spPr>
                          <a:xfrm>
                            <a:off x="121721" y="3543252"/>
                            <a:ext cx="1495034" cy="726488"/>
                          </a:xfrm>
                          <a:prstGeom prst="rect">
                            <a:avLst/>
                          </a:prstGeom>
                          <a:noFill/>
                          <a:ln w="9525">
                            <a:noFill/>
                          </a:ln>
                        </wps:spPr>
                        <wps:txbx>
                          <w:txbxContent>
                            <w:p w:rsidR="00716768" w:rsidRPr="00716768" w:rsidRDefault="00716768" w:rsidP="00716768">
                              <w:pPr>
                                <w:pStyle w:val="NormalWeb"/>
                                <w:spacing w:before="0" w:beforeAutospacing="0" w:after="0" w:afterAutospacing="0"/>
                                <w:jc w:val="center"/>
                                <w:rPr>
                                  <w:color w:val="FFFFFF" w:themeColor="background1"/>
                                </w:rPr>
                              </w:pPr>
                              <w:r w:rsidRPr="00716768">
                                <w:rPr>
                                  <w:rFonts w:asciiTheme="minorHAnsi" w:hAnsi="Calibri" w:cstheme="minorBidi"/>
                                  <w:color w:val="FFFFFF" w:themeColor="background1"/>
                                  <w:kern w:val="24"/>
                                  <w:sz w:val="20"/>
                                  <w:szCs w:val="20"/>
                                </w:rPr>
                                <w:t>Is there other</w:t>
                              </w:r>
                            </w:p>
                            <w:p w:rsidR="00716768" w:rsidRPr="00716768" w:rsidRDefault="00716768" w:rsidP="00716768">
                              <w:pPr>
                                <w:pStyle w:val="NormalWeb"/>
                                <w:spacing w:before="0" w:beforeAutospacing="0" w:after="0" w:afterAutospacing="0"/>
                                <w:jc w:val="center"/>
                                <w:rPr>
                                  <w:color w:val="FFFFFF" w:themeColor="background1"/>
                                </w:rPr>
                              </w:pPr>
                              <w:proofErr w:type="gramStart"/>
                              <w:r w:rsidRPr="00716768">
                                <w:rPr>
                                  <w:rFonts w:asciiTheme="minorHAnsi" w:hAnsi="Calibri" w:cstheme="minorBidi"/>
                                  <w:color w:val="FFFFFF" w:themeColor="background1"/>
                                  <w:kern w:val="24"/>
                                  <w:sz w:val="20"/>
                                  <w:szCs w:val="20"/>
                                </w:rPr>
                                <w:t>literature</w:t>
                              </w:r>
                              <w:proofErr w:type="gramEnd"/>
                              <w:r w:rsidRPr="00716768">
                                <w:rPr>
                                  <w:rFonts w:asciiTheme="minorHAnsi" w:hAnsi="Calibri" w:cstheme="minorBidi"/>
                                  <w:color w:val="FFFFFF" w:themeColor="background1"/>
                                  <w:kern w:val="24"/>
                                  <w:sz w:val="20"/>
                                  <w:szCs w:val="20"/>
                                </w:rPr>
                                <w:t xml:space="preserve"> that</w:t>
                              </w:r>
                            </w:p>
                            <w:p w:rsidR="00716768" w:rsidRPr="00716768" w:rsidRDefault="00716768" w:rsidP="00716768">
                              <w:pPr>
                                <w:pStyle w:val="NormalWeb"/>
                                <w:spacing w:before="0" w:beforeAutospacing="0" w:after="0" w:afterAutospacing="0"/>
                                <w:jc w:val="center"/>
                                <w:rPr>
                                  <w:color w:val="FFFFFF" w:themeColor="background1"/>
                                </w:rPr>
                              </w:pPr>
                              <w:proofErr w:type="gramStart"/>
                              <w:r w:rsidRPr="00716768">
                                <w:rPr>
                                  <w:rFonts w:asciiTheme="minorHAnsi" w:hAnsi="Calibri" w:cstheme="minorBidi"/>
                                  <w:color w:val="FFFFFF" w:themeColor="background1"/>
                                  <w:kern w:val="24"/>
                                  <w:sz w:val="20"/>
                                  <w:szCs w:val="20"/>
                                </w:rPr>
                                <w:t>supports</w:t>
                              </w:r>
                              <w:proofErr w:type="gramEnd"/>
                              <w:r w:rsidRPr="00716768">
                                <w:rPr>
                                  <w:rFonts w:asciiTheme="minorHAnsi" w:hAnsi="Calibri" w:cstheme="minorBidi"/>
                                  <w:color w:val="FFFFFF" w:themeColor="background1"/>
                                  <w:kern w:val="24"/>
                                  <w:sz w:val="20"/>
                                  <w:szCs w:val="20"/>
                                </w:rPr>
                                <w:t xml:space="preserve"> the study?</w:t>
                              </w:r>
                            </w:p>
                          </w:txbxContent>
                        </wps:txbx>
                        <wps:bodyPr wrap="square" lIns="36000" tIns="36000" rIns="36000" bIns="36000" rtlCol="0" anchor="ctr" anchorCtr="0">
                          <a:noAutofit/>
                        </wps:bodyPr>
                      </wps:wsp>
                    </wpg:wgp>
                  </a:graphicData>
                </a:graphic>
              </wp:inline>
            </w:drawing>
          </mc:Choice>
          <mc:Fallback>
            <w:pict>
              <v:group id="Group 2" o:spid="_x0000_s1045" style="width:451.75pt;height:336.25pt;mso-position-horizontal-relative:char;mso-position-vertical-relative:line" coordsize="57372,42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">
                <v:rect id="Rectangle 112" o:spid="_x0000_s1046" style="position:absolute;left:16892;width:40047;height:72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RoFcMA&#10;AADcAAAADwAAAGRycy9kb3ducmV2LnhtbERPS2sCMRC+F/wPYQq91azSiqxGKYJtQTzUx57HzbjZ&#10;djNZknTd/ntTELzNx/ec+bK3jejIh9qxgtEwA0FcOl1zpeCwXz9PQYSIrLFxTAr+KMByMXiYY67d&#10;hb+o28VKpBAOOSowMba5lKE0ZDEMXUucuLPzFmOCvpLa4yWF20aOs2wiLdacGgy2tDJU/ux+rYLv&#10;6vhaZH69/Ti9HDpp2vdNsSmUenrs32YgIvXxLr65P3WaPxrD/zPpAr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4RoFcMAAADcAAAADwAAAAAAAAAAAAAAAACYAgAAZHJzL2Rv&#10;d25yZXYueG1sUEsFBgAAAAAEAAQA9QAAAIgDAAAAAA==&#10;" fillcolor="white [3212]" stroked="f" strokeweight="2pt">
                  <v:shadow on="t" color="#bfbfbf [2412]" opacity="26214f" origin=",.5" offset="0,-3pt"/>
                </v:rect>
                <v:rect id="Rectangle 113" o:spid="_x0000_s1047" style="position:absolute;left:16948;top:8859;width:40047;height:72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jNjsMA&#10;AADcAAAADwAAAGRycy9kb3ducmV2LnhtbERPS2sCMRC+C/6HMIXeNGsfUrZGKQVrQTxo7Z6nm+lm&#10;62ayJHFd/70RCt7m43vObNHbRnTkQ+1YwWScgSAuna65UrD/Wo5eQISIrLFxTArOFGAxHw5mmGt3&#10;4i11u1iJFMIhRwUmxjaXMpSGLIaxa4kT9+u8xZigr6T2eErhtpEPWTaVFmtODQZbejdUHnZHq+Cv&#10;+n4uMr/crH6e9p007ce6WBdK3d/1b68gIvXxJv53f+o0f/II12fSBXJ+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jNjsMAAADcAAAADwAAAAAAAAAAAAAAAACYAgAAZHJzL2Rv&#10;d25yZXYueG1sUEsFBgAAAAAEAAQA9QAAAIgDAAAAAA==&#10;" fillcolor="white [3212]" stroked="f" strokeweight="2pt">
                  <v:shadow on="t" color="#bfbfbf [2412]" opacity="26214f" origin=",.5" offset="0,-3pt"/>
                </v:rect>
                <v:rect id="Rectangle 114" o:spid="_x0000_s1048" style="position:absolute;left:16892;top:17719;width:40047;height:72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FV+sMA&#10;AADcAAAADwAAAGRycy9kb3ducmV2LnhtbERPTWsCMRC9C/6HMIXeNKvYIlujFEEriIeq3fN0M91s&#10;u5ksSVy3/94UCt7m8T5nseptIzryoXasYDLOQBCXTtdcKTifNqM5iBCRNTaOScEvBVgth4MF5tpd&#10;+Z26Y6xECuGQowITY5tLGUpDFsPYtcSJ+3LeYkzQV1J7vKZw28hplj1LizWnBoMtrQ2VP8eLVfBd&#10;fTwVmd8c3j5n506adrsv9oVSjw/96wuISH28i//dO53mT2bw90y6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yFV+sMAAADcAAAADwAAAAAAAAAAAAAAAACYAgAAZHJzL2Rv&#10;d25yZXYueG1sUEsFBgAAAAAEAAQA9QAAAIgDAAAAAA==&#10;" fillcolor="white [3212]" stroked="f" strokeweight="2pt">
                  <v:shadow on="t" color="#bfbfbf [2412]" opacity="26214f" origin=",.5" offset="0,-3pt"/>
                </v:rect>
                <v:rect id="Rectangle 115" o:spid="_x0000_s1049" style="position:absolute;left:16892;width:40047;height:72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9TasEA&#10;AADcAAAADwAAAGRycy9kb3ducmV2LnhtbERPzWrCQBC+F3yHZYReim7SVgnRVaSg9NBL1QcYs2M2&#10;mJ0Nu2uSvr1bKPQ2H9/vrLejbUVPPjSOFeTzDARx5XTDtYLzaT8rQISIrLF1TAp+KMB2M3laY6nd&#10;wN/UH2MtUgiHEhWYGLtSylAZshjmriNO3NV5izFBX0vtcUjhtpWvWbaUFhtODQY7+jBU3Y53q0D6&#10;Q1e8oeu/5KBfbL4fi8u7Uep5Ou5WICKN8V/85/7UaX6+gN9n0gVy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PU2rBAAAA3AAAAA8AAAAAAAAAAAAAAAAAmAIAAGRycy9kb3du&#10;cmV2LnhtbFBLBQYAAAAABAAEAPUAAACGAwAAAAA=&#10;" fillcolor="white [3212]" stroked="f" strokeweight="2pt">
                  <v:shadow on="t" color="#a5a5a5 [2092]" opacity="26214f" origin="-.5,-.5" offset=".74836mm,.74836mm"/>
                </v:rect>
                <v:rect id="Rectangle 116" o:spid="_x0000_s1050" style="position:absolute;left:16948;top:8859;width:40047;height:72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3NHcEA&#10;AADcAAAADwAAAGRycy9kb3ducmV2LnhtbERPzWrCQBC+F3yHZQQvRTexRUJ0FREsPfRS9QHG7JgN&#10;ZmfD7jaJb+8WCr3Nx/c7m91oW9GTD41jBfkiA0FcOd1wreByPs4LECEia2wdk4IHBdhtJy8bLLUb&#10;+Jv6U6xFCuFQogITY1dKGSpDFsPCdcSJuzlvMSboa6k9DinctnKZZStpseHUYLCjg6HqfvqxCqT/&#10;6Io3dP2XHPSrzY9jcX03Ss2m434NItIY/8V/7k+d5ucr+H0mXSC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dzR3BAAAA3AAAAA8AAAAAAAAAAAAAAAAAmAIAAGRycy9kb3du&#10;cmV2LnhtbFBLBQYAAAAABAAEAPUAAACGAwAAAAA=&#10;" fillcolor="white [3212]" stroked="f" strokeweight="2pt">
                  <v:shadow on="t" color="#a5a5a5 [2092]" opacity="26214f" origin="-.5,-.5" offset=".74836mm,.74836mm"/>
                </v:rect>
                <v:rect id="Rectangle 162" o:spid="_x0000_s1051" style="position:absolute;left:16892;top:17719;width:40047;height:72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C4Y8EA&#10;AADcAAAADwAAAGRycy9kb3ducmV2LnhtbERPyWrDMBC9F/oPYgK9lEbOgjFOlFACKT3kkuUDptbE&#10;MrFGRlJs9++rQiC3ebx11tvRtqInHxrHCmbTDARx5XTDtYLLef9RgAgRWWPrmBT8UoDt5vVljaV2&#10;Ax+pP8VapBAOJSowMXallKEyZDFMXUecuKvzFmOCvpba45DCbSvnWZZLiw2nBoMd7QxVt9PdKpD+&#10;qysW6PqDHPS7ne3H4mdplHqbjJ8rEJHG+BQ/3N86zc/n8P9MukB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guGPBAAAA3AAAAA8AAAAAAAAAAAAAAAAAmAIAAGRycy9kb3du&#10;cmV2LnhtbFBLBQYAAAAABAAEAPUAAACGAwAAAAA=&#10;" fillcolor="white [3212]" stroked="f" strokeweight="2pt">
                  <v:shadow on="t" color="#a5a5a5 [2092]" opacity="26214f" origin="-.5,-.5" offset=".74836mm,.74836mm"/>
                </v:rect>
                <v:shape id="Pentagon 164" o:spid="_x0000_s1052" type="#_x0000_t15" style="position:absolute;width:19052;height:72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YEycIA&#10;AADcAAAADwAAAGRycy9kb3ducmV2LnhtbERP32vCMBB+F/Y/hBv4pmmHdFKNsg02RHAwt70fzdkU&#10;m0vbRNv+92Yw8O0+vp+33g62FlfqfOVYQTpPQBAXTldcKvj5fp8tQfiArLF2TApG8rDdPEzWmGvX&#10;8xddj6EUMYR9jgpMCE0upS8MWfRz1xBH7uQ6iyHCrpS6wz6G21o+JUkmLVYcGww29GaoOB8vVsHH&#10;oR1/uW+Wr3zRz2b/eWpTJ5WaPg4vKxCBhnAX/7t3Os7PFvD3TLxAb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lgTJwgAAANwAAAAPAAAAAAAAAAAAAAAAAJgCAABkcnMvZG93&#10;bnJldi54bWxQSwUGAAAAAAQABAD1AAAAhwMAAAAA&#10;" adj="19094" fillcolor="#2e3a5e" stroked="f" strokeweight="2pt">
                  <v:shadow on="t" color="#a5a5a5 [2092]" opacity="26214f" origin=",-.5" offset="0,3pt"/>
                </v:shape>
                <v:shape id="Pentagon 165" o:spid="_x0000_s1053" type="#_x0000_t15" style="position:absolute;top:8785;width:19052;height:72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QQZcgA&#10;AADcAAAADwAAAGRycy9kb3ducmV2LnhtbESP3UrDQBCF7wXfYRmhd3bTosGm3RZRKwUL0h9KL6fZ&#10;aRLMzobdNUl9elcQejfDOd+ZM7NFb2rRkvOVZQWjYQKCOLe64kLBfre8fwLhA7LG2jIpuJCHxfz2&#10;ZoaZth1vqN2GQsQQ9hkqKENoMil9XpJBP7QNcdTO1hkMcXWF1A67GG5qOU6SVBqsOF4osaGXkvKv&#10;7beJNTp7ej+1Y5dODsf1Q/cq3z5+PpUa3PXPUxCB+nA1/9MrHbn0Ef6eiRPI+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VBBlyAAAANwAAAAPAAAAAAAAAAAAAAAAAJgCAABk&#10;cnMvZG93bnJldi54bWxQSwUGAAAAAAQABAD1AAAAjQMAAAAA&#10;" adj="19094" fillcolor="#3d4d7d" stroked="f" strokeweight="2pt">
                  <v:shadow on="t" color="#a5a5a5 [2092]" opacity="26214f" origin=",-.5" offset="0,3pt"/>
                </v:shape>
                <v:shape id="Pentagon 166" o:spid="_x0000_s1054" type="#_x0000_t15" style="position:absolute;top:17719;width:19052;height:72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vkMQA&#10;AADcAAAADwAAAGRycy9kb3ducmV2LnhtbERPW2vCMBR+H+w/hDPYy9B0xQXpjOIGwmAy8AK+Hpqz&#10;ptic1Caznb/eDAa+nY/vemaLwTXiTF2oPWt4HmcgiEtvaq407Her0RREiMgGG8+k4ZcCLOb3dzMs&#10;jO95Q+dtrEQK4VCgBhtjW0gZSksOw9i3xIn79p3DmGBXSdNhn8JdI/MsU9JhzanBYkvvlsrj9sdp&#10;eMkv9rR6Uvazb94on6jD13HNWj8+DMtXEJGGeBP/uz9Mmq8U/D2TLp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b5DEAAAA3AAAAA8AAAAAAAAAAAAAAAAAmAIAAGRycy9k&#10;b3ducmV2LnhtbFBLBQYAAAAABAAEAPUAAACJAwAAAAA=&#10;" adj="19094" fillcolor="#5a70ae" stroked="f" strokeweight="2pt">
                  <v:shadow on="t" color="#a5a5a5 [2092]" opacity="26214f" origin=",-.5" offset="0,3pt"/>
                </v:shape>
                <v:shape id="TextBox 17" o:spid="_x0000_s1055" type="#_x0000_t202" style="position:absolute;left:20490;width:36882;height:7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eIcEA&#10;AADcAAAADwAAAGRycy9kb3ducmV2LnhtbERPzWrCQBC+F3yHZQRvzcYiaUldpVgV8dQmPsCQnSah&#10;2dm4u2p8e1cQvM3H9zvz5WA6cSbnW8sKpkkKgriyuuVawaHcvH6A8AFZY2eZFFzJw3Ixepljru2F&#10;f+lchFrEEPY5KmhC6HMpfdWQQZ/Ynjhyf9YZDBG6WmqHlxhuOvmWppk02HJsaLCnVUPVf3EyCgo6&#10;bNMS1/tiM9sdf9qs3Lvpt1KT8fD1CSLQEJ7ih3un4/zsHe7PxAvk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sXiHBAAAA3AAAAA8AAAAAAAAAAAAAAAAAmAIAAGRycy9kb3du&#10;cmV2LnhtbFBLBQYAAAAABAAEAPUAAACGAwAAAAA=&#10;" filled="f" stroked="f">
                  <v:textbox inset="3mm,1mm,3mm,1mm">
                    <w:txbxContent>
                      <w:p w:rsidR="00716768" w:rsidRDefault="00716768" w:rsidP="00716768">
                        <w:pPr>
                          <w:pStyle w:val="NormalWeb"/>
                          <w:spacing w:before="0" w:beforeAutospacing="0" w:after="0" w:afterAutospacing="0"/>
                        </w:pPr>
                        <w:r>
                          <w:rPr>
                            <w:rFonts w:asciiTheme="minorHAnsi" w:hAnsi="Calibri" w:cstheme="minorBidi"/>
                            <w:color w:val="000000" w:themeColor="text1"/>
                            <w:kern w:val="24"/>
                            <w:sz w:val="20"/>
                            <w:szCs w:val="20"/>
                          </w:rPr>
                          <w:t>If, for example, the study examined the response to a policy</w:t>
                        </w:r>
                      </w:p>
                      <w:p w:rsidR="00716768" w:rsidRDefault="00716768" w:rsidP="00716768">
                        <w:pPr>
                          <w:pStyle w:val="NormalWeb"/>
                          <w:spacing w:before="0" w:beforeAutospacing="0" w:after="0" w:afterAutospacing="0"/>
                        </w:pPr>
                        <w:r>
                          <w:rPr>
                            <w:rFonts w:asciiTheme="minorHAnsi" w:hAnsi="Calibri" w:cstheme="minorBidi"/>
                            <w:color w:val="000000" w:themeColor="text1"/>
                            <w:kern w:val="24"/>
                            <w:sz w:val="20"/>
                            <w:szCs w:val="20"/>
                          </w:rPr>
                          <w:t>of a different scale to the policy proposal being costed, we</w:t>
                        </w:r>
                      </w:p>
                      <w:p w:rsidR="00716768" w:rsidRDefault="00716768" w:rsidP="00716768">
                        <w:pPr>
                          <w:pStyle w:val="NormalWeb"/>
                          <w:spacing w:before="0" w:beforeAutospacing="0" w:after="0" w:afterAutospacing="0"/>
                        </w:pPr>
                        <w:r>
                          <w:rPr>
                            <w:rFonts w:asciiTheme="minorHAnsi" w:hAnsi="Calibri" w:cstheme="minorBidi"/>
                            <w:color w:val="000000" w:themeColor="text1"/>
                            <w:kern w:val="24"/>
                            <w:sz w:val="20"/>
                            <w:szCs w:val="20"/>
                          </w:rPr>
                          <w:t>would consider whether to modify the behavioural response.</w:t>
                        </w:r>
                      </w:p>
                    </w:txbxContent>
                  </v:textbox>
                </v:shape>
                <v:shape id="TextBox 18" o:spid="_x0000_s1056" type="#_x0000_t202" style="position:absolute;left:2213;width:12957;height:7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RDsMA&#10;AADcAAAADwAAAGRycy9kb3ducmV2LnhtbESPQYvCQAyF7wv+hyHC3tapLoh0HUUUYU8rVi97C53Y&#10;VjuZ0hlr9debg+At4b2892W+7F2tOmpD5dnAeJSAIs69rbgwcDxsv2agQkS2WHsmA3cKsFwMPuaY&#10;Wn/jPXVZLJSEcEjRQBljk2od8pIchpFviEU7+dZhlLUttG3xJuGu1pMkmWqHFUtDiQ2tS8ov2dUZ&#10;8N/98e+cXNxjs/nX3Xa3zpy9G/M57Fc/oCL18W1+Xf9awZ8KrTwjE+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RDsMAAADcAAAADwAAAAAAAAAAAAAAAACYAgAAZHJzL2Rv&#10;d25yZXYueG1sUEsFBgAAAAAEAAQA9QAAAIgDAAAAAA==&#10;" filled="f" stroked="f">
                  <v:textbox inset="1mm,1mm,1mm,1mm">
                    <w:txbxContent>
                      <w:p w:rsidR="00716768" w:rsidRDefault="00716768" w:rsidP="00716768">
                        <w:pPr>
                          <w:pStyle w:val="NormalWeb"/>
                          <w:spacing w:before="0" w:beforeAutospacing="0" w:after="0" w:afterAutospacing="0"/>
                          <w:jc w:val="center"/>
                        </w:pPr>
                        <w:r>
                          <w:rPr>
                            <w:rFonts w:asciiTheme="minorHAnsi" w:hAnsi="Calibri" w:cstheme="minorBidi"/>
                            <w:color w:val="FFFFFF" w:themeColor="background1"/>
                            <w:kern w:val="24"/>
                            <w:sz w:val="20"/>
                            <w:szCs w:val="20"/>
                          </w:rPr>
                          <w:t>How similar are</w:t>
                        </w:r>
                      </w:p>
                      <w:p w:rsidR="00716768" w:rsidRDefault="00716768" w:rsidP="00716768">
                        <w:pPr>
                          <w:pStyle w:val="NormalWeb"/>
                          <w:spacing w:before="0" w:beforeAutospacing="0" w:after="0" w:afterAutospacing="0"/>
                          <w:jc w:val="center"/>
                        </w:pPr>
                        <w:r>
                          <w:rPr>
                            <w:rFonts w:asciiTheme="minorHAnsi" w:hAnsi="Calibri" w:cstheme="minorBidi"/>
                            <w:color w:val="FFFFFF" w:themeColor="background1"/>
                            <w:kern w:val="24"/>
                            <w:sz w:val="20"/>
                            <w:szCs w:val="20"/>
                          </w:rPr>
                          <w:t>the policies in</w:t>
                        </w:r>
                      </w:p>
                      <w:p w:rsidR="00716768" w:rsidRDefault="00716768" w:rsidP="00716768">
                        <w:pPr>
                          <w:pStyle w:val="NormalWeb"/>
                          <w:spacing w:before="0" w:beforeAutospacing="0" w:after="0" w:afterAutospacing="0"/>
                          <w:jc w:val="center"/>
                        </w:pPr>
                        <w:r>
                          <w:rPr>
                            <w:rFonts w:asciiTheme="minorHAnsi" w:hAnsi="Calibri" w:cstheme="minorBidi"/>
                            <w:color w:val="FFFFFF" w:themeColor="background1"/>
                            <w:kern w:val="24"/>
                            <w:sz w:val="20"/>
                            <w:szCs w:val="20"/>
                          </w:rPr>
                          <w:t>both scale and scope?</w:t>
                        </w:r>
                      </w:p>
                    </w:txbxContent>
                  </v:textbox>
                </v:shape>
                <v:shape id="TextBox 19" o:spid="_x0000_s1057" type="#_x0000_t202" style="position:absolute;left:20490;top:8857;width:36882;height:7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9vyMEA&#10;AADcAAAADwAAAGRycy9kb3ducmV2LnhtbERPzWrCQBC+F3yHZQRvzcYioU1dpVgV8dQmPsCQnSah&#10;2dm4u2p8e1cQvM3H9zvz5WA6cSbnW8sKpkkKgriyuuVawaHcvL6D8AFZY2eZFFzJw3Ixepljru2F&#10;f+lchFrEEPY5KmhC6HMpfdWQQZ/Ynjhyf9YZDBG6WmqHlxhuOvmWppk02HJsaLCnVUPVf3EyCgo6&#10;bNMS1/tiM9sdf9qs3Lvpt1KT8fD1CSLQEJ7ih3un4/zsA+7PxAvk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b8jBAAAA3AAAAA8AAAAAAAAAAAAAAAAAmAIAAGRycy9kb3du&#10;cmV2LnhtbFBLBQYAAAAABAAEAPUAAACGAwAAAAA=&#10;" filled="f" stroked="f">
                  <v:textbox inset="3mm,1mm,3mm,1mm">
                    <w:txbxContent>
                      <w:p w:rsidR="00716768" w:rsidRDefault="00716768" w:rsidP="00716768">
                        <w:pPr>
                          <w:pStyle w:val="NormalWeb"/>
                          <w:spacing w:before="0" w:beforeAutospacing="0" w:after="0" w:afterAutospacing="0"/>
                        </w:pPr>
                        <w:r>
                          <w:rPr>
                            <w:rFonts w:asciiTheme="minorHAnsi" w:hAnsi="Calibri" w:cstheme="minorBidi"/>
                            <w:color w:val="000000" w:themeColor="text1"/>
                            <w:kern w:val="24"/>
                            <w:sz w:val="20"/>
                            <w:szCs w:val="20"/>
                          </w:rPr>
                          <w:t>We look for similarities in the distribution of incomes,</w:t>
                        </w:r>
                      </w:p>
                      <w:p w:rsidR="00716768" w:rsidRDefault="00716768" w:rsidP="00716768">
                        <w:pPr>
                          <w:pStyle w:val="NormalWeb"/>
                          <w:spacing w:before="0" w:beforeAutospacing="0" w:after="0" w:afterAutospacing="0"/>
                        </w:pPr>
                        <w:r>
                          <w:rPr>
                            <w:rFonts w:asciiTheme="minorHAnsi" w:hAnsi="Calibri" w:cstheme="minorBidi"/>
                            <w:color w:val="000000" w:themeColor="text1"/>
                            <w:kern w:val="24"/>
                            <w:sz w:val="20"/>
                            <w:szCs w:val="20"/>
                          </w:rPr>
                          <w:t>tax rates, and the overall policy environment for the</w:t>
                        </w:r>
                      </w:p>
                      <w:p w:rsidR="00716768" w:rsidRDefault="00716768" w:rsidP="00716768">
                        <w:pPr>
                          <w:pStyle w:val="NormalWeb"/>
                          <w:spacing w:before="0" w:beforeAutospacing="0" w:after="0" w:afterAutospacing="0"/>
                        </w:pPr>
                        <w:proofErr w:type="gramStart"/>
                        <w:r>
                          <w:rPr>
                            <w:rFonts w:asciiTheme="minorHAnsi" w:hAnsi="Calibri" w:cstheme="minorBidi"/>
                            <w:color w:val="000000" w:themeColor="text1"/>
                            <w:kern w:val="24"/>
                            <w:sz w:val="20"/>
                            <w:szCs w:val="20"/>
                          </w:rPr>
                          <w:t>population</w:t>
                        </w:r>
                        <w:proofErr w:type="gramEnd"/>
                        <w:r>
                          <w:rPr>
                            <w:rFonts w:asciiTheme="minorHAnsi" w:hAnsi="Calibri" w:cstheme="minorBidi"/>
                            <w:color w:val="000000" w:themeColor="text1"/>
                            <w:kern w:val="24"/>
                            <w:sz w:val="20"/>
                            <w:szCs w:val="20"/>
                          </w:rPr>
                          <w:t xml:space="preserve"> in the study and the costing population.</w:t>
                        </w:r>
                      </w:p>
                    </w:txbxContent>
                  </v:textbox>
                </v:shape>
                <v:shape id="TextBox 20" o:spid="_x0000_s1058" type="#_x0000_t202" style="position:absolute;left:1217;top:8857;width:14950;height:71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3L1cQA&#10;AADcAAAADwAAAGRycy9kb3ducmV2LnhtbESPQWvCQBCF7wX/wzKCt7pRoZboKqIInixNvXgbsmMS&#10;zc6G7Bpjf33nUPA2w3vz3jfLde9q1VEbKs8GJuMEFHHubcWFgdPP/v0TVIjIFmvPZOBJAdarwdsS&#10;U+sf/E1dFgslIRxSNFDG2KRah7wkh2HsG2LRLr51GGVtC21bfEi4q/U0ST60w4qlocSGtiXlt+zu&#10;DPhZfzpek5v73e3Outt/bTNnn8aMhv1mASpSH1/m/+uDFfy54MszMoF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dy9XEAAAA3AAAAA8AAAAAAAAAAAAAAAAAmAIAAGRycy9k&#10;b3ducmV2LnhtbFBLBQYAAAAABAAEAPUAAACJAwAAAAA=&#10;" filled="f" stroked="f">
                  <v:textbox inset="1mm,1mm,1mm,1mm">
                    <w:txbxContent>
                      <w:p w:rsidR="00716768" w:rsidRDefault="00716768" w:rsidP="00716768">
                        <w:pPr>
                          <w:pStyle w:val="NormalWeb"/>
                          <w:spacing w:before="0" w:beforeAutospacing="0" w:after="0" w:afterAutospacing="0"/>
                          <w:jc w:val="center"/>
                        </w:pPr>
                        <w:r>
                          <w:rPr>
                            <w:rFonts w:asciiTheme="minorHAnsi" w:hAnsi="Calibri" w:cstheme="minorBidi"/>
                            <w:color w:val="FFFFFF" w:themeColor="background1"/>
                            <w:kern w:val="24"/>
                            <w:sz w:val="20"/>
                            <w:szCs w:val="20"/>
                          </w:rPr>
                          <w:t xml:space="preserve">Are those </w:t>
                        </w:r>
                        <w:proofErr w:type="gramStart"/>
                        <w:r>
                          <w:rPr>
                            <w:rFonts w:asciiTheme="minorHAnsi" w:hAnsi="Calibri" w:cstheme="minorBidi"/>
                            <w:color w:val="FFFFFF" w:themeColor="background1"/>
                            <w:kern w:val="24"/>
                            <w:sz w:val="20"/>
                            <w:szCs w:val="20"/>
                          </w:rPr>
                          <w:t>affected</w:t>
                        </w:r>
                        <w:proofErr w:type="gramEnd"/>
                      </w:p>
                      <w:p w:rsidR="00716768" w:rsidRDefault="00716768" w:rsidP="00716768">
                        <w:pPr>
                          <w:pStyle w:val="NormalWeb"/>
                          <w:spacing w:before="0" w:beforeAutospacing="0" w:after="0" w:afterAutospacing="0"/>
                          <w:jc w:val="center"/>
                        </w:pPr>
                        <w:r>
                          <w:rPr>
                            <w:rFonts w:asciiTheme="minorHAnsi" w:hAnsi="Calibri" w:cstheme="minorBidi"/>
                            <w:color w:val="FFFFFF" w:themeColor="background1"/>
                            <w:kern w:val="24"/>
                            <w:sz w:val="20"/>
                            <w:szCs w:val="20"/>
                          </w:rPr>
                          <w:t>by the policy in the study</w:t>
                        </w:r>
                      </w:p>
                      <w:p w:rsidR="00716768" w:rsidRDefault="00716768" w:rsidP="00716768">
                        <w:pPr>
                          <w:pStyle w:val="NormalWeb"/>
                          <w:spacing w:before="0" w:beforeAutospacing="0" w:after="0" w:afterAutospacing="0"/>
                          <w:jc w:val="center"/>
                        </w:pPr>
                        <w:r>
                          <w:rPr>
                            <w:rFonts w:asciiTheme="minorHAnsi" w:hAnsi="Calibri" w:cstheme="minorBidi"/>
                            <w:color w:val="FFFFFF" w:themeColor="background1"/>
                            <w:kern w:val="24"/>
                            <w:sz w:val="20"/>
                            <w:szCs w:val="20"/>
                          </w:rPr>
                          <w:t>broadly representative?</w:t>
                        </w:r>
                      </w:p>
                    </w:txbxContent>
                  </v:textbox>
                </v:shape>
                <v:shape id="TextBox 21" o:spid="_x0000_s1059" type="#_x0000_t202" style="position:absolute;left:20490;top:17697;width:36882;height:72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D1E8EA&#10;AADcAAAADwAAAGRycy9kb3ducmV2LnhtbERPzYrCMBC+C75DGMGbpl1El65RFldFPLmtDzA0s23Z&#10;ZlKTqPXtNwuCt/n4fme57k0rbuR8Y1lBOk1AEJdWN1wpOBe7yTsIH5A1tpZJwYM8rFfDwRIzbe/8&#10;Tbc8VCKGsM9QQR1Cl0npy5oM+qntiCP3Y53BEKGrpHZ4j+GmlW9JMpcGG44NNXa0qan8za9GQU7n&#10;fVLg9pjvZofLqZkXR5d+KTUe9Z8fIAL14SV+ug86zl+k8P9MvE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Q9RPBAAAA3AAAAA8AAAAAAAAAAAAAAAAAmAIAAGRycy9kb3du&#10;cmV2LnhtbFBLBQYAAAAABAAEAPUAAACGAwAAAAA=&#10;" filled="f" stroked="f">
                  <v:textbox inset="3mm,1mm,3mm,1mm">
                    <w:txbxContent>
                      <w:p w:rsidR="00716768" w:rsidRDefault="00716768" w:rsidP="00716768">
                        <w:pPr>
                          <w:pStyle w:val="NormalWeb"/>
                          <w:spacing w:before="0" w:beforeAutospacing="0" w:after="0" w:afterAutospacing="0"/>
                        </w:pPr>
                        <w:r>
                          <w:rPr>
                            <w:rFonts w:asciiTheme="minorHAnsi" w:hAnsi="Calibri" w:cstheme="minorBidi"/>
                            <w:color w:val="000000" w:themeColor="text1"/>
                            <w:kern w:val="24"/>
                            <w:sz w:val="20"/>
                            <w:szCs w:val="20"/>
                          </w:rPr>
                          <w:t>Studies that estimate a broad range of possible responses are still</w:t>
                        </w:r>
                      </w:p>
                      <w:p w:rsidR="00716768" w:rsidRDefault="00716768" w:rsidP="00716768">
                        <w:pPr>
                          <w:pStyle w:val="NormalWeb"/>
                          <w:spacing w:before="0" w:beforeAutospacing="0" w:after="0" w:afterAutospacing="0"/>
                        </w:pPr>
                        <w:r>
                          <w:rPr>
                            <w:rFonts w:asciiTheme="minorHAnsi" w:hAnsi="Calibri" w:cstheme="minorBidi"/>
                            <w:color w:val="000000" w:themeColor="text1"/>
                            <w:kern w:val="24"/>
                            <w:sz w:val="20"/>
                            <w:szCs w:val="20"/>
                          </w:rPr>
                          <w:t>informative, but can suggest a higher degree of uncertainty for</w:t>
                        </w:r>
                      </w:p>
                      <w:p w:rsidR="00716768" w:rsidRDefault="00716768" w:rsidP="00716768">
                        <w:pPr>
                          <w:pStyle w:val="NormalWeb"/>
                          <w:spacing w:before="0" w:beforeAutospacing="0" w:after="0" w:afterAutospacing="0"/>
                        </w:pPr>
                        <w:r>
                          <w:rPr>
                            <w:rFonts w:asciiTheme="minorHAnsi" w:hAnsi="Calibri" w:cstheme="minorBidi"/>
                            <w:color w:val="000000" w:themeColor="text1"/>
                            <w:kern w:val="24"/>
                            <w:sz w:val="20"/>
                            <w:szCs w:val="20"/>
                          </w:rPr>
                          <w:t>a costing.  In such cases we look to provide sensitivity analysis</w:t>
                        </w:r>
                      </w:p>
                      <w:p w:rsidR="00716768" w:rsidRDefault="00716768" w:rsidP="00716768">
                        <w:pPr>
                          <w:pStyle w:val="NormalWeb"/>
                          <w:spacing w:before="0" w:beforeAutospacing="0" w:after="0" w:afterAutospacing="0"/>
                        </w:pPr>
                        <w:r>
                          <w:rPr>
                            <w:rFonts w:asciiTheme="minorHAnsi" w:hAnsi="Calibri" w:cstheme="minorBidi"/>
                            <w:color w:val="000000" w:themeColor="text1"/>
                            <w:kern w:val="24"/>
                            <w:sz w:val="20"/>
                            <w:szCs w:val="20"/>
                          </w:rPr>
                          <w:t>around the behavioural assumption and its impact on the costing.</w:t>
                        </w:r>
                      </w:p>
                    </w:txbxContent>
                  </v:textbox>
                </v:shape>
                <v:shape id="TextBox 22" o:spid="_x0000_s1060" type="#_x0000_t202" style="position:absolute;left:1217;top:17715;width:14950;height:7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PwOcAA&#10;AADcAAAADwAAAGRycy9kb3ducmV2LnhtbERPTYvCMBC9C/6HMII3TVVYl2oUUQRPil0v3oZmbKvN&#10;pDSxVn+9WRC8zeN9znzZmlI0VLvCsoLRMAJBnFpdcKbg9Lcd/IJwHlljaZkUPMnBctHtzDHW9sFH&#10;ahKfiRDCLkYFufdVLKVLczLohrYiDtzF1gZ9gHUmdY2PEG5KOY6iH2mw4NCQY0XrnNJbcjcK7KQ9&#10;7a/Rzbw2m7Nstod1YvRTqX6vXc1AeGr9V/xx73SYPx3D/zPhAr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8PwOcAAAADcAAAADwAAAAAAAAAAAAAAAACYAgAAZHJzL2Rvd25y&#10;ZXYueG1sUEsFBgAAAAAEAAQA9QAAAIUDAAAAAA==&#10;" filled="f" stroked="f">
                  <v:textbox inset="1mm,1mm,1mm,1mm">
                    <w:txbxContent>
                      <w:p w:rsidR="00716768" w:rsidRDefault="00716768" w:rsidP="00716768">
                        <w:pPr>
                          <w:pStyle w:val="NormalWeb"/>
                          <w:spacing w:before="0" w:beforeAutospacing="0" w:after="0" w:afterAutospacing="0"/>
                          <w:jc w:val="center"/>
                        </w:pPr>
                        <w:r>
                          <w:rPr>
                            <w:rFonts w:asciiTheme="minorHAnsi" w:hAnsi="Calibri" w:cstheme="minorBidi"/>
                            <w:color w:val="FFFFFF" w:themeColor="background1"/>
                            <w:kern w:val="24"/>
                            <w:sz w:val="20"/>
                            <w:szCs w:val="20"/>
                          </w:rPr>
                          <w:t>Is the behavioural</w:t>
                        </w:r>
                      </w:p>
                      <w:p w:rsidR="00716768" w:rsidRDefault="00716768" w:rsidP="00716768">
                        <w:pPr>
                          <w:pStyle w:val="NormalWeb"/>
                          <w:spacing w:before="0" w:beforeAutospacing="0" w:after="0" w:afterAutospacing="0"/>
                          <w:jc w:val="center"/>
                        </w:pPr>
                        <w:r>
                          <w:rPr>
                            <w:rFonts w:asciiTheme="minorHAnsi" w:hAnsi="Calibri" w:cstheme="minorBidi"/>
                            <w:color w:val="FFFFFF" w:themeColor="background1"/>
                            <w:kern w:val="24"/>
                            <w:sz w:val="20"/>
                            <w:szCs w:val="20"/>
                          </w:rPr>
                          <w:t>response estimated with a</w:t>
                        </w:r>
                      </w:p>
                      <w:p w:rsidR="00716768" w:rsidRDefault="00716768" w:rsidP="00716768">
                        <w:pPr>
                          <w:pStyle w:val="NormalWeb"/>
                          <w:spacing w:before="0" w:beforeAutospacing="0" w:after="0" w:afterAutospacing="0"/>
                          <w:jc w:val="center"/>
                        </w:pPr>
                        <w:r>
                          <w:rPr>
                            <w:rFonts w:asciiTheme="minorHAnsi" w:hAnsi="Calibri" w:cstheme="minorBidi"/>
                            <w:color w:val="FFFFFF" w:themeColor="background1"/>
                            <w:kern w:val="24"/>
                            <w:sz w:val="20"/>
                            <w:szCs w:val="20"/>
                          </w:rPr>
                          <w:t>high degree of precision?</w:t>
                        </w:r>
                      </w:p>
                    </w:txbxContent>
                  </v:textbox>
                </v:shape>
                <v:rect id="Rectangle 173" o:spid="_x0000_s1061" style="position:absolute;left:16948;top:26580;width:40047;height:72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coLsQA&#10;AADcAAAADwAAAGRycy9kb3ducmV2LnhtbERPTU8CMRC9k/gfmjHhJl1R0awUQkwAE8IBxD2P23G7&#10;sJ1u2rKs/96amHCbl/c503lvG9GRD7VjBfejDARx6XTNlYLDx/LuBUSIyBobx6TghwLMZzeDKeba&#10;XXhH3T5WIoVwyFGBibHNpQylIYth5FrixH07bzEm6CupPV5SuG3kOMsm0mLNqcFgS2+GytP+bBUc&#10;q8+nIvPL7frr8dBJ0642xaZQanjbL15BROrjVfzvftdp/vMD/D2TLp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XKC7EAAAA3AAAAA8AAAAAAAAAAAAAAAAAmAIAAGRycy9k&#10;b3ducmV2LnhtbFBLBQYAAAAABAAEAPUAAACJAwAAAAA=&#10;" fillcolor="white [3212]" stroked="f" strokeweight="2pt">
                  <v:shadow on="t" color="#bfbfbf [2412]" opacity="26214f" origin=",.5" offset="0,-3pt"/>
                </v:rect>
                <v:rect id="Rectangle 174" o:spid="_x0000_s1062" style="position:absolute;left:16892;top:35440;width:40047;height:72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6wWsMA&#10;AADcAAAADwAAAGRycy9kb3ducmV2LnhtbERPTWsCMRC9C/6HMEJvmm3RtmyNIgVbQTxo7Z6nm+lm&#10;62ayJOm6/nsjFHqbx/uc+bK3jejIh9qxgvtJBoK4dLrmSsHxYz1+BhEissbGMSm4UIDlYjiYY67d&#10;mffUHWIlUgiHHBWYGNtcylAashgmriVO3LfzFmOCvpLa4zmF20Y+ZNmjtFhzajDY0quh8nT4tQp+&#10;qs9Zkfn17v1reuykad+2xbZQ6m7Ur15AROrjv/jPvdFp/tMUbs+kC+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6wWsMAAADcAAAADwAAAAAAAAAAAAAAAACYAgAAZHJzL2Rv&#10;d25yZXYueG1sUEsFBgAAAAAEAAQA9QAAAIgDAAAAAA==&#10;" fillcolor="white [3212]" stroked="f" strokeweight="2pt">
                  <v:shadow on="t" color="#bfbfbf [2412]" opacity="26214f" origin=",.5" offset="0,-3pt"/>
                </v:rect>
                <v:rect id="Rectangle 175" o:spid="_x0000_s1063" style="position:absolute;left:16948;top:26580;width:40047;height:72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C2ysIA&#10;AADcAAAADwAAAGRycy9kb3ducmV2LnhtbERPzWrCQBC+F3yHZYReim7sj4boKiJYeuil0QcYs2M2&#10;mJ0Nu2uSvn23UOhtPr7f2exG24qefGgcK1jMMxDEldMN1wrOp+MsBxEissbWMSn4pgC77eRhg4V2&#10;A39RX8ZapBAOBSowMXaFlKEyZDHMXUecuKvzFmOCvpba45DCbSufs2wpLTacGgx2dDBU3cq7VSD9&#10;e5e/oOs/5aCf7OI45pdXo9TjdNyvQUQa47/4z/2h0/zVG/w+ky6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ELbKwgAAANwAAAAPAAAAAAAAAAAAAAAAAJgCAABkcnMvZG93&#10;bnJldi54bWxQSwUGAAAAAAQABAD1AAAAhwMAAAAA&#10;" fillcolor="white [3212]" stroked="f" strokeweight="2pt">
                  <v:shadow on="t" color="#a5a5a5 [2092]" opacity="26214f" origin="-.5,-.5" offset=".74836mm,.74836mm"/>
                </v:rect>
                <v:rect id="Rectangle 176" o:spid="_x0000_s1064" style="position:absolute;left:16892;top:35440;width:40047;height:72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IovcIA&#10;AADcAAAADwAAAGRycy9kb3ducmV2LnhtbERPS2rDMBDdB3IHMYFuQiKnDYlxI5tQSOmim3wOMLWm&#10;lqk1MpJiu7evCoXu5vG+c6gm24mBfGgdK9isMxDEtdMtNwpu19MqBxEissbOMSn4pgBVOZ8dsNBu&#10;5DMNl9iIFMKhQAUmxr6QMtSGLIa164kT9+m8xZigb6T2OKZw28nHLNtJiy2nBoM9vRiqvy53q0D6&#10;1z5/Qje8y1Ev7eY05R9bo9TDYjo+g4g0xX/xn/tNp/n7Hfw+ky6Q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wii9wgAAANwAAAAPAAAAAAAAAAAAAAAAAJgCAABkcnMvZG93&#10;bnJldi54bWxQSwUGAAAAAAQABAD1AAAAhwMAAAAA&#10;" fillcolor="white [3212]" stroked="f" strokeweight="2pt">
                  <v:shadow on="t" color="#a5a5a5 [2092]" opacity="26214f" origin="-.5,-.5" offset=".74836mm,.74836mm"/>
                </v:rect>
                <v:shape id="Pentagon 177" o:spid="_x0000_s1065" type="#_x0000_t15" style="position:absolute;top:26506;width:19052;height:72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gAH78A&#10;AADcAAAADwAAAGRycy9kb3ducmV2LnhtbERPzYrCMBC+C/sOYRb2pukKq1KNIgVZvQhaH2BoxraY&#10;TLpJ1O7bG0HwNh/f7yxWvTXiRj60jhV8jzIQxJXTLdcKTuVmOAMRIrJG45gU/FOA1fJjsMBcuzsf&#10;6HaMtUghHHJU0MTY5VKGqiGLYeQ64sSdnbcYE/S11B7vKdwaOc6yibTYcmposKOioepyvFoFY/uz&#10;84XvrCmrP1P8air3W1Lq67Nfz0FE6uNb/HJvdZo/ncLzmXSBXD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GAAfvwAAANwAAAAPAAAAAAAAAAAAAAAAAJgCAABkcnMvZG93bnJl&#10;di54bWxQSwUGAAAAAAQABAD1AAAAhAMAAAAA&#10;" adj="19094" fillcolor="#8695c4" stroked="f" strokeweight="2pt">
                  <v:shadow on="t" color="#a5a5a5 [2092]" opacity="26214f" origin=",-.5" offset="0,3pt"/>
                </v:shape>
                <v:shape id="Pentagon 178" o:spid="_x0000_s1066" type="#_x0000_t15" style="position:absolute;top:35440;width:19052;height:72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OMNsYA&#10;AADcAAAADwAAAGRycy9kb3ducmV2LnhtbESP0UoDMRBF3wX/IYzQl2KztlBlbVqKKJYitLb7AcNm&#10;3KxuJksS2+3fdx4E32a4d+49s1gNvlMniqkNbOBhUoAiroNtuTFQHd/un0CljGyxC0wGLpRgtby9&#10;WWBpw5k/6XTIjZIQTiUacDn3pdapduQxTUJPLNpXiB6zrLHRNuJZwn2np0Ux1x5blgaHPb04qn8O&#10;v95ArPavVT7OtrOP9913R+1+nNzamNHdsH4GlWnI/+a/640V/EehlWdkAr2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OOMNsYAAADcAAAADwAAAAAAAAAAAAAAAACYAgAAZHJz&#10;L2Rvd25yZXYueG1sUEsFBgAAAAAEAAQA9QAAAIsDAAAAAA==&#10;" adj="19094" fillcolor="#b1bbd9" stroked="f" strokeweight="2pt">
                  <v:shadow on="t" color="#a5a5a5 [2092]" opacity="26214f" origin=",-.5" offset="0,3pt"/>
                </v:shape>
                <v:shape id="TextBox 35" o:spid="_x0000_s1067" type="#_x0000_t202" style="position:absolute;left:20490;top:26577;width:36881;height:72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b5FcIA&#10;AADcAAAADwAAAGRycy9kb3ducmV2LnhtbERPzWrCQBC+F3yHZYTezCalqE3diNRaxJMmPsCQnSah&#10;2dm4u2r69t1Cobf5+H5ntR5NL27kfGdZQZakIIhrqztuFJyr3WwJwgdkjb1lUvBNHtbF5GGFubZ3&#10;PtGtDI2IIexzVNCGMORS+rolgz6xA3HkPq0zGCJ0jdQO7zHc9PIpTefSYMexocWB3lqqv8qrUVDS&#10;+SOt8P1Q7p73l2M3rw4u2yr1OB03ryACjeFf/Ofe6zh/8QK/z8QLZP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5vkVwgAAANwAAAAPAAAAAAAAAAAAAAAAAJgCAABkcnMvZG93&#10;bnJldi54bWxQSwUGAAAAAAQABAD1AAAAhwMAAAAA&#10;" filled="f" stroked="f">
                  <v:textbox inset="3mm,1mm,3mm,1mm">
                    <w:txbxContent>
                      <w:p w:rsidR="00716768" w:rsidRDefault="00716768" w:rsidP="00716768">
                        <w:pPr>
                          <w:pStyle w:val="NormalWeb"/>
                          <w:spacing w:before="0" w:beforeAutospacing="0" w:after="0" w:afterAutospacing="0"/>
                        </w:pPr>
                        <w:r>
                          <w:rPr>
                            <w:rFonts w:asciiTheme="minorHAnsi" w:hAnsi="Calibri" w:cstheme="minorBidi"/>
                            <w:color w:val="000000" w:themeColor="text1"/>
                            <w:kern w:val="24"/>
                            <w:sz w:val="20"/>
                            <w:szCs w:val="20"/>
                          </w:rPr>
                          <w:t>For instance, some commissioned research may not be</w:t>
                        </w:r>
                      </w:p>
                      <w:p w:rsidR="00716768" w:rsidRDefault="00716768" w:rsidP="00716768">
                        <w:pPr>
                          <w:pStyle w:val="NormalWeb"/>
                          <w:spacing w:before="0" w:beforeAutospacing="0" w:after="0" w:afterAutospacing="0"/>
                        </w:pPr>
                        <w:r>
                          <w:rPr>
                            <w:rFonts w:asciiTheme="minorHAnsi" w:hAnsi="Calibri" w:cstheme="minorBidi"/>
                            <w:color w:val="000000" w:themeColor="text1"/>
                            <w:kern w:val="24"/>
                            <w:sz w:val="20"/>
                            <w:szCs w:val="20"/>
                          </w:rPr>
                          <w:t>independent and would generally be treated with</w:t>
                        </w:r>
                      </w:p>
                      <w:p w:rsidR="00716768" w:rsidRDefault="00716768" w:rsidP="00716768">
                        <w:pPr>
                          <w:pStyle w:val="NormalWeb"/>
                          <w:spacing w:before="0" w:beforeAutospacing="0" w:after="0" w:afterAutospacing="0"/>
                        </w:pPr>
                        <w:r>
                          <w:rPr>
                            <w:rFonts w:asciiTheme="minorHAnsi" w:hAnsi="Calibri" w:cstheme="minorBidi"/>
                            <w:color w:val="000000" w:themeColor="text1"/>
                            <w:kern w:val="24"/>
                            <w:sz w:val="20"/>
                            <w:szCs w:val="20"/>
                          </w:rPr>
                          <w:t>caution as evidence of a particular behavioural response.</w:t>
                        </w:r>
                      </w:p>
                    </w:txbxContent>
                  </v:textbox>
                </v:shape>
                <v:shape id="TextBox 36" o:spid="_x0000_s1068" type="#_x0000_t202" style="position:absolute;left:1217;top:26500;width:14950;height:72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i78sMA&#10;AADcAAAADwAAAGRycy9kb3ducmV2LnhtbESPQYvCQAyF78L+hyELe9OpuyBSHUUUwZOL1Yu30Ilt&#10;tZMpndla99ebg+At4b2892W+7F2tOmpD5dnAeJSAIs69rbgwcDpuh1NQISJbrD2TgQcFWC4+BnNM&#10;rb/zgbosFkpCOKRooIyxSbUOeUkOw8g3xKJdfOswytoW2rZ4l3BX6+8kmWiHFUtDiQ2tS8pv2Z8z&#10;4H/60/6a3Nz/ZnPW3fZ3nTn7MObrs1/NQEXq49v8ut5ZwZ8KvjwjE+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i78sMAAADcAAAADwAAAAAAAAAAAAAAAACYAgAAZHJzL2Rv&#10;d25yZXYueG1sUEsFBgAAAAAEAAQA9QAAAIgDAAAAAA==&#10;" filled="f" stroked="f">
                  <v:textbox inset="1mm,1mm,1mm,1mm">
                    <w:txbxContent>
                      <w:p w:rsidR="00716768" w:rsidRDefault="00716768" w:rsidP="00716768">
                        <w:pPr>
                          <w:pStyle w:val="NormalWeb"/>
                          <w:spacing w:before="0" w:beforeAutospacing="0" w:after="0" w:afterAutospacing="0"/>
                          <w:jc w:val="center"/>
                        </w:pPr>
                        <w:r>
                          <w:rPr>
                            <w:rFonts w:asciiTheme="minorHAnsi" w:hAnsi="Calibri" w:cstheme="minorBidi"/>
                            <w:color w:val="FFFFFF" w:themeColor="background1"/>
                            <w:kern w:val="24"/>
                            <w:sz w:val="20"/>
                            <w:szCs w:val="20"/>
                          </w:rPr>
                          <w:t>Is there any reason</w:t>
                        </w:r>
                      </w:p>
                      <w:p w:rsidR="00716768" w:rsidRDefault="00716768" w:rsidP="00716768">
                        <w:pPr>
                          <w:pStyle w:val="NormalWeb"/>
                          <w:spacing w:before="0" w:beforeAutospacing="0" w:after="0" w:afterAutospacing="0"/>
                          <w:jc w:val="center"/>
                        </w:pPr>
                        <w:r>
                          <w:rPr>
                            <w:rFonts w:asciiTheme="minorHAnsi" w:hAnsi="Calibri" w:cstheme="minorBidi"/>
                            <w:color w:val="FFFFFF" w:themeColor="background1"/>
                            <w:kern w:val="24"/>
                            <w:sz w:val="20"/>
                            <w:szCs w:val="20"/>
                          </w:rPr>
                          <w:t>to be sceptical of</w:t>
                        </w:r>
                      </w:p>
                      <w:p w:rsidR="00716768" w:rsidRDefault="00716768" w:rsidP="00716768">
                        <w:pPr>
                          <w:pStyle w:val="NormalWeb"/>
                          <w:spacing w:before="0" w:beforeAutospacing="0" w:after="0" w:afterAutospacing="0"/>
                          <w:jc w:val="center"/>
                        </w:pPr>
                        <w:r>
                          <w:rPr>
                            <w:rFonts w:asciiTheme="minorHAnsi" w:hAnsi="Calibri" w:cstheme="minorBidi"/>
                            <w:color w:val="FFFFFF" w:themeColor="background1"/>
                            <w:kern w:val="24"/>
                            <w:sz w:val="20"/>
                            <w:szCs w:val="20"/>
                          </w:rPr>
                          <w:t>the methodology?</w:t>
                        </w:r>
                      </w:p>
                    </w:txbxContent>
                  </v:textbox>
                </v:shape>
                <v:shape id="TextBox 37" o:spid="_x0000_s1069" type="#_x0000_t202" style="position:absolute;left:20490;top:35432;width:36882;height:72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WFNMIA&#10;AADcAAAADwAAAGRycy9kb3ducmV2LnhtbERPS2rDMBDdF3IHMYXsatklhOBGCaVtgvEqtX2AwZra&#10;ptbIkdTEuX1VCHQ3j/ed7X42o7iQ84NlBVmSgiBurR64U9DUh6cNCB+QNY6WScGNPOx3i4ct5tpe&#10;+ZMuVehEDGGfo4I+hCmX0rc9GfSJnYgj92WdwRCh66R2eI3hZpTPabqWBgeODT1O9NZT+139GAUV&#10;Nce0xo+yOqyK82lY16XL3pVaPs6vLyACzeFffHcXOs7fZPD3TLx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RYU0wgAAANwAAAAPAAAAAAAAAAAAAAAAAJgCAABkcnMvZG93&#10;bnJldi54bWxQSwUGAAAAAAQABAD1AAAAhwMAAAAA&#10;" filled="f" stroked="f">
                  <v:textbox inset="3mm,1mm,3mm,1mm">
                    <w:txbxContent>
                      <w:p w:rsidR="00716768" w:rsidRDefault="00716768" w:rsidP="00716768">
                        <w:pPr>
                          <w:pStyle w:val="NormalWeb"/>
                          <w:spacing w:before="0" w:beforeAutospacing="0" w:after="0" w:afterAutospacing="0"/>
                        </w:pPr>
                        <w:r>
                          <w:rPr>
                            <w:rFonts w:asciiTheme="minorHAnsi" w:hAnsi="Calibri" w:cstheme="minorBidi"/>
                            <w:color w:val="000000" w:themeColor="text1"/>
                            <w:kern w:val="24"/>
                            <w:sz w:val="20"/>
                            <w:szCs w:val="20"/>
                          </w:rPr>
                          <w:t>A collective body of evidence is always more reliable than</w:t>
                        </w:r>
                      </w:p>
                      <w:p w:rsidR="00716768" w:rsidRDefault="00716768" w:rsidP="00716768">
                        <w:pPr>
                          <w:pStyle w:val="NormalWeb"/>
                          <w:spacing w:before="0" w:beforeAutospacing="0" w:after="0" w:afterAutospacing="0"/>
                        </w:pPr>
                        <w:r>
                          <w:rPr>
                            <w:rFonts w:asciiTheme="minorHAnsi" w:hAnsi="Calibri" w:cstheme="minorBidi"/>
                            <w:color w:val="000000" w:themeColor="text1"/>
                            <w:kern w:val="24"/>
                            <w:sz w:val="20"/>
                            <w:szCs w:val="20"/>
                          </w:rPr>
                          <w:t>a single study.  As such, we look to see if the results</w:t>
                        </w:r>
                      </w:p>
                      <w:p w:rsidR="00716768" w:rsidRDefault="00716768" w:rsidP="00716768">
                        <w:pPr>
                          <w:pStyle w:val="NormalWeb"/>
                          <w:spacing w:before="0" w:beforeAutospacing="0" w:after="0" w:afterAutospacing="0"/>
                        </w:pPr>
                        <w:r>
                          <w:rPr>
                            <w:rFonts w:asciiTheme="minorHAnsi" w:hAnsi="Calibri" w:cstheme="minorBidi"/>
                            <w:color w:val="000000" w:themeColor="text1"/>
                            <w:kern w:val="24"/>
                            <w:sz w:val="20"/>
                            <w:szCs w:val="20"/>
                          </w:rPr>
                          <w:t>of a particular study are consistent with others.</w:t>
                        </w:r>
                      </w:p>
                    </w:txbxContent>
                  </v:textbox>
                </v:shape>
                <v:shape id="TextBox 38" o:spid="_x0000_s1070" type="#_x0000_t202" style="position:absolute;left:1217;top:35432;width:14950;height:72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aAHsIA&#10;AADcAAAADwAAAGRycy9kb3ducmV2LnhtbERPTWuDQBC9F/Iflgn0VtekUIJxE4Ii5NRS6yW3wZ2q&#10;1Z0Vd2NMf323UOhtHu9z0uNiBjHT5DrLCjZRDIK4trrjRkH1UTztQDiPrHGwTAru5OB4WD2kmGh7&#10;43eaS9+IEMIuQQWt92MipatbMugiOxIH7tNOBn2AUyP1hLcQbga5jeMXabDj0NDiSFlLdV9ejQL7&#10;vFSvX3FvvvP8IufiLSuNviv1uF5OexCeFv8v/nOfdZi/28LvM+ECe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FoAewgAAANwAAAAPAAAAAAAAAAAAAAAAAJgCAABkcnMvZG93&#10;bnJldi54bWxQSwUGAAAAAAQABAD1AAAAhwMAAAAA&#10;" filled="f" stroked="f">
                  <v:textbox inset="1mm,1mm,1mm,1mm">
                    <w:txbxContent>
                      <w:p w:rsidR="00716768" w:rsidRPr="00716768" w:rsidRDefault="00716768" w:rsidP="00716768">
                        <w:pPr>
                          <w:pStyle w:val="NormalWeb"/>
                          <w:spacing w:before="0" w:beforeAutospacing="0" w:after="0" w:afterAutospacing="0"/>
                          <w:jc w:val="center"/>
                          <w:rPr>
                            <w:color w:val="FFFFFF" w:themeColor="background1"/>
                          </w:rPr>
                        </w:pPr>
                        <w:r w:rsidRPr="00716768">
                          <w:rPr>
                            <w:rFonts w:asciiTheme="minorHAnsi" w:hAnsi="Calibri" w:cstheme="minorBidi"/>
                            <w:color w:val="FFFFFF" w:themeColor="background1"/>
                            <w:kern w:val="24"/>
                            <w:sz w:val="20"/>
                            <w:szCs w:val="20"/>
                          </w:rPr>
                          <w:t>Is there other</w:t>
                        </w:r>
                      </w:p>
                      <w:p w:rsidR="00716768" w:rsidRPr="00716768" w:rsidRDefault="00716768" w:rsidP="00716768">
                        <w:pPr>
                          <w:pStyle w:val="NormalWeb"/>
                          <w:spacing w:before="0" w:beforeAutospacing="0" w:after="0" w:afterAutospacing="0"/>
                          <w:jc w:val="center"/>
                          <w:rPr>
                            <w:color w:val="FFFFFF" w:themeColor="background1"/>
                          </w:rPr>
                        </w:pPr>
                        <w:r w:rsidRPr="00716768">
                          <w:rPr>
                            <w:rFonts w:asciiTheme="minorHAnsi" w:hAnsi="Calibri" w:cstheme="minorBidi"/>
                            <w:color w:val="FFFFFF" w:themeColor="background1"/>
                            <w:kern w:val="24"/>
                            <w:sz w:val="20"/>
                            <w:szCs w:val="20"/>
                          </w:rPr>
                          <w:t>literature that</w:t>
                        </w:r>
                      </w:p>
                      <w:p w:rsidR="00716768" w:rsidRPr="00716768" w:rsidRDefault="00716768" w:rsidP="00716768">
                        <w:pPr>
                          <w:pStyle w:val="NormalWeb"/>
                          <w:spacing w:before="0" w:beforeAutospacing="0" w:after="0" w:afterAutospacing="0"/>
                          <w:jc w:val="center"/>
                          <w:rPr>
                            <w:color w:val="FFFFFF" w:themeColor="background1"/>
                          </w:rPr>
                        </w:pPr>
                        <w:r w:rsidRPr="00716768">
                          <w:rPr>
                            <w:rFonts w:asciiTheme="minorHAnsi" w:hAnsi="Calibri" w:cstheme="minorBidi"/>
                            <w:color w:val="FFFFFF" w:themeColor="background1"/>
                            <w:kern w:val="24"/>
                            <w:sz w:val="20"/>
                            <w:szCs w:val="20"/>
                          </w:rPr>
                          <w:t>supports the study?</w:t>
                        </w:r>
                      </w:p>
                    </w:txbxContent>
                  </v:textbox>
                </v:shape>
                <w10:anchorlock/>
              </v:group>
            </w:pict>
          </mc:Fallback>
        </mc:AlternateContent>
      </w:r>
    </w:p>
    <w:p w:rsidR="001F78AC" w:rsidRDefault="001F78AC" w:rsidP="00EA42DD">
      <w:pPr>
        <w:pStyle w:val="BodyText"/>
        <w:keepNext/>
        <w:keepLines/>
        <w:spacing w:before="200"/>
      </w:pPr>
      <w:r>
        <w:lastRenderedPageBreak/>
        <w:t xml:space="preserve">As a general rule, empirical studies help to define a range </w:t>
      </w:r>
      <w:r w:rsidR="000F5808">
        <w:t xml:space="preserve">within </w:t>
      </w:r>
      <w:r>
        <w:t xml:space="preserve">which a behavioural response is likely to fall.  The more reliable the study or the collection of studies, the narrower this range is likely to be.  </w:t>
      </w:r>
      <w:r w:rsidR="002D50EB">
        <w:t>T</w:t>
      </w:r>
      <w:r>
        <w:t>here are many cases</w:t>
      </w:r>
      <w:r w:rsidR="002D50EB">
        <w:t>, however,</w:t>
      </w:r>
      <w:r>
        <w:t xml:space="preserve"> where a reliable </w:t>
      </w:r>
      <w:r w:rsidR="00A362AE">
        <w:t xml:space="preserve">and applicable </w:t>
      </w:r>
      <w:r>
        <w:t>study is difficult to obtain an</w:t>
      </w:r>
      <w:r w:rsidR="009A281A">
        <w:t xml:space="preserve">d we need to rely </w:t>
      </w:r>
      <w:r>
        <w:t>o</w:t>
      </w:r>
      <w:r w:rsidR="009A281A">
        <w:t>n</w:t>
      </w:r>
      <w:r>
        <w:t xml:space="preserve"> other evidence.</w:t>
      </w:r>
    </w:p>
    <w:p w:rsidR="00071876" w:rsidRDefault="001F78AC" w:rsidP="00071876">
      <w:pPr>
        <w:pStyle w:val="Heading2"/>
      </w:pPr>
      <w:r w:rsidRPr="00DC3DD8">
        <w:t>T</w:t>
      </w:r>
      <w:r w:rsidRPr="0027462F">
        <w:t xml:space="preserve">here </w:t>
      </w:r>
      <w:r>
        <w:t>is often</w:t>
      </w:r>
      <w:r w:rsidRPr="0027462F">
        <w:t xml:space="preserve"> data available for us to undertake our own empirical research</w:t>
      </w:r>
    </w:p>
    <w:p w:rsidR="002F6875" w:rsidRDefault="002D50EB" w:rsidP="002F6875">
      <w:pPr>
        <w:pStyle w:val="BodyText"/>
        <w:keepNext/>
        <w:spacing w:after="120"/>
      </w:pPr>
      <w:r>
        <w:t>We have</w:t>
      </w:r>
      <w:r w:rsidR="001F78AC">
        <w:t xml:space="preserve"> access to high-quality historical data that may be used to estimate behavioural response</w:t>
      </w:r>
      <w:r w:rsidR="00432038">
        <w:t>s</w:t>
      </w:r>
      <w:r w:rsidR="001F78AC">
        <w:t xml:space="preserve"> to </w:t>
      </w:r>
      <w:r w:rsidR="00432038">
        <w:t xml:space="preserve">past </w:t>
      </w:r>
      <w:r w:rsidR="001F78AC">
        <w:t>policy change</w:t>
      </w:r>
      <w:r w:rsidR="00432038">
        <w:t>s</w:t>
      </w:r>
      <w:r w:rsidR="001F78AC">
        <w:t xml:space="preserve">, or to help inform a behavioural assumption.  Our own research can be used to complement academic research, or to inform cases where reliable academic or other empirical research is not available.  </w:t>
      </w:r>
      <w:r w:rsidR="002F6875" w:rsidRPr="002F6875">
        <w:fldChar w:fldCharType="begin"/>
      </w:r>
      <w:r w:rsidR="002F6875" w:rsidRPr="002F6875">
        <w:instrText xml:space="preserve"> REF _Ref26271514 \h  \* MERGEFORMAT </w:instrText>
      </w:r>
      <w:r w:rsidR="002F6875" w:rsidRPr="002F6875">
        <w:fldChar w:fldCharType="separate"/>
      </w:r>
      <w:r w:rsidR="00DC02AF" w:rsidRPr="00DC02AF">
        <w:t xml:space="preserve">Box </w:t>
      </w:r>
      <w:r w:rsidR="00DC02AF" w:rsidRPr="00DC02AF">
        <w:rPr>
          <w:noProof/>
        </w:rPr>
        <w:t>2</w:t>
      </w:r>
      <w:r w:rsidR="002F6875" w:rsidRPr="002F6875">
        <w:fldChar w:fldCharType="end"/>
      </w:r>
      <w:r w:rsidR="002F6875">
        <w:t xml:space="preserve"> </w:t>
      </w:r>
      <w:r w:rsidR="001F78AC">
        <w:t xml:space="preserve">provides a case study of an election commitment costing </w:t>
      </w:r>
      <w:r w:rsidR="00432038">
        <w:t>where</w:t>
      </w:r>
      <w:r w:rsidR="001F78AC">
        <w:t xml:space="preserve"> we undertook empirical research to inform </w:t>
      </w:r>
      <w:r w:rsidR="009A281A">
        <w:t>a behavioural assumption</w:t>
      </w:r>
      <w:r w:rsidR="001F78AC">
        <w:t>.</w:t>
      </w:r>
    </w:p>
    <w:tbl>
      <w:tblPr>
        <w:tblStyle w:val="TableGrid"/>
        <w:tblW w:w="0" w:type="auto"/>
        <w:tblBorders>
          <w:top w:val="none" w:sz="0" w:space="0" w:color="auto"/>
          <w:bottom w:val="none" w:sz="0" w:space="0" w:color="auto"/>
        </w:tblBorders>
        <w:shd w:val="clear" w:color="auto" w:fill="E3E5E6" w:themeFill="accent6" w:themeFillTint="33"/>
        <w:tblCellMar>
          <w:top w:w="113" w:type="dxa"/>
          <w:bottom w:w="113" w:type="dxa"/>
        </w:tblCellMar>
        <w:tblLook w:val="04A0" w:firstRow="1" w:lastRow="0" w:firstColumn="1" w:lastColumn="0" w:noHBand="0" w:noVBand="1"/>
      </w:tblPr>
      <w:tblGrid>
        <w:gridCol w:w="9071"/>
      </w:tblGrid>
      <w:tr w:rsidR="0021311D" w:rsidTr="0022232D">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9071" w:type="dxa"/>
            <w:tcBorders>
              <w:bottom w:val="none" w:sz="0" w:space="0" w:color="auto"/>
            </w:tcBorders>
            <w:shd w:val="clear" w:color="auto" w:fill="E3E5E6" w:themeFill="accent6" w:themeFillTint="33"/>
          </w:tcPr>
          <w:p w:rsidR="0021311D" w:rsidRPr="005D3665" w:rsidRDefault="0021311D" w:rsidP="0022232D">
            <w:pPr>
              <w:pStyle w:val="Caption"/>
              <w:spacing w:before="0"/>
              <w:ind w:left="113" w:right="113"/>
              <w:jc w:val="left"/>
              <w:rPr>
                <w:b/>
                <w:sz w:val="22"/>
              </w:rPr>
            </w:pPr>
            <w:bookmarkStart w:id="15" w:name="_Ref26271514"/>
            <w:r w:rsidRPr="005D3665">
              <w:rPr>
                <w:b/>
                <w:sz w:val="22"/>
              </w:rPr>
              <w:t xml:space="preserve">Box </w:t>
            </w:r>
            <w:r w:rsidRPr="005D3665">
              <w:fldChar w:fldCharType="begin"/>
            </w:r>
            <w:r w:rsidRPr="005D3665">
              <w:rPr>
                <w:b/>
                <w:sz w:val="22"/>
              </w:rPr>
              <w:instrText xml:space="preserve"> SEQ Box \* ARABIC </w:instrText>
            </w:r>
            <w:r w:rsidRPr="005D3665">
              <w:fldChar w:fldCharType="separate"/>
            </w:r>
            <w:r w:rsidR="00DC02AF">
              <w:rPr>
                <w:b/>
                <w:noProof/>
                <w:sz w:val="22"/>
              </w:rPr>
              <w:t>2</w:t>
            </w:r>
            <w:r w:rsidRPr="005D3665">
              <w:rPr>
                <w:noProof/>
              </w:rPr>
              <w:fldChar w:fldCharType="end"/>
            </w:r>
            <w:bookmarkEnd w:id="15"/>
            <w:r w:rsidRPr="005D3665">
              <w:rPr>
                <w:b/>
                <w:sz w:val="22"/>
              </w:rPr>
              <w:t>: Case study – Medicare for cancer treatment</w:t>
            </w:r>
          </w:p>
          <w:p w:rsidR="0021311D" w:rsidRDefault="0021311D" w:rsidP="0022232D">
            <w:pPr>
              <w:pStyle w:val="BodyText"/>
              <w:spacing w:line="280" w:lineRule="atLeast"/>
              <w:ind w:left="113" w:right="113"/>
              <w:rPr>
                <w:b w:val="0"/>
                <w:sz w:val="22"/>
                <w:lang w:eastAsia="en-AU"/>
              </w:rPr>
            </w:pPr>
            <w:r w:rsidRPr="005D3665">
              <w:rPr>
                <w:b w:val="0"/>
                <w:sz w:val="22"/>
                <w:lang w:eastAsia="en-AU"/>
              </w:rPr>
              <w:t xml:space="preserve">A 2019 election commitment made by the Australian </w:t>
            </w:r>
            <w:proofErr w:type="spellStart"/>
            <w:r w:rsidRPr="005D3665">
              <w:rPr>
                <w:b w:val="0"/>
                <w:sz w:val="22"/>
                <w:lang w:eastAsia="en-AU"/>
              </w:rPr>
              <w:t>Labor</w:t>
            </w:r>
            <w:proofErr w:type="spellEnd"/>
            <w:r w:rsidRPr="005D3665">
              <w:rPr>
                <w:b w:val="0"/>
                <w:sz w:val="22"/>
                <w:lang w:eastAsia="en-AU"/>
              </w:rPr>
              <w:t xml:space="preserve"> Party</w:t>
            </w:r>
            <w:r>
              <w:rPr>
                <w:b w:val="0"/>
                <w:sz w:val="22"/>
                <w:lang w:eastAsia="en-AU"/>
              </w:rPr>
              <w:t>,</w:t>
            </w:r>
            <w:r w:rsidRPr="005D3665">
              <w:rPr>
                <w:b w:val="0"/>
                <w:sz w:val="22"/>
                <w:lang w:eastAsia="en-AU"/>
              </w:rPr>
              <w:t xml:space="preserve"> and costed by the PBO</w:t>
            </w:r>
            <w:r>
              <w:rPr>
                <w:b w:val="0"/>
                <w:sz w:val="22"/>
                <w:lang w:eastAsia="en-AU"/>
              </w:rPr>
              <w:t>,</w:t>
            </w:r>
            <w:r w:rsidRPr="005D3665">
              <w:rPr>
                <w:b w:val="0"/>
                <w:sz w:val="22"/>
                <w:lang w:eastAsia="en-AU"/>
              </w:rPr>
              <w:t xml:space="preserve"> was a proposal to amend the Medicare Benefits Schedule (MBS) to reduce out-of-pocket costs for cancer patients.  The </w:t>
            </w:r>
            <w:r w:rsidRPr="005D3665">
              <w:rPr>
                <w:b w:val="0"/>
                <w:i/>
                <w:sz w:val="22"/>
                <w:lang w:eastAsia="en-AU"/>
              </w:rPr>
              <w:t xml:space="preserve">Medicare cancer plan </w:t>
            </w:r>
            <w:r w:rsidRPr="005D3665">
              <w:rPr>
                <w:b w:val="0"/>
                <w:sz w:val="22"/>
                <w:lang w:eastAsia="en-AU"/>
              </w:rPr>
              <w:t>(</w:t>
            </w:r>
            <w:hyperlink r:id="rId33" w:history="1">
              <w:r w:rsidRPr="005D3665">
                <w:rPr>
                  <w:rStyle w:val="Hyperlink"/>
                  <w:b w:val="0"/>
                  <w:sz w:val="22"/>
                  <w:lang w:eastAsia="en-AU"/>
                </w:rPr>
                <w:t>PER372</w:t>
              </w:r>
            </w:hyperlink>
            <w:r w:rsidRPr="005D3665">
              <w:rPr>
                <w:b w:val="0"/>
                <w:sz w:val="22"/>
                <w:lang w:eastAsia="en-AU"/>
              </w:rPr>
              <w:t>)</w:t>
            </w:r>
            <w:r>
              <w:rPr>
                <w:b w:val="0"/>
                <w:sz w:val="22"/>
                <w:lang w:eastAsia="en-AU"/>
              </w:rPr>
              <w:t>, amongst other things,</w:t>
            </w:r>
            <w:r w:rsidRPr="005D3665">
              <w:rPr>
                <w:b w:val="0"/>
                <w:sz w:val="22"/>
                <w:lang w:eastAsia="en-AU"/>
              </w:rPr>
              <w:t xml:space="preserve"> </w:t>
            </w:r>
            <w:r>
              <w:rPr>
                <w:b w:val="0"/>
                <w:sz w:val="22"/>
                <w:lang w:eastAsia="en-AU"/>
              </w:rPr>
              <w:t xml:space="preserve">would have </w:t>
            </w:r>
            <w:r w:rsidRPr="005D3665">
              <w:rPr>
                <w:b w:val="0"/>
                <w:sz w:val="22"/>
                <w:lang w:eastAsia="en-AU"/>
              </w:rPr>
              <w:t>introduc</w:t>
            </w:r>
            <w:r>
              <w:rPr>
                <w:b w:val="0"/>
                <w:sz w:val="22"/>
                <w:lang w:eastAsia="en-AU"/>
              </w:rPr>
              <w:t>ed</w:t>
            </w:r>
            <w:r w:rsidRPr="005D3665">
              <w:rPr>
                <w:b w:val="0"/>
                <w:sz w:val="22"/>
                <w:lang w:eastAsia="en-AU"/>
              </w:rPr>
              <w:t xml:space="preserve"> a new MBS item cover</w:t>
            </w:r>
            <w:r>
              <w:rPr>
                <w:b w:val="0"/>
                <w:sz w:val="22"/>
                <w:lang w:eastAsia="en-AU"/>
              </w:rPr>
              <w:t>ing</w:t>
            </w:r>
            <w:r w:rsidRPr="005D3665">
              <w:rPr>
                <w:b w:val="0"/>
                <w:sz w:val="22"/>
                <w:lang w:eastAsia="en-AU"/>
              </w:rPr>
              <w:t xml:space="preserve"> visits to oncologists and cancer surgeons for the purpose of providing ongoing treatment following a cancer diagnosis.  The proposed MBS item would attract an 85 per cent rebate of $127.50 and would be required to be bulk billed</w:t>
            </w:r>
            <w:r>
              <w:rPr>
                <w:b w:val="0"/>
                <w:sz w:val="22"/>
                <w:lang w:eastAsia="en-AU"/>
              </w:rPr>
              <w:t>.</w:t>
            </w:r>
          </w:p>
          <w:p w:rsidR="0021311D" w:rsidRPr="005D3665" w:rsidRDefault="00914E86" w:rsidP="0022232D">
            <w:pPr>
              <w:pStyle w:val="BodyText"/>
              <w:spacing w:line="280" w:lineRule="atLeast"/>
              <w:ind w:left="113" w:right="113"/>
              <w:rPr>
                <w:b w:val="0"/>
                <w:sz w:val="22"/>
                <w:lang w:eastAsia="en-AU"/>
              </w:rPr>
            </w:pPr>
            <w:r>
              <w:rPr>
                <w:b w:val="0"/>
                <w:sz w:val="22"/>
                <w:lang w:eastAsia="en-AU"/>
              </w:rPr>
              <w:t xml:space="preserve">The proposed rebate would be significantly higher than both the rebate for existing items and the average fee currently charged for non-bulk-billed services.  Given this, we considered that the proportion of affected services that would be bulk billed under the proposal would increase significantly.  We used the existing relationship between bulk-billing rates under the current rebate and the percentage of services where the practitioner accepts </w:t>
            </w:r>
            <w:r w:rsidR="002D50EB">
              <w:rPr>
                <w:b w:val="0"/>
                <w:sz w:val="22"/>
                <w:lang w:eastAsia="en-AU"/>
              </w:rPr>
              <w:t>a</w:t>
            </w:r>
            <w:r w:rsidR="00FA0877">
              <w:rPr>
                <w:b w:val="0"/>
                <w:sz w:val="22"/>
                <w:lang w:eastAsia="en-AU"/>
              </w:rPr>
              <w:t>t or</w:t>
            </w:r>
            <w:r w:rsidR="002D50EB">
              <w:rPr>
                <w:b w:val="0"/>
                <w:sz w:val="22"/>
                <w:lang w:eastAsia="en-AU"/>
              </w:rPr>
              <w:t xml:space="preserve"> </w:t>
            </w:r>
            <w:r>
              <w:rPr>
                <w:b w:val="0"/>
                <w:sz w:val="22"/>
                <w:lang w:eastAsia="en-AU"/>
              </w:rPr>
              <w:t>below the average fee for non</w:t>
            </w:r>
            <w:r>
              <w:rPr>
                <w:b w:val="0"/>
                <w:sz w:val="22"/>
                <w:lang w:eastAsia="en-AU"/>
              </w:rPr>
              <w:noBreakHyphen/>
              <w:t>bulk</w:t>
            </w:r>
            <w:r>
              <w:rPr>
                <w:b w:val="0"/>
                <w:sz w:val="22"/>
                <w:lang w:eastAsia="en-AU"/>
              </w:rPr>
              <w:noBreakHyphen/>
              <w:t>billed services to project bulk</w:t>
            </w:r>
            <w:r>
              <w:rPr>
                <w:b w:val="0"/>
                <w:sz w:val="22"/>
                <w:lang w:eastAsia="en-AU"/>
              </w:rPr>
              <w:noBreakHyphen/>
              <w:t xml:space="preserve">billing rates under the proposed rebate increase.  </w:t>
            </w:r>
            <w:r w:rsidR="0021311D">
              <w:rPr>
                <w:b w:val="0"/>
                <w:sz w:val="22"/>
                <w:lang w:eastAsia="en-AU"/>
              </w:rPr>
              <w:t xml:space="preserve">This is illustrated for MBS item 105 (cancer surgeons) in </w:t>
            </w:r>
            <w:r w:rsidR="0021311D" w:rsidRPr="0053268F">
              <w:rPr>
                <w:lang w:eastAsia="en-AU"/>
              </w:rPr>
              <w:fldChar w:fldCharType="begin"/>
            </w:r>
            <w:r w:rsidR="0021311D" w:rsidRPr="0053268F">
              <w:rPr>
                <w:b w:val="0"/>
                <w:sz w:val="22"/>
                <w:lang w:eastAsia="en-AU"/>
              </w:rPr>
              <w:instrText xml:space="preserve"> REF _Ref27415777 \h  \* MERGEFORMAT </w:instrText>
            </w:r>
            <w:r w:rsidR="0021311D" w:rsidRPr="0053268F">
              <w:rPr>
                <w:lang w:eastAsia="en-AU"/>
              </w:rPr>
            </w:r>
            <w:r w:rsidR="0021311D" w:rsidRPr="0053268F">
              <w:rPr>
                <w:lang w:eastAsia="en-AU"/>
              </w:rPr>
              <w:fldChar w:fldCharType="separate"/>
            </w:r>
            <w:r w:rsidR="00DC02AF" w:rsidRPr="00DC02AF">
              <w:rPr>
                <w:b w:val="0"/>
                <w:sz w:val="22"/>
              </w:rPr>
              <w:t xml:space="preserve">Figure </w:t>
            </w:r>
            <w:r w:rsidR="00DC02AF" w:rsidRPr="00DC02AF">
              <w:rPr>
                <w:b w:val="0"/>
                <w:noProof/>
                <w:sz w:val="22"/>
              </w:rPr>
              <w:t>3</w:t>
            </w:r>
            <w:r w:rsidR="0021311D" w:rsidRPr="0053268F">
              <w:rPr>
                <w:lang w:eastAsia="en-AU"/>
              </w:rPr>
              <w:fldChar w:fldCharType="end"/>
            </w:r>
            <w:r w:rsidR="003A5F32" w:rsidRPr="003A5F32">
              <w:rPr>
                <w:b w:val="0"/>
                <w:sz w:val="22"/>
                <w:lang w:eastAsia="en-AU"/>
              </w:rPr>
              <w:t>, where</w:t>
            </w:r>
            <w:r w:rsidR="003A5F32">
              <w:rPr>
                <w:b w:val="0"/>
                <w:sz w:val="22"/>
                <w:lang w:eastAsia="en-AU"/>
              </w:rPr>
              <w:t xml:space="preserve"> the bulk-billing rate is assumed to increase from 39 per cent to 85 per cent as a result of the increase in the rebate</w:t>
            </w:r>
            <w:r>
              <w:rPr>
                <w:b w:val="0"/>
                <w:sz w:val="22"/>
                <w:lang w:eastAsia="en-AU"/>
              </w:rPr>
              <w:t>.</w:t>
            </w:r>
          </w:p>
          <w:p w:rsidR="000A65BF" w:rsidRDefault="0021311D" w:rsidP="0022232D">
            <w:pPr>
              <w:pStyle w:val="Caption"/>
              <w:spacing w:before="120" w:after="0"/>
              <w:rPr>
                <w:b/>
              </w:rPr>
            </w:pPr>
            <w:bookmarkStart w:id="16" w:name="_Ref27415777"/>
            <w:bookmarkStart w:id="17" w:name="_Ref26264527"/>
            <w:r w:rsidRPr="0004769D">
              <w:rPr>
                <w:b/>
              </w:rPr>
              <w:t xml:space="preserve">Figure </w:t>
            </w:r>
            <w:r w:rsidRPr="0004769D">
              <w:fldChar w:fldCharType="begin"/>
            </w:r>
            <w:r w:rsidRPr="0004769D">
              <w:rPr>
                <w:b/>
              </w:rPr>
              <w:instrText xml:space="preserve"> SEQ Figure \* ARABIC </w:instrText>
            </w:r>
            <w:r w:rsidRPr="0004769D">
              <w:fldChar w:fldCharType="separate"/>
            </w:r>
            <w:r w:rsidR="00DC02AF">
              <w:rPr>
                <w:b/>
                <w:noProof/>
              </w:rPr>
              <w:t>3</w:t>
            </w:r>
            <w:r w:rsidRPr="0004769D">
              <w:fldChar w:fldCharType="end"/>
            </w:r>
            <w:bookmarkEnd w:id="16"/>
            <w:r>
              <w:rPr>
                <w:b/>
              </w:rPr>
              <w:t xml:space="preserve">: </w:t>
            </w:r>
            <w:r w:rsidR="000A65BF">
              <w:rPr>
                <w:b/>
              </w:rPr>
              <w:t>Cumulative percentage of services provided for different</w:t>
            </w:r>
          </w:p>
          <w:p w:rsidR="0021311D" w:rsidRPr="0004769D" w:rsidRDefault="000A65BF" w:rsidP="000A65BF">
            <w:pPr>
              <w:pStyle w:val="Caption"/>
              <w:spacing w:before="0" w:after="0"/>
              <w:rPr>
                <w:b/>
              </w:rPr>
            </w:pPr>
            <w:r>
              <w:rPr>
                <w:b/>
              </w:rPr>
              <w:t>fees/</w:t>
            </w:r>
            <w:r w:rsidR="0021311D">
              <w:rPr>
                <w:b/>
              </w:rPr>
              <w:t>rebates</w:t>
            </w:r>
            <w:r>
              <w:rPr>
                <w:b/>
              </w:rPr>
              <w:t xml:space="preserve"> </w:t>
            </w:r>
            <w:r w:rsidR="0021311D">
              <w:rPr>
                <w:b/>
              </w:rPr>
              <w:t>– MBS item 105 (cancer surgeons)</w:t>
            </w:r>
          </w:p>
          <w:bookmarkEnd w:id="17"/>
          <w:p w:rsidR="0021311D" w:rsidRDefault="00E608E2" w:rsidP="000A65BF">
            <w:pPr>
              <w:pStyle w:val="Caption"/>
              <w:rPr>
                <w:rFonts w:cs="Times New Roman"/>
                <w:bCs w:val="0"/>
                <w:color w:val="000000" w:themeColor="text1"/>
                <w:lang w:eastAsia="en-AU"/>
              </w:rPr>
            </w:pPr>
            <w:r>
              <w:rPr>
                <w:rFonts w:cs="Times New Roman"/>
                <w:bCs w:val="0"/>
                <w:noProof/>
                <w:color w:val="000000" w:themeColor="text1"/>
                <w:lang w:eastAsia="en-AU"/>
              </w:rPr>
              <w:drawing>
                <wp:inline distT="0" distB="0" distL="0" distR="0">
                  <wp:extent cx="5436000" cy="247336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36000" cy="2473367"/>
                          </a:xfrm>
                          <a:prstGeom prst="rect">
                            <a:avLst/>
                          </a:prstGeom>
                          <a:noFill/>
                          <a:ln>
                            <a:noFill/>
                          </a:ln>
                        </pic:spPr>
                      </pic:pic>
                    </a:graphicData>
                  </a:graphic>
                </wp:inline>
              </w:drawing>
            </w:r>
          </w:p>
          <w:p w:rsidR="00566F88" w:rsidRDefault="002852D3" w:rsidP="00FA0877">
            <w:pPr>
              <w:pStyle w:val="BodyText"/>
              <w:numPr>
                <w:ilvl w:val="0"/>
                <w:numId w:val="32"/>
              </w:numPr>
              <w:spacing w:before="0"/>
              <w:ind w:left="426" w:hanging="284"/>
              <w:rPr>
                <w:b w:val="0"/>
                <w:sz w:val="16"/>
                <w:lang w:eastAsia="en-AU"/>
              </w:rPr>
            </w:pPr>
            <w:r>
              <w:rPr>
                <w:b w:val="0"/>
                <w:sz w:val="16"/>
                <w:lang w:eastAsia="en-AU"/>
              </w:rPr>
              <w:t>Currently, 39 per cent of services are bulk billed.  Half of the remaining 61 per cent of services (31 per cent)</w:t>
            </w:r>
            <w:r w:rsidR="00566F88">
              <w:rPr>
                <w:b w:val="0"/>
                <w:sz w:val="16"/>
                <w:lang w:eastAsia="en-AU"/>
              </w:rPr>
              <w:t xml:space="preserve"> are assumed to be delivered at or below the average non-bulk-billed fee.</w:t>
            </w:r>
          </w:p>
          <w:p w:rsidR="003916FC" w:rsidRPr="008E65C4" w:rsidRDefault="00566F88" w:rsidP="00FA0877">
            <w:pPr>
              <w:pStyle w:val="BodyText"/>
              <w:numPr>
                <w:ilvl w:val="0"/>
                <w:numId w:val="32"/>
              </w:numPr>
              <w:spacing w:before="0"/>
              <w:ind w:left="426" w:hanging="284"/>
              <w:rPr>
                <w:b w:val="0"/>
                <w:sz w:val="16"/>
                <w:lang w:eastAsia="en-AU"/>
              </w:rPr>
            </w:pPr>
            <w:r>
              <w:rPr>
                <w:b w:val="0"/>
                <w:sz w:val="16"/>
                <w:lang w:eastAsia="en-AU"/>
              </w:rPr>
              <w:t>Given that the proposed rebate is well above the average non-bulk-billed fee, we assume that ha</w:t>
            </w:r>
            <w:r w:rsidR="00F47FAF">
              <w:rPr>
                <w:b w:val="0"/>
                <w:sz w:val="16"/>
                <w:lang w:eastAsia="en-AU"/>
              </w:rPr>
              <w:t>lf of all remaining services (15</w:t>
            </w:r>
            <w:r>
              <w:rPr>
                <w:b w:val="0"/>
                <w:sz w:val="16"/>
                <w:lang w:eastAsia="en-AU"/>
              </w:rPr>
              <w:t xml:space="preserve"> per cent) would switch to being bulk billed. </w:t>
            </w:r>
          </w:p>
        </w:tc>
        <w:bookmarkStart w:id="18" w:name="_GoBack"/>
        <w:bookmarkEnd w:id="18"/>
      </w:tr>
    </w:tbl>
    <w:p w:rsidR="001F78AC" w:rsidRDefault="000A65BF" w:rsidP="00071876">
      <w:pPr>
        <w:pStyle w:val="Heading1"/>
      </w:pPr>
      <w:bookmarkStart w:id="19" w:name="_Ref27496481"/>
      <w:r>
        <w:br w:type="page"/>
      </w:r>
      <w:bookmarkStart w:id="20" w:name="_Toc29891184"/>
      <w:r w:rsidR="00A60EE9">
        <w:lastRenderedPageBreak/>
        <w:t>E</w:t>
      </w:r>
      <w:r w:rsidR="00E2450C">
        <w:t xml:space="preserve">xpert </w:t>
      </w:r>
      <w:r w:rsidR="00A60EE9">
        <w:t>advice</w:t>
      </w:r>
      <w:bookmarkEnd w:id="19"/>
      <w:bookmarkEnd w:id="20"/>
      <w:r w:rsidR="00A60EE9">
        <w:t xml:space="preserve"> </w:t>
      </w:r>
    </w:p>
    <w:p w:rsidR="00DB61F5" w:rsidRPr="00E61A16" w:rsidRDefault="00A60EE9" w:rsidP="00042BB6">
      <w:pPr>
        <w:pStyle w:val="BodyText"/>
      </w:pPr>
      <w:r>
        <w:t xml:space="preserve">The </w:t>
      </w:r>
      <w:r w:rsidR="007C7D67">
        <w:t xml:space="preserve">third </w:t>
      </w:r>
      <w:r w:rsidR="00B33560">
        <w:t xml:space="preserve">principle the </w:t>
      </w:r>
      <w:r>
        <w:t xml:space="preserve">PBO </w:t>
      </w:r>
      <w:r w:rsidR="00B33560">
        <w:t xml:space="preserve">applies in determining behavioural assumptions is </w:t>
      </w:r>
      <w:r w:rsidR="007C7D67">
        <w:t>that</w:t>
      </w:r>
      <w:r>
        <w:t xml:space="preserve"> </w:t>
      </w:r>
      <w:r w:rsidR="00652AA1">
        <w:t>assumptions</w:t>
      </w:r>
      <w:r>
        <w:t xml:space="preserve"> </w:t>
      </w:r>
      <w:r w:rsidR="007C7D67">
        <w:t xml:space="preserve">should be </w:t>
      </w:r>
      <w:r>
        <w:t xml:space="preserve">consistent with </w:t>
      </w:r>
      <w:r w:rsidR="00042BB6">
        <w:t>theory and</w:t>
      </w:r>
      <w:r w:rsidR="007C7D67">
        <w:t>, wherever possible,</w:t>
      </w:r>
      <w:r w:rsidR="00042BB6">
        <w:t xml:space="preserve"> </w:t>
      </w:r>
      <w:r w:rsidR="007C7D67">
        <w:t>tested with</w:t>
      </w:r>
      <w:r w:rsidR="00042BB6">
        <w:t xml:space="preserve"> experts.  </w:t>
      </w:r>
      <w:r w:rsidR="007C7D67">
        <w:t>E</w:t>
      </w:r>
      <w:r w:rsidR="00042BB6">
        <w:t xml:space="preserve">xpert advice </w:t>
      </w:r>
      <w:r w:rsidR="007C7D67">
        <w:t>is particularly useful for new and novel proposals where there is little empirical evidence to draw upon</w:t>
      </w:r>
      <w:r w:rsidR="007F2023">
        <w:t xml:space="preserve">. </w:t>
      </w:r>
      <w:r w:rsidR="00A4489C">
        <w:t>We</w:t>
      </w:r>
      <w:r w:rsidR="0047268E">
        <w:t xml:space="preserve"> ensure that any consultations with experts are conducted in a way that maintains the confidentiality of requests from parliamentarians. </w:t>
      </w:r>
      <w:r w:rsidR="007F2023">
        <w:t xml:space="preserve"> </w:t>
      </w:r>
    </w:p>
    <w:p w:rsidR="00CF5D08" w:rsidRDefault="00620C7B" w:rsidP="00717A0D">
      <w:pPr>
        <w:pStyle w:val="Heading2"/>
      </w:pPr>
      <w:r>
        <w:t xml:space="preserve">We look to draw upon theoretical literature to understand the </w:t>
      </w:r>
      <w:r w:rsidR="00DB61F5">
        <w:t xml:space="preserve">likely </w:t>
      </w:r>
      <w:r>
        <w:t xml:space="preserve">impact of behavioural responses </w:t>
      </w:r>
    </w:p>
    <w:p w:rsidR="00EC36E5" w:rsidRDefault="00C27D65" w:rsidP="00071876">
      <w:pPr>
        <w:pStyle w:val="BodyText"/>
      </w:pPr>
      <w:r>
        <w:t>T</w:t>
      </w:r>
      <w:r w:rsidR="00071876">
        <w:t xml:space="preserve">heoretical literature can help </w:t>
      </w:r>
      <w:r>
        <w:t xml:space="preserve">inform </w:t>
      </w:r>
      <w:r w:rsidR="00071876">
        <w:t xml:space="preserve">the likely direction of any behavioural response and whether the magnitude of the </w:t>
      </w:r>
      <w:r w:rsidR="00EC36E5">
        <w:t xml:space="preserve">budget </w:t>
      </w:r>
      <w:r w:rsidR="00071876">
        <w:t xml:space="preserve">impact would be small or large.  </w:t>
      </w:r>
      <w:r w:rsidR="00EC36E5">
        <w:t xml:space="preserve">For instance, economic literature suggests that reducing the price of a particular product or service (by introducing a subsidy, for example) will usually result in an increase in demand for the particular product or service.  There may also be theoretical models in literature that indicate the degree of price sensitivity of consumers </w:t>
      </w:r>
      <w:r w:rsidR="0066253D">
        <w:t xml:space="preserve">for </w:t>
      </w:r>
      <w:r w:rsidR="00EC36E5">
        <w:t>particular products or services.</w:t>
      </w:r>
    </w:p>
    <w:p w:rsidR="00071876" w:rsidRDefault="007F7FC2" w:rsidP="005D41A7">
      <w:pPr>
        <w:pStyle w:val="BodyText"/>
      </w:pPr>
      <w:r>
        <w:t>Having drawn upon theoretical literature</w:t>
      </w:r>
      <w:r w:rsidR="00EC36E5">
        <w:t xml:space="preserve">, we </w:t>
      </w:r>
      <w:r>
        <w:t xml:space="preserve">often look to estimate </w:t>
      </w:r>
      <w:r w:rsidR="00071876">
        <w:t>the financial impact of a range of plausible behavioural responses</w:t>
      </w:r>
      <w:r>
        <w:t xml:space="preserve"> across a range of different scenarios</w:t>
      </w:r>
      <w:r w:rsidR="00530831">
        <w:t xml:space="preserve">.  This analysis is </w:t>
      </w:r>
      <w:r w:rsidR="00FC7420">
        <w:t xml:space="preserve">generally </w:t>
      </w:r>
      <w:r w:rsidR="00530831">
        <w:t>done at t</w:t>
      </w:r>
      <w:r w:rsidR="00FC7420">
        <w:t>he level of those affected, such as taxpayers</w:t>
      </w:r>
      <w:r w:rsidR="00850E9D">
        <w:t>, families</w:t>
      </w:r>
      <w:r w:rsidR="00FC7420">
        <w:t xml:space="preserve"> or business</w:t>
      </w:r>
      <w:r w:rsidR="00850E9D">
        <w:t>es</w:t>
      </w:r>
      <w:r w:rsidR="00FC7420">
        <w:t xml:space="preserve">, rather than </w:t>
      </w:r>
      <w:r w:rsidR="00850E9D">
        <w:t xml:space="preserve">at </w:t>
      </w:r>
      <w:r w:rsidR="00FC7420">
        <w:t>the aggregate level</w:t>
      </w:r>
      <w:r w:rsidR="00530831">
        <w:t>.</w:t>
      </w:r>
      <w:r w:rsidR="00071876">
        <w:t xml:space="preserve">  </w:t>
      </w:r>
      <w:r>
        <w:t xml:space="preserve">In the case of a policy proposal that increases a particular tax, for instance, this analysis </w:t>
      </w:r>
      <w:r w:rsidR="00071876">
        <w:t xml:space="preserve">may reveal </w:t>
      </w:r>
      <w:r>
        <w:t xml:space="preserve">that those affected can easily find ways to avoid the tax increase.  In other cases, this type of analysis may reveal that </w:t>
      </w:r>
      <w:r w:rsidR="00530831">
        <w:t>a</w:t>
      </w:r>
      <w:r w:rsidR="00DE3795">
        <w:t xml:space="preserve"> </w:t>
      </w:r>
      <w:r w:rsidR="007F2023">
        <w:t xml:space="preserve">particular </w:t>
      </w:r>
      <w:r w:rsidR="00071876">
        <w:t xml:space="preserve">behavioural response would not have a </w:t>
      </w:r>
      <w:r w:rsidR="0066253D">
        <w:t xml:space="preserve">material budget </w:t>
      </w:r>
      <w:r w:rsidR="00071876">
        <w:t xml:space="preserve">impact relative to the </w:t>
      </w:r>
      <w:r w:rsidR="0066253D">
        <w:t xml:space="preserve">overall </w:t>
      </w:r>
      <w:r w:rsidR="00071876">
        <w:t xml:space="preserve">impact of the proposal.  </w:t>
      </w:r>
    </w:p>
    <w:p w:rsidR="00071876" w:rsidRDefault="0047268E" w:rsidP="00071876">
      <w:pPr>
        <w:pStyle w:val="Heading2"/>
      </w:pPr>
      <w:r>
        <w:t>W</w:t>
      </w:r>
      <w:r w:rsidR="00071876">
        <w:t>e consult with experts to test and complement our thinking</w:t>
      </w:r>
    </w:p>
    <w:p w:rsidR="00071876" w:rsidRDefault="00071876" w:rsidP="00071876">
      <w:pPr>
        <w:pStyle w:val="BodyText"/>
      </w:pPr>
      <w:r>
        <w:t xml:space="preserve">Expert advice is particularly useful </w:t>
      </w:r>
      <w:r w:rsidR="00C27D65">
        <w:t xml:space="preserve">when considering </w:t>
      </w:r>
      <w:r>
        <w:t xml:space="preserve">behavioural </w:t>
      </w:r>
      <w:r w:rsidR="00C27D65">
        <w:t>responses to new or novel proposals and to test our thinking</w:t>
      </w:r>
      <w:r>
        <w:t xml:space="preserve">.  </w:t>
      </w:r>
      <w:r w:rsidR="00C27D65">
        <w:t xml:space="preserve">The experts we reach out to include people in </w:t>
      </w:r>
      <w:r>
        <w:t>government departments</w:t>
      </w:r>
      <w:r w:rsidR="00C27D65">
        <w:t>, business or academia</w:t>
      </w:r>
      <w:r>
        <w:t xml:space="preserve"> that specialise in particular policy area</w:t>
      </w:r>
      <w:r w:rsidR="00C27D65">
        <w:t>s</w:t>
      </w:r>
      <w:r>
        <w:t xml:space="preserve">.  </w:t>
      </w:r>
      <w:r w:rsidR="00C27D65">
        <w:t xml:space="preserve">In many cases these experts may have independently considered the policy proposals that we are analysing, or can otherwise bring their specific experience to explore the potential consequences of a proposed policy. </w:t>
      </w:r>
      <w:r w:rsidR="00266706">
        <w:t>We have</w:t>
      </w:r>
      <w:r>
        <w:t xml:space="preserve"> a panel of advisors</w:t>
      </w:r>
      <w:r w:rsidR="0047268E">
        <w:t xml:space="preserve"> who have expertise</w:t>
      </w:r>
      <w:r>
        <w:t xml:space="preserve"> across a broad range of areas </w:t>
      </w:r>
      <w:r w:rsidR="007B1D0D">
        <w:t>and</w:t>
      </w:r>
      <w:r>
        <w:t xml:space="preserve"> are available for consultation when the need arises.</w:t>
      </w:r>
      <w:r w:rsidR="00994CBF">
        <w:rPr>
          <w:rStyle w:val="FootnoteReference"/>
        </w:rPr>
        <w:footnoteReference w:id="7"/>
      </w:r>
      <w:r>
        <w:t xml:space="preserve">  </w:t>
      </w:r>
      <w:r w:rsidR="0047268E">
        <w:t>On occasions,</w:t>
      </w:r>
      <w:r>
        <w:t xml:space="preserve"> the expert panel </w:t>
      </w:r>
      <w:r w:rsidR="0047268E">
        <w:t>members refer us to</w:t>
      </w:r>
      <w:r>
        <w:t xml:space="preserve"> an </w:t>
      </w:r>
      <w:r w:rsidR="0047268E">
        <w:t xml:space="preserve">alternative </w:t>
      </w:r>
      <w:r>
        <w:t xml:space="preserve">expert with the right </w:t>
      </w:r>
      <w:r w:rsidR="00180596">
        <w:t>knowledge</w:t>
      </w:r>
      <w:r>
        <w:t>.</w:t>
      </w:r>
    </w:p>
    <w:p w:rsidR="00E2450C" w:rsidRDefault="001A143F" w:rsidP="00E2450C">
      <w:pPr>
        <w:pStyle w:val="Heading2"/>
      </w:pPr>
      <w:r>
        <w:t xml:space="preserve">We </w:t>
      </w:r>
      <w:r w:rsidR="0047268E">
        <w:t>consult across the OECD network of Parliamentary Budget Officials</w:t>
      </w:r>
      <w:r w:rsidR="000279C5">
        <w:t xml:space="preserve"> and Independent Fiscal Institutions</w:t>
      </w:r>
      <w:r w:rsidR="002025E6">
        <w:t xml:space="preserve"> </w:t>
      </w:r>
    </w:p>
    <w:p w:rsidR="00E2450C" w:rsidRDefault="0047268E" w:rsidP="00A22B42">
      <w:pPr>
        <w:pStyle w:val="BodyText"/>
      </w:pPr>
      <w:r>
        <w:t xml:space="preserve">There are a range of organisations across </w:t>
      </w:r>
      <w:r w:rsidR="00EB7992" w:rsidRPr="00EB7992">
        <w:t xml:space="preserve">Organisation for Economic Cooperation and Development </w:t>
      </w:r>
      <w:r w:rsidR="00EB7992">
        <w:t>(</w:t>
      </w:r>
      <w:r>
        <w:t>OECD</w:t>
      </w:r>
      <w:r w:rsidR="00EB7992">
        <w:t>)</w:t>
      </w:r>
      <w:r>
        <w:t xml:space="preserve"> countries that cost policy </w:t>
      </w:r>
      <w:r w:rsidR="00CB2896">
        <w:t xml:space="preserve">proposals, including government departments and independent fiscal authorities.  All of these organisations have to make assumptions about behavioural responses.  </w:t>
      </w:r>
      <w:r w:rsidR="001A143F">
        <w:t xml:space="preserve">While the </w:t>
      </w:r>
      <w:r w:rsidR="00CB2896">
        <w:t>policy context may vary considerably across countries, other country experiences can inform our</w:t>
      </w:r>
      <w:r w:rsidR="002025E6">
        <w:t xml:space="preserve"> thinking</w:t>
      </w:r>
      <w:r w:rsidR="00CB2896">
        <w:t xml:space="preserve">, </w:t>
      </w:r>
      <w:r w:rsidR="001C5D01">
        <w:t>particular</w:t>
      </w:r>
      <w:r w:rsidR="00CB2896">
        <w:t>ly when a policy proposal has</w:t>
      </w:r>
      <w:r w:rsidR="001C5D01">
        <w:t xml:space="preserve"> </w:t>
      </w:r>
      <w:r w:rsidR="00CB2896">
        <w:t>similarities to a policy that has been implemented in another country.  T</w:t>
      </w:r>
      <w:r w:rsidR="002025E6">
        <w:t xml:space="preserve">he </w:t>
      </w:r>
      <w:r w:rsidR="002025E6" w:rsidRPr="002025E6">
        <w:t xml:space="preserve">OECD Network of Parliamentary Budget Officials and </w:t>
      </w:r>
      <w:r w:rsidR="002025E6" w:rsidRPr="002025E6">
        <w:lastRenderedPageBreak/>
        <w:t>Independent Fiscal Institutions</w:t>
      </w:r>
      <w:r w:rsidR="002025E6">
        <w:t xml:space="preserve"> </w:t>
      </w:r>
      <w:r w:rsidR="00CB2896">
        <w:t xml:space="preserve">enables </w:t>
      </w:r>
      <w:r w:rsidR="000279C5">
        <w:t>us</w:t>
      </w:r>
      <w:r w:rsidR="00B61FD6">
        <w:t xml:space="preserve"> </w:t>
      </w:r>
      <w:r w:rsidR="00CB2896">
        <w:t>to</w:t>
      </w:r>
      <w:r w:rsidR="00B61FD6">
        <w:t xml:space="preserve"> tap into the work of other </w:t>
      </w:r>
      <w:r w:rsidR="002025E6">
        <w:t>parliament</w:t>
      </w:r>
      <w:r w:rsidR="00B61FD6">
        <w:t>s, PBOs and fiscal councils</w:t>
      </w:r>
      <w:r w:rsidR="00592564">
        <w:t>.</w:t>
      </w:r>
      <w:r w:rsidR="00480759">
        <w:rPr>
          <w:rStyle w:val="FootnoteReference"/>
        </w:rPr>
        <w:footnoteReference w:id="8"/>
      </w:r>
      <w:r w:rsidR="00592564">
        <w:t xml:space="preserve">  This network gives us an opportunity to discuss </w:t>
      </w:r>
      <w:r w:rsidR="00E74B3D">
        <w:t>budgeting issues</w:t>
      </w:r>
      <w:r w:rsidR="00B61FD6">
        <w:t xml:space="preserve">, </w:t>
      </w:r>
      <w:r w:rsidR="002025E6">
        <w:t>s</w:t>
      </w:r>
      <w:r w:rsidR="00592564">
        <w:t>hare</w:t>
      </w:r>
      <w:r w:rsidR="002025E6">
        <w:t xml:space="preserve"> practical </w:t>
      </w:r>
      <w:r w:rsidR="00E74B3D">
        <w:t>experiences on working methods</w:t>
      </w:r>
      <w:r w:rsidR="00CB2896">
        <w:t>,</w:t>
      </w:r>
      <w:r w:rsidR="00B61FD6">
        <w:t xml:space="preserve"> </w:t>
      </w:r>
      <w:r w:rsidR="00592564">
        <w:t>identify</w:t>
      </w:r>
      <w:r w:rsidR="00B61FD6">
        <w:t xml:space="preserve"> </w:t>
      </w:r>
      <w:r w:rsidR="00592564">
        <w:t>good practices and contribute</w:t>
      </w:r>
      <w:r w:rsidR="002025E6">
        <w:t xml:space="preserve"> to standard setting</w:t>
      </w:r>
      <w:r w:rsidR="00E74B3D">
        <w:t>.</w:t>
      </w:r>
    </w:p>
    <w:p w:rsidR="00CB2896" w:rsidRDefault="00CB2896" w:rsidP="00CB2896">
      <w:pPr>
        <w:pStyle w:val="Heading2"/>
      </w:pPr>
      <w:r>
        <w:t xml:space="preserve">We form our own expert judgement </w:t>
      </w:r>
    </w:p>
    <w:p w:rsidR="002F6875" w:rsidRDefault="001C5D01" w:rsidP="00EA42DD">
      <w:pPr>
        <w:pStyle w:val="BodyText"/>
        <w:spacing w:after="120"/>
      </w:pPr>
      <w:r>
        <w:t xml:space="preserve">Ultimately, all assumptions </w:t>
      </w:r>
      <w:r w:rsidR="00CB2896">
        <w:t xml:space="preserve">around behavioural responses </w:t>
      </w:r>
      <w:r>
        <w:t xml:space="preserve">require a degree of </w:t>
      </w:r>
      <w:r w:rsidR="0099410C">
        <w:t xml:space="preserve">expert </w:t>
      </w:r>
      <w:r>
        <w:t xml:space="preserve">judgement.  Even when we have collected a strong evidence base to inform a particular assumption, such evidence rarely </w:t>
      </w:r>
      <w:r w:rsidR="00094294">
        <w:t xml:space="preserve">relates </w:t>
      </w:r>
      <w:r>
        <w:t xml:space="preserve">to exactly the same policy in the same context.  </w:t>
      </w:r>
      <w:r w:rsidRPr="002F6875">
        <w:rPr>
          <w:rFonts w:asciiTheme="majorHAnsi" w:hAnsiTheme="majorHAnsi"/>
          <w:b/>
          <w:bCs/>
          <w:iCs/>
          <w:color w:val="3D4D7D" w:themeColor="background2"/>
          <w:kern w:val="20"/>
          <w:sz w:val="28"/>
          <w:szCs w:val="28"/>
        </w:rPr>
        <w:fldChar w:fldCharType="begin"/>
      </w:r>
      <w:r w:rsidRPr="002F6875">
        <w:instrText xml:space="preserve"> REF _Ref26271583 \h  \* MERGEFORMAT </w:instrText>
      </w:r>
      <w:r w:rsidRPr="002F6875">
        <w:rPr>
          <w:rFonts w:asciiTheme="majorHAnsi" w:hAnsiTheme="majorHAnsi"/>
          <w:b/>
          <w:bCs/>
          <w:iCs/>
          <w:color w:val="3D4D7D" w:themeColor="background2"/>
          <w:kern w:val="20"/>
          <w:sz w:val="28"/>
          <w:szCs w:val="28"/>
        </w:rPr>
      </w:r>
      <w:r w:rsidRPr="002F6875">
        <w:rPr>
          <w:rFonts w:asciiTheme="majorHAnsi" w:hAnsiTheme="majorHAnsi"/>
          <w:b/>
          <w:bCs/>
          <w:iCs/>
          <w:color w:val="3D4D7D" w:themeColor="background2"/>
          <w:kern w:val="20"/>
          <w:sz w:val="28"/>
          <w:szCs w:val="28"/>
        </w:rPr>
        <w:fldChar w:fldCharType="separate"/>
      </w:r>
      <w:r w:rsidR="00DC02AF" w:rsidRPr="00DC02AF">
        <w:t xml:space="preserve">Box </w:t>
      </w:r>
      <w:r w:rsidR="00DC02AF" w:rsidRPr="00DC02AF">
        <w:rPr>
          <w:noProof/>
        </w:rPr>
        <w:t>3</w:t>
      </w:r>
      <w:r w:rsidRPr="002F6875">
        <w:rPr>
          <w:rFonts w:asciiTheme="majorHAnsi" w:hAnsiTheme="majorHAnsi"/>
          <w:b/>
          <w:bCs/>
          <w:iCs/>
          <w:color w:val="3D4D7D" w:themeColor="background2"/>
          <w:kern w:val="20"/>
          <w:sz w:val="28"/>
          <w:szCs w:val="28"/>
        </w:rPr>
        <w:fldChar w:fldCharType="end"/>
      </w:r>
      <w:r>
        <w:t xml:space="preserve"> provides an example of where we developed a behavioural response that drew upon empirical literature, involved our own empirical analysis of historical data, and was complemented by an analysis of possible scenarios, expert consultation and, </w:t>
      </w:r>
      <w:r w:rsidR="00F400DA">
        <w:t>finally</w:t>
      </w:r>
      <w:r>
        <w:t xml:space="preserve">, our own </w:t>
      </w:r>
      <w:r w:rsidR="0099410C">
        <w:t xml:space="preserve">expert </w:t>
      </w:r>
      <w:r>
        <w:t>judgement.</w:t>
      </w:r>
      <w:r w:rsidR="00822436">
        <w:t xml:space="preserve">  </w:t>
      </w:r>
    </w:p>
    <w:tbl>
      <w:tblPr>
        <w:tblStyle w:val="TableGrid"/>
        <w:tblW w:w="0" w:type="auto"/>
        <w:tblBorders>
          <w:top w:val="none" w:sz="0" w:space="0" w:color="auto"/>
          <w:bottom w:val="none" w:sz="0" w:space="0" w:color="auto"/>
        </w:tblBorders>
        <w:shd w:val="clear" w:color="auto" w:fill="E3E5E6" w:themeFill="accent6" w:themeFillTint="33"/>
        <w:tblCellMar>
          <w:top w:w="113" w:type="dxa"/>
          <w:bottom w:w="113" w:type="dxa"/>
        </w:tblCellMar>
        <w:tblLook w:val="04A0" w:firstRow="1" w:lastRow="0" w:firstColumn="1" w:lastColumn="0" w:noHBand="0" w:noVBand="1"/>
      </w:tblPr>
      <w:tblGrid>
        <w:gridCol w:w="9071"/>
      </w:tblGrid>
      <w:tr w:rsidR="002A1F7A" w:rsidTr="001C5D01">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9071" w:type="dxa"/>
            <w:tcBorders>
              <w:bottom w:val="none" w:sz="0" w:space="0" w:color="auto"/>
            </w:tcBorders>
            <w:shd w:val="clear" w:color="auto" w:fill="E3E5E6" w:themeFill="accent6" w:themeFillTint="33"/>
          </w:tcPr>
          <w:p w:rsidR="002F6875" w:rsidRPr="005D3665" w:rsidRDefault="002F6875" w:rsidP="00D7442C">
            <w:pPr>
              <w:pStyle w:val="Caption"/>
              <w:ind w:left="113" w:right="113"/>
              <w:jc w:val="left"/>
              <w:rPr>
                <w:b/>
                <w:sz w:val="22"/>
              </w:rPr>
            </w:pPr>
            <w:bookmarkStart w:id="21" w:name="_Ref26271583"/>
            <w:r w:rsidRPr="005D3665">
              <w:rPr>
                <w:b/>
                <w:sz w:val="22"/>
              </w:rPr>
              <w:t xml:space="preserve">Box </w:t>
            </w:r>
            <w:r w:rsidRPr="005D3665">
              <w:fldChar w:fldCharType="begin"/>
            </w:r>
            <w:r w:rsidRPr="005D3665">
              <w:rPr>
                <w:b/>
                <w:sz w:val="22"/>
              </w:rPr>
              <w:instrText xml:space="preserve"> SEQ Box \* ARABIC </w:instrText>
            </w:r>
            <w:r w:rsidRPr="005D3665">
              <w:fldChar w:fldCharType="separate"/>
            </w:r>
            <w:r w:rsidR="00DC02AF">
              <w:rPr>
                <w:b/>
                <w:noProof/>
                <w:sz w:val="22"/>
              </w:rPr>
              <w:t>3</w:t>
            </w:r>
            <w:r w:rsidRPr="005D3665">
              <w:fldChar w:fldCharType="end"/>
            </w:r>
            <w:bookmarkEnd w:id="21"/>
            <w:r w:rsidRPr="005D3665">
              <w:rPr>
                <w:b/>
                <w:sz w:val="22"/>
              </w:rPr>
              <w:t>: Case study – Negative gearing and the capital gains tax discount</w:t>
            </w:r>
          </w:p>
          <w:p w:rsidR="002A1F7A" w:rsidRPr="005D3665" w:rsidRDefault="00524EC4" w:rsidP="00D7442C">
            <w:pPr>
              <w:pStyle w:val="BodyText"/>
              <w:ind w:left="113" w:right="113"/>
              <w:rPr>
                <w:b w:val="0"/>
                <w:sz w:val="22"/>
                <w:lang w:eastAsia="en-AU"/>
              </w:rPr>
            </w:pPr>
            <w:r>
              <w:rPr>
                <w:b w:val="0"/>
                <w:sz w:val="22"/>
                <w:lang w:eastAsia="en-AU"/>
              </w:rPr>
              <w:t>T</w:t>
            </w:r>
            <w:r w:rsidR="002A1F7A" w:rsidRPr="005D3665">
              <w:rPr>
                <w:b w:val="0"/>
                <w:sz w:val="22"/>
                <w:lang w:eastAsia="en-AU"/>
              </w:rPr>
              <w:t xml:space="preserve">he Australian </w:t>
            </w:r>
            <w:proofErr w:type="spellStart"/>
            <w:r w:rsidR="002A1F7A" w:rsidRPr="005D3665">
              <w:rPr>
                <w:b w:val="0"/>
                <w:sz w:val="22"/>
                <w:lang w:eastAsia="en-AU"/>
              </w:rPr>
              <w:t>Labor</w:t>
            </w:r>
            <w:proofErr w:type="spellEnd"/>
            <w:r w:rsidR="002A1F7A" w:rsidRPr="005D3665">
              <w:rPr>
                <w:b w:val="0"/>
                <w:sz w:val="22"/>
                <w:lang w:eastAsia="en-AU"/>
              </w:rPr>
              <w:t xml:space="preserve"> Party </w:t>
            </w:r>
            <w:r>
              <w:rPr>
                <w:b w:val="0"/>
                <w:sz w:val="22"/>
                <w:lang w:eastAsia="en-AU"/>
              </w:rPr>
              <w:t>and the Australian Greens both made election commitments in 2019 that involved the removal</w:t>
            </w:r>
            <w:r w:rsidR="002A1F7A" w:rsidRPr="005D3665">
              <w:rPr>
                <w:b w:val="0"/>
                <w:sz w:val="22"/>
                <w:lang w:eastAsia="en-AU"/>
              </w:rPr>
              <w:t xml:space="preserve"> </w:t>
            </w:r>
            <w:r>
              <w:rPr>
                <w:b w:val="0"/>
                <w:sz w:val="22"/>
                <w:lang w:eastAsia="en-AU"/>
              </w:rPr>
              <w:t xml:space="preserve">of </w:t>
            </w:r>
            <w:r w:rsidR="002A1F7A" w:rsidRPr="005D3665">
              <w:rPr>
                <w:b w:val="0"/>
                <w:sz w:val="22"/>
                <w:lang w:eastAsia="en-AU"/>
              </w:rPr>
              <w:t>negative gearing</w:t>
            </w:r>
            <w:r w:rsidR="008F61D4">
              <w:rPr>
                <w:b w:val="0"/>
                <w:sz w:val="22"/>
                <w:lang w:eastAsia="en-AU"/>
              </w:rPr>
              <w:t xml:space="preserve"> and changes to the capital gains tax discount</w:t>
            </w:r>
            <w:r w:rsidR="002A1F7A" w:rsidRPr="005D3665">
              <w:rPr>
                <w:b w:val="0"/>
                <w:sz w:val="22"/>
                <w:lang w:eastAsia="en-AU"/>
              </w:rPr>
              <w:t xml:space="preserve"> (see </w:t>
            </w:r>
            <w:r w:rsidR="002A1F7A" w:rsidRPr="005D3665">
              <w:rPr>
                <w:b w:val="0"/>
                <w:i/>
                <w:sz w:val="22"/>
                <w:lang w:eastAsia="en-AU"/>
              </w:rPr>
              <w:t>Negative gearing and capital gains tax (CGT) reform</w:t>
            </w:r>
            <w:r w:rsidR="002A1F7A" w:rsidRPr="005D3665">
              <w:rPr>
                <w:b w:val="0"/>
                <w:sz w:val="22"/>
                <w:lang w:eastAsia="en-AU"/>
              </w:rPr>
              <w:t xml:space="preserve"> </w:t>
            </w:r>
            <w:hyperlink r:id="rId35" w:history="1">
              <w:r w:rsidR="002A1F7A" w:rsidRPr="005D3665">
                <w:rPr>
                  <w:rStyle w:val="Hyperlink"/>
                  <w:b w:val="0"/>
                  <w:sz w:val="22"/>
                  <w:lang w:eastAsia="en-AU"/>
                </w:rPr>
                <w:t>PER414</w:t>
              </w:r>
            </w:hyperlink>
            <w:r>
              <w:rPr>
                <w:b w:val="0"/>
                <w:sz w:val="22"/>
                <w:lang w:eastAsia="en-AU"/>
              </w:rPr>
              <w:t xml:space="preserve">, and </w:t>
            </w:r>
            <w:r>
              <w:rPr>
                <w:b w:val="0"/>
                <w:i/>
                <w:sz w:val="22"/>
                <w:lang w:eastAsia="en-AU"/>
              </w:rPr>
              <w:t>Phase out the current tax treatment of negative gearing and the capital gains tax discount</w:t>
            </w:r>
            <w:r>
              <w:rPr>
                <w:b w:val="0"/>
                <w:sz w:val="22"/>
                <w:lang w:eastAsia="en-AU"/>
              </w:rPr>
              <w:t xml:space="preserve"> </w:t>
            </w:r>
            <w:hyperlink r:id="rId36" w:history="1">
              <w:r w:rsidRPr="00524EC4">
                <w:rPr>
                  <w:rStyle w:val="Hyperlink"/>
                  <w:b w:val="0"/>
                  <w:sz w:val="22"/>
                  <w:lang w:eastAsia="en-AU"/>
                </w:rPr>
                <w:t>PER660</w:t>
              </w:r>
            </w:hyperlink>
            <w:r>
              <w:rPr>
                <w:b w:val="0"/>
                <w:sz w:val="22"/>
                <w:lang w:eastAsia="en-AU"/>
              </w:rPr>
              <w:t>)</w:t>
            </w:r>
            <w:r w:rsidR="002A1F7A" w:rsidRPr="005D3665">
              <w:rPr>
                <w:b w:val="0"/>
                <w:sz w:val="22"/>
                <w:lang w:eastAsia="en-AU"/>
              </w:rPr>
              <w:t xml:space="preserve">.  </w:t>
            </w:r>
            <w:r w:rsidR="00EB7992">
              <w:rPr>
                <w:b w:val="0"/>
                <w:sz w:val="22"/>
                <w:lang w:eastAsia="en-AU"/>
              </w:rPr>
              <w:t>Each of the</w:t>
            </w:r>
            <w:r w:rsidR="002A1F7A" w:rsidRPr="005D3665">
              <w:rPr>
                <w:b w:val="0"/>
                <w:sz w:val="22"/>
                <w:lang w:eastAsia="en-AU"/>
              </w:rPr>
              <w:t xml:space="preserve"> proposal</w:t>
            </w:r>
            <w:r>
              <w:rPr>
                <w:b w:val="0"/>
                <w:sz w:val="22"/>
                <w:lang w:eastAsia="en-AU"/>
              </w:rPr>
              <w:t>s</w:t>
            </w:r>
            <w:r w:rsidR="002A1F7A" w:rsidRPr="005D3665">
              <w:rPr>
                <w:b w:val="0"/>
                <w:sz w:val="22"/>
                <w:lang w:eastAsia="en-AU"/>
              </w:rPr>
              <w:t xml:space="preserve"> </w:t>
            </w:r>
            <w:r>
              <w:rPr>
                <w:b w:val="0"/>
                <w:sz w:val="22"/>
                <w:lang w:eastAsia="en-AU"/>
              </w:rPr>
              <w:t xml:space="preserve">would </w:t>
            </w:r>
            <w:r w:rsidR="002A1F7A" w:rsidRPr="005D3665">
              <w:rPr>
                <w:b w:val="0"/>
                <w:sz w:val="22"/>
                <w:lang w:eastAsia="en-AU"/>
              </w:rPr>
              <w:t xml:space="preserve">only apply to assets purchased after the policy start date, </w:t>
            </w:r>
            <w:r>
              <w:rPr>
                <w:b w:val="0"/>
                <w:sz w:val="22"/>
                <w:lang w:eastAsia="en-AU"/>
              </w:rPr>
              <w:t xml:space="preserve">providing </w:t>
            </w:r>
            <w:r w:rsidR="002A1F7A" w:rsidRPr="005D3665">
              <w:rPr>
                <w:b w:val="0"/>
                <w:sz w:val="22"/>
                <w:lang w:eastAsia="en-AU"/>
              </w:rPr>
              <w:t xml:space="preserve">a strong incentive for investors to bring forward their </w:t>
            </w:r>
            <w:r w:rsidR="00802A1B" w:rsidRPr="005D3665">
              <w:rPr>
                <w:b w:val="0"/>
                <w:sz w:val="22"/>
                <w:lang w:eastAsia="en-AU"/>
              </w:rPr>
              <w:t xml:space="preserve">asset </w:t>
            </w:r>
            <w:r w:rsidR="002A1F7A" w:rsidRPr="005D3665">
              <w:rPr>
                <w:b w:val="0"/>
                <w:sz w:val="22"/>
                <w:lang w:eastAsia="en-AU"/>
              </w:rPr>
              <w:t>purchases to before th</w:t>
            </w:r>
            <w:r>
              <w:rPr>
                <w:b w:val="0"/>
                <w:sz w:val="22"/>
                <w:lang w:eastAsia="en-AU"/>
              </w:rPr>
              <w:t xml:space="preserve">is </w:t>
            </w:r>
            <w:r w:rsidR="002A1F7A" w:rsidRPr="005D3665">
              <w:rPr>
                <w:b w:val="0"/>
                <w:sz w:val="22"/>
                <w:lang w:eastAsia="en-AU"/>
              </w:rPr>
              <w:t>date.  This would ensure these investors would continue to access negative gearing and the existing capital gains tax discount on these assets.</w:t>
            </w:r>
          </w:p>
          <w:p w:rsidR="002A1F7A" w:rsidRPr="005D3665" w:rsidRDefault="002A1F7A" w:rsidP="00D7442C">
            <w:pPr>
              <w:pStyle w:val="BodyText"/>
              <w:ind w:left="113" w:right="113"/>
              <w:rPr>
                <w:b w:val="0"/>
                <w:sz w:val="22"/>
                <w:lang w:eastAsia="en-AU"/>
              </w:rPr>
            </w:pPr>
            <w:r w:rsidRPr="005D3665">
              <w:rPr>
                <w:b w:val="0"/>
                <w:sz w:val="22"/>
                <w:lang w:eastAsia="en-AU"/>
              </w:rPr>
              <w:t xml:space="preserve">There is </w:t>
            </w:r>
            <w:r w:rsidR="00164E63" w:rsidRPr="005D3665">
              <w:rPr>
                <w:b w:val="0"/>
                <w:sz w:val="22"/>
                <w:lang w:eastAsia="en-AU"/>
              </w:rPr>
              <w:t xml:space="preserve">international </w:t>
            </w:r>
            <w:r w:rsidRPr="005D3665">
              <w:rPr>
                <w:b w:val="0"/>
                <w:sz w:val="22"/>
                <w:lang w:eastAsia="en-AU"/>
              </w:rPr>
              <w:t>empirical evidence t</w:t>
            </w:r>
            <w:r w:rsidR="000912AC" w:rsidRPr="005D3665">
              <w:rPr>
                <w:b w:val="0"/>
                <w:sz w:val="22"/>
                <w:lang w:eastAsia="en-AU"/>
              </w:rPr>
              <w:t>o</w:t>
            </w:r>
            <w:r w:rsidRPr="005D3665">
              <w:rPr>
                <w:b w:val="0"/>
                <w:sz w:val="22"/>
                <w:lang w:eastAsia="en-AU"/>
              </w:rPr>
              <w:t xml:space="preserve"> suggest </w:t>
            </w:r>
            <w:r w:rsidR="000912AC" w:rsidRPr="005D3665">
              <w:rPr>
                <w:b w:val="0"/>
                <w:sz w:val="22"/>
                <w:lang w:eastAsia="en-AU"/>
              </w:rPr>
              <w:t xml:space="preserve">that </w:t>
            </w:r>
            <w:r w:rsidRPr="005D3665">
              <w:rPr>
                <w:b w:val="0"/>
                <w:sz w:val="22"/>
                <w:lang w:eastAsia="en-AU"/>
              </w:rPr>
              <w:t>some individuals bring forward transactions to reduce the impact of a future property tax increase.</w:t>
            </w:r>
            <w:r w:rsidRPr="005D3665">
              <w:rPr>
                <w:b w:val="0"/>
                <w:sz w:val="22"/>
                <w:vertAlign w:val="superscript"/>
                <w:lang w:eastAsia="en-AU"/>
              </w:rPr>
              <w:footnoteReference w:id="9"/>
            </w:r>
            <w:r w:rsidRPr="005D3665">
              <w:rPr>
                <w:b w:val="0"/>
                <w:sz w:val="22"/>
                <w:lang w:eastAsia="en-AU"/>
              </w:rPr>
              <w:t xml:space="preserve">  </w:t>
            </w:r>
            <w:r w:rsidR="002A7194" w:rsidRPr="005D3665">
              <w:rPr>
                <w:b w:val="0"/>
                <w:sz w:val="22"/>
                <w:lang w:eastAsia="en-AU"/>
              </w:rPr>
              <w:t xml:space="preserve">To back up this evidence, we conducted our own empirical research </w:t>
            </w:r>
            <w:r w:rsidRPr="005D3665">
              <w:rPr>
                <w:b w:val="0"/>
                <w:sz w:val="22"/>
                <w:lang w:eastAsia="en-AU"/>
              </w:rPr>
              <w:t xml:space="preserve">on the introduction of the </w:t>
            </w:r>
            <w:r w:rsidR="00EB7992">
              <w:rPr>
                <w:b w:val="0"/>
                <w:sz w:val="22"/>
                <w:lang w:eastAsia="en-AU"/>
              </w:rPr>
              <w:t>g</w:t>
            </w:r>
            <w:r w:rsidRPr="005D3665">
              <w:rPr>
                <w:b w:val="0"/>
                <w:sz w:val="22"/>
                <w:lang w:eastAsia="en-AU"/>
              </w:rPr>
              <w:t xml:space="preserve">oods and </w:t>
            </w:r>
            <w:r w:rsidR="00EB7992">
              <w:rPr>
                <w:b w:val="0"/>
                <w:sz w:val="22"/>
                <w:lang w:eastAsia="en-AU"/>
              </w:rPr>
              <w:t>s</w:t>
            </w:r>
            <w:r w:rsidRPr="005D3665">
              <w:rPr>
                <w:b w:val="0"/>
                <w:sz w:val="22"/>
                <w:lang w:eastAsia="en-AU"/>
              </w:rPr>
              <w:t xml:space="preserve">ervices </w:t>
            </w:r>
            <w:r w:rsidR="00EB7992">
              <w:rPr>
                <w:b w:val="0"/>
                <w:sz w:val="22"/>
                <w:lang w:eastAsia="en-AU"/>
              </w:rPr>
              <w:t>t</w:t>
            </w:r>
            <w:r w:rsidRPr="005D3665">
              <w:rPr>
                <w:b w:val="0"/>
                <w:sz w:val="22"/>
                <w:lang w:eastAsia="en-AU"/>
              </w:rPr>
              <w:t>ax (GST) on 1 July 2000</w:t>
            </w:r>
            <w:r w:rsidR="002A7194" w:rsidRPr="005D3665">
              <w:rPr>
                <w:b w:val="0"/>
                <w:sz w:val="22"/>
                <w:lang w:eastAsia="en-AU"/>
              </w:rPr>
              <w:t>, which increased the cost of new housing</w:t>
            </w:r>
            <w:r w:rsidRPr="005D3665">
              <w:rPr>
                <w:b w:val="0"/>
                <w:sz w:val="22"/>
                <w:lang w:eastAsia="en-AU"/>
              </w:rPr>
              <w:t>.  By analysing new housing purchases in the years before and after the introduction of the GST, we estimated that approximately 10 per cent of purchases that would have been made in the 12 months following the GST introduction, and a further 5 per cent of purchases that would have been made between 12 and 24 months after the GST introduction, were brought forward to before 1 July 2000 in order to avoid the GST.</w:t>
            </w:r>
          </w:p>
          <w:p w:rsidR="002A1F7A" w:rsidRPr="001F78AC" w:rsidRDefault="00D86FA3" w:rsidP="00D7442C">
            <w:pPr>
              <w:pStyle w:val="BodyText"/>
              <w:ind w:left="113" w:right="113"/>
              <w:rPr>
                <w:b w:val="0"/>
                <w:lang w:eastAsia="en-AU"/>
              </w:rPr>
            </w:pPr>
            <w:r w:rsidRPr="005D3665">
              <w:rPr>
                <w:b w:val="0"/>
                <w:sz w:val="22"/>
                <w:lang w:eastAsia="en-AU"/>
              </w:rPr>
              <w:t xml:space="preserve">The empirical evidence, both domestic and international, </w:t>
            </w:r>
            <w:r w:rsidR="007B18B8" w:rsidRPr="005D3665">
              <w:rPr>
                <w:b w:val="0"/>
                <w:sz w:val="22"/>
                <w:lang w:eastAsia="en-AU"/>
              </w:rPr>
              <w:t xml:space="preserve">was based on relatively small increases in the cost of housing.  </w:t>
            </w:r>
            <w:r w:rsidR="002A1F7A" w:rsidRPr="005D3665">
              <w:rPr>
                <w:b w:val="0"/>
                <w:sz w:val="22"/>
                <w:lang w:eastAsia="en-AU"/>
              </w:rPr>
              <w:t>We looked at a number of scenarios for property investors</w:t>
            </w:r>
            <w:r w:rsidR="007B18B8" w:rsidRPr="005D3665">
              <w:rPr>
                <w:b w:val="0"/>
                <w:sz w:val="22"/>
                <w:lang w:eastAsia="en-AU"/>
              </w:rPr>
              <w:t xml:space="preserve"> under </w:t>
            </w:r>
            <w:r w:rsidR="00EF79F2">
              <w:rPr>
                <w:b w:val="0"/>
                <w:sz w:val="22"/>
                <w:lang w:eastAsia="en-AU"/>
              </w:rPr>
              <w:t xml:space="preserve">both </w:t>
            </w:r>
            <w:r w:rsidR="007B18B8" w:rsidRPr="005D3665">
              <w:rPr>
                <w:b w:val="0"/>
                <w:sz w:val="22"/>
                <w:lang w:eastAsia="en-AU"/>
              </w:rPr>
              <w:t>proposal</w:t>
            </w:r>
            <w:r w:rsidR="00EF79F2">
              <w:rPr>
                <w:b w:val="0"/>
                <w:sz w:val="22"/>
                <w:lang w:eastAsia="en-AU"/>
              </w:rPr>
              <w:t>s</w:t>
            </w:r>
            <w:r w:rsidR="002A1F7A" w:rsidRPr="005D3665">
              <w:rPr>
                <w:b w:val="0"/>
                <w:sz w:val="22"/>
                <w:lang w:eastAsia="en-AU"/>
              </w:rPr>
              <w:t xml:space="preserve"> </w:t>
            </w:r>
            <w:r w:rsidR="007B18B8" w:rsidRPr="005D3665">
              <w:rPr>
                <w:b w:val="0"/>
                <w:sz w:val="22"/>
                <w:lang w:eastAsia="en-AU"/>
              </w:rPr>
              <w:t>and found that, for many investors, the proposal</w:t>
            </w:r>
            <w:r w:rsidR="00EF79F2">
              <w:rPr>
                <w:b w:val="0"/>
                <w:sz w:val="22"/>
                <w:lang w:eastAsia="en-AU"/>
              </w:rPr>
              <w:t>s</w:t>
            </w:r>
            <w:r w:rsidR="007B18B8" w:rsidRPr="005D3665">
              <w:rPr>
                <w:b w:val="0"/>
                <w:sz w:val="22"/>
                <w:lang w:eastAsia="en-AU"/>
              </w:rPr>
              <w:t xml:space="preserve"> would </w:t>
            </w:r>
            <w:r w:rsidR="002A1F7A" w:rsidRPr="005D3665">
              <w:rPr>
                <w:b w:val="0"/>
                <w:sz w:val="22"/>
                <w:lang w:eastAsia="en-AU"/>
              </w:rPr>
              <w:t>have a larger impact on the cost of an investment property</w:t>
            </w:r>
            <w:r w:rsidR="00FF0FD0" w:rsidRPr="005D3665">
              <w:rPr>
                <w:rStyle w:val="FootnoteReference"/>
                <w:b w:val="0"/>
                <w:sz w:val="22"/>
                <w:lang w:eastAsia="en-AU"/>
              </w:rPr>
              <w:footnoteReference w:id="10"/>
            </w:r>
            <w:r w:rsidR="0008327E" w:rsidRPr="005D3665">
              <w:rPr>
                <w:b w:val="0"/>
                <w:sz w:val="22"/>
                <w:lang w:eastAsia="en-AU"/>
              </w:rPr>
              <w:t xml:space="preserve"> </w:t>
            </w:r>
            <w:r w:rsidR="002A1F7A" w:rsidRPr="005D3665">
              <w:rPr>
                <w:b w:val="0"/>
                <w:sz w:val="22"/>
                <w:lang w:eastAsia="en-AU"/>
              </w:rPr>
              <w:t xml:space="preserve">than the introduction of the GST had for new properties.  </w:t>
            </w:r>
            <w:r w:rsidR="00F400DA">
              <w:rPr>
                <w:b w:val="0"/>
                <w:sz w:val="22"/>
                <w:lang w:eastAsia="en-AU"/>
              </w:rPr>
              <w:t xml:space="preserve">After consulting with an </w:t>
            </w:r>
            <w:r w:rsidR="00180596">
              <w:rPr>
                <w:b w:val="0"/>
                <w:sz w:val="22"/>
                <w:lang w:eastAsia="en-AU"/>
              </w:rPr>
              <w:t xml:space="preserve">outside </w:t>
            </w:r>
            <w:r w:rsidR="00F400DA">
              <w:rPr>
                <w:b w:val="0"/>
                <w:sz w:val="22"/>
                <w:lang w:eastAsia="en-AU"/>
              </w:rPr>
              <w:t xml:space="preserve">expert, we applied </w:t>
            </w:r>
            <w:r w:rsidR="000912AC" w:rsidRPr="005D3665">
              <w:rPr>
                <w:b w:val="0"/>
                <w:sz w:val="22"/>
                <w:lang w:eastAsia="en-AU"/>
              </w:rPr>
              <w:t xml:space="preserve">our </w:t>
            </w:r>
            <w:r w:rsidR="008151E1">
              <w:rPr>
                <w:b w:val="0"/>
                <w:sz w:val="22"/>
                <w:lang w:eastAsia="en-AU"/>
              </w:rPr>
              <w:t>expert</w:t>
            </w:r>
            <w:r w:rsidR="008151E1" w:rsidRPr="005D3665">
              <w:rPr>
                <w:b w:val="0"/>
                <w:sz w:val="22"/>
                <w:lang w:eastAsia="en-AU"/>
              </w:rPr>
              <w:t xml:space="preserve"> </w:t>
            </w:r>
            <w:r w:rsidR="000912AC" w:rsidRPr="005D3665">
              <w:rPr>
                <w:b w:val="0"/>
                <w:sz w:val="22"/>
                <w:lang w:eastAsia="en-AU"/>
              </w:rPr>
              <w:t>judgement</w:t>
            </w:r>
            <w:r w:rsidR="00F400DA">
              <w:rPr>
                <w:b w:val="0"/>
                <w:sz w:val="22"/>
                <w:lang w:eastAsia="en-AU"/>
              </w:rPr>
              <w:t xml:space="preserve"> and </w:t>
            </w:r>
            <w:r w:rsidR="002A1F7A" w:rsidRPr="005D3665">
              <w:rPr>
                <w:b w:val="0"/>
                <w:sz w:val="22"/>
                <w:lang w:eastAsia="en-AU"/>
              </w:rPr>
              <w:t xml:space="preserve">assumed </w:t>
            </w:r>
            <w:r w:rsidR="000912AC" w:rsidRPr="005D3665">
              <w:rPr>
                <w:b w:val="0"/>
                <w:sz w:val="22"/>
                <w:lang w:eastAsia="en-AU"/>
              </w:rPr>
              <w:t xml:space="preserve">that </w:t>
            </w:r>
            <w:r w:rsidR="00EF79F2">
              <w:rPr>
                <w:b w:val="0"/>
                <w:sz w:val="22"/>
                <w:lang w:eastAsia="en-AU"/>
              </w:rPr>
              <w:t>both</w:t>
            </w:r>
            <w:r w:rsidR="00EF79F2" w:rsidRPr="005D3665">
              <w:rPr>
                <w:b w:val="0"/>
                <w:sz w:val="22"/>
                <w:lang w:eastAsia="en-AU"/>
              </w:rPr>
              <w:t xml:space="preserve"> </w:t>
            </w:r>
            <w:r w:rsidR="007B18B8" w:rsidRPr="005D3665">
              <w:rPr>
                <w:b w:val="0"/>
                <w:sz w:val="22"/>
                <w:lang w:eastAsia="en-AU"/>
              </w:rPr>
              <w:t>proposal</w:t>
            </w:r>
            <w:r w:rsidR="00EF79F2">
              <w:rPr>
                <w:b w:val="0"/>
                <w:sz w:val="22"/>
                <w:lang w:eastAsia="en-AU"/>
              </w:rPr>
              <w:t>s</w:t>
            </w:r>
            <w:r w:rsidR="007B18B8" w:rsidRPr="005D3665">
              <w:rPr>
                <w:b w:val="0"/>
                <w:sz w:val="22"/>
                <w:lang w:eastAsia="en-AU"/>
              </w:rPr>
              <w:t xml:space="preserve"> would induce </w:t>
            </w:r>
            <w:r w:rsidR="002A1F7A" w:rsidRPr="005D3665">
              <w:rPr>
                <w:b w:val="0"/>
                <w:sz w:val="22"/>
                <w:lang w:eastAsia="en-AU"/>
              </w:rPr>
              <w:t>a more significant behavioural response</w:t>
            </w:r>
            <w:r w:rsidR="00F400DA">
              <w:rPr>
                <w:b w:val="0"/>
                <w:sz w:val="22"/>
                <w:lang w:eastAsia="en-AU"/>
              </w:rPr>
              <w:t>.</w:t>
            </w:r>
            <w:r w:rsidR="00F400DA" w:rsidRPr="005D3665">
              <w:rPr>
                <w:b w:val="0"/>
                <w:sz w:val="22"/>
                <w:lang w:eastAsia="en-AU"/>
              </w:rPr>
              <w:t xml:space="preserve"> </w:t>
            </w:r>
            <w:r w:rsidR="00F400DA">
              <w:rPr>
                <w:b w:val="0"/>
                <w:sz w:val="22"/>
                <w:lang w:eastAsia="en-AU"/>
              </w:rPr>
              <w:t xml:space="preserve"> Specifically, we assumed that </w:t>
            </w:r>
            <w:r w:rsidR="002A1F7A" w:rsidRPr="005D3665">
              <w:rPr>
                <w:b w:val="0"/>
                <w:sz w:val="22"/>
                <w:lang w:eastAsia="en-AU"/>
              </w:rPr>
              <w:t xml:space="preserve">20 per cent of purchases that would have been made in the 12 months after the start date, and 10 per cent of purchases that would have been made between 12 and 24 months after the start date </w:t>
            </w:r>
            <w:r w:rsidR="007B18B8" w:rsidRPr="005D3665">
              <w:rPr>
                <w:b w:val="0"/>
                <w:sz w:val="22"/>
                <w:lang w:eastAsia="en-AU"/>
              </w:rPr>
              <w:t xml:space="preserve">would </w:t>
            </w:r>
            <w:r w:rsidR="000912AC" w:rsidRPr="005D3665">
              <w:rPr>
                <w:b w:val="0"/>
                <w:sz w:val="22"/>
                <w:lang w:eastAsia="en-AU"/>
              </w:rPr>
              <w:t xml:space="preserve">be </w:t>
            </w:r>
            <w:r w:rsidR="002A1F7A" w:rsidRPr="005D3665">
              <w:rPr>
                <w:b w:val="0"/>
                <w:sz w:val="22"/>
                <w:lang w:eastAsia="en-AU"/>
              </w:rPr>
              <w:t>brought forward to before the start date.</w:t>
            </w:r>
          </w:p>
        </w:tc>
      </w:tr>
    </w:tbl>
    <w:p w:rsidR="002A1F7A" w:rsidRDefault="002A1F7A" w:rsidP="00071876">
      <w:pPr>
        <w:pStyle w:val="BodyText"/>
      </w:pPr>
    </w:p>
    <w:p w:rsidR="00071876" w:rsidRDefault="00071876">
      <w:pPr>
        <w:rPr>
          <w:rFonts w:cs="Times New Roman"/>
        </w:rPr>
      </w:pPr>
      <w:r>
        <w:br w:type="page"/>
      </w:r>
    </w:p>
    <w:p w:rsidR="007B498C" w:rsidRDefault="00E2450C" w:rsidP="007B498C">
      <w:pPr>
        <w:pStyle w:val="Heading1"/>
      </w:pPr>
      <w:bookmarkStart w:id="22" w:name="_Ref26366634"/>
      <w:bookmarkStart w:id="23" w:name="_Toc29891185"/>
      <w:r>
        <w:lastRenderedPageBreak/>
        <w:t>Ensuring transparency</w:t>
      </w:r>
      <w:bookmarkEnd w:id="22"/>
      <w:bookmarkEnd w:id="23"/>
      <w:r w:rsidR="00166190" w:rsidDel="00E2450C">
        <w:t xml:space="preserve"> </w:t>
      </w:r>
    </w:p>
    <w:p w:rsidR="00606390" w:rsidRDefault="00606390" w:rsidP="006C48F4">
      <w:pPr>
        <w:pStyle w:val="BodyText"/>
      </w:pPr>
      <w:r>
        <w:t xml:space="preserve">The PBO is committed to transparency around behavioural assumptions.  This helps parliamentarians understand how </w:t>
      </w:r>
      <w:r w:rsidR="00822436">
        <w:t xml:space="preserve">individuals and businesses </w:t>
      </w:r>
      <w:r>
        <w:t>affected by their policy proposals are likely to respond, and provides assurance to the wider public that we think carefully about the assumptions we make.</w:t>
      </w:r>
    </w:p>
    <w:p w:rsidR="00E2450C" w:rsidRDefault="00E2450C" w:rsidP="00E2450C">
      <w:pPr>
        <w:pStyle w:val="Heading2"/>
      </w:pPr>
      <w:r>
        <w:t>We include details of our behavioural assumptions in our costings advice to parliamentarians</w:t>
      </w:r>
    </w:p>
    <w:p w:rsidR="00653160" w:rsidRDefault="000279C5" w:rsidP="006C48F4">
      <w:pPr>
        <w:pStyle w:val="BodyText"/>
      </w:pPr>
      <w:r>
        <w:t>Our</w:t>
      </w:r>
      <w:r w:rsidR="00822436">
        <w:t xml:space="preserve"> </w:t>
      </w:r>
      <w:r w:rsidR="00606390">
        <w:t xml:space="preserve">advice to </w:t>
      </w:r>
      <w:r w:rsidR="00822436">
        <w:t xml:space="preserve">a </w:t>
      </w:r>
      <w:r w:rsidR="00606390">
        <w:t>parliamentarian</w:t>
      </w:r>
      <w:r w:rsidR="00822436">
        <w:t xml:space="preserve"> about their policy proposal </w:t>
      </w:r>
      <w:r w:rsidR="00606390">
        <w:t xml:space="preserve">details all </w:t>
      </w:r>
      <w:r w:rsidR="00822436">
        <w:t xml:space="preserve">of the </w:t>
      </w:r>
      <w:r w:rsidR="00606390">
        <w:t>key assumptions</w:t>
      </w:r>
      <w:r w:rsidR="00822436">
        <w:t xml:space="preserve"> we have made to estimate the cost of the policy proposal</w:t>
      </w:r>
      <w:r w:rsidR="00606390">
        <w:t>, including behavioural assumptions.  As a general rule, this specifically includes the assumed magnitude of the behavioural response, with a discussion about some of the ways those affected may respond.</w:t>
      </w:r>
    </w:p>
    <w:p w:rsidR="00606390" w:rsidRPr="00606390" w:rsidRDefault="00653160" w:rsidP="006C48F4">
      <w:pPr>
        <w:pStyle w:val="BodyText"/>
      </w:pPr>
      <w:r>
        <w:t xml:space="preserve">We also note in our costings advice the degree of uncertainty </w:t>
      </w:r>
      <w:r w:rsidR="00931740">
        <w:t xml:space="preserve">in the estimated budget impact </w:t>
      </w:r>
      <w:r>
        <w:t xml:space="preserve">associated with </w:t>
      </w:r>
      <w:r w:rsidR="001F2D3E">
        <w:t xml:space="preserve">our </w:t>
      </w:r>
      <w:r>
        <w:t xml:space="preserve">behavioural assumptions.  The extent </w:t>
      </w:r>
      <w:r w:rsidR="00931740">
        <w:t xml:space="preserve">of </w:t>
      </w:r>
      <w:r>
        <w:t xml:space="preserve">this uncertainty depends upon the sensitivity of the </w:t>
      </w:r>
      <w:r w:rsidR="00931740">
        <w:t xml:space="preserve">estimates </w:t>
      </w:r>
      <w:r>
        <w:t xml:space="preserve">to particular behavioural responses, the strength and reliability of the underlying evidence, and the degree of confidence we have in applying our </w:t>
      </w:r>
      <w:r w:rsidR="008151E1">
        <w:t xml:space="preserve">expert </w:t>
      </w:r>
      <w:r>
        <w:t xml:space="preserve">judgement. </w:t>
      </w:r>
      <w:r w:rsidR="00606390">
        <w:t xml:space="preserve"> </w:t>
      </w:r>
    </w:p>
    <w:p w:rsidR="00E2450C" w:rsidRDefault="00E2450C" w:rsidP="00E2450C">
      <w:pPr>
        <w:pStyle w:val="Heading2"/>
      </w:pPr>
      <w:r>
        <w:t xml:space="preserve">We undertake sensitivity analysis for </w:t>
      </w:r>
      <w:r w:rsidR="00793E26">
        <w:t>highly</w:t>
      </w:r>
      <w:r w:rsidR="000279C5">
        <w:t xml:space="preserve"> </w:t>
      </w:r>
      <w:r w:rsidR="00793E26">
        <w:t xml:space="preserve">uncertain </w:t>
      </w:r>
      <w:r>
        <w:t>assumptions</w:t>
      </w:r>
    </w:p>
    <w:p w:rsidR="00E2450C" w:rsidRDefault="00951A52" w:rsidP="00E2450C">
      <w:pPr>
        <w:pStyle w:val="BodyText"/>
      </w:pPr>
      <w:r>
        <w:t>In some cases, the estimated budget impact of a proposal will be very sensitive to a highly</w:t>
      </w:r>
      <w:r w:rsidR="001F2D3E">
        <w:t xml:space="preserve"> </w:t>
      </w:r>
      <w:r>
        <w:t xml:space="preserve">uncertain behavioural assumption.  In our costings advice, </w:t>
      </w:r>
      <w:r w:rsidR="00E2450C">
        <w:t xml:space="preserve">we </w:t>
      </w:r>
      <w:r>
        <w:t xml:space="preserve">typically </w:t>
      </w:r>
      <w:r w:rsidR="00E2450C">
        <w:t xml:space="preserve">quantify the impact </w:t>
      </w:r>
      <w:r>
        <w:t xml:space="preserve">that such </w:t>
      </w:r>
      <w:r w:rsidR="00822436">
        <w:t xml:space="preserve">a </w:t>
      </w:r>
      <w:r w:rsidR="00E2450C">
        <w:t xml:space="preserve">behavioural assumption </w:t>
      </w:r>
      <w:r w:rsidR="00822436">
        <w:t xml:space="preserve">has </w:t>
      </w:r>
      <w:r w:rsidR="00E2450C">
        <w:t xml:space="preserve">on the financial implications of a policy proposal, both in dollar terms and as a percentage of the overall </w:t>
      </w:r>
      <w:r>
        <w:t>budget impact</w:t>
      </w:r>
      <w:r w:rsidR="00E2450C">
        <w:t xml:space="preserve">.  </w:t>
      </w:r>
      <w:r>
        <w:t>In the interests of transparency, w</w:t>
      </w:r>
      <w:r w:rsidR="00E2450C">
        <w:t xml:space="preserve">e </w:t>
      </w:r>
      <w:r w:rsidR="005F23C6">
        <w:t xml:space="preserve">often </w:t>
      </w:r>
      <w:r w:rsidR="00E2450C">
        <w:t>provide additional sensitivity analysis</w:t>
      </w:r>
      <w:r>
        <w:t xml:space="preserve"> that states </w:t>
      </w:r>
      <w:r w:rsidR="00E2450C">
        <w:t xml:space="preserve">how the estimated financial impact of a policy proposal would change with a smaller or a larger </w:t>
      </w:r>
      <w:r>
        <w:t xml:space="preserve">assumed </w:t>
      </w:r>
      <w:r w:rsidR="00E2450C">
        <w:t>behavioural response.</w:t>
      </w:r>
    </w:p>
    <w:p w:rsidR="00E2450C" w:rsidRDefault="00E2450C" w:rsidP="00E2450C">
      <w:pPr>
        <w:pStyle w:val="Heading2"/>
      </w:pPr>
      <w:r>
        <w:t>The attached list of behavioural assumptions is provided in the interests of transparency</w:t>
      </w:r>
    </w:p>
    <w:p w:rsidR="007B498C" w:rsidRDefault="00E608E2" w:rsidP="007B498C">
      <w:pPr>
        <w:pStyle w:val="BodyText"/>
      </w:pPr>
      <w:hyperlink w:anchor="_Appendix_A:_Consolidated" w:history="1">
        <w:r w:rsidR="00B92443" w:rsidRPr="00B92443">
          <w:rPr>
            <w:rStyle w:val="Hyperlink"/>
          </w:rPr>
          <w:t>Appendix A</w:t>
        </w:r>
      </w:hyperlink>
      <w:r w:rsidR="00DE524D">
        <w:t xml:space="preserve"> provides </w:t>
      </w:r>
      <w:r w:rsidR="00633BEB">
        <w:t xml:space="preserve">a consolidated list </w:t>
      </w:r>
      <w:r w:rsidR="00DE524D">
        <w:t xml:space="preserve">of </w:t>
      </w:r>
      <w:r w:rsidR="00633BEB">
        <w:t xml:space="preserve">the </w:t>
      </w:r>
      <w:r w:rsidR="00DE524D">
        <w:t xml:space="preserve">behavioural assumptions that have been used in </w:t>
      </w:r>
      <w:r w:rsidR="00633BEB">
        <w:t xml:space="preserve">a wide range of </w:t>
      </w:r>
      <w:r w:rsidR="00931740">
        <w:t xml:space="preserve">published </w:t>
      </w:r>
      <w:r w:rsidR="00DE524D">
        <w:t>PBO costings</w:t>
      </w:r>
      <w:r w:rsidR="005F23C6">
        <w:t xml:space="preserve"> </w:t>
      </w:r>
      <w:r w:rsidR="001F2D3E">
        <w:t>during 2019</w:t>
      </w:r>
      <w:r w:rsidR="00931740">
        <w:t xml:space="preserve">, </w:t>
      </w:r>
      <w:r w:rsidR="005F23C6">
        <w:t xml:space="preserve">including the </w:t>
      </w:r>
      <w:r w:rsidR="00931740">
        <w:t xml:space="preserve">election commitment costings in the </w:t>
      </w:r>
      <w:hyperlink r:id="rId37" w:history="1">
        <w:r w:rsidR="00F400DA" w:rsidRPr="00E16BEB">
          <w:rPr>
            <w:rStyle w:val="Hyperlink"/>
          </w:rPr>
          <w:t>2019</w:t>
        </w:r>
        <w:r w:rsidR="00F400DA">
          <w:rPr>
            <w:rStyle w:val="Hyperlink"/>
          </w:rPr>
          <w:t> </w:t>
        </w:r>
        <w:r w:rsidR="00F400DA" w:rsidRPr="00E16BEB">
          <w:rPr>
            <w:rStyle w:val="Hyperlink"/>
          </w:rPr>
          <w:t>Post</w:t>
        </w:r>
        <w:r w:rsidR="00F400DA">
          <w:rPr>
            <w:rStyle w:val="Hyperlink"/>
          </w:rPr>
          <w:noBreakHyphen/>
        </w:r>
        <w:r w:rsidR="00F400DA" w:rsidRPr="00E16BEB">
          <w:rPr>
            <w:rStyle w:val="Hyperlink"/>
          </w:rPr>
          <w:t>election report of election commitments</w:t>
        </w:r>
      </w:hyperlink>
      <w:r w:rsidR="00DE524D">
        <w:t>.  These cover a broad range of policy areas, including personal income tax, business tax, superannuation, transfer payments, immigration, child</w:t>
      </w:r>
      <w:r w:rsidR="001F2D3E">
        <w:t> </w:t>
      </w:r>
      <w:r w:rsidR="00DE524D">
        <w:t>care, education</w:t>
      </w:r>
      <w:r w:rsidR="000279C5">
        <w:t>,</w:t>
      </w:r>
      <w:r w:rsidR="00DE524D">
        <w:t xml:space="preserve"> and health.</w:t>
      </w:r>
      <w:r w:rsidR="000A3878">
        <w:t xml:space="preserve"> </w:t>
      </w:r>
    </w:p>
    <w:p w:rsidR="006C0D12" w:rsidRDefault="000B7BDC" w:rsidP="007B498C">
      <w:pPr>
        <w:pStyle w:val="BodyText"/>
      </w:pPr>
      <w:r>
        <w:t xml:space="preserve">Each </w:t>
      </w:r>
      <w:r w:rsidR="005F23C6">
        <w:t xml:space="preserve">example provided at </w:t>
      </w:r>
      <w:hyperlink w:anchor="_Appendix_A:_Consolidated" w:history="1">
        <w:r w:rsidR="00FA7206" w:rsidRPr="00844C62">
          <w:rPr>
            <w:rStyle w:val="Hyperlink"/>
          </w:rPr>
          <w:t>Appendix A</w:t>
        </w:r>
      </w:hyperlink>
      <w:r w:rsidR="005F23C6">
        <w:t xml:space="preserve"> </w:t>
      </w:r>
      <w:r>
        <w:t>includes a link to at least one published costing</w:t>
      </w:r>
      <w:r w:rsidR="005F23C6">
        <w:t xml:space="preserve">.  This provides the details of </w:t>
      </w:r>
      <w:r w:rsidR="007E2600">
        <w:t>the policy specification</w:t>
      </w:r>
      <w:r w:rsidR="005F23C6">
        <w:t xml:space="preserve"> that is relevant to the particular behavioural assumption, along with the</w:t>
      </w:r>
      <w:r w:rsidR="007E2600">
        <w:t xml:space="preserve"> </w:t>
      </w:r>
      <w:r w:rsidR="005F23C6">
        <w:t xml:space="preserve">other </w:t>
      </w:r>
      <w:r w:rsidR="007E2600">
        <w:t xml:space="preserve">assumptions, methodology, </w:t>
      </w:r>
      <w:r w:rsidR="005F23C6">
        <w:t>and data that were used to undertake the costing</w:t>
      </w:r>
      <w:r w:rsidR="001F2D3E">
        <w:t>,</w:t>
      </w:r>
      <w:r w:rsidR="005F23C6">
        <w:t xml:space="preserve"> and </w:t>
      </w:r>
      <w:r w:rsidR="007E2600">
        <w:t>a discussion of the uncertainties associated with the costing</w:t>
      </w:r>
      <w:r>
        <w:t xml:space="preserve">.  </w:t>
      </w:r>
      <w:r w:rsidR="00E73BB0">
        <w:t xml:space="preserve">While some assumptions are </w:t>
      </w:r>
      <w:r w:rsidR="00991574">
        <w:t>common</w:t>
      </w:r>
      <w:r>
        <w:t xml:space="preserve"> to a number of policy proposals, </w:t>
      </w:r>
      <w:r w:rsidR="00633BEB">
        <w:t xml:space="preserve">some </w:t>
      </w:r>
      <w:r>
        <w:t xml:space="preserve">are </w:t>
      </w:r>
      <w:r w:rsidR="00633BEB">
        <w:t xml:space="preserve">specific to </w:t>
      </w:r>
      <w:r>
        <w:t xml:space="preserve">a particular policy specification.  The behavioural assumptions </w:t>
      </w:r>
      <w:r w:rsidR="005F23C6">
        <w:t xml:space="preserve">used in </w:t>
      </w:r>
      <w:r w:rsidR="000279C5">
        <w:t xml:space="preserve">our </w:t>
      </w:r>
      <w:r>
        <w:t xml:space="preserve">future costings of similar policy proposals may differ from those in </w:t>
      </w:r>
      <w:hyperlink w:anchor="_Appendix_A:_Consolidated" w:history="1">
        <w:r w:rsidR="00B92443" w:rsidRPr="00844C62">
          <w:rPr>
            <w:rStyle w:val="Hyperlink"/>
          </w:rPr>
          <w:t>Appendix</w:t>
        </w:r>
        <w:r w:rsidR="000279C5">
          <w:rPr>
            <w:rStyle w:val="Hyperlink"/>
          </w:rPr>
          <w:t> </w:t>
        </w:r>
        <w:r w:rsidR="00B92443" w:rsidRPr="00844C62">
          <w:rPr>
            <w:rStyle w:val="Hyperlink"/>
          </w:rPr>
          <w:t>A</w:t>
        </w:r>
      </w:hyperlink>
      <w:r>
        <w:t xml:space="preserve">, particularly if there are differences in the details of the </w:t>
      </w:r>
      <w:r w:rsidR="00793E26">
        <w:t xml:space="preserve">proposed policy </w:t>
      </w:r>
      <w:r>
        <w:t>specification</w:t>
      </w:r>
      <w:r w:rsidR="00B814CF">
        <w:t>s</w:t>
      </w:r>
      <w:r>
        <w:t>.</w:t>
      </w:r>
    </w:p>
    <w:p w:rsidR="007B498C" w:rsidRDefault="00E57988" w:rsidP="00E57988">
      <w:pPr>
        <w:pStyle w:val="BodyText"/>
      </w:pPr>
      <w:r>
        <w:t>B</w:t>
      </w:r>
      <w:r w:rsidR="00633BEB">
        <w:t xml:space="preserve">ehavioural </w:t>
      </w:r>
      <w:r w:rsidR="00E32BB0">
        <w:t xml:space="preserve">assumptions are </w:t>
      </w:r>
      <w:r w:rsidR="00633BEB">
        <w:t xml:space="preserve">regularly </w:t>
      </w:r>
      <w:r w:rsidR="00B814CF">
        <w:t>review</w:t>
      </w:r>
      <w:r w:rsidR="00E32BB0">
        <w:t>ed</w:t>
      </w:r>
      <w:r w:rsidR="00B814CF">
        <w:t xml:space="preserve"> and update</w:t>
      </w:r>
      <w:r w:rsidR="00E32BB0">
        <w:t>d</w:t>
      </w:r>
      <w:r w:rsidR="00B814CF">
        <w:t xml:space="preserve"> when new evidence comes to light.  </w:t>
      </w:r>
      <w:r w:rsidR="007B498C">
        <w:t xml:space="preserve">We welcome scrutiny </w:t>
      </w:r>
      <w:r w:rsidR="00633BEB">
        <w:t xml:space="preserve">of </w:t>
      </w:r>
      <w:r w:rsidR="007B498C">
        <w:t>the</w:t>
      </w:r>
      <w:r>
        <w:t>se</w:t>
      </w:r>
      <w:r w:rsidR="007B498C">
        <w:t xml:space="preserve"> assumptions </w:t>
      </w:r>
      <w:r w:rsidR="00633BEB">
        <w:t xml:space="preserve">and invite comments </w:t>
      </w:r>
      <w:r w:rsidR="005F23C6">
        <w:t>on them.  Supporting empirical evidence for these or alternative behavioural assumptions would be particularly welcome.  Please provide any feedback</w:t>
      </w:r>
      <w:r w:rsidR="00633BEB">
        <w:t xml:space="preserve"> to </w:t>
      </w:r>
      <w:hyperlink r:id="rId38" w:history="1">
        <w:r w:rsidR="00EC1E63">
          <w:rPr>
            <w:rStyle w:val="Hyperlink"/>
          </w:rPr>
          <w:t>feedback</w:t>
        </w:r>
        <w:r w:rsidR="00EC1E63" w:rsidRPr="0068619B">
          <w:rPr>
            <w:rStyle w:val="Hyperlink"/>
          </w:rPr>
          <w:t>@pbo.gov.au</w:t>
        </w:r>
      </w:hyperlink>
      <w:r w:rsidR="00633BEB">
        <w:t xml:space="preserve">. </w:t>
      </w:r>
      <w:r w:rsidR="007B498C">
        <w:br w:type="page"/>
      </w:r>
    </w:p>
    <w:p w:rsidR="00071876" w:rsidRDefault="00071876" w:rsidP="00071876">
      <w:pPr>
        <w:pStyle w:val="Heading1"/>
        <w:numPr>
          <w:ilvl w:val="0"/>
          <w:numId w:val="0"/>
        </w:numPr>
        <w:ind w:left="765" w:hanging="765"/>
      </w:pPr>
      <w:bookmarkStart w:id="24" w:name="_Toc29891186"/>
      <w:r>
        <w:lastRenderedPageBreak/>
        <w:t>References</w:t>
      </w:r>
      <w:bookmarkEnd w:id="24"/>
    </w:p>
    <w:p w:rsidR="00071876" w:rsidRDefault="00071876" w:rsidP="00071876">
      <w:pPr>
        <w:pStyle w:val="BodyText"/>
      </w:pPr>
      <w:proofErr w:type="spellStart"/>
      <w:r>
        <w:t>Klemm</w:t>
      </w:r>
      <w:proofErr w:type="spellEnd"/>
      <w:r>
        <w:t xml:space="preserve">, A., Liu, L., </w:t>
      </w:r>
      <w:proofErr w:type="spellStart"/>
      <w:r>
        <w:t>Mylonas</w:t>
      </w:r>
      <w:proofErr w:type="spellEnd"/>
      <w:r>
        <w:t xml:space="preserve">, V. and </w:t>
      </w:r>
      <w:proofErr w:type="spellStart"/>
      <w:r>
        <w:t>Wingender</w:t>
      </w:r>
      <w:proofErr w:type="spellEnd"/>
      <w:r>
        <w:t xml:space="preserve">, P., 2018, </w:t>
      </w:r>
      <w:hyperlink r:id="rId39" w:history="1">
        <w:r w:rsidRPr="00B8514E">
          <w:rPr>
            <w:rStyle w:val="Hyperlink"/>
            <w:i/>
          </w:rPr>
          <w:t>Are Elasticities of Taxable Income Rising?</w:t>
        </w:r>
      </w:hyperlink>
      <w:r>
        <w:t>, International Monetary Fund.</w:t>
      </w:r>
    </w:p>
    <w:p w:rsidR="00A62E8C" w:rsidRDefault="00A62E8C" w:rsidP="00071876">
      <w:pPr>
        <w:pStyle w:val="BodyText"/>
      </w:pPr>
      <w:r>
        <w:t xml:space="preserve">Office for Budget Responsibility, 2016, </w:t>
      </w:r>
      <w:hyperlink r:id="rId40" w:history="1">
        <w:proofErr w:type="gramStart"/>
        <w:r w:rsidRPr="00B8514E">
          <w:rPr>
            <w:rStyle w:val="Hyperlink"/>
            <w:i/>
          </w:rPr>
          <w:t>Working</w:t>
        </w:r>
        <w:proofErr w:type="gramEnd"/>
        <w:r w:rsidRPr="00B8514E">
          <w:rPr>
            <w:rStyle w:val="Hyperlink"/>
            <w:i/>
          </w:rPr>
          <w:t xml:space="preserve"> paper No. 10, Forestalling ahead of property tax changes</w:t>
        </w:r>
      </w:hyperlink>
      <w:r>
        <w:t>.</w:t>
      </w:r>
    </w:p>
    <w:p w:rsidR="005D6A23" w:rsidRDefault="005D6A23" w:rsidP="00071876">
      <w:pPr>
        <w:pStyle w:val="BodyText"/>
      </w:pPr>
      <w:r>
        <w:t xml:space="preserve">Parliamentary Budget Office, 2019, </w:t>
      </w:r>
      <w:hyperlink r:id="rId41" w:history="1">
        <w:r w:rsidRPr="005D6A23">
          <w:rPr>
            <w:rStyle w:val="Hyperlink"/>
            <w:i/>
          </w:rPr>
          <w:t>2019 Post-election report of election commitments</w:t>
        </w:r>
      </w:hyperlink>
      <w:r>
        <w:t>.</w:t>
      </w:r>
    </w:p>
    <w:p w:rsidR="00071876" w:rsidRDefault="00071876" w:rsidP="00071876">
      <w:pPr>
        <w:pStyle w:val="BodyText"/>
      </w:pPr>
      <w:r w:rsidRPr="00D33058">
        <w:t xml:space="preserve">PBO Information paper no. </w:t>
      </w:r>
      <w:r>
        <w:t xml:space="preserve">02/2017, </w:t>
      </w:r>
      <w:hyperlink r:id="rId42" w:history="1">
        <w:proofErr w:type="gramStart"/>
        <w:r w:rsidRPr="00B8514E">
          <w:rPr>
            <w:rStyle w:val="Hyperlink"/>
            <w:i/>
          </w:rPr>
          <w:t>What</w:t>
        </w:r>
        <w:proofErr w:type="gramEnd"/>
        <w:r w:rsidRPr="00B8514E">
          <w:rPr>
            <w:rStyle w:val="Hyperlink"/>
            <w:i/>
          </w:rPr>
          <w:t xml:space="preserve"> is a Parliamentary Budget Office costing?</w:t>
        </w:r>
      </w:hyperlink>
    </w:p>
    <w:p w:rsidR="00071876" w:rsidRDefault="00071876" w:rsidP="00071876">
      <w:pPr>
        <w:pStyle w:val="BodyText"/>
      </w:pPr>
      <w:r>
        <w:t xml:space="preserve">PBO Information paper no. </w:t>
      </w:r>
      <w:r w:rsidRPr="00D33058">
        <w:t>03/2017</w:t>
      </w:r>
      <w:r>
        <w:t xml:space="preserve">, </w:t>
      </w:r>
      <w:hyperlink r:id="rId43" w:history="1">
        <w:proofErr w:type="gramStart"/>
        <w:r w:rsidRPr="00B8514E">
          <w:rPr>
            <w:rStyle w:val="Hyperlink"/>
            <w:i/>
          </w:rPr>
          <w:t>Including</w:t>
        </w:r>
        <w:proofErr w:type="gramEnd"/>
        <w:r w:rsidRPr="00B8514E">
          <w:rPr>
            <w:rStyle w:val="Hyperlink"/>
            <w:i/>
          </w:rPr>
          <w:t xml:space="preserve"> broader economic effects in policy costings</w:t>
        </w:r>
      </w:hyperlink>
      <w:r>
        <w:t>.</w:t>
      </w:r>
    </w:p>
    <w:p w:rsidR="000A3878" w:rsidRDefault="000A3878">
      <w:pPr>
        <w:rPr>
          <w:rFonts w:cs="Times New Roman"/>
        </w:rPr>
      </w:pPr>
      <w:r>
        <w:br w:type="page"/>
      </w:r>
    </w:p>
    <w:p w:rsidR="00071876" w:rsidRDefault="009E2EFC" w:rsidP="00571AD4">
      <w:pPr>
        <w:pStyle w:val="Heading1"/>
        <w:numPr>
          <w:ilvl w:val="0"/>
          <w:numId w:val="0"/>
        </w:numPr>
        <w:ind w:left="142"/>
      </w:pPr>
      <w:bookmarkStart w:id="25" w:name="_Appendix_A:_Consolidated"/>
      <w:bookmarkStart w:id="26" w:name="_Ref26391946"/>
      <w:bookmarkStart w:id="27" w:name="_Ref26391958"/>
      <w:bookmarkStart w:id="28" w:name="_Toc29891187"/>
      <w:bookmarkEnd w:id="25"/>
      <w:r>
        <w:lastRenderedPageBreak/>
        <w:t>Appendix A</w:t>
      </w:r>
      <w:r w:rsidR="00CF3243">
        <w:t xml:space="preserve">: </w:t>
      </w:r>
      <w:r w:rsidR="00E46A3C">
        <w:t xml:space="preserve">Consolidated list </w:t>
      </w:r>
      <w:r>
        <w:t xml:space="preserve">of behavioural assumptions used in </w:t>
      </w:r>
      <w:r w:rsidR="00E1169B">
        <w:t xml:space="preserve">published </w:t>
      </w:r>
      <w:r>
        <w:t>PBO costings</w:t>
      </w:r>
      <w:bookmarkEnd w:id="26"/>
      <w:bookmarkEnd w:id="27"/>
      <w:r w:rsidR="00793E26">
        <w:t xml:space="preserve"> in 2019</w:t>
      </w:r>
      <w:bookmarkEnd w:id="28"/>
    </w:p>
    <w:p w:rsidR="0017524A" w:rsidRPr="0017524A" w:rsidRDefault="0017524A" w:rsidP="0017524A">
      <w:pPr>
        <w:pStyle w:val="Heading2NoNumbering"/>
      </w:pPr>
      <w:r>
        <w:t>Contents</w:t>
      </w:r>
    </w:p>
    <w:p w:rsidR="00341E6F" w:rsidRPr="0070027E" w:rsidRDefault="00E608E2" w:rsidP="00341E6F">
      <w:pPr>
        <w:pStyle w:val="TOC1"/>
        <w:rPr>
          <w:rFonts w:eastAsiaTheme="minorEastAsia"/>
          <w:b w:val="0"/>
          <w:color w:val="auto"/>
          <w:sz w:val="22"/>
          <w:lang w:eastAsia="en-AU"/>
        </w:rPr>
      </w:pPr>
      <w:hyperlink w:anchor="_Fully_subsidise_higher" w:history="1">
        <w:r w:rsidR="002A1F7A" w:rsidRPr="0070027E">
          <w:rPr>
            <w:rStyle w:val="Hyperlink"/>
            <w:webHidden/>
            <w:u w:val="none"/>
          </w:rPr>
          <w:t>Education</w:t>
        </w:r>
      </w:hyperlink>
      <w:r w:rsidR="003E5FE3" w:rsidRPr="0070027E">
        <w:rPr>
          <w:webHidden/>
        </w:rPr>
        <w:tab/>
      </w:r>
      <w:r w:rsidR="004626BC" w:rsidRPr="0070027E">
        <w:rPr>
          <w:webHidden/>
        </w:rPr>
        <w:fldChar w:fldCharType="begin"/>
      </w:r>
      <w:r w:rsidR="004626BC" w:rsidRPr="0070027E">
        <w:rPr>
          <w:webHidden/>
        </w:rPr>
        <w:instrText xml:space="preserve"> PAGEREF _Ref25705956 \h </w:instrText>
      </w:r>
      <w:r w:rsidR="004626BC" w:rsidRPr="0070027E">
        <w:rPr>
          <w:webHidden/>
        </w:rPr>
      </w:r>
      <w:r w:rsidR="004626BC" w:rsidRPr="0070027E">
        <w:rPr>
          <w:webHidden/>
        </w:rPr>
        <w:fldChar w:fldCharType="separate"/>
      </w:r>
      <w:r w:rsidR="00DC02AF">
        <w:rPr>
          <w:webHidden/>
        </w:rPr>
        <w:t>12</w:t>
      </w:r>
      <w:r w:rsidR="004626BC" w:rsidRPr="0070027E">
        <w:rPr>
          <w:webHidden/>
        </w:rPr>
        <w:fldChar w:fldCharType="end"/>
      </w:r>
    </w:p>
    <w:p w:rsidR="007E123B" w:rsidRPr="0070027E" w:rsidRDefault="00E608E2" w:rsidP="007E123B">
      <w:pPr>
        <w:pStyle w:val="TOC1"/>
        <w:rPr>
          <w:rFonts w:eastAsiaTheme="minorEastAsia"/>
          <w:b w:val="0"/>
          <w:color w:val="auto"/>
          <w:sz w:val="22"/>
          <w:lang w:eastAsia="en-AU"/>
        </w:rPr>
      </w:pPr>
      <w:hyperlink w:anchor="_Abolish_the_private" w:history="1">
        <w:r w:rsidR="007E123B" w:rsidRPr="0070027E">
          <w:rPr>
            <w:rStyle w:val="Hyperlink"/>
            <w:webHidden/>
            <w:u w:val="none"/>
          </w:rPr>
          <w:t>Health</w:t>
        </w:r>
      </w:hyperlink>
      <w:r w:rsidR="007E123B" w:rsidRPr="0070027E">
        <w:rPr>
          <w:webHidden/>
        </w:rPr>
        <w:tab/>
      </w:r>
      <w:r w:rsidR="00DA608D">
        <w:rPr>
          <w:webHidden/>
        </w:rPr>
        <w:fldChar w:fldCharType="begin"/>
      </w:r>
      <w:r w:rsidR="00DA608D">
        <w:rPr>
          <w:webHidden/>
        </w:rPr>
        <w:instrText xml:space="preserve"> PAGEREF _Ref25705972 \h </w:instrText>
      </w:r>
      <w:r w:rsidR="00DA608D">
        <w:rPr>
          <w:webHidden/>
        </w:rPr>
      </w:r>
      <w:r w:rsidR="00DA608D">
        <w:rPr>
          <w:webHidden/>
        </w:rPr>
        <w:fldChar w:fldCharType="separate"/>
      </w:r>
      <w:r w:rsidR="00DC02AF">
        <w:rPr>
          <w:webHidden/>
        </w:rPr>
        <w:t>13</w:t>
      </w:r>
      <w:r w:rsidR="00DA608D">
        <w:rPr>
          <w:webHidden/>
        </w:rPr>
        <w:fldChar w:fldCharType="end"/>
      </w:r>
    </w:p>
    <w:p w:rsidR="00341E6F" w:rsidRPr="0070027E" w:rsidRDefault="00E608E2" w:rsidP="00341E6F">
      <w:pPr>
        <w:pStyle w:val="TOC1"/>
        <w:rPr>
          <w:rFonts w:eastAsiaTheme="minorEastAsia"/>
          <w:b w:val="0"/>
          <w:color w:val="auto"/>
          <w:sz w:val="22"/>
          <w:lang w:eastAsia="en-AU"/>
        </w:rPr>
      </w:pPr>
      <w:hyperlink w:anchor="_Abolish_boat_turnbacks" w:history="1">
        <w:r w:rsidR="002A1F7A" w:rsidRPr="0070027E">
          <w:rPr>
            <w:rStyle w:val="Hyperlink"/>
            <w:u w:val="none"/>
          </w:rPr>
          <w:t>Immigration</w:t>
        </w:r>
      </w:hyperlink>
      <w:r w:rsidR="003E5FE3" w:rsidRPr="0070027E">
        <w:rPr>
          <w:webHidden/>
        </w:rPr>
        <w:tab/>
      </w:r>
      <w:r w:rsidR="004626BC" w:rsidRPr="0070027E">
        <w:rPr>
          <w:webHidden/>
        </w:rPr>
        <w:fldChar w:fldCharType="begin"/>
      </w:r>
      <w:r w:rsidR="004626BC" w:rsidRPr="0070027E">
        <w:rPr>
          <w:webHidden/>
        </w:rPr>
        <w:instrText xml:space="preserve"> PAGEREF _Ref25705982 \h </w:instrText>
      </w:r>
      <w:r w:rsidR="004626BC" w:rsidRPr="0070027E">
        <w:rPr>
          <w:webHidden/>
        </w:rPr>
      </w:r>
      <w:r w:rsidR="004626BC" w:rsidRPr="0070027E">
        <w:rPr>
          <w:webHidden/>
        </w:rPr>
        <w:fldChar w:fldCharType="separate"/>
      </w:r>
      <w:r w:rsidR="00DC02AF">
        <w:rPr>
          <w:webHidden/>
        </w:rPr>
        <w:t>14</w:t>
      </w:r>
      <w:r w:rsidR="004626BC" w:rsidRPr="0070027E">
        <w:rPr>
          <w:webHidden/>
        </w:rPr>
        <w:fldChar w:fldCharType="end"/>
      </w:r>
    </w:p>
    <w:p w:rsidR="00341E6F" w:rsidRPr="0070027E" w:rsidRDefault="00E608E2" w:rsidP="00341E6F">
      <w:pPr>
        <w:pStyle w:val="TOC1"/>
        <w:rPr>
          <w:rFonts w:eastAsiaTheme="minorEastAsia"/>
          <w:b w:val="0"/>
          <w:color w:val="auto"/>
          <w:sz w:val="22"/>
          <w:lang w:eastAsia="en-AU"/>
        </w:rPr>
      </w:pPr>
      <w:hyperlink w:anchor="_Electric_vehicle_purchasing" w:history="1">
        <w:r w:rsidR="002A1F7A" w:rsidRPr="0070027E">
          <w:rPr>
            <w:rStyle w:val="Hyperlink"/>
            <w:webHidden/>
            <w:u w:val="none"/>
          </w:rPr>
          <w:t>Infrastructure and transport</w:t>
        </w:r>
      </w:hyperlink>
      <w:r w:rsidR="002A1F7A" w:rsidRPr="0070027E">
        <w:rPr>
          <w:webHidden/>
        </w:rPr>
        <w:tab/>
      </w:r>
      <w:r w:rsidR="004626BC" w:rsidRPr="0070027E">
        <w:rPr>
          <w:webHidden/>
        </w:rPr>
        <w:fldChar w:fldCharType="begin"/>
      </w:r>
      <w:r w:rsidR="004626BC" w:rsidRPr="0070027E">
        <w:rPr>
          <w:webHidden/>
        </w:rPr>
        <w:instrText xml:space="preserve"> PAGEREF _Ref25705998 \h </w:instrText>
      </w:r>
      <w:r w:rsidR="004626BC" w:rsidRPr="0070027E">
        <w:rPr>
          <w:webHidden/>
        </w:rPr>
      </w:r>
      <w:r w:rsidR="004626BC" w:rsidRPr="0070027E">
        <w:rPr>
          <w:webHidden/>
        </w:rPr>
        <w:fldChar w:fldCharType="separate"/>
      </w:r>
      <w:r w:rsidR="00DC02AF">
        <w:rPr>
          <w:webHidden/>
        </w:rPr>
        <w:t>15</w:t>
      </w:r>
      <w:r w:rsidR="004626BC" w:rsidRPr="0070027E">
        <w:rPr>
          <w:webHidden/>
        </w:rPr>
        <w:fldChar w:fldCharType="end"/>
      </w:r>
    </w:p>
    <w:p w:rsidR="00341E6F" w:rsidRPr="0070027E" w:rsidRDefault="00E608E2" w:rsidP="00341E6F">
      <w:pPr>
        <w:pStyle w:val="TOC1"/>
        <w:rPr>
          <w:rFonts w:eastAsiaTheme="minorEastAsia"/>
          <w:b w:val="0"/>
          <w:color w:val="auto"/>
          <w:sz w:val="22"/>
          <w:lang w:eastAsia="en-AU"/>
        </w:rPr>
      </w:pPr>
      <w:hyperlink w:anchor="_Increasing_penalty_units" w:history="1">
        <w:r w:rsidR="002A1F7A" w:rsidRPr="0070027E">
          <w:rPr>
            <w:rStyle w:val="Hyperlink"/>
            <w:webHidden/>
            <w:u w:val="none"/>
          </w:rPr>
          <w:t>Legal and justice</w:t>
        </w:r>
      </w:hyperlink>
      <w:r w:rsidR="002A1F7A" w:rsidRPr="0070027E">
        <w:rPr>
          <w:webHidden/>
        </w:rPr>
        <w:tab/>
      </w:r>
      <w:r w:rsidR="004626BC" w:rsidRPr="0070027E">
        <w:rPr>
          <w:webHidden/>
        </w:rPr>
        <w:fldChar w:fldCharType="begin"/>
      </w:r>
      <w:r w:rsidR="004626BC" w:rsidRPr="0070027E">
        <w:rPr>
          <w:webHidden/>
        </w:rPr>
        <w:instrText xml:space="preserve"> PAGEREF _Ref25706009 \h </w:instrText>
      </w:r>
      <w:r w:rsidR="004626BC" w:rsidRPr="0070027E">
        <w:rPr>
          <w:webHidden/>
        </w:rPr>
      </w:r>
      <w:r w:rsidR="004626BC" w:rsidRPr="0070027E">
        <w:rPr>
          <w:webHidden/>
        </w:rPr>
        <w:fldChar w:fldCharType="separate"/>
      </w:r>
      <w:r w:rsidR="00DC02AF">
        <w:rPr>
          <w:webHidden/>
        </w:rPr>
        <w:t>15</w:t>
      </w:r>
      <w:r w:rsidR="004626BC" w:rsidRPr="0070027E">
        <w:rPr>
          <w:webHidden/>
        </w:rPr>
        <w:fldChar w:fldCharType="end"/>
      </w:r>
    </w:p>
    <w:p w:rsidR="00341E6F" w:rsidRPr="0070027E" w:rsidRDefault="00E608E2" w:rsidP="00341E6F">
      <w:pPr>
        <w:pStyle w:val="TOC1"/>
        <w:rPr>
          <w:rFonts w:eastAsiaTheme="minorEastAsia"/>
          <w:b w:val="0"/>
          <w:color w:val="auto"/>
          <w:sz w:val="22"/>
          <w:lang w:eastAsia="en-AU"/>
        </w:rPr>
      </w:pPr>
      <w:hyperlink w:anchor="_Changes_to_superannuation" w:history="1">
        <w:r w:rsidR="002A1F7A" w:rsidRPr="0070027E">
          <w:rPr>
            <w:rStyle w:val="Hyperlink"/>
            <w:webHidden/>
            <w:u w:val="none"/>
          </w:rPr>
          <w:t>Superannuation</w:t>
        </w:r>
      </w:hyperlink>
      <w:r w:rsidR="002A1F7A" w:rsidRPr="0070027E">
        <w:rPr>
          <w:webHidden/>
        </w:rPr>
        <w:tab/>
      </w:r>
      <w:r w:rsidR="004626BC" w:rsidRPr="0070027E">
        <w:rPr>
          <w:webHidden/>
        </w:rPr>
        <w:fldChar w:fldCharType="begin"/>
      </w:r>
      <w:r w:rsidR="004626BC" w:rsidRPr="0070027E">
        <w:rPr>
          <w:webHidden/>
        </w:rPr>
        <w:instrText xml:space="preserve"> PAGEREF _Ref25706019 \h </w:instrText>
      </w:r>
      <w:r w:rsidR="004626BC" w:rsidRPr="0070027E">
        <w:rPr>
          <w:webHidden/>
        </w:rPr>
      </w:r>
      <w:r w:rsidR="004626BC" w:rsidRPr="0070027E">
        <w:rPr>
          <w:webHidden/>
        </w:rPr>
        <w:fldChar w:fldCharType="separate"/>
      </w:r>
      <w:r w:rsidR="00DC02AF">
        <w:rPr>
          <w:webHidden/>
        </w:rPr>
        <w:t>16</w:t>
      </w:r>
      <w:r w:rsidR="004626BC" w:rsidRPr="0070027E">
        <w:rPr>
          <w:webHidden/>
        </w:rPr>
        <w:fldChar w:fldCharType="end"/>
      </w:r>
    </w:p>
    <w:p w:rsidR="00341E6F" w:rsidRPr="0070027E" w:rsidRDefault="00E608E2" w:rsidP="00341E6F">
      <w:pPr>
        <w:pStyle w:val="TOC1"/>
        <w:rPr>
          <w:rFonts w:eastAsiaTheme="minorEastAsia"/>
          <w:b w:val="0"/>
          <w:color w:val="auto"/>
          <w:sz w:val="22"/>
          <w:lang w:eastAsia="en-AU"/>
        </w:rPr>
      </w:pPr>
      <w:hyperlink w:anchor="_Abolish_accelerated_asset" w:history="1">
        <w:r w:rsidR="002A1F7A" w:rsidRPr="0070027E">
          <w:rPr>
            <w:rStyle w:val="Hyperlink"/>
            <w:webHidden/>
            <w:u w:val="none"/>
          </w:rPr>
          <w:t>Taxes</w:t>
        </w:r>
        <w:r w:rsidR="002A1F7A" w:rsidRPr="0070027E">
          <w:rPr>
            <w:rStyle w:val="Hyperlink"/>
            <w:webHidden/>
            <w:u w:val="none"/>
          </w:rPr>
          <w:tab/>
        </w:r>
      </w:hyperlink>
      <w:r w:rsidR="004626BC" w:rsidRPr="0070027E">
        <w:rPr>
          <w:webHidden/>
        </w:rPr>
        <w:tab/>
      </w:r>
      <w:r w:rsidR="004626BC" w:rsidRPr="0070027E">
        <w:rPr>
          <w:webHidden/>
        </w:rPr>
        <w:fldChar w:fldCharType="begin"/>
      </w:r>
      <w:r w:rsidR="004626BC" w:rsidRPr="0070027E">
        <w:rPr>
          <w:webHidden/>
        </w:rPr>
        <w:instrText xml:space="preserve"> PAGEREF _Ref25706028 \h </w:instrText>
      </w:r>
      <w:r w:rsidR="004626BC" w:rsidRPr="0070027E">
        <w:rPr>
          <w:webHidden/>
        </w:rPr>
      </w:r>
      <w:r w:rsidR="004626BC" w:rsidRPr="0070027E">
        <w:rPr>
          <w:webHidden/>
        </w:rPr>
        <w:fldChar w:fldCharType="separate"/>
      </w:r>
      <w:r w:rsidR="00DC02AF">
        <w:rPr>
          <w:webHidden/>
        </w:rPr>
        <w:t>17</w:t>
      </w:r>
      <w:r w:rsidR="004626BC" w:rsidRPr="0070027E">
        <w:rPr>
          <w:webHidden/>
        </w:rPr>
        <w:fldChar w:fldCharType="end"/>
      </w:r>
    </w:p>
    <w:p w:rsidR="00341E6F" w:rsidRPr="00341E6F" w:rsidRDefault="00E608E2" w:rsidP="00341E6F">
      <w:pPr>
        <w:pStyle w:val="TOC1"/>
        <w:rPr>
          <w:rFonts w:eastAsiaTheme="minorEastAsia"/>
          <w:b w:val="0"/>
          <w:color w:val="auto"/>
          <w:sz w:val="22"/>
          <w:lang w:eastAsia="en-AU"/>
        </w:rPr>
      </w:pPr>
      <w:hyperlink w:anchor="_Double_FIRB_fees" w:history="1">
        <w:r w:rsidR="002A1F7A" w:rsidRPr="0070027E">
          <w:rPr>
            <w:rStyle w:val="Hyperlink"/>
            <w:webHidden/>
            <w:u w:val="none"/>
          </w:rPr>
          <w:t>Trade and investment</w:t>
        </w:r>
      </w:hyperlink>
      <w:r w:rsidR="002A1F7A">
        <w:rPr>
          <w:webHidden/>
        </w:rPr>
        <w:tab/>
      </w:r>
      <w:r w:rsidR="004626BC">
        <w:rPr>
          <w:webHidden/>
        </w:rPr>
        <w:fldChar w:fldCharType="begin"/>
      </w:r>
      <w:r w:rsidR="004626BC">
        <w:rPr>
          <w:webHidden/>
        </w:rPr>
        <w:instrText xml:space="preserve"> PAGEREF _Ref25706039 \h </w:instrText>
      </w:r>
      <w:r w:rsidR="004626BC">
        <w:rPr>
          <w:webHidden/>
        </w:rPr>
      </w:r>
      <w:r w:rsidR="004626BC">
        <w:rPr>
          <w:webHidden/>
        </w:rPr>
        <w:fldChar w:fldCharType="separate"/>
      </w:r>
      <w:r w:rsidR="00DC02AF">
        <w:rPr>
          <w:webHidden/>
        </w:rPr>
        <w:t>26</w:t>
      </w:r>
      <w:r w:rsidR="004626BC">
        <w:rPr>
          <w:webHidden/>
        </w:rPr>
        <w:fldChar w:fldCharType="end"/>
      </w:r>
    </w:p>
    <w:p w:rsidR="00341E6F" w:rsidRDefault="00341E6F" w:rsidP="00553445">
      <w:pPr>
        <w:pStyle w:val="Heading2NoNumbering"/>
      </w:pPr>
    </w:p>
    <w:p w:rsidR="00341E6F" w:rsidRDefault="00341E6F">
      <w:pPr>
        <w:rPr>
          <w:rFonts w:asciiTheme="majorHAnsi" w:hAnsiTheme="majorHAnsi"/>
          <w:b/>
          <w:bCs/>
          <w:iCs/>
          <w:color w:val="3D4D7D" w:themeColor="background2"/>
          <w:kern w:val="20"/>
          <w:sz w:val="28"/>
          <w:szCs w:val="28"/>
        </w:rPr>
      </w:pPr>
      <w:r>
        <w:br w:type="page"/>
      </w:r>
    </w:p>
    <w:p w:rsidR="00553445" w:rsidRDefault="00553445" w:rsidP="00553445">
      <w:pPr>
        <w:pStyle w:val="Heading2NoNumbering"/>
      </w:pPr>
      <w:r>
        <w:lastRenderedPageBreak/>
        <w:t>Education</w:t>
      </w:r>
    </w:p>
    <w:p w:rsidR="00553445" w:rsidRDefault="00553445" w:rsidP="00553445">
      <w:pPr>
        <w:pStyle w:val="Heading3"/>
      </w:pPr>
      <w:bookmarkStart w:id="29" w:name="_Fully_subsidise_higher"/>
      <w:bookmarkStart w:id="30" w:name="_Ref25705956"/>
      <w:bookmarkEnd w:id="29"/>
      <w:r>
        <w:t>Fully subsidise higher education</w:t>
      </w:r>
      <w:bookmarkEnd w:id="30"/>
    </w:p>
    <w:p w:rsidR="00553445" w:rsidRDefault="00553445" w:rsidP="00553445">
      <w:pPr>
        <w:pStyle w:val="BodyText"/>
        <w:keepNext/>
        <w:keepLines/>
      </w:pPr>
      <w:r w:rsidRPr="00977141">
        <w:rPr>
          <w:i/>
        </w:rPr>
        <w:t>Assumption:</w:t>
      </w:r>
      <w:r>
        <w:t xml:space="preserve"> There would be a 5 per cent increase in </w:t>
      </w:r>
      <w:r w:rsidR="00335D14">
        <w:t>Technical and Further Education (</w:t>
      </w:r>
      <w:r>
        <w:t>TAFE</w:t>
      </w:r>
      <w:r w:rsidR="00335D14">
        <w:t>)</w:t>
      </w:r>
      <w:r>
        <w:t xml:space="preserve"> and </w:t>
      </w:r>
      <w:r w:rsidR="00335D14">
        <w:t>Vocational Education and Training (</w:t>
      </w:r>
      <w:r>
        <w:t>VET</w:t>
      </w:r>
      <w:r w:rsidR="00335D14">
        <w:t>)</w:t>
      </w:r>
      <w:r>
        <w:t xml:space="preserve"> students, and a 1 per cent increase in undergraduate students under free tuition.</w:t>
      </w:r>
    </w:p>
    <w:p w:rsidR="00E35150" w:rsidRDefault="00553445" w:rsidP="00553445">
      <w:pPr>
        <w:pStyle w:val="BodyText"/>
        <w:keepNext/>
        <w:keepLines/>
      </w:pPr>
      <w:r w:rsidRPr="00977141">
        <w:rPr>
          <w:i/>
        </w:rPr>
        <w:t>Justification:</w:t>
      </w:r>
      <w:r>
        <w:t xml:space="preserve"> Based on consultation with </w:t>
      </w:r>
      <w:r w:rsidR="00C35532">
        <w:t>experts</w:t>
      </w:r>
      <w:r>
        <w:t>.  A review of Australian research also indicated that the response to price is limited in general, but certain groups of potential students would be modestly influenced by price</w:t>
      </w:r>
      <w:r w:rsidR="009F5211">
        <w:t xml:space="preserve"> (for example, see a submission by Chapman to the </w:t>
      </w:r>
      <w:hyperlink r:id="rId44" w:history="1">
        <w:r w:rsidR="009F5211" w:rsidRPr="009F5211">
          <w:rPr>
            <w:rStyle w:val="Hyperlink"/>
          </w:rPr>
          <w:t>Higher Education and Research Reform Bill 2014</w:t>
        </w:r>
      </w:hyperlink>
      <w:r w:rsidR="009F5211">
        <w:t>)</w:t>
      </w:r>
      <w:r>
        <w:t>.</w:t>
      </w:r>
    </w:p>
    <w:p w:rsidR="00553445" w:rsidRDefault="00553445" w:rsidP="00553445">
      <w:pPr>
        <w:pStyle w:val="BodyText"/>
        <w:keepNext/>
        <w:keepLines/>
        <w:rPr>
          <w:rStyle w:val="Hyperlink"/>
        </w:rPr>
      </w:pPr>
      <w:r w:rsidRPr="00977141">
        <w:rPr>
          <w:i/>
        </w:rPr>
        <w:t>Costing:</w:t>
      </w:r>
      <w:r>
        <w:t xml:space="preserve"> </w:t>
      </w:r>
      <w:hyperlink r:id="rId45" w:history="1">
        <w:r w:rsidRPr="00E9526A">
          <w:rPr>
            <w:rStyle w:val="Hyperlink"/>
          </w:rPr>
          <w:t>PER649</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553445" w:rsidP="00553445">
      <w:pPr>
        <w:pStyle w:val="Heading3"/>
      </w:pPr>
      <w:r>
        <w:t>Increase child care subsidies</w:t>
      </w:r>
    </w:p>
    <w:p w:rsidR="00553445" w:rsidRDefault="00553445" w:rsidP="00553445">
      <w:pPr>
        <w:pStyle w:val="BodyText"/>
        <w:keepNext/>
        <w:keepLines/>
      </w:pPr>
      <w:r w:rsidRPr="00977141">
        <w:rPr>
          <w:i/>
        </w:rPr>
        <w:t>Assumption:</w:t>
      </w:r>
      <w:r>
        <w:t xml:space="preserve"> There would be a price elasticity of -0.13 for the decision to use child care, and a price elasticity of -0.25 for the decision to change the hours of formal child care use.</w:t>
      </w:r>
    </w:p>
    <w:p w:rsidR="00553445" w:rsidRDefault="00553445" w:rsidP="00553445">
      <w:pPr>
        <w:pStyle w:val="BodyText"/>
        <w:keepNext/>
        <w:keepLines/>
      </w:pPr>
      <w:r w:rsidRPr="00977141">
        <w:rPr>
          <w:i/>
        </w:rPr>
        <w:t>Justification:</w:t>
      </w:r>
      <w:r>
        <w:t xml:space="preserve"> Based on a </w:t>
      </w:r>
      <w:r w:rsidR="00180596">
        <w:t xml:space="preserve">published </w:t>
      </w:r>
      <w:r>
        <w:t xml:space="preserve">paper </w:t>
      </w:r>
      <w:r w:rsidR="00380042">
        <w:t>by Breunig</w:t>
      </w:r>
      <w:r w:rsidR="00180596">
        <w:t xml:space="preserve">, Weiss, Yamauchi, Gong and </w:t>
      </w:r>
      <w:proofErr w:type="spellStart"/>
      <w:r w:rsidR="00180596">
        <w:t>Mercante</w:t>
      </w:r>
      <w:proofErr w:type="spellEnd"/>
      <w:r w:rsidR="00380042">
        <w:t xml:space="preserve"> </w:t>
      </w:r>
      <w:r>
        <w:t xml:space="preserve">from </w:t>
      </w:r>
      <w:r w:rsidR="00180596">
        <w:t xml:space="preserve">2011 </w:t>
      </w:r>
      <w:r>
        <w:t>(</w:t>
      </w:r>
      <w:hyperlink r:id="rId46" w:anchor="b13" w:history="1">
        <w:r w:rsidR="00180596" w:rsidRPr="00180596">
          <w:rPr>
            <w:rStyle w:val="Hyperlink"/>
          </w:rPr>
          <w:t>Child care availability, quality and affordability: are local problems related to labour supply?</w:t>
        </w:r>
      </w:hyperlink>
      <w:r>
        <w:t xml:space="preserve">).  The elasticities in the paper have been applied in conjunction with consideration of </w:t>
      </w:r>
      <w:r w:rsidRPr="00D116DE">
        <w:t>Australian</w:t>
      </w:r>
      <w:r w:rsidR="001F2D3E">
        <w:t> </w:t>
      </w:r>
      <w:r w:rsidRPr="00D116DE">
        <w:t>Bureau of Statistics</w:t>
      </w:r>
      <w:r>
        <w:t xml:space="preserve"> </w:t>
      </w:r>
      <w:r w:rsidR="00645918">
        <w:t xml:space="preserve">data </w:t>
      </w:r>
      <w:r w:rsidR="00D116DE">
        <w:t>(</w:t>
      </w:r>
      <w:hyperlink r:id="rId47" w:history="1">
        <w:r w:rsidR="00D116DE" w:rsidRPr="00D116DE">
          <w:rPr>
            <w:rStyle w:val="Hyperlink"/>
          </w:rPr>
          <w:t>Cat. No. 4240.0</w:t>
        </w:r>
      </w:hyperlink>
      <w:r w:rsidR="00D116DE">
        <w:t xml:space="preserve">, 2018) </w:t>
      </w:r>
      <w:r>
        <w:t>relating to preschool education.</w:t>
      </w:r>
    </w:p>
    <w:p w:rsidR="00553445" w:rsidRPr="00977141" w:rsidRDefault="00553445" w:rsidP="00553445">
      <w:pPr>
        <w:pStyle w:val="BodyText"/>
        <w:keepNext/>
        <w:keepLines/>
        <w:rPr>
          <w:color w:val="BFBFBF" w:themeColor="background1" w:themeShade="BF"/>
        </w:rPr>
      </w:pPr>
      <w:r w:rsidRPr="00977141">
        <w:rPr>
          <w:i/>
        </w:rPr>
        <w:t>Costing:</w:t>
      </w:r>
      <w:r>
        <w:t xml:space="preserve"> </w:t>
      </w:r>
      <w:hyperlink r:id="rId48" w:history="1">
        <w:r w:rsidRPr="00E9526A">
          <w:rPr>
            <w:rStyle w:val="Hyperlink"/>
          </w:rPr>
          <w:t>PER305</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553445" w:rsidP="00553445">
      <w:pPr>
        <w:pStyle w:val="Heading3"/>
      </w:pPr>
      <w:r>
        <w:t>Increase salaries of early childhood educators</w:t>
      </w:r>
    </w:p>
    <w:p w:rsidR="00553445" w:rsidRDefault="00553445" w:rsidP="00553445">
      <w:pPr>
        <w:pStyle w:val="BodyText"/>
        <w:keepNext/>
        <w:keepLines/>
      </w:pPr>
      <w:r w:rsidRPr="00977141">
        <w:rPr>
          <w:i/>
        </w:rPr>
        <w:t>Assumption:</w:t>
      </w:r>
      <w:r>
        <w:t xml:space="preserve"> There would be no material change in the aggregate number of projected early childhood educators.</w:t>
      </w:r>
    </w:p>
    <w:p w:rsidR="00553445" w:rsidRDefault="00553445" w:rsidP="00553445">
      <w:pPr>
        <w:pStyle w:val="BodyText"/>
        <w:keepNext/>
        <w:keepLines/>
      </w:pPr>
      <w:r w:rsidRPr="00977141">
        <w:rPr>
          <w:i/>
        </w:rPr>
        <w:t>Justification:</w:t>
      </w:r>
      <w:r>
        <w:t xml:space="preserve"> Paying early childhood educators more would not be expected to result in a material change in demand for early childhood education.  </w:t>
      </w:r>
      <w:r w:rsidR="00C35532">
        <w:t xml:space="preserve">In relation to this specific policy, there was </w:t>
      </w:r>
      <w:r>
        <w:t>uncertainty around which educators would be affected, making it difficult to quantify any behavioural response.</w:t>
      </w:r>
    </w:p>
    <w:p w:rsidR="00553445" w:rsidRPr="00977141" w:rsidRDefault="00553445" w:rsidP="00553445">
      <w:pPr>
        <w:pStyle w:val="BodyText"/>
        <w:keepNext/>
        <w:keepLines/>
        <w:rPr>
          <w:color w:val="BFBFBF" w:themeColor="background1" w:themeShade="BF"/>
        </w:rPr>
      </w:pPr>
      <w:r w:rsidRPr="00977141">
        <w:rPr>
          <w:i/>
        </w:rPr>
        <w:t>Costing:</w:t>
      </w:r>
      <w:r>
        <w:t xml:space="preserve"> </w:t>
      </w:r>
      <w:hyperlink r:id="rId49" w:history="1">
        <w:r w:rsidRPr="00E9526A">
          <w:rPr>
            <w:rStyle w:val="Hyperlink"/>
          </w:rPr>
          <w:t>PER348</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553445" w:rsidP="00553445">
      <w:pPr>
        <w:pStyle w:val="Heading3"/>
      </w:pPr>
      <w:r>
        <w:t>Introduce free access to preschool for three-year-old children</w:t>
      </w:r>
    </w:p>
    <w:p w:rsidR="00553445" w:rsidRDefault="00553445" w:rsidP="00553445">
      <w:pPr>
        <w:pStyle w:val="BodyText"/>
        <w:keepNext/>
        <w:keepLines/>
      </w:pPr>
      <w:r w:rsidRPr="00977141">
        <w:rPr>
          <w:i/>
        </w:rPr>
        <w:t>Assumption:</w:t>
      </w:r>
      <w:r>
        <w:t xml:space="preserve"> The proportion of three-year-old children accessing preschool programs in long day care or formal early childhood education settings would rise from 60 per cent to 90 per cent after three</w:t>
      </w:r>
      <w:r w:rsidR="001F2D3E">
        <w:t> </w:t>
      </w:r>
      <w:r>
        <w:t>years.</w:t>
      </w:r>
    </w:p>
    <w:p w:rsidR="00553445" w:rsidRDefault="00553445" w:rsidP="00D7442C">
      <w:pPr>
        <w:pStyle w:val="BodyText"/>
        <w:keepLines/>
      </w:pPr>
      <w:r w:rsidRPr="00977141">
        <w:rPr>
          <w:i/>
        </w:rPr>
        <w:t>Justification:</w:t>
      </w:r>
      <w:r>
        <w:t xml:space="preserve"> Based on the behavioural response of families with four-year-old children when </w:t>
      </w:r>
      <w:r w:rsidR="003526B7">
        <w:t xml:space="preserve">the </w:t>
      </w:r>
      <w:r>
        <w:t xml:space="preserve">free preschool program was introduced nationally, although the response is somewhat smaller to reflect developments in the </w:t>
      </w:r>
      <w:r w:rsidR="00C35532">
        <w:t xml:space="preserve">broader </w:t>
      </w:r>
      <w:r>
        <w:t xml:space="preserve">early childhood education sector.  Information on the take-up of previous funding arrangements by state </w:t>
      </w:r>
      <w:r w:rsidR="00380042">
        <w:t xml:space="preserve">is available at the </w:t>
      </w:r>
      <w:hyperlink r:id="rId50" w:history="1">
        <w:r w:rsidR="00380042">
          <w:rPr>
            <w:rStyle w:val="Hyperlink"/>
          </w:rPr>
          <w:t>Council on Federal Financial Relations</w:t>
        </w:r>
      </w:hyperlink>
      <w:r>
        <w:t>.</w:t>
      </w:r>
    </w:p>
    <w:p w:rsidR="00553445" w:rsidRPr="00977141" w:rsidRDefault="00553445" w:rsidP="00D7442C">
      <w:pPr>
        <w:pStyle w:val="BodyText"/>
        <w:keepLines/>
        <w:rPr>
          <w:color w:val="BFBFBF" w:themeColor="background1" w:themeShade="BF"/>
        </w:rPr>
      </w:pPr>
      <w:r w:rsidRPr="00977141">
        <w:rPr>
          <w:i/>
        </w:rPr>
        <w:t>Costing:</w:t>
      </w:r>
      <w:r>
        <w:t xml:space="preserve"> </w:t>
      </w:r>
      <w:hyperlink r:id="rId51" w:history="1">
        <w:r w:rsidRPr="002409ED">
          <w:rPr>
            <w:rStyle w:val="Hyperlink"/>
          </w:rPr>
          <w:t>PER307</w:t>
        </w:r>
      </w:hyperlink>
      <w:r w:rsidR="00031D19" w:rsidRPr="00193FCD">
        <w:rPr>
          <w:rStyle w:val="Hyperlink"/>
          <w:u w:val="none"/>
        </w:rPr>
        <w:t xml:space="preserve">, </w:t>
      </w:r>
      <w:hyperlink r:id="rId52" w:history="1">
        <w:r w:rsidR="00031D19" w:rsidRPr="00031D19">
          <w:rPr>
            <w:rStyle w:val="Hyperlink"/>
          </w:rPr>
          <w:t>PER635</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553445" w:rsidP="00553445">
      <w:pPr>
        <w:pStyle w:val="Heading2NoNumbering"/>
      </w:pPr>
      <w:r>
        <w:lastRenderedPageBreak/>
        <w:t>Health</w:t>
      </w:r>
    </w:p>
    <w:p w:rsidR="00553445" w:rsidRDefault="00553445" w:rsidP="00553445">
      <w:pPr>
        <w:pStyle w:val="Heading3"/>
      </w:pPr>
      <w:bookmarkStart w:id="31" w:name="_Abolish_the_private"/>
      <w:bookmarkStart w:id="32" w:name="_Ref25705972"/>
      <w:bookmarkEnd w:id="31"/>
      <w:r>
        <w:t>Abolish the private health insurance rebate</w:t>
      </w:r>
      <w:bookmarkEnd w:id="32"/>
    </w:p>
    <w:p w:rsidR="00553445" w:rsidRDefault="00553445" w:rsidP="00553445">
      <w:pPr>
        <w:pStyle w:val="BodyText"/>
        <w:keepNext/>
        <w:keepLines/>
      </w:pPr>
      <w:r w:rsidRPr="00977141">
        <w:rPr>
          <w:i/>
        </w:rPr>
        <w:t>Assumption:</w:t>
      </w:r>
      <w:r>
        <w:t xml:space="preserve"> There would be a price elasticity of -0.6 for the base tier (lowest income group), -0.3 for Tier 1, -0.15 for Tier 2, and -0.05 for Tier 3 (highest income group).</w:t>
      </w:r>
    </w:p>
    <w:p w:rsidR="00553445" w:rsidRPr="00D7442C" w:rsidRDefault="00553445" w:rsidP="00553445">
      <w:pPr>
        <w:pStyle w:val="BodyText"/>
        <w:keepNext/>
        <w:keepLines/>
        <w:rPr>
          <w:spacing w:val="-2"/>
        </w:rPr>
      </w:pPr>
      <w:r w:rsidRPr="00D7442C">
        <w:rPr>
          <w:i/>
          <w:spacing w:val="-2"/>
        </w:rPr>
        <w:t>Justification:</w:t>
      </w:r>
      <w:r w:rsidRPr="00D7442C">
        <w:rPr>
          <w:spacing w:val="-2"/>
        </w:rPr>
        <w:t xml:space="preserve"> Lower-income earners are likely to be most sensitive to price changes.  The elasticities are based on the behavioural impacts of previous downgrades in </w:t>
      </w:r>
      <w:r w:rsidR="00D17AD9" w:rsidRPr="00D7442C">
        <w:rPr>
          <w:spacing w:val="-2"/>
        </w:rPr>
        <w:t xml:space="preserve">private health insurance </w:t>
      </w:r>
      <w:r w:rsidRPr="00D7442C">
        <w:rPr>
          <w:spacing w:val="-2"/>
        </w:rPr>
        <w:t xml:space="preserve">cover, informed by </w:t>
      </w:r>
      <w:r w:rsidR="002C6399" w:rsidRPr="00D7442C">
        <w:rPr>
          <w:spacing w:val="-2"/>
        </w:rPr>
        <w:t>a 2011</w:t>
      </w:r>
      <w:r w:rsidR="00D17AD9" w:rsidRPr="00D7442C">
        <w:rPr>
          <w:spacing w:val="-2"/>
        </w:rPr>
        <w:t> </w:t>
      </w:r>
      <w:r w:rsidRPr="00D7442C">
        <w:rPr>
          <w:spacing w:val="-2"/>
        </w:rPr>
        <w:t xml:space="preserve">research </w:t>
      </w:r>
      <w:r w:rsidR="002C6399" w:rsidRPr="00D7442C">
        <w:rPr>
          <w:spacing w:val="-2"/>
        </w:rPr>
        <w:t xml:space="preserve">paper </w:t>
      </w:r>
      <w:r w:rsidRPr="00D7442C">
        <w:rPr>
          <w:spacing w:val="-2"/>
        </w:rPr>
        <w:t>from the Melbourne Institute</w:t>
      </w:r>
      <w:r w:rsidR="00380042" w:rsidRPr="00D7442C">
        <w:rPr>
          <w:spacing w:val="-2"/>
        </w:rPr>
        <w:t xml:space="preserve"> by Cheng</w:t>
      </w:r>
      <w:r w:rsidRPr="00D7442C">
        <w:rPr>
          <w:spacing w:val="-2"/>
        </w:rPr>
        <w:t xml:space="preserve"> (</w:t>
      </w:r>
      <w:hyperlink r:id="rId53" w:history="1">
        <w:r w:rsidRPr="00D7442C">
          <w:rPr>
            <w:rStyle w:val="Hyperlink"/>
            <w:spacing w:val="-2"/>
          </w:rPr>
          <w:t>Working Paper No. 26/11</w:t>
        </w:r>
      </w:hyperlink>
      <w:r w:rsidRPr="00D7442C">
        <w:rPr>
          <w:spacing w:val="-2"/>
        </w:rPr>
        <w:t xml:space="preserve">).  </w:t>
      </w:r>
      <w:r w:rsidR="00F91E80">
        <w:rPr>
          <w:spacing w:val="-2"/>
        </w:rPr>
        <w:t>T</w:t>
      </w:r>
      <w:r w:rsidRPr="00D7442C">
        <w:rPr>
          <w:spacing w:val="-2"/>
        </w:rPr>
        <w:t xml:space="preserve">he elasticities are larger than some of those estimated in the literature because the </w:t>
      </w:r>
      <w:r w:rsidR="00C35532" w:rsidRPr="00D7442C">
        <w:rPr>
          <w:spacing w:val="-2"/>
        </w:rPr>
        <w:t xml:space="preserve">proposed </w:t>
      </w:r>
      <w:r w:rsidRPr="00D7442C">
        <w:rPr>
          <w:spacing w:val="-2"/>
        </w:rPr>
        <w:t>premium changes would be much larger</w:t>
      </w:r>
      <w:r w:rsidR="003741A2" w:rsidRPr="00D7442C">
        <w:rPr>
          <w:spacing w:val="-2"/>
        </w:rPr>
        <w:t>—</w:t>
      </w:r>
      <w:r w:rsidRPr="00D7442C">
        <w:rPr>
          <w:spacing w:val="-2"/>
        </w:rPr>
        <w:t xml:space="preserve">the literature tends to consider only marginal changes. </w:t>
      </w:r>
    </w:p>
    <w:p w:rsidR="00553445" w:rsidRPr="00977141" w:rsidRDefault="00553445" w:rsidP="00553445">
      <w:pPr>
        <w:pStyle w:val="BodyText"/>
        <w:keepNext/>
        <w:keepLines/>
        <w:rPr>
          <w:color w:val="BFBFBF" w:themeColor="background1" w:themeShade="BF"/>
        </w:rPr>
      </w:pPr>
      <w:r w:rsidRPr="00977141">
        <w:rPr>
          <w:i/>
        </w:rPr>
        <w:t>Costing:</w:t>
      </w:r>
      <w:r>
        <w:t xml:space="preserve"> </w:t>
      </w:r>
      <w:hyperlink r:id="rId54" w:history="1">
        <w:r w:rsidRPr="002409ED">
          <w:rPr>
            <w:rStyle w:val="Hyperlink"/>
          </w:rPr>
          <w:t>PER636</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9167EF" w:rsidRDefault="009167EF" w:rsidP="009167EF">
      <w:pPr>
        <w:pStyle w:val="Heading3"/>
      </w:pPr>
      <w:r>
        <w:t>Expand Medicare to cover dental care</w:t>
      </w:r>
    </w:p>
    <w:p w:rsidR="009167EF" w:rsidRDefault="009167EF" w:rsidP="009167EF">
      <w:pPr>
        <w:pStyle w:val="BodyText"/>
        <w:keepNext/>
        <w:keepLines/>
      </w:pPr>
      <w:r w:rsidRPr="00934159">
        <w:rPr>
          <w:i/>
        </w:rPr>
        <w:t>Assumption:</w:t>
      </w:r>
      <w:r>
        <w:t xml:space="preserve"> Take-up of the expanded scheme would be 65 per cent of the eligible cohort.</w:t>
      </w:r>
    </w:p>
    <w:p w:rsidR="009167EF" w:rsidRDefault="009167EF" w:rsidP="009167EF">
      <w:pPr>
        <w:pStyle w:val="BodyText"/>
        <w:keepNext/>
        <w:keepLines/>
      </w:pPr>
      <w:r w:rsidRPr="00934159">
        <w:rPr>
          <w:i/>
        </w:rPr>
        <w:t>Justification:</w:t>
      </w:r>
      <w:r>
        <w:t xml:space="preserve"> Based on current dental attendance rates for the Australian population and data for the Child Dental Benefits Schedule.</w:t>
      </w:r>
    </w:p>
    <w:p w:rsidR="009167EF" w:rsidRPr="00934159" w:rsidRDefault="009167EF" w:rsidP="009167EF">
      <w:pPr>
        <w:pStyle w:val="BodyText"/>
        <w:keepNext/>
        <w:keepLines/>
        <w:rPr>
          <w:color w:val="BFBFBF" w:themeColor="background1" w:themeShade="BF"/>
        </w:rPr>
      </w:pPr>
      <w:r w:rsidRPr="00934159">
        <w:rPr>
          <w:i/>
        </w:rPr>
        <w:t>Costing</w:t>
      </w:r>
      <w:r>
        <w:rPr>
          <w:i/>
        </w:rPr>
        <w:t>s</w:t>
      </w:r>
      <w:r w:rsidRPr="00934159">
        <w:rPr>
          <w:i/>
        </w:rPr>
        <w:t>:</w:t>
      </w:r>
      <w:r>
        <w:t xml:space="preserve"> </w:t>
      </w:r>
      <w:hyperlink r:id="rId55" w:history="1">
        <w:r w:rsidRPr="009167EF">
          <w:rPr>
            <w:rStyle w:val="Hyperlink"/>
          </w:rPr>
          <w:t>PER377</w:t>
        </w:r>
      </w:hyperlink>
      <w:r>
        <w:t xml:space="preserve">, </w:t>
      </w:r>
      <w:hyperlink r:id="rId56" w:history="1">
        <w:r w:rsidRPr="009167EF">
          <w:rPr>
            <w:rStyle w:val="Hyperlink"/>
          </w:rPr>
          <w:t>PER639</w:t>
        </w:r>
      </w:hyperlink>
    </w:p>
    <w:p w:rsidR="009167EF" w:rsidRPr="00934159" w:rsidRDefault="009167EF" w:rsidP="00716768">
      <w:pPr>
        <w:pStyle w:val="BodyText"/>
        <w:keepLines/>
        <w:spacing w:before="0"/>
        <w:rPr>
          <w:color w:val="BFBFBF" w:themeColor="background1" w:themeShade="BF"/>
        </w:rPr>
      </w:pPr>
      <w:r w:rsidRPr="00934159">
        <w:rPr>
          <w:color w:val="BFBFBF" w:themeColor="background1" w:themeShade="BF"/>
        </w:rPr>
        <w:t>__________________________________________________________________________________</w:t>
      </w:r>
    </w:p>
    <w:p w:rsidR="00553445" w:rsidRDefault="00553445" w:rsidP="00553445">
      <w:pPr>
        <w:pStyle w:val="Heading3"/>
      </w:pPr>
      <w:r>
        <w:t xml:space="preserve">Fully fund opioid substitution therapies </w:t>
      </w:r>
    </w:p>
    <w:p w:rsidR="00553445" w:rsidRDefault="00553445" w:rsidP="00553445">
      <w:pPr>
        <w:pStyle w:val="BodyText"/>
        <w:keepNext/>
        <w:keepLines/>
      </w:pPr>
      <w:r w:rsidRPr="00977141">
        <w:rPr>
          <w:i/>
        </w:rPr>
        <w:t>Assumption:</w:t>
      </w:r>
      <w:r>
        <w:t xml:space="preserve"> The number of opioid</w:t>
      </w:r>
      <w:r w:rsidR="00D17AD9">
        <w:t>-</w:t>
      </w:r>
      <w:r>
        <w:t>dependence treatment patients would increase by around one</w:t>
      </w:r>
      <w:r w:rsidR="00C35532">
        <w:noBreakHyphen/>
      </w:r>
      <w:r>
        <w:t>third relative to the baseline.</w:t>
      </w:r>
    </w:p>
    <w:p w:rsidR="00553445" w:rsidRDefault="00553445" w:rsidP="00553445">
      <w:pPr>
        <w:pStyle w:val="BodyText"/>
        <w:keepNext/>
        <w:keepLines/>
      </w:pPr>
      <w:r w:rsidRPr="00977141">
        <w:rPr>
          <w:i/>
        </w:rPr>
        <w:t>Justification:</w:t>
      </w:r>
      <w:r>
        <w:t xml:space="preserve"> Consistent with recent </w:t>
      </w:r>
      <w:r w:rsidRPr="0018548A">
        <w:t xml:space="preserve">peer‐reviewed </w:t>
      </w:r>
      <w:r w:rsidR="00380042">
        <w:t>research by Chalmers and Ritter</w:t>
      </w:r>
      <w:r w:rsidR="002C6399">
        <w:t xml:space="preserve"> in 2012</w:t>
      </w:r>
      <w:r w:rsidR="00380042">
        <w:t xml:space="preserve"> (</w:t>
      </w:r>
      <w:hyperlink r:id="rId57" w:history="1">
        <w:r w:rsidR="00380042">
          <w:rPr>
            <w:rStyle w:val="Hyperlink"/>
          </w:rPr>
          <w:t>Subsidising patient dispensing fees: the cost of injecting equity into the opioid pharmacotherapy maintenance system</w:t>
        </w:r>
      </w:hyperlink>
      <w:r w:rsidR="00380042" w:rsidRPr="00A514E1">
        <w:rPr>
          <w:rStyle w:val="Hyperlink"/>
          <w:u w:val="none"/>
        </w:rPr>
        <w:t>)</w:t>
      </w:r>
      <w:r>
        <w:t>.  Also accounts for both an increase in average treatment duration and an increase in the number of patients commencing opioid</w:t>
      </w:r>
      <w:r w:rsidR="00D17AD9">
        <w:t>-</w:t>
      </w:r>
      <w:r>
        <w:t>dependence treatment each year as a result of the lower out‐of‐pocket costs.</w:t>
      </w:r>
    </w:p>
    <w:p w:rsidR="00553445" w:rsidRPr="00977141" w:rsidRDefault="00553445" w:rsidP="00553445">
      <w:pPr>
        <w:pStyle w:val="BodyText"/>
        <w:keepNext/>
        <w:keepLines/>
        <w:rPr>
          <w:color w:val="BFBFBF" w:themeColor="background1" w:themeShade="BF"/>
        </w:rPr>
      </w:pPr>
      <w:r w:rsidRPr="00977141">
        <w:rPr>
          <w:i/>
        </w:rPr>
        <w:t>Costing:</w:t>
      </w:r>
      <w:r>
        <w:t xml:space="preserve"> </w:t>
      </w:r>
      <w:hyperlink r:id="rId58" w:history="1">
        <w:r w:rsidRPr="002409ED">
          <w:rPr>
            <w:rStyle w:val="Hyperlink"/>
          </w:rPr>
          <w:t>PER644</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9167EF" w:rsidRDefault="009167EF" w:rsidP="009167EF">
      <w:pPr>
        <w:pStyle w:val="Heading3"/>
      </w:pPr>
      <w:r>
        <w:t xml:space="preserve">Introduce Medicare items for cancer treatment </w:t>
      </w:r>
    </w:p>
    <w:p w:rsidR="009167EF" w:rsidRDefault="009167EF" w:rsidP="009167EF">
      <w:pPr>
        <w:pStyle w:val="BodyText"/>
        <w:keepNext/>
        <w:keepLines/>
      </w:pPr>
      <w:r w:rsidRPr="00934159">
        <w:rPr>
          <w:i/>
        </w:rPr>
        <w:t>Assumption:</w:t>
      </w:r>
      <w:r>
        <w:t xml:space="preserve"> There would be an increase in bulk billing rates for particular services.  For instance, oncology specialists would increase bulk billing rates to 100 per cent (for item 105), surgeons to 85</w:t>
      </w:r>
      <w:r w:rsidR="003A4F6B">
        <w:t> </w:t>
      </w:r>
      <w:r>
        <w:t xml:space="preserve">per cent (for item 105) and consultant physicians to 80 per cent (for item 116). </w:t>
      </w:r>
    </w:p>
    <w:p w:rsidR="00B863B3" w:rsidRDefault="00B863B3" w:rsidP="00B863B3">
      <w:pPr>
        <w:pStyle w:val="BodyText"/>
        <w:keepNext/>
        <w:keepLines/>
      </w:pPr>
      <w:r w:rsidRPr="00934159">
        <w:rPr>
          <w:i/>
        </w:rPr>
        <w:t>Justification:</w:t>
      </w:r>
      <w:r>
        <w:t xml:space="preserve"> This is based on an analysis of detailed Medicare billing data. </w:t>
      </w:r>
    </w:p>
    <w:p w:rsidR="009167EF" w:rsidRDefault="009167EF" w:rsidP="009167EF">
      <w:pPr>
        <w:pStyle w:val="BodyText"/>
        <w:keepNext/>
        <w:keepLines/>
      </w:pPr>
      <w:r w:rsidRPr="00934159">
        <w:rPr>
          <w:i/>
        </w:rPr>
        <w:t>Assumption:</w:t>
      </w:r>
      <w:r>
        <w:t xml:space="preserve"> The number of bulk-billed professional attendances would increase by 5 per cent of the total baseline services. </w:t>
      </w:r>
    </w:p>
    <w:p w:rsidR="009167EF" w:rsidRDefault="009167EF" w:rsidP="009167EF">
      <w:pPr>
        <w:pStyle w:val="BodyText"/>
        <w:keepNext/>
        <w:keepLines/>
      </w:pPr>
      <w:r w:rsidRPr="00934159">
        <w:rPr>
          <w:i/>
        </w:rPr>
        <w:t>Justification:</w:t>
      </w:r>
      <w:r>
        <w:t xml:space="preserve"> </w:t>
      </w:r>
      <w:r w:rsidR="00B863B3">
        <w:t xml:space="preserve">Removing out-of-pocket costs (some of which are significant) would be expected to </w:t>
      </w:r>
      <w:r w:rsidR="00391770">
        <w:t xml:space="preserve">increase demand for </w:t>
      </w:r>
      <w:r w:rsidR="00B863B3">
        <w:t xml:space="preserve">services or </w:t>
      </w:r>
      <w:r w:rsidR="003A4F6B">
        <w:t>lead to</w:t>
      </w:r>
      <w:r w:rsidR="00B863B3">
        <w:t xml:space="preserve"> providers implementing an alternative schedule of care</w:t>
      </w:r>
      <w:r>
        <w:t xml:space="preserve">. </w:t>
      </w:r>
    </w:p>
    <w:p w:rsidR="009167EF" w:rsidRPr="00934159" w:rsidRDefault="009167EF" w:rsidP="009167EF">
      <w:pPr>
        <w:pStyle w:val="BodyText"/>
        <w:keepNext/>
        <w:keepLines/>
        <w:rPr>
          <w:color w:val="BFBFBF" w:themeColor="background1" w:themeShade="BF"/>
        </w:rPr>
      </w:pPr>
      <w:r w:rsidRPr="00934159">
        <w:rPr>
          <w:i/>
        </w:rPr>
        <w:t>Costing:</w:t>
      </w:r>
      <w:r>
        <w:t xml:space="preserve"> </w:t>
      </w:r>
      <w:hyperlink r:id="rId59" w:history="1">
        <w:r w:rsidRPr="009167EF">
          <w:rPr>
            <w:rStyle w:val="Hyperlink"/>
          </w:rPr>
          <w:t>PER372</w:t>
        </w:r>
      </w:hyperlink>
    </w:p>
    <w:p w:rsidR="009167EF" w:rsidRPr="00934159" w:rsidRDefault="009167EF" w:rsidP="00716768">
      <w:pPr>
        <w:pStyle w:val="BodyText"/>
        <w:keepLines/>
        <w:spacing w:before="0"/>
        <w:rPr>
          <w:color w:val="BFBFBF" w:themeColor="background1" w:themeShade="BF"/>
        </w:rPr>
      </w:pPr>
      <w:r w:rsidRPr="00934159">
        <w:rPr>
          <w:color w:val="BFBFBF" w:themeColor="background1" w:themeShade="BF"/>
        </w:rPr>
        <w:t>__________________________________________________________________________________</w:t>
      </w:r>
    </w:p>
    <w:p w:rsidR="009167EF" w:rsidRDefault="009167EF" w:rsidP="009167EF">
      <w:pPr>
        <w:pStyle w:val="Heading3"/>
      </w:pPr>
      <w:r>
        <w:lastRenderedPageBreak/>
        <w:t>Remove the private health insurance rebate from policies that cover public hospital treatment only</w:t>
      </w:r>
    </w:p>
    <w:p w:rsidR="009167EF" w:rsidRDefault="009167EF" w:rsidP="009167EF">
      <w:pPr>
        <w:pStyle w:val="BodyText"/>
        <w:keepNext/>
        <w:keepLines/>
      </w:pPr>
      <w:r w:rsidRPr="00934159">
        <w:rPr>
          <w:i/>
        </w:rPr>
        <w:t>Assumption:</w:t>
      </w:r>
      <w:r>
        <w:t xml:space="preserve"> Affected policy holders with incomes above the Medicare levy surcharge threshold would switch to a different policy.</w:t>
      </w:r>
    </w:p>
    <w:p w:rsidR="009167EF" w:rsidRDefault="009167EF" w:rsidP="009167EF">
      <w:pPr>
        <w:pStyle w:val="BodyText"/>
        <w:keepNext/>
        <w:keepLines/>
      </w:pPr>
      <w:r w:rsidRPr="00934159">
        <w:rPr>
          <w:i/>
        </w:rPr>
        <w:t>Justification:</w:t>
      </w:r>
      <w:r>
        <w:t xml:space="preserve"> </w:t>
      </w:r>
      <w:r w:rsidR="00176036">
        <w:t xml:space="preserve">Most affected </w:t>
      </w:r>
      <w:r>
        <w:t xml:space="preserve">individuals </w:t>
      </w:r>
      <w:r w:rsidR="00176036">
        <w:t xml:space="preserve">would </w:t>
      </w:r>
      <w:r>
        <w:t>be</w:t>
      </w:r>
      <w:r w:rsidR="008E6C40">
        <w:t xml:space="preserve">nefit more from </w:t>
      </w:r>
      <w:r>
        <w:t>paying for a better private health insurance policy than paying the Medicare levy surcharge.  Those affected that are earning below the Medicare levy surcharge threshold may choose to cease holding private health insurance, but this would have no impact on the revenue collected from the Medicare levy surcharge.</w:t>
      </w:r>
    </w:p>
    <w:p w:rsidR="009167EF" w:rsidRPr="00934159" w:rsidRDefault="009167EF" w:rsidP="009167EF">
      <w:pPr>
        <w:pStyle w:val="BodyText"/>
        <w:keepNext/>
        <w:keepLines/>
        <w:rPr>
          <w:color w:val="BFBFBF" w:themeColor="background1" w:themeShade="BF"/>
        </w:rPr>
      </w:pPr>
      <w:r w:rsidRPr="00934159">
        <w:rPr>
          <w:i/>
        </w:rPr>
        <w:t>Costing:</w:t>
      </w:r>
      <w:r>
        <w:t xml:space="preserve"> </w:t>
      </w:r>
      <w:hyperlink r:id="rId60" w:history="1">
        <w:r w:rsidRPr="00EC1088">
          <w:rPr>
            <w:rStyle w:val="Hyperlink"/>
          </w:rPr>
          <w:t>PER378</w:t>
        </w:r>
      </w:hyperlink>
    </w:p>
    <w:p w:rsidR="009167EF" w:rsidRPr="00934159" w:rsidRDefault="009167EF" w:rsidP="00716768">
      <w:pPr>
        <w:pStyle w:val="BodyText"/>
        <w:keepLines/>
        <w:spacing w:before="0"/>
        <w:rPr>
          <w:color w:val="BFBFBF" w:themeColor="background1" w:themeShade="BF"/>
        </w:rPr>
      </w:pPr>
      <w:r w:rsidRPr="00934159">
        <w:rPr>
          <w:color w:val="BFBFBF" w:themeColor="background1" w:themeShade="BF"/>
        </w:rPr>
        <w:t>__________________________________________________________________________________</w:t>
      </w:r>
    </w:p>
    <w:p w:rsidR="00553445" w:rsidRDefault="00553445" w:rsidP="00553445">
      <w:pPr>
        <w:pStyle w:val="Heading2NoNumbering"/>
      </w:pPr>
      <w:r>
        <w:t>Immigration</w:t>
      </w:r>
    </w:p>
    <w:p w:rsidR="00553445" w:rsidRDefault="00553445" w:rsidP="00553445">
      <w:pPr>
        <w:pStyle w:val="Heading3"/>
      </w:pPr>
      <w:bookmarkStart w:id="33" w:name="_Abolish_boat_turnbacks"/>
      <w:bookmarkStart w:id="34" w:name="_Ref25705982"/>
      <w:bookmarkEnd w:id="33"/>
      <w:r>
        <w:t xml:space="preserve">Abolish boat </w:t>
      </w:r>
      <w:proofErr w:type="spellStart"/>
      <w:r>
        <w:t>turnbacks</w:t>
      </w:r>
      <w:proofErr w:type="spellEnd"/>
      <w:r>
        <w:t xml:space="preserve"> and offshore detention</w:t>
      </w:r>
      <w:bookmarkEnd w:id="34"/>
    </w:p>
    <w:p w:rsidR="00553445" w:rsidRDefault="00553445" w:rsidP="00553445">
      <w:pPr>
        <w:pStyle w:val="BodyText"/>
        <w:keepNext/>
        <w:keepLines/>
      </w:pPr>
      <w:r w:rsidRPr="00977141">
        <w:rPr>
          <w:i/>
        </w:rPr>
        <w:t>Assumption:</w:t>
      </w:r>
      <w:r>
        <w:t xml:space="preserve"> Boat arrivals would increase to levels</w:t>
      </w:r>
      <w:r w:rsidR="00380042">
        <w:t xml:space="preserve"> </w:t>
      </w:r>
      <w:r w:rsidR="00910205">
        <w:t>in the 2012</w:t>
      </w:r>
      <w:r w:rsidR="00910205">
        <w:noBreakHyphen/>
        <w:t xml:space="preserve">13 financial year </w:t>
      </w:r>
      <w:r w:rsidR="00380042">
        <w:t>(a maximum of around 25,000 asylum seekers)</w:t>
      </w:r>
      <w:r>
        <w:t>.</w:t>
      </w:r>
    </w:p>
    <w:p w:rsidR="00553445" w:rsidRDefault="00553445" w:rsidP="00553445">
      <w:pPr>
        <w:pStyle w:val="BodyText"/>
        <w:keepNext/>
        <w:keepLines/>
      </w:pPr>
      <w:r w:rsidRPr="00977141">
        <w:rPr>
          <w:i/>
        </w:rPr>
        <w:t>Justification:</w:t>
      </w:r>
      <w:r>
        <w:t xml:space="preserve"> Based on historical </w:t>
      </w:r>
      <w:r w:rsidR="00194F12">
        <w:t xml:space="preserve">analysis </w:t>
      </w:r>
      <w:r>
        <w:t>from the</w:t>
      </w:r>
      <w:r w:rsidR="00380042">
        <w:t xml:space="preserve"> Parliamentary Library</w:t>
      </w:r>
      <w:r>
        <w:t xml:space="preserve"> </w:t>
      </w:r>
      <w:r w:rsidR="00380042">
        <w:t>(</w:t>
      </w:r>
      <w:hyperlink r:id="rId61" w:history="1">
        <w:r w:rsidR="00380042">
          <w:rPr>
            <w:rStyle w:val="Hyperlink"/>
          </w:rPr>
          <w:t xml:space="preserve">Boat </w:t>
        </w:r>
      </w:hyperlink>
      <w:r w:rsidR="00380042">
        <w:rPr>
          <w:rStyle w:val="Hyperlink"/>
        </w:rPr>
        <w:t>arrivals and boat ‘</w:t>
      </w:r>
      <w:proofErr w:type="spellStart"/>
      <w:r w:rsidR="00380042">
        <w:rPr>
          <w:rStyle w:val="Hyperlink"/>
        </w:rPr>
        <w:t>turnbacks</w:t>
      </w:r>
      <w:proofErr w:type="spellEnd"/>
      <w:r w:rsidR="00380042">
        <w:rPr>
          <w:rStyle w:val="Hyperlink"/>
        </w:rPr>
        <w:t>’ in Australia since 1976: a quick guide to the statistics</w:t>
      </w:r>
      <w:r>
        <w:t>)</w:t>
      </w:r>
      <w:r w:rsidR="00194F12">
        <w:t xml:space="preserve"> and consultation </w:t>
      </w:r>
      <w:r w:rsidR="00E43095">
        <w:t xml:space="preserve">with </w:t>
      </w:r>
      <w:r w:rsidR="00194F12" w:rsidRPr="00194F12">
        <w:t>expert</w:t>
      </w:r>
      <w:r w:rsidR="00E43095">
        <w:t>s</w:t>
      </w:r>
      <w:r w:rsidRPr="00194F12">
        <w:t xml:space="preserve">.  </w:t>
      </w:r>
      <w:r w:rsidR="00194F12" w:rsidRPr="00194F12">
        <w:t xml:space="preserve">The proposed policy is less </w:t>
      </w:r>
      <w:r w:rsidR="007F082D" w:rsidRPr="00194F12">
        <w:t>deterrent</w:t>
      </w:r>
      <w:r w:rsidR="007F082D">
        <w:t>-</w:t>
      </w:r>
      <w:r w:rsidR="00194F12" w:rsidRPr="00194F12">
        <w:t xml:space="preserve">focussed than both the baseline policy settings and those which existed when the number of people seeking asylum peaked at around 25,000 in 2012-13.  While the abolition of both boat </w:t>
      </w:r>
      <w:proofErr w:type="spellStart"/>
      <w:r w:rsidR="00194F12" w:rsidRPr="00194F12">
        <w:t>turnback</w:t>
      </w:r>
      <w:r w:rsidR="00194F12" w:rsidRPr="00194F12">
        <w:rPr>
          <w:i/>
        </w:rPr>
        <w:t>s</w:t>
      </w:r>
      <w:proofErr w:type="spellEnd"/>
      <w:r w:rsidR="00194F12" w:rsidRPr="00194F12">
        <w:rPr>
          <w:i/>
        </w:rPr>
        <w:t xml:space="preserve"> </w:t>
      </w:r>
      <w:r w:rsidR="00194F12" w:rsidRPr="00194F12">
        <w:t>and</w:t>
      </w:r>
      <w:r w:rsidR="00194F12" w:rsidRPr="00194F12">
        <w:rPr>
          <w:i/>
        </w:rPr>
        <w:t xml:space="preserve"> </w:t>
      </w:r>
      <w:r w:rsidR="00194F12" w:rsidRPr="00194F12">
        <w:t>offshore detention may result in asylum seeker arrivals rising above this peak</w:t>
      </w:r>
      <w:r w:rsidR="007F082D">
        <w:t>,</w:t>
      </w:r>
      <w:r w:rsidR="00194F12" w:rsidRPr="00194F12">
        <w:t xml:space="preserve"> the 2012-13 figure was considered to be the most reliable indicator of the potential response to this policy</w:t>
      </w:r>
      <w:r w:rsidR="00E16BEB">
        <w:t>, noting that the actual response could vary widely depending on domestic and international circumstances</w:t>
      </w:r>
      <w:r w:rsidR="00042B78">
        <w:t>, which are extremely difficult to predict and incorporate into a policy costing</w:t>
      </w:r>
      <w:r>
        <w:t>.</w:t>
      </w:r>
    </w:p>
    <w:p w:rsidR="00553445" w:rsidRPr="00977141" w:rsidRDefault="00553445" w:rsidP="00553445">
      <w:pPr>
        <w:pStyle w:val="BodyText"/>
        <w:keepNext/>
        <w:keepLines/>
        <w:rPr>
          <w:color w:val="BFBFBF" w:themeColor="background1" w:themeShade="BF"/>
        </w:rPr>
      </w:pPr>
      <w:r w:rsidRPr="00977141">
        <w:rPr>
          <w:i/>
        </w:rPr>
        <w:t>Costing:</w:t>
      </w:r>
      <w:r>
        <w:t xml:space="preserve"> </w:t>
      </w:r>
      <w:hyperlink r:id="rId62" w:history="1">
        <w:r w:rsidRPr="002409ED">
          <w:rPr>
            <w:rStyle w:val="Hyperlink"/>
          </w:rPr>
          <w:t>PER625</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553445" w:rsidP="00553445">
      <w:pPr>
        <w:pStyle w:val="Heading3"/>
      </w:pPr>
      <w:r>
        <w:t>Increase the Temporary Skilled Migration Income Threshold</w:t>
      </w:r>
    </w:p>
    <w:p w:rsidR="00553445" w:rsidRDefault="00553445" w:rsidP="00553445">
      <w:pPr>
        <w:pStyle w:val="BodyText"/>
        <w:keepNext/>
        <w:keepLines/>
      </w:pPr>
      <w:r w:rsidRPr="00977141">
        <w:rPr>
          <w:i/>
        </w:rPr>
        <w:t>Assumption:</w:t>
      </w:r>
      <w:r>
        <w:t xml:space="preserve"> Businesses would not replace temporary foreign workers with local workers.</w:t>
      </w:r>
    </w:p>
    <w:p w:rsidR="00553445" w:rsidRDefault="00553445" w:rsidP="00553445">
      <w:pPr>
        <w:pStyle w:val="BodyText"/>
        <w:keepNext/>
        <w:keepLines/>
      </w:pPr>
      <w:r w:rsidRPr="00977141">
        <w:rPr>
          <w:i/>
        </w:rPr>
        <w:t>Justification:</w:t>
      </w:r>
      <w:r>
        <w:t xml:space="preserve"> Evidenced by the strict labour</w:t>
      </w:r>
      <w:r w:rsidR="008E6C40">
        <w:t>-</w:t>
      </w:r>
      <w:r>
        <w:t>mark</w:t>
      </w:r>
      <w:r w:rsidR="00F45033">
        <w:t>et</w:t>
      </w:r>
      <w:r w:rsidR="008E6C40">
        <w:t>-</w:t>
      </w:r>
      <w:r>
        <w:t>testing requirements in place as part of the visa application process, and based on a</w:t>
      </w:r>
      <w:r w:rsidR="002C6399">
        <w:t xml:space="preserve"> 2016</w:t>
      </w:r>
      <w:r>
        <w:t xml:space="preserve"> </w:t>
      </w:r>
      <w:r w:rsidRPr="008D41D1">
        <w:t xml:space="preserve">academic paper by </w:t>
      </w:r>
      <w:r w:rsidR="00380042" w:rsidRPr="008D27C7">
        <w:t>Breunig</w:t>
      </w:r>
      <w:r w:rsidR="00321BD2" w:rsidRPr="007100F9">
        <w:rPr>
          <w:rStyle w:val="Hyperlink"/>
          <w:u w:val="none"/>
        </w:rPr>
        <w:t xml:space="preserve">, </w:t>
      </w:r>
      <w:proofErr w:type="spellStart"/>
      <w:r w:rsidR="00321BD2" w:rsidRPr="003D40FC">
        <w:rPr>
          <w:rStyle w:val="Hyperlink"/>
          <w:u w:val="none"/>
        </w:rPr>
        <w:t>Deutscher</w:t>
      </w:r>
      <w:proofErr w:type="spellEnd"/>
      <w:r w:rsidR="00321BD2" w:rsidRPr="003D40FC">
        <w:rPr>
          <w:rStyle w:val="Hyperlink"/>
          <w:u w:val="none"/>
        </w:rPr>
        <w:t xml:space="preserve"> and To</w:t>
      </w:r>
      <w:r>
        <w:t xml:space="preserve"> (</w:t>
      </w:r>
      <w:hyperlink r:id="rId63" w:history="1">
        <w:r w:rsidRPr="00380042">
          <w:rPr>
            <w:rStyle w:val="Hyperlink"/>
          </w:rPr>
          <w:t>The</w:t>
        </w:r>
        <w:r w:rsidR="007F082D">
          <w:rPr>
            <w:rStyle w:val="Hyperlink"/>
          </w:rPr>
          <w:t> </w:t>
        </w:r>
        <w:r w:rsidRPr="00380042">
          <w:rPr>
            <w:rStyle w:val="Hyperlink"/>
          </w:rPr>
          <w:t>relationship between immigration to Australia and the labour market outcomes of Australian workers</w:t>
        </w:r>
      </w:hyperlink>
      <w:r>
        <w:t>), which showed no material change in labour market outcomes for Australians as a result of the skilled migrant intake.</w:t>
      </w:r>
    </w:p>
    <w:p w:rsidR="00553445" w:rsidRDefault="00553445" w:rsidP="00553445">
      <w:pPr>
        <w:pStyle w:val="BodyText"/>
        <w:keepNext/>
        <w:keepLines/>
      </w:pPr>
      <w:r w:rsidRPr="00977141">
        <w:rPr>
          <w:i/>
        </w:rPr>
        <w:t>Assumption:</w:t>
      </w:r>
      <w:r>
        <w:t xml:space="preserve"> There would be a labour demand elasticity of -0.5 for subclass 482 visas and -0.4 for subclass 186 and subclass 187 visas.</w:t>
      </w:r>
    </w:p>
    <w:p w:rsidR="00553445" w:rsidRDefault="00553445" w:rsidP="001D0C57">
      <w:pPr>
        <w:pStyle w:val="BodyText"/>
        <w:keepLines/>
      </w:pPr>
      <w:r w:rsidRPr="00977141">
        <w:rPr>
          <w:i/>
        </w:rPr>
        <w:t>Justification:</w:t>
      </w:r>
      <w:r>
        <w:t xml:space="preserve"> Based on </w:t>
      </w:r>
      <w:r w:rsidR="002C6399">
        <w:t xml:space="preserve">2008 </w:t>
      </w:r>
      <w:r>
        <w:t xml:space="preserve">research </w:t>
      </w:r>
      <w:r w:rsidR="002C6399">
        <w:t>commissioned by the Australian Fair Pay Commission (</w:t>
      </w:r>
      <w:hyperlink r:id="rId64" w:history="1">
        <w:r w:rsidR="002C6399">
          <w:rPr>
            <w:rStyle w:val="Hyperlink"/>
          </w:rPr>
          <w:t>Research</w:t>
        </w:r>
        <w:r w:rsidR="00F45033">
          <w:rPr>
            <w:rStyle w:val="Hyperlink"/>
          </w:rPr>
          <w:t> </w:t>
        </w:r>
        <w:r w:rsidR="002C6399">
          <w:rPr>
            <w:rStyle w:val="Hyperlink"/>
          </w:rPr>
          <w:t>Report No. 9/09</w:t>
        </w:r>
      </w:hyperlink>
      <w:r w:rsidR="002C6399">
        <w:t>)</w:t>
      </w:r>
      <w:r>
        <w:t>.</w:t>
      </w:r>
    </w:p>
    <w:p w:rsidR="00193FCD" w:rsidRDefault="00193FCD" w:rsidP="003A725A">
      <w:pPr>
        <w:pStyle w:val="BodyText"/>
        <w:keepNext/>
        <w:keepLines/>
        <w:spacing w:before="100"/>
      </w:pPr>
      <w:r w:rsidRPr="00977141">
        <w:rPr>
          <w:i/>
        </w:rPr>
        <w:lastRenderedPageBreak/>
        <w:t>Assumption:</w:t>
      </w:r>
      <w:r>
        <w:t xml:space="preserve"> </w:t>
      </w:r>
      <w:r w:rsidR="007F3F0D">
        <w:t xml:space="preserve">The increase in visa application charges would </w:t>
      </w:r>
      <w:r w:rsidR="000C7426">
        <w:t xml:space="preserve">cause </w:t>
      </w:r>
      <w:r w:rsidR="007F3F0D">
        <w:t>employers to switch to sponsoring a cheaper visa</w:t>
      </w:r>
      <w:r w:rsidR="000C7426">
        <w:t xml:space="preserve"> (subclass 400) for </w:t>
      </w:r>
      <w:r w:rsidR="007F3F0D">
        <w:t xml:space="preserve">20 </w:t>
      </w:r>
      <w:r>
        <w:t>per cent of applications.</w:t>
      </w:r>
    </w:p>
    <w:p w:rsidR="00193FCD" w:rsidRDefault="00193FCD" w:rsidP="003A725A">
      <w:pPr>
        <w:pStyle w:val="BodyText"/>
        <w:keepNext/>
        <w:keepLines/>
        <w:spacing w:before="100"/>
      </w:pPr>
      <w:r w:rsidRPr="00977141">
        <w:rPr>
          <w:i/>
        </w:rPr>
        <w:t>Justification:</w:t>
      </w:r>
      <w:r>
        <w:t xml:space="preserve"> The primary consideration for visa applications is likely to be the financial cost.  Raising the visa application charge and salary threshold for the Temporary Skilled Migration visas (subclass</w:t>
      </w:r>
      <w:r w:rsidR="00F45033">
        <w:t> </w:t>
      </w:r>
      <w:r>
        <w:t>482) would create an incentive for short</w:t>
      </w:r>
      <w:r w:rsidR="00F45033">
        <w:t>-</w:t>
      </w:r>
      <w:r>
        <w:t>stay visa applicants to move to cheaper subclass 400 visas.</w:t>
      </w:r>
    </w:p>
    <w:p w:rsidR="00553445" w:rsidRPr="00977141" w:rsidRDefault="00553445" w:rsidP="003A725A">
      <w:pPr>
        <w:pStyle w:val="BodyText"/>
        <w:keepNext/>
        <w:keepLines/>
        <w:spacing w:before="100"/>
        <w:rPr>
          <w:color w:val="BFBFBF" w:themeColor="background1" w:themeShade="BF"/>
        </w:rPr>
      </w:pPr>
      <w:r w:rsidRPr="00977141">
        <w:rPr>
          <w:i/>
        </w:rPr>
        <w:t>Costing:</w:t>
      </w:r>
      <w:r>
        <w:t xml:space="preserve"> </w:t>
      </w:r>
      <w:hyperlink r:id="rId65" w:history="1">
        <w:r w:rsidRPr="002409ED">
          <w:rPr>
            <w:rStyle w:val="Hyperlink"/>
          </w:rPr>
          <w:t>PER280</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D84B7D" w:rsidRDefault="00D84B7D" w:rsidP="007F082D">
      <w:pPr>
        <w:pStyle w:val="Heading3"/>
      </w:pPr>
      <w:r>
        <w:t>Reduce processing time for parent visas</w:t>
      </w:r>
    </w:p>
    <w:p w:rsidR="00D84B7D" w:rsidRDefault="00D84B7D" w:rsidP="003A725A">
      <w:pPr>
        <w:pStyle w:val="BodyText"/>
        <w:keepNext/>
        <w:keepLines/>
        <w:spacing w:before="100"/>
      </w:pPr>
      <w:r w:rsidRPr="00977141">
        <w:rPr>
          <w:i/>
        </w:rPr>
        <w:t>Assumption:</w:t>
      </w:r>
      <w:r>
        <w:t xml:space="preserve"> All prospective applicants for contributory parent visas would apply for much cheaper parent visas.</w:t>
      </w:r>
    </w:p>
    <w:p w:rsidR="00D84B7D" w:rsidRDefault="00D84B7D" w:rsidP="003A725A">
      <w:pPr>
        <w:pStyle w:val="BodyText"/>
        <w:keepNext/>
        <w:keepLines/>
        <w:spacing w:before="100"/>
      </w:pPr>
      <w:r w:rsidRPr="00977141">
        <w:rPr>
          <w:i/>
        </w:rPr>
        <w:t>Justification:</w:t>
      </w:r>
      <w:r>
        <w:t xml:space="preserve"> Contributory visas are more expensive, but have shorter processing times—reducing the processing time for the cheaper visa removes the incentive to pay for the expensive visa.</w:t>
      </w:r>
    </w:p>
    <w:p w:rsidR="00D84B7D" w:rsidRPr="00977141" w:rsidRDefault="00D84B7D" w:rsidP="003A725A">
      <w:pPr>
        <w:pStyle w:val="BodyText"/>
        <w:keepNext/>
        <w:keepLines/>
        <w:spacing w:before="100"/>
        <w:rPr>
          <w:color w:val="BFBFBF" w:themeColor="background1" w:themeShade="BF"/>
        </w:rPr>
      </w:pPr>
      <w:r w:rsidRPr="00977141">
        <w:rPr>
          <w:i/>
        </w:rPr>
        <w:t>Costing:</w:t>
      </w:r>
      <w:r>
        <w:t xml:space="preserve"> </w:t>
      </w:r>
      <w:hyperlink r:id="rId66" w:history="1">
        <w:r w:rsidRPr="002409ED">
          <w:rPr>
            <w:rStyle w:val="Hyperlink"/>
          </w:rPr>
          <w:t>PER626</w:t>
        </w:r>
      </w:hyperlink>
    </w:p>
    <w:p w:rsidR="00D84B7D" w:rsidRPr="00977141" w:rsidRDefault="00D84B7D"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D84B7D" w:rsidRDefault="00D84B7D" w:rsidP="007F082D">
      <w:pPr>
        <w:pStyle w:val="Heading3"/>
      </w:pPr>
      <w:r>
        <w:t>Replace Temporary Sponsored Parent visa with Long Stay Parent visa</w:t>
      </w:r>
    </w:p>
    <w:p w:rsidR="00D84B7D" w:rsidRDefault="00D84B7D" w:rsidP="003A725A">
      <w:pPr>
        <w:pStyle w:val="BodyText"/>
        <w:keepNext/>
        <w:keepLines/>
        <w:spacing w:before="100"/>
      </w:pPr>
      <w:r w:rsidRPr="00977141">
        <w:rPr>
          <w:i/>
        </w:rPr>
        <w:t>Assumption:</w:t>
      </w:r>
      <w:r>
        <w:t xml:space="preserve"> Applications for the proposed Long Stay Parent visa would increase in proportion to the difference between the costs of the current and proposed visas.</w:t>
      </w:r>
    </w:p>
    <w:p w:rsidR="00D84B7D" w:rsidRDefault="00D84B7D" w:rsidP="003A725A">
      <w:pPr>
        <w:pStyle w:val="BodyText"/>
        <w:keepNext/>
        <w:keepLines/>
        <w:spacing w:before="100"/>
      </w:pPr>
      <w:r w:rsidRPr="00977141">
        <w:rPr>
          <w:i/>
        </w:rPr>
        <w:t>Justification:</w:t>
      </w:r>
      <w:r>
        <w:t xml:space="preserve"> The primary consideration for visa applicants is likely to be the financial cost.</w:t>
      </w:r>
    </w:p>
    <w:p w:rsidR="00D84B7D" w:rsidRPr="00977141" w:rsidRDefault="00D84B7D" w:rsidP="003A725A">
      <w:pPr>
        <w:pStyle w:val="BodyText"/>
        <w:keepNext/>
        <w:keepLines/>
        <w:spacing w:before="100"/>
        <w:rPr>
          <w:color w:val="BFBFBF" w:themeColor="background1" w:themeShade="BF"/>
        </w:rPr>
      </w:pPr>
      <w:r w:rsidRPr="00977141">
        <w:rPr>
          <w:i/>
        </w:rPr>
        <w:t>Costing:</w:t>
      </w:r>
      <w:r>
        <w:t xml:space="preserve"> </w:t>
      </w:r>
      <w:hyperlink r:id="rId67" w:history="1">
        <w:r w:rsidRPr="002409ED">
          <w:rPr>
            <w:rStyle w:val="Hyperlink"/>
          </w:rPr>
          <w:t>PER274</w:t>
        </w:r>
      </w:hyperlink>
    </w:p>
    <w:p w:rsidR="00D84B7D" w:rsidRPr="00977141" w:rsidRDefault="00D84B7D"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553445" w:rsidP="00553445">
      <w:pPr>
        <w:pStyle w:val="Heading2NoNumbering"/>
      </w:pPr>
      <w:r>
        <w:t>Infrastructure and transport</w:t>
      </w:r>
    </w:p>
    <w:p w:rsidR="00553445" w:rsidRDefault="00553445" w:rsidP="00553445">
      <w:pPr>
        <w:pStyle w:val="Heading3"/>
      </w:pPr>
      <w:bookmarkStart w:id="35" w:name="_Electric_vehicle_purchasing"/>
      <w:bookmarkStart w:id="36" w:name="_Ref25705998"/>
      <w:bookmarkEnd w:id="35"/>
      <w:r>
        <w:t>Electric vehicle purchasing targets</w:t>
      </w:r>
      <w:bookmarkEnd w:id="36"/>
    </w:p>
    <w:p w:rsidR="00553445" w:rsidRDefault="00553445" w:rsidP="003A725A">
      <w:pPr>
        <w:pStyle w:val="BodyText"/>
        <w:keepNext/>
        <w:keepLines/>
        <w:spacing w:before="100"/>
      </w:pPr>
      <w:r w:rsidRPr="00977141">
        <w:rPr>
          <w:i/>
        </w:rPr>
        <w:t>Assumption:</w:t>
      </w:r>
      <w:r>
        <w:t xml:space="preserve"> The Government fleet average leasing period would extend from </w:t>
      </w:r>
      <w:r w:rsidR="0025150D">
        <w:t xml:space="preserve">three </w:t>
      </w:r>
      <w:r>
        <w:t xml:space="preserve">years to </w:t>
      </w:r>
      <w:r w:rsidR="0025150D">
        <w:t>five</w:t>
      </w:r>
      <w:r w:rsidR="00F45033">
        <w:t> </w:t>
      </w:r>
      <w:r>
        <w:t>years</w:t>
      </w:r>
      <w:r w:rsidR="007F3F0D">
        <w:t>.</w:t>
      </w:r>
    </w:p>
    <w:p w:rsidR="00553445" w:rsidRDefault="00553445" w:rsidP="003A725A">
      <w:pPr>
        <w:pStyle w:val="BodyText"/>
        <w:keepNext/>
        <w:keepLines/>
        <w:spacing w:before="100"/>
      </w:pPr>
      <w:r w:rsidRPr="00977141">
        <w:rPr>
          <w:i/>
        </w:rPr>
        <w:t>Justification:</w:t>
      </w:r>
      <w:r>
        <w:t xml:space="preserve"> </w:t>
      </w:r>
      <w:r w:rsidR="0025150D">
        <w:t>Vehicles are currently leased for an average period of three years but given the additional infrastructure requirements and lower maintenance costs, electric vehicles are likely to be leased for a longer period.</w:t>
      </w:r>
    </w:p>
    <w:p w:rsidR="00553445" w:rsidRPr="00977141" w:rsidRDefault="00553445" w:rsidP="003A725A">
      <w:pPr>
        <w:pStyle w:val="BodyText"/>
        <w:keepNext/>
        <w:keepLines/>
        <w:spacing w:before="100"/>
        <w:rPr>
          <w:color w:val="BFBFBF" w:themeColor="background1" w:themeShade="BF"/>
        </w:rPr>
      </w:pPr>
      <w:r w:rsidRPr="00977141">
        <w:rPr>
          <w:i/>
        </w:rPr>
        <w:t>Costing:</w:t>
      </w:r>
      <w:r>
        <w:t xml:space="preserve"> </w:t>
      </w:r>
      <w:hyperlink r:id="rId68" w:history="1">
        <w:r w:rsidRPr="0035404C">
          <w:rPr>
            <w:rStyle w:val="Hyperlink"/>
          </w:rPr>
          <w:t>PR18/00628</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553445" w:rsidP="00553445">
      <w:pPr>
        <w:pStyle w:val="Heading2NoNumbering"/>
      </w:pPr>
      <w:r>
        <w:t>Legal and justice</w:t>
      </w:r>
    </w:p>
    <w:p w:rsidR="00553445" w:rsidRDefault="00553445" w:rsidP="00553445">
      <w:pPr>
        <w:pStyle w:val="Heading3"/>
      </w:pPr>
      <w:bookmarkStart w:id="37" w:name="_Increasing_penalty_units"/>
      <w:bookmarkStart w:id="38" w:name="_Ref25706009"/>
      <w:bookmarkEnd w:id="37"/>
      <w:r>
        <w:t>Increasing penalty units</w:t>
      </w:r>
      <w:bookmarkEnd w:id="38"/>
    </w:p>
    <w:p w:rsidR="00553445" w:rsidRDefault="00553445" w:rsidP="003A725A">
      <w:pPr>
        <w:pStyle w:val="BodyText"/>
        <w:keepNext/>
        <w:keepLines/>
        <w:spacing w:before="100"/>
      </w:pPr>
      <w:r w:rsidRPr="00977141">
        <w:rPr>
          <w:i/>
        </w:rPr>
        <w:t>Assumption:</w:t>
      </w:r>
      <w:r>
        <w:t xml:space="preserve"> There would be no change in the total volume of penalty units.</w:t>
      </w:r>
    </w:p>
    <w:p w:rsidR="00553445" w:rsidRDefault="00553445" w:rsidP="003A725A">
      <w:pPr>
        <w:pStyle w:val="BodyText"/>
        <w:keepNext/>
        <w:keepLines/>
        <w:spacing w:before="100"/>
      </w:pPr>
      <w:r w:rsidRPr="00977141">
        <w:rPr>
          <w:i/>
        </w:rPr>
        <w:t>Justification:</w:t>
      </w:r>
      <w:r>
        <w:t xml:space="preserve"> </w:t>
      </w:r>
      <w:r w:rsidR="00A700CE">
        <w:t>Compliance enforcement arrangements</w:t>
      </w:r>
      <w:r w:rsidR="00321BD2">
        <w:t xml:space="preserve"> by </w:t>
      </w:r>
      <w:r w:rsidR="00F45033">
        <w:t xml:space="preserve">government agencies </w:t>
      </w:r>
      <w:r w:rsidR="00A700CE">
        <w:t>are assumed to be the primary determinant of behaviour</w:t>
      </w:r>
      <w:r>
        <w:t>.</w:t>
      </w:r>
    </w:p>
    <w:p w:rsidR="00553445" w:rsidRPr="00977141" w:rsidRDefault="00553445" w:rsidP="003A725A">
      <w:pPr>
        <w:pStyle w:val="BodyText"/>
        <w:keepNext/>
        <w:keepLines/>
        <w:spacing w:before="100"/>
        <w:rPr>
          <w:color w:val="BFBFBF" w:themeColor="background1" w:themeShade="BF"/>
        </w:rPr>
      </w:pPr>
      <w:r w:rsidRPr="00977141">
        <w:rPr>
          <w:i/>
        </w:rPr>
        <w:t>Costing:</w:t>
      </w:r>
      <w:r>
        <w:t xml:space="preserve"> </w:t>
      </w:r>
      <w:hyperlink r:id="rId69" w:history="1">
        <w:r w:rsidRPr="002409ED">
          <w:rPr>
            <w:rStyle w:val="Hyperlink"/>
          </w:rPr>
          <w:t>PER458</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553445" w:rsidP="00553445">
      <w:pPr>
        <w:pStyle w:val="Heading2NoNumbering"/>
      </w:pPr>
      <w:r>
        <w:lastRenderedPageBreak/>
        <w:t>Superannuation</w:t>
      </w:r>
    </w:p>
    <w:p w:rsidR="00553445" w:rsidRDefault="00553445" w:rsidP="00553445">
      <w:pPr>
        <w:pStyle w:val="Heading3"/>
      </w:pPr>
      <w:bookmarkStart w:id="39" w:name="_Changes_to_superannuation"/>
      <w:bookmarkStart w:id="40" w:name="_Ref25706019"/>
      <w:bookmarkEnd w:id="39"/>
      <w:r>
        <w:t>Changes to superannuation contributions caps</w:t>
      </w:r>
      <w:bookmarkEnd w:id="40"/>
    </w:p>
    <w:p w:rsidR="00553445" w:rsidRDefault="00553445" w:rsidP="00553445">
      <w:pPr>
        <w:pStyle w:val="BodyText"/>
        <w:keepNext/>
        <w:keepLines/>
      </w:pPr>
      <w:r w:rsidRPr="00977141">
        <w:rPr>
          <w:i/>
        </w:rPr>
        <w:t>Assumption:</w:t>
      </w:r>
      <w:r>
        <w:t xml:space="preserve"> Where high-income earners are unable to save as much in superannuation they would save this amount outside superannuation (before tax) rather than increase consumption.</w:t>
      </w:r>
    </w:p>
    <w:p w:rsidR="00553445" w:rsidRDefault="00553445" w:rsidP="00553445">
      <w:pPr>
        <w:pStyle w:val="BodyText"/>
        <w:keepNext/>
        <w:keepLines/>
      </w:pPr>
      <w:r w:rsidRPr="00977141">
        <w:rPr>
          <w:i/>
        </w:rPr>
        <w:t>Justification:</w:t>
      </w:r>
      <w:r>
        <w:t xml:space="preserve"> Most affected superannuation savings are voluntary and affect high-income earners.  </w:t>
      </w:r>
      <w:r w:rsidR="00A514E1">
        <w:t>A</w:t>
      </w:r>
      <w:r w:rsidR="003526B7">
        <w:t> </w:t>
      </w:r>
      <w:r w:rsidR="00CC5317">
        <w:t xml:space="preserve">2015 Grattan Institute report by Daley and Coates </w:t>
      </w:r>
      <w:r>
        <w:t>(</w:t>
      </w:r>
      <w:hyperlink r:id="rId70" w:history="1">
        <w:r w:rsidRPr="00CC5317">
          <w:rPr>
            <w:rStyle w:val="Hyperlink"/>
          </w:rPr>
          <w:t>Super tax targeting</w:t>
        </w:r>
      </w:hyperlink>
      <w:r>
        <w:t>) suggests that increasing tax rates on discretionary savings changes the composition of savings, but has little impact on total savings for high-income earners.</w:t>
      </w:r>
    </w:p>
    <w:p w:rsidR="00553445" w:rsidRPr="00977141" w:rsidRDefault="00553445" w:rsidP="00553445">
      <w:pPr>
        <w:pStyle w:val="BodyText"/>
        <w:keepNext/>
        <w:keepLines/>
        <w:rPr>
          <w:color w:val="BFBFBF" w:themeColor="background1" w:themeShade="BF"/>
        </w:rPr>
      </w:pPr>
      <w:r w:rsidRPr="00977141">
        <w:rPr>
          <w:i/>
        </w:rPr>
        <w:t>Costing</w:t>
      </w:r>
      <w:r w:rsidR="0073301F">
        <w:rPr>
          <w:i/>
        </w:rPr>
        <w:t>s</w:t>
      </w:r>
      <w:r w:rsidRPr="00977141">
        <w:rPr>
          <w:i/>
        </w:rPr>
        <w:t>:</w:t>
      </w:r>
      <w:r>
        <w:t xml:space="preserve"> </w:t>
      </w:r>
      <w:hyperlink r:id="rId71" w:history="1">
        <w:r w:rsidRPr="002409ED">
          <w:rPr>
            <w:rStyle w:val="Hyperlink"/>
          </w:rPr>
          <w:t>PER420</w:t>
        </w:r>
      </w:hyperlink>
      <w:r>
        <w:t xml:space="preserve">, </w:t>
      </w:r>
      <w:hyperlink r:id="rId72" w:history="1">
        <w:r w:rsidRPr="002409ED">
          <w:rPr>
            <w:rStyle w:val="Hyperlink"/>
          </w:rPr>
          <w:t>PER681</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553445" w:rsidP="00553445">
      <w:pPr>
        <w:pStyle w:val="Heading3"/>
      </w:pPr>
      <w:r>
        <w:t xml:space="preserve">Close the First Home </w:t>
      </w:r>
      <w:r w:rsidR="00BA2AA2">
        <w:t xml:space="preserve">Super </w:t>
      </w:r>
      <w:r>
        <w:t>Saver Scheme to new entrants</w:t>
      </w:r>
    </w:p>
    <w:p w:rsidR="00553445" w:rsidRDefault="00553445" w:rsidP="00553445">
      <w:pPr>
        <w:pStyle w:val="BodyText"/>
        <w:keepNext/>
        <w:keepLines/>
      </w:pPr>
      <w:r w:rsidRPr="00977141">
        <w:rPr>
          <w:i/>
        </w:rPr>
        <w:t>Assumption:</w:t>
      </w:r>
      <w:r>
        <w:t xml:space="preserve"> 20 per cent of first home buyers with taxable incomes over $37,000 would have participated in the scheme.</w:t>
      </w:r>
    </w:p>
    <w:p w:rsidR="00553445" w:rsidRDefault="00553445" w:rsidP="00553445">
      <w:pPr>
        <w:pStyle w:val="BodyText"/>
        <w:keepNext/>
        <w:keepLines/>
      </w:pPr>
      <w:r w:rsidRPr="00977141">
        <w:rPr>
          <w:i/>
        </w:rPr>
        <w:t>Justification:</w:t>
      </w:r>
      <w:r>
        <w:t xml:space="preserve"> </w:t>
      </w:r>
      <w:r w:rsidR="003526B7">
        <w:t>Projected t</w:t>
      </w:r>
      <w:r w:rsidR="00A57783">
        <w:t>ake</w:t>
      </w:r>
      <w:r w:rsidR="00BA2AA2">
        <w:t>-</w:t>
      </w:r>
      <w:r w:rsidR="00A57783">
        <w:t xml:space="preserve">up of the First Home </w:t>
      </w:r>
      <w:r w:rsidR="0008724C">
        <w:t xml:space="preserve">Super </w:t>
      </w:r>
      <w:r w:rsidR="00A57783">
        <w:t xml:space="preserve">Saver Scheme is </w:t>
      </w:r>
      <w:r w:rsidR="00BA2AA2">
        <w:t xml:space="preserve">below </w:t>
      </w:r>
      <w:r w:rsidR="003526B7">
        <w:t xml:space="preserve">the take-up that was </w:t>
      </w:r>
      <w:r w:rsidR="00BA2AA2">
        <w:t xml:space="preserve">projected </w:t>
      </w:r>
      <w:r w:rsidR="003526B7">
        <w:t xml:space="preserve">for </w:t>
      </w:r>
      <w:r w:rsidR="00BA2AA2">
        <w:t>the former First Home Saver Account scheme, but greater than the actual take</w:t>
      </w:r>
      <w:r w:rsidR="00B55E3E">
        <w:noBreakHyphen/>
      </w:r>
      <w:r w:rsidR="00BA2AA2">
        <w:t>up of the former scheme (</w:t>
      </w:r>
      <w:r w:rsidR="00B55E3E">
        <w:t xml:space="preserve">see the Parliamentary Library 2014 article, </w:t>
      </w:r>
      <w:hyperlink r:id="rId73" w:history="1">
        <w:r w:rsidR="00B55E3E" w:rsidRPr="00B55E3E">
          <w:rPr>
            <w:rStyle w:val="Hyperlink"/>
          </w:rPr>
          <w:t>First Home Saver Accounts scheme closure</w:t>
        </w:r>
      </w:hyperlink>
      <w:r w:rsidR="00BA2AA2">
        <w:t>).  At this point, t</w:t>
      </w:r>
      <w:r>
        <w:t xml:space="preserve">here is little data available on those </w:t>
      </w:r>
      <w:r w:rsidR="00F45033">
        <w:t xml:space="preserve">who </w:t>
      </w:r>
      <w:r>
        <w:t>have made voluntary contributions with the intention of withdrawing these for the purchase of a first home.</w:t>
      </w:r>
      <w:r w:rsidR="00A57783">
        <w:t xml:space="preserve"> </w:t>
      </w:r>
    </w:p>
    <w:p w:rsidR="00553445" w:rsidRPr="00977141" w:rsidRDefault="00553445" w:rsidP="00553445">
      <w:pPr>
        <w:pStyle w:val="BodyText"/>
        <w:keepNext/>
        <w:keepLines/>
        <w:rPr>
          <w:color w:val="BFBFBF" w:themeColor="background1" w:themeShade="BF"/>
        </w:rPr>
      </w:pPr>
      <w:r w:rsidRPr="00977141">
        <w:rPr>
          <w:i/>
        </w:rPr>
        <w:t>Costing:</w:t>
      </w:r>
      <w:r>
        <w:t xml:space="preserve"> </w:t>
      </w:r>
      <w:hyperlink r:id="rId74" w:history="1">
        <w:r w:rsidRPr="002409ED">
          <w:rPr>
            <w:rStyle w:val="Hyperlink"/>
          </w:rPr>
          <w:t>PER401</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553445" w:rsidP="00553445">
      <w:pPr>
        <w:pStyle w:val="Heading3"/>
      </w:pPr>
      <w:r>
        <w:t>Prevent borrowing by self-managed superannuation funds</w:t>
      </w:r>
    </w:p>
    <w:p w:rsidR="00553445" w:rsidRDefault="00553445" w:rsidP="00553445">
      <w:pPr>
        <w:pStyle w:val="BodyText"/>
        <w:keepNext/>
        <w:keepLines/>
      </w:pPr>
      <w:r w:rsidRPr="00977141">
        <w:rPr>
          <w:i/>
        </w:rPr>
        <w:t>Assumption:</w:t>
      </w:r>
      <w:r>
        <w:t xml:space="preserve"> Some self-managed superannuation funds would reduce their borrowings in response to the 2017-18 Budget measure </w:t>
      </w:r>
      <w:r w:rsidRPr="00E43095">
        <w:rPr>
          <w:i/>
        </w:rPr>
        <w:t>Superannuation – integrity of limited recourse borrowing arrangements</w:t>
      </w:r>
      <w:r>
        <w:t xml:space="preserve">, and some would utilise alternative investment strategies under the proposal.  </w:t>
      </w:r>
      <w:r w:rsidR="0096071E">
        <w:t xml:space="preserve">These behavioural responses would reduce the revenue impact of the policy proposal by </w:t>
      </w:r>
      <w:r>
        <w:t>40 per cent.</w:t>
      </w:r>
    </w:p>
    <w:p w:rsidR="00553445" w:rsidRDefault="00553445" w:rsidP="00553445">
      <w:pPr>
        <w:pStyle w:val="BodyText"/>
        <w:keepNext/>
        <w:keepLines/>
      </w:pPr>
      <w:r w:rsidRPr="00977141">
        <w:rPr>
          <w:i/>
        </w:rPr>
        <w:t>Justification:</w:t>
      </w:r>
      <w:r>
        <w:t xml:space="preserve"> The A</w:t>
      </w:r>
      <w:r w:rsidR="00FC3BA3">
        <w:t xml:space="preserve">ustralian </w:t>
      </w:r>
      <w:r>
        <w:t>T</w:t>
      </w:r>
      <w:r w:rsidR="00FC3BA3">
        <w:t xml:space="preserve">axation </w:t>
      </w:r>
      <w:r>
        <w:t>O</w:t>
      </w:r>
      <w:r w:rsidR="00FC3BA3">
        <w:t>ffice</w:t>
      </w:r>
      <w:r>
        <w:t>'s</w:t>
      </w:r>
      <w:r w:rsidR="00B55E3E">
        <w:t xml:space="preserve"> December 2018</w:t>
      </w:r>
      <w:r>
        <w:t xml:space="preserve"> </w:t>
      </w:r>
      <w:hyperlink r:id="rId75" w:history="1">
        <w:r w:rsidR="003D40FC" w:rsidRPr="003D40FC">
          <w:rPr>
            <w:rStyle w:val="Hyperlink"/>
          </w:rPr>
          <w:t>Self-managed super fund quarterly statistical report</w:t>
        </w:r>
      </w:hyperlink>
      <w:r>
        <w:t xml:space="preserve"> shows that the growth of Limited Recourse Borrowing Arrangement assets slowed dramatically since the 2017-18 Budget measure.</w:t>
      </w:r>
    </w:p>
    <w:p w:rsidR="00553445" w:rsidRPr="00977141" w:rsidRDefault="00553445" w:rsidP="00553445">
      <w:pPr>
        <w:pStyle w:val="BodyText"/>
        <w:keepNext/>
        <w:keepLines/>
        <w:rPr>
          <w:color w:val="BFBFBF" w:themeColor="background1" w:themeShade="BF"/>
        </w:rPr>
      </w:pPr>
      <w:r w:rsidRPr="00977141">
        <w:rPr>
          <w:i/>
        </w:rPr>
        <w:t>Costing:</w:t>
      </w:r>
      <w:r>
        <w:t xml:space="preserve"> </w:t>
      </w:r>
      <w:hyperlink r:id="rId76" w:history="1">
        <w:r w:rsidRPr="002409ED">
          <w:rPr>
            <w:rStyle w:val="Hyperlink"/>
          </w:rPr>
          <w:t>PER416</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9167EF" w:rsidRDefault="009167EF" w:rsidP="009167EF">
      <w:pPr>
        <w:pStyle w:val="Heading3"/>
      </w:pPr>
      <w:r>
        <w:t>Prohibit default superannuation funds from providing insurance products to young and low</w:t>
      </w:r>
      <w:r w:rsidR="00DA5F76">
        <w:noBreakHyphen/>
      </w:r>
      <w:r>
        <w:t>balance members, with claims paid by the government</w:t>
      </w:r>
    </w:p>
    <w:p w:rsidR="009167EF" w:rsidRDefault="009167EF" w:rsidP="009167EF">
      <w:pPr>
        <w:pStyle w:val="BodyText"/>
        <w:keepNext/>
        <w:keepLines/>
      </w:pPr>
      <w:r w:rsidRPr="00934159">
        <w:rPr>
          <w:i/>
        </w:rPr>
        <w:t>Assumption:</w:t>
      </w:r>
      <w:r>
        <w:t xml:space="preserve"> Behavioural responses would not have a material budget impact</w:t>
      </w:r>
      <w:r w:rsidR="00063678">
        <w:t>.</w:t>
      </w:r>
    </w:p>
    <w:p w:rsidR="009167EF" w:rsidRDefault="009167EF" w:rsidP="009167EF">
      <w:pPr>
        <w:pStyle w:val="BodyText"/>
        <w:keepNext/>
        <w:keepLines/>
      </w:pPr>
      <w:r w:rsidRPr="00934159">
        <w:rPr>
          <w:i/>
        </w:rPr>
        <w:t>Justification:</w:t>
      </w:r>
      <w:r>
        <w:t xml:space="preserve"> Some individuals may choose to remain within their default fund as a result of the proposal</w:t>
      </w:r>
      <w:r w:rsidR="00F45033">
        <w:t>,</w:t>
      </w:r>
      <w:r>
        <w:t xml:space="preserve"> whereas they would have chosen a different fund otherwise.  </w:t>
      </w:r>
      <w:r w:rsidR="00F45033">
        <w:t>T</w:t>
      </w:r>
      <w:r>
        <w:t>he proportion of individuals exercising choice of fund is already low, so this response is unlikely to have a material impact.</w:t>
      </w:r>
    </w:p>
    <w:p w:rsidR="009167EF" w:rsidRPr="00934159" w:rsidRDefault="009167EF" w:rsidP="009167EF">
      <w:pPr>
        <w:pStyle w:val="BodyText"/>
        <w:keepNext/>
        <w:keepLines/>
        <w:rPr>
          <w:color w:val="BFBFBF" w:themeColor="background1" w:themeShade="BF"/>
        </w:rPr>
      </w:pPr>
      <w:r w:rsidRPr="00934159">
        <w:rPr>
          <w:i/>
        </w:rPr>
        <w:t>Costing:</w:t>
      </w:r>
      <w:r>
        <w:t xml:space="preserve"> </w:t>
      </w:r>
      <w:hyperlink r:id="rId77" w:history="1">
        <w:r w:rsidRPr="009167EF">
          <w:rPr>
            <w:rStyle w:val="Hyperlink"/>
          </w:rPr>
          <w:t>PR19/00952</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553445" w:rsidP="00553445">
      <w:pPr>
        <w:pStyle w:val="Heading2NoNumbering"/>
      </w:pPr>
      <w:r>
        <w:lastRenderedPageBreak/>
        <w:t>Taxes</w:t>
      </w:r>
    </w:p>
    <w:p w:rsidR="00553445" w:rsidRDefault="00553445" w:rsidP="00553445">
      <w:pPr>
        <w:pStyle w:val="Heading3"/>
      </w:pPr>
      <w:bookmarkStart w:id="41" w:name="_Abolish_accelerated_asset"/>
      <w:bookmarkStart w:id="42" w:name="_Ref25706028"/>
      <w:bookmarkEnd w:id="41"/>
      <w:r>
        <w:t>Abolish accelerated asset depreciation for aircraft, the oil and gas industry, and motor vehicles</w:t>
      </w:r>
      <w:bookmarkEnd w:id="42"/>
    </w:p>
    <w:p w:rsidR="00553445" w:rsidRDefault="00553445" w:rsidP="003A725A">
      <w:pPr>
        <w:pStyle w:val="BodyText"/>
        <w:keepNext/>
        <w:keepLines/>
        <w:spacing w:before="100"/>
      </w:pPr>
      <w:r w:rsidRPr="00977141">
        <w:rPr>
          <w:i/>
        </w:rPr>
        <w:t>Assumption:</w:t>
      </w:r>
      <w:r>
        <w:t xml:space="preserve"> Businesses would not change their investment decisions.</w:t>
      </w:r>
    </w:p>
    <w:p w:rsidR="00553445" w:rsidRDefault="00553445" w:rsidP="003A725A">
      <w:pPr>
        <w:pStyle w:val="BodyText"/>
        <w:keepNext/>
        <w:keepLines/>
        <w:spacing w:before="100"/>
      </w:pPr>
      <w:r w:rsidRPr="00977141">
        <w:rPr>
          <w:i/>
        </w:rPr>
        <w:t>Justification:</w:t>
      </w:r>
      <w:r>
        <w:t xml:space="preserve"> Affected business would still need to invest in these assets.  There are a number of</w:t>
      </w:r>
      <w:r w:rsidR="007139A2">
        <w:t xml:space="preserve"> significant</w:t>
      </w:r>
      <w:r>
        <w:t xml:space="preserve"> factors that affect investment decisions in these industries and for the specified assets.</w:t>
      </w:r>
    </w:p>
    <w:p w:rsidR="00553445" w:rsidRPr="00977141" w:rsidRDefault="00553445" w:rsidP="003A725A">
      <w:pPr>
        <w:pStyle w:val="BodyText"/>
        <w:keepNext/>
        <w:keepLines/>
        <w:spacing w:before="100"/>
        <w:rPr>
          <w:color w:val="BFBFBF" w:themeColor="background1" w:themeShade="BF"/>
        </w:rPr>
      </w:pPr>
      <w:r w:rsidRPr="00977141">
        <w:rPr>
          <w:i/>
        </w:rPr>
        <w:t>Costing:</w:t>
      </w:r>
      <w:r>
        <w:t xml:space="preserve"> </w:t>
      </w:r>
      <w:hyperlink r:id="rId78" w:history="1">
        <w:r w:rsidRPr="002409ED">
          <w:rPr>
            <w:rStyle w:val="Hyperlink"/>
          </w:rPr>
          <w:t>PER608</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553445" w:rsidP="00553445">
      <w:pPr>
        <w:pStyle w:val="Heading3"/>
      </w:pPr>
      <w:r>
        <w:t>Accelerated depreciation</w:t>
      </w:r>
    </w:p>
    <w:p w:rsidR="00553445" w:rsidRDefault="00553445" w:rsidP="003A725A">
      <w:pPr>
        <w:pStyle w:val="BodyText"/>
        <w:keepNext/>
        <w:keepLines/>
        <w:spacing w:before="100"/>
      </w:pPr>
      <w:r w:rsidRPr="00977141">
        <w:rPr>
          <w:i/>
        </w:rPr>
        <w:t>Assumption:</w:t>
      </w:r>
      <w:r>
        <w:t xml:space="preserve"> 7.5 per cent of capital expenditure would be brought forward over </w:t>
      </w:r>
      <w:r w:rsidR="00C364DC">
        <w:t>the costing</w:t>
      </w:r>
      <w:r>
        <w:t xml:space="preserve"> period.</w:t>
      </w:r>
    </w:p>
    <w:p w:rsidR="00553445" w:rsidRDefault="00553445" w:rsidP="003A725A">
      <w:pPr>
        <w:pStyle w:val="BodyText"/>
        <w:keepNext/>
        <w:keepLines/>
        <w:spacing w:before="100"/>
      </w:pPr>
      <w:r w:rsidRPr="00977141">
        <w:rPr>
          <w:i/>
        </w:rPr>
        <w:t>Justification:</w:t>
      </w:r>
      <w:r>
        <w:t xml:space="preserve"> The increase in depreciation deductions available in the first year after purchasing a new asset would provide an incentive for businesses to bring forward investment.</w:t>
      </w:r>
    </w:p>
    <w:p w:rsidR="00553445" w:rsidRDefault="00553445" w:rsidP="003A725A">
      <w:pPr>
        <w:pStyle w:val="BodyText"/>
        <w:keepNext/>
        <w:keepLines/>
        <w:spacing w:before="100"/>
      </w:pPr>
      <w:r w:rsidRPr="00977141">
        <w:rPr>
          <w:i/>
        </w:rPr>
        <w:t>Assumption:</w:t>
      </w:r>
      <w:r>
        <w:t xml:space="preserve"> 2.5 per cent of capital expenditure that would have </w:t>
      </w:r>
      <w:r w:rsidR="00A53661">
        <w:t>occurred</w:t>
      </w:r>
      <w:r>
        <w:t xml:space="preserve"> in the two years prior to the start date would be delayed until after the start date.</w:t>
      </w:r>
    </w:p>
    <w:p w:rsidR="00553445" w:rsidRDefault="00553445" w:rsidP="003A725A">
      <w:pPr>
        <w:pStyle w:val="BodyText"/>
        <w:keepNext/>
        <w:keepLines/>
        <w:spacing w:before="100"/>
      </w:pPr>
      <w:r w:rsidRPr="00977141">
        <w:rPr>
          <w:i/>
        </w:rPr>
        <w:t>Justification:</w:t>
      </w:r>
      <w:r>
        <w:t xml:space="preserve"> Businesses would receive higher tax deductions in the first year after purchasing a new asset if these are purchased after the </w:t>
      </w:r>
      <w:r w:rsidR="004561D7">
        <w:t xml:space="preserve">policy’s </w:t>
      </w:r>
      <w:r>
        <w:t>start date.</w:t>
      </w:r>
    </w:p>
    <w:p w:rsidR="00553445" w:rsidRDefault="00553445" w:rsidP="003A725A">
      <w:pPr>
        <w:pStyle w:val="BodyText"/>
        <w:keepNext/>
        <w:keepLines/>
        <w:spacing w:before="100"/>
      </w:pPr>
      <w:r w:rsidRPr="00977141">
        <w:rPr>
          <w:i/>
        </w:rPr>
        <w:t>Assumption:</w:t>
      </w:r>
      <w:r>
        <w:t xml:space="preserve"> Investment in eligible assets would increase by 0.5 per cent, substituted from ineligible assets.</w:t>
      </w:r>
    </w:p>
    <w:p w:rsidR="00553445" w:rsidRDefault="00553445" w:rsidP="003A725A">
      <w:pPr>
        <w:pStyle w:val="BodyText"/>
        <w:keepNext/>
        <w:keepLines/>
        <w:spacing w:before="100"/>
      </w:pPr>
      <w:r w:rsidRPr="00977141">
        <w:rPr>
          <w:i/>
        </w:rPr>
        <w:t>Justification:</w:t>
      </w:r>
      <w:r>
        <w:t xml:space="preserve"> Businesses would have an incentive to shift discretionary investment from ineligible assets to assets that would qualify for the relatively more generous depreciation deductions.</w:t>
      </w:r>
    </w:p>
    <w:p w:rsidR="00553445" w:rsidRPr="00977141" w:rsidRDefault="00553445" w:rsidP="003A725A">
      <w:pPr>
        <w:pStyle w:val="BodyText"/>
        <w:keepNext/>
        <w:keepLines/>
        <w:spacing w:before="100"/>
        <w:rPr>
          <w:color w:val="BFBFBF" w:themeColor="background1" w:themeShade="BF"/>
        </w:rPr>
      </w:pPr>
      <w:r w:rsidRPr="00977141">
        <w:rPr>
          <w:i/>
        </w:rPr>
        <w:t>Costing:</w:t>
      </w:r>
      <w:r>
        <w:t xml:space="preserve"> </w:t>
      </w:r>
      <w:hyperlink r:id="rId79" w:history="1">
        <w:r w:rsidRPr="002409ED">
          <w:rPr>
            <w:rStyle w:val="Hyperlink"/>
          </w:rPr>
          <w:t>PER347</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553445" w:rsidP="00553445">
      <w:pPr>
        <w:pStyle w:val="Heading3"/>
      </w:pPr>
      <w:r>
        <w:t xml:space="preserve">Apply a minimum </w:t>
      </w:r>
      <w:r w:rsidR="00C364DC">
        <w:t xml:space="preserve">final </w:t>
      </w:r>
      <w:r>
        <w:t>withholding tax on fixed trust distributions to non-residents</w:t>
      </w:r>
    </w:p>
    <w:p w:rsidR="00553445" w:rsidRDefault="00553445" w:rsidP="003A725A">
      <w:pPr>
        <w:pStyle w:val="BodyText"/>
        <w:keepNext/>
        <w:keepLines/>
        <w:spacing w:before="100"/>
      </w:pPr>
      <w:r w:rsidRPr="00977141">
        <w:rPr>
          <w:i/>
        </w:rPr>
        <w:t>Assumption:</w:t>
      </w:r>
      <w:r w:rsidR="00A53661">
        <w:t xml:space="preserve"> Fixed trusts would restr</w:t>
      </w:r>
      <w:r>
        <w:t>u</w:t>
      </w:r>
      <w:r w:rsidR="00A53661">
        <w:t>c</w:t>
      </w:r>
      <w:r>
        <w:t>ture to avoid the proposal, reducing the</w:t>
      </w:r>
      <w:r w:rsidR="00C364DC">
        <w:t xml:space="preserve"> total</w:t>
      </w:r>
      <w:r>
        <w:t xml:space="preserve"> revenue impact by 70 per cent.</w:t>
      </w:r>
    </w:p>
    <w:p w:rsidR="00553445" w:rsidRDefault="00553445" w:rsidP="003A725A">
      <w:pPr>
        <w:pStyle w:val="BodyText"/>
        <w:keepNext/>
        <w:keepLines/>
        <w:spacing w:before="100"/>
      </w:pPr>
      <w:r w:rsidRPr="00977141">
        <w:rPr>
          <w:i/>
        </w:rPr>
        <w:t>Justification:</w:t>
      </w:r>
      <w:r>
        <w:t xml:space="preserve"> </w:t>
      </w:r>
      <w:r w:rsidR="00867AA2">
        <w:t xml:space="preserve">Fixed trusts with significant foreign beneficiaries can easily restructure to a company to avoid </w:t>
      </w:r>
      <w:r>
        <w:t>the withholding tax.</w:t>
      </w:r>
    </w:p>
    <w:p w:rsidR="00553445" w:rsidRPr="00977141" w:rsidRDefault="00553445" w:rsidP="003A725A">
      <w:pPr>
        <w:pStyle w:val="BodyText"/>
        <w:keepNext/>
        <w:keepLines/>
        <w:spacing w:before="100"/>
        <w:rPr>
          <w:color w:val="BFBFBF" w:themeColor="background1" w:themeShade="BF"/>
        </w:rPr>
      </w:pPr>
      <w:r w:rsidRPr="00977141">
        <w:rPr>
          <w:i/>
        </w:rPr>
        <w:t>Costing:</w:t>
      </w:r>
      <w:r>
        <w:t xml:space="preserve"> </w:t>
      </w:r>
      <w:hyperlink r:id="rId80" w:history="1">
        <w:r w:rsidRPr="00383E88">
          <w:rPr>
            <w:rStyle w:val="Hyperlink"/>
          </w:rPr>
          <w:t>PER412</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553445" w:rsidP="00553445">
      <w:pPr>
        <w:pStyle w:val="Heading3"/>
      </w:pPr>
      <w:r>
        <w:t>Cap deductions for managing tax affairs</w:t>
      </w:r>
    </w:p>
    <w:p w:rsidR="00553445" w:rsidRDefault="00553445" w:rsidP="003A725A">
      <w:pPr>
        <w:pStyle w:val="BodyText"/>
        <w:keepNext/>
        <w:keepLines/>
        <w:spacing w:before="100"/>
      </w:pPr>
      <w:r w:rsidRPr="00977141">
        <w:rPr>
          <w:i/>
        </w:rPr>
        <w:t>Assumption:</w:t>
      </w:r>
      <w:r>
        <w:t xml:space="preserve"> Taxpayers and tax accountants would adjust their behaviour to reduce the impact of the policy proposal by an average of 30 per cent.</w:t>
      </w:r>
    </w:p>
    <w:p w:rsidR="00553445" w:rsidRPr="003A725A" w:rsidRDefault="00553445" w:rsidP="003A725A">
      <w:pPr>
        <w:pStyle w:val="BodyText"/>
        <w:keepNext/>
        <w:keepLines/>
        <w:spacing w:before="100"/>
        <w:rPr>
          <w:spacing w:val="-1"/>
        </w:rPr>
      </w:pPr>
      <w:r w:rsidRPr="003A725A">
        <w:rPr>
          <w:i/>
          <w:spacing w:val="-1"/>
        </w:rPr>
        <w:t>Justification:</w:t>
      </w:r>
      <w:r w:rsidRPr="003A725A">
        <w:rPr>
          <w:spacing w:val="-1"/>
        </w:rPr>
        <w:t xml:space="preserve"> </w:t>
      </w:r>
      <w:r w:rsidR="00660743" w:rsidRPr="003A725A">
        <w:rPr>
          <w:spacing w:val="-1"/>
        </w:rPr>
        <w:t>S</w:t>
      </w:r>
      <w:r w:rsidRPr="003A725A">
        <w:rPr>
          <w:spacing w:val="-1"/>
        </w:rPr>
        <w:t xml:space="preserve">etting a cap on a particular deduction may result in some individuals claiming the deduction under a different label, and individuals claiming large deductions are likely to be engaged in ways to minimise their taxes.  Setting a cap may also act as a signal to individuals and tax accountants as to an appropriate amount to spend on managing tax affairs, which may result in some individuals increasing their deductions up to the cap.  </w:t>
      </w:r>
      <w:r w:rsidR="00660743" w:rsidRPr="003A725A">
        <w:rPr>
          <w:spacing w:val="-1"/>
        </w:rPr>
        <w:t>The magnitude of this behavioural response is informed by the taxable income elasticities that are applied to changes to marginal tax rates and thresholds.</w:t>
      </w:r>
    </w:p>
    <w:p w:rsidR="00553445" w:rsidRPr="00977141" w:rsidRDefault="00553445" w:rsidP="003A725A">
      <w:pPr>
        <w:pStyle w:val="BodyText"/>
        <w:keepNext/>
        <w:keepLines/>
        <w:spacing w:before="100"/>
        <w:rPr>
          <w:color w:val="BFBFBF" w:themeColor="background1" w:themeShade="BF"/>
        </w:rPr>
      </w:pPr>
      <w:r w:rsidRPr="00977141">
        <w:rPr>
          <w:i/>
        </w:rPr>
        <w:t>Costing:</w:t>
      </w:r>
      <w:r>
        <w:t xml:space="preserve"> </w:t>
      </w:r>
      <w:hyperlink r:id="rId81" w:history="1">
        <w:r w:rsidRPr="00383E88">
          <w:rPr>
            <w:rStyle w:val="Hyperlink"/>
          </w:rPr>
          <w:t>PER399</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553445" w:rsidP="00553445">
      <w:pPr>
        <w:pStyle w:val="Heading3"/>
      </w:pPr>
      <w:r>
        <w:lastRenderedPageBreak/>
        <w:t>Cap pay packages of banking executives</w:t>
      </w:r>
    </w:p>
    <w:p w:rsidR="00553445" w:rsidRDefault="00553445" w:rsidP="00553445">
      <w:pPr>
        <w:pStyle w:val="BodyText"/>
        <w:keepNext/>
        <w:keepLines/>
      </w:pPr>
      <w:r w:rsidRPr="00977141">
        <w:rPr>
          <w:i/>
        </w:rPr>
        <w:t>Assumption:</w:t>
      </w:r>
      <w:r>
        <w:t xml:space="preserve"> 30 per cent of income currently above the pay cap would not be affected by the cap.</w:t>
      </w:r>
    </w:p>
    <w:p w:rsidR="00553445" w:rsidRDefault="00553445" w:rsidP="00553445">
      <w:pPr>
        <w:pStyle w:val="BodyText"/>
        <w:keepNext/>
        <w:keepLines/>
      </w:pPr>
      <w:r w:rsidRPr="00977141">
        <w:rPr>
          <w:i/>
        </w:rPr>
        <w:t>Justification:</w:t>
      </w:r>
      <w:r>
        <w:t xml:space="preserve"> Financial institutions would have a strong incentive to find ways to keep executive pay higher, without technically breaching the cap.  For instance, a proportion of salary could be deferred to later years, or </w:t>
      </w:r>
      <w:r w:rsidR="00295D49">
        <w:t xml:space="preserve">executives </w:t>
      </w:r>
      <w:r>
        <w:t xml:space="preserve">may be able to </w:t>
      </w:r>
      <w:r w:rsidR="00FA1696">
        <w:t>split income with their family members</w:t>
      </w:r>
      <w:r>
        <w:t>.</w:t>
      </w:r>
    </w:p>
    <w:p w:rsidR="00553445" w:rsidRDefault="00553445" w:rsidP="00553445">
      <w:pPr>
        <w:pStyle w:val="BodyText"/>
        <w:keepNext/>
        <w:keepLines/>
      </w:pPr>
      <w:r w:rsidRPr="00977141">
        <w:rPr>
          <w:i/>
        </w:rPr>
        <w:t>Assumption:</w:t>
      </w:r>
      <w:r>
        <w:t xml:space="preserve"> Executives would not have the ability to bring forward </w:t>
      </w:r>
      <w:r w:rsidR="004561D7">
        <w:t xml:space="preserve">a </w:t>
      </w:r>
      <w:r>
        <w:t>portion of taxable income to before the implementation date.</w:t>
      </w:r>
    </w:p>
    <w:p w:rsidR="00553445" w:rsidRPr="00791EB1" w:rsidRDefault="00553445" w:rsidP="00553445">
      <w:pPr>
        <w:pStyle w:val="BodyText"/>
        <w:keepNext/>
        <w:keepLines/>
        <w:rPr>
          <w:spacing w:val="-1"/>
        </w:rPr>
      </w:pPr>
      <w:r w:rsidRPr="00791EB1">
        <w:rPr>
          <w:i/>
          <w:spacing w:val="-1"/>
        </w:rPr>
        <w:t>Justification:</w:t>
      </w:r>
      <w:r w:rsidRPr="00791EB1">
        <w:rPr>
          <w:spacing w:val="-1"/>
        </w:rPr>
        <w:t xml:space="preserve"> Shareholders of the major banks rejected a number of executive remuneration packages in response to the Royal Commission into Misconduct in the Banking, Superannuation and Financial Services Industry and have been assessed to be unlikely to support a bring-forward in payments.</w:t>
      </w:r>
    </w:p>
    <w:p w:rsidR="00553445" w:rsidRPr="00977141" w:rsidRDefault="00553445" w:rsidP="00553445">
      <w:pPr>
        <w:pStyle w:val="BodyText"/>
        <w:keepNext/>
        <w:keepLines/>
        <w:rPr>
          <w:color w:val="BFBFBF" w:themeColor="background1" w:themeShade="BF"/>
        </w:rPr>
      </w:pPr>
      <w:r w:rsidRPr="00977141">
        <w:rPr>
          <w:i/>
        </w:rPr>
        <w:t>Costing:</w:t>
      </w:r>
      <w:r>
        <w:t xml:space="preserve"> </w:t>
      </w:r>
      <w:hyperlink r:id="rId82" w:history="1">
        <w:r w:rsidRPr="00383E88">
          <w:rPr>
            <w:rStyle w:val="Hyperlink"/>
          </w:rPr>
          <w:t>PER676</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D84B7D" w:rsidRDefault="00D84B7D" w:rsidP="004561D7">
      <w:pPr>
        <w:pStyle w:val="Heading3"/>
      </w:pPr>
      <w:r>
        <w:t>Changes to company tax rate</w:t>
      </w:r>
    </w:p>
    <w:p w:rsidR="00D84B7D" w:rsidRDefault="00D84B7D" w:rsidP="004561D7">
      <w:pPr>
        <w:pStyle w:val="BodyText"/>
        <w:keepNext/>
        <w:keepLines/>
      </w:pPr>
      <w:r w:rsidRPr="00977141">
        <w:rPr>
          <w:i/>
        </w:rPr>
        <w:t>Assumption:</w:t>
      </w:r>
      <w:r>
        <w:t xml:space="preserve"> Companies would continue to pay the same proportion of their after-tax income as dividends.</w:t>
      </w:r>
    </w:p>
    <w:p w:rsidR="00D84B7D" w:rsidRDefault="00D84B7D" w:rsidP="004561D7">
      <w:pPr>
        <w:pStyle w:val="BodyText"/>
        <w:keepNext/>
        <w:keepLines/>
      </w:pPr>
      <w:r w:rsidRPr="00977141">
        <w:rPr>
          <w:i/>
        </w:rPr>
        <w:t>Justification:</w:t>
      </w:r>
      <w:r>
        <w:t xml:space="preserve"> Company decisions on dividend payout ratios are affected by a number of considerations and these vary significantly across companies.  There is little evidence that the company tax rate is a significant determinant of this.</w:t>
      </w:r>
    </w:p>
    <w:p w:rsidR="00D84B7D" w:rsidRPr="00977141" w:rsidRDefault="00D84B7D" w:rsidP="004561D7">
      <w:pPr>
        <w:pStyle w:val="BodyText"/>
        <w:keepNext/>
        <w:keepLines/>
        <w:rPr>
          <w:color w:val="BFBFBF" w:themeColor="background1" w:themeShade="BF"/>
        </w:rPr>
      </w:pPr>
      <w:r w:rsidRPr="00977141">
        <w:rPr>
          <w:i/>
        </w:rPr>
        <w:t>Costing:</w:t>
      </w:r>
      <w:r>
        <w:t xml:space="preserve"> </w:t>
      </w:r>
      <w:hyperlink r:id="rId83" w:history="1">
        <w:r w:rsidRPr="00383E88">
          <w:rPr>
            <w:rStyle w:val="Hyperlink"/>
          </w:rPr>
          <w:t>PER623</w:t>
        </w:r>
      </w:hyperlink>
    </w:p>
    <w:p w:rsidR="00D84B7D" w:rsidRPr="00977141" w:rsidRDefault="00D84B7D"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553445" w:rsidP="00553445">
      <w:pPr>
        <w:pStyle w:val="Heading3"/>
      </w:pPr>
      <w:r>
        <w:t>Changes to highest marginal tax rate</w:t>
      </w:r>
    </w:p>
    <w:p w:rsidR="00553445" w:rsidRDefault="00553445" w:rsidP="00553445">
      <w:pPr>
        <w:pStyle w:val="BodyText"/>
        <w:keepNext/>
        <w:keepLines/>
      </w:pPr>
      <w:r w:rsidRPr="00977141">
        <w:rPr>
          <w:i/>
        </w:rPr>
        <w:t>Assumption:</w:t>
      </w:r>
      <w:r>
        <w:t xml:space="preserve"> When a proposal to increase the highest marginal tax rate is announced in advance, affected individuals would bring forward 5 per cent of their income from the first year of the policy to before the policy implementation date.</w:t>
      </w:r>
    </w:p>
    <w:p w:rsidR="00553445" w:rsidRPr="004561D7" w:rsidRDefault="00553445" w:rsidP="00553445">
      <w:pPr>
        <w:pStyle w:val="BodyText"/>
        <w:keepNext/>
        <w:keepLines/>
        <w:rPr>
          <w:spacing w:val="-2"/>
        </w:rPr>
      </w:pPr>
      <w:r w:rsidRPr="004561D7">
        <w:rPr>
          <w:i/>
          <w:spacing w:val="-2"/>
        </w:rPr>
        <w:t>Justification:</w:t>
      </w:r>
      <w:r w:rsidRPr="004561D7">
        <w:rPr>
          <w:spacing w:val="-2"/>
        </w:rPr>
        <w:t xml:space="preserve"> High-income earners usually have some discretion over the timing in which income is realised, particularly for capital gains.  This is supported by research by </w:t>
      </w:r>
      <w:r w:rsidR="00B55E3E" w:rsidRPr="004561D7">
        <w:rPr>
          <w:spacing w:val="-2"/>
        </w:rPr>
        <w:t>HM Revenue &amp; Customs</w:t>
      </w:r>
      <w:r w:rsidRPr="004561D7">
        <w:rPr>
          <w:spacing w:val="-2"/>
        </w:rPr>
        <w:t xml:space="preserve"> </w:t>
      </w:r>
      <w:r w:rsidR="00B55E3E" w:rsidRPr="004561D7">
        <w:rPr>
          <w:spacing w:val="-2"/>
        </w:rPr>
        <w:t xml:space="preserve">in 2012 </w:t>
      </w:r>
      <w:r w:rsidRPr="004561D7">
        <w:rPr>
          <w:spacing w:val="-2"/>
        </w:rPr>
        <w:t>(</w:t>
      </w:r>
      <w:hyperlink r:id="rId84" w:history="1">
        <w:r w:rsidRPr="004561D7">
          <w:rPr>
            <w:rStyle w:val="Hyperlink"/>
            <w:spacing w:val="-2"/>
          </w:rPr>
          <w:t>The Exchequer effect of the 50 per cent additional rate of income tax)</w:t>
        </w:r>
      </w:hyperlink>
      <w:r w:rsidRPr="004561D7">
        <w:rPr>
          <w:spacing w:val="-2"/>
        </w:rPr>
        <w:t xml:space="preserve"> and the </w:t>
      </w:r>
      <w:r w:rsidR="00B55E3E" w:rsidRPr="004561D7">
        <w:rPr>
          <w:spacing w:val="-2"/>
        </w:rPr>
        <w:t>Canadian PBO</w:t>
      </w:r>
      <w:r w:rsidRPr="004561D7">
        <w:rPr>
          <w:spacing w:val="-2"/>
        </w:rPr>
        <w:t xml:space="preserve"> </w:t>
      </w:r>
      <w:r w:rsidR="00B55E3E" w:rsidRPr="004561D7">
        <w:rPr>
          <w:spacing w:val="-2"/>
        </w:rPr>
        <w:t xml:space="preserve">in 2016 </w:t>
      </w:r>
      <w:r w:rsidRPr="004561D7">
        <w:rPr>
          <w:spacing w:val="-2"/>
        </w:rPr>
        <w:t>(</w:t>
      </w:r>
      <w:hyperlink r:id="rId85" w:history="1">
        <w:r w:rsidRPr="004561D7">
          <w:rPr>
            <w:rStyle w:val="Hyperlink"/>
            <w:spacing w:val="-2"/>
          </w:rPr>
          <w:t>The fiscal and distributional impact of changes to the Federal personal income tax regime</w:t>
        </w:r>
      </w:hyperlink>
      <w:r w:rsidRPr="004561D7">
        <w:rPr>
          <w:spacing w:val="-2"/>
        </w:rPr>
        <w:t>).</w:t>
      </w:r>
    </w:p>
    <w:p w:rsidR="00553445" w:rsidRPr="00977141" w:rsidRDefault="00553445" w:rsidP="00553445">
      <w:pPr>
        <w:pStyle w:val="BodyText"/>
        <w:keepNext/>
        <w:keepLines/>
        <w:rPr>
          <w:color w:val="BFBFBF" w:themeColor="background1" w:themeShade="BF"/>
        </w:rPr>
      </w:pPr>
      <w:r w:rsidRPr="00977141">
        <w:rPr>
          <w:i/>
        </w:rPr>
        <w:t>Costing</w:t>
      </w:r>
      <w:r w:rsidR="00331201">
        <w:rPr>
          <w:i/>
        </w:rPr>
        <w:t>s</w:t>
      </w:r>
      <w:r w:rsidRPr="00977141">
        <w:rPr>
          <w:i/>
        </w:rPr>
        <w:t>:</w:t>
      </w:r>
      <w:r>
        <w:t xml:space="preserve"> </w:t>
      </w:r>
      <w:hyperlink r:id="rId86" w:history="1">
        <w:r w:rsidRPr="00383E88">
          <w:rPr>
            <w:rStyle w:val="Hyperlink"/>
          </w:rPr>
          <w:t>PER422</w:t>
        </w:r>
      </w:hyperlink>
      <w:r>
        <w:t xml:space="preserve">, </w:t>
      </w:r>
      <w:hyperlink r:id="rId87" w:history="1">
        <w:r w:rsidRPr="00383E88">
          <w:rPr>
            <w:rStyle w:val="Hyperlink"/>
          </w:rPr>
          <w:t>PER618</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553445" w:rsidP="00553445">
      <w:pPr>
        <w:pStyle w:val="Heading3"/>
      </w:pPr>
      <w:r>
        <w:t>Changes to marginal tax rates and thresholds</w:t>
      </w:r>
    </w:p>
    <w:p w:rsidR="00553445" w:rsidRDefault="00553445" w:rsidP="00553445">
      <w:pPr>
        <w:pStyle w:val="BodyText"/>
        <w:keepNext/>
        <w:keepLines/>
      </w:pPr>
      <w:r w:rsidRPr="00977141">
        <w:rPr>
          <w:i/>
        </w:rPr>
        <w:t>Assumption:</w:t>
      </w:r>
      <w:r>
        <w:t xml:space="preserve"> There would be a taxable income elasticity of 0.2 for all taxable income above the threshold for the highest marginal tax rate (currently $180,000), and a taxable income elasticity of zero for all taxable income below this threshold.</w:t>
      </w:r>
    </w:p>
    <w:p w:rsidR="00553445" w:rsidRDefault="00553445" w:rsidP="00553445">
      <w:pPr>
        <w:pStyle w:val="BodyText"/>
        <w:keepNext/>
        <w:keepLines/>
      </w:pPr>
      <w:r w:rsidRPr="00977141">
        <w:rPr>
          <w:i/>
        </w:rPr>
        <w:t>Justification:</w:t>
      </w:r>
      <w:r>
        <w:t xml:space="preserve"> The wider empirical literature estimates a range of taxable income elasticities, but the average estimate is close to 0.2, with </w:t>
      </w:r>
      <w:r w:rsidR="00A514E1">
        <w:t xml:space="preserve">lower </w:t>
      </w:r>
      <w:r>
        <w:t xml:space="preserve">elasticities for </w:t>
      </w:r>
      <w:r w:rsidR="00A514E1">
        <w:t>lower</w:t>
      </w:r>
      <w:r>
        <w:t xml:space="preserve">-income earners (see </w:t>
      </w:r>
      <w:r w:rsidR="00B55E3E">
        <w:t xml:space="preserve">2018 </w:t>
      </w:r>
      <w:r>
        <w:t xml:space="preserve">research by the </w:t>
      </w:r>
      <w:r w:rsidR="00B55E3E" w:rsidRPr="003842E7">
        <w:t>International Monetary Fund</w:t>
      </w:r>
      <w:r w:rsidR="00B55E3E">
        <w:t>,</w:t>
      </w:r>
      <w:r w:rsidR="00B55E3E" w:rsidRPr="003842E7">
        <w:t xml:space="preserve"> </w:t>
      </w:r>
      <w:hyperlink r:id="rId88" w:history="1">
        <w:r w:rsidR="00B55E3E" w:rsidRPr="00B55E3E">
          <w:rPr>
            <w:rStyle w:val="Hyperlink"/>
          </w:rPr>
          <w:t>Are elasticities of taxable income rising?</w:t>
        </w:r>
      </w:hyperlink>
      <w:r>
        <w:t>).</w:t>
      </w:r>
    </w:p>
    <w:p w:rsidR="00553445" w:rsidRPr="00977141" w:rsidRDefault="00553445" w:rsidP="00553445">
      <w:pPr>
        <w:pStyle w:val="BodyText"/>
        <w:keepNext/>
        <w:keepLines/>
        <w:rPr>
          <w:color w:val="BFBFBF" w:themeColor="background1" w:themeShade="BF"/>
        </w:rPr>
      </w:pPr>
      <w:r w:rsidRPr="00977141">
        <w:rPr>
          <w:i/>
        </w:rPr>
        <w:t>Costing</w:t>
      </w:r>
      <w:r w:rsidR="00331201">
        <w:rPr>
          <w:i/>
        </w:rPr>
        <w:t>s</w:t>
      </w:r>
      <w:r w:rsidRPr="00977141">
        <w:rPr>
          <w:i/>
        </w:rPr>
        <w:t>:</w:t>
      </w:r>
      <w:r>
        <w:t xml:space="preserve"> </w:t>
      </w:r>
      <w:hyperlink r:id="rId89" w:history="1">
        <w:r w:rsidRPr="00383E88">
          <w:rPr>
            <w:rStyle w:val="Hyperlink"/>
          </w:rPr>
          <w:t>PER411</w:t>
        </w:r>
      </w:hyperlink>
      <w:r>
        <w:t xml:space="preserve">, </w:t>
      </w:r>
      <w:hyperlink r:id="rId90" w:history="1">
        <w:r w:rsidRPr="00383E88">
          <w:rPr>
            <w:rStyle w:val="Hyperlink"/>
          </w:rPr>
          <w:t>PER422</w:t>
        </w:r>
      </w:hyperlink>
      <w:r>
        <w:t xml:space="preserve">, </w:t>
      </w:r>
      <w:hyperlink r:id="rId91" w:history="1">
        <w:r w:rsidRPr="00383E88">
          <w:rPr>
            <w:rStyle w:val="Hyperlink"/>
          </w:rPr>
          <w:t>PER425</w:t>
        </w:r>
      </w:hyperlink>
      <w:r>
        <w:t xml:space="preserve">, </w:t>
      </w:r>
      <w:hyperlink r:id="rId92" w:history="1">
        <w:r w:rsidRPr="00383E88">
          <w:rPr>
            <w:rStyle w:val="Hyperlink"/>
          </w:rPr>
          <w:t>PER618</w:t>
        </w:r>
      </w:hyperlink>
      <w:r>
        <w:t xml:space="preserve">, </w:t>
      </w:r>
      <w:hyperlink r:id="rId93" w:history="1">
        <w:r w:rsidRPr="00B73948">
          <w:rPr>
            <w:rStyle w:val="Hyperlink"/>
          </w:rPr>
          <w:t>PER624</w:t>
        </w:r>
      </w:hyperlink>
      <w:r w:rsidRPr="00B73948">
        <w:t xml:space="preserve">, </w:t>
      </w:r>
      <w:hyperlink r:id="rId94" w:history="1">
        <w:r w:rsidRPr="00175E6F">
          <w:rPr>
            <w:u w:val="single"/>
          </w:rPr>
          <w:t>PR19/00955</w:t>
        </w:r>
      </w:hyperlink>
      <w:r w:rsidRPr="00B73948">
        <w:t xml:space="preserve">, </w:t>
      </w:r>
      <w:hyperlink r:id="rId95" w:history="1">
        <w:r w:rsidRPr="00175E6F">
          <w:rPr>
            <w:u w:val="single"/>
          </w:rPr>
          <w:t>PR19/00956</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553445" w:rsidP="00553445">
      <w:pPr>
        <w:pStyle w:val="Heading3"/>
      </w:pPr>
      <w:r>
        <w:lastRenderedPageBreak/>
        <w:t>Changes to taxation of petroleum resource rents</w:t>
      </w:r>
    </w:p>
    <w:p w:rsidR="00553445" w:rsidRDefault="00553445" w:rsidP="00553445">
      <w:pPr>
        <w:pStyle w:val="BodyText"/>
        <w:keepNext/>
        <w:keepLines/>
      </w:pPr>
      <w:r w:rsidRPr="00977141">
        <w:rPr>
          <w:i/>
        </w:rPr>
        <w:t>Assumption:</w:t>
      </w:r>
      <w:r>
        <w:t xml:space="preserve"> Oil and gas production would not fall </w:t>
      </w:r>
      <w:r w:rsidR="00C364DC">
        <w:t xml:space="preserve">significantly over the costing period </w:t>
      </w:r>
      <w:r>
        <w:t>as a result of the proposal.</w:t>
      </w:r>
    </w:p>
    <w:p w:rsidR="00553445" w:rsidRDefault="00553445" w:rsidP="00553445">
      <w:pPr>
        <w:pStyle w:val="BodyText"/>
        <w:keepNext/>
        <w:keepLines/>
      </w:pPr>
      <w:r w:rsidRPr="00977141">
        <w:rPr>
          <w:i/>
        </w:rPr>
        <w:t>Justification:</w:t>
      </w:r>
      <w:r>
        <w:t xml:space="preserve"> Oil and gas production is often driven by long</w:t>
      </w:r>
      <w:r w:rsidR="004561D7">
        <w:t>-</w:t>
      </w:r>
      <w:r>
        <w:t>term contracts and there is limited scope for affected businesses to alter production from existing projects.</w:t>
      </w:r>
    </w:p>
    <w:p w:rsidR="00553445" w:rsidRPr="00977141" w:rsidRDefault="00553445" w:rsidP="00553445">
      <w:pPr>
        <w:pStyle w:val="BodyText"/>
        <w:keepNext/>
        <w:keepLines/>
        <w:rPr>
          <w:color w:val="BFBFBF" w:themeColor="background1" w:themeShade="BF"/>
        </w:rPr>
      </w:pPr>
      <w:r w:rsidRPr="00977141">
        <w:rPr>
          <w:i/>
        </w:rPr>
        <w:t>Costing:</w:t>
      </w:r>
      <w:r>
        <w:t xml:space="preserve"> </w:t>
      </w:r>
      <w:hyperlink r:id="rId96" w:history="1">
        <w:r w:rsidRPr="00383E88">
          <w:rPr>
            <w:rStyle w:val="Hyperlink"/>
          </w:rPr>
          <w:t>PER609</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DC02AF" w:rsidP="00553445">
      <w:pPr>
        <w:pStyle w:val="Heading3"/>
      </w:pPr>
      <w:r>
        <w:t>Collaboration premium for r</w:t>
      </w:r>
      <w:r w:rsidR="00DA5F76">
        <w:t xml:space="preserve">esearch and </w:t>
      </w:r>
      <w:r>
        <w:t>d</w:t>
      </w:r>
      <w:r w:rsidR="00DA5F76">
        <w:t>evelopment (R&amp;D)</w:t>
      </w:r>
      <w:r w:rsidR="00553445">
        <w:t xml:space="preserve"> tax offsets</w:t>
      </w:r>
    </w:p>
    <w:p w:rsidR="00553445" w:rsidRDefault="00553445" w:rsidP="00553445">
      <w:pPr>
        <w:pStyle w:val="BodyText"/>
        <w:keepNext/>
        <w:keepLines/>
      </w:pPr>
      <w:r w:rsidRPr="00977141">
        <w:rPr>
          <w:i/>
        </w:rPr>
        <w:t>Assumption:</w:t>
      </w:r>
      <w:r>
        <w:t xml:space="preserve"> Expenditure on collaborative R&amp;D activities would increase by 25 per cent, substituted from non-collaborative R&amp;D expenditure.</w:t>
      </w:r>
    </w:p>
    <w:p w:rsidR="00553445" w:rsidRDefault="00553445" w:rsidP="00553445">
      <w:pPr>
        <w:pStyle w:val="BodyText"/>
        <w:keepNext/>
        <w:keepLines/>
      </w:pPr>
      <w:r w:rsidRPr="00977141">
        <w:rPr>
          <w:i/>
        </w:rPr>
        <w:t>Justification:</w:t>
      </w:r>
      <w:r>
        <w:t xml:space="preserve"> Australia has one of the lowest rates of collaboration in the </w:t>
      </w:r>
      <w:r w:rsidR="004561D7">
        <w:t>OECD</w:t>
      </w:r>
      <w:r>
        <w:t xml:space="preserve">, suggesting that there is significant room to increase business spending on collaborative R&amp;D.  However, this increase would be somewhat limited by non‐financial factors, such as lack of time or expertise (see </w:t>
      </w:r>
      <w:r w:rsidR="00635D7C" w:rsidRPr="003842E7">
        <w:t>Australian</w:t>
      </w:r>
      <w:r w:rsidR="004561D7">
        <w:t> </w:t>
      </w:r>
      <w:r w:rsidR="00635D7C" w:rsidRPr="003842E7">
        <w:t>B</w:t>
      </w:r>
      <w:r w:rsidR="00635D7C">
        <w:t xml:space="preserve">ureau of </w:t>
      </w:r>
      <w:r w:rsidR="00635D7C" w:rsidRPr="003842E7">
        <w:t>S</w:t>
      </w:r>
      <w:r w:rsidR="00635D7C">
        <w:t>tatistics</w:t>
      </w:r>
      <w:r w:rsidR="00635D7C" w:rsidRPr="003842E7">
        <w:t xml:space="preserve"> </w:t>
      </w:r>
      <w:hyperlink r:id="rId97" w:history="1">
        <w:r w:rsidR="00635D7C" w:rsidRPr="00635D7C">
          <w:rPr>
            <w:rStyle w:val="Hyperlink"/>
          </w:rPr>
          <w:t xml:space="preserve">Cat. </w:t>
        </w:r>
        <w:proofErr w:type="gramStart"/>
        <w:r w:rsidR="00635D7C" w:rsidRPr="00635D7C">
          <w:rPr>
            <w:rStyle w:val="Hyperlink"/>
          </w:rPr>
          <w:t>No. 8158.0, 2016</w:t>
        </w:r>
        <w:r w:rsidR="00635D7C" w:rsidRPr="00635D7C">
          <w:rPr>
            <w:rStyle w:val="Hyperlink"/>
          </w:rPr>
          <w:noBreakHyphen/>
          <w:t>17</w:t>
        </w:r>
      </w:hyperlink>
      <w:r w:rsidR="00C364DC">
        <w:t>).</w:t>
      </w:r>
      <w:proofErr w:type="gramEnd"/>
    </w:p>
    <w:p w:rsidR="00553445" w:rsidRPr="00977141" w:rsidRDefault="00553445" w:rsidP="00553445">
      <w:pPr>
        <w:pStyle w:val="BodyText"/>
        <w:keepNext/>
        <w:keepLines/>
        <w:rPr>
          <w:color w:val="BFBFBF" w:themeColor="background1" w:themeShade="BF"/>
        </w:rPr>
      </w:pPr>
      <w:r w:rsidRPr="00977141">
        <w:rPr>
          <w:i/>
        </w:rPr>
        <w:t>Costing:</w:t>
      </w:r>
      <w:r>
        <w:t xml:space="preserve"> </w:t>
      </w:r>
      <w:hyperlink r:id="rId98" w:history="1">
        <w:r w:rsidRPr="00383E88">
          <w:rPr>
            <w:rStyle w:val="Hyperlink"/>
          </w:rPr>
          <w:t>PER349</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553445" w:rsidP="00553445">
      <w:pPr>
        <w:pStyle w:val="Heading3"/>
      </w:pPr>
      <w:r>
        <w:t>Deny tax deductions for business travel</w:t>
      </w:r>
      <w:r w:rsidR="00E14C22">
        <w:t xml:space="preserve"> to certain jurisdictions</w:t>
      </w:r>
    </w:p>
    <w:p w:rsidR="00553445" w:rsidRDefault="00553445" w:rsidP="00553445">
      <w:pPr>
        <w:pStyle w:val="BodyText"/>
        <w:keepNext/>
        <w:keepLines/>
      </w:pPr>
      <w:r w:rsidRPr="00977141">
        <w:rPr>
          <w:i/>
        </w:rPr>
        <w:t>Assumption:</w:t>
      </w:r>
      <w:r>
        <w:t xml:space="preserve"> Businesses would not reduce travel.</w:t>
      </w:r>
    </w:p>
    <w:p w:rsidR="00553445" w:rsidRDefault="00553445" w:rsidP="00553445">
      <w:pPr>
        <w:pStyle w:val="BodyText"/>
        <w:keepNext/>
        <w:keepLines/>
      </w:pPr>
      <w:r w:rsidRPr="00977141">
        <w:rPr>
          <w:i/>
        </w:rPr>
        <w:t>Justification:</w:t>
      </w:r>
      <w:r>
        <w:t xml:space="preserve"> There are several reasons for business travel, most of which are not dependent on the overall costs of it.</w:t>
      </w:r>
    </w:p>
    <w:p w:rsidR="00553445" w:rsidRPr="00977141" w:rsidRDefault="00553445" w:rsidP="00553445">
      <w:pPr>
        <w:pStyle w:val="BodyText"/>
        <w:keepNext/>
        <w:keepLines/>
        <w:rPr>
          <w:color w:val="BFBFBF" w:themeColor="background1" w:themeShade="BF"/>
        </w:rPr>
      </w:pPr>
      <w:r w:rsidRPr="00977141">
        <w:rPr>
          <w:i/>
        </w:rPr>
        <w:t>Costing:</w:t>
      </w:r>
      <w:r>
        <w:t xml:space="preserve"> </w:t>
      </w:r>
      <w:hyperlink r:id="rId99" w:history="1">
        <w:r w:rsidRPr="00383E88">
          <w:rPr>
            <w:rStyle w:val="Hyperlink"/>
          </w:rPr>
          <w:t>PER412</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553445" w:rsidP="00553445">
      <w:pPr>
        <w:pStyle w:val="Heading3"/>
      </w:pPr>
      <w:r>
        <w:t>Deny tax deductions for royalties sent to foreign residents</w:t>
      </w:r>
    </w:p>
    <w:p w:rsidR="00553445" w:rsidRDefault="00553445" w:rsidP="00553445">
      <w:pPr>
        <w:pStyle w:val="BodyText"/>
        <w:keepNext/>
        <w:keepLines/>
      </w:pPr>
      <w:r w:rsidRPr="00977141">
        <w:rPr>
          <w:i/>
        </w:rPr>
        <w:t>Assumption:</w:t>
      </w:r>
      <w:r>
        <w:t xml:space="preserve"> Some companies would change their royalty structures to avoid the impact of the proposal, reducing the</w:t>
      </w:r>
      <w:r w:rsidR="00C364DC">
        <w:t xml:space="preserve"> total</w:t>
      </w:r>
      <w:r>
        <w:t xml:space="preserve"> revenue impact by 70 per cent.</w:t>
      </w:r>
    </w:p>
    <w:p w:rsidR="00553445" w:rsidRDefault="00553445" w:rsidP="00553445">
      <w:pPr>
        <w:pStyle w:val="BodyText"/>
        <w:keepNext/>
        <w:keepLines/>
      </w:pPr>
      <w:r w:rsidRPr="00977141">
        <w:rPr>
          <w:i/>
        </w:rPr>
        <w:t>Justification:</w:t>
      </w:r>
      <w:r>
        <w:t xml:space="preserve"> There are a number of potential strategies and restructuring </w:t>
      </w:r>
      <w:proofErr w:type="gramStart"/>
      <w:r>
        <w:t>that businesses</w:t>
      </w:r>
      <w:proofErr w:type="gramEnd"/>
      <w:r>
        <w:t xml:space="preserve"> could pursue in order to avoid the proposal.</w:t>
      </w:r>
      <w:r w:rsidR="00BD4E66">
        <w:t xml:space="preserve"> </w:t>
      </w:r>
      <w:r w:rsidR="00867AA2">
        <w:t xml:space="preserve"> </w:t>
      </w:r>
      <w:r w:rsidR="00BD4E66">
        <w:t>For example, subsidiaries in Australia could enter into service agreements or loans instead of paying royalties.</w:t>
      </w:r>
    </w:p>
    <w:p w:rsidR="00553445" w:rsidRPr="00977141" w:rsidRDefault="00553445" w:rsidP="00553445">
      <w:pPr>
        <w:pStyle w:val="BodyText"/>
        <w:keepNext/>
        <w:keepLines/>
        <w:rPr>
          <w:color w:val="BFBFBF" w:themeColor="background1" w:themeShade="BF"/>
        </w:rPr>
      </w:pPr>
      <w:r w:rsidRPr="00977141">
        <w:rPr>
          <w:i/>
        </w:rPr>
        <w:t>Costing:</w:t>
      </w:r>
      <w:r>
        <w:t xml:space="preserve"> </w:t>
      </w:r>
      <w:hyperlink r:id="rId100" w:history="1">
        <w:r w:rsidRPr="00383E88">
          <w:rPr>
            <w:rStyle w:val="Hyperlink"/>
          </w:rPr>
          <w:t>PER412</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D84B7D" w:rsidRDefault="00D84B7D" w:rsidP="004561D7">
      <w:pPr>
        <w:pStyle w:val="Heading3"/>
      </w:pPr>
      <w:r>
        <w:t>Extending the taxable payments reporting system</w:t>
      </w:r>
    </w:p>
    <w:p w:rsidR="00D84B7D" w:rsidRDefault="00D84B7D" w:rsidP="004561D7">
      <w:pPr>
        <w:pStyle w:val="BodyText"/>
        <w:keepNext/>
        <w:keepLines/>
      </w:pPr>
      <w:r w:rsidRPr="00977141">
        <w:rPr>
          <w:i/>
        </w:rPr>
        <w:t>Assumption:</w:t>
      </w:r>
      <w:r>
        <w:t xml:space="preserve"> Around 40 per cent of contractors would not comply with the taxable payments reporting system.</w:t>
      </w:r>
    </w:p>
    <w:p w:rsidR="00D84B7D" w:rsidRDefault="00D84B7D" w:rsidP="004561D7">
      <w:pPr>
        <w:pStyle w:val="BodyText"/>
        <w:keepNext/>
        <w:keepLines/>
      </w:pPr>
      <w:r w:rsidRPr="00977141">
        <w:rPr>
          <w:i/>
        </w:rPr>
        <w:t>Justification:</w:t>
      </w:r>
      <w:r>
        <w:t xml:space="preserve"> Based on the historic experience of similar industries that are already in the taxable payments reporting system.</w:t>
      </w:r>
    </w:p>
    <w:p w:rsidR="00D84B7D" w:rsidRPr="00977141" w:rsidRDefault="00D84B7D" w:rsidP="004561D7">
      <w:pPr>
        <w:pStyle w:val="BodyText"/>
        <w:keepNext/>
        <w:keepLines/>
        <w:rPr>
          <w:color w:val="BFBFBF" w:themeColor="background1" w:themeShade="BF"/>
        </w:rPr>
      </w:pPr>
      <w:r w:rsidRPr="00977141">
        <w:rPr>
          <w:i/>
        </w:rPr>
        <w:t>Costing:</w:t>
      </w:r>
      <w:r>
        <w:t xml:space="preserve"> </w:t>
      </w:r>
      <w:hyperlink r:id="rId101" w:history="1">
        <w:r w:rsidRPr="00383E88">
          <w:rPr>
            <w:rStyle w:val="Hyperlink"/>
          </w:rPr>
          <w:t>PER354</w:t>
        </w:r>
      </w:hyperlink>
    </w:p>
    <w:p w:rsidR="00D84B7D" w:rsidRPr="00977141" w:rsidRDefault="00D84B7D"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553445" w:rsidP="00553445">
      <w:pPr>
        <w:pStyle w:val="Heading3"/>
      </w:pPr>
      <w:r>
        <w:lastRenderedPageBreak/>
        <w:t>Fringe benefits tax exemption for electric vehicles</w:t>
      </w:r>
    </w:p>
    <w:p w:rsidR="00553445" w:rsidRDefault="00553445" w:rsidP="00553445">
      <w:pPr>
        <w:pStyle w:val="BodyText"/>
        <w:keepNext/>
        <w:keepLines/>
      </w:pPr>
      <w:r w:rsidRPr="00977141">
        <w:rPr>
          <w:i/>
        </w:rPr>
        <w:t>Assumption:</w:t>
      </w:r>
      <w:r>
        <w:t xml:space="preserve"> The number of newly purchased electric vehicles being salary sacrificed would double.</w:t>
      </w:r>
    </w:p>
    <w:p w:rsidR="00553445" w:rsidRDefault="00553445" w:rsidP="00553445">
      <w:pPr>
        <w:pStyle w:val="BodyText"/>
        <w:keepNext/>
        <w:keepLines/>
      </w:pPr>
      <w:r w:rsidRPr="00977141">
        <w:rPr>
          <w:i/>
        </w:rPr>
        <w:t>Justification:</w:t>
      </w:r>
      <w:r>
        <w:t xml:space="preserve"> The proposal makes salary </w:t>
      </w:r>
      <w:r w:rsidR="004561D7">
        <w:t xml:space="preserve">sacrificing </w:t>
      </w:r>
      <w:r>
        <w:t xml:space="preserve">arrangements for electric vehicles more attractive.  Given the relatively low level </w:t>
      </w:r>
      <w:r w:rsidR="004009BF">
        <w:t>of salary sacrifice (around 8 per cent of vehicle purchases in 2017</w:t>
      </w:r>
      <w:r w:rsidR="004009BF">
        <w:noBreakHyphen/>
        <w:t>18),</w:t>
      </w:r>
      <w:r>
        <w:t xml:space="preserve"> and the potential for </w:t>
      </w:r>
      <w:r w:rsidR="0008724C">
        <w:t xml:space="preserve">high </w:t>
      </w:r>
      <w:r>
        <w:t xml:space="preserve">growth </w:t>
      </w:r>
      <w:r w:rsidR="004009BF">
        <w:t xml:space="preserve">in electric </w:t>
      </w:r>
      <w:r w:rsidR="005C0458">
        <w:t xml:space="preserve">vehicle </w:t>
      </w:r>
      <w:r w:rsidR="004009BF">
        <w:t xml:space="preserve">sales </w:t>
      </w:r>
      <w:r>
        <w:t xml:space="preserve">in coming years, a doubling in novated leases for electric vehicles would </w:t>
      </w:r>
      <w:r w:rsidR="00BD4E66">
        <w:t>not be unreasonable</w:t>
      </w:r>
      <w:r>
        <w:t>.</w:t>
      </w:r>
    </w:p>
    <w:p w:rsidR="00553445" w:rsidRPr="00977141" w:rsidRDefault="00553445" w:rsidP="00553445">
      <w:pPr>
        <w:pStyle w:val="BodyText"/>
        <w:keepNext/>
        <w:keepLines/>
        <w:rPr>
          <w:color w:val="BFBFBF" w:themeColor="background1" w:themeShade="BF"/>
        </w:rPr>
      </w:pPr>
      <w:r w:rsidRPr="00977141">
        <w:rPr>
          <w:i/>
        </w:rPr>
        <w:t>Costing:</w:t>
      </w:r>
      <w:r>
        <w:t xml:space="preserve"> </w:t>
      </w:r>
      <w:hyperlink r:id="rId102" w:history="1">
        <w:r w:rsidRPr="00B73948">
          <w:rPr>
            <w:rStyle w:val="Hyperlink"/>
          </w:rPr>
          <w:t>PR18/00605</w:t>
        </w:r>
        <w:r w:rsidR="00D2659C" w:rsidRPr="00B73948">
          <w:rPr>
            <w:rStyle w:val="Hyperlink"/>
          </w:rPr>
          <w:t>#03</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553445" w:rsidP="00553445">
      <w:pPr>
        <w:pStyle w:val="Heading3"/>
      </w:pPr>
      <w:r>
        <w:t xml:space="preserve">Impose </w:t>
      </w:r>
      <w:r w:rsidR="002349F2">
        <w:t xml:space="preserve">small </w:t>
      </w:r>
      <w:r>
        <w:t>levy on banks</w:t>
      </w:r>
    </w:p>
    <w:p w:rsidR="00553445" w:rsidRDefault="00553445" w:rsidP="00553445">
      <w:pPr>
        <w:pStyle w:val="BodyText"/>
        <w:keepNext/>
        <w:keepLines/>
      </w:pPr>
      <w:r w:rsidRPr="00977141">
        <w:rPr>
          <w:i/>
        </w:rPr>
        <w:t>Assumption:</w:t>
      </w:r>
      <w:r>
        <w:t xml:space="preserve"> Banks would absorb the cost of the levy, not passing it on</w:t>
      </w:r>
      <w:r w:rsidR="00DC02AF">
        <w:t xml:space="preserve"> </w:t>
      </w:r>
      <w:r>
        <w:t>to consumers or reducing dividends</w:t>
      </w:r>
      <w:r w:rsidR="003F7E9C">
        <w:t>.</w:t>
      </w:r>
    </w:p>
    <w:p w:rsidR="00553445" w:rsidRDefault="00553445" w:rsidP="00553445">
      <w:pPr>
        <w:pStyle w:val="BodyText"/>
        <w:keepNext/>
        <w:keepLines/>
      </w:pPr>
      <w:r w:rsidRPr="00977141">
        <w:rPr>
          <w:i/>
        </w:rPr>
        <w:t>Justification:</w:t>
      </w:r>
      <w:r>
        <w:t xml:space="preserve"> </w:t>
      </w:r>
      <w:r w:rsidR="002349F2">
        <w:t xml:space="preserve">Given the relatively small size of the levy, </w:t>
      </w:r>
      <w:r w:rsidR="006A5BCB">
        <w:t xml:space="preserve">banks </w:t>
      </w:r>
      <w:r w:rsidR="0065213D">
        <w:t xml:space="preserve">have been assessed as </w:t>
      </w:r>
      <w:r w:rsidR="006A5BCB">
        <w:t xml:space="preserve">unlikely to pass on </w:t>
      </w:r>
      <w:r w:rsidR="008174B0">
        <w:t>any</w:t>
      </w:r>
      <w:r w:rsidR="006A5BCB">
        <w:t xml:space="preserve"> of the cost to consumers or shareholders</w:t>
      </w:r>
      <w:r>
        <w:t>.</w:t>
      </w:r>
    </w:p>
    <w:p w:rsidR="00553445" w:rsidRPr="00977141" w:rsidRDefault="00553445" w:rsidP="00553445">
      <w:pPr>
        <w:pStyle w:val="BodyText"/>
        <w:keepNext/>
        <w:keepLines/>
        <w:rPr>
          <w:color w:val="BFBFBF" w:themeColor="background1" w:themeShade="BF"/>
        </w:rPr>
      </w:pPr>
      <w:r w:rsidRPr="00977141">
        <w:rPr>
          <w:i/>
        </w:rPr>
        <w:t>Costing:</w:t>
      </w:r>
      <w:r>
        <w:t xml:space="preserve"> </w:t>
      </w:r>
      <w:hyperlink r:id="rId103" w:history="1">
        <w:r w:rsidRPr="00383E88">
          <w:rPr>
            <w:rStyle w:val="Hyperlink"/>
          </w:rPr>
          <w:t>PER397</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553445" w:rsidP="00553445">
      <w:pPr>
        <w:pStyle w:val="Heading3"/>
      </w:pPr>
      <w:r>
        <w:t>Increase A</w:t>
      </w:r>
      <w:r w:rsidR="00FC3BA3">
        <w:t xml:space="preserve">ustralian </w:t>
      </w:r>
      <w:r>
        <w:t>T</w:t>
      </w:r>
      <w:r w:rsidR="00FC3BA3">
        <w:t xml:space="preserve">axation </w:t>
      </w:r>
      <w:r>
        <w:t>O</w:t>
      </w:r>
      <w:r w:rsidR="00FC3BA3">
        <w:t>ffice</w:t>
      </w:r>
      <w:r>
        <w:t xml:space="preserve"> compliance resources</w:t>
      </w:r>
    </w:p>
    <w:p w:rsidR="00553445" w:rsidRDefault="00553445" w:rsidP="00553445">
      <w:pPr>
        <w:pStyle w:val="BodyText"/>
        <w:keepNext/>
        <w:keepLines/>
      </w:pPr>
      <w:r w:rsidRPr="00977141">
        <w:rPr>
          <w:i/>
        </w:rPr>
        <w:t>Assumption:</w:t>
      </w:r>
      <w:r>
        <w:t xml:space="preserve"> Voluntary compliance </w:t>
      </w:r>
      <w:r w:rsidR="003F7E9C">
        <w:t>by</w:t>
      </w:r>
      <w:r>
        <w:t xml:space="preserve"> taxpayers would increase</w:t>
      </w:r>
      <w:r w:rsidR="008E6C40">
        <w:t>.</w:t>
      </w:r>
      <w:r>
        <w:t xml:space="preserve"> </w:t>
      </w:r>
      <w:r w:rsidR="008E6C40">
        <w:t xml:space="preserve"> The additional revenue from voluntary compliance would be </w:t>
      </w:r>
      <w:r>
        <w:t xml:space="preserve">between 5 per cent and </w:t>
      </w:r>
      <w:r w:rsidR="00C364DC">
        <w:t>12 per </w:t>
      </w:r>
      <w:r>
        <w:t>cent</w:t>
      </w:r>
      <w:r w:rsidR="008E6C40">
        <w:t xml:space="preserve"> higher</w:t>
      </w:r>
      <w:r>
        <w:t xml:space="preserve">, depending on the </w:t>
      </w:r>
      <w:r w:rsidR="008E6C40">
        <w:t>level of specified compliance funding</w:t>
      </w:r>
      <w:r>
        <w:t>.</w:t>
      </w:r>
    </w:p>
    <w:p w:rsidR="00553445" w:rsidRDefault="00553445" w:rsidP="00553445">
      <w:pPr>
        <w:pStyle w:val="BodyText"/>
        <w:keepNext/>
        <w:keepLines/>
      </w:pPr>
      <w:r w:rsidRPr="00977141">
        <w:rPr>
          <w:i/>
        </w:rPr>
        <w:t>Justification:</w:t>
      </w:r>
      <w:r>
        <w:t xml:space="preserve"> The increased likelihood of being caught in an audit or other compliance process would increase the incentive for taxpayers to voluntarily comply with the tax system.</w:t>
      </w:r>
    </w:p>
    <w:p w:rsidR="00553445" w:rsidRPr="00977141" w:rsidRDefault="00553445" w:rsidP="00553445">
      <w:pPr>
        <w:pStyle w:val="BodyText"/>
        <w:keepNext/>
        <w:keepLines/>
        <w:rPr>
          <w:color w:val="BFBFBF" w:themeColor="background1" w:themeShade="BF"/>
        </w:rPr>
      </w:pPr>
      <w:r w:rsidRPr="00977141">
        <w:rPr>
          <w:i/>
        </w:rPr>
        <w:t>Costing:</w:t>
      </w:r>
      <w:r>
        <w:t xml:space="preserve"> </w:t>
      </w:r>
      <w:hyperlink r:id="rId104" w:history="1">
        <w:r w:rsidRPr="00383E88">
          <w:rPr>
            <w:rStyle w:val="Hyperlink"/>
          </w:rPr>
          <w:t>PER409</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553445" w:rsidP="00553445">
      <w:pPr>
        <w:pStyle w:val="Heading3"/>
      </w:pPr>
      <w:r>
        <w:t>Increase emissions standards for the definition of a luxury car tax fuel</w:t>
      </w:r>
      <w:r w:rsidR="003F7E9C">
        <w:t>-</w:t>
      </w:r>
      <w:r>
        <w:t>efficient vehicle</w:t>
      </w:r>
    </w:p>
    <w:p w:rsidR="00553445" w:rsidRDefault="00553445" w:rsidP="00553445">
      <w:pPr>
        <w:pStyle w:val="BodyText"/>
        <w:keepNext/>
        <w:keepLines/>
      </w:pPr>
      <w:r w:rsidRPr="00977141">
        <w:rPr>
          <w:i/>
        </w:rPr>
        <w:t>Assumption:</w:t>
      </w:r>
      <w:r>
        <w:t xml:space="preserve"> There would be no material behavioural response.</w:t>
      </w:r>
    </w:p>
    <w:p w:rsidR="00553445" w:rsidRDefault="00553445" w:rsidP="00553445">
      <w:pPr>
        <w:pStyle w:val="BodyText"/>
        <w:keepNext/>
        <w:keepLines/>
      </w:pPr>
      <w:r w:rsidRPr="00977141">
        <w:rPr>
          <w:i/>
        </w:rPr>
        <w:t>Justification:</w:t>
      </w:r>
      <w:r>
        <w:t xml:space="preserve"> Buyers of luxury vehicles are not as price sensitive as buyers of cheaper vehicles.</w:t>
      </w:r>
    </w:p>
    <w:p w:rsidR="00553445" w:rsidRPr="00977141" w:rsidRDefault="00553445" w:rsidP="00553445">
      <w:pPr>
        <w:pStyle w:val="BodyText"/>
        <w:keepNext/>
        <w:keepLines/>
        <w:rPr>
          <w:color w:val="BFBFBF" w:themeColor="background1" w:themeShade="BF"/>
        </w:rPr>
      </w:pPr>
      <w:r w:rsidRPr="00977141">
        <w:rPr>
          <w:i/>
        </w:rPr>
        <w:t>Costing:</w:t>
      </w:r>
      <w:r>
        <w:t xml:space="preserve"> </w:t>
      </w:r>
      <w:hyperlink r:id="rId105" w:history="1">
        <w:r w:rsidRPr="00383E88">
          <w:rPr>
            <w:rStyle w:val="Hyperlink"/>
          </w:rPr>
          <w:t>PER612</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553445" w:rsidP="00553445">
      <w:pPr>
        <w:pStyle w:val="Heading3"/>
      </w:pPr>
      <w:r>
        <w:t>Increase in bank levy</w:t>
      </w:r>
    </w:p>
    <w:p w:rsidR="00553445" w:rsidRDefault="00553445" w:rsidP="00553445">
      <w:pPr>
        <w:pStyle w:val="BodyText"/>
        <w:keepNext/>
        <w:keepLines/>
      </w:pPr>
      <w:r w:rsidRPr="00977141">
        <w:rPr>
          <w:i/>
        </w:rPr>
        <w:t>Assumption:</w:t>
      </w:r>
      <w:r>
        <w:t xml:space="preserve"> Approximately 75 per cent of the increased levy amount would be passed on to bank customers.</w:t>
      </w:r>
    </w:p>
    <w:p w:rsidR="00553445" w:rsidRDefault="00553445" w:rsidP="00553445">
      <w:pPr>
        <w:pStyle w:val="BodyText"/>
        <w:keepNext/>
        <w:keepLines/>
      </w:pPr>
      <w:r w:rsidRPr="00977141">
        <w:rPr>
          <w:i/>
        </w:rPr>
        <w:t>Justification:</w:t>
      </w:r>
      <w:r>
        <w:t xml:space="preserve"> The explanatory memorandum of the </w:t>
      </w:r>
      <w:hyperlink r:id="rId106" w:history="1">
        <w:r w:rsidRPr="00753B0A">
          <w:rPr>
            <w:rStyle w:val="Hyperlink"/>
          </w:rPr>
          <w:t>Major Bank Levy Bill 2017</w:t>
        </w:r>
      </w:hyperlink>
      <w:r>
        <w:t xml:space="preserve"> provides some information on international studies that suggest that some of the bank levy would be passed on to consumers.</w:t>
      </w:r>
    </w:p>
    <w:p w:rsidR="00553445" w:rsidRPr="00977141" w:rsidRDefault="00553445" w:rsidP="00553445">
      <w:pPr>
        <w:pStyle w:val="BodyText"/>
        <w:keepNext/>
        <w:keepLines/>
        <w:rPr>
          <w:color w:val="BFBFBF" w:themeColor="background1" w:themeShade="BF"/>
        </w:rPr>
      </w:pPr>
      <w:r w:rsidRPr="00977141">
        <w:rPr>
          <w:i/>
        </w:rPr>
        <w:t>Costing:</w:t>
      </w:r>
      <w:r>
        <w:t xml:space="preserve"> </w:t>
      </w:r>
      <w:hyperlink r:id="rId107" w:history="1">
        <w:r w:rsidRPr="00383E88">
          <w:rPr>
            <w:rStyle w:val="Hyperlink"/>
          </w:rPr>
          <w:t>PER675</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553445" w:rsidP="00553445">
      <w:pPr>
        <w:pStyle w:val="Heading3"/>
      </w:pPr>
      <w:r>
        <w:lastRenderedPageBreak/>
        <w:t>Increase the GST registration threshold</w:t>
      </w:r>
    </w:p>
    <w:p w:rsidR="00553445" w:rsidRDefault="00553445" w:rsidP="00553445">
      <w:pPr>
        <w:pStyle w:val="BodyText"/>
        <w:keepNext/>
        <w:keepLines/>
      </w:pPr>
      <w:r w:rsidRPr="00977141">
        <w:rPr>
          <w:i/>
        </w:rPr>
        <w:t>Assumption:</w:t>
      </w:r>
      <w:r>
        <w:t xml:space="preserve"> Around 80 per cent of eligible companies (by GST debt value) with a debit GST balance, and all companies currently in a net refund position</w:t>
      </w:r>
      <w:r w:rsidR="003F7E9C">
        <w:t>,</w:t>
      </w:r>
      <w:r>
        <w:t xml:space="preserve"> would remain registered for GST.</w:t>
      </w:r>
    </w:p>
    <w:p w:rsidR="00553445" w:rsidRDefault="00553445" w:rsidP="00553445">
      <w:pPr>
        <w:pStyle w:val="BodyText"/>
        <w:keepNext/>
        <w:keepLines/>
      </w:pPr>
      <w:r w:rsidRPr="00977141">
        <w:rPr>
          <w:i/>
        </w:rPr>
        <w:t>Justification:</w:t>
      </w:r>
      <w:r>
        <w:t xml:space="preserve"> There are other benefits associated with GST registration, such as being able to claim input tax credits and the ease of conducting business.</w:t>
      </w:r>
    </w:p>
    <w:p w:rsidR="00553445" w:rsidRPr="00977141" w:rsidRDefault="00553445" w:rsidP="00553445">
      <w:pPr>
        <w:pStyle w:val="BodyText"/>
        <w:keepNext/>
        <w:keepLines/>
        <w:rPr>
          <w:color w:val="BFBFBF" w:themeColor="background1" w:themeShade="BF"/>
        </w:rPr>
      </w:pPr>
      <w:r w:rsidRPr="00977141">
        <w:rPr>
          <w:i/>
        </w:rPr>
        <w:t>Costing:</w:t>
      </w:r>
      <w:r>
        <w:t xml:space="preserve"> </w:t>
      </w:r>
      <w:hyperlink r:id="rId108" w:history="1">
        <w:r w:rsidRPr="00383E88">
          <w:rPr>
            <w:rStyle w:val="Hyperlink"/>
          </w:rPr>
          <w:t>PER657</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176036" w:rsidP="00553445">
      <w:pPr>
        <w:pStyle w:val="Heading3"/>
      </w:pPr>
      <w:r>
        <w:t xml:space="preserve">Introduce a </w:t>
      </w:r>
      <w:r w:rsidR="000C7426">
        <w:t xml:space="preserve">broad </w:t>
      </w:r>
      <w:r>
        <w:t xml:space="preserve">package of </w:t>
      </w:r>
      <w:r w:rsidR="000C7426">
        <w:t>revenue measures</w:t>
      </w:r>
    </w:p>
    <w:p w:rsidR="00553445" w:rsidRDefault="00553445" w:rsidP="00553445">
      <w:pPr>
        <w:pStyle w:val="BodyText"/>
        <w:keepNext/>
        <w:keepLines/>
      </w:pPr>
      <w:r w:rsidRPr="00977141">
        <w:rPr>
          <w:i/>
        </w:rPr>
        <w:t>Assumption:</w:t>
      </w:r>
      <w:r>
        <w:t xml:space="preserve"> </w:t>
      </w:r>
      <w:r w:rsidR="00660743">
        <w:t>B</w:t>
      </w:r>
      <w:r>
        <w:t>ehavioural response</w:t>
      </w:r>
      <w:r w:rsidR="00660743">
        <w:t>s</w:t>
      </w:r>
      <w:r>
        <w:t xml:space="preserve"> to </w:t>
      </w:r>
      <w:r w:rsidR="00660743">
        <w:t>a broadening of the tax base and increases in tax on high</w:t>
      </w:r>
      <w:r w:rsidR="0096071E">
        <w:noBreakHyphen/>
      </w:r>
      <w:r w:rsidR="00660743">
        <w:t>wealth individuals are broadly offsetting</w:t>
      </w:r>
      <w:r>
        <w:t>.</w:t>
      </w:r>
    </w:p>
    <w:p w:rsidR="00553445" w:rsidRDefault="00553445" w:rsidP="00553445">
      <w:pPr>
        <w:pStyle w:val="BodyText"/>
        <w:keepNext/>
        <w:keepLines/>
      </w:pPr>
      <w:r w:rsidRPr="00977141">
        <w:rPr>
          <w:i/>
        </w:rPr>
        <w:t>Justification:</w:t>
      </w:r>
      <w:r>
        <w:t xml:space="preserve"> A broader tax base may lead to fewer opportunities for those affected to reduce the tax they pay.  Conversely, a higher overall tax burden provides a stronger incentive for those affected to make greater use of alternative avoidance and evasion strategies.  The effects are </w:t>
      </w:r>
      <w:r w:rsidR="00660743">
        <w:t xml:space="preserve">assessed as being </w:t>
      </w:r>
      <w:r>
        <w:t>broadly offset</w:t>
      </w:r>
      <w:r w:rsidR="00660743">
        <w:t>ting for the particular set of proposed changes</w:t>
      </w:r>
      <w:r>
        <w:t>.</w:t>
      </w:r>
    </w:p>
    <w:p w:rsidR="00553445" w:rsidRPr="00977141" w:rsidRDefault="00553445" w:rsidP="00553445">
      <w:pPr>
        <w:pStyle w:val="BodyText"/>
        <w:keepNext/>
        <w:keepLines/>
        <w:rPr>
          <w:color w:val="BFBFBF" w:themeColor="background1" w:themeShade="BF"/>
        </w:rPr>
      </w:pPr>
      <w:r w:rsidRPr="00977141">
        <w:rPr>
          <w:i/>
        </w:rPr>
        <w:t>Costing:</w:t>
      </w:r>
      <w:r>
        <w:t xml:space="preserve"> </w:t>
      </w:r>
      <w:hyperlink r:id="rId109" w:history="1">
        <w:r w:rsidRPr="00383E88">
          <w:rPr>
            <w:rStyle w:val="Hyperlink"/>
          </w:rPr>
          <w:t>PER475</w:t>
        </w:r>
      </w:hyperlink>
      <w:r>
        <w:t xml:space="preserve">, </w:t>
      </w:r>
      <w:hyperlink r:id="rId110" w:history="1">
        <w:r w:rsidRPr="00383E88">
          <w:rPr>
            <w:rStyle w:val="Hyperlink"/>
          </w:rPr>
          <w:t>PER687</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553445" w:rsidP="00553445">
      <w:pPr>
        <w:pStyle w:val="Heading3"/>
      </w:pPr>
      <w:r>
        <w:t>Introduce a carbon tax</w:t>
      </w:r>
    </w:p>
    <w:p w:rsidR="00553445" w:rsidRDefault="00553445" w:rsidP="00553445">
      <w:pPr>
        <w:pStyle w:val="BodyText"/>
        <w:keepNext/>
        <w:keepLines/>
      </w:pPr>
      <w:r w:rsidRPr="00977141">
        <w:rPr>
          <w:i/>
        </w:rPr>
        <w:t>Assumption:</w:t>
      </w:r>
      <w:r>
        <w:t xml:space="preserve"> Carbon emissions would decrease by approximately 1.3 per cent per year.</w:t>
      </w:r>
    </w:p>
    <w:p w:rsidR="00553445" w:rsidRDefault="00553445" w:rsidP="00553445">
      <w:pPr>
        <w:pStyle w:val="BodyText"/>
        <w:keepNext/>
        <w:keepLines/>
      </w:pPr>
      <w:r w:rsidRPr="00977141">
        <w:rPr>
          <w:i/>
        </w:rPr>
        <w:t>Justification:</w:t>
      </w:r>
      <w:r>
        <w:t xml:space="preserve"> Based on a </w:t>
      </w:r>
      <w:r w:rsidR="00635D7C">
        <w:t xml:space="preserve">2013 </w:t>
      </w:r>
      <w:r>
        <w:t xml:space="preserve">modelling report provided to the </w:t>
      </w:r>
      <w:r w:rsidR="00635D7C" w:rsidRPr="003842E7">
        <w:t>Climate Change and Energy Authority</w:t>
      </w:r>
      <w:r w:rsidR="00635D7C">
        <w:rPr>
          <w:rStyle w:val="Hyperlink"/>
        </w:rPr>
        <w:t xml:space="preserve"> </w:t>
      </w:r>
      <w:r w:rsidR="00635D7C" w:rsidRPr="007100F9">
        <w:rPr>
          <w:rStyle w:val="Hyperlink"/>
          <w:u w:val="none"/>
        </w:rPr>
        <w:t>(</w:t>
      </w:r>
      <w:hyperlink r:id="rId111" w:history="1">
        <w:r w:rsidR="00635D7C" w:rsidRPr="00635D7C">
          <w:rPr>
            <w:rStyle w:val="Hyperlink"/>
          </w:rPr>
          <w:t>Climate change mitigation scenarios</w:t>
        </w:r>
      </w:hyperlink>
      <w:r w:rsidR="00635D7C" w:rsidRPr="007100F9">
        <w:rPr>
          <w:rStyle w:val="Hyperlink"/>
          <w:u w:val="none"/>
        </w:rPr>
        <w:t>)</w:t>
      </w:r>
      <w:r w:rsidRPr="00635D7C">
        <w:t>.</w:t>
      </w:r>
    </w:p>
    <w:p w:rsidR="00553445" w:rsidRPr="00977141" w:rsidRDefault="00553445" w:rsidP="00553445">
      <w:pPr>
        <w:pStyle w:val="BodyText"/>
        <w:keepNext/>
        <w:keepLines/>
        <w:rPr>
          <w:color w:val="BFBFBF" w:themeColor="background1" w:themeShade="BF"/>
        </w:rPr>
      </w:pPr>
      <w:r w:rsidRPr="00977141">
        <w:rPr>
          <w:i/>
        </w:rPr>
        <w:t>Costing:</w:t>
      </w:r>
      <w:r>
        <w:t xml:space="preserve"> </w:t>
      </w:r>
      <w:hyperlink r:id="rId112" w:history="1">
        <w:r w:rsidRPr="00383E88">
          <w:rPr>
            <w:rStyle w:val="Hyperlink"/>
          </w:rPr>
          <w:t>PER613</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553445" w:rsidP="00553445">
      <w:pPr>
        <w:pStyle w:val="Heading3"/>
      </w:pPr>
      <w:r>
        <w:t>Introduce a fossil fuel car tax and increase emissions standards for the definition of a luxury car tax fuel efficient vehicle</w:t>
      </w:r>
    </w:p>
    <w:p w:rsidR="00553445" w:rsidRDefault="00553445" w:rsidP="00553445">
      <w:pPr>
        <w:pStyle w:val="BodyText"/>
        <w:keepNext/>
        <w:keepLines/>
      </w:pPr>
      <w:r w:rsidRPr="00977141">
        <w:rPr>
          <w:i/>
        </w:rPr>
        <w:t>Assumption:</w:t>
      </w:r>
      <w:r>
        <w:t xml:space="preserve"> There would be no </w:t>
      </w:r>
      <w:r w:rsidR="00E14C22">
        <w:t xml:space="preserve">material </w:t>
      </w:r>
      <w:r>
        <w:t>change to the timing of non-electric vehicle purchases in response to the limited duration of the proposal.</w:t>
      </w:r>
    </w:p>
    <w:p w:rsidR="00553445" w:rsidRDefault="00553445" w:rsidP="00553445">
      <w:pPr>
        <w:pStyle w:val="BodyText"/>
        <w:keepNext/>
        <w:keepLines/>
      </w:pPr>
      <w:r w:rsidRPr="00977141">
        <w:rPr>
          <w:i/>
        </w:rPr>
        <w:t>Justification:</w:t>
      </w:r>
      <w:r>
        <w:t xml:space="preserve"> </w:t>
      </w:r>
      <w:r w:rsidR="006D3EF0">
        <w:t xml:space="preserve">There is likely to be high growth in electric vehicle purchases over time </w:t>
      </w:r>
      <w:r w:rsidR="009E6121">
        <w:t>in the baseline</w:t>
      </w:r>
      <w:r w:rsidR="003F7E9C">
        <w:t>,</w:t>
      </w:r>
      <w:r w:rsidR="009E6121">
        <w:t xml:space="preserve"> and</w:t>
      </w:r>
      <w:r w:rsidR="006D3EF0">
        <w:t xml:space="preserve"> </w:t>
      </w:r>
      <w:r w:rsidR="009E6121">
        <w:t>t</w:t>
      </w:r>
      <w:r w:rsidR="006D3EF0">
        <w:t xml:space="preserve">he proposed </w:t>
      </w:r>
      <w:r>
        <w:t xml:space="preserve">changes </w:t>
      </w:r>
      <w:r w:rsidR="003F7E9C">
        <w:t xml:space="preserve">are projected to </w:t>
      </w:r>
      <w:r>
        <w:t xml:space="preserve">occur in the </w:t>
      </w:r>
      <w:r w:rsidR="003F7E9C">
        <w:t>high-</w:t>
      </w:r>
      <w:r>
        <w:t>priced vehicle segments where consumers are less likely to be price sensitive and therefore would not alter their spending patterns to avoid paying additional tax.</w:t>
      </w:r>
    </w:p>
    <w:p w:rsidR="00553445" w:rsidRPr="00977141" w:rsidRDefault="00553445" w:rsidP="00553445">
      <w:pPr>
        <w:pStyle w:val="BodyText"/>
        <w:keepNext/>
        <w:keepLines/>
        <w:rPr>
          <w:color w:val="BFBFBF" w:themeColor="background1" w:themeShade="BF"/>
        </w:rPr>
      </w:pPr>
      <w:r w:rsidRPr="00977141">
        <w:rPr>
          <w:i/>
        </w:rPr>
        <w:t>Costing:</w:t>
      </w:r>
      <w:r>
        <w:t xml:space="preserve"> </w:t>
      </w:r>
      <w:hyperlink r:id="rId113" w:history="1">
        <w:r w:rsidRPr="00383E88">
          <w:rPr>
            <w:rStyle w:val="Hyperlink"/>
          </w:rPr>
          <w:t>PER612</w:t>
        </w:r>
      </w:hyperlink>
    </w:p>
    <w:p w:rsidR="001A5941" w:rsidRPr="00977141" w:rsidRDefault="001A5941"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1A5941" w:rsidRDefault="001A5941" w:rsidP="001A5941">
      <w:pPr>
        <w:pStyle w:val="Heading3"/>
      </w:pPr>
      <w:r>
        <w:lastRenderedPageBreak/>
        <w:t>Introduce a road</w:t>
      </w:r>
      <w:r w:rsidR="003F7E9C">
        <w:t>-</w:t>
      </w:r>
      <w:r>
        <w:t>user charge on every kilometre driven by electric vehicles</w:t>
      </w:r>
    </w:p>
    <w:p w:rsidR="001A5941" w:rsidRDefault="001A5941" w:rsidP="001A5941">
      <w:pPr>
        <w:pStyle w:val="BodyText"/>
        <w:keepNext/>
        <w:keepLines/>
      </w:pPr>
      <w:r w:rsidRPr="00977141">
        <w:rPr>
          <w:i/>
        </w:rPr>
        <w:t>Assumption:</w:t>
      </w:r>
      <w:r>
        <w:t xml:space="preserve"> There would be no behavioural response to the introduction of road</w:t>
      </w:r>
      <w:r w:rsidR="003F7E9C">
        <w:t>-</w:t>
      </w:r>
      <w:r>
        <w:t>user charging</w:t>
      </w:r>
      <w:r w:rsidR="003F7E9C">
        <w:t>.</w:t>
      </w:r>
    </w:p>
    <w:p w:rsidR="001A5941" w:rsidRPr="000E7369" w:rsidRDefault="001A5941" w:rsidP="001A5941">
      <w:pPr>
        <w:pStyle w:val="BodyText"/>
        <w:keepNext/>
        <w:keepLines/>
        <w:rPr>
          <w:color w:val="000000" w:themeColor="text1"/>
        </w:rPr>
      </w:pPr>
      <w:r w:rsidRPr="00977141">
        <w:rPr>
          <w:i/>
        </w:rPr>
        <w:t>Justification:</w:t>
      </w:r>
      <w:r>
        <w:t xml:space="preserve"> </w:t>
      </w:r>
      <w:r w:rsidRPr="00C63952">
        <w:t>There is limited information available about the effects of applying a flat road-user charge per kilometre driven</w:t>
      </w:r>
      <w:r>
        <w:t xml:space="preserve">, with </w:t>
      </w:r>
      <w:r w:rsidRPr="00C63952">
        <w:t xml:space="preserve">studies </w:t>
      </w:r>
      <w:r>
        <w:t xml:space="preserve">more </w:t>
      </w:r>
      <w:r w:rsidRPr="00C63952">
        <w:t>focused on the effects of road-user charges applied at specific times of the day</w:t>
      </w:r>
      <w:r>
        <w:t xml:space="preserve">, such as </w:t>
      </w:r>
      <w:r w:rsidRPr="00C63952">
        <w:t>peak travel times</w:t>
      </w:r>
      <w:r>
        <w:t xml:space="preserve">. </w:t>
      </w:r>
      <w:r w:rsidRPr="00C63952">
        <w:t xml:space="preserve"> In </w:t>
      </w:r>
      <w:r>
        <w:t xml:space="preserve">an </w:t>
      </w:r>
      <w:r w:rsidRPr="00C63952">
        <w:t xml:space="preserve">analysis conducted for the </w:t>
      </w:r>
      <w:hyperlink r:id="rId114" w:history="1">
        <w:r w:rsidR="008D27C7" w:rsidRPr="008D27C7">
          <w:rPr>
            <w:rStyle w:val="Hyperlink"/>
          </w:rPr>
          <w:t>Fuel Indexation (Road Funding) Bill 2014</w:t>
        </w:r>
      </w:hyperlink>
      <w:r w:rsidR="008D27C7">
        <w:t xml:space="preserve">, </w:t>
      </w:r>
      <w:r w:rsidRPr="00C63952">
        <w:t>the demand for transport fuel was found to be relatively in</w:t>
      </w:r>
      <w:r>
        <w:t xml:space="preserve">elastic with regards to price.  By </w:t>
      </w:r>
      <w:r w:rsidRPr="00C63952">
        <w:t xml:space="preserve">extension, the number of kilometres travelled </w:t>
      </w:r>
      <w:r>
        <w:t xml:space="preserve">would </w:t>
      </w:r>
      <w:r w:rsidRPr="00C63952">
        <w:t xml:space="preserve">also </w:t>
      </w:r>
      <w:r>
        <w:t xml:space="preserve">be </w:t>
      </w:r>
      <w:r w:rsidRPr="00C63952">
        <w:t xml:space="preserve">relatively inelastic with </w:t>
      </w:r>
      <w:r w:rsidRPr="000E7369">
        <w:rPr>
          <w:color w:val="000000" w:themeColor="text1"/>
        </w:rPr>
        <w:t xml:space="preserve">regards to price. </w:t>
      </w:r>
    </w:p>
    <w:p w:rsidR="001A5941" w:rsidRPr="000E7369" w:rsidRDefault="001A5941" w:rsidP="001A5941">
      <w:pPr>
        <w:pStyle w:val="BodyText"/>
        <w:keepNext/>
        <w:keepLines/>
        <w:rPr>
          <w:color w:val="000000" w:themeColor="text1"/>
        </w:rPr>
      </w:pPr>
      <w:r w:rsidRPr="000E7369">
        <w:rPr>
          <w:i/>
          <w:color w:val="000000" w:themeColor="text1"/>
        </w:rPr>
        <w:t>Costing:</w:t>
      </w:r>
      <w:r w:rsidRPr="000E7369">
        <w:rPr>
          <w:color w:val="000000" w:themeColor="text1"/>
        </w:rPr>
        <w:t xml:space="preserve"> </w:t>
      </w:r>
      <w:hyperlink r:id="rId115" w:history="1">
        <w:r w:rsidRPr="000E7369">
          <w:rPr>
            <w:rStyle w:val="Hyperlink"/>
            <w:color w:val="000000" w:themeColor="text1"/>
          </w:rPr>
          <w:t>PR18/00610</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D84B7D" w:rsidRDefault="00D84B7D" w:rsidP="003F7E9C">
      <w:pPr>
        <w:pStyle w:val="Heading3"/>
      </w:pPr>
      <w:r>
        <w:t>Legalise and tax cannabis</w:t>
      </w:r>
    </w:p>
    <w:p w:rsidR="00D84B7D" w:rsidRDefault="00D84B7D" w:rsidP="003F7E9C">
      <w:pPr>
        <w:pStyle w:val="BodyText"/>
        <w:keepNext/>
        <w:keepLines/>
      </w:pPr>
      <w:r w:rsidRPr="00977141">
        <w:rPr>
          <w:i/>
        </w:rPr>
        <w:t>Assumption:</w:t>
      </w:r>
      <w:r>
        <w:t xml:space="preserve"> There would be a 15 per cent increase in demand for cannabis products in the first year, and demand would then grow in line with population growth.</w:t>
      </w:r>
    </w:p>
    <w:p w:rsidR="00D84B7D" w:rsidRDefault="00D84B7D" w:rsidP="003F7E9C">
      <w:pPr>
        <w:pStyle w:val="BodyText"/>
        <w:keepNext/>
        <w:keepLines/>
      </w:pPr>
      <w:r w:rsidRPr="00977141">
        <w:rPr>
          <w:i/>
        </w:rPr>
        <w:t>Justification:</w:t>
      </w:r>
      <w:r>
        <w:t xml:space="preserve"> Based on assessments from examining the evidence on consumption rates from the Canadian legalisation experience (</w:t>
      </w:r>
      <w:r w:rsidRPr="008D27C7">
        <w:t>Statistics Canada, </w:t>
      </w:r>
      <w:hyperlink r:id="rId116" w:history="1">
        <w:r w:rsidRPr="002A72FB">
          <w:rPr>
            <w:rStyle w:val="Hyperlink"/>
          </w:rPr>
          <w:t>National Cannabis Survey</w:t>
        </w:r>
      </w:hyperlink>
      <w:r>
        <w:t>).</w:t>
      </w:r>
    </w:p>
    <w:p w:rsidR="00D84B7D" w:rsidRPr="00977141" w:rsidRDefault="00D84B7D" w:rsidP="003F7E9C">
      <w:pPr>
        <w:pStyle w:val="BodyText"/>
        <w:keepNext/>
        <w:keepLines/>
        <w:rPr>
          <w:color w:val="BFBFBF" w:themeColor="background1" w:themeShade="BF"/>
        </w:rPr>
      </w:pPr>
      <w:r w:rsidRPr="00977141">
        <w:rPr>
          <w:i/>
        </w:rPr>
        <w:t>Costing:</w:t>
      </w:r>
      <w:r>
        <w:t xml:space="preserve"> </w:t>
      </w:r>
      <w:hyperlink r:id="rId117" w:history="1">
        <w:r w:rsidRPr="00383E88">
          <w:rPr>
            <w:rStyle w:val="Hyperlink"/>
          </w:rPr>
          <w:t>PER646</w:t>
        </w:r>
      </w:hyperlink>
    </w:p>
    <w:p w:rsidR="00D84B7D" w:rsidRPr="00977141" w:rsidRDefault="00D84B7D"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553445" w:rsidP="00553445">
      <w:pPr>
        <w:pStyle w:val="Heading3"/>
      </w:pPr>
      <w:r>
        <w:t>Make franking credits non-refundable for individuals</w:t>
      </w:r>
    </w:p>
    <w:p w:rsidR="00553445" w:rsidRDefault="00553445" w:rsidP="00553445">
      <w:pPr>
        <w:pStyle w:val="BodyText"/>
        <w:keepNext/>
        <w:keepLines/>
      </w:pPr>
      <w:r w:rsidRPr="00977141">
        <w:rPr>
          <w:i/>
        </w:rPr>
        <w:t>Assumption:</w:t>
      </w:r>
      <w:r>
        <w:t xml:space="preserve"> There would be a taxable income elasticity of 0.2 for affected individuals.</w:t>
      </w:r>
    </w:p>
    <w:p w:rsidR="00553445" w:rsidRDefault="00553445" w:rsidP="00553445">
      <w:pPr>
        <w:pStyle w:val="BodyText"/>
        <w:keepNext/>
        <w:keepLines/>
      </w:pPr>
      <w:r w:rsidRPr="00977141">
        <w:rPr>
          <w:i/>
        </w:rPr>
        <w:t>Justification:</w:t>
      </w:r>
      <w:r>
        <w:t xml:space="preserve"> Consistent with the wider empirical literature across advanced economies (</w:t>
      </w:r>
      <w:proofErr w:type="spellStart"/>
      <w:r>
        <w:t>eg</w:t>
      </w:r>
      <w:proofErr w:type="spellEnd"/>
      <w:r w:rsidR="003F7E9C">
        <w:t> </w:t>
      </w:r>
      <w:r w:rsidR="002A72FB" w:rsidRPr="008D27C7">
        <w:t>International Monetary Fund</w:t>
      </w:r>
      <w:r w:rsidR="002A72FB">
        <w:t xml:space="preserve">, </w:t>
      </w:r>
      <w:hyperlink r:id="rId118" w:history="1">
        <w:r w:rsidR="002A72FB" w:rsidRPr="002A72FB">
          <w:rPr>
            <w:rStyle w:val="Hyperlink"/>
          </w:rPr>
          <w:t>Are elasticities of taxable income rising?</w:t>
        </w:r>
      </w:hyperlink>
      <w:r>
        <w:t>).</w:t>
      </w:r>
    </w:p>
    <w:p w:rsidR="00553445" w:rsidRPr="00977141" w:rsidRDefault="00553445" w:rsidP="00553445">
      <w:pPr>
        <w:pStyle w:val="BodyText"/>
        <w:keepNext/>
        <w:keepLines/>
        <w:rPr>
          <w:color w:val="BFBFBF" w:themeColor="background1" w:themeShade="BF"/>
        </w:rPr>
      </w:pPr>
      <w:r w:rsidRPr="00977141">
        <w:rPr>
          <w:i/>
        </w:rPr>
        <w:t>Costing:</w:t>
      </w:r>
      <w:r>
        <w:t xml:space="preserve"> </w:t>
      </w:r>
      <w:hyperlink r:id="rId119" w:history="1">
        <w:r w:rsidRPr="00383E88">
          <w:rPr>
            <w:rStyle w:val="Hyperlink"/>
          </w:rPr>
          <w:t>PER419</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553445" w:rsidP="00553445">
      <w:pPr>
        <w:pStyle w:val="Heading3"/>
      </w:pPr>
      <w:r>
        <w:t>Make franking credits non-refundable for individuals and superannuation funds</w:t>
      </w:r>
    </w:p>
    <w:p w:rsidR="00553445" w:rsidRDefault="00553445" w:rsidP="00553445">
      <w:pPr>
        <w:pStyle w:val="BodyText"/>
        <w:keepNext/>
        <w:keepLines/>
      </w:pPr>
      <w:r w:rsidRPr="00977141">
        <w:rPr>
          <w:i/>
        </w:rPr>
        <w:t>Assumption:</w:t>
      </w:r>
      <w:r>
        <w:t xml:space="preserve"> 5 per cent of dividends that would have been paid in the first year of the policy would be brought forward to before the policy implementation date.</w:t>
      </w:r>
    </w:p>
    <w:p w:rsidR="00553445" w:rsidRDefault="00553445" w:rsidP="00553445">
      <w:pPr>
        <w:pStyle w:val="BodyText"/>
        <w:keepNext/>
        <w:keepLines/>
      </w:pPr>
      <w:r w:rsidRPr="00977141">
        <w:rPr>
          <w:i/>
        </w:rPr>
        <w:t>Justification:</w:t>
      </w:r>
      <w:r>
        <w:t xml:space="preserve"> </w:t>
      </w:r>
      <w:r w:rsidR="00176036">
        <w:t xml:space="preserve">Given this policy was announced ahead of the 2019 election, a </w:t>
      </w:r>
      <w:r>
        <w:t xml:space="preserve">number of firms announced the early payment of dividends in anticipation of a change of government, including </w:t>
      </w:r>
      <w:hyperlink r:id="rId120" w:history="1">
        <w:r w:rsidRPr="00753B0A">
          <w:rPr>
            <w:rStyle w:val="Hyperlink"/>
          </w:rPr>
          <w:t>Westpac</w:t>
        </w:r>
      </w:hyperlink>
      <w:r>
        <w:t>.</w:t>
      </w:r>
      <w:r w:rsidR="00176036">
        <w:t xml:space="preserve">  </w:t>
      </w:r>
      <w:r w:rsidR="00995B6A">
        <w:t xml:space="preserve">As a result, we assumed </w:t>
      </w:r>
      <w:r w:rsidR="00176036">
        <w:t xml:space="preserve">that more firms would have brought forward their dividends </w:t>
      </w:r>
      <w:r w:rsidR="00995B6A">
        <w:t>to the financial year before the policy would have started</w:t>
      </w:r>
      <w:r w:rsidR="00176036">
        <w:t>.</w:t>
      </w:r>
    </w:p>
    <w:p w:rsidR="00553445" w:rsidRPr="00977141" w:rsidRDefault="00553445" w:rsidP="00553445">
      <w:pPr>
        <w:pStyle w:val="BodyText"/>
        <w:keepNext/>
        <w:keepLines/>
        <w:rPr>
          <w:color w:val="BFBFBF" w:themeColor="background1" w:themeShade="BF"/>
        </w:rPr>
      </w:pPr>
      <w:r w:rsidRPr="00977141">
        <w:rPr>
          <w:i/>
        </w:rPr>
        <w:t>Costing:</w:t>
      </w:r>
      <w:r>
        <w:t xml:space="preserve"> </w:t>
      </w:r>
      <w:hyperlink r:id="rId121" w:history="1">
        <w:r w:rsidRPr="005F2EDE">
          <w:rPr>
            <w:rStyle w:val="Hyperlink"/>
          </w:rPr>
          <w:t>PER419</w:t>
        </w:r>
      </w:hyperlink>
    </w:p>
    <w:p w:rsidR="001A5941" w:rsidRPr="00977141" w:rsidRDefault="001A5941"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356944" w:rsidRDefault="00356944" w:rsidP="00356944">
      <w:pPr>
        <w:pStyle w:val="Heading3"/>
      </w:pPr>
      <w:r>
        <w:lastRenderedPageBreak/>
        <w:t>Make franking credits non-refundable for individuals</w:t>
      </w:r>
      <w:r w:rsidR="003F7E9C">
        <w:t>,</w:t>
      </w:r>
      <w:r>
        <w:t xml:space="preserve"> with an exemption for pensioners</w:t>
      </w:r>
    </w:p>
    <w:p w:rsidR="00356944" w:rsidRDefault="00356944" w:rsidP="00356944">
      <w:pPr>
        <w:pStyle w:val="BodyText"/>
        <w:keepNext/>
        <w:keepLines/>
      </w:pPr>
      <w:r w:rsidRPr="00977141">
        <w:rPr>
          <w:i/>
        </w:rPr>
        <w:t>Assumption:</w:t>
      </w:r>
      <w:r>
        <w:t xml:space="preserve"> There would be no material budget impact from individuals drawing down on their assets in order to qualify for the age pension.</w:t>
      </w:r>
    </w:p>
    <w:p w:rsidR="00356944" w:rsidRDefault="00356944" w:rsidP="00356944">
      <w:pPr>
        <w:pStyle w:val="BodyText"/>
        <w:keepNext/>
        <w:keepLines/>
      </w:pPr>
      <w:r w:rsidRPr="00977141">
        <w:rPr>
          <w:i/>
        </w:rPr>
        <w:t>Justification:</w:t>
      </w:r>
      <w:r>
        <w:t xml:space="preserve"> While the proposal may increase the incentives for some affected individuals to qualify for the age pension, it would have little impact on these incentives for most individuals affected</w:t>
      </w:r>
      <w:r w:rsidR="00A4055A">
        <w:t xml:space="preserve"> (noting that these incentives are already strong for some individuals)</w:t>
      </w:r>
      <w:r>
        <w:t>.  The budget impact of a small number of individuals choosing to reduce their assets and qualify for the age pension would be immaterial relative to the overall budget impact of the proposal.</w:t>
      </w:r>
    </w:p>
    <w:p w:rsidR="00356944" w:rsidRPr="00977141" w:rsidRDefault="00356944" w:rsidP="00356944">
      <w:pPr>
        <w:pStyle w:val="BodyText"/>
        <w:keepNext/>
        <w:keepLines/>
        <w:rPr>
          <w:color w:val="BFBFBF" w:themeColor="background1" w:themeShade="BF"/>
        </w:rPr>
      </w:pPr>
      <w:r w:rsidRPr="00977141">
        <w:rPr>
          <w:i/>
        </w:rPr>
        <w:t>Costing:</w:t>
      </w:r>
      <w:r>
        <w:t xml:space="preserve"> </w:t>
      </w:r>
      <w:hyperlink r:id="rId122" w:history="1">
        <w:r w:rsidRPr="005F2EDE">
          <w:rPr>
            <w:rStyle w:val="Hyperlink"/>
          </w:rPr>
          <w:t>PER419</w:t>
        </w:r>
      </w:hyperlink>
    </w:p>
    <w:p w:rsidR="00356944" w:rsidRPr="00977141" w:rsidRDefault="00356944"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1A5941" w:rsidRDefault="001A5941" w:rsidP="001A5941">
      <w:pPr>
        <w:pStyle w:val="Heading3"/>
      </w:pPr>
      <w:r>
        <w:t>Make franking credits non-refundable for superannuation funds</w:t>
      </w:r>
    </w:p>
    <w:p w:rsidR="001A5941" w:rsidRDefault="001A5941" w:rsidP="001A5941">
      <w:pPr>
        <w:pStyle w:val="BodyText"/>
        <w:keepNext/>
        <w:keepLines/>
      </w:pPr>
      <w:r w:rsidRPr="00977141">
        <w:rPr>
          <w:i/>
        </w:rPr>
        <w:t>Assumption:</w:t>
      </w:r>
      <w:r>
        <w:t xml:space="preserve"> Affected self-managed superannuation funds would adjust their investments to reduce the revenue impact of the proposal by 20 per cent.</w:t>
      </w:r>
    </w:p>
    <w:p w:rsidR="001A5941" w:rsidRDefault="001A5941" w:rsidP="001A5941">
      <w:pPr>
        <w:pStyle w:val="BodyText"/>
        <w:keepNext/>
        <w:keepLines/>
      </w:pPr>
      <w:r w:rsidRPr="00977141">
        <w:rPr>
          <w:i/>
        </w:rPr>
        <w:t>Justification:</w:t>
      </w:r>
      <w:r>
        <w:t xml:space="preserve"> Affected self-managed superannuation funds could roll assets into an Australian</w:t>
      </w:r>
      <w:r w:rsidR="00BE6371">
        <w:t> </w:t>
      </w:r>
      <w:r>
        <w:t xml:space="preserve">Prudential Regulation Authority fund and maintain access to franking credits, suggesting that the response is likely to be relatively large.  </w:t>
      </w:r>
      <w:r w:rsidR="0096071E">
        <w:t xml:space="preserve">This behavioural response is equivalent to self-managed superannuation funds moving around a quarter of their listed Australian equities to Australian Prudential Regulation Authority funds.  </w:t>
      </w:r>
      <w:proofErr w:type="spellStart"/>
      <w:r w:rsidR="002A72FB" w:rsidRPr="008D27C7">
        <w:t>RiceWarner</w:t>
      </w:r>
      <w:r w:rsidR="0096071E">
        <w:t>’s</w:t>
      </w:r>
      <w:proofErr w:type="spellEnd"/>
      <w:r w:rsidR="002A72FB" w:rsidRPr="008D27C7">
        <w:t xml:space="preserve"> analysis</w:t>
      </w:r>
      <w:r>
        <w:t xml:space="preserve"> for the Coalition of self</w:t>
      </w:r>
      <w:r w:rsidR="00A514E1">
        <w:noBreakHyphen/>
      </w:r>
      <w:r>
        <w:t>funded retirees</w:t>
      </w:r>
      <w:r w:rsidR="002A72FB">
        <w:t xml:space="preserve"> in 2018</w:t>
      </w:r>
      <w:r>
        <w:t xml:space="preserve"> (</w:t>
      </w:r>
      <w:hyperlink r:id="rId123" w:history="1">
        <w:r w:rsidRPr="002A72FB">
          <w:rPr>
            <w:rStyle w:val="Hyperlink"/>
          </w:rPr>
          <w:t xml:space="preserve">Removing the </w:t>
        </w:r>
        <w:proofErr w:type="spellStart"/>
        <w:r w:rsidRPr="002A72FB">
          <w:rPr>
            <w:rStyle w:val="Hyperlink"/>
          </w:rPr>
          <w:t>refundability</w:t>
        </w:r>
        <w:proofErr w:type="spellEnd"/>
        <w:r w:rsidRPr="002A72FB">
          <w:rPr>
            <w:rStyle w:val="Hyperlink"/>
          </w:rPr>
          <w:t xml:space="preserve"> of franking credits</w:t>
        </w:r>
      </w:hyperlink>
      <w:r>
        <w:t>)</w:t>
      </w:r>
      <w:r w:rsidR="0096071E">
        <w:t xml:space="preserve"> also </w:t>
      </w:r>
      <w:r w:rsidR="00A14E30">
        <w:t>assumed a behavioural response leading to a 20 per cent revenue offset</w:t>
      </w:r>
      <w:r>
        <w:t xml:space="preserve">.  </w:t>
      </w:r>
    </w:p>
    <w:p w:rsidR="001A5941" w:rsidRPr="00977141" w:rsidRDefault="001A5941" w:rsidP="001A5941">
      <w:pPr>
        <w:pStyle w:val="BodyText"/>
        <w:keepNext/>
        <w:keepLines/>
        <w:rPr>
          <w:color w:val="BFBFBF" w:themeColor="background1" w:themeShade="BF"/>
        </w:rPr>
      </w:pPr>
      <w:r w:rsidRPr="00977141">
        <w:rPr>
          <w:i/>
        </w:rPr>
        <w:t>Costing:</w:t>
      </w:r>
      <w:r>
        <w:t xml:space="preserve"> </w:t>
      </w:r>
      <w:hyperlink r:id="rId124" w:history="1">
        <w:r w:rsidRPr="002409ED">
          <w:rPr>
            <w:rStyle w:val="Hyperlink"/>
          </w:rPr>
          <w:t>PER419</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553445" w:rsidP="00553445">
      <w:pPr>
        <w:pStyle w:val="Heading3"/>
      </w:pPr>
      <w:r>
        <w:t>Make media subscriptions, donations and purchases tax deductible for individuals</w:t>
      </w:r>
    </w:p>
    <w:p w:rsidR="00553445" w:rsidRDefault="00553445" w:rsidP="00553445">
      <w:pPr>
        <w:pStyle w:val="BodyText"/>
        <w:keepNext/>
        <w:keepLines/>
      </w:pPr>
      <w:r w:rsidRPr="00977141">
        <w:rPr>
          <w:i/>
        </w:rPr>
        <w:t>Assumption:</w:t>
      </w:r>
      <w:r>
        <w:t xml:space="preserve"> Total subscriptions from individuals would increase by 10 per cent.</w:t>
      </w:r>
    </w:p>
    <w:p w:rsidR="00553445" w:rsidRDefault="00553445" w:rsidP="00553445">
      <w:pPr>
        <w:pStyle w:val="BodyText"/>
        <w:keepNext/>
        <w:keepLines/>
      </w:pPr>
      <w:r w:rsidRPr="00977141">
        <w:rPr>
          <w:i/>
        </w:rPr>
        <w:t>Justification:</w:t>
      </w:r>
      <w:r>
        <w:t xml:space="preserve"> A tax deduction reduces the effective price of media subscriptions, which would make them more attractive.</w:t>
      </w:r>
    </w:p>
    <w:p w:rsidR="00553445" w:rsidRPr="00977141" w:rsidRDefault="00553445" w:rsidP="00553445">
      <w:pPr>
        <w:pStyle w:val="BodyText"/>
        <w:keepNext/>
        <w:keepLines/>
        <w:rPr>
          <w:color w:val="BFBFBF" w:themeColor="background1" w:themeShade="BF"/>
        </w:rPr>
      </w:pPr>
      <w:r w:rsidRPr="00977141">
        <w:rPr>
          <w:i/>
        </w:rPr>
        <w:t>Costing:</w:t>
      </w:r>
      <w:r>
        <w:t xml:space="preserve"> </w:t>
      </w:r>
      <w:hyperlink r:id="rId125" w:history="1">
        <w:r w:rsidRPr="005F2EDE">
          <w:rPr>
            <w:rStyle w:val="Hyperlink"/>
          </w:rPr>
          <w:t>PER603</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553445" w:rsidP="00553445">
      <w:pPr>
        <w:pStyle w:val="Heading3"/>
      </w:pPr>
      <w:r>
        <w:t>Minimum tax rate on discretionary trust distributions</w:t>
      </w:r>
    </w:p>
    <w:p w:rsidR="00553445" w:rsidRDefault="00553445" w:rsidP="00553445">
      <w:pPr>
        <w:pStyle w:val="BodyText"/>
        <w:keepNext/>
        <w:keepLines/>
      </w:pPr>
      <w:r w:rsidRPr="00977141">
        <w:rPr>
          <w:i/>
        </w:rPr>
        <w:t>Assumption:</w:t>
      </w:r>
      <w:r>
        <w:t xml:space="preserve"> Affected individuals and trustees would find ways to reduce the impact of the proposal by 25 per cent.</w:t>
      </w:r>
    </w:p>
    <w:p w:rsidR="00553445" w:rsidRDefault="00553445" w:rsidP="00553445">
      <w:pPr>
        <w:pStyle w:val="BodyText"/>
        <w:keepNext/>
        <w:keepLines/>
      </w:pPr>
      <w:r w:rsidRPr="00977141">
        <w:rPr>
          <w:i/>
        </w:rPr>
        <w:t>Justification:</w:t>
      </w:r>
      <w:r>
        <w:t xml:space="preserve"> Individuals face strong incentives to minimise the effect of this policy and there are alternative income-splitting strategies that are available (</w:t>
      </w:r>
      <w:proofErr w:type="spellStart"/>
      <w:r>
        <w:t>eg</w:t>
      </w:r>
      <w:proofErr w:type="spellEnd"/>
      <w:r>
        <w:t xml:space="preserve"> paying wages to family members, using a company instead of a trust and paying dividends, or simply finding other tax-effective investments)</w:t>
      </w:r>
      <w:r w:rsidR="00660743">
        <w:t>,</w:t>
      </w:r>
      <w:r w:rsidR="000E77E5">
        <w:t xml:space="preserve"> which suggest a large behavioural response</w:t>
      </w:r>
      <w:r>
        <w:t>.  However</w:t>
      </w:r>
      <w:r w:rsidR="000E7369">
        <w:t xml:space="preserve"> the overall response may be limited by a number of factors, including </w:t>
      </w:r>
      <w:r w:rsidR="005054AC">
        <w:t>transaction costs,</w:t>
      </w:r>
      <w:r w:rsidR="000E7369">
        <w:t xml:space="preserve"> </w:t>
      </w:r>
      <w:r w:rsidR="0008724C">
        <w:t xml:space="preserve">existing </w:t>
      </w:r>
      <w:r w:rsidR="000E7369">
        <w:t>compliance measures</w:t>
      </w:r>
      <w:r w:rsidR="0008724C">
        <w:t xml:space="preserve"> (such as the </w:t>
      </w:r>
      <w:r w:rsidR="0008724C" w:rsidRPr="00175E6F">
        <w:t>Australian</w:t>
      </w:r>
      <w:r w:rsidR="00BE6371">
        <w:t> </w:t>
      </w:r>
      <w:r w:rsidR="0008724C" w:rsidRPr="00175E6F">
        <w:t>Taxation Office T</w:t>
      </w:r>
      <w:r w:rsidR="0008724C" w:rsidRPr="00EC1088">
        <w:t xml:space="preserve">rust </w:t>
      </w:r>
      <w:r w:rsidR="0008724C" w:rsidRPr="00175E6F">
        <w:t>T</w:t>
      </w:r>
      <w:r w:rsidR="0008724C" w:rsidRPr="00EC1088">
        <w:t>askforce</w:t>
      </w:r>
      <w:r w:rsidR="0008724C">
        <w:t>)</w:t>
      </w:r>
      <w:r w:rsidR="000E7369">
        <w:t>,</w:t>
      </w:r>
      <w:r w:rsidR="005054AC">
        <w:t xml:space="preserve"> </w:t>
      </w:r>
      <w:r w:rsidR="000E7369">
        <w:t xml:space="preserve">less flexibility in the alternatives, </w:t>
      </w:r>
      <w:r w:rsidR="005054AC">
        <w:t xml:space="preserve">and </w:t>
      </w:r>
      <w:r w:rsidR="000E7369">
        <w:t xml:space="preserve">that people hold discretionary trusts for </w:t>
      </w:r>
      <w:r>
        <w:t>reasons other than income splitting.</w:t>
      </w:r>
    </w:p>
    <w:p w:rsidR="00553445" w:rsidRPr="00977141" w:rsidRDefault="00553445" w:rsidP="00553445">
      <w:pPr>
        <w:pStyle w:val="BodyText"/>
        <w:keepNext/>
        <w:keepLines/>
        <w:rPr>
          <w:color w:val="BFBFBF" w:themeColor="background1" w:themeShade="BF"/>
        </w:rPr>
      </w:pPr>
      <w:r w:rsidRPr="00977141">
        <w:rPr>
          <w:i/>
        </w:rPr>
        <w:t>Costing</w:t>
      </w:r>
      <w:r w:rsidR="0073301F">
        <w:rPr>
          <w:i/>
        </w:rPr>
        <w:t>s</w:t>
      </w:r>
      <w:r w:rsidRPr="00977141">
        <w:rPr>
          <w:i/>
        </w:rPr>
        <w:t>:</w:t>
      </w:r>
      <w:r>
        <w:t xml:space="preserve"> </w:t>
      </w:r>
      <w:hyperlink r:id="rId126" w:history="1">
        <w:r w:rsidRPr="005F2EDE">
          <w:rPr>
            <w:rStyle w:val="Hyperlink"/>
          </w:rPr>
          <w:t>PER404</w:t>
        </w:r>
      </w:hyperlink>
      <w:r>
        <w:t xml:space="preserve">, </w:t>
      </w:r>
      <w:hyperlink r:id="rId127" w:history="1">
        <w:r w:rsidRPr="005F2EDE">
          <w:rPr>
            <w:rStyle w:val="Hyperlink"/>
          </w:rPr>
          <w:t>PER619</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553445" w:rsidP="00553445">
      <w:pPr>
        <w:pStyle w:val="Heading3"/>
      </w:pPr>
      <w:r>
        <w:lastRenderedPageBreak/>
        <w:t>Minimum tax rate on high incomes (Buffett Rule)</w:t>
      </w:r>
    </w:p>
    <w:p w:rsidR="00553445" w:rsidRDefault="00553445" w:rsidP="00553445">
      <w:pPr>
        <w:pStyle w:val="BodyText"/>
        <w:keepNext/>
        <w:keepLines/>
      </w:pPr>
      <w:r w:rsidRPr="00977141">
        <w:rPr>
          <w:i/>
        </w:rPr>
        <w:t>Assumption:</w:t>
      </w:r>
      <w:r>
        <w:t xml:space="preserve"> Affected individuals would find ways to reduce the impact of the proposal by around </w:t>
      </w:r>
      <w:r w:rsidR="00A514E1">
        <w:t>30 </w:t>
      </w:r>
      <w:r>
        <w:t>per cent.</w:t>
      </w:r>
    </w:p>
    <w:p w:rsidR="00553445" w:rsidRDefault="00553445" w:rsidP="00553445">
      <w:pPr>
        <w:pStyle w:val="BodyText"/>
        <w:keepNext/>
        <w:keepLines/>
      </w:pPr>
      <w:r w:rsidRPr="00977141">
        <w:rPr>
          <w:i/>
        </w:rPr>
        <w:t>Justification:</w:t>
      </w:r>
      <w:r>
        <w:t xml:space="preserve"> A large behavioural response is consistent with that assumed </w:t>
      </w:r>
      <w:r w:rsidR="002A72FB">
        <w:t xml:space="preserve">in 2012 </w:t>
      </w:r>
      <w:r>
        <w:t xml:space="preserve">by the </w:t>
      </w:r>
      <w:hyperlink r:id="rId128" w:history="1">
        <w:r w:rsidR="008D27C7" w:rsidRPr="008D27C7">
          <w:rPr>
            <w:rStyle w:val="Hyperlink"/>
          </w:rPr>
          <w:t>Joint</w:t>
        </w:r>
        <w:r w:rsidR="00BE6371">
          <w:rPr>
            <w:rStyle w:val="Hyperlink"/>
          </w:rPr>
          <w:t> </w:t>
        </w:r>
        <w:r w:rsidR="008D27C7" w:rsidRPr="008D27C7">
          <w:rPr>
            <w:rStyle w:val="Hyperlink"/>
          </w:rPr>
          <w:t>Committee on Taxation</w:t>
        </w:r>
      </w:hyperlink>
      <w:r>
        <w:t xml:space="preserve"> in the US to the proposed Buffett Rule.  It reflects that high-income individuals typically have a degree of control around the realisation of income, particularly capital</w:t>
      </w:r>
      <w:r w:rsidR="00BE6371">
        <w:t> </w:t>
      </w:r>
      <w:r>
        <w:t>gains and investment income.</w:t>
      </w:r>
    </w:p>
    <w:p w:rsidR="00553445" w:rsidRPr="00977141" w:rsidRDefault="00553445" w:rsidP="00553445">
      <w:pPr>
        <w:pStyle w:val="BodyText"/>
        <w:keepNext/>
        <w:keepLines/>
        <w:rPr>
          <w:color w:val="BFBFBF" w:themeColor="background1" w:themeShade="BF"/>
        </w:rPr>
      </w:pPr>
      <w:r w:rsidRPr="00977141">
        <w:rPr>
          <w:i/>
        </w:rPr>
        <w:t>Costing:</w:t>
      </w:r>
      <w:r>
        <w:t xml:space="preserve"> </w:t>
      </w:r>
      <w:hyperlink r:id="rId129" w:history="1">
        <w:r w:rsidRPr="005F2EDE">
          <w:rPr>
            <w:rStyle w:val="Hyperlink"/>
          </w:rPr>
          <w:t>PER618</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553445" w:rsidP="00553445">
      <w:pPr>
        <w:pStyle w:val="Heading3"/>
      </w:pPr>
      <w:r>
        <w:t>Phase out the capital gains tax discount</w:t>
      </w:r>
    </w:p>
    <w:p w:rsidR="00553445" w:rsidRDefault="00553445" w:rsidP="00553445">
      <w:pPr>
        <w:pStyle w:val="BodyText"/>
        <w:keepNext/>
        <w:keepLines/>
      </w:pPr>
      <w:r w:rsidRPr="00977141">
        <w:rPr>
          <w:i/>
        </w:rPr>
        <w:t>Assumption:</w:t>
      </w:r>
      <w:r>
        <w:t xml:space="preserve"> </w:t>
      </w:r>
      <w:r w:rsidR="00BE6371">
        <w:t xml:space="preserve">Five </w:t>
      </w:r>
      <w:r>
        <w:t xml:space="preserve">per cent of affected asset sales in the first year, 2.5 per cent in the second year, and 1.25 per cent in </w:t>
      </w:r>
      <w:r w:rsidR="00BE6371">
        <w:t xml:space="preserve">the </w:t>
      </w:r>
      <w:r>
        <w:t>third year following implementation would be brought forward by 12 months to maximise the capital gains tax discount.</w:t>
      </w:r>
    </w:p>
    <w:p w:rsidR="00553445" w:rsidRDefault="00553445" w:rsidP="00553445">
      <w:pPr>
        <w:pStyle w:val="BodyText"/>
        <w:keepNext/>
        <w:keepLines/>
      </w:pPr>
      <w:r w:rsidRPr="00977141">
        <w:rPr>
          <w:i/>
        </w:rPr>
        <w:t>Justification:</w:t>
      </w:r>
      <w:r>
        <w:t xml:space="preserve"> The proposed capital gains tax rate applied in the phase-in period would depend upon the point of sale.  Given that sellers would have some discretion around when they sell assets, they would look to sell them at a point that maximises their after-tax capital gain.</w:t>
      </w:r>
    </w:p>
    <w:p w:rsidR="00553445" w:rsidRPr="00977141" w:rsidRDefault="00553445" w:rsidP="00553445">
      <w:pPr>
        <w:pStyle w:val="BodyText"/>
        <w:keepNext/>
        <w:keepLines/>
        <w:rPr>
          <w:color w:val="BFBFBF" w:themeColor="background1" w:themeShade="BF"/>
        </w:rPr>
      </w:pPr>
      <w:r w:rsidRPr="00977141">
        <w:rPr>
          <w:i/>
        </w:rPr>
        <w:t>Costing:</w:t>
      </w:r>
      <w:r>
        <w:t xml:space="preserve"> </w:t>
      </w:r>
      <w:hyperlink r:id="rId130" w:history="1">
        <w:r w:rsidRPr="005F2EDE">
          <w:rPr>
            <w:rStyle w:val="Hyperlink"/>
          </w:rPr>
          <w:t>PER660</w:t>
        </w:r>
      </w:hyperlink>
    </w:p>
    <w:p w:rsidR="001A5941" w:rsidRPr="00934159" w:rsidRDefault="001A5941" w:rsidP="00716768">
      <w:pPr>
        <w:pStyle w:val="BodyText"/>
        <w:keepLines/>
        <w:spacing w:before="0"/>
        <w:rPr>
          <w:color w:val="BFBFBF" w:themeColor="background1" w:themeShade="BF"/>
        </w:rPr>
      </w:pPr>
      <w:r w:rsidRPr="00934159">
        <w:rPr>
          <w:color w:val="BFBFBF" w:themeColor="background1" w:themeShade="BF"/>
        </w:rPr>
        <w:t>__________________________________________________________________________________</w:t>
      </w:r>
    </w:p>
    <w:p w:rsidR="001A5941" w:rsidRDefault="001A5941" w:rsidP="001A5941">
      <w:pPr>
        <w:pStyle w:val="Heading3"/>
      </w:pPr>
      <w:r>
        <w:t>Reduce the Division 293 threshold</w:t>
      </w:r>
    </w:p>
    <w:p w:rsidR="001A5941" w:rsidRDefault="001A5941" w:rsidP="001A5941">
      <w:pPr>
        <w:pStyle w:val="BodyText"/>
        <w:keepNext/>
        <w:keepLines/>
      </w:pPr>
      <w:r w:rsidRPr="00977141">
        <w:rPr>
          <w:i/>
        </w:rPr>
        <w:t>Assumption:</w:t>
      </w:r>
      <w:r>
        <w:t xml:space="preserve"> Individuals with income between the current and proposed threshold would reduce their voluntary concessional contributions by 10 per cent.</w:t>
      </w:r>
    </w:p>
    <w:p w:rsidR="001A5941" w:rsidRDefault="001A5941" w:rsidP="001A5941">
      <w:pPr>
        <w:pStyle w:val="BodyText"/>
        <w:keepNext/>
        <w:keepLines/>
      </w:pPr>
      <w:r w:rsidRPr="00977141">
        <w:rPr>
          <w:i/>
        </w:rPr>
        <w:t>Justification:</w:t>
      </w:r>
      <w:r>
        <w:t xml:space="preserve"> Increasing the tax rate on some superannuation contributions reduces the incentive for individuals to make voluntary contributions.  </w:t>
      </w:r>
      <w:r w:rsidR="00176036">
        <w:t>The Division 293</w:t>
      </w:r>
      <w:r w:rsidR="00995B6A">
        <w:t xml:space="preserve"> threshold</w:t>
      </w:r>
      <w:r w:rsidR="00176036">
        <w:t xml:space="preserve"> was reduced from $300,000 to $250,000 in 2017</w:t>
      </w:r>
      <w:r w:rsidR="00176036">
        <w:noBreakHyphen/>
        <w:t xml:space="preserve">18—future </w:t>
      </w:r>
      <w:r>
        <w:t xml:space="preserve">research </w:t>
      </w:r>
      <w:r w:rsidR="00176036">
        <w:t>comparing voluntary contributions in 2016</w:t>
      </w:r>
      <w:r w:rsidR="00176036">
        <w:noBreakHyphen/>
        <w:t>17 and 2017</w:t>
      </w:r>
      <w:r w:rsidR="00176036">
        <w:noBreakHyphen/>
        <w:t xml:space="preserve">18 </w:t>
      </w:r>
      <w:r>
        <w:t>may lead to a</w:t>
      </w:r>
      <w:r w:rsidR="00B403EE">
        <w:t>n</w:t>
      </w:r>
      <w:r>
        <w:t xml:space="preserve"> </w:t>
      </w:r>
      <w:r w:rsidR="00B403EE">
        <w:t xml:space="preserve">empirical </w:t>
      </w:r>
      <w:r>
        <w:t>estimate of the size of this behavioural response.</w:t>
      </w:r>
    </w:p>
    <w:p w:rsidR="001A5941" w:rsidRPr="00977141" w:rsidRDefault="001A5941" w:rsidP="001A5941">
      <w:pPr>
        <w:pStyle w:val="BodyText"/>
        <w:keepNext/>
        <w:keepLines/>
        <w:rPr>
          <w:color w:val="BFBFBF" w:themeColor="background1" w:themeShade="BF"/>
        </w:rPr>
      </w:pPr>
      <w:r w:rsidRPr="00977141">
        <w:rPr>
          <w:i/>
        </w:rPr>
        <w:t>Costing:</w:t>
      </w:r>
      <w:r>
        <w:t xml:space="preserve"> </w:t>
      </w:r>
      <w:hyperlink r:id="rId131" w:history="1">
        <w:r w:rsidRPr="002409ED">
          <w:rPr>
            <w:rStyle w:val="Hyperlink"/>
          </w:rPr>
          <w:t>PER420</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553445" w:rsidP="00553445">
      <w:pPr>
        <w:pStyle w:val="Heading3"/>
      </w:pPr>
      <w:r>
        <w:t>Remove fuel tax credits</w:t>
      </w:r>
    </w:p>
    <w:p w:rsidR="00553445" w:rsidRDefault="00553445" w:rsidP="00553445">
      <w:pPr>
        <w:pStyle w:val="BodyText"/>
        <w:keepNext/>
        <w:keepLines/>
      </w:pPr>
      <w:r w:rsidRPr="00977141">
        <w:rPr>
          <w:i/>
        </w:rPr>
        <w:t>Assumption:</w:t>
      </w:r>
      <w:r>
        <w:t xml:space="preserve"> Businesses would not reduce fuel usage.</w:t>
      </w:r>
    </w:p>
    <w:p w:rsidR="00553445" w:rsidRDefault="00553445" w:rsidP="00553445">
      <w:pPr>
        <w:pStyle w:val="BodyText"/>
        <w:keepNext/>
        <w:keepLines/>
      </w:pPr>
      <w:r w:rsidRPr="00977141">
        <w:rPr>
          <w:i/>
        </w:rPr>
        <w:t>Justification:</w:t>
      </w:r>
      <w:r>
        <w:t xml:space="preserve"> In analysis conducted for the </w:t>
      </w:r>
      <w:hyperlink r:id="rId132" w:history="1">
        <w:r w:rsidRPr="00753B0A">
          <w:rPr>
            <w:rStyle w:val="Hyperlink"/>
          </w:rPr>
          <w:t>Fuel Indexation (Road Funding) Bill 2014</w:t>
        </w:r>
      </w:hyperlink>
      <w:r>
        <w:t xml:space="preserve">, the demand for transport fuel was found to be relatively inelastic.  </w:t>
      </w:r>
    </w:p>
    <w:p w:rsidR="00553445" w:rsidRPr="00977141" w:rsidRDefault="00553445" w:rsidP="00553445">
      <w:pPr>
        <w:pStyle w:val="BodyText"/>
        <w:keepNext/>
        <w:keepLines/>
        <w:rPr>
          <w:color w:val="BFBFBF" w:themeColor="background1" w:themeShade="BF"/>
        </w:rPr>
      </w:pPr>
      <w:r w:rsidRPr="00977141">
        <w:rPr>
          <w:i/>
        </w:rPr>
        <w:t>Costing:</w:t>
      </w:r>
      <w:r>
        <w:t xml:space="preserve"> </w:t>
      </w:r>
      <w:hyperlink r:id="rId133" w:history="1">
        <w:r w:rsidRPr="005F2EDE">
          <w:rPr>
            <w:rStyle w:val="Hyperlink"/>
          </w:rPr>
          <w:t>PER608</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553445" w:rsidP="00553445">
      <w:pPr>
        <w:pStyle w:val="Heading3"/>
      </w:pPr>
      <w:r>
        <w:lastRenderedPageBreak/>
        <w:t>Remove negative gearing and reduce the capital gains tax discount</w:t>
      </w:r>
    </w:p>
    <w:p w:rsidR="00553445" w:rsidRDefault="00553445" w:rsidP="00553445">
      <w:pPr>
        <w:pStyle w:val="BodyText"/>
        <w:keepNext/>
        <w:keepLines/>
      </w:pPr>
      <w:r w:rsidRPr="00977141">
        <w:rPr>
          <w:i/>
        </w:rPr>
        <w:t>Assumption:</w:t>
      </w:r>
      <w:r>
        <w:t xml:space="preserve"> There would be a taxable income elasticity of 0.2 for individuals affected by negative gearing changes, and a capital income elasticity of 0.3 for individuals affected by capital gains tax changes.</w:t>
      </w:r>
    </w:p>
    <w:p w:rsidR="00553445" w:rsidRDefault="00553445" w:rsidP="00553445">
      <w:pPr>
        <w:pStyle w:val="BodyText"/>
        <w:keepNext/>
        <w:keepLines/>
      </w:pPr>
      <w:r w:rsidRPr="00977141">
        <w:rPr>
          <w:i/>
        </w:rPr>
        <w:t>Justification:</w:t>
      </w:r>
      <w:r>
        <w:t xml:space="preserve"> Consistent with wider empirical literature across advanced economies (</w:t>
      </w:r>
      <w:proofErr w:type="spellStart"/>
      <w:r w:rsidR="00BE6371">
        <w:t>eg</w:t>
      </w:r>
      <w:proofErr w:type="spellEnd"/>
      <w:r w:rsidR="00BE6371">
        <w:t> </w:t>
      </w:r>
      <w:r w:rsidR="002A72FB" w:rsidRPr="008D27C7">
        <w:t>International</w:t>
      </w:r>
      <w:r w:rsidR="00BE6371">
        <w:t> </w:t>
      </w:r>
      <w:r w:rsidR="002A72FB" w:rsidRPr="008D27C7">
        <w:t>Monetary Fund</w:t>
      </w:r>
      <w:r w:rsidR="002A72FB">
        <w:t xml:space="preserve">, </w:t>
      </w:r>
      <w:hyperlink r:id="rId134" w:history="1">
        <w:r w:rsidR="002A72FB" w:rsidRPr="002A72FB">
          <w:rPr>
            <w:rStyle w:val="Hyperlink"/>
          </w:rPr>
          <w:t>Are elasticities of taxable income rising?</w:t>
        </w:r>
      </w:hyperlink>
      <w:r>
        <w:t>), noting that higher elasticities are estimated for capital income.</w:t>
      </w:r>
    </w:p>
    <w:p w:rsidR="00553445" w:rsidRPr="00977141" w:rsidRDefault="00553445" w:rsidP="00553445">
      <w:pPr>
        <w:pStyle w:val="BodyText"/>
        <w:keepNext/>
        <w:keepLines/>
        <w:rPr>
          <w:color w:val="BFBFBF" w:themeColor="background1" w:themeShade="BF"/>
        </w:rPr>
      </w:pPr>
      <w:r w:rsidRPr="00977141">
        <w:rPr>
          <w:i/>
        </w:rPr>
        <w:t>Costing</w:t>
      </w:r>
      <w:r w:rsidR="0073301F">
        <w:rPr>
          <w:i/>
        </w:rPr>
        <w:t>s</w:t>
      </w:r>
      <w:r w:rsidRPr="00977141">
        <w:rPr>
          <w:i/>
        </w:rPr>
        <w:t>:</w:t>
      </w:r>
      <w:r>
        <w:t xml:space="preserve"> </w:t>
      </w:r>
      <w:hyperlink r:id="rId135" w:history="1">
        <w:r w:rsidRPr="005F2EDE">
          <w:rPr>
            <w:rStyle w:val="Hyperlink"/>
          </w:rPr>
          <w:t>PER414</w:t>
        </w:r>
      </w:hyperlink>
      <w:r>
        <w:t xml:space="preserve">, </w:t>
      </w:r>
      <w:hyperlink r:id="rId136" w:history="1">
        <w:r w:rsidRPr="005F2EDE">
          <w:rPr>
            <w:rStyle w:val="Hyperlink"/>
          </w:rPr>
          <w:t>PER660</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553445" w:rsidP="00553445">
      <w:pPr>
        <w:pStyle w:val="Heading3"/>
      </w:pPr>
      <w:r>
        <w:t>Remove negative gearing and reduce the capital gains tax discount</w:t>
      </w:r>
      <w:r w:rsidR="00BE6371">
        <w:t>,</w:t>
      </w:r>
      <w:r>
        <w:t xml:space="preserve"> with existing assets grandfathered</w:t>
      </w:r>
    </w:p>
    <w:p w:rsidR="00553445" w:rsidRPr="00BE6371" w:rsidRDefault="00553445" w:rsidP="00553445">
      <w:pPr>
        <w:pStyle w:val="BodyText"/>
        <w:keepNext/>
        <w:keepLines/>
      </w:pPr>
      <w:r w:rsidRPr="00BE6371">
        <w:rPr>
          <w:i/>
        </w:rPr>
        <w:t>Assumption:</w:t>
      </w:r>
      <w:r w:rsidRPr="00BE6371">
        <w:t xml:space="preserve"> </w:t>
      </w:r>
      <w:r w:rsidR="00BE6371" w:rsidRPr="00BE6371">
        <w:t>Twenty</w:t>
      </w:r>
      <w:r w:rsidRPr="00BE6371">
        <w:t xml:space="preserve"> per cent of affected asset purchases in the first year and 10 per cent in the second year following implementation would be brought forward prior to the implementation date in order to take advantage of grandfathering.</w:t>
      </w:r>
    </w:p>
    <w:p w:rsidR="00553445" w:rsidRPr="00BE6371" w:rsidRDefault="00553445" w:rsidP="00553445">
      <w:pPr>
        <w:pStyle w:val="BodyText"/>
        <w:keepNext/>
        <w:keepLines/>
      </w:pPr>
      <w:r w:rsidRPr="00BE6371">
        <w:rPr>
          <w:i/>
        </w:rPr>
        <w:t>Justification:</w:t>
      </w:r>
      <w:r w:rsidRPr="00BE6371">
        <w:t xml:space="preserve"> </w:t>
      </w:r>
      <w:r w:rsidR="00A514E1" w:rsidRPr="00BE6371">
        <w:t xml:space="preserve">Consistent with </w:t>
      </w:r>
      <w:r w:rsidR="00023B79" w:rsidRPr="00BE6371">
        <w:t>research by the Office for Budget Responsibility’s in 2016 (</w:t>
      </w:r>
      <w:hyperlink r:id="rId137" w:history="1">
        <w:r w:rsidR="00023B79" w:rsidRPr="00BE6371">
          <w:rPr>
            <w:rStyle w:val="Hyperlink"/>
          </w:rPr>
          <w:t>Working</w:t>
        </w:r>
        <w:r w:rsidR="00BE6371" w:rsidRPr="00BE6371">
          <w:rPr>
            <w:rStyle w:val="Hyperlink"/>
          </w:rPr>
          <w:t> </w:t>
        </w:r>
        <w:r w:rsidR="00023B79" w:rsidRPr="00BE6371">
          <w:rPr>
            <w:rStyle w:val="Hyperlink"/>
          </w:rPr>
          <w:t>paper</w:t>
        </w:r>
        <w:r w:rsidR="00BE6371" w:rsidRPr="00BE6371">
          <w:rPr>
            <w:rStyle w:val="Hyperlink"/>
          </w:rPr>
          <w:t> </w:t>
        </w:r>
        <w:r w:rsidR="00023B79" w:rsidRPr="00BE6371">
          <w:rPr>
            <w:rStyle w:val="Hyperlink"/>
          </w:rPr>
          <w:t>No. 10</w:t>
        </w:r>
      </w:hyperlink>
      <w:r w:rsidR="00023B79" w:rsidRPr="00BE6371">
        <w:t>).</w:t>
      </w:r>
      <w:r w:rsidR="00A514E1" w:rsidRPr="00BE6371">
        <w:t xml:space="preserve"> </w:t>
      </w:r>
      <w:r w:rsidR="00023B79" w:rsidRPr="00BE6371">
        <w:t xml:space="preserve"> In addition, the </w:t>
      </w:r>
      <w:r w:rsidRPr="00BE6371">
        <w:t xml:space="preserve">introduction of the </w:t>
      </w:r>
      <w:r w:rsidR="00BE6371" w:rsidRPr="00BE6371">
        <w:t>GST</w:t>
      </w:r>
      <w:r w:rsidRPr="00BE6371">
        <w:t xml:space="preserve"> </w:t>
      </w:r>
      <w:r w:rsidR="00023B79" w:rsidRPr="00BE6371">
        <w:t xml:space="preserve">in 2000 </w:t>
      </w:r>
      <w:r w:rsidRPr="00BE6371">
        <w:t>had a bring</w:t>
      </w:r>
      <w:r w:rsidR="00023B79" w:rsidRPr="00BE6371">
        <w:noBreakHyphen/>
      </w:r>
      <w:r w:rsidRPr="00BE6371">
        <w:t xml:space="preserve">forward effect on </w:t>
      </w:r>
      <w:r w:rsidR="00A514E1" w:rsidRPr="00BE6371">
        <w:t xml:space="preserve">new </w:t>
      </w:r>
      <w:r w:rsidRPr="00BE6371">
        <w:t xml:space="preserve">housing purchases (about 10 per cent in year one and 5 per cent in year two).  A bigger response is assumed for the removal of negative gearing because it would be expected to have a larger impact on </w:t>
      </w:r>
      <w:r w:rsidR="00A514E1" w:rsidRPr="00BE6371">
        <w:t xml:space="preserve">investment </w:t>
      </w:r>
      <w:r w:rsidRPr="00BE6371">
        <w:t xml:space="preserve">housing costs than the introduction of the </w:t>
      </w:r>
      <w:r w:rsidR="00BE6371" w:rsidRPr="00BE6371">
        <w:t>GST</w:t>
      </w:r>
      <w:r w:rsidR="00A514E1" w:rsidRPr="00BE6371">
        <w:t xml:space="preserve"> had on new housing costs</w:t>
      </w:r>
      <w:r w:rsidRPr="00BE6371">
        <w:t>.</w:t>
      </w:r>
    </w:p>
    <w:p w:rsidR="00553445" w:rsidRPr="00977141" w:rsidRDefault="00553445" w:rsidP="00553445">
      <w:pPr>
        <w:pStyle w:val="BodyText"/>
        <w:keepNext/>
        <w:keepLines/>
        <w:rPr>
          <w:color w:val="BFBFBF" w:themeColor="background1" w:themeShade="BF"/>
        </w:rPr>
      </w:pPr>
      <w:r w:rsidRPr="00977141">
        <w:rPr>
          <w:i/>
        </w:rPr>
        <w:t>Costing</w:t>
      </w:r>
      <w:r w:rsidR="0073301F">
        <w:rPr>
          <w:i/>
        </w:rPr>
        <w:t>s</w:t>
      </w:r>
      <w:r w:rsidRPr="00977141">
        <w:rPr>
          <w:i/>
        </w:rPr>
        <w:t>:</w:t>
      </w:r>
      <w:r>
        <w:t xml:space="preserve"> </w:t>
      </w:r>
      <w:hyperlink r:id="rId138" w:history="1">
        <w:r w:rsidRPr="005F2EDE">
          <w:rPr>
            <w:rStyle w:val="Hyperlink"/>
          </w:rPr>
          <w:t>PER414</w:t>
        </w:r>
      </w:hyperlink>
      <w:r>
        <w:t xml:space="preserve">, </w:t>
      </w:r>
      <w:hyperlink r:id="rId139" w:history="1">
        <w:r w:rsidRPr="005F2EDE">
          <w:rPr>
            <w:rStyle w:val="Hyperlink"/>
          </w:rPr>
          <w:t>PER660</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553445" w:rsidP="00553445">
      <w:pPr>
        <w:pStyle w:val="Heading3"/>
      </w:pPr>
      <w:r>
        <w:t>Remove negative gearing</w:t>
      </w:r>
      <w:r w:rsidR="00BE6371">
        <w:t>,</w:t>
      </w:r>
      <w:r>
        <w:t xml:space="preserve"> with an exemption for new </w:t>
      </w:r>
      <w:r w:rsidR="008756DC">
        <w:t>dwellings</w:t>
      </w:r>
    </w:p>
    <w:p w:rsidR="00553445" w:rsidRDefault="00553445" w:rsidP="00553445">
      <w:pPr>
        <w:pStyle w:val="BodyText"/>
        <w:keepNext/>
        <w:keepLines/>
      </w:pPr>
      <w:r w:rsidRPr="00977141">
        <w:rPr>
          <w:i/>
        </w:rPr>
        <w:t>Assumption:</w:t>
      </w:r>
      <w:r>
        <w:t xml:space="preserve"> The proportion of negatively</w:t>
      </w:r>
      <w:r w:rsidR="00BE6371">
        <w:t xml:space="preserve"> </w:t>
      </w:r>
      <w:r>
        <w:t xml:space="preserve">geared investment in new dwellings would increase from 22 per cent </w:t>
      </w:r>
      <w:r w:rsidR="00176036">
        <w:t>before the policy is implement</w:t>
      </w:r>
      <w:r w:rsidR="00196220">
        <w:t>ed</w:t>
      </w:r>
      <w:r w:rsidR="00176036">
        <w:t xml:space="preserve"> </w:t>
      </w:r>
      <w:r>
        <w:t>to 30 per cent by 2029-30.</w:t>
      </w:r>
    </w:p>
    <w:p w:rsidR="00B26914" w:rsidRDefault="00553445" w:rsidP="00553445">
      <w:pPr>
        <w:pStyle w:val="BodyText"/>
        <w:keepNext/>
        <w:keepLines/>
      </w:pPr>
      <w:r w:rsidRPr="00977141">
        <w:rPr>
          <w:i/>
        </w:rPr>
        <w:t>Justification:</w:t>
      </w:r>
      <w:r>
        <w:t xml:space="preserve"> </w:t>
      </w:r>
      <w:r w:rsidR="00B26914">
        <w:t>Australian Bureau of Statistics data (</w:t>
      </w:r>
      <w:hyperlink r:id="rId140" w:history="1">
        <w:r w:rsidR="00B26914" w:rsidRPr="002A72FB">
          <w:rPr>
            <w:rStyle w:val="Hyperlink"/>
          </w:rPr>
          <w:t>Cat. No. 5609.0, November 2018</w:t>
        </w:r>
      </w:hyperlink>
      <w:r w:rsidR="00B26914">
        <w:t xml:space="preserve">) </w:t>
      </w:r>
      <w:r w:rsidR="00196220">
        <w:t xml:space="preserve">was used to estimate </w:t>
      </w:r>
      <w:r w:rsidR="00B26914">
        <w:t>the proportion of investment in new dwellings for owner</w:t>
      </w:r>
      <w:r w:rsidR="00B26914">
        <w:noBreakHyphen/>
        <w:t>occupiers</w:t>
      </w:r>
      <w:r w:rsidR="00196220">
        <w:t xml:space="preserve">.  </w:t>
      </w:r>
      <w:r w:rsidR="00995B6A">
        <w:t xml:space="preserve">This was used as a proxy for the </w:t>
      </w:r>
      <w:r w:rsidR="00196220">
        <w:t>proportion of negatively geared investment in new dwellings</w:t>
      </w:r>
      <w:r w:rsidR="00B26914">
        <w:t>.  Th</w:t>
      </w:r>
      <w:r w:rsidR="00196220">
        <w:t>e estimated proportion</w:t>
      </w:r>
      <w:r w:rsidR="00B26914">
        <w:t xml:space="preserve"> is consistent with unpublished </w:t>
      </w:r>
      <w:r w:rsidR="00BE6371">
        <w:t>Reserve Bank of Australia</w:t>
      </w:r>
      <w:r w:rsidR="00B26914">
        <w:t xml:space="preserve"> data and an investor survey from </w:t>
      </w:r>
      <w:r w:rsidR="00B26914" w:rsidRPr="008D27C7">
        <w:t>Mortgage Choice</w:t>
      </w:r>
      <w:r w:rsidR="00B26914" w:rsidRPr="007100F9">
        <w:rPr>
          <w:rStyle w:val="Hyperlink"/>
          <w:u w:val="none"/>
        </w:rPr>
        <w:t xml:space="preserve"> (see </w:t>
      </w:r>
      <w:hyperlink r:id="rId141" w:history="1">
        <w:r w:rsidR="00B26914" w:rsidRPr="002A72FB">
          <w:rPr>
            <w:rStyle w:val="Hyperlink"/>
          </w:rPr>
          <w:t>Established dwellings preferred investment choice</w:t>
        </w:r>
      </w:hyperlink>
      <w:r w:rsidR="00B26914" w:rsidRPr="007100F9">
        <w:rPr>
          <w:rStyle w:val="Hyperlink"/>
          <w:u w:val="none"/>
        </w:rPr>
        <w:t>, 27 July 2017)</w:t>
      </w:r>
      <w:r w:rsidR="00B26914">
        <w:t>.  We expect the proportion of investment in new dwellings to increase over time due to the exemption.</w:t>
      </w:r>
    </w:p>
    <w:p w:rsidR="00553445" w:rsidRDefault="00553445" w:rsidP="00553445">
      <w:pPr>
        <w:pStyle w:val="BodyText"/>
        <w:keepNext/>
        <w:keepLines/>
      </w:pPr>
      <w:r>
        <w:t>There is little reliable data on the proportion of negatively</w:t>
      </w:r>
      <w:r w:rsidR="00BE6371">
        <w:t xml:space="preserve"> </w:t>
      </w:r>
      <w:r>
        <w:t xml:space="preserve">geared </w:t>
      </w:r>
      <w:r w:rsidRPr="00B403EE">
        <w:rPr>
          <w:i/>
        </w:rPr>
        <w:t>investment</w:t>
      </w:r>
      <w:r>
        <w:t xml:space="preserve"> in new dwellings.  </w:t>
      </w:r>
      <w:r w:rsidR="00B403EE">
        <w:t xml:space="preserve">While there are surveys that estimate the proportion of </w:t>
      </w:r>
      <w:r w:rsidR="00B403EE" w:rsidRPr="00B403EE">
        <w:rPr>
          <w:i/>
        </w:rPr>
        <w:t>properties</w:t>
      </w:r>
      <w:r w:rsidR="00B403EE">
        <w:t xml:space="preserve"> purchased by investors that are new dwellings, </w:t>
      </w:r>
      <w:r w:rsidR="008756DC">
        <w:t>estimating the impact of the exemption for new dwellings requires an estimate of the proportion of negatively</w:t>
      </w:r>
      <w:r w:rsidR="00BE6371">
        <w:t xml:space="preserve"> </w:t>
      </w:r>
      <w:r w:rsidR="008756DC">
        <w:t xml:space="preserve">geared investment in dollar terms.  Differences in </w:t>
      </w:r>
      <w:r w:rsidR="00B403EE">
        <w:t xml:space="preserve">rental yields </w:t>
      </w:r>
      <w:r w:rsidR="008756DC">
        <w:t xml:space="preserve">between </w:t>
      </w:r>
      <w:r w:rsidR="00B403EE">
        <w:t xml:space="preserve">new </w:t>
      </w:r>
      <w:r w:rsidR="008756DC">
        <w:t xml:space="preserve">and </w:t>
      </w:r>
      <w:r w:rsidR="00B403EE">
        <w:t>established properties</w:t>
      </w:r>
      <w:r w:rsidR="008756DC">
        <w:t xml:space="preserve"> may mean that this proportion is very different to the proportion of new properties</w:t>
      </w:r>
      <w:r w:rsidR="00B403EE">
        <w:t xml:space="preserve">.  </w:t>
      </w:r>
    </w:p>
    <w:p w:rsidR="00553445" w:rsidRPr="00977141" w:rsidRDefault="00553445" w:rsidP="00553445">
      <w:pPr>
        <w:pStyle w:val="BodyText"/>
        <w:keepNext/>
        <w:keepLines/>
        <w:rPr>
          <w:color w:val="BFBFBF" w:themeColor="background1" w:themeShade="BF"/>
        </w:rPr>
      </w:pPr>
      <w:r w:rsidRPr="00977141">
        <w:rPr>
          <w:i/>
        </w:rPr>
        <w:t>Costing:</w:t>
      </w:r>
      <w:r>
        <w:t xml:space="preserve"> </w:t>
      </w:r>
      <w:hyperlink r:id="rId142" w:history="1">
        <w:r w:rsidRPr="005F2EDE">
          <w:rPr>
            <w:rStyle w:val="Hyperlink"/>
          </w:rPr>
          <w:t>PER414</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553445" w:rsidP="00553445">
      <w:pPr>
        <w:pStyle w:val="Heading3"/>
      </w:pPr>
      <w:r>
        <w:lastRenderedPageBreak/>
        <w:t>Remove the 'safe harbour' and 'arm's length' debt tests from thin capitalisation rules</w:t>
      </w:r>
    </w:p>
    <w:p w:rsidR="00553445" w:rsidRDefault="00553445" w:rsidP="00553445">
      <w:pPr>
        <w:pStyle w:val="BodyText"/>
        <w:keepNext/>
        <w:keepLines/>
      </w:pPr>
      <w:r w:rsidRPr="00977141">
        <w:rPr>
          <w:i/>
        </w:rPr>
        <w:t>Assumption:</w:t>
      </w:r>
      <w:r>
        <w:t xml:space="preserve"> Some companies would alter their behaviour in order to avoid the impact of the proposal, reducing the revenue impact by 10 per cent after the first year and by 2 per cent in subsequent years.</w:t>
      </w:r>
    </w:p>
    <w:p w:rsidR="00553445" w:rsidRDefault="00553445" w:rsidP="00553445">
      <w:pPr>
        <w:pStyle w:val="BodyText"/>
        <w:keepNext/>
        <w:keepLines/>
      </w:pPr>
      <w:r w:rsidRPr="00977141">
        <w:rPr>
          <w:i/>
        </w:rPr>
        <w:t>Justification:</w:t>
      </w:r>
      <w:r>
        <w:t xml:space="preserve"> Based on the company response to previous changes to thin capitalisation rules.</w:t>
      </w:r>
      <w:r w:rsidR="00C15C85">
        <w:t xml:space="preserve">  This response could include changes to future worldwide financing arrangements to raise worldwide gearing levels.</w:t>
      </w:r>
    </w:p>
    <w:p w:rsidR="00553445" w:rsidRDefault="00553445" w:rsidP="00553445">
      <w:pPr>
        <w:pStyle w:val="BodyText"/>
        <w:keepNext/>
        <w:keepLines/>
      </w:pPr>
      <w:r w:rsidRPr="00977141">
        <w:rPr>
          <w:i/>
        </w:rPr>
        <w:t>Assumption:</w:t>
      </w:r>
      <w:r>
        <w:t xml:space="preserve"> Companies would revalue their asset bases or alter their behaviour in other ways to avoid the increase in debt deductions denied, reducing the revenue impact by a further 50 per cent.</w:t>
      </w:r>
    </w:p>
    <w:p w:rsidR="00553445" w:rsidRDefault="00553445" w:rsidP="00553445">
      <w:pPr>
        <w:pStyle w:val="BodyText"/>
        <w:keepNext/>
        <w:keepLines/>
      </w:pPr>
      <w:r w:rsidRPr="00977141">
        <w:rPr>
          <w:i/>
        </w:rPr>
        <w:t>Justification:</w:t>
      </w:r>
      <w:r>
        <w:t xml:space="preserve"> Based on the company response to previous changes to thin capitalisation rules.</w:t>
      </w:r>
    </w:p>
    <w:p w:rsidR="00553445" w:rsidRPr="00977141" w:rsidRDefault="00553445" w:rsidP="00553445">
      <w:pPr>
        <w:pStyle w:val="BodyText"/>
        <w:keepNext/>
        <w:keepLines/>
        <w:rPr>
          <w:color w:val="BFBFBF" w:themeColor="background1" w:themeShade="BF"/>
        </w:rPr>
      </w:pPr>
      <w:r w:rsidRPr="00977141">
        <w:rPr>
          <w:i/>
        </w:rPr>
        <w:t>Costing:</w:t>
      </w:r>
      <w:r>
        <w:t xml:space="preserve"> </w:t>
      </w:r>
      <w:hyperlink r:id="rId143" w:history="1">
        <w:r w:rsidRPr="005F2EDE">
          <w:rPr>
            <w:rStyle w:val="Hyperlink"/>
          </w:rPr>
          <w:t>PER412</w:t>
        </w:r>
      </w:hyperlink>
      <w:r>
        <w:t xml:space="preserve">, </w:t>
      </w:r>
      <w:hyperlink r:id="rId144" w:history="1">
        <w:r w:rsidRPr="005F2EDE">
          <w:rPr>
            <w:rStyle w:val="Hyperlink"/>
          </w:rPr>
          <w:t>PER632</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553445" w:rsidP="00553445">
      <w:pPr>
        <w:pStyle w:val="Heading3"/>
      </w:pPr>
      <w:r>
        <w:t>Tax deductions for employing more workers</w:t>
      </w:r>
    </w:p>
    <w:p w:rsidR="00553445" w:rsidRDefault="00553445" w:rsidP="00553445">
      <w:pPr>
        <w:pStyle w:val="BodyText"/>
        <w:keepNext/>
        <w:keepLines/>
      </w:pPr>
      <w:r w:rsidRPr="00977141">
        <w:rPr>
          <w:i/>
        </w:rPr>
        <w:t>Assumption:</w:t>
      </w:r>
      <w:r>
        <w:t xml:space="preserve"> Affected companies would not </w:t>
      </w:r>
      <w:r w:rsidR="000E77E5">
        <w:t xml:space="preserve">make material changes to </w:t>
      </w:r>
      <w:r>
        <w:t>the number of workers they employ and would not increase salary and wage rates.</w:t>
      </w:r>
    </w:p>
    <w:p w:rsidR="00553445" w:rsidRDefault="00553445" w:rsidP="00553445">
      <w:pPr>
        <w:pStyle w:val="BodyText"/>
        <w:keepNext/>
        <w:keepLines/>
      </w:pPr>
      <w:r w:rsidRPr="00977141">
        <w:rPr>
          <w:i/>
        </w:rPr>
        <w:t>Justification:</w:t>
      </w:r>
      <w:r>
        <w:t xml:space="preserve"> The additional deduction is small in magnitude and would be unlikely to factor significantly in employment decisions.  In addition, it would not be possible to carry the deduction forward, limiting the ability of companies </w:t>
      </w:r>
      <w:r w:rsidR="00B47CCB">
        <w:t xml:space="preserve">not in a taxable position </w:t>
      </w:r>
      <w:r>
        <w:t>to fully utilise the deduction</w:t>
      </w:r>
      <w:r w:rsidR="00C63952">
        <w:t>.</w:t>
      </w:r>
      <w:r w:rsidR="003F4DB2">
        <w:t xml:space="preserve">  The financial impact of the proposal is largely from current employment</w:t>
      </w:r>
      <w:r w:rsidR="005A5E15">
        <w:t xml:space="preserve"> </w:t>
      </w:r>
      <w:r w:rsidR="003F4DB2">
        <w:t>and any change to employment is likely to be at the margin.</w:t>
      </w:r>
    </w:p>
    <w:p w:rsidR="00553445" w:rsidRPr="00977141" w:rsidRDefault="00553445" w:rsidP="00553445">
      <w:pPr>
        <w:pStyle w:val="BodyText"/>
        <w:keepNext/>
        <w:keepLines/>
        <w:rPr>
          <w:color w:val="BFBFBF" w:themeColor="background1" w:themeShade="BF"/>
        </w:rPr>
      </w:pPr>
      <w:r w:rsidRPr="00977141">
        <w:rPr>
          <w:i/>
        </w:rPr>
        <w:t>Costing:</w:t>
      </w:r>
      <w:r>
        <w:t xml:space="preserve"> </w:t>
      </w:r>
      <w:hyperlink r:id="rId145" w:history="1">
        <w:r w:rsidRPr="005F2EDE">
          <w:rPr>
            <w:rStyle w:val="Hyperlink"/>
          </w:rPr>
          <w:t>PER657</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553445" w:rsidP="00553445">
      <w:pPr>
        <w:pStyle w:val="Heading3"/>
      </w:pPr>
      <w:r>
        <w:t>Tax deductions for employing particular workers</w:t>
      </w:r>
    </w:p>
    <w:p w:rsidR="009B62B1" w:rsidRDefault="00553445" w:rsidP="00553445">
      <w:pPr>
        <w:pStyle w:val="BodyText"/>
        <w:keepNext/>
        <w:keepLines/>
      </w:pPr>
      <w:r w:rsidRPr="00977141">
        <w:rPr>
          <w:i/>
        </w:rPr>
        <w:t>Assumption:</w:t>
      </w:r>
      <w:r>
        <w:t xml:space="preserve"> The number of new employees meeting the eligibility criteria of the proposal would increase by 10 per cent relative to current levels.</w:t>
      </w:r>
      <w:r w:rsidR="000E77E5">
        <w:t xml:space="preserve">  </w:t>
      </w:r>
    </w:p>
    <w:p w:rsidR="00553445" w:rsidRDefault="00553445" w:rsidP="00553445">
      <w:pPr>
        <w:pStyle w:val="BodyText"/>
        <w:keepNext/>
        <w:keepLines/>
      </w:pPr>
      <w:r w:rsidRPr="00977141">
        <w:rPr>
          <w:i/>
        </w:rPr>
        <w:t>Justification:</w:t>
      </w:r>
      <w:r>
        <w:t xml:space="preserve"> Employers would have an incentive to employ individuals meeting the eligibility requirements rather than those not meeting the requirements.  Job seekers would also have an incentive to try to meet the eligibility requirements.</w:t>
      </w:r>
    </w:p>
    <w:p w:rsidR="00553445" w:rsidRPr="00977141" w:rsidRDefault="00553445" w:rsidP="00553445">
      <w:pPr>
        <w:pStyle w:val="BodyText"/>
        <w:keepNext/>
        <w:keepLines/>
        <w:rPr>
          <w:color w:val="BFBFBF" w:themeColor="background1" w:themeShade="BF"/>
        </w:rPr>
      </w:pPr>
      <w:r w:rsidRPr="00977141">
        <w:rPr>
          <w:i/>
        </w:rPr>
        <w:t>Costing:</w:t>
      </w:r>
      <w:r>
        <w:t xml:space="preserve"> </w:t>
      </w:r>
      <w:hyperlink r:id="rId146" w:history="1">
        <w:r w:rsidRPr="005F2EDE">
          <w:rPr>
            <w:rStyle w:val="Hyperlink"/>
          </w:rPr>
          <w:t>PER360</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553445" w:rsidP="00553445">
      <w:pPr>
        <w:pStyle w:val="Heading2NoNumbering"/>
      </w:pPr>
      <w:r>
        <w:t>Trade and investment</w:t>
      </w:r>
    </w:p>
    <w:p w:rsidR="00553445" w:rsidRDefault="00553445" w:rsidP="00553445">
      <w:pPr>
        <w:pStyle w:val="Heading3"/>
      </w:pPr>
      <w:bookmarkStart w:id="43" w:name="_Double_FIRB_fees"/>
      <w:bookmarkStart w:id="44" w:name="_Ref25706039"/>
      <w:bookmarkEnd w:id="43"/>
      <w:r>
        <w:t xml:space="preserve">Double </w:t>
      </w:r>
      <w:r w:rsidR="005A5E15">
        <w:t>Foreign Investment Review Board (</w:t>
      </w:r>
      <w:r>
        <w:t>FIRB</w:t>
      </w:r>
      <w:r w:rsidR="005A5E15">
        <w:t>)</w:t>
      </w:r>
      <w:r>
        <w:t xml:space="preserve"> fees and penalties</w:t>
      </w:r>
      <w:bookmarkEnd w:id="44"/>
    </w:p>
    <w:p w:rsidR="00553445" w:rsidRDefault="00553445" w:rsidP="00553445">
      <w:pPr>
        <w:pStyle w:val="BodyText"/>
        <w:keepNext/>
        <w:keepLines/>
      </w:pPr>
      <w:r w:rsidRPr="00977141">
        <w:rPr>
          <w:i/>
        </w:rPr>
        <w:t>Assumption:</w:t>
      </w:r>
      <w:r>
        <w:t xml:space="preserve"> Individuals would be more likely to </w:t>
      </w:r>
      <w:r w:rsidR="005A5E15">
        <w:t>self-</w:t>
      </w:r>
      <w:r>
        <w:t>report breaches when penalties are higher.</w:t>
      </w:r>
    </w:p>
    <w:p w:rsidR="00553445" w:rsidRDefault="00553445" w:rsidP="00553445">
      <w:pPr>
        <w:pStyle w:val="BodyText"/>
        <w:keepNext/>
        <w:keepLines/>
      </w:pPr>
      <w:r w:rsidRPr="00977141">
        <w:rPr>
          <w:i/>
        </w:rPr>
        <w:t>Justification:</w:t>
      </w:r>
      <w:r>
        <w:t xml:space="preserve"> Self-reported breaches attract a much smaller penalty than those arising from compliance activity.  As such, doubling both penalties would increase the incentive for individuals to self-report.</w:t>
      </w:r>
    </w:p>
    <w:p w:rsidR="00553445" w:rsidRPr="00977141" w:rsidRDefault="00553445" w:rsidP="00553445">
      <w:pPr>
        <w:pStyle w:val="BodyText"/>
        <w:keepNext/>
        <w:keepLines/>
        <w:rPr>
          <w:color w:val="BFBFBF" w:themeColor="background1" w:themeShade="BF"/>
        </w:rPr>
      </w:pPr>
      <w:r w:rsidRPr="00977141">
        <w:rPr>
          <w:i/>
        </w:rPr>
        <w:t>Costing:</w:t>
      </w:r>
      <w:r>
        <w:t xml:space="preserve"> </w:t>
      </w:r>
      <w:hyperlink r:id="rId147" w:history="1">
        <w:r w:rsidRPr="005F2EDE">
          <w:rPr>
            <w:rStyle w:val="Hyperlink"/>
          </w:rPr>
          <w:t>PER405</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Default="00553445" w:rsidP="00553445">
      <w:pPr>
        <w:pStyle w:val="Heading3"/>
      </w:pPr>
      <w:r>
        <w:lastRenderedPageBreak/>
        <w:t>Increase penalties for breaching anti-dumping provisions</w:t>
      </w:r>
    </w:p>
    <w:p w:rsidR="00553445" w:rsidRDefault="00553445" w:rsidP="00553445">
      <w:pPr>
        <w:pStyle w:val="BodyText"/>
        <w:keepNext/>
        <w:keepLines/>
      </w:pPr>
      <w:r w:rsidRPr="00977141">
        <w:rPr>
          <w:i/>
        </w:rPr>
        <w:t>Assumption:</w:t>
      </w:r>
      <w:r>
        <w:t xml:space="preserve"> There would be no </w:t>
      </w:r>
      <w:r w:rsidR="00A54360">
        <w:t xml:space="preserve">material </w:t>
      </w:r>
      <w:r>
        <w:t>reduction in the level of illegal dumping activity.</w:t>
      </w:r>
    </w:p>
    <w:p w:rsidR="00553445" w:rsidRDefault="00553445" w:rsidP="00553445">
      <w:pPr>
        <w:pStyle w:val="BodyText"/>
        <w:keepNext/>
        <w:keepLines/>
      </w:pPr>
      <w:r w:rsidRPr="00977141">
        <w:rPr>
          <w:i/>
        </w:rPr>
        <w:t>Justification:</w:t>
      </w:r>
      <w:r>
        <w:t xml:space="preserve"> </w:t>
      </w:r>
      <w:r w:rsidR="007520F1">
        <w:t>There is limited information on cases completed since July 2013 when the anti</w:t>
      </w:r>
      <w:r w:rsidR="00C63952">
        <w:noBreakHyphen/>
      </w:r>
      <w:r w:rsidR="007520F1">
        <w:t xml:space="preserve">circumvention provisions were introduced. </w:t>
      </w:r>
    </w:p>
    <w:p w:rsidR="00553445" w:rsidRPr="00977141" w:rsidRDefault="00553445" w:rsidP="00553445">
      <w:pPr>
        <w:pStyle w:val="BodyText"/>
        <w:keepNext/>
        <w:keepLines/>
        <w:rPr>
          <w:color w:val="BFBFBF" w:themeColor="background1" w:themeShade="BF"/>
        </w:rPr>
      </w:pPr>
      <w:r w:rsidRPr="00977141">
        <w:rPr>
          <w:i/>
        </w:rPr>
        <w:t>Costing:</w:t>
      </w:r>
      <w:r>
        <w:t xml:space="preserve"> </w:t>
      </w:r>
      <w:hyperlink r:id="rId148" w:history="1">
        <w:r w:rsidRPr="005F2EDE">
          <w:rPr>
            <w:rStyle w:val="Hyperlink"/>
          </w:rPr>
          <w:t>PER356</w:t>
        </w:r>
      </w:hyperlink>
    </w:p>
    <w:p w:rsidR="00553445" w:rsidRPr="00977141" w:rsidRDefault="00553445" w:rsidP="00716768">
      <w:pPr>
        <w:pStyle w:val="BodyText"/>
        <w:keepLines/>
        <w:spacing w:before="0"/>
        <w:rPr>
          <w:color w:val="BFBFBF" w:themeColor="background1" w:themeShade="BF"/>
        </w:rPr>
      </w:pPr>
      <w:r w:rsidRPr="00977141">
        <w:rPr>
          <w:color w:val="BFBFBF" w:themeColor="background1" w:themeShade="BF"/>
        </w:rPr>
        <w:t>__________________________________________________________________________________</w:t>
      </w:r>
    </w:p>
    <w:p w:rsidR="00553445" w:rsidRPr="00553445" w:rsidRDefault="00553445" w:rsidP="00553445">
      <w:pPr>
        <w:pStyle w:val="BodyText"/>
      </w:pPr>
    </w:p>
    <w:sectPr w:rsidR="00553445" w:rsidRPr="00553445" w:rsidSect="00A16EB0">
      <w:pgSz w:w="11907" w:h="16840" w:code="9"/>
      <w:pgMar w:top="1191" w:right="1418" w:bottom="1021" w:left="1418" w:header="567"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768" w:rsidRDefault="00716768" w:rsidP="00A20802">
      <w:pPr>
        <w:spacing w:line="240" w:lineRule="auto"/>
      </w:pPr>
      <w:r>
        <w:separator/>
      </w:r>
    </w:p>
    <w:p w:rsidR="00716768" w:rsidRDefault="00716768"/>
    <w:p w:rsidR="00716768" w:rsidRDefault="00716768"/>
  </w:endnote>
  <w:endnote w:type="continuationSeparator" w:id="0">
    <w:p w:rsidR="00716768" w:rsidRDefault="00716768" w:rsidP="00A20802">
      <w:pPr>
        <w:spacing w:line="240" w:lineRule="auto"/>
      </w:pPr>
      <w:r>
        <w:continuationSeparator/>
      </w:r>
    </w:p>
    <w:p w:rsidR="00716768" w:rsidRDefault="00716768"/>
    <w:p w:rsidR="00716768" w:rsidRDefault="007167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Dada Grotesk">
    <w:panose1 w:val="00000000000000000000"/>
    <w:charset w:val="00"/>
    <w:family w:val="swiss"/>
    <w:notTrueType/>
    <w:pitch w:val="variable"/>
    <w:sig w:usb0="A00000AF" w:usb1="4000206A" w:usb2="00000000" w:usb3="00000000" w:csb0="0000009B"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68" w:rsidRDefault="007167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68" w:rsidRDefault="007167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68" w:rsidRDefault="0071676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FooterPlaceholder"/>
      <w:tblpPr w:bottomFromText="284" w:vertAnchor="page" w:horzAnchor="page" w:tblpYSpec="bottom"/>
      <w:tblW w:w="9921" w:type="dxa"/>
      <w:tblLayout w:type="fixed"/>
      <w:tblLook w:val="04A0" w:firstRow="1" w:lastRow="0" w:firstColumn="1" w:lastColumn="0" w:noHBand="0" w:noVBand="1"/>
    </w:tblPr>
    <w:tblGrid>
      <w:gridCol w:w="1417"/>
      <w:gridCol w:w="8504"/>
    </w:tblGrid>
    <w:tr w:rsidR="00716768" w:rsidRPr="00BA1E8D" w:rsidTr="00DB43E0">
      <w:trPr>
        <w:trHeight w:val="879"/>
      </w:trPr>
      <w:tc>
        <w:tcPr>
          <w:tcW w:w="1417" w:type="dxa"/>
        </w:tcPr>
        <w:p w:rsidR="00716768" w:rsidRPr="00023A6F" w:rsidRDefault="00716768" w:rsidP="008E2623">
          <w:pPr>
            <w:pStyle w:val="FooterLeftPageNumber"/>
          </w:pPr>
          <w:r w:rsidRPr="00BA1E8D">
            <w:rPr>
              <w:noProof/>
            </w:rPr>
            <w:fldChar w:fldCharType="begin"/>
          </w:r>
          <w:r w:rsidRPr="00BA1E8D">
            <w:rPr>
              <w:noProof/>
            </w:rPr>
            <w:instrText xml:space="preserve"> PAGE   \* MERGEFORMAT </w:instrText>
          </w:r>
          <w:r w:rsidRPr="00BA1E8D">
            <w:rPr>
              <w:noProof/>
            </w:rPr>
            <w:fldChar w:fldCharType="separate"/>
          </w:r>
          <w:r>
            <w:rPr>
              <w:noProof/>
            </w:rPr>
            <w:t>xxix</w:t>
          </w:r>
          <w:r w:rsidRPr="00BA1E8D">
            <w:rPr>
              <w:noProof/>
            </w:rPr>
            <w:fldChar w:fldCharType="end"/>
          </w:r>
        </w:p>
      </w:tc>
      <w:tc>
        <w:tcPr>
          <w:tcW w:w="8504" w:type="dxa"/>
        </w:tcPr>
        <w:p w:rsidR="00716768" w:rsidRPr="00BA1E8D" w:rsidRDefault="00716768" w:rsidP="008E2623">
          <w:pPr>
            <w:pStyle w:val="FooterLeft"/>
          </w:pPr>
          <w:r>
            <w:fldChar w:fldCharType="begin"/>
          </w:r>
          <w:r>
            <w:instrText xml:space="preserve"> if </w:instrText>
          </w:r>
          <w:r w:rsidR="00E608E2">
            <w:fldChar w:fldCharType="begin"/>
          </w:r>
          <w:r w:rsidR="00E608E2">
            <w:instrText xml:space="preserve"> STYLEREF  Title </w:instrText>
          </w:r>
          <w:r w:rsidR="00E608E2">
            <w:fldChar w:fldCharType="separate"/>
          </w:r>
          <w:r>
            <w:rPr>
              <w:noProof/>
            </w:rPr>
            <w:instrText>behavioural assumptions and pbo costings</w:instrText>
          </w:r>
          <w:r w:rsidR="00E608E2">
            <w:rPr>
              <w:noProof/>
            </w:rPr>
            <w:fldChar w:fldCharType="end"/>
          </w:r>
          <w:r>
            <w:instrText xml:space="preserve">&lt;&gt; "Error*" </w:instrText>
          </w:r>
          <w:r w:rsidR="00E608E2">
            <w:fldChar w:fldCharType="begin"/>
          </w:r>
          <w:r w:rsidR="00E608E2">
            <w:instrText xml:space="preserve"> STYLEREF  Title </w:instrText>
          </w:r>
          <w:r w:rsidR="00E608E2">
            <w:fldChar w:fldCharType="separate"/>
          </w:r>
          <w:r>
            <w:rPr>
              <w:noProof/>
            </w:rPr>
            <w:instrText>behavioural assumptions and pbo costings</w:instrText>
          </w:r>
          <w:r w:rsidR="00E608E2">
            <w:rPr>
              <w:noProof/>
            </w:rPr>
            <w:fldChar w:fldCharType="end"/>
          </w:r>
          <w:r>
            <w:instrText xml:space="preserve"> </w:instrText>
          </w:r>
          <w:r>
            <w:fldChar w:fldCharType="separate"/>
          </w:r>
          <w:r>
            <w:rPr>
              <w:noProof/>
            </w:rPr>
            <w:t>behavioural assumptions and pbo costings</w:t>
          </w:r>
          <w:r>
            <w:fldChar w:fldCharType="end"/>
          </w:r>
        </w:p>
      </w:tc>
    </w:tr>
  </w:tbl>
  <w:p w:rsidR="00716768" w:rsidRPr="008E2623" w:rsidRDefault="00716768" w:rsidP="008E262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FooterPlaceholder"/>
      <w:tblpPr w:bottomFromText="284" w:vertAnchor="page" w:horzAnchor="page" w:tblpXSpec="right" w:tblpYSpec="bottom"/>
      <w:tblW w:w="9921" w:type="dxa"/>
      <w:tblLayout w:type="fixed"/>
      <w:tblLook w:val="04A0" w:firstRow="1" w:lastRow="0" w:firstColumn="1" w:lastColumn="0" w:noHBand="0" w:noVBand="1"/>
    </w:tblPr>
    <w:tblGrid>
      <w:gridCol w:w="8504"/>
      <w:gridCol w:w="1417"/>
    </w:tblGrid>
    <w:tr w:rsidR="00716768" w:rsidRPr="00BA1E8D" w:rsidTr="00DB43E0">
      <w:trPr>
        <w:trHeight w:val="879"/>
      </w:trPr>
      <w:tc>
        <w:tcPr>
          <w:tcW w:w="8504" w:type="dxa"/>
        </w:tcPr>
        <w:p w:rsidR="00716768" w:rsidRPr="00BA1E8D" w:rsidRDefault="00716768" w:rsidP="00C800F2">
          <w:pPr>
            <w:pStyle w:val="FooterRight"/>
          </w:pPr>
          <w:r>
            <w:fldChar w:fldCharType="begin"/>
          </w:r>
          <w:r>
            <w:instrText xml:space="preserve"> if </w:instrText>
          </w:r>
          <w:r>
            <w:fldChar w:fldCharType="begin"/>
          </w:r>
          <w:r>
            <w:instrText xml:space="preserve"> STYLEREF  Title </w:instrText>
          </w:r>
          <w:r>
            <w:fldChar w:fldCharType="separate"/>
          </w:r>
          <w:r w:rsidR="00E608E2">
            <w:instrText>behavioural assumptions and pbo costings</w:instrText>
          </w:r>
          <w:r>
            <w:fldChar w:fldCharType="end"/>
          </w:r>
          <w:r>
            <w:instrText xml:space="preserve">&lt;&gt; "Error*" </w:instrText>
          </w:r>
          <w:r>
            <w:fldChar w:fldCharType="begin"/>
          </w:r>
          <w:r>
            <w:instrText xml:space="preserve"> STYLEREF  Title </w:instrText>
          </w:r>
          <w:r>
            <w:fldChar w:fldCharType="separate"/>
          </w:r>
          <w:r w:rsidR="00E608E2">
            <w:instrText>behavioural assumptions and pbo costings</w:instrText>
          </w:r>
          <w:r>
            <w:fldChar w:fldCharType="end"/>
          </w:r>
          <w:r>
            <w:instrText xml:space="preserve"> </w:instrText>
          </w:r>
          <w:r>
            <w:fldChar w:fldCharType="separate"/>
          </w:r>
          <w:r w:rsidR="00E608E2">
            <w:t>behavioural assumptions and pbo costings</w:t>
          </w:r>
          <w:r>
            <w:fldChar w:fldCharType="end"/>
          </w:r>
        </w:p>
      </w:tc>
      <w:tc>
        <w:tcPr>
          <w:tcW w:w="1417" w:type="dxa"/>
        </w:tcPr>
        <w:p w:rsidR="00716768" w:rsidRPr="00BA1E8D" w:rsidRDefault="00716768" w:rsidP="00023A6F">
          <w:pPr>
            <w:pStyle w:val="FooterRightPageNumber"/>
          </w:pPr>
          <w:r w:rsidRPr="00BA1E8D">
            <w:fldChar w:fldCharType="begin"/>
          </w:r>
          <w:r w:rsidRPr="00BA1E8D">
            <w:instrText xml:space="preserve"> PAGE   \* MERGEFORMAT </w:instrText>
          </w:r>
          <w:r w:rsidRPr="00BA1E8D">
            <w:fldChar w:fldCharType="separate"/>
          </w:r>
          <w:r w:rsidR="00E608E2">
            <w:t>i</w:t>
          </w:r>
          <w:r w:rsidRPr="00BA1E8D">
            <w:fldChar w:fldCharType="end"/>
          </w:r>
        </w:p>
      </w:tc>
    </w:tr>
  </w:tbl>
  <w:p w:rsidR="00716768" w:rsidRPr="004816D7" w:rsidRDefault="00716768" w:rsidP="00BA1E8D">
    <w:pPr>
      <w:pStyle w:val="Footer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FooterPlaceholder"/>
      <w:tblpPr w:bottomFromText="284" w:vertAnchor="page" w:horzAnchor="page" w:tblpYSpec="bottom"/>
      <w:tblW w:w="9921" w:type="dxa"/>
      <w:tblLayout w:type="fixed"/>
      <w:tblLook w:val="04A0" w:firstRow="1" w:lastRow="0" w:firstColumn="1" w:lastColumn="0" w:noHBand="0" w:noVBand="1"/>
    </w:tblPr>
    <w:tblGrid>
      <w:gridCol w:w="1417"/>
      <w:gridCol w:w="8504"/>
    </w:tblGrid>
    <w:tr w:rsidR="00716768" w:rsidRPr="00BA1E8D" w:rsidTr="00EE3EB6">
      <w:trPr>
        <w:trHeight w:val="879"/>
      </w:trPr>
      <w:tc>
        <w:tcPr>
          <w:tcW w:w="1417" w:type="dxa"/>
        </w:tcPr>
        <w:p w:rsidR="00716768" w:rsidRPr="00023A6F" w:rsidRDefault="00716768" w:rsidP="008E2623">
          <w:pPr>
            <w:pStyle w:val="FooterLeftPageNumber"/>
          </w:pPr>
          <w:r w:rsidRPr="00BA1E8D">
            <w:rPr>
              <w:noProof/>
            </w:rPr>
            <w:fldChar w:fldCharType="begin"/>
          </w:r>
          <w:r w:rsidRPr="00BA1E8D">
            <w:rPr>
              <w:noProof/>
            </w:rPr>
            <w:instrText xml:space="preserve"> PAGE   \* MERGEFORMAT </w:instrText>
          </w:r>
          <w:r w:rsidRPr="00BA1E8D">
            <w:rPr>
              <w:noProof/>
            </w:rPr>
            <w:fldChar w:fldCharType="separate"/>
          </w:r>
          <w:r w:rsidR="00E608E2">
            <w:rPr>
              <w:noProof/>
            </w:rPr>
            <w:t>6</w:t>
          </w:r>
          <w:r w:rsidRPr="00BA1E8D">
            <w:rPr>
              <w:noProof/>
            </w:rPr>
            <w:fldChar w:fldCharType="end"/>
          </w:r>
        </w:p>
      </w:tc>
      <w:tc>
        <w:tcPr>
          <w:tcW w:w="8504" w:type="dxa"/>
        </w:tcPr>
        <w:p w:rsidR="00716768" w:rsidRPr="00BA1E8D" w:rsidRDefault="00716768" w:rsidP="008E2623">
          <w:pPr>
            <w:pStyle w:val="FooterLeft"/>
          </w:pPr>
          <w:r>
            <w:fldChar w:fldCharType="begin"/>
          </w:r>
          <w:r>
            <w:instrText xml:space="preserve"> if </w:instrText>
          </w:r>
          <w:r w:rsidR="00E608E2">
            <w:fldChar w:fldCharType="begin"/>
          </w:r>
          <w:r w:rsidR="00E608E2">
            <w:instrText xml:space="preserve"> STYLEREF  Title </w:instrText>
          </w:r>
          <w:r w:rsidR="00E608E2">
            <w:fldChar w:fldCharType="separate"/>
          </w:r>
          <w:r w:rsidR="00E608E2">
            <w:rPr>
              <w:noProof/>
            </w:rPr>
            <w:instrText>behavioural assumptions and pbo costings</w:instrText>
          </w:r>
          <w:r w:rsidR="00E608E2">
            <w:rPr>
              <w:noProof/>
            </w:rPr>
            <w:fldChar w:fldCharType="end"/>
          </w:r>
          <w:r>
            <w:instrText xml:space="preserve">&lt;&gt; "Error*" </w:instrText>
          </w:r>
          <w:r w:rsidR="00E608E2">
            <w:fldChar w:fldCharType="begin"/>
          </w:r>
          <w:r w:rsidR="00E608E2">
            <w:instrText xml:space="preserve"> STYLEREF  Title </w:instrText>
          </w:r>
          <w:r w:rsidR="00E608E2">
            <w:fldChar w:fldCharType="separate"/>
          </w:r>
          <w:r w:rsidR="00E608E2">
            <w:rPr>
              <w:noProof/>
            </w:rPr>
            <w:instrText>behavioural assumptions and pbo costings</w:instrText>
          </w:r>
          <w:r w:rsidR="00E608E2">
            <w:rPr>
              <w:noProof/>
            </w:rPr>
            <w:fldChar w:fldCharType="end"/>
          </w:r>
          <w:r>
            <w:instrText xml:space="preserve"> </w:instrText>
          </w:r>
          <w:r>
            <w:fldChar w:fldCharType="separate"/>
          </w:r>
          <w:r w:rsidR="00E608E2">
            <w:rPr>
              <w:noProof/>
            </w:rPr>
            <w:t>behavioural assumptions and pbo costings</w:t>
          </w:r>
          <w:r>
            <w:fldChar w:fldCharType="end"/>
          </w:r>
        </w:p>
      </w:tc>
    </w:tr>
  </w:tbl>
  <w:p w:rsidR="00716768" w:rsidRPr="008E2623" w:rsidRDefault="00716768" w:rsidP="008E262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FooterPlaceholder"/>
      <w:tblpPr w:bottomFromText="284" w:vertAnchor="page" w:horzAnchor="page" w:tblpXSpec="right" w:tblpYSpec="bottom"/>
      <w:tblW w:w="9921" w:type="dxa"/>
      <w:tblLayout w:type="fixed"/>
      <w:tblLook w:val="04A0" w:firstRow="1" w:lastRow="0" w:firstColumn="1" w:lastColumn="0" w:noHBand="0" w:noVBand="1"/>
    </w:tblPr>
    <w:tblGrid>
      <w:gridCol w:w="8504"/>
      <w:gridCol w:w="1417"/>
    </w:tblGrid>
    <w:tr w:rsidR="00716768" w:rsidRPr="00BA1E8D" w:rsidTr="001525D6">
      <w:trPr>
        <w:trHeight w:val="879"/>
      </w:trPr>
      <w:tc>
        <w:tcPr>
          <w:tcW w:w="8504" w:type="dxa"/>
        </w:tcPr>
        <w:p w:rsidR="00716768" w:rsidRPr="00BA1E8D" w:rsidRDefault="00716768" w:rsidP="001525D6">
          <w:pPr>
            <w:pStyle w:val="FooterRight"/>
          </w:pPr>
          <w:r>
            <w:fldChar w:fldCharType="begin"/>
          </w:r>
          <w:r>
            <w:instrText xml:space="preserve"> if </w:instrText>
          </w:r>
          <w:r>
            <w:fldChar w:fldCharType="begin"/>
          </w:r>
          <w:r>
            <w:instrText xml:space="preserve"> STYLEREF  Title </w:instrText>
          </w:r>
          <w:r>
            <w:fldChar w:fldCharType="separate"/>
          </w:r>
          <w:r w:rsidR="00E608E2">
            <w:instrText>behavioural assumptions and pbo costings</w:instrText>
          </w:r>
          <w:r>
            <w:fldChar w:fldCharType="end"/>
          </w:r>
          <w:r>
            <w:instrText xml:space="preserve">&lt;&gt; "Error*" </w:instrText>
          </w:r>
          <w:r>
            <w:fldChar w:fldCharType="begin"/>
          </w:r>
          <w:r>
            <w:instrText xml:space="preserve"> STYLEREF  Title </w:instrText>
          </w:r>
          <w:r>
            <w:fldChar w:fldCharType="separate"/>
          </w:r>
          <w:r w:rsidR="00E608E2">
            <w:instrText>behavioural assumptions and pbo costings</w:instrText>
          </w:r>
          <w:r>
            <w:fldChar w:fldCharType="end"/>
          </w:r>
          <w:r>
            <w:instrText xml:space="preserve"> </w:instrText>
          </w:r>
          <w:r>
            <w:fldChar w:fldCharType="separate"/>
          </w:r>
          <w:r w:rsidR="00E608E2">
            <w:t>behavioural assumptions and pbo costings</w:t>
          </w:r>
          <w:r>
            <w:fldChar w:fldCharType="end"/>
          </w:r>
        </w:p>
      </w:tc>
      <w:tc>
        <w:tcPr>
          <w:tcW w:w="1417" w:type="dxa"/>
        </w:tcPr>
        <w:p w:rsidR="00716768" w:rsidRPr="00BA1E8D" w:rsidRDefault="00716768" w:rsidP="001525D6">
          <w:pPr>
            <w:pStyle w:val="FooterRightPageNumber"/>
          </w:pPr>
          <w:r w:rsidRPr="00BA1E8D">
            <w:fldChar w:fldCharType="begin"/>
          </w:r>
          <w:r w:rsidRPr="00BA1E8D">
            <w:instrText xml:space="preserve"> PAGE   \* MERGEFORMAT </w:instrText>
          </w:r>
          <w:r w:rsidRPr="00BA1E8D">
            <w:fldChar w:fldCharType="separate"/>
          </w:r>
          <w:r w:rsidR="00E608E2">
            <w:t>7</w:t>
          </w:r>
          <w:r w:rsidRPr="00BA1E8D">
            <w:fldChar w:fldCharType="end"/>
          </w:r>
        </w:p>
      </w:tc>
    </w:tr>
  </w:tbl>
  <w:p w:rsidR="00716768" w:rsidRPr="004816D7" w:rsidRDefault="00716768" w:rsidP="00BA1E8D">
    <w:pPr>
      <w:pStyle w:val="Footer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768" w:rsidRPr="000557A7" w:rsidRDefault="00716768" w:rsidP="008D5A11">
      <w:pPr>
        <w:pBdr>
          <w:top w:val="single" w:sz="4" w:space="1" w:color="auto"/>
        </w:pBdr>
        <w:spacing w:before="240" w:line="60" w:lineRule="exact"/>
        <w:rPr>
          <w:sz w:val="16"/>
          <w:szCs w:val="16"/>
        </w:rPr>
      </w:pPr>
    </w:p>
  </w:footnote>
  <w:footnote w:type="continuationSeparator" w:id="0">
    <w:p w:rsidR="00716768" w:rsidRPr="000617E1" w:rsidRDefault="00716768" w:rsidP="00A20802">
      <w:pPr>
        <w:spacing w:line="240" w:lineRule="auto"/>
        <w:rPr>
          <w:sz w:val="4"/>
        </w:rPr>
      </w:pPr>
      <w:r w:rsidRPr="000617E1">
        <w:rPr>
          <w:sz w:val="4"/>
        </w:rPr>
        <w:continuationSeparator/>
      </w:r>
    </w:p>
    <w:p w:rsidR="00716768" w:rsidRDefault="00716768"/>
    <w:p w:rsidR="00716768" w:rsidRDefault="00716768"/>
  </w:footnote>
  <w:footnote w:id="1">
    <w:p w:rsidR="00716768" w:rsidRPr="00D33058" w:rsidRDefault="00716768" w:rsidP="00A61536">
      <w:pPr>
        <w:pStyle w:val="FootnoteText"/>
        <w:ind w:left="142" w:hanging="142"/>
      </w:pPr>
      <w:r>
        <w:rPr>
          <w:rStyle w:val="FootnoteReference"/>
        </w:rPr>
        <w:footnoteRef/>
      </w:r>
      <w:r>
        <w:t xml:space="preserve"> </w:t>
      </w:r>
      <w:r>
        <w:tab/>
        <w:t xml:space="preserve">See </w:t>
      </w:r>
      <w:r w:rsidRPr="00D33058">
        <w:t xml:space="preserve">PBO Information paper no. </w:t>
      </w:r>
      <w:r>
        <w:t xml:space="preserve">02/2017, </w:t>
      </w:r>
      <w:proofErr w:type="gramStart"/>
      <w:r>
        <w:rPr>
          <w:i/>
        </w:rPr>
        <w:t>What</w:t>
      </w:r>
      <w:proofErr w:type="gramEnd"/>
      <w:r>
        <w:rPr>
          <w:i/>
        </w:rPr>
        <w:t xml:space="preserve"> is a Parliamentary Budget Office costing?</w:t>
      </w:r>
    </w:p>
  </w:footnote>
  <w:footnote w:id="2">
    <w:p w:rsidR="00716768" w:rsidRPr="00D33058" w:rsidRDefault="00716768" w:rsidP="00EF7CA7">
      <w:pPr>
        <w:pStyle w:val="FootnoteText"/>
        <w:ind w:left="142" w:hanging="142"/>
      </w:pPr>
      <w:r>
        <w:rPr>
          <w:rStyle w:val="FootnoteReference"/>
        </w:rPr>
        <w:footnoteRef/>
      </w:r>
      <w:r>
        <w:t xml:space="preserve"> </w:t>
      </w:r>
      <w:r>
        <w:tab/>
        <w:t xml:space="preserve">See </w:t>
      </w:r>
      <w:r w:rsidRPr="00D33058">
        <w:t>PBO Information paper no. 03/2017</w:t>
      </w:r>
      <w:r>
        <w:t xml:space="preserve">, </w:t>
      </w:r>
      <w:proofErr w:type="gramStart"/>
      <w:r>
        <w:rPr>
          <w:i/>
        </w:rPr>
        <w:t>Including</w:t>
      </w:r>
      <w:proofErr w:type="gramEnd"/>
      <w:r>
        <w:rPr>
          <w:i/>
        </w:rPr>
        <w:t xml:space="preserve"> broader economic effects in policy costings</w:t>
      </w:r>
      <w:r>
        <w:t>.</w:t>
      </w:r>
    </w:p>
  </w:footnote>
  <w:footnote w:id="3">
    <w:p w:rsidR="00716768" w:rsidRPr="005D6A23" w:rsidRDefault="00716768">
      <w:pPr>
        <w:pStyle w:val="FootnoteText"/>
      </w:pPr>
      <w:r>
        <w:rPr>
          <w:rStyle w:val="FootnoteReference"/>
        </w:rPr>
        <w:footnoteRef/>
      </w:r>
      <w:r w:rsidR="005D6A23">
        <w:t xml:space="preserve"> </w:t>
      </w:r>
      <w:r w:rsidR="00333991">
        <w:t xml:space="preserve"> </w:t>
      </w:r>
      <w:r w:rsidR="005D6A23">
        <w:t xml:space="preserve">Parliamentary Budget Office, 2019, </w:t>
      </w:r>
      <w:r w:rsidR="005D6A23">
        <w:rPr>
          <w:i/>
        </w:rPr>
        <w:t>2019 Post-election report of election commitments</w:t>
      </w:r>
      <w:r w:rsidR="005D6A23">
        <w:t xml:space="preserve">. </w:t>
      </w:r>
    </w:p>
  </w:footnote>
  <w:footnote w:id="4">
    <w:p w:rsidR="00716768" w:rsidRDefault="00716768" w:rsidP="00BF3666">
      <w:pPr>
        <w:pStyle w:val="FootnoteText"/>
        <w:tabs>
          <w:tab w:val="clear" w:pos="425"/>
          <w:tab w:val="left" w:pos="142"/>
        </w:tabs>
        <w:ind w:left="142" w:hanging="142"/>
      </w:pPr>
      <w:r>
        <w:rPr>
          <w:rStyle w:val="FootnoteReference"/>
        </w:rPr>
        <w:footnoteRef/>
      </w:r>
      <w:r>
        <w:t xml:space="preserve">  In economics, an elasticity is a parameter that captures what the percentage change in one variable would be for a given percentage change in another variable.  For example, a price elasticity measures the percentage change in consumption of a particular good or service that is expected to result from a one per cent increase or decrease in the price.  Elasticities are estimated using econometric studies. </w:t>
      </w:r>
    </w:p>
  </w:footnote>
  <w:footnote w:id="5">
    <w:p w:rsidR="00716768" w:rsidRPr="009B49C7" w:rsidRDefault="00716768" w:rsidP="001F78AC">
      <w:pPr>
        <w:pStyle w:val="FootnoteText"/>
        <w:ind w:left="142" w:hanging="142"/>
      </w:pPr>
      <w:r>
        <w:rPr>
          <w:rStyle w:val="FootnoteReference"/>
        </w:rPr>
        <w:footnoteRef/>
      </w:r>
      <w:r>
        <w:t xml:space="preserve">  See, for instance, </w:t>
      </w:r>
      <w:proofErr w:type="spellStart"/>
      <w:r>
        <w:t>Klemm</w:t>
      </w:r>
      <w:proofErr w:type="spellEnd"/>
      <w:r>
        <w:t xml:space="preserve">, A., Liu, L., </w:t>
      </w:r>
      <w:proofErr w:type="spellStart"/>
      <w:r>
        <w:t>Mylonas</w:t>
      </w:r>
      <w:proofErr w:type="spellEnd"/>
      <w:r>
        <w:t xml:space="preserve">, V. and </w:t>
      </w:r>
      <w:proofErr w:type="spellStart"/>
      <w:r>
        <w:t>Wingender</w:t>
      </w:r>
      <w:proofErr w:type="spellEnd"/>
      <w:r>
        <w:t xml:space="preserve">, P., 2018, </w:t>
      </w:r>
      <w:r>
        <w:rPr>
          <w:i/>
        </w:rPr>
        <w:t>Are Elasticities of Taxable Income Rising</w:t>
      </w:r>
      <w:proofErr w:type="gramStart"/>
      <w:r>
        <w:rPr>
          <w:i/>
        </w:rPr>
        <w:t>?</w:t>
      </w:r>
      <w:r>
        <w:t>,</w:t>
      </w:r>
      <w:proofErr w:type="gramEnd"/>
      <w:r>
        <w:t xml:space="preserve"> International Monetary Fund.  Many of the estimates in the empirical literature capture both a tax-planning response and a labour-supply response.</w:t>
      </w:r>
    </w:p>
  </w:footnote>
  <w:footnote w:id="6">
    <w:p w:rsidR="00716768" w:rsidRDefault="00716768" w:rsidP="001F78AC">
      <w:pPr>
        <w:pStyle w:val="FootnoteText"/>
        <w:ind w:left="142" w:hanging="142"/>
      </w:pPr>
      <w:r>
        <w:rPr>
          <w:rStyle w:val="FootnoteReference"/>
        </w:rPr>
        <w:footnoteRef/>
      </w:r>
      <w:r>
        <w:t xml:space="preserve">  Where a policy proposal would make a more substantial change to marginal tax rates (</w:t>
      </w:r>
      <w:proofErr w:type="spellStart"/>
      <w:r>
        <w:t>eg</w:t>
      </w:r>
      <w:proofErr w:type="spellEnd"/>
      <w:r>
        <w:t xml:space="preserve"> increasing the highest marginal tax rate by 10 percentage points), or would target very high income earners (</w:t>
      </w:r>
      <w:proofErr w:type="spellStart"/>
      <w:r>
        <w:t>eg</w:t>
      </w:r>
      <w:proofErr w:type="spellEnd"/>
      <w:r>
        <w:t xml:space="preserve"> those with taxable incomes above $1,000,000), these elasticities may no longer be appropriate.  In such cases we apply our judgement and may deviate from the taxable income elasticities that are estimated from recent experiences for the whole population.</w:t>
      </w:r>
    </w:p>
  </w:footnote>
  <w:footnote w:id="7">
    <w:p w:rsidR="00716768" w:rsidRDefault="00716768" w:rsidP="00232695">
      <w:pPr>
        <w:pStyle w:val="FootnoteText"/>
        <w:tabs>
          <w:tab w:val="clear" w:pos="425"/>
          <w:tab w:val="left" w:pos="142"/>
        </w:tabs>
        <w:ind w:left="142" w:hanging="142"/>
      </w:pPr>
      <w:r>
        <w:rPr>
          <w:rStyle w:val="FootnoteReference"/>
        </w:rPr>
        <w:footnoteRef/>
      </w:r>
      <w:r>
        <w:t xml:space="preserve">  For more detail, refer to </w:t>
      </w:r>
      <w:hyperlink r:id="rId1" w:history="1">
        <w:r w:rsidRPr="00E43095">
          <w:rPr>
            <w:rStyle w:val="Hyperlink"/>
          </w:rPr>
          <w:t xml:space="preserve">Media release: </w:t>
        </w:r>
        <w:r w:rsidRPr="00716768">
          <w:rPr>
            <w:rStyle w:val="Hyperlink"/>
            <w:i/>
          </w:rPr>
          <w:t>PBO establishes panel of expert advisors</w:t>
        </w:r>
      </w:hyperlink>
      <w:r>
        <w:t xml:space="preserve">, 21 December 2017. </w:t>
      </w:r>
    </w:p>
  </w:footnote>
  <w:footnote w:id="8">
    <w:p w:rsidR="00716768" w:rsidRDefault="00716768" w:rsidP="00652AA1">
      <w:pPr>
        <w:pStyle w:val="FootnoteText"/>
        <w:ind w:left="142" w:hanging="142"/>
      </w:pPr>
      <w:r>
        <w:rPr>
          <w:rStyle w:val="FootnoteReference"/>
        </w:rPr>
        <w:footnoteRef/>
      </w:r>
      <w:r>
        <w:t xml:space="preserve">  For more information on the network, see </w:t>
      </w:r>
      <w:r>
        <w:br/>
      </w:r>
      <w:hyperlink r:id="rId2" w:history="1">
        <w:r w:rsidRPr="00480759">
          <w:rPr>
            <w:rStyle w:val="Hyperlink"/>
          </w:rPr>
          <w:t>http://www.oecd.org/governance/budgeting/oecdnetworkofparliamentarybudgetofficialspbo.htm</w:t>
        </w:r>
      </w:hyperlink>
      <w:r>
        <w:t>.</w:t>
      </w:r>
    </w:p>
  </w:footnote>
  <w:footnote w:id="9">
    <w:p w:rsidR="00716768" w:rsidRPr="0083072F" w:rsidRDefault="00716768" w:rsidP="006F601B">
      <w:pPr>
        <w:pStyle w:val="FootnoteText"/>
        <w:tabs>
          <w:tab w:val="clear" w:pos="425"/>
          <w:tab w:val="left" w:pos="426"/>
        </w:tabs>
        <w:ind w:left="142" w:hanging="142"/>
      </w:pPr>
      <w:r>
        <w:rPr>
          <w:rStyle w:val="FootnoteReference"/>
        </w:rPr>
        <w:footnoteRef/>
      </w:r>
      <w:r>
        <w:t xml:space="preserve">  See, for instance, Office for Budget Responsibility, 2016, </w:t>
      </w:r>
      <w:proofErr w:type="gramStart"/>
      <w:r>
        <w:rPr>
          <w:i/>
        </w:rPr>
        <w:t>Working</w:t>
      </w:r>
      <w:proofErr w:type="gramEnd"/>
      <w:r>
        <w:rPr>
          <w:i/>
        </w:rPr>
        <w:t xml:space="preserve"> paper No. 10, Forestalling ahead of property tax </w:t>
      </w:r>
      <w:r w:rsidRPr="00A62E8C">
        <w:rPr>
          <w:i/>
        </w:rPr>
        <w:t>changes</w:t>
      </w:r>
      <w:r>
        <w:t>.</w:t>
      </w:r>
    </w:p>
  </w:footnote>
  <w:footnote w:id="10">
    <w:p w:rsidR="00716768" w:rsidRDefault="00716768" w:rsidP="006F601B">
      <w:pPr>
        <w:pStyle w:val="FootnoteText"/>
        <w:tabs>
          <w:tab w:val="clear" w:pos="425"/>
          <w:tab w:val="left" w:pos="426"/>
        </w:tabs>
        <w:ind w:left="142" w:hanging="142"/>
      </w:pPr>
      <w:r>
        <w:rPr>
          <w:rStyle w:val="FootnoteReference"/>
        </w:rPr>
        <w:footnoteRef/>
      </w:r>
      <w:r w:rsidR="00333991">
        <w:t xml:space="preserve"> </w:t>
      </w:r>
      <w:r>
        <w:t>The additional costs were measured as the denied deductions and the increased tax upon the sale of the property, expressed in today’s dollars.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68" w:rsidRDefault="00716768">
    <w:pPr>
      <w:pStyle w:val="Header"/>
    </w:pPr>
    <w:r>
      <w:rPr>
        <w:noProof/>
        <w:lang w:eastAsia="en-AU"/>
      </w:rPr>
      <mc:AlternateContent>
        <mc:Choice Requires="wps">
          <w:drawing>
            <wp:anchor distT="0" distB="0" distL="114300" distR="114300" simplePos="0" relativeHeight="251646976" behindDoc="1" locked="1" layoutInCell="1" allowOverlap="1" wp14:anchorId="18BDF2E9" wp14:editId="4A1CA3FE">
              <wp:simplePos x="0" y="0"/>
              <wp:positionH relativeFrom="page">
                <wp:align>center</wp:align>
              </wp:positionH>
              <wp:positionV relativeFrom="page">
                <wp:align>center</wp:align>
              </wp:positionV>
              <wp:extent cx="7560000" cy="1796400"/>
              <wp:effectExtent l="0" t="0" r="0" b="0"/>
              <wp:wrapNone/>
              <wp:docPr id="2"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768" w:rsidRPr="0001226A" w:rsidRDefault="00716768"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72" type="#_x0000_t202" style="position:absolute;margin-left:0;margin-top:0;width:595.3pt;height:141.45pt;z-index:-25166950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" filled="f" stroked="f">
              <v:textbox>
                <w:txbxContent>
                  <w:p w:rsidR="00716768" w:rsidRPr="0001226A" w:rsidRDefault="00716768" w:rsidP="00F45442">
                    <w:pPr>
                      <w:pStyle w:val="xStatus"/>
                      <w:rPr>
                        <w:szCs w:val="120"/>
                      </w:rPr>
                    </w:pPr>
                  </w:p>
                </w:txbxContent>
              </v:textbox>
              <w10:wrap anchorx="page" anchory="page"/>
              <w10:anchorlock/>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68" w:rsidRDefault="00716768">
    <w:pPr>
      <w:pStyle w:val="Header"/>
    </w:pPr>
    <w:r>
      <w:rPr>
        <w:noProof/>
        <w:lang w:eastAsia="en-AU"/>
      </w:rPr>
      <mc:AlternateContent>
        <mc:Choice Requires="wps">
          <w:drawing>
            <wp:anchor distT="0" distB="0" distL="114300" distR="114300" simplePos="0" relativeHeight="251663360" behindDoc="1" locked="1" layoutInCell="1" allowOverlap="1" wp14:anchorId="3E4A5759" wp14:editId="4505D091">
              <wp:simplePos x="0" y="0"/>
              <wp:positionH relativeFrom="page">
                <wp:align>center</wp:align>
              </wp:positionH>
              <wp:positionV relativeFrom="page">
                <wp:align>center</wp:align>
              </wp:positionV>
              <wp:extent cx="7560000" cy="1796400"/>
              <wp:effectExtent l="0" t="0" r="0" b="0"/>
              <wp:wrapNone/>
              <wp:docPr id="29"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768" w:rsidRPr="0001226A" w:rsidRDefault="00716768"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1" type="#_x0000_t202" style="position:absolute;margin-left:0;margin-top:0;width:595.3pt;height:141.45pt;z-index:-25165312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" filled="f" stroked="f">
              <v:textbox>
                <w:txbxContent>
                  <w:p w:rsidR="00716768" w:rsidRPr="0001226A" w:rsidRDefault="00716768" w:rsidP="00F45442">
                    <w:pPr>
                      <w:pStyle w:val="xStatus"/>
                      <w:rPr>
                        <w:szCs w:val="120"/>
                      </w:rPr>
                    </w:pP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68" w:rsidRDefault="00716768">
    <w:pPr>
      <w:pStyle w:val="Header"/>
    </w:pPr>
    <w:r>
      <w:rPr>
        <w:noProof/>
        <w:lang w:eastAsia="en-AU"/>
      </w:rPr>
      <mc:AlternateContent>
        <mc:Choice Requires="wps">
          <w:drawing>
            <wp:anchor distT="0" distB="0" distL="114300" distR="114300" simplePos="0" relativeHeight="251653120" behindDoc="1" locked="1" layoutInCell="1" allowOverlap="1" wp14:anchorId="47CC2ED3" wp14:editId="7F2D2F89">
              <wp:simplePos x="0" y="0"/>
              <wp:positionH relativeFrom="page">
                <wp:align>center</wp:align>
              </wp:positionH>
              <wp:positionV relativeFrom="page">
                <wp:align>center</wp:align>
              </wp:positionV>
              <wp:extent cx="7560000" cy="1796400"/>
              <wp:effectExtent l="0" t="0" r="0" b="0"/>
              <wp:wrapNone/>
              <wp:docPr id="3"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768" w:rsidRPr="0001226A" w:rsidRDefault="00716768"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3" type="#_x0000_t202" style="position:absolute;margin-left:0;margin-top:0;width:595.3pt;height:141.45pt;z-index:-25166336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IeAB0W6AgAA&#10;wwUAAA4AAAAAAAAAAAAAAAAALgIAAGRycy9lMm9Eb2MueG1sUEsBAi0AFAAGAAgAAAAhADTFRM7b&#10;AAAABgEAAA8AAAAAAAAAAAAAAAAAFAUAAGRycy9kb3ducmV2LnhtbFBLBQYAAAAABAAEAPMAAAAc&#10;BgAAAAA=&#10;" filled="f" stroked="f">
              <v:textbox>
                <w:txbxContent>
                  <w:p w:rsidR="00716768" w:rsidRPr="0001226A" w:rsidRDefault="00716768" w:rsidP="00F45442">
                    <w:pPr>
                      <w:pStyle w:val="xStatus"/>
                      <w:rPr>
                        <w:szCs w:val="120"/>
                      </w:rPr>
                    </w:pP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68" w:rsidRDefault="00716768">
    <w:pPr>
      <w:pStyle w:val="Header"/>
    </w:pPr>
    <w:r>
      <w:rPr>
        <w:noProof/>
        <w:lang w:eastAsia="en-AU"/>
      </w:rPr>
      <w:drawing>
        <wp:anchor distT="0" distB="0" distL="114300" distR="114300" simplePos="0" relativeHeight="251679744" behindDoc="0" locked="1" layoutInCell="1" allowOverlap="1" wp14:anchorId="0385A7A4" wp14:editId="397CDE46">
          <wp:simplePos x="0" y="0"/>
          <wp:positionH relativeFrom="page">
            <wp:posOffset>939800</wp:posOffset>
          </wp:positionH>
          <wp:positionV relativeFrom="page">
            <wp:posOffset>1260475</wp:posOffset>
          </wp:positionV>
          <wp:extent cx="1918800" cy="586800"/>
          <wp:effectExtent l="0" t="0" r="5715" b="3810"/>
          <wp:wrapNone/>
          <wp:docPr id="7" name="Picture 7" descr="Parliamentary Budge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ver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8800" cy="5868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9264" behindDoc="1" locked="1" layoutInCell="1" allowOverlap="1" wp14:anchorId="0667F6E7" wp14:editId="5D77BCBB">
          <wp:simplePos x="896815" y="509954"/>
          <wp:positionH relativeFrom="page">
            <wp:align>left</wp:align>
          </wp:positionH>
          <wp:positionV relativeFrom="page">
            <wp:align>top</wp:align>
          </wp:positionV>
          <wp:extent cx="7559675" cy="10692765"/>
          <wp:effectExtent l="0" t="0" r="317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s.png"/>
                  <pic:cNvPicPr/>
                </pic:nvPicPr>
                <pic:blipFill>
                  <a:blip r:embed="rId2"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59675" cy="10693283"/>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40832" behindDoc="1" locked="1" layoutInCell="1" allowOverlap="1" wp14:anchorId="55903058" wp14:editId="179B74B7">
              <wp:simplePos x="0" y="0"/>
              <wp:positionH relativeFrom="page">
                <wp:align>center</wp:align>
              </wp:positionH>
              <wp:positionV relativeFrom="page">
                <wp:align>center</wp:align>
              </wp:positionV>
              <wp:extent cx="7560000" cy="1796400"/>
              <wp:effectExtent l="0" t="0" r="0" b="0"/>
              <wp:wrapNone/>
              <wp:docPr id="6"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768" w:rsidRPr="0001226A" w:rsidRDefault="00716768"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4" type="#_x0000_t202" style="position:absolute;margin-left:0;margin-top:0;width:595.3pt;height:141.45pt;z-index:-25167564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Gtyw5K6AgAA&#10;wwUAAA4AAAAAAAAAAAAAAAAALgIAAGRycy9lMm9Eb2MueG1sUEsBAi0AFAAGAAgAAAAhADTFRM7b&#10;AAAABgEAAA8AAAAAAAAAAAAAAAAAFAUAAGRycy9kb3ducmV2LnhtbFBLBQYAAAAABAAEAPMAAAAc&#10;BgAAAAA=&#10;" filled="f" stroked="f">
              <v:textbox>
                <w:txbxContent>
                  <w:p w:rsidR="00716768" w:rsidRPr="0001226A" w:rsidRDefault="00716768" w:rsidP="00F45442">
                    <w:pPr>
                      <w:pStyle w:val="xStatus"/>
                      <w:rPr>
                        <w:szCs w:val="120"/>
                      </w:rPr>
                    </w:pPr>
                  </w:p>
                </w:txbxContent>
              </v:textbox>
              <w10:wrap anchorx="page" anchory="page"/>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68" w:rsidRDefault="00716768">
    <w:pPr>
      <w:pStyle w:val="Header"/>
    </w:pPr>
    <w:r>
      <w:rPr>
        <w:noProof/>
        <w:lang w:eastAsia="en-AU"/>
      </w:rPr>
      <mc:AlternateContent>
        <mc:Choice Requires="wps">
          <w:drawing>
            <wp:anchor distT="0" distB="0" distL="114300" distR="114300" simplePos="0" relativeHeight="251676672" behindDoc="1" locked="1" layoutInCell="1" allowOverlap="1" wp14:anchorId="41D954AA" wp14:editId="4991E2D6">
              <wp:simplePos x="0" y="0"/>
              <wp:positionH relativeFrom="page">
                <wp:align>center</wp:align>
              </wp:positionH>
              <wp:positionV relativeFrom="page">
                <wp:align>center</wp:align>
              </wp:positionV>
              <wp:extent cx="7560000" cy="1796400"/>
              <wp:effectExtent l="0" t="0" r="0" b="0"/>
              <wp:wrapNone/>
              <wp:docPr id="18"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768" w:rsidRPr="0001226A" w:rsidRDefault="00716768"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5" type="#_x0000_t202" style="position:absolute;margin-left:0;margin-top:0;width:595.3pt;height:141.45pt;z-index:-25163980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" filled="f" stroked="f">
              <v:textbox>
                <w:txbxContent>
                  <w:p w:rsidR="00716768" w:rsidRPr="0001226A" w:rsidRDefault="00716768" w:rsidP="00F45442">
                    <w:pPr>
                      <w:pStyle w:val="xStatus"/>
                      <w:rPr>
                        <w:szCs w:val="120"/>
                      </w:rPr>
                    </w:pPr>
                  </w:p>
                </w:txbxContent>
              </v:textbox>
              <w10:wrap anchorx="page" anchory="page"/>
              <w10:anchorlock/>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68" w:rsidRDefault="00716768">
    <w:pPr>
      <w:pStyle w:val="Header"/>
    </w:pPr>
    <w:r>
      <w:rPr>
        <w:noProof/>
        <w:lang w:eastAsia="en-AU"/>
      </w:rPr>
      <mc:AlternateContent>
        <mc:Choice Requires="wps">
          <w:drawing>
            <wp:anchor distT="0" distB="0" distL="114300" distR="114300" simplePos="0" relativeHeight="251678720" behindDoc="1" locked="1" layoutInCell="1" allowOverlap="1" wp14:anchorId="7CB806DA" wp14:editId="3AEBD49A">
              <wp:simplePos x="0" y="0"/>
              <wp:positionH relativeFrom="page">
                <wp:align>center</wp:align>
              </wp:positionH>
              <wp:positionV relativeFrom="page">
                <wp:align>center</wp:align>
              </wp:positionV>
              <wp:extent cx="7560000" cy="1796400"/>
              <wp:effectExtent l="0" t="0" r="0" b="0"/>
              <wp:wrapNone/>
              <wp:docPr id="19"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768" w:rsidRPr="0001226A" w:rsidRDefault="00716768"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6" type="#_x0000_t202" style="position:absolute;margin-left:0;margin-top:0;width:595.3pt;height:141.45pt;z-index:-25163776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DjfZqa6AgAA&#10;xAUAAA4AAAAAAAAAAAAAAAAALgIAAGRycy9lMm9Eb2MueG1sUEsBAi0AFAAGAAgAAAAhADTFRM7b&#10;AAAABgEAAA8AAAAAAAAAAAAAAAAAFAUAAGRycy9kb3ducmV2LnhtbFBLBQYAAAAABAAEAPMAAAAc&#10;BgAAAAA=&#10;" filled="f" stroked="f">
              <v:textbox>
                <w:txbxContent>
                  <w:p w:rsidR="00716768" w:rsidRPr="0001226A" w:rsidRDefault="00716768" w:rsidP="00F45442">
                    <w:pPr>
                      <w:pStyle w:val="xStatus"/>
                      <w:rPr>
                        <w:szCs w:val="120"/>
                      </w:rPr>
                    </w:pPr>
                  </w:p>
                </w:txbxContent>
              </v:textbox>
              <w10:wrap anchorx="page" anchory="page"/>
              <w10:anchorlock/>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68" w:rsidRDefault="00716768">
    <w:pPr>
      <w:pStyle w:val="Header"/>
    </w:pPr>
    <w:r>
      <w:rPr>
        <w:noProof/>
        <w:lang w:eastAsia="en-AU"/>
      </w:rPr>
      <mc:AlternateContent>
        <mc:Choice Requires="wps">
          <w:drawing>
            <wp:anchor distT="0" distB="0" distL="114300" distR="114300" simplePos="0" relativeHeight="251674624" behindDoc="1" locked="1" layoutInCell="1" allowOverlap="1" wp14:anchorId="0447F815" wp14:editId="5804F2D4">
              <wp:simplePos x="0" y="0"/>
              <wp:positionH relativeFrom="page">
                <wp:align>center</wp:align>
              </wp:positionH>
              <wp:positionV relativeFrom="page">
                <wp:align>center</wp:align>
              </wp:positionV>
              <wp:extent cx="7560000" cy="1796400"/>
              <wp:effectExtent l="0" t="0" r="0" b="0"/>
              <wp:wrapNone/>
              <wp:docPr id="11"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768" w:rsidRPr="0001226A" w:rsidRDefault="00716768"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7" type="#_x0000_t202" style="position:absolute;margin-left:0;margin-top:0;width:595.3pt;height:141.45pt;z-index:-25164185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O80U5W6AgAA&#10;xAUAAA4AAAAAAAAAAAAAAAAALgIAAGRycy9lMm9Eb2MueG1sUEsBAi0AFAAGAAgAAAAhADTFRM7b&#10;AAAABgEAAA8AAAAAAAAAAAAAAAAAFAUAAGRycy9kb3ducmV2LnhtbFBLBQYAAAAABAAEAPMAAAAc&#10;BgAAAAA=&#10;" filled="f" stroked="f">
              <v:textbox>
                <w:txbxContent>
                  <w:p w:rsidR="00716768" w:rsidRPr="0001226A" w:rsidRDefault="00716768" w:rsidP="00F45442">
                    <w:pPr>
                      <w:pStyle w:val="xStatus"/>
                      <w:rPr>
                        <w:szCs w:val="120"/>
                      </w:rPr>
                    </w:pPr>
                  </w:p>
                </w:txbxContent>
              </v:textbox>
              <w10:wrap anchorx="page" anchory="page"/>
              <w10:anchorlock/>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68" w:rsidRDefault="00716768">
    <w:pPr>
      <w:pStyle w:val="Header"/>
    </w:pPr>
    <w:r>
      <w:rPr>
        <w:noProof/>
        <w:lang w:eastAsia="en-AU"/>
      </w:rPr>
      <mc:AlternateContent>
        <mc:Choice Requires="wps">
          <w:drawing>
            <wp:anchor distT="0" distB="0" distL="114300" distR="114300" simplePos="0" relativeHeight="251667456" behindDoc="1" locked="1" layoutInCell="1" allowOverlap="1" wp14:anchorId="2D06EAD9" wp14:editId="7D6C60BE">
              <wp:simplePos x="0" y="0"/>
              <wp:positionH relativeFrom="page">
                <wp:align>center</wp:align>
              </wp:positionH>
              <wp:positionV relativeFrom="page">
                <wp:align>center</wp:align>
              </wp:positionV>
              <wp:extent cx="7560000" cy="1796400"/>
              <wp:effectExtent l="0" t="0" r="0" b="0"/>
              <wp:wrapNone/>
              <wp:docPr id="4"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768" w:rsidRPr="0001226A" w:rsidRDefault="00716768"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8" type="#_x0000_t202" style="position:absolute;margin-left:0;margin-top:0;width:595.3pt;height:141.45pt;z-index:-25164902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ISvYDu6AgAA&#10;wwUAAA4AAAAAAAAAAAAAAAAALgIAAGRycy9lMm9Eb2MueG1sUEsBAi0AFAAGAAgAAAAhADTFRM7b&#10;AAAABgEAAA8AAAAAAAAAAAAAAAAAFAUAAGRycy9kb3ducmV2LnhtbFBLBQYAAAAABAAEAPMAAAAc&#10;BgAAAAA=&#10;" filled="f" stroked="f">
              <v:textbox>
                <w:txbxContent>
                  <w:p w:rsidR="00716768" w:rsidRPr="0001226A" w:rsidRDefault="00716768" w:rsidP="00F45442">
                    <w:pPr>
                      <w:pStyle w:val="xStatus"/>
                      <w:rPr>
                        <w:szCs w:val="120"/>
                      </w:rPr>
                    </w:pPr>
                  </w:p>
                </w:txbxContent>
              </v:textbox>
              <w10:wrap anchorx="page" anchory="page"/>
              <w10:anchorlock/>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68" w:rsidRDefault="00716768">
    <w:pPr>
      <w:pStyle w:val="Header"/>
    </w:pPr>
    <w:r>
      <w:rPr>
        <w:noProof/>
        <w:lang w:eastAsia="en-AU"/>
      </w:rPr>
      <mc:AlternateContent>
        <mc:Choice Requires="wps">
          <w:drawing>
            <wp:anchor distT="0" distB="0" distL="114300" distR="114300" simplePos="0" relativeHeight="251661312" behindDoc="1" locked="1" layoutInCell="1" allowOverlap="1" wp14:anchorId="41C85807" wp14:editId="3DE5D9E3">
              <wp:simplePos x="0" y="0"/>
              <wp:positionH relativeFrom="page">
                <wp:align>center</wp:align>
              </wp:positionH>
              <wp:positionV relativeFrom="page">
                <wp:align>center</wp:align>
              </wp:positionV>
              <wp:extent cx="7560000" cy="1796400"/>
              <wp:effectExtent l="0" t="0" r="0" b="0"/>
              <wp:wrapNone/>
              <wp:docPr id="28"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768" w:rsidRPr="0001226A" w:rsidRDefault="00716768"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9" type="#_x0000_t202" style="position:absolute;margin-left:0;margin-top:0;width:595.3pt;height:141.45pt;z-index:-2516551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HZz5kK6AgAA&#10;xAUAAA4AAAAAAAAAAAAAAAAALgIAAGRycy9lMm9Eb2MueG1sUEsBAi0AFAAGAAgAAAAhADTFRM7b&#10;AAAABgEAAA8AAAAAAAAAAAAAAAAAFAUAAGRycy9kb3ducmV2LnhtbFBLBQYAAAAABAAEAPMAAAAc&#10;BgAAAAA=&#10;" filled="f" stroked="f">
              <v:textbox>
                <w:txbxContent>
                  <w:p w:rsidR="00716768" w:rsidRPr="0001226A" w:rsidRDefault="00716768" w:rsidP="00F45442">
                    <w:pPr>
                      <w:pStyle w:val="xStatus"/>
                      <w:rPr>
                        <w:szCs w:val="120"/>
                      </w:rPr>
                    </w:pPr>
                  </w:p>
                </w:txbxContent>
              </v:textbox>
              <w10:wrap anchorx="page" anchory="page"/>
              <w10:anchorlock/>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68" w:rsidRDefault="00716768">
    <w:pPr>
      <w:pStyle w:val="Header"/>
    </w:pPr>
    <w:r>
      <w:rPr>
        <w:noProof/>
        <w:lang w:eastAsia="en-AU"/>
      </w:rPr>
      <mc:AlternateContent>
        <mc:Choice Requires="wps">
          <w:drawing>
            <wp:anchor distT="0" distB="0" distL="114300" distR="114300" simplePos="0" relativeHeight="251669504" behindDoc="1" locked="1" layoutInCell="1" allowOverlap="1" wp14:anchorId="35E4AF09" wp14:editId="211BB062">
              <wp:simplePos x="0" y="0"/>
              <wp:positionH relativeFrom="page">
                <wp:align>center</wp:align>
              </wp:positionH>
              <wp:positionV relativeFrom="page">
                <wp:align>center</wp:align>
              </wp:positionV>
              <wp:extent cx="7560000" cy="1796400"/>
              <wp:effectExtent l="0" t="0" r="0" b="0"/>
              <wp:wrapNone/>
              <wp:docPr id="1"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768" w:rsidRPr="0001226A" w:rsidRDefault="00716768"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0" type="#_x0000_t202" style="position:absolute;margin-left:0;margin-top:0;width:595.3pt;height:141.45pt;z-index:-25164697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" filled="f" stroked="f">
              <v:textbox>
                <w:txbxContent>
                  <w:p w:rsidR="00716768" w:rsidRPr="0001226A" w:rsidRDefault="00716768" w:rsidP="00F45442">
                    <w:pPr>
                      <w:pStyle w:val="xStatus"/>
                      <w:rPr>
                        <w:szCs w:val="120"/>
                      </w:rPr>
                    </w:pP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9A30C234"/>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C2D2723E"/>
    <w:lvl w:ilvl="0">
      <w:start w:val="1"/>
      <w:numFmt w:val="bullet"/>
      <w:lvlText w:val=""/>
      <w:lvlJc w:val="left"/>
      <w:pPr>
        <w:tabs>
          <w:tab w:val="num" w:pos="1209"/>
        </w:tabs>
        <w:ind w:left="1209" w:hanging="360"/>
      </w:pPr>
      <w:rPr>
        <w:rFonts w:ascii="Symbol" w:hAnsi="Symbol" w:hint="default"/>
      </w:rPr>
    </w:lvl>
  </w:abstractNum>
  <w:abstractNum w:abstractNumId="2">
    <w:nsid w:val="FFFFFF88"/>
    <w:multiLevelType w:val="singleLevel"/>
    <w:tmpl w:val="4BAEA1DE"/>
    <w:lvl w:ilvl="0">
      <w:start w:val="1"/>
      <w:numFmt w:val="decimal"/>
      <w:lvlText w:val="%1."/>
      <w:lvlJc w:val="left"/>
      <w:pPr>
        <w:tabs>
          <w:tab w:val="num" w:pos="360"/>
        </w:tabs>
        <w:ind w:left="360" w:hanging="360"/>
      </w:pPr>
    </w:lvl>
  </w:abstractNum>
  <w:abstractNum w:abstractNumId="3">
    <w:nsid w:val="FFFFFF89"/>
    <w:multiLevelType w:val="singleLevel"/>
    <w:tmpl w:val="FD58B2CC"/>
    <w:lvl w:ilvl="0">
      <w:start w:val="1"/>
      <w:numFmt w:val="bullet"/>
      <w:lvlText w:val=""/>
      <w:lvlJc w:val="left"/>
      <w:pPr>
        <w:tabs>
          <w:tab w:val="num" w:pos="360"/>
        </w:tabs>
        <w:ind w:left="360" w:hanging="360"/>
      </w:pPr>
      <w:rPr>
        <w:rFonts w:ascii="Symbol" w:hAnsi="Symbol" w:hint="default"/>
      </w:rPr>
    </w:lvl>
  </w:abstractNum>
  <w:abstractNum w:abstractNumId="4">
    <w:nsid w:val="068B37FE"/>
    <w:multiLevelType w:val="multilevel"/>
    <w:tmpl w:val="D3748072"/>
    <w:name w:val="Bullets"/>
    <w:lvl w:ilvl="0">
      <w:start w:val="1"/>
      <w:numFmt w:val="bullet"/>
      <w:lvlText w:val="•"/>
      <w:lvlJc w:val="left"/>
      <w:pPr>
        <w:tabs>
          <w:tab w:val="num" w:pos="284"/>
        </w:tabs>
        <w:ind w:left="284" w:hanging="284"/>
      </w:pPr>
      <w:rPr>
        <w:rFonts w:ascii="Calibri" w:hAnsi="Calibri" w:hint="default"/>
        <w:b w:val="0"/>
        <w:i w:val="0"/>
        <w:color w:val="auto"/>
        <w:position w:val="0"/>
        <w:sz w:val="19"/>
      </w:rPr>
    </w:lvl>
    <w:lvl w:ilvl="1">
      <w:start w:val="1"/>
      <w:numFmt w:val="bullet"/>
      <w:lvlText w:val="–"/>
      <w:lvlJc w:val="left"/>
      <w:pPr>
        <w:tabs>
          <w:tab w:val="num" w:pos="568"/>
        </w:tabs>
        <w:ind w:left="568" w:hanging="284"/>
      </w:pPr>
      <w:rPr>
        <w:rFonts w:ascii="Calibri" w:hAnsi="Calibri" w:hint="default"/>
        <w:b w:val="0"/>
        <w:i w:val="0"/>
        <w:color w:val="auto"/>
        <w:position w:val="0"/>
        <w:sz w:val="19"/>
      </w:rPr>
    </w:lvl>
    <w:lvl w:ilvl="2">
      <w:start w:val="1"/>
      <w:numFmt w:val="bullet"/>
      <w:lvlText w:val=""/>
      <w:lvlJc w:val="left"/>
      <w:pPr>
        <w:tabs>
          <w:tab w:val="num" w:pos="852"/>
        </w:tabs>
        <w:ind w:left="852" w:hanging="284"/>
      </w:pPr>
      <w:rPr>
        <w:rFonts w:ascii="Wingdings" w:hAnsi="Wingdings" w:hint="default"/>
        <w:b w:val="0"/>
        <w:i w:val="0"/>
        <w:color w:val="auto"/>
        <w:spacing w:val="0"/>
        <w:w w:val="100"/>
        <w:position w:val="0"/>
        <w:sz w:val="19"/>
        <w:szCs w:val="16"/>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5">
    <w:nsid w:val="0D2B6B31"/>
    <w:multiLevelType w:val="multilevel"/>
    <w:tmpl w:val="115E7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745448"/>
    <w:multiLevelType w:val="multilevel"/>
    <w:tmpl w:val="C570F8B4"/>
    <w:name w:val="PBOHeadings"/>
    <w:lvl w:ilvl="0">
      <w:start w:val="1"/>
      <w:numFmt w:val="decimal"/>
      <w:pStyle w:val="Heading1"/>
      <w:lvlText w:val="%1"/>
      <w:lvlJc w:val="left"/>
      <w:pPr>
        <w:ind w:left="907" w:hanging="765"/>
      </w:pPr>
      <w:rPr>
        <w:rFonts w:hint="default"/>
      </w:rPr>
    </w:lvl>
    <w:lvl w:ilvl="1">
      <w:start w:val="1"/>
      <w:numFmt w:val="decimal"/>
      <w:pStyle w:val="Heading2"/>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7">
    <w:nsid w:val="0FB2573F"/>
    <w:multiLevelType w:val="multilevel"/>
    <w:tmpl w:val="CBAACE70"/>
    <w:name w:val="TableFootnotes"/>
    <w:lvl w:ilvl="0">
      <w:start w:val="1"/>
      <w:numFmt w:val="lowerLetter"/>
      <w:pStyle w:val="TableFootnotes"/>
      <w:lvlText w:val="(%1)"/>
      <w:lvlJc w:val="left"/>
      <w:pPr>
        <w:ind w:left="284" w:hanging="284"/>
      </w:pPr>
      <w:rPr>
        <w:rFonts w:hint="default"/>
        <w:color w:val="788184"/>
        <w:spacing w:val="0"/>
        <w:sz w:val="16"/>
        <w:vertAlign w:val="baseline"/>
      </w:rPr>
    </w:lvl>
    <w:lvl w:ilvl="1">
      <w:start w:val="1"/>
      <w:numFmt w:val="bullet"/>
      <w:lvlText w:val=""/>
      <w:lvlJc w:val="left"/>
      <w:pPr>
        <w:tabs>
          <w:tab w:val="num" w:pos="454"/>
        </w:tabs>
        <w:ind w:left="568" w:hanging="284"/>
      </w:pPr>
      <w:rPr>
        <w:rFonts w:ascii="Symbol" w:hAnsi="Symbol" w:hint="default"/>
        <w:spacing w:val="0"/>
        <w:w w:val="100"/>
        <w:kern w:val="0"/>
        <w:position w:val="0"/>
      </w:rPr>
    </w:lvl>
    <w:lvl w:ilvl="2">
      <w:start w:val="1"/>
      <w:numFmt w:val="bullet"/>
      <w:lvlRestart w:val="1"/>
      <w:lvlText w:val=""/>
      <w:lvlJc w:val="left"/>
      <w:pPr>
        <w:tabs>
          <w:tab w:val="num" w:pos="624"/>
        </w:tabs>
        <w:ind w:left="852" w:hanging="284"/>
      </w:pPr>
      <w:rPr>
        <w:rFonts w:ascii="Symbol" w:hAnsi="Symbol" w:hint="default"/>
        <w:color w:val="auto"/>
        <w:spacing w:val="-4"/>
      </w:rPr>
    </w:lvl>
    <w:lvl w:ilvl="3">
      <w:start w:val="1"/>
      <w:numFmt w:val="none"/>
      <w:lvlText w:val=""/>
      <w:lvlJc w:val="left"/>
      <w:pPr>
        <w:tabs>
          <w:tab w:val="num" w:pos="0"/>
        </w:tabs>
        <w:ind w:left="1136" w:hanging="284"/>
      </w:pPr>
      <w:rPr>
        <w:rFonts w:hint="default"/>
        <w:spacing w:val="-10"/>
        <w:w w:val="100"/>
      </w:rPr>
    </w:lvl>
    <w:lvl w:ilvl="4">
      <w:start w:val="1"/>
      <w:numFmt w:val="none"/>
      <w:lvlText w:val=""/>
      <w:lvlJc w:val="left"/>
      <w:pPr>
        <w:tabs>
          <w:tab w:val="num" w:pos="2835"/>
        </w:tabs>
        <w:ind w:left="1420" w:hanging="284"/>
      </w:pPr>
      <w:rPr>
        <w:rFonts w:hint="default"/>
      </w:rPr>
    </w:lvl>
    <w:lvl w:ilvl="5">
      <w:start w:val="1"/>
      <w:numFmt w:val="none"/>
      <w:lvlText w:val=""/>
      <w:lvlJc w:val="left"/>
      <w:pPr>
        <w:tabs>
          <w:tab w:val="num" w:pos="2160"/>
        </w:tabs>
        <w:ind w:left="1704" w:hanging="284"/>
      </w:pPr>
      <w:rPr>
        <w:rFonts w:hint="default"/>
      </w:rPr>
    </w:lvl>
    <w:lvl w:ilvl="6">
      <w:start w:val="1"/>
      <w:numFmt w:val="lowerRoman"/>
      <w:lvlRestart w:val="1"/>
      <w:lvlText w:val="%7"/>
      <w:lvlJc w:val="left"/>
      <w:pPr>
        <w:tabs>
          <w:tab w:val="num" w:pos="369"/>
        </w:tabs>
        <w:ind w:left="1988" w:hanging="284"/>
      </w:pPr>
      <w:rPr>
        <w:rFonts w:hint="default"/>
      </w:rPr>
    </w:lvl>
    <w:lvl w:ilvl="7">
      <w:start w:val="1"/>
      <w:numFmt w:val="lowerLetter"/>
      <w:lvlText w:val="%8."/>
      <w:lvlJc w:val="left"/>
      <w:pPr>
        <w:tabs>
          <w:tab w:val="num" w:pos="737"/>
        </w:tabs>
        <w:ind w:left="2272" w:hanging="284"/>
      </w:pPr>
      <w:rPr>
        <w:rFonts w:hint="default"/>
        <w:position w:val="0"/>
      </w:rPr>
    </w:lvl>
    <w:lvl w:ilvl="8">
      <w:start w:val="1"/>
      <w:numFmt w:val="bullet"/>
      <w:lvlText w:val=""/>
      <w:lvlJc w:val="left"/>
      <w:pPr>
        <w:tabs>
          <w:tab w:val="num" w:pos="1106"/>
        </w:tabs>
        <w:ind w:left="2556" w:hanging="284"/>
      </w:pPr>
      <w:rPr>
        <w:rFonts w:ascii="Symbol" w:hAnsi="Symbol" w:hint="default"/>
        <w:position w:val="2"/>
        <w:sz w:val="20"/>
        <w:szCs w:val="20"/>
      </w:rPr>
    </w:lvl>
  </w:abstractNum>
  <w:abstractNum w:abstractNumId="8">
    <w:nsid w:val="193B17F7"/>
    <w:multiLevelType w:val="hybridMultilevel"/>
    <w:tmpl w:val="38A0D620"/>
    <w:lvl w:ilvl="0" w:tplc="F404EFF6">
      <w:start w:val="1"/>
      <w:numFmt w:val="upperLetter"/>
      <w:lvlText w:val="%1"/>
      <w:lvlJc w:val="left"/>
      <w:pPr>
        <w:ind w:left="720" w:hanging="360"/>
      </w:pPr>
      <w:rPr>
        <w:rFonts w:hint="default"/>
        <w:b w:val="0"/>
        <w:sz w:val="22"/>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94A695C"/>
    <w:multiLevelType w:val="multilevel"/>
    <w:tmpl w:val="40883434"/>
    <w:name w:val="TableBullets"/>
    <w:lvl w:ilvl="0">
      <w:start w:val="1"/>
      <w:numFmt w:val="bullet"/>
      <w:pStyle w:val="TableTextBullet"/>
      <w:lvlText w:val="–"/>
      <w:lvlJc w:val="left"/>
      <w:pPr>
        <w:ind w:left="255" w:hanging="170"/>
      </w:pPr>
      <w:rPr>
        <w:rFonts w:ascii="Calibri" w:hAnsi="Calibri" w:hint="default"/>
        <w:color w:val="auto"/>
        <w:position w:val="2"/>
        <w:sz w:val="20"/>
        <w:szCs w:val="12"/>
      </w:rPr>
    </w:lvl>
    <w:lvl w:ilvl="1">
      <w:start w:val="1"/>
      <w:numFmt w:val="bullet"/>
      <w:pStyle w:val="TableTextBullet2"/>
      <w:lvlText w:val="–"/>
      <w:lvlJc w:val="left"/>
      <w:pPr>
        <w:ind w:left="425"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ind w:left="595" w:hanging="170"/>
      </w:pPr>
      <w:rPr>
        <w:rFonts w:ascii="Calibri" w:hAnsi="Calibri" w:hint="default"/>
        <w:color w:val="auto"/>
        <w:position w:val="1"/>
        <w:sz w:val="20"/>
      </w:rPr>
    </w:lvl>
    <w:lvl w:ilvl="3">
      <w:start w:val="1"/>
      <w:numFmt w:val="none"/>
      <w:lvlText w:val=""/>
      <w:lvlJc w:val="left"/>
      <w:pPr>
        <w:tabs>
          <w:tab w:val="num" w:pos="794"/>
        </w:tabs>
        <w:ind w:left="765" w:hanging="170"/>
      </w:pPr>
      <w:rPr>
        <w:rFonts w:hint="default"/>
      </w:rPr>
    </w:lvl>
    <w:lvl w:ilvl="4">
      <w:start w:val="1"/>
      <w:numFmt w:val="none"/>
      <w:lvlText w:val=""/>
      <w:lvlJc w:val="left"/>
      <w:pPr>
        <w:tabs>
          <w:tab w:val="num" w:pos="964"/>
        </w:tabs>
        <w:ind w:left="935" w:hanging="170"/>
      </w:pPr>
      <w:rPr>
        <w:rFonts w:hint="default"/>
      </w:rPr>
    </w:lvl>
    <w:lvl w:ilvl="5">
      <w:start w:val="1"/>
      <w:numFmt w:val="none"/>
      <w:lvlText w:val=""/>
      <w:lvlJc w:val="left"/>
      <w:pPr>
        <w:tabs>
          <w:tab w:val="num" w:pos="1134"/>
        </w:tabs>
        <w:ind w:left="1105" w:hanging="170"/>
      </w:pPr>
      <w:rPr>
        <w:rFonts w:hint="default"/>
      </w:rPr>
    </w:lvl>
    <w:lvl w:ilvl="6">
      <w:start w:val="1"/>
      <w:numFmt w:val="none"/>
      <w:lvlText w:val=""/>
      <w:lvlJc w:val="left"/>
      <w:pPr>
        <w:tabs>
          <w:tab w:val="num" w:pos="1304"/>
        </w:tabs>
        <w:ind w:left="1275" w:hanging="170"/>
      </w:pPr>
      <w:rPr>
        <w:rFonts w:hint="default"/>
      </w:rPr>
    </w:lvl>
    <w:lvl w:ilvl="7">
      <w:start w:val="1"/>
      <w:numFmt w:val="none"/>
      <w:lvlText w:val=""/>
      <w:lvlJc w:val="left"/>
      <w:pPr>
        <w:tabs>
          <w:tab w:val="num" w:pos="1474"/>
        </w:tabs>
        <w:ind w:left="1445" w:hanging="170"/>
      </w:pPr>
      <w:rPr>
        <w:rFonts w:hint="default"/>
      </w:rPr>
    </w:lvl>
    <w:lvl w:ilvl="8">
      <w:start w:val="1"/>
      <w:numFmt w:val="none"/>
      <w:lvlText w:val=""/>
      <w:lvlJc w:val="left"/>
      <w:pPr>
        <w:tabs>
          <w:tab w:val="num" w:pos="1644"/>
        </w:tabs>
        <w:ind w:left="1615" w:hanging="170"/>
      </w:pPr>
      <w:rPr>
        <w:rFonts w:hint="default"/>
      </w:rPr>
    </w:lvl>
  </w:abstractNum>
  <w:abstractNum w:abstractNumId="10">
    <w:nsid w:val="25CB236B"/>
    <w:multiLevelType w:val="multilevel"/>
    <w:tmpl w:val="582E5DAA"/>
    <w:name w:val="Pull Box Numbering"/>
    <w:lvl w:ilvl="0">
      <w:start w:val="1"/>
      <w:numFmt w:val="decimal"/>
      <w:pStyle w:val="PullOutBoxNumber"/>
      <w:lvlText w:val="%1"/>
      <w:lvlJc w:val="left"/>
      <w:pPr>
        <w:ind w:left="567" w:hanging="283"/>
      </w:pPr>
      <w:rPr>
        <w:rFonts w:hint="default"/>
      </w:rPr>
    </w:lvl>
    <w:lvl w:ilvl="1">
      <w:start w:val="1"/>
      <w:numFmt w:val="lowerLetter"/>
      <w:pStyle w:val="PullOutBoxNumber2"/>
      <w:lvlText w:val="%2"/>
      <w:lvlJc w:val="left"/>
      <w:pPr>
        <w:ind w:left="851" w:hanging="283"/>
      </w:pPr>
      <w:rPr>
        <w:rFonts w:hint="default"/>
      </w:rPr>
    </w:lvl>
    <w:lvl w:ilvl="2">
      <w:start w:val="1"/>
      <w:numFmt w:val="lowerRoman"/>
      <w:pStyle w:val="PullOutBoxNumber3"/>
      <w:lvlText w:val="%3"/>
      <w:lvlJc w:val="lef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11">
    <w:nsid w:val="27981AF9"/>
    <w:multiLevelType w:val="multilevel"/>
    <w:tmpl w:val="68087D48"/>
    <w:name w:val="Bullets2"/>
    <w:lvl w:ilvl="0">
      <w:start w:val="1"/>
      <w:numFmt w:val="bullet"/>
      <w:lvlText w:val="•"/>
      <w:lvlJc w:val="left"/>
      <w:pPr>
        <w:ind w:left="397" w:hanging="397"/>
      </w:pPr>
      <w:rPr>
        <w:rFonts w:ascii="Dada Grotesk" w:hAnsi="Dada Grotesk" w:hint="default"/>
        <w:color w:val="auto"/>
        <w:spacing w:val="0"/>
        <w:sz w:val="19"/>
      </w:rPr>
    </w:lvl>
    <w:lvl w:ilvl="1">
      <w:start w:val="1"/>
      <w:numFmt w:val="lowerLetter"/>
      <w:lvlText w:val="%2"/>
      <w:lvlJc w:val="left"/>
      <w:pPr>
        <w:ind w:left="794" w:hanging="397"/>
      </w:pPr>
      <w:rPr>
        <w:rFonts w:hint="default"/>
        <w:color w:val="auto"/>
        <w:spacing w:val="0"/>
        <w:sz w:val="19"/>
      </w:rPr>
    </w:lvl>
    <w:lvl w:ilvl="2">
      <w:start w:val="1"/>
      <w:numFmt w:val="lowerRoman"/>
      <w:lvlText w:val="%3"/>
      <w:lvlJc w:val="left"/>
      <w:pPr>
        <w:ind w:left="1191" w:hanging="397"/>
      </w:pPr>
      <w:rPr>
        <w:rFonts w:hint="default"/>
        <w:color w:val="auto"/>
        <w:spacing w:val="0"/>
        <w:position w:val="0"/>
        <w:sz w:val="19"/>
        <w:szCs w:val="16"/>
      </w:rPr>
    </w:lvl>
    <w:lvl w:ilvl="3">
      <w:start w:val="1"/>
      <w:numFmt w:val="upperLetter"/>
      <w:lvlText w:val="%4"/>
      <w:lvlJc w:val="left"/>
      <w:pPr>
        <w:ind w:left="1588" w:hanging="397"/>
      </w:pPr>
      <w:rPr>
        <w:rFonts w:hint="default"/>
      </w:rPr>
    </w:lvl>
    <w:lvl w:ilvl="4">
      <w:start w:val="1"/>
      <w:numFmt w:val="upperRoman"/>
      <w:lvlText w:val="%5"/>
      <w:lvlJc w:val="left"/>
      <w:pPr>
        <w:ind w:left="1985" w:hanging="397"/>
      </w:pPr>
      <w:rPr>
        <w:rFonts w:hint="default"/>
      </w:rPr>
    </w:lvl>
    <w:lvl w:ilvl="5">
      <w:start w:val="1"/>
      <w:numFmt w:val="none"/>
      <w:lvlText w:val=""/>
      <w:lvlJc w:val="left"/>
      <w:pPr>
        <w:tabs>
          <w:tab w:val="num" w:pos="-31680"/>
        </w:tabs>
        <w:ind w:left="2382" w:hanging="397"/>
      </w:pPr>
      <w:rPr>
        <w:rFonts w:hint="default"/>
      </w:rPr>
    </w:lvl>
    <w:lvl w:ilvl="6">
      <w:start w:val="1"/>
      <w:numFmt w:val="none"/>
      <w:lvlText w:val=""/>
      <w:lvlJc w:val="left"/>
      <w:pPr>
        <w:tabs>
          <w:tab w:val="num" w:pos="-31680"/>
        </w:tabs>
        <w:ind w:left="2779" w:hanging="397"/>
      </w:pPr>
      <w:rPr>
        <w:rFonts w:hint="default"/>
      </w:rPr>
    </w:lvl>
    <w:lvl w:ilvl="7">
      <w:start w:val="1"/>
      <w:numFmt w:val="none"/>
      <w:lvlText w:val=""/>
      <w:lvlJc w:val="left"/>
      <w:pPr>
        <w:tabs>
          <w:tab w:val="num" w:pos="-31680"/>
        </w:tabs>
        <w:ind w:left="3176" w:hanging="397"/>
      </w:pPr>
      <w:rPr>
        <w:rFonts w:hint="default"/>
      </w:rPr>
    </w:lvl>
    <w:lvl w:ilvl="8">
      <w:start w:val="1"/>
      <w:numFmt w:val="none"/>
      <w:lvlText w:val=""/>
      <w:lvlJc w:val="left"/>
      <w:pPr>
        <w:tabs>
          <w:tab w:val="num" w:pos="-31680"/>
        </w:tabs>
        <w:ind w:left="3573" w:hanging="397"/>
      </w:pPr>
      <w:rPr>
        <w:rFonts w:hint="default"/>
      </w:rPr>
    </w:lvl>
  </w:abstractNum>
  <w:abstractNum w:abstractNumId="12">
    <w:nsid w:val="294570E0"/>
    <w:multiLevelType w:val="hybridMultilevel"/>
    <w:tmpl w:val="FFD8C192"/>
    <w:lvl w:ilvl="0" w:tplc="2CFAF002">
      <w:start w:val="1"/>
      <w:numFmt w:val="lowerLetter"/>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3">
    <w:nsid w:val="2C72580B"/>
    <w:multiLevelType w:val="multilevel"/>
    <w:tmpl w:val="A1605A0E"/>
    <w:name w:val="PullOutNumbering"/>
    <w:lvl w:ilvl="0">
      <w:start w:val="1"/>
      <w:numFmt w:val="decimal"/>
      <w:lvlText w:val="%1"/>
      <w:lvlJc w:val="left"/>
      <w:pPr>
        <w:tabs>
          <w:tab w:val="num" w:pos="624"/>
        </w:tabs>
        <w:ind w:left="624" w:hanging="340"/>
      </w:pPr>
      <w:rPr>
        <w:rFonts w:hint="default"/>
      </w:rPr>
    </w:lvl>
    <w:lvl w:ilvl="1">
      <w:start w:val="1"/>
      <w:numFmt w:val="lowerLetter"/>
      <w:lvlText w:val="%2"/>
      <w:lvlJc w:val="left"/>
      <w:pPr>
        <w:tabs>
          <w:tab w:val="num" w:pos="964"/>
        </w:tabs>
        <w:ind w:left="964" w:hanging="340"/>
      </w:pPr>
      <w:rPr>
        <w:rFonts w:hint="default"/>
        <w:color w:val="auto"/>
      </w:rPr>
    </w:lvl>
    <w:lvl w:ilvl="2">
      <w:start w:val="1"/>
      <w:numFmt w:val="lowerRoman"/>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nsid w:val="38723AD4"/>
    <w:multiLevelType w:val="multilevel"/>
    <w:tmpl w:val="CC2400A2"/>
    <w:name w:val="PullOutBullets"/>
    <w:lvl w:ilvl="0">
      <w:start w:val="1"/>
      <w:numFmt w:val="bullet"/>
      <w:lvlText w:val="•"/>
      <w:lvlJc w:val="left"/>
      <w:pPr>
        <w:tabs>
          <w:tab w:val="num" w:pos="624"/>
        </w:tabs>
        <w:ind w:left="624" w:hanging="340"/>
      </w:pPr>
      <w:rPr>
        <w:rFonts w:ascii="Calibri" w:hAnsi="Calibri" w:hint="default"/>
        <w:color w:val="auto"/>
        <w:sz w:val="22"/>
      </w:rPr>
    </w:lvl>
    <w:lvl w:ilvl="1">
      <w:start w:val="1"/>
      <w:numFmt w:val="bullet"/>
      <w:lvlText w:val="–"/>
      <w:lvlJc w:val="left"/>
      <w:pPr>
        <w:tabs>
          <w:tab w:val="num" w:pos="964"/>
        </w:tabs>
        <w:ind w:left="964" w:hanging="340"/>
      </w:pPr>
      <w:rPr>
        <w:rFonts w:ascii="Calibri" w:hAnsi="Calibri" w:hint="default"/>
        <w:color w:val="auto"/>
        <w:sz w:val="22"/>
      </w:rPr>
    </w:lvl>
    <w:lvl w:ilvl="2">
      <w:start w:val="1"/>
      <w:numFmt w:val="bullet"/>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nsid w:val="3FA54DC2"/>
    <w:multiLevelType w:val="multilevel"/>
    <w:tmpl w:val="9BE41134"/>
    <w:lvl w:ilvl="0">
      <w:start w:val="1"/>
      <w:numFmt w:val="bullet"/>
      <w:pStyle w:val="PullOutBoxBullet"/>
      <w:lvlText w:val="•"/>
      <w:lvlJc w:val="left"/>
      <w:pPr>
        <w:ind w:left="567" w:hanging="283"/>
      </w:pPr>
      <w:rPr>
        <w:rFonts w:ascii="Calibri" w:hAnsi="Calibri" w:hint="default"/>
      </w:rPr>
    </w:lvl>
    <w:lvl w:ilvl="1">
      <w:start w:val="1"/>
      <w:numFmt w:val="bullet"/>
      <w:pStyle w:val="PullOutBoxBullet2"/>
      <w:lvlText w:val="–"/>
      <w:lvlJc w:val="left"/>
      <w:pPr>
        <w:ind w:left="851" w:hanging="283"/>
      </w:pPr>
      <w:rPr>
        <w:rFonts w:ascii="Calibri" w:hAnsi="Calibri" w:hint="default"/>
      </w:rPr>
    </w:lvl>
    <w:lvl w:ilvl="2">
      <w:start w:val="1"/>
      <w:numFmt w:val="bullet"/>
      <w:pStyle w:val="PullOutBoxBullet3"/>
      <w:lvlText w:val=""/>
      <w:lvlJc w:val="left"/>
      <w:pPr>
        <w:ind w:left="1135" w:hanging="283"/>
      </w:pPr>
      <w:rPr>
        <w:rFonts w:ascii="Wingdings" w:hAnsi="Wingdings"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cs="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cs="Courier New" w:hint="default"/>
      </w:rPr>
    </w:lvl>
    <w:lvl w:ilvl="8">
      <w:start w:val="1"/>
      <w:numFmt w:val="bullet"/>
      <w:lvlText w:val=""/>
      <w:lvlJc w:val="left"/>
      <w:pPr>
        <w:ind w:left="2839" w:hanging="283"/>
      </w:pPr>
      <w:rPr>
        <w:rFonts w:ascii="Wingdings" w:hAnsi="Wingdings" w:hint="default"/>
      </w:rPr>
    </w:lvl>
  </w:abstractNum>
  <w:abstractNum w:abstractNumId="16">
    <w:nsid w:val="4B5427C9"/>
    <w:multiLevelType w:val="hybridMultilevel"/>
    <w:tmpl w:val="E9D897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3750991"/>
    <w:multiLevelType w:val="multilevel"/>
    <w:tmpl w:val="3A0AFD7E"/>
    <w:name w:val="NumberedList2"/>
    <w:lvl w:ilvl="0">
      <w:start w:val="1"/>
      <w:numFmt w:val="decimal"/>
      <w:pStyle w:val="ListNumber"/>
      <w:lvlText w:val="%1"/>
      <w:lvlJc w:val="left"/>
      <w:pPr>
        <w:tabs>
          <w:tab w:val="num" w:pos="852"/>
        </w:tabs>
        <w:ind w:left="852" w:hanging="284"/>
      </w:pPr>
      <w:rPr>
        <w:rFonts w:hint="default"/>
      </w:rPr>
    </w:lvl>
    <w:lvl w:ilvl="1">
      <w:start w:val="1"/>
      <w:numFmt w:val="lowerLetter"/>
      <w:pStyle w:val="ListNumber2"/>
      <w:lvlText w:val="%2"/>
      <w:lvlJc w:val="left"/>
      <w:pPr>
        <w:tabs>
          <w:tab w:val="num" w:pos="1135"/>
        </w:tabs>
        <w:ind w:left="1136" w:hanging="284"/>
      </w:pPr>
      <w:rPr>
        <w:rFonts w:hint="default"/>
      </w:rPr>
    </w:lvl>
    <w:lvl w:ilvl="2">
      <w:start w:val="1"/>
      <w:numFmt w:val="lowerRoman"/>
      <w:pStyle w:val="ListNumber3"/>
      <w:lvlText w:val="%3"/>
      <w:lvlJc w:val="left"/>
      <w:pPr>
        <w:tabs>
          <w:tab w:val="num" w:pos="1419"/>
        </w:tabs>
        <w:ind w:left="1420" w:hanging="284"/>
      </w:pPr>
      <w:rPr>
        <w:rFonts w:hint="default"/>
      </w:rPr>
    </w:lvl>
    <w:lvl w:ilvl="3">
      <w:start w:val="1"/>
      <w:numFmt w:val="upperLetter"/>
      <w:pStyle w:val="ListNumber4"/>
      <w:lvlText w:val="%4"/>
      <w:lvlJc w:val="left"/>
      <w:pPr>
        <w:tabs>
          <w:tab w:val="num" w:pos="1702"/>
        </w:tabs>
        <w:ind w:left="1704" w:hanging="284"/>
      </w:pPr>
      <w:rPr>
        <w:rFonts w:hint="default"/>
      </w:rPr>
    </w:lvl>
    <w:lvl w:ilvl="4">
      <w:start w:val="1"/>
      <w:numFmt w:val="upperRoman"/>
      <w:pStyle w:val="ListNumber5"/>
      <w:lvlText w:val="%5"/>
      <w:lvlJc w:val="left"/>
      <w:pPr>
        <w:tabs>
          <w:tab w:val="num" w:pos="1986"/>
        </w:tabs>
        <w:ind w:left="1988" w:hanging="284"/>
      </w:pPr>
      <w:rPr>
        <w:rFonts w:hint="default"/>
      </w:rPr>
    </w:lvl>
    <w:lvl w:ilvl="5">
      <w:start w:val="1"/>
      <w:numFmt w:val="lowerRoman"/>
      <w:lvlText w:val="(%6)"/>
      <w:lvlJc w:val="left"/>
      <w:pPr>
        <w:ind w:left="2272" w:hanging="284"/>
      </w:pPr>
      <w:rPr>
        <w:rFonts w:hint="default"/>
      </w:rPr>
    </w:lvl>
    <w:lvl w:ilvl="6">
      <w:start w:val="1"/>
      <w:numFmt w:val="decimal"/>
      <w:lvlText w:val="%7."/>
      <w:lvlJc w:val="left"/>
      <w:pPr>
        <w:ind w:left="2556" w:hanging="284"/>
      </w:pPr>
      <w:rPr>
        <w:rFonts w:hint="default"/>
      </w:rPr>
    </w:lvl>
    <w:lvl w:ilvl="7">
      <w:start w:val="1"/>
      <w:numFmt w:val="lowerLetter"/>
      <w:lvlText w:val="%8."/>
      <w:lvlJc w:val="left"/>
      <w:pPr>
        <w:ind w:left="2840" w:hanging="284"/>
      </w:pPr>
      <w:rPr>
        <w:rFonts w:hint="default"/>
      </w:rPr>
    </w:lvl>
    <w:lvl w:ilvl="8">
      <w:start w:val="1"/>
      <w:numFmt w:val="lowerRoman"/>
      <w:lvlText w:val="%9."/>
      <w:lvlJc w:val="left"/>
      <w:pPr>
        <w:ind w:left="3124" w:hanging="284"/>
      </w:pPr>
      <w:rPr>
        <w:rFonts w:hint="default"/>
      </w:rPr>
    </w:lvl>
  </w:abstractNum>
  <w:abstractNum w:abstractNumId="18">
    <w:nsid w:val="5C7B378A"/>
    <w:multiLevelType w:val="multilevel"/>
    <w:tmpl w:val="26F84EF2"/>
    <w:name w:val="Bullets"/>
    <w:lvl w:ilvl="0">
      <w:start w:val="1"/>
      <w:numFmt w:val="bullet"/>
      <w:pStyle w:val="ListBullet"/>
      <w:lvlText w:val="•"/>
      <w:lvlJc w:val="left"/>
      <w:pPr>
        <w:tabs>
          <w:tab w:val="num" w:pos="284"/>
        </w:tabs>
        <w:ind w:left="284" w:hanging="284"/>
      </w:pPr>
      <w:rPr>
        <w:rFonts w:ascii="Calibri" w:hAnsi="Calibri" w:hint="default"/>
        <w:color w:val="auto"/>
      </w:rPr>
    </w:lvl>
    <w:lvl w:ilvl="1">
      <w:start w:val="1"/>
      <w:numFmt w:val="bullet"/>
      <w:pStyle w:val="ListBullet2"/>
      <w:lvlText w:val="‒"/>
      <w:lvlJc w:val="left"/>
      <w:pPr>
        <w:tabs>
          <w:tab w:val="num" w:pos="567"/>
        </w:tabs>
        <w:ind w:left="568" w:hanging="284"/>
      </w:pPr>
      <w:rPr>
        <w:rFonts w:ascii="Calibri" w:hAnsi="Calibri" w:hint="default"/>
        <w:color w:val="auto"/>
      </w:rPr>
    </w:lvl>
    <w:lvl w:ilvl="2">
      <w:start w:val="1"/>
      <w:numFmt w:val="bullet"/>
      <w:pStyle w:val="ListBullet3"/>
      <w:lvlText w:val="s"/>
      <w:lvlJc w:val="left"/>
      <w:pPr>
        <w:tabs>
          <w:tab w:val="num" w:pos="851"/>
        </w:tabs>
        <w:ind w:left="852" w:hanging="284"/>
      </w:pPr>
      <w:rPr>
        <w:rFonts w:ascii="Wingdings" w:hAnsi="Wingding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nsid w:val="5D0540A9"/>
    <w:multiLevelType w:val="multilevel"/>
    <w:tmpl w:val="7E063F80"/>
    <w:name w:val="AppendicesNumbering"/>
    <w:lvl w:ilvl="0">
      <w:start w:val="1"/>
      <w:numFmt w:val="upperLetter"/>
      <w:pStyle w:val="Heading8"/>
      <w:suff w:val="nothing"/>
      <w:lvlText w:val="Appendix %1"/>
      <w:lvlJc w:val="left"/>
      <w:pPr>
        <w:ind w:left="0" w:firstLine="0"/>
      </w:pPr>
      <w:rPr>
        <w:rFonts w:ascii="Calibri Light" w:hAnsi="Calibri Light" w:hint="default"/>
        <w:b w:val="0"/>
        <w:i w:val="0"/>
        <w:sz w:val="52"/>
      </w:rPr>
    </w:lvl>
    <w:lvl w:ilvl="1">
      <w:start w:val="1"/>
      <w:numFmt w:val="decimal"/>
      <w:pStyle w:val="Heading9"/>
      <w:lvlText w:val="%1%2."/>
      <w:lvlJc w:val="left"/>
      <w:pPr>
        <w:tabs>
          <w:tab w:val="num" w:pos="765"/>
        </w:tabs>
        <w:ind w:left="765" w:hanging="765"/>
      </w:pPr>
      <w:rPr>
        <w:rFonts w:hint="default"/>
        <w:sz w:val="28"/>
      </w:rPr>
    </w:lvl>
    <w:lvl w:ilvl="2">
      <w:start w:val="1"/>
      <w:numFmt w:val="decimal"/>
      <w:pStyle w:val="AppendixHeading2"/>
      <w:lvlText w:val="%1%2.%3"/>
      <w:lvlJc w:val="left"/>
      <w:pPr>
        <w:tabs>
          <w:tab w:val="num" w:pos="765"/>
        </w:tabs>
        <w:ind w:left="765" w:hanging="765"/>
      </w:pPr>
      <w:rPr>
        <w:rFonts w:hint="default"/>
      </w:rPr>
    </w:lvl>
    <w:lvl w:ilvl="3">
      <w:start w:val="1"/>
      <w:numFmt w:val="decimal"/>
      <w:pStyle w:val="AppendixHeading3"/>
      <w:lvlText w:val="%1%2.%3.%4"/>
      <w:lvlJc w:val="left"/>
      <w:pPr>
        <w:tabs>
          <w:tab w:val="num" w:pos="765"/>
        </w:tabs>
        <w:ind w:left="765" w:hanging="765"/>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20">
    <w:nsid w:val="66E247CC"/>
    <w:multiLevelType w:val="multilevel"/>
    <w:tmpl w:val="68087D48"/>
    <w:name w:val="Bullets22"/>
    <w:lvl w:ilvl="0">
      <w:start w:val="1"/>
      <w:numFmt w:val="bullet"/>
      <w:lvlText w:val="•"/>
      <w:lvlJc w:val="left"/>
      <w:pPr>
        <w:ind w:left="397" w:hanging="397"/>
      </w:pPr>
      <w:rPr>
        <w:rFonts w:ascii="Dada Grotesk" w:hAnsi="Dada Grotesk" w:hint="default"/>
        <w:color w:val="auto"/>
        <w:spacing w:val="0"/>
        <w:sz w:val="19"/>
      </w:rPr>
    </w:lvl>
    <w:lvl w:ilvl="1">
      <w:start w:val="1"/>
      <w:numFmt w:val="lowerLetter"/>
      <w:lvlText w:val="%2"/>
      <w:lvlJc w:val="left"/>
      <w:pPr>
        <w:ind w:left="794" w:hanging="397"/>
      </w:pPr>
      <w:rPr>
        <w:rFonts w:hint="default"/>
        <w:color w:val="auto"/>
        <w:spacing w:val="0"/>
        <w:sz w:val="19"/>
      </w:rPr>
    </w:lvl>
    <w:lvl w:ilvl="2">
      <w:start w:val="1"/>
      <w:numFmt w:val="lowerRoman"/>
      <w:lvlText w:val="%3"/>
      <w:lvlJc w:val="left"/>
      <w:pPr>
        <w:ind w:left="1191" w:hanging="397"/>
      </w:pPr>
      <w:rPr>
        <w:rFonts w:hint="default"/>
        <w:color w:val="auto"/>
        <w:spacing w:val="0"/>
        <w:position w:val="0"/>
        <w:sz w:val="19"/>
        <w:szCs w:val="16"/>
      </w:rPr>
    </w:lvl>
    <w:lvl w:ilvl="3">
      <w:start w:val="1"/>
      <w:numFmt w:val="upperLetter"/>
      <w:lvlText w:val="%4"/>
      <w:lvlJc w:val="left"/>
      <w:pPr>
        <w:ind w:left="1588" w:hanging="397"/>
      </w:pPr>
      <w:rPr>
        <w:rFonts w:hint="default"/>
      </w:rPr>
    </w:lvl>
    <w:lvl w:ilvl="4">
      <w:start w:val="1"/>
      <w:numFmt w:val="upperRoman"/>
      <w:lvlText w:val="%5"/>
      <w:lvlJc w:val="left"/>
      <w:pPr>
        <w:ind w:left="1985" w:hanging="397"/>
      </w:pPr>
      <w:rPr>
        <w:rFonts w:hint="default"/>
      </w:rPr>
    </w:lvl>
    <w:lvl w:ilvl="5">
      <w:start w:val="1"/>
      <w:numFmt w:val="none"/>
      <w:lvlText w:val=""/>
      <w:lvlJc w:val="left"/>
      <w:pPr>
        <w:tabs>
          <w:tab w:val="num" w:pos="-31680"/>
        </w:tabs>
        <w:ind w:left="2382" w:hanging="397"/>
      </w:pPr>
      <w:rPr>
        <w:rFonts w:hint="default"/>
      </w:rPr>
    </w:lvl>
    <w:lvl w:ilvl="6">
      <w:start w:val="1"/>
      <w:numFmt w:val="none"/>
      <w:lvlText w:val=""/>
      <w:lvlJc w:val="left"/>
      <w:pPr>
        <w:tabs>
          <w:tab w:val="num" w:pos="-31680"/>
        </w:tabs>
        <w:ind w:left="2779" w:hanging="397"/>
      </w:pPr>
      <w:rPr>
        <w:rFonts w:hint="default"/>
      </w:rPr>
    </w:lvl>
    <w:lvl w:ilvl="7">
      <w:start w:val="1"/>
      <w:numFmt w:val="none"/>
      <w:lvlText w:val=""/>
      <w:lvlJc w:val="left"/>
      <w:pPr>
        <w:tabs>
          <w:tab w:val="num" w:pos="-31680"/>
        </w:tabs>
        <w:ind w:left="3176" w:hanging="397"/>
      </w:pPr>
      <w:rPr>
        <w:rFonts w:hint="default"/>
      </w:rPr>
    </w:lvl>
    <w:lvl w:ilvl="8">
      <w:start w:val="1"/>
      <w:numFmt w:val="none"/>
      <w:lvlText w:val=""/>
      <w:lvlJc w:val="left"/>
      <w:pPr>
        <w:tabs>
          <w:tab w:val="num" w:pos="-31680"/>
        </w:tabs>
        <w:ind w:left="3573" w:hanging="397"/>
      </w:pPr>
      <w:rPr>
        <w:rFonts w:hint="default"/>
      </w:rPr>
    </w:lvl>
  </w:abstractNum>
  <w:abstractNum w:abstractNumId="21">
    <w:nsid w:val="6B655F8D"/>
    <w:multiLevelType w:val="multilevel"/>
    <w:tmpl w:val="ED00D300"/>
    <w:name w:val="NumberedList"/>
    <w:styleLink w:val="NumberedList"/>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upperLetter"/>
      <w:lvlText w:val="%4"/>
      <w:lvlJc w:val="left"/>
      <w:pPr>
        <w:ind w:left="1136" w:hanging="284"/>
      </w:pPr>
      <w:rPr>
        <w:rFonts w:hint="default"/>
      </w:rPr>
    </w:lvl>
    <w:lvl w:ilvl="4">
      <w:start w:val="1"/>
      <w:numFmt w:val="upperRoman"/>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nsid w:val="6D1D40AC"/>
    <w:multiLevelType w:val="multilevel"/>
    <w:tmpl w:val="2AC4119A"/>
    <w:name w:val="TableNumbering"/>
    <w:lvl w:ilvl="0">
      <w:start w:val="1"/>
      <w:numFmt w:val="decimal"/>
      <w:pStyle w:val="TableTextNumber"/>
      <w:lvlText w:val="%1"/>
      <w:lvlJc w:val="left"/>
      <w:pPr>
        <w:ind w:left="369" w:hanging="284"/>
      </w:pPr>
      <w:rPr>
        <w:rFonts w:hint="default"/>
      </w:rPr>
    </w:lvl>
    <w:lvl w:ilvl="1">
      <w:start w:val="1"/>
      <w:numFmt w:val="lowerLetter"/>
      <w:pStyle w:val="TableTextNumber2"/>
      <w:lvlText w:val="%2"/>
      <w:lvlJc w:val="left"/>
      <w:pPr>
        <w:ind w:left="653" w:hanging="284"/>
      </w:pPr>
      <w:rPr>
        <w:rFonts w:hint="default"/>
      </w:rPr>
    </w:lvl>
    <w:lvl w:ilvl="2">
      <w:start w:val="1"/>
      <w:numFmt w:val="lowerRoman"/>
      <w:pStyle w:val="TableTextNumber3"/>
      <w:lvlText w:val="%3"/>
      <w:lvlJc w:val="left"/>
      <w:pPr>
        <w:tabs>
          <w:tab w:val="num" w:pos="1191"/>
        </w:tabs>
        <w:ind w:left="937" w:hanging="284"/>
      </w:pPr>
      <w:rPr>
        <w:rFonts w:hint="default"/>
      </w:rPr>
    </w:lvl>
    <w:lvl w:ilvl="3">
      <w:start w:val="1"/>
      <w:numFmt w:val="none"/>
      <w:lvlText w:val=""/>
      <w:lvlJc w:val="left"/>
      <w:pPr>
        <w:tabs>
          <w:tab w:val="num" w:pos="1588"/>
        </w:tabs>
        <w:ind w:left="1221" w:hanging="284"/>
      </w:pPr>
      <w:rPr>
        <w:rFonts w:hint="default"/>
      </w:rPr>
    </w:lvl>
    <w:lvl w:ilvl="4">
      <w:start w:val="1"/>
      <w:numFmt w:val="none"/>
      <w:lvlText w:val=""/>
      <w:lvlJc w:val="left"/>
      <w:pPr>
        <w:tabs>
          <w:tab w:val="num" w:pos="1985"/>
        </w:tabs>
        <w:ind w:left="1505" w:hanging="284"/>
      </w:pPr>
      <w:rPr>
        <w:rFonts w:hint="default"/>
      </w:rPr>
    </w:lvl>
    <w:lvl w:ilvl="5">
      <w:start w:val="1"/>
      <w:numFmt w:val="none"/>
      <w:lvlText w:val=""/>
      <w:lvlJc w:val="left"/>
      <w:pPr>
        <w:tabs>
          <w:tab w:val="num" w:pos="2382"/>
        </w:tabs>
        <w:ind w:left="1789" w:hanging="284"/>
      </w:pPr>
      <w:rPr>
        <w:rFonts w:hint="default"/>
      </w:rPr>
    </w:lvl>
    <w:lvl w:ilvl="6">
      <w:start w:val="1"/>
      <w:numFmt w:val="none"/>
      <w:lvlText w:val=""/>
      <w:lvlJc w:val="left"/>
      <w:pPr>
        <w:tabs>
          <w:tab w:val="num" w:pos="2779"/>
        </w:tabs>
        <w:ind w:left="2073" w:hanging="284"/>
      </w:pPr>
      <w:rPr>
        <w:rFonts w:hint="default"/>
      </w:rPr>
    </w:lvl>
    <w:lvl w:ilvl="7">
      <w:start w:val="1"/>
      <w:numFmt w:val="none"/>
      <w:lvlText w:val=""/>
      <w:lvlJc w:val="left"/>
      <w:pPr>
        <w:tabs>
          <w:tab w:val="num" w:pos="3176"/>
        </w:tabs>
        <w:ind w:left="2357" w:hanging="284"/>
      </w:pPr>
      <w:rPr>
        <w:rFonts w:hint="default"/>
      </w:rPr>
    </w:lvl>
    <w:lvl w:ilvl="8">
      <w:start w:val="1"/>
      <w:numFmt w:val="none"/>
      <w:lvlText w:val=""/>
      <w:lvlJc w:val="left"/>
      <w:pPr>
        <w:tabs>
          <w:tab w:val="num" w:pos="3573"/>
        </w:tabs>
        <w:ind w:left="2641" w:hanging="284"/>
      </w:pPr>
      <w:rPr>
        <w:rFonts w:hint="default"/>
      </w:rPr>
    </w:lvl>
  </w:abstractNum>
  <w:abstractNum w:abstractNumId="23">
    <w:nsid w:val="6E644AF7"/>
    <w:multiLevelType w:val="multilevel"/>
    <w:tmpl w:val="9C96D62A"/>
    <w:name w:val="BulletedList"/>
    <w:styleLink w:val="Bullets"/>
    <w:lvl w:ilvl="0">
      <w:start w:val="1"/>
      <w:numFmt w:val="bullet"/>
      <w:lvlText w:val="•"/>
      <w:lvlJc w:val="left"/>
      <w:pPr>
        <w:ind w:left="284" w:hanging="284"/>
      </w:pPr>
      <w:rPr>
        <w:rFonts w:ascii="Calibri" w:hAnsi="Calibri" w:hint="default"/>
        <w:color w:val="auto"/>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4">
    <w:nsid w:val="70250B03"/>
    <w:multiLevelType w:val="multilevel"/>
    <w:tmpl w:val="880A672E"/>
    <w:name w:val="QuoteBullets"/>
    <w:lvl w:ilvl="0">
      <w:start w:val="1"/>
      <w:numFmt w:val="bullet"/>
      <w:pStyle w:val="QuoteBullet"/>
      <w:lvlText w:val="•"/>
      <w:lvlJc w:val="left"/>
      <w:pPr>
        <w:ind w:left="567" w:hanging="283"/>
      </w:pPr>
      <w:rPr>
        <w:rFonts w:ascii="Calibri" w:hAnsi="Calibri" w:hint="default"/>
        <w:color w:val="auto"/>
        <w:sz w:val="22"/>
      </w:rPr>
    </w:lvl>
    <w:lvl w:ilvl="1">
      <w:start w:val="1"/>
      <w:numFmt w:val="bullet"/>
      <w:pStyle w:val="QuoteBullet2"/>
      <w:lvlText w:val="‒"/>
      <w:lvlJc w:val="left"/>
      <w:pPr>
        <w:ind w:left="851" w:hanging="283"/>
      </w:pPr>
      <w:rPr>
        <w:rFonts w:ascii="Calibri" w:hAnsi="Calibri" w:hint="default"/>
        <w:color w:val="auto"/>
      </w:rPr>
    </w:lvl>
    <w:lvl w:ilvl="2">
      <w:start w:val="1"/>
      <w:numFmt w:val="bullet"/>
      <w:lvlText w:val="‒"/>
      <w:lvlJc w:val="left"/>
      <w:pPr>
        <w:tabs>
          <w:tab w:val="num" w:pos="1418"/>
        </w:tabs>
        <w:ind w:left="1135" w:hanging="283"/>
      </w:pPr>
      <w:rPr>
        <w:rFonts w:ascii="Calibri" w:hAnsi="Calibri" w:hint="default"/>
        <w:color w:val="9778B4" w:themeColor="text2"/>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Wingdings" w:hAnsi="Wingdings"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25">
    <w:nsid w:val="74275C4B"/>
    <w:multiLevelType w:val="multilevel"/>
    <w:tmpl w:val="0C09001D"/>
    <w:name w:val="Bullets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839021E"/>
    <w:multiLevelType w:val="multilevel"/>
    <w:tmpl w:val="464425F6"/>
    <w:name w:val="ListNumbering"/>
    <w:lvl w:ilvl="0">
      <w:start w:val="1"/>
      <w:numFmt w:val="decimal"/>
      <w:lvlText w:val="%1"/>
      <w:lvlJc w:val="left"/>
      <w:pPr>
        <w:ind w:left="397" w:hanging="397"/>
      </w:pPr>
      <w:rPr>
        <w:rFonts w:hint="default"/>
        <w:color w:val="auto"/>
        <w:spacing w:val="0"/>
        <w:sz w:val="19"/>
      </w:rPr>
    </w:lvl>
    <w:lvl w:ilvl="1">
      <w:start w:val="1"/>
      <w:numFmt w:val="lowerLetter"/>
      <w:lvlText w:val="%2"/>
      <w:lvlJc w:val="left"/>
      <w:pPr>
        <w:ind w:left="794" w:hanging="397"/>
      </w:pPr>
      <w:rPr>
        <w:rFonts w:hint="default"/>
        <w:color w:val="auto"/>
        <w:spacing w:val="0"/>
        <w:sz w:val="19"/>
      </w:rPr>
    </w:lvl>
    <w:lvl w:ilvl="2">
      <w:start w:val="1"/>
      <w:numFmt w:val="lowerRoman"/>
      <w:lvlText w:val="%3"/>
      <w:lvlJc w:val="left"/>
      <w:pPr>
        <w:ind w:left="1191" w:hanging="397"/>
      </w:pPr>
      <w:rPr>
        <w:rFonts w:hint="default"/>
        <w:color w:val="auto"/>
        <w:spacing w:val="0"/>
        <w:position w:val="0"/>
        <w:sz w:val="19"/>
        <w:szCs w:val="16"/>
      </w:rPr>
    </w:lvl>
    <w:lvl w:ilvl="3">
      <w:start w:val="1"/>
      <w:numFmt w:val="upperLetter"/>
      <w:lvlText w:val="%4"/>
      <w:lvlJc w:val="left"/>
      <w:pPr>
        <w:ind w:left="1588" w:hanging="397"/>
      </w:pPr>
      <w:rPr>
        <w:rFonts w:hint="default"/>
      </w:rPr>
    </w:lvl>
    <w:lvl w:ilvl="4">
      <w:start w:val="1"/>
      <w:numFmt w:val="upperRoman"/>
      <w:lvlText w:val="%5"/>
      <w:lvlJc w:val="left"/>
      <w:pPr>
        <w:ind w:left="1985" w:hanging="397"/>
      </w:pPr>
      <w:rPr>
        <w:rFonts w:hint="default"/>
      </w:rPr>
    </w:lvl>
    <w:lvl w:ilvl="5">
      <w:start w:val="1"/>
      <w:numFmt w:val="none"/>
      <w:lvlText w:val=""/>
      <w:lvlJc w:val="left"/>
      <w:pPr>
        <w:tabs>
          <w:tab w:val="num" w:pos="-31680"/>
        </w:tabs>
        <w:ind w:left="2382" w:hanging="397"/>
      </w:pPr>
      <w:rPr>
        <w:rFonts w:hint="default"/>
      </w:rPr>
    </w:lvl>
    <w:lvl w:ilvl="6">
      <w:start w:val="1"/>
      <w:numFmt w:val="none"/>
      <w:lvlText w:val=""/>
      <w:lvlJc w:val="left"/>
      <w:pPr>
        <w:tabs>
          <w:tab w:val="num" w:pos="-31680"/>
        </w:tabs>
        <w:ind w:left="2779" w:hanging="397"/>
      </w:pPr>
      <w:rPr>
        <w:rFonts w:hint="default"/>
      </w:rPr>
    </w:lvl>
    <w:lvl w:ilvl="7">
      <w:start w:val="1"/>
      <w:numFmt w:val="none"/>
      <w:lvlText w:val=""/>
      <w:lvlJc w:val="left"/>
      <w:pPr>
        <w:tabs>
          <w:tab w:val="num" w:pos="-31680"/>
        </w:tabs>
        <w:ind w:left="3176" w:hanging="397"/>
      </w:pPr>
      <w:rPr>
        <w:rFonts w:hint="default"/>
      </w:rPr>
    </w:lvl>
    <w:lvl w:ilvl="8">
      <w:start w:val="1"/>
      <w:numFmt w:val="none"/>
      <w:lvlText w:val=""/>
      <w:lvlJc w:val="left"/>
      <w:pPr>
        <w:tabs>
          <w:tab w:val="num" w:pos="-31680"/>
        </w:tabs>
        <w:ind w:left="3573" w:hanging="397"/>
      </w:pPr>
      <w:rPr>
        <w:rFonts w:hint="default"/>
      </w:rPr>
    </w:lvl>
  </w:abstractNum>
  <w:abstractNum w:abstractNumId="27">
    <w:nsid w:val="7CA3511E"/>
    <w:multiLevelType w:val="hybridMultilevel"/>
    <w:tmpl w:val="72E410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26"/>
  </w:num>
  <w:num w:numId="4">
    <w:abstractNumId w:val="24"/>
  </w:num>
  <w:num w:numId="5">
    <w:abstractNumId w:val="7"/>
  </w:num>
  <w:num w:numId="6">
    <w:abstractNumId w:val="9"/>
  </w:num>
  <w:num w:numId="7">
    <w:abstractNumId w:val="22"/>
  </w:num>
  <w:num w:numId="8">
    <w:abstractNumId w:val="6"/>
  </w:num>
  <w:num w:numId="9">
    <w:abstractNumId w:val="15"/>
  </w:num>
  <w:num w:numId="10">
    <w:abstractNumId w:val="10"/>
  </w:num>
  <w:num w:numId="11">
    <w:abstractNumId w:val="11"/>
  </w:num>
  <w:num w:numId="12">
    <w:abstractNumId w:val="20"/>
  </w:num>
  <w:num w:numId="13">
    <w:abstractNumId w:val="25"/>
  </w:num>
  <w:num w:numId="14">
    <w:abstractNumId w:val="23"/>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1"/>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0"/>
  </w:num>
  <w:num w:numId="23">
    <w:abstractNumId w:val="17"/>
  </w:num>
  <w:num w:numId="24">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3"/>
  </w:num>
  <w:num w:numId="27">
    <w:abstractNumId w:val="27"/>
  </w:num>
  <w:num w:numId="28">
    <w:abstractNumId w:val="16"/>
  </w:num>
  <w:num w:numId="29">
    <w:abstractNumId w:val="2"/>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ces" w:val="False"/>
    <w:docVar w:name="AppendixName" w:val="Appendix"/>
    <w:docVar w:name="CoverDesign" w:val=" "/>
    <w:docVar w:name="Disclaimer" w:val="True"/>
    <w:docVar w:name="Foreword" w:val="True"/>
    <w:docVar w:name="Heading1Numbered" w:val="True"/>
    <w:docVar w:name="Heading2Numbered" w:val="True"/>
    <w:docVar w:name="Heading3Numbered" w:val="True"/>
    <w:docVar w:name="IsWordingOverview" w:val="True"/>
    <w:docVar w:name="NumberedBodyText" w:val="False"/>
    <w:docVar w:name="optHeading1OddPage" w:val="True"/>
    <w:docVar w:name="Overview" w:val="False"/>
    <w:docVar w:name="PageSetup" w:val="Double"/>
    <w:docVar w:name="RibbonLabel" w:val="Appendix"/>
    <w:docVar w:name="TOC" w:val="True"/>
    <w:docVar w:name="TOCNew" w:val="True"/>
    <w:docVar w:name="Version" w:val="Version 1"/>
  </w:docVars>
  <w:rsids>
    <w:rsidRoot w:val="00057104"/>
    <w:rsid w:val="0000322C"/>
    <w:rsid w:val="00003845"/>
    <w:rsid w:val="00003CDD"/>
    <w:rsid w:val="000118B4"/>
    <w:rsid w:val="00012996"/>
    <w:rsid w:val="00013785"/>
    <w:rsid w:val="00015A2B"/>
    <w:rsid w:val="0001633B"/>
    <w:rsid w:val="000165A7"/>
    <w:rsid w:val="000168A7"/>
    <w:rsid w:val="000205C6"/>
    <w:rsid w:val="00023A6F"/>
    <w:rsid w:val="00023B79"/>
    <w:rsid w:val="000278D0"/>
    <w:rsid w:val="000279C5"/>
    <w:rsid w:val="00027E62"/>
    <w:rsid w:val="000307C8"/>
    <w:rsid w:val="00030F73"/>
    <w:rsid w:val="0003142D"/>
    <w:rsid w:val="00031D19"/>
    <w:rsid w:val="00033F36"/>
    <w:rsid w:val="00034A4F"/>
    <w:rsid w:val="00035ADE"/>
    <w:rsid w:val="000365C4"/>
    <w:rsid w:val="00036ACC"/>
    <w:rsid w:val="00040085"/>
    <w:rsid w:val="00041523"/>
    <w:rsid w:val="00041AF2"/>
    <w:rsid w:val="0004224B"/>
    <w:rsid w:val="00042B78"/>
    <w:rsid w:val="00042BB6"/>
    <w:rsid w:val="000459CF"/>
    <w:rsid w:val="00046226"/>
    <w:rsid w:val="00046E74"/>
    <w:rsid w:val="0004769D"/>
    <w:rsid w:val="0005014C"/>
    <w:rsid w:val="0005330D"/>
    <w:rsid w:val="0005352B"/>
    <w:rsid w:val="0005397B"/>
    <w:rsid w:val="0005508A"/>
    <w:rsid w:val="000557A7"/>
    <w:rsid w:val="00055805"/>
    <w:rsid w:val="00056154"/>
    <w:rsid w:val="00056CB3"/>
    <w:rsid w:val="00056E7B"/>
    <w:rsid w:val="00057104"/>
    <w:rsid w:val="0005727F"/>
    <w:rsid w:val="000617E1"/>
    <w:rsid w:val="00062D99"/>
    <w:rsid w:val="00063678"/>
    <w:rsid w:val="00067A28"/>
    <w:rsid w:val="00071876"/>
    <w:rsid w:val="0007260F"/>
    <w:rsid w:val="00072B60"/>
    <w:rsid w:val="000805D5"/>
    <w:rsid w:val="0008103B"/>
    <w:rsid w:val="0008327E"/>
    <w:rsid w:val="00085402"/>
    <w:rsid w:val="00085F97"/>
    <w:rsid w:val="00086ADA"/>
    <w:rsid w:val="00086FD2"/>
    <w:rsid w:val="0008724C"/>
    <w:rsid w:val="000878ED"/>
    <w:rsid w:val="000912AC"/>
    <w:rsid w:val="00091755"/>
    <w:rsid w:val="00091D53"/>
    <w:rsid w:val="00092A33"/>
    <w:rsid w:val="00092B6C"/>
    <w:rsid w:val="00093EB9"/>
    <w:rsid w:val="00094294"/>
    <w:rsid w:val="00095298"/>
    <w:rsid w:val="00096C92"/>
    <w:rsid w:val="000A2FEC"/>
    <w:rsid w:val="000A348F"/>
    <w:rsid w:val="000A3878"/>
    <w:rsid w:val="000A596A"/>
    <w:rsid w:val="000A65BF"/>
    <w:rsid w:val="000B3071"/>
    <w:rsid w:val="000B3F9F"/>
    <w:rsid w:val="000B58CC"/>
    <w:rsid w:val="000B5D81"/>
    <w:rsid w:val="000B6942"/>
    <w:rsid w:val="000B7BDC"/>
    <w:rsid w:val="000C09FA"/>
    <w:rsid w:val="000C37A9"/>
    <w:rsid w:val="000C455B"/>
    <w:rsid w:val="000C6728"/>
    <w:rsid w:val="000C702E"/>
    <w:rsid w:val="000C7426"/>
    <w:rsid w:val="000D15E9"/>
    <w:rsid w:val="000D16F2"/>
    <w:rsid w:val="000D174E"/>
    <w:rsid w:val="000D2996"/>
    <w:rsid w:val="000D2B9D"/>
    <w:rsid w:val="000D3182"/>
    <w:rsid w:val="000D45C4"/>
    <w:rsid w:val="000E18F3"/>
    <w:rsid w:val="000E266E"/>
    <w:rsid w:val="000E7369"/>
    <w:rsid w:val="000E77E5"/>
    <w:rsid w:val="000F03CB"/>
    <w:rsid w:val="000F1515"/>
    <w:rsid w:val="000F16B5"/>
    <w:rsid w:val="000F2422"/>
    <w:rsid w:val="000F3E27"/>
    <w:rsid w:val="000F4837"/>
    <w:rsid w:val="000F5808"/>
    <w:rsid w:val="000F616E"/>
    <w:rsid w:val="00102C19"/>
    <w:rsid w:val="001031CD"/>
    <w:rsid w:val="00104F78"/>
    <w:rsid w:val="00106CAC"/>
    <w:rsid w:val="00110D43"/>
    <w:rsid w:val="00111972"/>
    <w:rsid w:val="00112010"/>
    <w:rsid w:val="00112F25"/>
    <w:rsid w:val="001159EA"/>
    <w:rsid w:val="001179E9"/>
    <w:rsid w:val="00123889"/>
    <w:rsid w:val="00124252"/>
    <w:rsid w:val="00125410"/>
    <w:rsid w:val="00126406"/>
    <w:rsid w:val="00126641"/>
    <w:rsid w:val="00126CAB"/>
    <w:rsid w:val="00130858"/>
    <w:rsid w:val="0013240B"/>
    <w:rsid w:val="00136C26"/>
    <w:rsid w:val="0014059F"/>
    <w:rsid w:val="00141551"/>
    <w:rsid w:val="001417CE"/>
    <w:rsid w:val="0014244D"/>
    <w:rsid w:val="00142520"/>
    <w:rsid w:val="0014479F"/>
    <w:rsid w:val="001453FF"/>
    <w:rsid w:val="0014610C"/>
    <w:rsid w:val="00146675"/>
    <w:rsid w:val="001507F8"/>
    <w:rsid w:val="00151123"/>
    <w:rsid w:val="001525D6"/>
    <w:rsid w:val="00154DC5"/>
    <w:rsid w:val="001577B2"/>
    <w:rsid w:val="00160C8D"/>
    <w:rsid w:val="00161E45"/>
    <w:rsid w:val="001629C0"/>
    <w:rsid w:val="00164505"/>
    <w:rsid w:val="001649ED"/>
    <w:rsid w:val="00164E63"/>
    <w:rsid w:val="00165122"/>
    <w:rsid w:val="00165854"/>
    <w:rsid w:val="00166190"/>
    <w:rsid w:val="00172E51"/>
    <w:rsid w:val="00173DFD"/>
    <w:rsid w:val="0017524A"/>
    <w:rsid w:val="00175E6F"/>
    <w:rsid w:val="00176036"/>
    <w:rsid w:val="00180292"/>
    <w:rsid w:val="00180596"/>
    <w:rsid w:val="00180FF9"/>
    <w:rsid w:val="00181314"/>
    <w:rsid w:val="00181950"/>
    <w:rsid w:val="001830F3"/>
    <w:rsid w:val="00183202"/>
    <w:rsid w:val="00183BE6"/>
    <w:rsid w:val="0018548A"/>
    <w:rsid w:val="001855E4"/>
    <w:rsid w:val="001901A1"/>
    <w:rsid w:val="0019210C"/>
    <w:rsid w:val="00193386"/>
    <w:rsid w:val="001938AF"/>
    <w:rsid w:val="00193FCD"/>
    <w:rsid w:val="00194F12"/>
    <w:rsid w:val="00195228"/>
    <w:rsid w:val="00195248"/>
    <w:rsid w:val="00195696"/>
    <w:rsid w:val="00196220"/>
    <w:rsid w:val="00196532"/>
    <w:rsid w:val="001969C5"/>
    <w:rsid w:val="00197868"/>
    <w:rsid w:val="001A12F0"/>
    <w:rsid w:val="001A143F"/>
    <w:rsid w:val="001A1EFC"/>
    <w:rsid w:val="001A25BA"/>
    <w:rsid w:val="001A48EF"/>
    <w:rsid w:val="001A49CC"/>
    <w:rsid w:val="001A5553"/>
    <w:rsid w:val="001A5941"/>
    <w:rsid w:val="001A716E"/>
    <w:rsid w:val="001B0565"/>
    <w:rsid w:val="001B243A"/>
    <w:rsid w:val="001B2C65"/>
    <w:rsid w:val="001B3872"/>
    <w:rsid w:val="001B3B1D"/>
    <w:rsid w:val="001B5698"/>
    <w:rsid w:val="001B7058"/>
    <w:rsid w:val="001B7D16"/>
    <w:rsid w:val="001C1F9D"/>
    <w:rsid w:val="001C3A4F"/>
    <w:rsid w:val="001C4040"/>
    <w:rsid w:val="001C4121"/>
    <w:rsid w:val="001C48DE"/>
    <w:rsid w:val="001C5129"/>
    <w:rsid w:val="001C5D01"/>
    <w:rsid w:val="001C5EE0"/>
    <w:rsid w:val="001C67C7"/>
    <w:rsid w:val="001C69EC"/>
    <w:rsid w:val="001C6EB4"/>
    <w:rsid w:val="001D0C57"/>
    <w:rsid w:val="001D1435"/>
    <w:rsid w:val="001D2BC3"/>
    <w:rsid w:val="001D30D8"/>
    <w:rsid w:val="001D4894"/>
    <w:rsid w:val="001D52E3"/>
    <w:rsid w:val="001D576F"/>
    <w:rsid w:val="001D6282"/>
    <w:rsid w:val="001D6C52"/>
    <w:rsid w:val="001D7C29"/>
    <w:rsid w:val="001E0475"/>
    <w:rsid w:val="001E4949"/>
    <w:rsid w:val="001E76FB"/>
    <w:rsid w:val="001F036F"/>
    <w:rsid w:val="001F2D3E"/>
    <w:rsid w:val="001F50D3"/>
    <w:rsid w:val="001F5C90"/>
    <w:rsid w:val="001F682A"/>
    <w:rsid w:val="001F767C"/>
    <w:rsid w:val="001F78AC"/>
    <w:rsid w:val="001F7F29"/>
    <w:rsid w:val="00200D7A"/>
    <w:rsid w:val="002025E6"/>
    <w:rsid w:val="0020606E"/>
    <w:rsid w:val="00207FBC"/>
    <w:rsid w:val="00210FCF"/>
    <w:rsid w:val="0021311D"/>
    <w:rsid w:val="00213453"/>
    <w:rsid w:val="00217400"/>
    <w:rsid w:val="00217EF3"/>
    <w:rsid w:val="0022232D"/>
    <w:rsid w:val="00222EFF"/>
    <w:rsid w:val="002240D5"/>
    <w:rsid w:val="002246CB"/>
    <w:rsid w:val="002261A7"/>
    <w:rsid w:val="00226AEC"/>
    <w:rsid w:val="00232019"/>
    <w:rsid w:val="00232695"/>
    <w:rsid w:val="00233BE7"/>
    <w:rsid w:val="002349F2"/>
    <w:rsid w:val="00237E46"/>
    <w:rsid w:val="002409ED"/>
    <w:rsid w:val="00244690"/>
    <w:rsid w:val="00245C18"/>
    <w:rsid w:val="0024657F"/>
    <w:rsid w:val="002478BB"/>
    <w:rsid w:val="00250A99"/>
    <w:rsid w:val="0025150D"/>
    <w:rsid w:val="0025311D"/>
    <w:rsid w:val="0025378F"/>
    <w:rsid w:val="002545F3"/>
    <w:rsid w:val="0026344F"/>
    <w:rsid w:val="00266005"/>
    <w:rsid w:val="00266706"/>
    <w:rsid w:val="00266A17"/>
    <w:rsid w:val="00267FD8"/>
    <w:rsid w:val="00270372"/>
    <w:rsid w:val="00270B78"/>
    <w:rsid w:val="00272DA8"/>
    <w:rsid w:val="0027400D"/>
    <w:rsid w:val="00275534"/>
    <w:rsid w:val="002758AC"/>
    <w:rsid w:val="00277075"/>
    <w:rsid w:val="002775D2"/>
    <w:rsid w:val="00281ADD"/>
    <w:rsid w:val="00282EA8"/>
    <w:rsid w:val="002852D3"/>
    <w:rsid w:val="00293779"/>
    <w:rsid w:val="00293E0D"/>
    <w:rsid w:val="00293E80"/>
    <w:rsid w:val="00295D49"/>
    <w:rsid w:val="002962D6"/>
    <w:rsid w:val="00296BFB"/>
    <w:rsid w:val="002973B0"/>
    <w:rsid w:val="00297971"/>
    <w:rsid w:val="00297C14"/>
    <w:rsid w:val="00297DC0"/>
    <w:rsid w:val="002A1F7A"/>
    <w:rsid w:val="002A220F"/>
    <w:rsid w:val="002A24F1"/>
    <w:rsid w:val="002A25B4"/>
    <w:rsid w:val="002A32F7"/>
    <w:rsid w:val="002A4F31"/>
    <w:rsid w:val="002A5778"/>
    <w:rsid w:val="002A7194"/>
    <w:rsid w:val="002A72FB"/>
    <w:rsid w:val="002B1E84"/>
    <w:rsid w:val="002B2085"/>
    <w:rsid w:val="002B3EC4"/>
    <w:rsid w:val="002B4206"/>
    <w:rsid w:val="002B4A26"/>
    <w:rsid w:val="002B7064"/>
    <w:rsid w:val="002C37D5"/>
    <w:rsid w:val="002C48E6"/>
    <w:rsid w:val="002C4D97"/>
    <w:rsid w:val="002C6399"/>
    <w:rsid w:val="002C66AD"/>
    <w:rsid w:val="002C6EF9"/>
    <w:rsid w:val="002D14CD"/>
    <w:rsid w:val="002D34DB"/>
    <w:rsid w:val="002D465A"/>
    <w:rsid w:val="002D4A48"/>
    <w:rsid w:val="002D4B11"/>
    <w:rsid w:val="002D50EB"/>
    <w:rsid w:val="002E05A3"/>
    <w:rsid w:val="002E5332"/>
    <w:rsid w:val="002E5633"/>
    <w:rsid w:val="002E5DC9"/>
    <w:rsid w:val="002F08E2"/>
    <w:rsid w:val="002F1963"/>
    <w:rsid w:val="002F2CA7"/>
    <w:rsid w:val="002F452D"/>
    <w:rsid w:val="002F5B6E"/>
    <w:rsid w:val="002F61B5"/>
    <w:rsid w:val="002F6875"/>
    <w:rsid w:val="0030209B"/>
    <w:rsid w:val="00305686"/>
    <w:rsid w:val="003127E4"/>
    <w:rsid w:val="00313215"/>
    <w:rsid w:val="00315B39"/>
    <w:rsid w:val="00315D23"/>
    <w:rsid w:val="003174C3"/>
    <w:rsid w:val="00321BD2"/>
    <w:rsid w:val="00321C83"/>
    <w:rsid w:val="0032239F"/>
    <w:rsid w:val="00323CE7"/>
    <w:rsid w:val="0032557A"/>
    <w:rsid w:val="00325D81"/>
    <w:rsid w:val="00330E64"/>
    <w:rsid w:val="00331065"/>
    <w:rsid w:val="00331201"/>
    <w:rsid w:val="00332A67"/>
    <w:rsid w:val="00333991"/>
    <w:rsid w:val="00335D14"/>
    <w:rsid w:val="00337920"/>
    <w:rsid w:val="00340778"/>
    <w:rsid w:val="003412F0"/>
    <w:rsid w:val="00341E6F"/>
    <w:rsid w:val="00344D2C"/>
    <w:rsid w:val="003458CE"/>
    <w:rsid w:val="00345A57"/>
    <w:rsid w:val="00346D51"/>
    <w:rsid w:val="00346D90"/>
    <w:rsid w:val="00351F62"/>
    <w:rsid w:val="003526B7"/>
    <w:rsid w:val="0035404C"/>
    <w:rsid w:val="003559BA"/>
    <w:rsid w:val="00356944"/>
    <w:rsid w:val="003601F4"/>
    <w:rsid w:val="003604EB"/>
    <w:rsid w:val="00362513"/>
    <w:rsid w:val="00366EA2"/>
    <w:rsid w:val="003671E2"/>
    <w:rsid w:val="0036730B"/>
    <w:rsid w:val="00372AE6"/>
    <w:rsid w:val="00373378"/>
    <w:rsid w:val="003741A2"/>
    <w:rsid w:val="00380042"/>
    <w:rsid w:val="00381C0F"/>
    <w:rsid w:val="00381D09"/>
    <w:rsid w:val="00383440"/>
    <w:rsid w:val="003837E1"/>
    <w:rsid w:val="00383E88"/>
    <w:rsid w:val="003842E7"/>
    <w:rsid w:val="0038584D"/>
    <w:rsid w:val="003869D4"/>
    <w:rsid w:val="00390A2A"/>
    <w:rsid w:val="003916CA"/>
    <w:rsid w:val="003916FC"/>
    <w:rsid w:val="00391770"/>
    <w:rsid w:val="0039257F"/>
    <w:rsid w:val="003931DE"/>
    <w:rsid w:val="00393DE4"/>
    <w:rsid w:val="00395ABA"/>
    <w:rsid w:val="00397D1A"/>
    <w:rsid w:val="003A0B1E"/>
    <w:rsid w:val="003A163C"/>
    <w:rsid w:val="003A2B4E"/>
    <w:rsid w:val="003A2FBB"/>
    <w:rsid w:val="003A3799"/>
    <w:rsid w:val="003A403B"/>
    <w:rsid w:val="003A41BF"/>
    <w:rsid w:val="003A43A0"/>
    <w:rsid w:val="003A4913"/>
    <w:rsid w:val="003A4D3D"/>
    <w:rsid w:val="003A4F6B"/>
    <w:rsid w:val="003A54A9"/>
    <w:rsid w:val="003A5F32"/>
    <w:rsid w:val="003A7083"/>
    <w:rsid w:val="003A725A"/>
    <w:rsid w:val="003B0768"/>
    <w:rsid w:val="003B2DB2"/>
    <w:rsid w:val="003B38B3"/>
    <w:rsid w:val="003B3A97"/>
    <w:rsid w:val="003B3D44"/>
    <w:rsid w:val="003B51C0"/>
    <w:rsid w:val="003B51D3"/>
    <w:rsid w:val="003B52E7"/>
    <w:rsid w:val="003C186D"/>
    <w:rsid w:val="003C2C4F"/>
    <w:rsid w:val="003C7CC2"/>
    <w:rsid w:val="003D40FC"/>
    <w:rsid w:val="003D50B6"/>
    <w:rsid w:val="003E05DF"/>
    <w:rsid w:val="003E15A5"/>
    <w:rsid w:val="003E2D3C"/>
    <w:rsid w:val="003E3928"/>
    <w:rsid w:val="003E5FE3"/>
    <w:rsid w:val="003E6085"/>
    <w:rsid w:val="003E6B64"/>
    <w:rsid w:val="003E6CA3"/>
    <w:rsid w:val="003F4C96"/>
    <w:rsid w:val="003F4DB2"/>
    <w:rsid w:val="003F6A1E"/>
    <w:rsid w:val="003F7E9C"/>
    <w:rsid w:val="004009BF"/>
    <w:rsid w:val="00403A8E"/>
    <w:rsid w:val="00406002"/>
    <w:rsid w:val="00406AD3"/>
    <w:rsid w:val="00412E42"/>
    <w:rsid w:val="00413CE6"/>
    <w:rsid w:val="00414B7A"/>
    <w:rsid w:val="0041774D"/>
    <w:rsid w:val="0042495D"/>
    <w:rsid w:val="00426356"/>
    <w:rsid w:val="00426929"/>
    <w:rsid w:val="00432038"/>
    <w:rsid w:val="00432946"/>
    <w:rsid w:val="00433D11"/>
    <w:rsid w:val="00442798"/>
    <w:rsid w:val="00442C16"/>
    <w:rsid w:val="00442F58"/>
    <w:rsid w:val="00443A91"/>
    <w:rsid w:val="00446439"/>
    <w:rsid w:val="00447F9C"/>
    <w:rsid w:val="00450BDA"/>
    <w:rsid w:val="00450C9B"/>
    <w:rsid w:val="00453A3E"/>
    <w:rsid w:val="0045452F"/>
    <w:rsid w:val="004561D7"/>
    <w:rsid w:val="00456DEB"/>
    <w:rsid w:val="0045766B"/>
    <w:rsid w:val="004626BC"/>
    <w:rsid w:val="0046426A"/>
    <w:rsid w:val="00465FD7"/>
    <w:rsid w:val="0046644A"/>
    <w:rsid w:val="00466F3F"/>
    <w:rsid w:val="0047010E"/>
    <w:rsid w:val="00470F0A"/>
    <w:rsid w:val="0047268E"/>
    <w:rsid w:val="00474BB7"/>
    <w:rsid w:val="0047536C"/>
    <w:rsid w:val="004764E9"/>
    <w:rsid w:val="00480759"/>
    <w:rsid w:val="004816D7"/>
    <w:rsid w:val="0048342E"/>
    <w:rsid w:val="004857B7"/>
    <w:rsid w:val="00487478"/>
    <w:rsid w:val="0048782D"/>
    <w:rsid w:val="00491D07"/>
    <w:rsid w:val="00494DC1"/>
    <w:rsid w:val="00494E00"/>
    <w:rsid w:val="004A2B4C"/>
    <w:rsid w:val="004A3E26"/>
    <w:rsid w:val="004A3F56"/>
    <w:rsid w:val="004A5E21"/>
    <w:rsid w:val="004A666A"/>
    <w:rsid w:val="004A7282"/>
    <w:rsid w:val="004B02DA"/>
    <w:rsid w:val="004B143F"/>
    <w:rsid w:val="004B3190"/>
    <w:rsid w:val="004B3E13"/>
    <w:rsid w:val="004B49A0"/>
    <w:rsid w:val="004B744D"/>
    <w:rsid w:val="004C2EBA"/>
    <w:rsid w:val="004C6306"/>
    <w:rsid w:val="004C6F5E"/>
    <w:rsid w:val="004C7E94"/>
    <w:rsid w:val="004D00F8"/>
    <w:rsid w:val="004D58BA"/>
    <w:rsid w:val="004D7CF8"/>
    <w:rsid w:val="004D7EDA"/>
    <w:rsid w:val="004E0E49"/>
    <w:rsid w:val="004E197A"/>
    <w:rsid w:val="004E5059"/>
    <w:rsid w:val="004E5D52"/>
    <w:rsid w:val="004E5FAE"/>
    <w:rsid w:val="004E76C5"/>
    <w:rsid w:val="004E779C"/>
    <w:rsid w:val="004F07D7"/>
    <w:rsid w:val="004F1297"/>
    <w:rsid w:val="004F16DB"/>
    <w:rsid w:val="004F1D45"/>
    <w:rsid w:val="004F2275"/>
    <w:rsid w:val="004F2C74"/>
    <w:rsid w:val="004F4D7E"/>
    <w:rsid w:val="004F5B16"/>
    <w:rsid w:val="004F5D9D"/>
    <w:rsid w:val="004F68E5"/>
    <w:rsid w:val="004F741B"/>
    <w:rsid w:val="004F7793"/>
    <w:rsid w:val="0050051C"/>
    <w:rsid w:val="00501ADC"/>
    <w:rsid w:val="00503253"/>
    <w:rsid w:val="005032B3"/>
    <w:rsid w:val="00503B7F"/>
    <w:rsid w:val="00503BB0"/>
    <w:rsid w:val="00503E03"/>
    <w:rsid w:val="00504C2E"/>
    <w:rsid w:val="005050DA"/>
    <w:rsid w:val="0050514F"/>
    <w:rsid w:val="005054AC"/>
    <w:rsid w:val="00512226"/>
    <w:rsid w:val="00513CCE"/>
    <w:rsid w:val="005147C6"/>
    <w:rsid w:val="005159B1"/>
    <w:rsid w:val="0051665D"/>
    <w:rsid w:val="00517181"/>
    <w:rsid w:val="00517F82"/>
    <w:rsid w:val="00522502"/>
    <w:rsid w:val="00524EC4"/>
    <w:rsid w:val="005255A1"/>
    <w:rsid w:val="00525D95"/>
    <w:rsid w:val="0052641C"/>
    <w:rsid w:val="00527C64"/>
    <w:rsid w:val="00527E59"/>
    <w:rsid w:val="00530831"/>
    <w:rsid w:val="00533E1F"/>
    <w:rsid w:val="005371D5"/>
    <w:rsid w:val="005373BE"/>
    <w:rsid w:val="0053795D"/>
    <w:rsid w:val="00543007"/>
    <w:rsid w:val="00544522"/>
    <w:rsid w:val="00544674"/>
    <w:rsid w:val="0054637F"/>
    <w:rsid w:val="005468AB"/>
    <w:rsid w:val="005501A0"/>
    <w:rsid w:val="00550831"/>
    <w:rsid w:val="00553445"/>
    <w:rsid w:val="00554273"/>
    <w:rsid w:val="00555E02"/>
    <w:rsid w:val="00563884"/>
    <w:rsid w:val="00563F37"/>
    <w:rsid w:val="00563F63"/>
    <w:rsid w:val="005642B6"/>
    <w:rsid w:val="005664BF"/>
    <w:rsid w:val="00566F88"/>
    <w:rsid w:val="005679CC"/>
    <w:rsid w:val="00570441"/>
    <w:rsid w:val="00571AD4"/>
    <w:rsid w:val="00571D5E"/>
    <w:rsid w:val="0057712E"/>
    <w:rsid w:val="005823D0"/>
    <w:rsid w:val="00584125"/>
    <w:rsid w:val="005862C7"/>
    <w:rsid w:val="0058674C"/>
    <w:rsid w:val="00587FCD"/>
    <w:rsid w:val="00591708"/>
    <w:rsid w:val="00591A1C"/>
    <w:rsid w:val="00592564"/>
    <w:rsid w:val="00597BF6"/>
    <w:rsid w:val="005A003F"/>
    <w:rsid w:val="005A0E7D"/>
    <w:rsid w:val="005A2748"/>
    <w:rsid w:val="005A443F"/>
    <w:rsid w:val="005A522B"/>
    <w:rsid w:val="005A5E15"/>
    <w:rsid w:val="005A72C7"/>
    <w:rsid w:val="005B12E3"/>
    <w:rsid w:val="005B1CFE"/>
    <w:rsid w:val="005B2A32"/>
    <w:rsid w:val="005B403C"/>
    <w:rsid w:val="005B426F"/>
    <w:rsid w:val="005B4476"/>
    <w:rsid w:val="005B5093"/>
    <w:rsid w:val="005B58D4"/>
    <w:rsid w:val="005C0458"/>
    <w:rsid w:val="005C07B3"/>
    <w:rsid w:val="005C284E"/>
    <w:rsid w:val="005C47D4"/>
    <w:rsid w:val="005C5141"/>
    <w:rsid w:val="005C76BF"/>
    <w:rsid w:val="005D2A84"/>
    <w:rsid w:val="005D3607"/>
    <w:rsid w:val="005D3665"/>
    <w:rsid w:val="005D41A7"/>
    <w:rsid w:val="005D51D0"/>
    <w:rsid w:val="005D6A23"/>
    <w:rsid w:val="005D6F83"/>
    <w:rsid w:val="005D7877"/>
    <w:rsid w:val="005D7941"/>
    <w:rsid w:val="005D7CCF"/>
    <w:rsid w:val="005E2B62"/>
    <w:rsid w:val="005E4B32"/>
    <w:rsid w:val="005E58C4"/>
    <w:rsid w:val="005E5D8F"/>
    <w:rsid w:val="005F23C6"/>
    <w:rsid w:val="005F2EDE"/>
    <w:rsid w:val="005F3334"/>
    <w:rsid w:val="005F5A5C"/>
    <w:rsid w:val="005F5CD9"/>
    <w:rsid w:val="00600FCA"/>
    <w:rsid w:val="00602FBA"/>
    <w:rsid w:val="00603400"/>
    <w:rsid w:val="006058C7"/>
    <w:rsid w:val="00606390"/>
    <w:rsid w:val="006101C2"/>
    <w:rsid w:val="0061135C"/>
    <w:rsid w:val="00612B6E"/>
    <w:rsid w:val="006136DD"/>
    <w:rsid w:val="006138C7"/>
    <w:rsid w:val="006149F0"/>
    <w:rsid w:val="00614C3F"/>
    <w:rsid w:val="00617026"/>
    <w:rsid w:val="00620C7B"/>
    <w:rsid w:val="00620E14"/>
    <w:rsid w:val="006219FC"/>
    <w:rsid w:val="00621BD6"/>
    <w:rsid w:val="00621DD8"/>
    <w:rsid w:val="006220A5"/>
    <w:rsid w:val="006242BA"/>
    <w:rsid w:val="00624A2A"/>
    <w:rsid w:val="00624AC8"/>
    <w:rsid w:val="00630FF2"/>
    <w:rsid w:val="00631B82"/>
    <w:rsid w:val="00633BEB"/>
    <w:rsid w:val="00633C60"/>
    <w:rsid w:val="00635510"/>
    <w:rsid w:val="00635D7C"/>
    <w:rsid w:val="00637A15"/>
    <w:rsid w:val="0064126D"/>
    <w:rsid w:val="00642E95"/>
    <w:rsid w:val="006451B8"/>
    <w:rsid w:val="00645722"/>
    <w:rsid w:val="00645918"/>
    <w:rsid w:val="00646472"/>
    <w:rsid w:val="00647A06"/>
    <w:rsid w:val="006505A3"/>
    <w:rsid w:val="0065213D"/>
    <w:rsid w:val="00652432"/>
    <w:rsid w:val="00652AA1"/>
    <w:rsid w:val="006530AB"/>
    <w:rsid w:val="00653160"/>
    <w:rsid w:val="00653C1B"/>
    <w:rsid w:val="00657840"/>
    <w:rsid w:val="00657E49"/>
    <w:rsid w:val="0066003C"/>
    <w:rsid w:val="0066041E"/>
    <w:rsid w:val="00660743"/>
    <w:rsid w:val="0066253D"/>
    <w:rsid w:val="0066386B"/>
    <w:rsid w:val="00663ECA"/>
    <w:rsid w:val="0066422B"/>
    <w:rsid w:val="00670614"/>
    <w:rsid w:val="00670B0B"/>
    <w:rsid w:val="00673CCC"/>
    <w:rsid w:val="00674947"/>
    <w:rsid w:val="00675C98"/>
    <w:rsid w:val="00675E6F"/>
    <w:rsid w:val="0067797F"/>
    <w:rsid w:val="00677C6A"/>
    <w:rsid w:val="0068075E"/>
    <w:rsid w:val="00684953"/>
    <w:rsid w:val="00685519"/>
    <w:rsid w:val="0069026B"/>
    <w:rsid w:val="00690795"/>
    <w:rsid w:val="0069207A"/>
    <w:rsid w:val="006933F6"/>
    <w:rsid w:val="00694185"/>
    <w:rsid w:val="006956EA"/>
    <w:rsid w:val="00696617"/>
    <w:rsid w:val="006A1133"/>
    <w:rsid w:val="006A2A3C"/>
    <w:rsid w:val="006A3EC8"/>
    <w:rsid w:val="006A4605"/>
    <w:rsid w:val="006A490C"/>
    <w:rsid w:val="006A4B51"/>
    <w:rsid w:val="006A4C4F"/>
    <w:rsid w:val="006A4E1E"/>
    <w:rsid w:val="006A5BCB"/>
    <w:rsid w:val="006A602C"/>
    <w:rsid w:val="006A7FEB"/>
    <w:rsid w:val="006B0662"/>
    <w:rsid w:val="006B4F7D"/>
    <w:rsid w:val="006B5382"/>
    <w:rsid w:val="006B62CE"/>
    <w:rsid w:val="006B6CAA"/>
    <w:rsid w:val="006C0638"/>
    <w:rsid w:val="006C0D12"/>
    <w:rsid w:val="006C114C"/>
    <w:rsid w:val="006C3864"/>
    <w:rsid w:val="006C48F4"/>
    <w:rsid w:val="006C5383"/>
    <w:rsid w:val="006C5E72"/>
    <w:rsid w:val="006C67BC"/>
    <w:rsid w:val="006C6985"/>
    <w:rsid w:val="006D2AEC"/>
    <w:rsid w:val="006D3EF0"/>
    <w:rsid w:val="006D4C8E"/>
    <w:rsid w:val="006D6087"/>
    <w:rsid w:val="006E079F"/>
    <w:rsid w:val="006E19D1"/>
    <w:rsid w:val="006E1CBB"/>
    <w:rsid w:val="006E26A6"/>
    <w:rsid w:val="006E2913"/>
    <w:rsid w:val="006E4057"/>
    <w:rsid w:val="006F100B"/>
    <w:rsid w:val="006F239A"/>
    <w:rsid w:val="006F25CB"/>
    <w:rsid w:val="006F2C9D"/>
    <w:rsid w:val="006F3C9A"/>
    <w:rsid w:val="006F601B"/>
    <w:rsid w:val="0070014A"/>
    <w:rsid w:val="0070027E"/>
    <w:rsid w:val="00701FA7"/>
    <w:rsid w:val="00703216"/>
    <w:rsid w:val="0070637D"/>
    <w:rsid w:val="00706FFB"/>
    <w:rsid w:val="007071DD"/>
    <w:rsid w:val="0070771F"/>
    <w:rsid w:val="007100F9"/>
    <w:rsid w:val="007124CE"/>
    <w:rsid w:val="00712A14"/>
    <w:rsid w:val="007139A2"/>
    <w:rsid w:val="00714E17"/>
    <w:rsid w:val="00716768"/>
    <w:rsid w:val="00716C04"/>
    <w:rsid w:val="00717180"/>
    <w:rsid w:val="007179D2"/>
    <w:rsid w:val="00717A0D"/>
    <w:rsid w:val="00720750"/>
    <w:rsid w:val="00720F81"/>
    <w:rsid w:val="007253F3"/>
    <w:rsid w:val="0072549C"/>
    <w:rsid w:val="00725A80"/>
    <w:rsid w:val="00727B85"/>
    <w:rsid w:val="0073301F"/>
    <w:rsid w:val="007332E5"/>
    <w:rsid w:val="00733970"/>
    <w:rsid w:val="007372AF"/>
    <w:rsid w:val="00737709"/>
    <w:rsid w:val="0074275C"/>
    <w:rsid w:val="007520F1"/>
    <w:rsid w:val="00753812"/>
    <w:rsid w:val="00753B0A"/>
    <w:rsid w:val="00753F71"/>
    <w:rsid w:val="00754C58"/>
    <w:rsid w:val="00756186"/>
    <w:rsid w:val="00756D88"/>
    <w:rsid w:val="00757F22"/>
    <w:rsid w:val="00761969"/>
    <w:rsid w:val="007635AB"/>
    <w:rsid w:val="00766443"/>
    <w:rsid w:val="007747DB"/>
    <w:rsid w:val="00775D62"/>
    <w:rsid w:val="00776E78"/>
    <w:rsid w:val="0078138A"/>
    <w:rsid w:val="007819D3"/>
    <w:rsid w:val="00782079"/>
    <w:rsid w:val="00783014"/>
    <w:rsid w:val="007834DC"/>
    <w:rsid w:val="00783542"/>
    <w:rsid w:val="00784ADB"/>
    <w:rsid w:val="007850F9"/>
    <w:rsid w:val="00785B35"/>
    <w:rsid w:val="00791B80"/>
    <w:rsid w:val="00791EB1"/>
    <w:rsid w:val="00793E26"/>
    <w:rsid w:val="007959D8"/>
    <w:rsid w:val="0079630F"/>
    <w:rsid w:val="007A04C2"/>
    <w:rsid w:val="007A0FDA"/>
    <w:rsid w:val="007A4789"/>
    <w:rsid w:val="007A47FB"/>
    <w:rsid w:val="007A4E03"/>
    <w:rsid w:val="007B146A"/>
    <w:rsid w:val="007B18B8"/>
    <w:rsid w:val="007B1D0D"/>
    <w:rsid w:val="007B498C"/>
    <w:rsid w:val="007B6A93"/>
    <w:rsid w:val="007B7B26"/>
    <w:rsid w:val="007C0767"/>
    <w:rsid w:val="007C0E7C"/>
    <w:rsid w:val="007C0EAA"/>
    <w:rsid w:val="007C44B2"/>
    <w:rsid w:val="007C6496"/>
    <w:rsid w:val="007C6C7A"/>
    <w:rsid w:val="007C745E"/>
    <w:rsid w:val="007C7D67"/>
    <w:rsid w:val="007D2DCC"/>
    <w:rsid w:val="007D6436"/>
    <w:rsid w:val="007E0BEC"/>
    <w:rsid w:val="007E0E65"/>
    <w:rsid w:val="007E123B"/>
    <w:rsid w:val="007E2600"/>
    <w:rsid w:val="007E2D4C"/>
    <w:rsid w:val="007E3F8C"/>
    <w:rsid w:val="007F082D"/>
    <w:rsid w:val="007F2023"/>
    <w:rsid w:val="007F2058"/>
    <w:rsid w:val="007F2E20"/>
    <w:rsid w:val="007F3C30"/>
    <w:rsid w:val="007F3F0D"/>
    <w:rsid w:val="007F5CD7"/>
    <w:rsid w:val="007F5FAD"/>
    <w:rsid w:val="007F6C69"/>
    <w:rsid w:val="007F7685"/>
    <w:rsid w:val="007F7FC2"/>
    <w:rsid w:val="0080011D"/>
    <w:rsid w:val="00800EA5"/>
    <w:rsid w:val="00801C01"/>
    <w:rsid w:val="00802A1B"/>
    <w:rsid w:val="00802BA9"/>
    <w:rsid w:val="00802C8F"/>
    <w:rsid w:val="0080392A"/>
    <w:rsid w:val="00804D8C"/>
    <w:rsid w:val="00805214"/>
    <w:rsid w:val="00806F16"/>
    <w:rsid w:val="0081085D"/>
    <w:rsid w:val="008123F4"/>
    <w:rsid w:val="008130BB"/>
    <w:rsid w:val="008134FE"/>
    <w:rsid w:val="008151E1"/>
    <w:rsid w:val="00815228"/>
    <w:rsid w:val="008174B0"/>
    <w:rsid w:val="00820278"/>
    <w:rsid w:val="008205E5"/>
    <w:rsid w:val="00822436"/>
    <w:rsid w:val="008237FA"/>
    <w:rsid w:val="00823DA8"/>
    <w:rsid w:val="00825AC7"/>
    <w:rsid w:val="00825D37"/>
    <w:rsid w:val="0082702C"/>
    <w:rsid w:val="00833D7D"/>
    <w:rsid w:val="00834AAE"/>
    <w:rsid w:val="00835893"/>
    <w:rsid w:val="008369B0"/>
    <w:rsid w:val="0084070D"/>
    <w:rsid w:val="00840B1C"/>
    <w:rsid w:val="0084403B"/>
    <w:rsid w:val="00844609"/>
    <w:rsid w:val="00844C62"/>
    <w:rsid w:val="00845B06"/>
    <w:rsid w:val="00845EC7"/>
    <w:rsid w:val="00850E9D"/>
    <w:rsid w:val="008510A0"/>
    <w:rsid w:val="00851D61"/>
    <w:rsid w:val="008523FE"/>
    <w:rsid w:val="00855602"/>
    <w:rsid w:val="008572C5"/>
    <w:rsid w:val="0085732C"/>
    <w:rsid w:val="0086076E"/>
    <w:rsid w:val="00860B45"/>
    <w:rsid w:val="0086155C"/>
    <w:rsid w:val="0086189A"/>
    <w:rsid w:val="00861BD0"/>
    <w:rsid w:val="008621A9"/>
    <w:rsid w:val="00863860"/>
    <w:rsid w:val="008638B5"/>
    <w:rsid w:val="00865400"/>
    <w:rsid w:val="00867372"/>
    <w:rsid w:val="00867AA2"/>
    <w:rsid w:val="008734DB"/>
    <w:rsid w:val="0087390B"/>
    <w:rsid w:val="00873B4C"/>
    <w:rsid w:val="008745A1"/>
    <w:rsid w:val="0087532B"/>
    <w:rsid w:val="008756DC"/>
    <w:rsid w:val="008768E9"/>
    <w:rsid w:val="0087751B"/>
    <w:rsid w:val="008800AA"/>
    <w:rsid w:val="00880485"/>
    <w:rsid w:val="00880B44"/>
    <w:rsid w:val="00890995"/>
    <w:rsid w:val="008914FB"/>
    <w:rsid w:val="00891685"/>
    <w:rsid w:val="00895604"/>
    <w:rsid w:val="00895C99"/>
    <w:rsid w:val="0089645A"/>
    <w:rsid w:val="00897470"/>
    <w:rsid w:val="00897E81"/>
    <w:rsid w:val="00897E99"/>
    <w:rsid w:val="008A00C1"/>
    <w:rsid w:val="008A0A35"/>
    <w:rsid w:val="008A0BE8"/>
    <w:rsid w:val="008A113A"/>
    <w:rsid w:val="008A4829"/>
    <w:rsid w:val="008B0E05"/>
    <w:rsid w:val="008B0E48"/>
    <w:rsid w:val="008B21BA"/>
    <w:rsid w:val="008B2384"/>
    <w:rsid w:val="008B38D6"/>
    <w:rsid w:val="008B3AE3"/>
    <w:rsid w:val="008B4745"/>
    <w:rsid w:val="008B4802"/>
    <w:rsid w:val="008B56E2"/>
    <w:rsid w:val="008B69E3"/>
    <w:rsid w:val="008B717C"/>
    <w:rsid w:val="008C1FD1"/>
    <w:rsid w:val="008C24A8"/>
    <w:rsid w:val="008C3415"/>
    <w:rsid w:val="008C35EF"/>
    <w:rsid w:val="008C5996"/>
    <w:rsid w:val="008D190E"/>
    <w:rsid w:val="008D27C7"/>
    <w:rsid w:val="008D36A7"/>
    <w:rsid w:val="008D41D1"/>
    <w:rsid w:val="008D47B9"/>
    <w:rsid w:val="008D5A11"/>
    <w:rsid w:val="008D5E23"/>
    <w:rsid w:val="008D6056"/>
    <w:rsid w:val="008E254A"/>
    <w:rsid w:val="008E2623"/>
    <w:rsid w:val="008E3BC8"/>
    <w:rsid w:val="008E4EC9"/>
    <w:rsid w:val="008E5A9B"/>
    <w:rsid w:val="008E65C4"/>
    <w:rsid w:val="008E6C40"/>
    <w:rsid w:val="008E6D59"/>
    <w:rsid w:val="008F18DE"/>
    <w:rsid w:val="008F2338"/>
    <w:rsid w:val="008F43AF"/>
    <w:rsid w:val="008F5D66"/>
    <w:rsid w:val="008F61D4"/>
    <w:rsid w:val="008F6958"/>
    <w:rsid w:val="008F6E06"/>
    <w:rsid w:val="009028AA"/>
    <w:rsid w:val="00902A14"/>
    <w:rsid w:val="00903E3F"/>
    <w:rsid w:val="009049C3"/>
    <w:rsid w:val="00904D3B"/>
    <w:rsid w:val="009057D9"/>
    <w:rsid w:val="0090774A"/>
    <w:rsid w:val="00910205"/>
    <w:rsid w:val="00910A4D"/>
    <w:rsid w:val="00910D07"/>
    <w:rsid w:val="009118F8"/>
    <w:rsid w:val="00914B19"/>
    <w:rsid w:val="00914B2F"/>
    <w:rsid w:val="00914E86"/>
    <w:rsid w:val="009150E6"/>
    <w:rsid w:val="009167EF"/>
    <w:rsid w:val="00917F89"/>
    <w:rsid w:val="00921137"/>
    <w:rsid w:val="00922B66"/>
    <w:rsid w:val="00924801"/>
    <w:rsid w:val="009255EE"/>
    <w:rsid w:val="00925603"/>
    <w:rsid w:val="00925F76"/>
    <w:rsid w:val="00927087"/>
    <w:rsid w:val="00931740"/>
    <w:rsid w:val="00932DA4"/>
    <w:rsid w:val="00932E89"/>
    <w:rsid w:val="009334E5"/>
    <w:rsid w:val="0093359D"/>
    <w:rsid w:val="00933F2B"/>
    <w:rsid w:val="00942EEB"/>
    <w:rsid w:val="00943CF8"/>
    <w:rsid w:val="0094468E"/>
    <w:rsid w:val="00945261"/>
    <w:rsid w:val="009464E2"/>
    <w:rsid w:val="0095033F"/>
    <w:rsid w:val="009506A5"/>
    <w:rsid w:val="00951A52"/>
    <w:rsid w:val="009534E9"/>
    <w:rsid w:val="009541CC"/>
    <w:rsid w:val="009555EE"/>
    <w:rsid w:val="00956564"/>
    <w:rsid w:val="00956D5A"/>
    <w:rsid w:val="00960058"/>
    <w:rsid w:val="0096071E"/>
    <w:rsid w:val="00961B2C"/>
    <w:rsid w:val="00961DBB"/>
    <w:rsid w:val="0096618E"/>
    <w:rsid w:val="00966929"/>
    <w:rsid w:val="00966BA1"/>
    <w:rsid w:val="009708C7"/>
    <w:rsid w:val="0097242A"/>
    <w:rsid w:val="00975449"/>
    <w:rsid w:val="009761F2"/>
    <w:rsid w:val="00980288"/>
    <w:rsid w:val="009810ED"/>
    <w:rsid w:val="00981433"/>
    <w:rsid w:val="0098269D"/>
    <w:rsid w:val="009851B6"/>
    <w:rsid w:val="00985C07"/>
    <w:rsid w:val="00991574"/>
    <w:rsid w:val="00991BDB"/>
    <w:rsid w:val="0099278E"/>
    <w:rsid w:val="0099410C"/>
    <w:rsid w:val="00994CBF"/>
    <w:rsid w:val="00995B4F"/>
    <w:rsid w:val="00995B6A"/>
    <w:rsid w:val="00997582"/>
    <w:rsid w:val="009A1FB9"/>
    <w:rsid w:val="009A281A"/>
    <w:rsid w:val="009A2C21"/>
    <w:rsid w:val="009A3118"/>
    <w:rsid w:val="009A3E58"/>
    <w:rsid w:val="009A5F02"/>
    <w:rsid w:val="009A7AB1"/>
    <w:rsid w:val="009B1E4D"/>
    <w:rsid w:val="009B2150"/>
    <w:rsid w:val="009B4092"/>
    <w:rsid w:val="009B62B1"/>
    <w:rsid w:val="009B6A69"/>
    <w:rsid w:val="009C1BCF"/>
    <w:rsid w:val="009C2187"/>
    <w:rsid w:val="009C2F20"/>
    <w:rsid w:val="009C6DAA"/>
    <w:rsid w:val="009C7962"/>
    <w:rsid w:val="009D0E74"/>
    <w:rsid w:val="009D0F59"/>
    <w:rsid w:val="009D1A12"/>
    <w:rsid w:val="009D1A96"/>
    <w:rsid w:val="009D28A2"/>
    <w:rsid w:val="009D370B"/>
    <w:rsid w:val="009D518A"/>
    <w:rsid w:val="009E2087"/>
    <w:rsid w:val="009E252B"/>
    <w:rsid w:val="009E2E1C"/>
    <w:rsid w:val="009E2EFC"/>
    <w:rsid w:val="009E3265"/>
    <w:rsid w:val="009E3353"/>
    <w:rsid w:val="009E446D"/>
    <w:rsid w:val="009E6121"/>
    <w:rsid w:val="009E7C09"/>
    <w:rsid w:val="009E7ECC"/>
    <w:rsid w:val="009F146D"/>
    <w:rsid w:val="009F1D45"/>
    <w:rsid w:val="009F4F1E"/>
    <w:rsid w:val="009F5211"/>
    <w:rsid w:val="00A00611"/>
    <w:rsid w:val="00A015E4"/>
    <w:rsid w:val="00A05C2D"/>
    <w:rsid w:val="00A071E8"/>
    <w:rsid w:val="00A075BC"/>
    <w:rsid w:val="00A07D33"/>
    <w:rsid w:val="00A10733"/>
    <w:rsid w:val="00A11222"/>
    <w:rsid w:val="00A12C39"/>
    <w:rsid w:val="00A132D5"/>
    <w:rsid w:val="00A134FB"/>
    <w:rsid w:val="00A14E30"/>
    <w:rsid w:val="00A16EB0"/>
    <w:rsid w:val="00A20516"/>
    <w:rsid w:val="00A20802"/>
    <w:rsid w:val="00A21C62"/>
    <w:rsid w:val="00A22B42"/>
    <w:rsid w:val="00A234C0"/>
    <w:rsid w:val="00A244CC"/>
    <w:rsid w:val="00A25092"/>
    <w:rsid w:val="00A253C7"/>
    <w:rsid w:val="00A25B4F"/>
    <w:rsid w:val="00A26E9A"/>
    <w:rsid w:val="00A31756"/>
    <w:rsid w:val="00A326AE"/>
    <w:rsid w:val="00A362AE"/>
    <w:rsid w:val="00A4055A"/>
    <w:rsid w:val="00A42725"/>
    <w:rsid w:val="00A442BF"/>
    <w:rsid w:val="00A4489C"/>
    <w:rsid w:val="00A51306"/>
    <w:rsid w:val="00A514E1"/>
    <w:rsid w:val="00A5238D"/>
    <w:rsid w:val="00A52999"/>
    <w:rsid w:val="00A53661"/>
    <w:rsid w:val="00A53716"/>
    <w:rsid w:val="00A54360"/>
    <w:rsid w:val="00A5629E"/>
    <w:rsid w:val="00A56763"/>
    <w:rsid w:val="00A56A1F"/>
    <w:rsid w:val="00A57783"/>
    <w:rsid w:val="00A600BE"/>
    <w:rsid w:val="00A60EE9"/>
    <w:rsid w:val="00A61105"/>
    <w:rsid w:val="00A61536"/>
    <w:rsid w:val="00A62E8C"/>
    <w:rsid w:val="00A63A5C"/>
    <w:rsid w:val="00A64832"/>
    <w:rsid w:val="00A64CDC"/>
    <w:rsid w:val="00A700CE"/>
    <w:rsid w:val="00A732DB"/>
    <w:rsid w:val="00A766C5"/>
    <w:rsid w:val="00A768C5"/>
    <w:rsid w:val="00A775B9"/>
    <w:rsid w:val="00A77F60"/>
    <w:rsid w:val="00A80C82"/>
    <w:rsid w:val="00A83A76"/>
    <w:rsid w:val="00A86F04"/>
    <w:rsid w:val="00A870B8"/>
    <w:rsid w:val="00A919F5"/>
    <w:rsid w:val="00A92C13"/>
    <w:rsid w:val="00A93147"/>
    <w:rsid w:val="00A946C4"/>
    <w:rsid w:val="00A9792B"/>
    <w:rsid w:val="00AA0A34"/>
    <w:rsid w:val="00AA10D6"/>
    <w:rsid w:val="00AA330E"/>
    <w:rsid w:val="00AA38E9"/>
    <w:rsid w:val="00AB11EA"/>
    <w:rsid w:val="00AB1873"/>
    <w:rsid w:val="00AB44E7"/>
    <w:rsid w:val="00AB556F"/>
    <w:rsid w:val="00AB6347"/>
    <w:rsid w:val="00AB699D"/>
    <w:rsid w:val="00AC01F8"/>
    <w:rsid w:val="00AC049D"/>
    <w:rsid w:val="00AC059A"/>
    <w:rsid w:val="00AC2A53"/>
    <w:rsid w:val="00AC2AF4"/>
    <w:rsid w:val="00AC374D"/>
    <w:rsid w:val="00AC3784"/>
    <w:rsid w:val="00AC4F90"/>
    <w:rsid w:val="00AC5895"/>
    <w:rsid w:val="00AC7F92"/>
    <w:rsid w:val="00AD0308"/>
    <w:rsid w:val="00AD1DE2"/>
    <w:rsid w:val="00AD2869"/>
    <w:rsid w:val="00AD377A"/>
    <w:rsid w:val="00AD5468"/>
    <w:rsid w:val="00AD67BB"/>
    <w:rsid w:val="00AD6B82"/>
    <w:rsid w:val="00AD7CE9"/>
    <w:rsid w:val="00AE1CC1"/>
    <w:rsid w:val="00AE1DE7"/>
    <w:rsid w:val="00AE3EA4"/>
    <w:rsid w:val="00AE4591"/>
    <w:rsid w:val="00AE67DF"/>
    <w:rsid w:val="00AE6C72"/>
    <w:rsid w:val="00AE730E"/>
    <w:rsid w:val="00AF1B02"/>
    <w:rsid w:val="00AF2FF6"/>
    <w:rsid w:val="00AF3AA6"/>
    <w:rsid w:val="00AF41E4"/>
    <w:rsid w:val="00AF4AD5"/>
    <w:rsid w:val="00AF5EAA"/>
    <w:rsid w:val="00AF6161"/>
    <w:rsid w:val="00B02E93"/>
    <w:rsid w:val="00B06A75"/>
    <w:rsid w:val="00B06BC3"/>
    <w:rsid w:val="00B1134A"/>
    <w:rsid w:val="00B14030"/>
    <w:rsid w:val="00B15A0F"/>
    <w:rsid w:val="00B16AC8"/>
    <w:rsid w:val="00B20236"/>
    <w:rsid w:val="00B20937"/>
    <w:rsid w:val="00B211E5"/>
    <w:rsid w:val="00B220A0"/>
    <w:rsid w:val="00B2295B"/>
    <w:rsid w:val="00B22B64"/>
    <w:rsid w:val="00B22FEA"/>
    <w:rsid w:val="00B24321"/>
    <w:rsid w:val="00B245AF"/>
    <w:rsid w:val="00B245C4"/>
    <w:rsid w:val="00B26914"/>
    <w:rsid w:val="00B30FEB"/>
    <w:rsid w:val="00B311A4"/>
    <w:rsid w:val="00B32CAD"/>
    <w:rsid w:val="00B32F07"/>
    <w:rsid w:val="00B3307E"/>
    <w:rsid w:val="00B33560"/>
    <w:rsid w:val="00B33637"/>
    <w:rsid w:val="00B33A8F"/>
    <w:rsid w:val="00B34E91"/>
    <w:rsid w:val="00B36320"/>
    <w:rsid w:val="00B366ED"/>
    <w:rsid w:val="00B403EE"/>
    <w:rsid w:val="00B40AA3"/>
    <w:rsid w:val="00B4194D"/>
    <w:rsid w:val="00B41D86"/>
    <w:rsid w:val="00B42323"/>
    <w:rsid w:val="00B44478"/>
    <w:rsid w:val="00B47CCB"/>
    <w:rsid w:val="00B50AB7"/>
    <w:rsid w:val="00B51696"/>
    <w:rsid w:val="00B52910"/>
    <w:rsid w:val="00B53FF1"/>
    <w:rsid w:val="00B557C1"/>
    <w:rsid w:val="00B55E3E"/>
    <w:rsid w:val="00B571DE"/>
    <w:rsid w:val="00B57AB5"/>
    <w:rsid w:val="00B6002C"/>
    <w:rsid w:val="00B60156"/>
    <w:rsid w:val="00B61FD6"/>
    <w:rsid w:val="00B620EE"/>
    <w:rsid w:val="00B62227"/>
    <w:rsid w:val="00B62E34"/>
    <w:rsid w:val="00B640FD"/>
    <w:rsid w:val="00B669B9"/>
    <w:rsid w:val="00B67429"/>
    <w:rsid w:val="00B73948"/>
    <w:rsid w:val="00B7516E"/>
    <w:rsid w:val="00B7647A"/>
    <w:rsid w:val="00B76F3E"/>
    <w:rsid w:val="00B772ED"/>
    <w:rsid w:val="00B814CF"/>
    <w:rsid w:val="00B8514E"/>
    <w:rsid w:val="00B85366"/>
    <w:rsid w:val="00B8572D"/>
    <w:rsid w:val="00B863B3"/>
    <w:rsid w:val="00B87789"/>
    <w:rsid w:val="00B87F60"/>
    <w:rsid w:val="00B9095B"/>
    <w:rsid w:val="00B91F88"/>
    <w:rsid w:val="00B92120"/>
    <w:rsid w:val="00B92443"/>
    <w:rsid w:val="00B93D3D"/>
    <w:rsid w:val="00B95140"/>
    <w:rsid w:val="00B962CD"/>
    <w:rsid w:val="00B96852"/>
    <w:rsid w:val="00BA0753"/>
    <w:rsid w:val="00BA1E8D"/>
    <w:rsid w:val="00BA2AA2"/>
    <w:rsid w:val="00BA41F9"/>
    <w:rsid w:val="00BA471F"/>
    <w:rsid w:val="00BA6B10"/>
    <w:rsid w:val="00BB0A82"/>
    <w:rsid w:val="00BB11EC"/>
    <w:rsid w:val="00BB2EC7"/>
    <w:rsid w:val="00BB3C52"/>
    <w:rsid w:val="00BB5013"/>
    <w:rsid w:val="00BB528E"/>
    <w:rsid w:val="00BB5714"/>
    <w:rsid w:val="00BB7820"/>
    <w:rsid w:val="00BC0200"/>
    <w:rsid w:val="00BC0395"/>
    <w:rsid w:val="00BC08EB"/>
    <w:rsid w:val="00BC2600"/>
    <w:rsid w:val="00BC3143"/>
    <w:rsid w:val="00BC36F0"/>
    <w:rsid w:val="00BC4FA7"/>
    <w:rsid w:val="00BC5E30"/>
    <w:rsid w:val="00BD02C5"/>
    <w:rsid w:val="00BD068D"/>
    <w:rsid w:val="00BD4E66"/>
    <w:rsid w:val="00BD5F9C"/>
    <w:rsid w:val="00BD6726"/>
    <w:rsid w:val="00BE0D70"/>
    <w:rsid w:val="00BE0D9A"/>
    <w:rsid w:val="00BE1A50"/>
    <w:rsid w:val="00BE2F0D"/>
    <w:rsid w:val="00BE31EB"/>
    <w:rsid w:val="00BE3337"/>
    <w:rsid w:val="00BE42AD"/>
    <w:rsid w:val="00BE45B2"/>
    <w:rsid w:val="00BE58D6"/>
    <w:rsid w:val="00BE6371"/>
    <w:rsid w:val="00BF0BD5"/>
    <w:rsid w:val="00BF3666"/>
    <w:rsid w:val="00BF4461"/>
    <w:rsid w:val="00BF55F8"/>
    <w:rsid w:val="00BF5C5F"/>
    <w:rsid w:val="00BF76CA"/>
    <w:rsid w:val="00C027F9"/>
    <w:rsid w:val="00C02B51"/>
    <w:rsid w:val="00C041D0"/>
    <w:rsid w:val="00C051FD"/>
    <w:rsid w:val="00C0651C"/>
    <w:rsid w:val="00C10D13"/>
    <w:rsid w:val="00C11FB5"/>
    <w:rsid w:val="00C15C85"/>
    <w:rsid w:val="00C20C7D"/>
    <w:rsid w:val="00C20DEF"/>
    <w:rsid w:val="00C22E6F"/>
    <w:rsid w:val="00C24B25"/>
    <w:rsid w:val="00C27D65"/>
    <w:rsid w:val="00C32C2F"/>
    <w:rsid w:val="00C33C9F"/>
    <w:rsid w:val="00C35532"/>
    <w:rsid w:val="00C364DC"/>
    <w:rsid w:val="00C3738A"/>
    <w:rsid w:val="00C4028F"/>
    <w:rsid w:val="00C4315A"/>
    <w:rsid w:val="00C43F5E"/>
    <w:rsid w:val="00C44074"/>
    <w:rsid w:val="00C44E4F"/>
    <w:rsid w:val="00C46153"/>
    <w:rsid w:val="00C4650C"/>
    <w:rsid w:val="00C4651F"/>
    <w:rsid w:val="00C47931"/>
    <w:rsid w:val="00C47A96"/>
    <w:rsid w:val="00C51414"/>
    <w:rsid w:val="00C51D0B"/>
    <w:rsid w:val="00C52A50"/>
    <w:rsid w:val="00C52BFC"/>
    <w:rsid w:val="00C572AF"/>
    <w:rsid w:val="00C57386"/>
    <w:rsid w:val="00C6164D"/>
    <w:rsid w:val="00C63952"/>
    <w:rsid w:val="00C63C8A"/>
    <w:rsid w:val="00C642D4"/>
    <w:rsid w:val="00C655FC"/>
    <w:rsid w:val="00C71155"/>
    <w:rsid w:val="00C7125B"/>
    <w:rsid w:val="00C730F4"/>
    <w:rsid w:val="00C76816"/>
    <w:rsid w:val="00C77986"/>
    <w:rsid w:val="00C800F2"/>
    <w:rsid w:val="00C80200"/>
    <w:rsid w:val="00C8045C"/>
    <w:rsid w:val="00C8270B"/>
    <w:rsid w:val="00C83980"/>
    <w:rsid w:val="00C841A9"/>
    <w:rsid w:val="00C85037"/>
    <w:rsid w:val="00C85E66"/>
    <w:rsid w:val="00C8728F"/>
    <w:rsid w:val="00C96EFE"/>
    <w:rsid w:val="00C97FBC"/>
    <w:rsid w:val="00CA0B7E"/>
    <w:rsid w:val="00CA0F73"/>
    <w:rsid w:val="00CA2C0B"/>
    <w:rsid w:val="00CA3134"/>
    <w:rsid w:val="00CA5598"/>
    <w:rsid w:val="00CA5C20"/>
    <w:rsid w:val="00CA5EF8"/>
    <w:rsid w:val="00CB2896"/>
    <w:rsid w:val="00CB28A3"/>
    <w:rsid w:val="00CB28D8"/>
    <w:rsid w:val="00CB58C3"/>
    <w:rsid w:val="00CB6718"/>
    <w:rsid w:val="00CB78CA"/>
    <w:rsid w:val="00CC00A0"/>
    <w:rsid w:val="00CC37CA"/>
    <w:rsid w:val="00CC427C"/>
    <w:rsid w:val="00CC5317"/>
    <w:rsid w:val="00CC5455"/>
    <w:rsid w:val="00CC6C06"/>
    <w:rsid w:val="00CD49FD"/>
    <w:rsid w:val="00CD5269"/>
    <w:rsid w:val="00CD5509"/>
    <w:rsid w:val="00CD5EB8"/>
    <w:rsid w:val="00CD6357"/>
    <w:rsid w:val="00CE0EDD"/>
    <w:rsid w:val="00CE1E1C"/>
    <w:rsid w:val="00CE1EB0"/>
    <w:rsid w:val="00CE294F"/>
    <w:rsid w:val="00CE3DF2"/>
    <w:rsid w:val="00CE6879"/>
    <w:rsid w:val="00CF0C0F"/>
    <w:rsid w:val="00CF1690"/>
    <w:rsid w:val="00CF1F2A"/>
    <w:rsid w:val="00CF3243"/>
    <w:rsid w:val="00CF5CE3"/>
    <w:rsid w:val="00CF5D08"/>
    <w:rsid w:val="00CF7056"/>
    <w:rsid w:val="00CF7412"/>
    <w:rsid w:val="00D0005D"/>
    <w:rsid w:val="00D026DD"/>
    <w:rsid w:val="00D030F8"/>
    <w:rsid w:val="00D04579"/>
    <w:rsid w:val="00D063A3"/>
    <w:rsid w:val="00D077B7"/>
    <w:rsid w:val="00D116DE"/>
    <w:rsid w:val="00D12934"/>
    <w:rsid w:val="00D1528A"/>
    <w:rsid w:val="00D155C4"/>
    <w:rsid w:val="00D158C5"/>
    <w:rsid w:val="00D17AD9"/>
    <w:rsid w:val="00D20297"/>
    <w:rsid w:val="00D21E6B"/>
    <w:rsid w:val="00D2217D"/>
    <w:rsid w:val="00D23634"/>
    <w:rsid w:val="00D242C0"/>
    <w:rsid w:val="00D25908"/>
    <w:rsid w:val="00D264C9"/>
    <w:rsid w:val="00D2659C"/>
    <w:rsid w:val="00D27280"/>
    <w:rsid w:val="00D314D7"/>
    <w:rsid w:val="00D33C2B"/>
    <w:rsid w:val="00D34346"/>
    <w:rsid w:val="00D34383"/>
    <w:rsid w:val="00D34551"/>
    <w:rsid w:val="00D3472C"/>
    <w:rsid w:val="00D35E70"/>
    <w:rsid w:val="00D36118"/>
    <w:rsid w:val="00D363B3"/>
    <w:rsid w:val="00D42909"/>
    <w:rsid w:val="00D44B1A"/>
    <w:rsid w:val="00D44E61"/>
    <w:rsid w:val="00D457D6"/>
    <w:rsid w:val="00D479FF"/>
    <w:rsid w:val="00D53425"/>
    <w:rsid w:val="00D5567D"/>
    <w:rsid w:val="00D559DF"/>
    <w:rsid w:val="00D572F8"/>
    <w:rsid w:val="00D60813"/>
    <w:rsid w:val="00D62E9E"/>
    <w:rsid w:val="00D63F1C"/>
    <w:rsid w:val="00D64CE2"/>
    <w:rsid w:val="00D67C9C"/>
    <w:rsid w:val="00D702A3"/>
    <w:rsid w:val="00D7380F"/>
    <w:rsid w:val="00D7442C"/>
    <w:rsid w:val="00D76489"/>
    <w:rsid w:val="00D76A24"/>
    <w:rsid w:val="00D77118"/>
    <w:rsid w:val="00D7751B"/>
    <w:rsid w:val="00D815DC"/>
    <w:rsid w:val="00D822B5"/>
    <w:rsid w:val="00D82F51"/>
    <w:rsid w:val="00D83D3C"/>
    <w:rsid w:val="00D8402B"/>
    <w:rsid w:val="00D84A96"/>
    <w:rsid w:val="00D84B7D"/>
    <w:rsid w:val="00D859F7"/>
    <w:rsid w:val="00D867AE"/>
    <w:rsid w:val="00D86FA3"/>
    <w:rsid w:val="00D87BBB"/>
    <w:rsid w:val="00D87C87"/>
    <w:rsid w:val="00D87CCD"/>
    <w:rsid w:val="00D91929"/>
    <w:rsid w:val="00D921C4"/>
    <w:rsid w:val="00D9296A"/>
    <w:rsid w:val="00D93C23"/>
    <w:rsid w:val="00D94B97"/>
    <w:rsid w:val="00D94D6F"/>
    <w:rsid w:val="00D94EFD"/>
    <w:rsid w:val="00D95638"/>
    <w:rsid w:val="00D9584C"/>
    <w:rsid w:val="00D9641B"/>
    <w:rsid w:val="00DA14D9"/>
    <w:rsid w:val="00DA3D29"/>
    <w:rsid w:val="00DA5F76"/>
    <w:rsid w:val="00DA608D"/>
    <w:rsid w:val="00DB1026"/>
    <w:rsid w:val="00DB13AD"/>
    <w:rsid w:val="00DB23F9"/>
    <w:rsid w:val="00DB43E0"/>
    <w:rsid w:val="00DB58BE"/>
    <w:rsid w:val="00DB6176"/>
    <w:rsid w:val="00DB61F5"/>
    <w:rsid w:val="00DB651B"/>
    <w:rsid w:val="00DB6AA0"/>
    <w:rsid w:val="00DB772A"/>
    <w:rsid w:val="00DB7C3A"/>
    <w:rsid w:val="00DC01CD"/>
    <w:rsid w:val="00DC02AF"/>
    <w:rsid w:val="00DC7945"/>
    <w:rsid w:val="00DD32AB"/>
    <w:rsid w:val="00DD5BF6"/>
    <w:rsid w:val="00DD7124"/>
    <w:rsid w:val="00DE0F0D"/>
    <w:rsid w:val="00DE16F3"/>
    <w:rsid w:val="00DE1865"/>
    <w:rsid w:val="00DE3795"/>
    <w:rsid w:val="00DE43C5"/>
    <w:rsid w:val="00DE524D"/>
    <w:rsid w:val="00DE68CA"/>
    <w:rsid w:val="00DE6CEF"/>
    <w:rsid w:val="00DF0D08"/>
    <w:rsid w:val="00DF11C2"/>
    <w:rsid w:val="00DF4593"/>
    <w:rsid w:val="00DF4EF3"/>
    <w:rsid w:val="00DF5FC8"/>
    <w:rsid w:val="00DF6F59"/>
    <w:rsid w:val="00E04E74"/>
    <w:rsid w:val="00E10D05"/>
    <w:rsid w:val="00E1169B"/>
    <w:rsid w:val="00E11CBA"/>
    <w:rsid w:val="00E14C22"/>
    <w:rsid w:val="00E167B4"/>
    <w:rsid w:val="00E16BEB"/>
    <w:rsid w:val="00E2223E"/>
    <w:rsid w:val="00E22D98"/>
    <w:rsid w:val="00E236AF"/>
    <w:rsid w:val="00E2450C"/>
    <w:rsid w:val="00E24623"/>
    <w:rsid w:val="00E24B5B"/>
    <w:rsid w:val="00E252E3"/>
    <w:rsid w:val="00E32BB0"/>
    <w:rsid w:val="00E33CA5"/>
    <w:rsid w:val="00E34256"/>
    <w:rsid w:val="00E34B90"/>
    <w:rsid w:val="00E35150"/>
    <w:rsid w:val="00E37C71"/>
    <w:rsid w:val="00E40505"/>
    <w:rsid w:val="00E40FC8"/>
    <w:rsid w:val="00E42515"/>
    <w:rsid w:val="00E42A41"/>
    <w:rsid w:val="00E42C06"/>
    <w:rsid w:val="00E43095"/>
    <w:rsid w:val="00E4467C"/>
    <w:rsid w:val="00E456BB"/>
    <w:rsid w:val="00E45766"/>
    <w:rsid w:val="00E46A3C"/>
    <w:rsid w:val="00E47727"/>
    <w:rsid w:val="00E54919"/>
    <w:rsid w:val="00E567E5"/>
    <w:rsid w:val="00E57988"/>
    <w:rsid w:val="00E608E2"/>
    <w:rsid w:val="00E60F4D"/>
    <w:rsid w:val="00E61A16"/>
    <w:rsid w:val="00E657DB"/>
    <w:rsid w:val="00E660C0"/>
    <w:rsid w:val="00E6708B"/>
    <w:rsid w:val="00E67BBF"/>
    <w:rsid w:val="00E7364A"/>
    <w:rsid w:val="00E73A8C"/>
    <w:rsid w:val="00E73BB0"/>
    <w:rsid w:val="00E74B3D"/>
    <w:rsid w:val="00E75050"/>
    <w:rsid w:val="00E759FD"/>
    <w:rsid w:val="00E7669B"/>
    <w:rsid w:val="00E76F42"/>
    <w:rsid w:val="00E86239"/>
    <w:rsid w:val="00E90464"/>
    <w:rsid w:val="00E915E6"/>
    <w:rsid w:val="00E917C6"/>
    <w:rsid w:val="00E91C83"/>
    <w:rsid w:val="00E9257D"/>
    <w:rsid w:val="00E929D4"/>
    <w:rsid w:val="00E9526A"/>
    <w:rsid w:val="00EA2038"/>
    <w:rsid w:val="00EA3E11"/>
    <w:rsid w:val="00EA42DD"/>
    <w:rsid w:val="00EA5FAF"/>
    <w:rsid w:val="00EA6EB3"/>
    <w:rsid w:val="00EA7527"/>
    <w:rsid w:val="00EB10A8"/>
    <w:rsid w:val="00EB4A8E"/>
    <w:rsid w:val="00EB4FFC"/>
    <w:rsid w:val="00EB5EF3"/>
    <w:rsid w:val="00EB695D"/>
    <w:rsid w:val="00EB7992"/>
    <w:rsid w:val="00EC1088"/>
    <w:rsid w:val="00EC1E63"/>
    <w:rsid w:val="00EC2948"/>
    <w:rsid w:val="00EC36E5"/>
    <w:rsid w:val="00EC4FFB"/>
    <w:rsid w:val="00EC7F21"/>
    <w:rsid w:val="00ED0804"/>
    <w:rsid w:val="00ED39CE"/>
    <w:rsid w:val="00ED4134"/>
    <w:rsid w:val="00ED4371"/>
    <w:rsid w:val="00EE05F1"/>
    <w:rsid w:val="00EE3EB6"/>
    <w:rsid w:val="00EE471A"/>
    <w:rsid w:val="00EE53FE"/>
    <w:rsid w:val="00EE5492"/>
    <w:rsid w:val="00EE62FE"/>
    <w:rsid w:val="00EE733C"/>
    <w:rsid w:val="00EF0406"/>
    <w:rsid w:val="00EF09E2"/>
    <w:rsid w:val="00EF5B48"/>
    <w:rsid w:val="00EF6234"/>
    <w:rsid w:val="00EF79F2"/>
    <w:rsid w:val="00EF7CA7"/>
    <w:rsid w:val="00F01D07"/>
    <w:rsid w:val="00F03103"/>
    <w:rsid w:val="00F037D6"/>
    <w:rsid w:val="00F038F2"/>
    <w:rsid w:val="00F07BD5"/>
    <w:rsid w:val="00F122D6"/>
    <w:rsid w:val="00F12527"/>
    <w:rsid w:val="00F12CCB"/>
    <w:rsid w:val="00F15353"/>
    <w:rsid w:val="00F15BF4"/>
    <w:rsid w:val="00F16779"/>
    <w:rsid w:val="00F176BC"/>
    <w:rsid w:val="00F176DD"/>
    <w:rsid w:val="00F17940"/>
    <w:rsid w:val="00F2046C"/>
    <w:rsid w:val="00F20647"/>
    <w:rsid w:val="00F22D89"/>
    <w:rsid w:val="00F24401"/>
    <w:rsid w:val="00F24BF6"/>
    <w:rsid w:val="00F26DF8"/>
    <w:rsid w:val="00F31392"/>
    <w:rsid w:val="00F32564"/>
    <w:rsid w:val="00F32A3C"/>
    <w:rsid w:val="00F348B5"/>
    <w:rsid w:val="00F34A9B"/>
    <w:rsid w:val="00F3652B"/>
    <w:rsid w:val="00F367FB"/>
    <w:rsid w:val="00F37043"/>
    <w:rsid w:val="00F377B9"/>
    <w:rsid w:val="00F400DA"/>
    <w:rsid w:val="00F45033"/>
    <w:rsid w:val="00F45442"/>
    <w:rsid w:val="00F45880"/>
    <w:rsid w:val="00F47012"/>
    <w:rsid w:val="00F47792"/>
    <w:rsid w:val="00F47FAF"/>
    <w:rsid w:val="00F5112B"/>
    <w:rsid w:val="00F5145E"/>
    <w:rsid w:val="00F558EA"/>
    <w:rsid w:val="00F6000C"/>
    <w:rsid w:val="00F613CB"/>
    <w:rsid w:val="00F61F79"/>
    <w:rsid w:val="00F64998"/>
    <w:rsid w:val="00F656A4"/>
    <w:rsid w:val="00F6665E"/>
    <w:rsid w:val="00F66669"/>
    <w:rsid w:val="00F675A9"/>
    <w:rsid w:val="00F7075F"/>
    <w:rsid w:val="00F7087C"/>
    <w:rsid w:val="00F71D76"/>
    <w:rsid w:val="00F72708"/>
    <w:rsid w:val="00F72D7F"/>
    <w:rsid w:val="00F73498"/>
    <w:rsid w:val="00F73531"/>
    <w:rsid w:val="00F74E34"/>
    <w:rsid w:val="00F804F4"/>
    <w:rsid w:val="00F813BE"/>
    <w:rsid w:val="00F8349F"/>
    <w:rsid w:val="00F83FB7"/>
    <w:rsid w:val="00F843ED"/>
    <w:rsid w:val="00F85570"/>
    <w:rsid w:val="00F85935"/>
    <w:rsid w:val="00F85D29"/>
    <w:rsid w:val="00F85D85"/>
    <w:rsid w:val="00F86794"/>
    <w:rsid w:val="00F90A49"/>
    <w:rsid w:val="00F91E80"/>
    <w:rsid w:val="00F92C03"/>
    <w:rsid w:val="00F96308"/>
    <w:rsid w:val="00F969D3"/>
    <w:rsid w:val="00FA0877"/>
    <w:rsid w:val="00FA1696"/>
    <w:rsid w:val="00FA190E"/>
    <w:rsid w:val="00FA35E9"/>
    <w:rsid w:val="00FA4C88"/>
    <w:rsid w:val="00FA54D8"/>
    <w:rsid w:val="00FA6CC9"/>
    <w:rsid w:val="00FA7001"/>
    <w:rsid w:val="00FA7206"/>
    <w:rsid w:val="00FB33D3"/>
    <w:rsid w:val="00FC01A1"/>
    <w:rsid w:val="00FC3BA3"/>
    <w:rsid w:val="00FC4E46"/>
    <w:rsid w:val="00FC4FB7"/>
    <w:rsid w:val="00FC7420"/>
    <w:rsid w:val="00FD357B"/>
    <w:rsid w:val="00FD3658"/>
    <w:rsid w:val="00FD38FC"/>
    <w:rsid w:val="00FD5427"/>
    <w:rsid w:val="00FD6119"/>
    <w:rsid w:val="00FD688E"/>
    <w:rsid w:val="00FD768C"/>
    <w:rsid w:val="00FD79D5"/>
    <w:rsid w:val="00FD7C0C"/>
    <w:rsid w:val="00FE045C"/>
    <w:rsid w:val="00FE0C52"/>
    <w:rsid w:val="00FE1692"/>
    <w:rsid w:val="00FE2C88"/>
    <w:rsid w:val="00FE3396"/>
    <w:rsid w:val="00FE3C92"/>
    <w:rsid w:val="00FE4AC2"/>
    <w:rsid w:val="00FE6B7D"/>
    <w:rsid w:val="00FE732C"/>
    <w:rsid w:val="00FF01F1"/>
    <w:rsid w:val="00FF0454"/>
    <w:rsid w:val="00FF0566"/>
    <w:rsid w:val="00FF073B"/>
    <w:rsid w:val="00FF0EDA"/>
    <w:rsid w:val="00FF0F7B"/>
    <w:rsid w:val="00FF0FD0"/>
    <w:rsid w:val="00FF1368"/>
    <w:rsid w:val="00FF159F"/>
    <w:rsid w:val="00FF2995"/>
    <w:rsid w:val="00FF60B3"/>
    <w:rsid w:val="00FF6218"/>
    <w:rsid w:val="00FF70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note text" w:uiPriority="5"/>
    <w:lsdException w:name="header" w:uiPriority="99"/>
    <w:lsdException w:name="caption" w:qFormat="1"/>
    <w:lsdException w:name="table of figures" w:semiHidden="0" w:uiPriority="99" w:unhideWhenUsed="0"/>
    <w:lsdException w:name="footnote reference" w:uiPriority="5"/>
    <w:lsdException w:name="List Bullet" w:qFormat="1"/>
    <w:lsdException w:name="List Number" w:qFormat="1"/>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qFormat="1"/>
  </w:latentStyles>
  <w:style w:type="paragraph" w:default="1" w:styleId="Normal">
    <w:name w:val="Normal"/>
    <w:qFormat/>
    <w:rsid w:val="00EC4FFB"/>
  </w:style>
  <w:style w:type="paragraph" w:styleId="Heading1">
    <w:name w:val="heading 1"/>
    <w:basedOn w:val="Normal"/>
    <w:next w:val="BodyText"/>
    <w:link w:val="Heading1Char"/>
    <w:qFormat/>
    <w:rsid w:val="0081085D"/>
    <w:pPr>
      <w:keepNext/>
      <w:keepLines/>
      <w:numPr>
        <w:numId w:val="8"/>
      </w:numPr>
      <w:tabs>
        <w:tab w:val="right" w:pos="1418"/>
        <w:tab w:val="right" w:pos="1701"/>
        <w:tab w:val="right" w:pos="1985"/>
      </w:tabs>
      <w:spacing w:after="600" w:line="204" w:lineRule="auto"/>
      <w:outlineLvl w:val="0"/>
    </w:pPr>
    <w:rPr>
      <w:rFonts w:ascii="Calibri Light" w:hAnsi="Calibri Light"/>
      <w:bCs/>
      <w:color w:val="3D4D7D" w:themeColor="background2"/>
      <w:kern w:val="32"/>
      <w:sz w:val="52"/>
      <w:szCs w:val="32"/>
    </w:rPr>
  </w:style>
  <w:style w:type="paragraph" w:styleId="Heading2">
    <w:name w:val="heading 2"/>
    <w:basedOn w:val="Normal"/>
    <w:next w:val="BodyText"/>
    <w:link w:val="Heading2Char"/>
    <w:qFormat/>
    <w:rsid w:val="0081085D"/>
    <w:pPr>
      <w:keepNext/>
      <w:keepLines/>
      <w:numPr>
        <w:ilvl w:val="1"/>
        <w:numId w:val="8"/>
      </w:numPr>
      <w:tabs>
        <w:tab w:val="left" w:pos="1418"/>
        <w:tab w:val="left" w:pos="1701"/>
        <w:tab w:val="left" w:pos="1985"/>
      </w:tabs>
      <w:spacing w:before="330" w:after="80" w:line="240" w:lineRule="auto"/>
      <w:outlineLvl w:val="1"/>
    </w:pPr>
    <w:rPr>
      <w:rFonts w:asciiTheme="majorHAnsi" w:hAnsiTheme="majorHAnsi"/>
      <w:b/>
      <w:bCs/>
      <w:iCs/>
      <w:color w:val="3D4D7D" w:themeColor="background2"/>
      <w:kern w:val="20"/>
      <w:sz w:val="28"/>
      <w:szCs w:val="28"/>
    </w:rPr>
  </w:style>
  <w:style w:type="paragraph" w:styleId="Heading3">
    <w:name w:val="heading 3"/>
    <w:basedOn w:val="Normal"/>
    <w:next w:val="BodyText"/>
    <w:link w:val="Heading3Char"/>
    <w:qFormat/>
    <w:rsid w:val="00553445"/>
    <w:pPr>
      <w:keepNext/>
      <w:keepLines/>
      <w:tabs>
        <w:tab w:val="left" w:pos="1418"/>
        <w:tab w:val="left" w:pos="1701"/>
        <w:tab w:val="left" w:pos="1985"/>
      </w:tabs>
      <w:spacing w:before="300" w:after="90" w:line="240" w:lineRule="auto"/>
      <w:outlineLvl w:val="2"/>
    </w:pPr>
    <w:rPr>
      <w:b/>
      <w:sz w:val="23"/>
    </w:rPr>
  </w:style>
  <w:style w:type="paragraph" w:styleId="Heading4">
    <w:name w:val="heading 4"/>
    <w:basedOn w:val="Normal"/>
    <w:next w:val="BodyText"/>
    <w:link w:val="Heading4Char"/>
    <w:qFormat/>
    <w:rsid w:val="00AE1DE7"/>
    <w:pPr>
      <w:keepNext/>
      <w:keepLines/>
      <w:tabs>
        <w:tab w:val="left" w:pos="1418"/>
        <w:tab w:val="left" w:pos="1701"/>
        <w:tab w:val="left" w:pos="1985"/>
      </w:tabs>
      <w:spacing w:before="310" w:after="110" w:line="240" w:lineRule="auto"/>
      <w:outlineLvl w:val="3"/>
    </w:pPr>
    <w:rPr>
      <w:rFonts w:eastAsiaTheme="majorEastAsia" w:cstheme="majorBidi"/>
      <w:b/>
      <w:bCs/>
      <w:i/>
      <w:iCs/>
      <w:color w:val="000000" w:themeColor="text1"/>
      <w:sz w:val="23"/>
    </w:rPr>
  </w:style>
  <w:style w:type="paragraph" w:styleId="Heading5">
    <w:name w:val="heading 5"/>
    <w:basedOn w:val="Normal"/>
    <w:next w:val="BodyText"/>
    <w:link w:val="Heading5Char"/>
    <w:qFormat/>
    <w:rsid w:val="00AE1DE7"/>
    <w:pPr>
      <w:keepNext/>
      <w:keepLines/>
      <w:spacing w:before="310" w:after="110" w:line="240" w:lineRule="auto"/>
      <w:outlineLvl w:val="4"/>
    </w:pPr>
    <w:rPr>
      <w:rFonts w:asciiTheme="majorHAnsi" w:eastAsiaTheme="majorEastAsia" w:hAnsiTheme="majorHAnsi" w:cstheme="majorBidi"/>
      <w:i/>
      <w:color w:val="000000" w:themeColor="text1"/>
      <w:sz w:val="23"/>
    </w:rPr>
  </w:style>
  <w:style w:type="paragraph" w:styleId="Heading6">
    <w:name w:val="heading 6"/>
    <w:basedOn w:val="Normal"/>
    <w:next w:val="BodyText"/>
    <w:link w:val="Heading6Char"/>
    <w:qFormat/>
    <w:rsid w:val="0081085D"/>
    <w:pPr>
      <w:keepNext/>
      <w:keepLines/>
      <w:spacing w:before="310" w:after="110" w:line="240" w:lineRule="auto"/>
      <w:outlineLvl w:val="5"/>
    </w:pPr>
    <w:rPr>
      <w:rFonts w:asciiTheme="majorHAnsi" w:eastAsiaTheme="majorEastAsia" w:hAnsiTheme="majorHAnsi" w:cstheme="majorBidi"/>
      <w:i/>
      <w:iCs/>
      <w:color w:val="3D4D7D" w:themeColor="background2"/>
      <w:sz w:val="23"/>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29"/>
    <w:rsid w:val="0081085D"/>
    <w:pPr>
      <w:keepNext/>
      <w:keepLines/>
      <w:numPr>
        <w:numId w:val="1"/>
      </w:numPr>
      <w:tabs>
        <w:tab w:val="left" w:pos="4536"/>
      </w:tabs>
      <w:spacing w:after="600" w:line="204" w:lineRule="auto"/>
      <w:outlineLvl w:val="7"/>
    </w:pPr>
    <w:rPr>
      <w:rFonts w:ascii="Calibri Light" w:eastAsiaTheme="majorEastAsia" w:hAnsi="Calibri Light" w:cstheme="majorBidi"/>
      <w:color w:val="3D4D7D" w:themeColor="background2"/>
      <w:sz w:val="52"/>
    </w:rPr>
  </w:style>
  <w:style w:type="paragraph" w:styleId="Heading9">
    <w:name w:val="heading 9"/>
    <w:aliases w:val="Appendix Heading 1"/>
    <w:basedOn w:val="Normal"/>
    <w:next w:val="BodyText"/>
    <w:link w:val="Heading9Char"/>
    <w:uiPriority w:val="29"/>
    <w:rsid w:val="0081085D"/>
    <w:pPr>
      <w:keepNext/>
      <w:keepLines/>
      <w:numPr>
        <w:ilvl w:val="1"/>
        <w:numId w:val="1"/>
      </w:numPr>
      <w:tabs>
        <w:tab w:val="left" w:pos="1559"/>
        <w:tab w:val="left" w:pos="1843"/>
        <w:tab w:val="left" w:pos="2126"/>
        <w:tab w:val="left" w:pos="2410"/>
      </w:tabs>
      <w:spacing w:before="330" w:after="80" w:line="240" w:lineRule="auto"/>
      <w:outlineLvl w:val="8"/>
    </w:pPr>
    <w:rPr>
      <w:b/>
      <w:color w:val="3D4D7D" w:themeColor="background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5"/>
    <w:rsid w:val="00F7087C"/>
    <w:pPr>
      <w:tabs>
        <w:tab w:val="left" w:pos="425"/>
      </w:tabs>
      <w:spacing w:before="60" w:line="240" w:lineRule="exact"/>
      <w:ind w:left="284" w:hanging="284"/>
    </w:pPr>
    <w:rPr>
      <w:kern w:val="16"/>
      <w:sz w:val="18"/>
    </w:rPr>
  </w:style>
  <w:style w:type="character" w:customStyle="1" w:styleId="FootnoteTextChar">
    <w:name w:val="Footnote Text Char"/>
    <w:basedOn w:val="DefaultParagraphFont"/>
    <w:link w:val="FootnoteText"/>
    <w:uiPriority w:val="5"/>
    <w:rsid w:val="00F7087C"/>
    <w:rPr>
      <w:kern w:val="16"/>
      <w:sz w:val="18"/>
    </w:rPr>
  </w:style>
  <w:style w:type="character" w:styleId="FootnoteReference">
    <w:name w:val="footnote reference"/>
    <w:basedOn w:val="DefaultParagraphFont"/>
    <w:uiPriority w:val="5"/>
    <w:rsid w:val="00961DBB"/>
    <w:rPr>
      <w:rFonts w:asciiTheme="minorHAnsi" w:hAnsiTheme="minorHAnsi"/>
      <w:color w:val="auto"/>
      <w:vertAlign w:val="superscript"/>
    </w:rPr>
  </w:style>
  <w:style w:type="paragraph" w:styleId="BodyText">
    <w:name w:val="Body Text"/>
    <w:basedOn w:val="Normal"/>
    <w:link w:val="BodyTextChar"/>
    <w:qFormat/>
    <w:rsid w:val="00D264C9"/>
    <w:pPr>
      <w:spacing w:before="120"/>
    </w:pPr>
    <w:rPr>
      <w:rFonts w:cs="Times New Roman"/>
    </w:rPr>
  </w:style>
  <w:style w:type="character" w:customStyle="1" w:styleId="BodyTextChar">
    <w:name w:val="Body Text Char"/>
    <w:basedOn w:val="DefaultParagraphFont"/>
    <w:link w:val="BodyText"/>
    <w:rsid w:val="00D264C9"/>
    <w:rPr>
      <w:rFonts w:cs="Times New Roman"/>
    </w:rPr>
  </w:style>
  <w:style w:type="table" w:customStyle="1" w:styleId="PullOutBoxwithDecorativeLines">
    <w:name w:val="Pull Out Box with Decorative Lines"/>
    <w:basedOn w:val="TableNormal"/>
    <w:uiPriority w:val="99"/>
    <w:rsid w:val="00403A8E"/>
    <w:pPr>
      <w:keepNext/>
      <w:keepLines/>
      <w:spacing w:before="120" w:after="120" w:line="276" w:lineRule="auto"/>
    </w:pPr>
    <w:tblPr>
      <w:tblCellMar>
        <w:top w:w="28" w:type="dxa"/>
        <w:left w:w="0" w:type="dxa"/>
        <w:bottom w:w="28" w:type="dxa"/>
        <w:right w:w="0" w:type="dxa"/>
      </w:tblCellMar>
    </w:tblPr>
    <w:trPr>
      <w:cantSplit/>
    </w:trPr>
    <w:tblStylePr w:type="firstRow">
      <w:pPr>
        <w:keepNext/>
        <w:wordWrap/>
        <w:spacing w:beforeLines="0" w:before="0" w:beforeAutospacing="0" w:afterLines="0" w:after="0" w:afterAutospacing="0" w:line="80" w:lineRule="exact"/>
      </w:pPr>
      <w:rPr>
        <w:sz w:val="14"/>
      </w:rPr>
      <w:tblPr/>
      <w:tcPr>
        <w:tcBorders>
          <w:top w:val="nil"/>
          <w:left w:val="nil"/>
          <w:bottom w:val="nil"/>
          <w:right w:val="nil"/>
          <w:insideH w:val="nil"/>
          <w:insideV w:val="nil"/>
          <w:tl2br w:val="nil"/>
          <w:tr2bl w:val="nil"/>
        </w:tcBorders>
      </w:tcPr>
    </w:tblStylePr>
    <w:tblStylePr w:type="lastRow">
      <w:pPr>
        <w:wordWrap/>
        <w:spacing w:beforeLines="0" w:before="0" w:beforeAutospacing="0" w:afterLines="0" w:after="0" w:afterAutospacing="0" w:line="80" w:lineRule="exact"/>
      </w:pPr>
    </w:tblStylePr>
  </w:style>
  <w:style w:type="character" w:customStyle="1" w:styleId="Heading1Char">
    <w:name w:val="Heading 1 Char"/>
    <w:basedOn w:val="DefaultParagraphFont"/>
    <w:link w:val="Heading1"/>
    <w:rsid w:val="0081085D"/>
    <w:rPr>
      <w:rFonts w:ascii="Calibri Light" w:hAnsi="Calibri Light"/>
      <w:bCs/>
      <w:color w:val="3D4D7D" w:themeColor="background2"/>
      <w:kern w:val="32"/>
      <w:sz w:val="52"/>
      <w:szCs w:val="32"/>
    </w:rPr>
  </w:style>
  <w:style w:type="character" w:customStyle="1" w:styleId="Heading2Char">
    <w:name w:val="Heading 2 Char"/>
    <w:basedOn w:val="DefaultParagraphFont"/>
    <w:link w:val="Heading2"/>
    <w:rsid w:val="0081085D"/>
    <w:rPr>
      <w:rFonts w:asciiTheme="majorHAnsi" w:hAnsiTheme="majorHAnsi"/>
      <w:b/>
      <w:bCs/>
      <w:iCs/>
      <w:color w:val="3D4D7D" w:themeColor="background2"/>
      <w:kern w:val="20"/>
      <w:sz w:val="28"/>
      <w:szCs w:val="28"/>
    </w:rPr>
  </w:style>
  <w:style w:type="character" w:customStyle="1" w:styleId="Heading3Char">
    <w:name w:val="Heading 3 Char"/>
    <w:basedOn w:val="DefaultParagraphFont"/>
    <w:link w:val="Heading3"/>
    <w:rsid w:val="00553445"/>
    <w:rPr>
      <w:b/>
      <w:sz w:val="23"/>
    </w:rPr>
  </w:style>
  <w:style w:type="character" w:customStyle="1" w:styleId="Heading4Char">
    <w:name w:val="Heading 4 Char"/>
    <w:basedOn w:val="DefaultParagraphFont"/>
    <w:link w:val="Heading4"/>
    <w:rsid w:val="00AE1DE7"/>
    <w:rPr>
      <w:rFonts w:eastAsiaTheme="majorEastAsia" w:cstheme="majorBidi"/>
      <w:b/>
      <w:bCs/>
      <w:i/>
      <w:iCs/>
      <w:color w:val="000000" w:themeColor="text1"/>
      <w:sz w:val="23"/>
    </w:rPr>
  </w:style>
  <w:style w:type="character" w:customStyle="1" w:styleId="Heading5Char">
    <w:name w:val="Heading 5 Char"/>
    <w:basedOn w:val="DefaultParagraphFont"/>
    <w:link w:val="Heading5"/>
    <w:rsid w:val="00AE1DE7"/>
    <w:rPr>
      <w:rFonts w:asciiTheme="majorHAnsi" w:eastAsiaTheme="majorEastAsia" w:hAnsiTheme="majorHAnsi" w:cstheme="majorBidi"/>
      <w:i/>
      <w:color w:val="000000" w:themeColor="text1"/>
      <w:sz w:val="23"/>
    </w:rPr>
  </w:style>
  <w:style w:type="character" w:customStyle="1" w:styleId="Heading6Char">
    <w:name w:val="Heading 6 Char"/>
    <w:basedOn w:val="DefaultParagraphFont"/>
    <w:link w:val="Heading6"/>
    <w:rsid w:val="0081085D"/>
    <w:rPr>
      <w:rFonts w:asciiTheme="majorHAnsi" w:eastAsiaTheme="majorEastAsia" w:hAnsiTheme="majorHAnsi" w:cstheme="majorBidi"/>
      <w:i/>
      <w:iCs/>
      <w:color w:val="3D4D7D" w:themeColor="background2"/>
      <w:sz w:val="23"/>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uiPriority w:val="29"/>
    <w:rsid w:val="0081085D"/>
    <w:rPr>
      <w:rFonts w:ascii="Calibri Light" w:eastAsiaTheme="majorEastAsia" w:hAnsi="Calibri Light" w:cstheme="majorBidi"/>
      <w:color w:val="3D4D7D" w:themeColor="background2"/>
      <w:sz w:val="52"/>
    </w:rPr>
  </w:style>
  <w:style w:type="character" w:customStyle="1" w:styleId="Heading9Char">
    <w:name w:val="Heading 9 Char"/>
    <w:aliases w:val="Appendix Heading 1 Char"/>
    <w:basedOn w:val="DefaultParagraphFont"/>
    <w:link w:val="Heading9"/>
    <w:uiPriority w:val="29"/>
    <w:rsid w:val="0081085D"/>
    <w:rPr>
      <w:b/>
      <w:color w:val="3D4D7D" w:themeColor="background2"/>
      <w:sz w:val="28"/>
    </w:rPr>
  </w:style>
  <w:style w:type="paragraph" w:customStyle="1" w:styleId="AppendixHeading2">
    <w:name w:val="Appendix Heading 2"/>
    <w:basedOn w:val="Normal"/>
    <w:next w:val="BodyText"/>
    <w:uiPriority w:val="30"/>
    <w:rsid w:val="0081085D"/>
    <w:pPr>
      <w:keepNext/>
      <w:keepLines/>
      <w:numPr>
        <w:ilvl w:val="2"/>
        <w:numId w:val="1"/>
      </w:numPr>
      <w:tabs>
        <w:tab w:val="left" w:pos="1559"/>
        <w:tab w:val="left" w:pos="1843"/>
        <w:tab w:val="left" w:pos="2126"/>
        <w:tab w:val="left" w:pos="2410"/>
      </w:tabs>
      <w:spacing w:before="300" w:after="90" w:line="240" w:lineRule="auto"/>
    </w:pPr>
    <w:rPr>
      <w:rFonts w:asciiTheme="majorHAnsi" w:hAnsiTheme="majorHAnsi"/>
      <w:b/>
      <w:sz w:val="23"/>
    </w:rPr>
  </w:style>
  <w:style w:type="paragraph" w:customStyle="1" w:styleId="AppendixHeading3">
    <w:name w:val="Appendix Heading 3"/>
    <w:basedOn w:val="Normal"/>
    <w:next w:val="BodyText"/>
    <w:uiPriority w:val="30"/>
    <w:rsid w:val="0081085D"/>
    <w:pPr>
      <w:keepNext/>
      <w:keepLines/>
      <w:numPr>
        <w:ilvl w:val="3"/>
        <w:numId w:val="1"/>
      </w:numPr>
      <w:tabs>
        <w:tab w:val="left" w:pos="1559"/>
        <w:tab w:val="left" w:pos="1843"/>
        <w:tab w:val="left" w:pos="2126"/>
        <w:tab w:val="left" w:pos="2410"/>
        <w:tab w:val="left" w:pos="6804"/>
      </w:tabs>
      <w:spacing w:before="310" w:after="110" w:line="240" w:lineRule="auto"/>
    </w:pPr>
    <w:rPr>
      <w:rFonts w:asciiTheme="majorHAnsi" w:hAnsiTheme="majorHAnsi"/>
      <w:b/>
      <w:i/>
      <w:color w:val="000000" w:themeColor="text1"/>
      <w:sz w:val="23"/>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CaptionDescriptor"/>
    <w:qFormat/>
    <w:rsid w:val="001F78AC"/>
    <w:pPr>
      <w:keepNext/>
      <w:spacing w:before="40" w:after="40" w:line="240" w:lineRule="auto"/>
      <w:jc w:val="center"/>
    </w:pPr>
    <w:rPr>
      <w:b/>
      <w:bCs/>
      <w:color w:val="3D4D7D" w:themeColor="background2"/>
    </w:rPr>
  </w:style>
  <w:style w:type="paragraph" w:styleId="Footer">
    <w:name w:val="footer"/>
    <w:basedOn w:val="Normal"/>
    <w:link w:val="FooterChar"/>
    <w:uiPriority w:val="99"/>
    <w:rsid w:val="00F24BF6"/>
    <w:pPr>
      <w:spacing w:line="240" w:lineRule="auto"/>
    </w:pPr>
    <w:rPr>
      <w:caps/>
      <w:color w:val="000000" w:themeColor="text1"/>
      <w:spacing w:val="5"/>
      <w:sz w:val="16"/>
    </w:rPr>
  </w:style>
  <w:style w:type="character" w:customStyle="1" w:styleId="FooterChar">
    <w:name w:val="Footer Char"/>
    <w:basedOn w:val="DefaultParagraphFont"/>
    <w:link w:val="Footer"/>
    <w:uiPriority w:val="99"/>
    <w:rsid w:val="00F24BF6"/>
    <w:rPr>
      <w:caps/>
      <w:color w:val="000000" w:themeColor="text1"/>
      <w:spacing w:val="5"/>
      <w:sz w:val="16"/>
    </w:rPr>
  </w:style>
  <w:style w:type="paragraph" w:customStyle="1" w:styleId="FooterLeft">
    <w:name w:val="Footer Left"/>
    <w:basedOn w:val="Footer"/>
    <w:uiPriority w:val="99"/>
    <w:rsid w:val="00023A6F"/>
  </w:style>
  <w:style w:type="paragraph" w:customStyle="1" w:styleId="FooterRight">
    <w:name w:val="Footer Right"/>
    <w:basedOn w:val="FooterLeft"/>
    <w:next w:val="Footer"/>
    <w:uiPriority w:val="99"/>
    <w:rsid w:val="00023A6F"/>
    <w:pPr>
      <w:jc w:val="right"/>
    </w:pPr>
    <w:rPr>
      <w:rFonts w:eastAsia="Times New Roman" w:cs="Arial"/>
      <w:noProof/>
      <w:lang w:eastAsia="en-AU"/>
    </w:rPr>
  </w:style>
  <w:style w:type="paragraph" w:customStyle="1" w:styleId="FooterRightPageNumber">
    <w:name w:val="Footer Right Page Number"/>
    <w:basedOn w:val="Normal"/>
    <w:uiPriority w:val="99"/>
    <w:rsid w:val="008E2623"/>
    <w:pPr>
      <w:spacing w:line="240" w:lineRule="auto"/>
      <w:ind w:right="652"/>
      <w:jc w:val="right"/>
    </w:pPr>
    <w:rPr>
      <w:rFonts w:eastAsia="Times New Roman" w:cs="Arial"/>
      <w:b/>
      <w:noProof/>
      <w:color w:val="000000" w:themeColor="text1"/>
      <w:sz w:val="16"/>
      <w:lang w:eastAsia="en-AU"/>
    </w:rPr>
  </w:style>
  <w:style w:type="paragraph" w:customStyle="1" w:styleId="FooterLeftPageNumber">
    <w:name w:val="Footer Left Page Number"/>
    <w:basedOn w:val="Footer"/>
    <w:uiPriority w:val="99"/>
    <w:rsid w:val="008E2623"/>
    <w:pPr>
      <w:ind w:left="652"/>
    </w:pPr>
    <w:rPr>
      <w:b/>
      <w:caps w:val="0"/>
      <w:spacing w:val="0"/>
    </w:rPr>
  </w:style>
  <w:style w:type="paragraph" w:customStyle="1" w:styleId="FootnoteSeparator">
    <w:name w:val="Footnote Separator"/>
    <w:basedOn w:val="Normal"/>
    <w:uiPriority w:val="2"/>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961DBB"/>
    <w:pPr>
      <w:spacing w:line="240" w:lineRule="auto"/>
    </w:pPr>
  </w:style>
  <w:style w:type="character" w:customStyle="1" w:styleId="HeaderChar">
    <w:name w:val="Header Char"/>
    <w:basedOn w:val="DefaultParagraphFont"/>
    <w:link w:val="Header"/>
    <w:uiPriority w:val="99"/>
    <w:rsid w:val="00A77F60"/>
  </w:style>
  <w:style w:type="paragraph" w:customStyle="1" w:styleId="Introduction">
    <w:name w:val="Introduction"/>
    <w:basedOn w:val="Normal"/>
    <w:next w:val="BodyText"/>
    <w:qFormat/>
    <w:rsid w:val="00BA1E8D"/>
    <w:pPr>
      <w:spacing w:before="180" w:after="180" w:line="216" w:lineRule="auto"/>
    </w:pPr>
    <w:rPr>
      <w:b/>
      <w:color w:val="8D487F" w:themeColor="accent1"/>
      <w:sz w:val="24"/>
    </w:rPr>
  </w:style>
  <w:style w:type="character" w:customStyle="1" w:styleId="Italics">
    <w:name w:val="Italics"/>
    <w:rsid w:val="00961DBB"/>
    <w:rPr>
      <w:i/>
    </w:rPr>
  </w:style>
  <w:style w:type="paragraph" w:styleId="ListBullet">
    <w:name w:val="List Bullet"/>
    <w:basedOn w:val="Normal"/>
    <w:unhideWhenUsed/>
    <w:qFormat/>
    <w:rsid w:val="00D264C9"/>
    <w:pPr>
      <w:keepLines/>
      <w:numPr>
        <w:numId w:val="16"/>
      </w:numPr>
      <w:spacing w:before="120"/>
    </w:pPr>
  </w:style>
  <w:style w:type="paragraph" w:styleId="ListBullet2">
    <w:name w:val="List Bullet 2"/>
    <w:basedOn w:val="ListBullet"/>
    <w:unhideWhenUsed/>
    <w:qFormat/>
    <w:rsid w:val="00D264C9"/>
    <w:pPr>
      <w:numPr>
        <w:ilvl w:val="1"/>
      </w:numPr>
    </w:pPr>
    <w:rPr>
      <w:color w:val="000000" w:themeColor="text1"/>
    </w:rPr>
  </w:style>
  <w:style w:type="paragraph" w:styleId="ListBullet3">
    <w:name w:val="List Bullet 3"/>
    <w:basedOn w:val="ListBullet2"/>
    <w:unhideWhenUsed/>
    <w:rsid w:val="00D264C9"/>
    <w:pPr>
      <w:numPr>
        <w:ilvl w:val="2"/>
      </w:numPr>
      <w:ind w:left="851"/>
    </w:pPr>
  </w:style>
  <w:style w:type="paragraph" w:styleId="ListContinue">
    <w:name w:val="List Continue"/>
    <w:basedOn w:val="Normal"/>
    <w:qFormat/>
    <w:rsid w:val="00503B7F"/>
    <w:pPr>
      <w:spacing w:before="120"/>
      <w:ind w:left="284"/>
    </w:pPr>
  </w:style>
  <w:style w:type="paragraph" w:styleId="ListContinue2">
    <w:name w:val="List Continue 2"/>
    <w:basedOn w:val="Normal"/>
    <w:qFormat/>
    <w:rsid w:val="00503B7F"/>
    <w:pPr>
      <w:spacing w:before="120"/>
      <w:ind w:left="567"/>
    </w:pPr>
  </w:style>
  <w:style w:type="paragraph" w:styleId="ListNumber">
    <w:name w:val="List Number"/>
    <w:basedOn w:val="Normal"/>
    <w:qFormat/>
    <w:rsid w:val="00503B7F"/>
    <w:pPr>
      <w:numPr>
        <w:numId w:val="23"/>
      </w:numPr>
      <w:spacing w:before="120"/>
    </w:pPr>
  </w:style>
  <w:style w:type="paragraph" w:styleId="ListNumber2">
    <w:name w:val="List Number 2"/>
    <w:basedOn w:val="Normal"/>
    <w:qFormat/>
    <w:rsid w:val="00D264C9"/>
    <w:pPr>
      <w:numPr>
        <w:ilvl w:val="1"/>
        <w:numId w:val="23"/>
      </w:numPr>
      <w:spacing w:before="120"/>
    </w:pPr>
    <w:rPr>
      <w:spacing w:val="-1"/>
    </w:rPr>
  </w:style>
  <w:style w:type="paragraph" w:styleId="ListNumber3">
    <w:name w:val="List Number 3"/>
    <w:basedOn w:val="Normal"/>
    <w:qFormat/>
    <w:rsid w:val="00D264C9"/>
    <w:pPr>
      <w:numPr>
        <w:ilvl w:val="2"/>
        <w:numId w:val="23"/>
      </w:numPr>
      <w:spacing w:before="120"/>
      <w:ind w:left="851"/>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E54919"/>
    <w:pPr>
      <w:spacing w:before="120"/>
    </w:pPr>
  </w:style>
  <w:style w:type="paragraph" w:customStyle="1" w:styleId="OverviewHeading2">
    <w:name w:val="Overview Heading 2"/>
    <w:basedOn w:val="Normal"/>
    <w:next w:val="OverviewBodyText"/>
    <w:rsid w:val="0081085D"/>
    <w:pPr>
      <w:keepNext/>
      <w:keepLines/>
      <w:spacing w:before="330" w:after="80" w:line="240" w:lineRule="auto"/>
    </w:pPr>
    <w:rPr>
      <w:b/>
      <w:color w:val="3D4D7D" w:themeColor="background2"/>
      <w:sz w:val="28"/>
    </w:rPr>
  </w:style>
  <w:style w:type="paragraph" w:customStyle="1" w:styleId="OverviewHeading3">
    <w:name w:val="Overview Heading 3"/>
    <w:basedOn w:val="OverviewHeading2"/>
    <w:next w:val="OverviewBodyText"/>
    <w:rsid w:val="005050DA"/>
    <w:pPr>
      <w:spacing w:before="300" w:after="90"/>
    </w:pPr>
    <w:rPr>
      <w:color w:val="000000" w:themeColor="text1"/>
      <w:sz w:val="23"/>
    </w:rPr>
  </w:style>
  <w:style w:type="character" w:styleId="PageNumber">
    <w:name w:val="page number"/>
    <w:basedOn w:val="DefaultParagraphFont"/>
    <w:semiHidden/>
    <w:rsid w:val="00961DBB"/>
    <w:rPr>
      <w:rFonts w:ascii="Arial" w:hAnsi="Arial"/>
      <w:b/>
      <w:color w:val="auto"/>
      <w:sz w:val="16"/>
    </w:rPr>
  </w:style>
  <w:style w:type="paragraph" w:customStyle="1" w:styleId="PullOutBoxBodyText">
    <w:name w:val="Pull Out Box Body Text"/>
    <w:basedOn w:val="Normal"/>
    <w:qFormat/>
    <w:rsid w:val="0081085D"/>
    <w:pPr>
      <w:spacing w:before="120" w:after="120" w:line="320" w:lineRule="atLeast"/>
      <w:ind w:left="284" w:right="284"/>
    </w:pPr>
    <w:rPr>
      <w:rFonts w:eastAsia="Times New Roman" w:cs="Arial"/>
      <w:b/>
      <w:i/>
      <w:color w:val="3D4D7D" w:themeColor="background2"/>
      <w:spacing w:val="-1"/>
      <w:lang w:eastAsia="en-AU"/>
    </w:rPr>
  </w:style>
  <w:style w:type="paragraph" w:customStyle="1" w:styleId="PullOutBoxBullet">
    <w:name w:val="Pull Out Box Bullet"/>
    <w:basedOn w:val="PullOutBoxBodyText"/>
    <w:qFormat/>
    <w:rsid w:val="00B2295B"/>
    <w:pPr>
      <w:numPr>
        <w:numId w:val="9"/>
      </w:numPr>
      <w:spacing w:before="60" w:after="60"/>
    </w:pPr>
  </w:style>
  <w:style w:type="paragraph" w:customStyle="1" w:styleId="PullOutBoxBullet2">
    <w:name w:val="Pull Out Box Bullet 2"/>
    <w:basedOn w:val="PullOutBoxBodyText"/>
    <w:qFormat/>
    <w:rsid w:val="00B2295B"/>
    <w:pPr>
      <w:numPr>
        <w:ilvl w:val="1"/>
        <w:numId w:val="9"/>
      </w:numPr>
      <w:spacing w:before="60" w:after="60"/>
    </w:pPr>
  </w:style>
  <w:style w:type="paragraph" w:customStyle="1" w:styleId="PullOutBoxBullet3">
    <w:name w:val="Pull Out Box Bullet 3"/>
    <w:basedOn w:val="PullOutBoxBodyText"/>
    <w:semiHidden/>
    <w:qFormat/>
    <w:rsid w:val="00B2295B"/>
    <w:pPr>
      <w:numPr>
        <w:ilvl w:val="2"/>
        <w:numId w:val="9"/>
      </w:numPr>
      <w:spacing w:before="60" w:after="60"/>
    </w:pPr>
  </w:style>
  <w:style w:type="paragraph" w:customStyle="1" w:styleId="PullOutBoxHeading">
    <w:name w:val="Pull Out Box Heading"/>
    <w:basedOn w:val="PullOutBoxBodyText"/>
    <w:qFormat/>
    <w:rsid w:val="00413CE6"/>
    <w:pPr>
      <w:keepNext/>
      <w:keepLines/>
      <w:spacing w:before="114" w:after="114" w:line="360" w:lineRule="atLeast"/>
    </w:pPr>
    <w:rPr>
      <w:sz w:val="28"/>
    </w:rPr>
  </w:style>
  <w:style w:type="paragraph" w:customStyle="1" w:styleId="PullOutBoxNumber">
    <w:name w:val="Pull Out Box Number"/>
    <w:basedOn w:val="PullOutBoxBodyText"/>
    <w:qFormat/>
    <w:rsid w:val="00B2295B"/>
    <w:pPr>
      <w:numPr>
        <w:numId w:val="10"/>
      </w:numPr>
      <w:spacing w:before="60" w:after="60"/>
    </w:pPr>
  </w:style>
  <w:style w:type="paragraph" w:customStyle="1" w:styleId="PullOutBoxNumber2">
    <w:name w:val="Pull Out Box Number 2"/>
    <w:basedOn w:val="PullOutBoxBodyText"/>
    <w:qFormat/>
    <w:rsid w:val="00B2295B"/>
    <w:pPr>
      <w:numPr>
        <w:ilvl w:val="1"/>
        <w:numId w:val="10"/>
      </w:numPr>
      <w:spacing w:before="60" w:after="60"/>
    </w:pPr>
  </w:style>
  <w:style w:type="paragraph" w:customStyle="1" w:styleId="PullOutBoxNumber3">
    <w:name w:val="Pull Out Box Number 3"/>
    <w:basedOn w:val="PullOutBoxBodyText"/>
    <w:qFormat/>
    <w:rsid w:val="00B2295B"/>
    <w:pPr>
      <w:numPr>
        <w:ilvl w:val="2"/>
        <w:numId w:val="10"/>
      </w:numPr>
      <w:spacing w:before="60" w:after="60"/>
    </w:pPr>
  </w:style>
  <w:style w:type="table" w:customStyle="1" w:styleId="PullOutBoxTable">
    <w:name w:val="Pull Out Box Table"/>
    <w:basedOn w:val="TableNormal"/>
    <w:uiPriority w:val="99"/>
    <w:rsid w:val="00AD2869"/>
    <w:pPr>
      <w:spacing w:before="120" w:after="120" w:line="320" w:lineRule="atLeast"/>
      <w:ind w:left="284" w:right="284"/>
    </w:pPr>
    <w:rPr>
      <w:rFonts w:eastAsia="Times New Roman" w:cs="Arial"/>
      <w:color w:val="3D4D7D" w:themeColor="background2"/>
      <w:lang w:eastAsia="en-AU"/>
    </w:rPr>
    <w:tblPr>
      <w:tblBorders>
        <w:top w:val="single" w:sz="4" w:space="0" w:color="FEF5DF"/>
        <w:left w:val="single" w:sz="4" w:space="0" w:color="FEF5DF"/>
        <w:bottom w:val="single" w:sz="4" w:space="0" w:color="FEF5DF"/>
        <w:right w:val="single" w:sz="4" w:space="0" w:color="FEF5DF"/>
        <w:insideH w:val="single" w:sz="4" w:space="0" w:color="FEF5DF"/>
        <w:insideV w:val="single" w:sz="4" w:space="0" w:color="FEF5DF"/>
      </w:tblBorders>
      <w:tblCellMar>
        <w:top w:w="142" w:type="dxa"/>
        <w:left w:w="0" w:type="dxa"/>
        <w:bottom w:w="142" w:type="dxa"/>
        <w:right w:w="0" w:type="dxa"/>
      </w:tblCellMar>
    </w:tblPr>
    <w:tcPr>
      <w:shd w:val="clear" w:color="auto" w:fill="FEF5DF"/>
    </w:tcPr>
  </w:style>
  <w:style w:type="paragraph" w:styleId="Quote">
    <w:name w:val="Quote"/>
    <w:basedOn w:val="Normal"/>
    <w:link w:val="QuoteChar"/>
    <w:qFormat/>
    <w:rsid w:val="00A326AE"/>
    <w:pPr>
      <w:tabs>
        <w:tab w:val="left" w:pos="1134"/>
      </w:tabs>
      <w:spacing w:before="120"/>
      <w:ind w:left="284"/>
    </w:pPr>
    <w:rPr>
      <w:i/>
      <w:iCs/>
    </w:rPr>
  </w:style>
  <w:style w:type="character" w:customStyle="1" w:styleId="QuoteChar">
    <w:name w:val="Quote Char"/>
    <w:basedOn w:val="DefaultParagraphFont"/>
    <w:link w:val="Quote"/>
    <w:rsid w:val="00A326AE"/>
    <w:rPr>
      <w:i/>
      <w:iCs/>
    </w:rPr>
  </w:style>
  <w:style w:type="paragraph" w:customStyle="1" w:styleId="QuoteBullet">
    <w:name w:val="Quote Bullet"/>
    <w:basedOn w:val="Quote"/>
    <w:qFormat/>
    <w:rsid w:val="00A326AE"/>
    <w:pPr>
      <w:numPr>
        <w:numId w:val="4"/>
      </w:numPr>
      <w:ind w:left="568" w:hanging="284"/>
    </w:pPr>
  </w:style>
  <w:style w:type="paragraph" w:customStyle="1" w:styleId="QuoteBullet2">
    <w:name w:val="Quote Bullet 2"/>
    <w:basedOn w:val="Quote"/>
    <w:qFormat/>
    <w:rsid w:val="002D14CD"/>
    <w:pPr>
      <w:numPr>
        <w:ilvl w:val="1"/>
        <w:numId w:val="4"/>
      </w:numPr>
      <w:tabs>
        <w:tab w:val="clear" w:pos="1134"/>
      </w:tabs>
    </w:pPr>
  </w:style>
  <w:style w:type="character" w:customStyle="1" w:styleId="Superscript">
    <w:name w:val="Superscript"/>
    <w:rsid w:val="00961DBB"/>
    <w:rPr>
      <w:vertAlign w:val="superscript"/>
    </w:rPr>
  </w:style>
  <w:style w:type="table" w:customStyle="1" w:styleId="TableGridDarkHeader">
    <w:name w:val="Table Grid Dark Header"/>
    <w:basedOn w:val="TableNormal"/>
    <w:uiPriority w:val="99"/>
    <w:rsid w:val="00AD2869"/>
    <w:pPr>
      <w:spacing w:before="40" w:after="40" w:line="240" w:lineRule="auto"/>
    </w:pPr>
    <w:rPr>
      <w:sz w:val="20"/>
    </w:rPr>
    <w:tblPr>
      <w:tblStyleRowBandSize w:val="1"/>
      <w:tblCellMar>
        <w:top w:w="57" w:type="dxa"/>
        <w:left w:w="0" w:type="dxa"/>
        <w:bottom w:w="57" w:type="dxa"/>
        <w:right w:w="0" w:type="dxa"/>
      </w:tblCellMar>
    </w:tblPr>
    <w:tblStylePr w:type="firstRow">
      <w:rPr>
        <w:b/>
        <w:color w:val="FFFFFF" w:themeColor="background1"/>
      </w:rPr>
      <w:tblPr/>
      <w:tcPr>
        <w:shd w:val="clear" w:color="auto" w:fill="3D4D7D" w:themeFill="background2"/>
      </w:tcPr>
    </w:tblStylePr>
    <w:tblStylePr w:type="lastRow">
      <w:rPr>
        <w:b/>
      </w:rPr>
      <w:tblPr/>
      <w:tcPr>
        <w:shd w:val="clear" w:color="auto" w:fill="A7B2D4" w:themeFill="background2" w:themeFillTint="66"/>
      </w:tcPr>
    </w:tblStylePr>
    <w:tblStylePr w:type="band1Horz">
      <w:tblPr/>
      <w:tcPr>
        <w:shd w:val="clear" w:color="auto" w:fill="D3D8E9" w:themeFill="background2" w:themeFillTint="33"/>
      </w:tcPr>
    </w:tblStylePr>
  </w:style>
  <w:style w:type="paragraph" w:customStyle="1" w:styleId="TableFootnotes">
    <w:name w:val="Table Footnotes"/>
    <w:basedOn w:val="Normal"/>
    <w:rsid w:val="001901A1"/>
    <w:pPr>
      <w:keepLines/>
      <w:numPr>
        <w:numId w:val="5"/>
      </w:numPr>
      <w:spacing w:before="60" w:after="60" w:line="260" w:lineRule="atLeast"/>
    </w:pPr>
    <w:rPr>
      <w:color w:val="788184"/>
      <w:sz w:val="18"/>
    </w:rPr>
  </w:style>
  <w:style w:type="table" w:styleId="TableGrid">
    <w:name w:val="Table Grid"/>
    <w:basedOn w:val="TableNormal"/>
    <w:rsid w:val="00AD2869"/>
    <w:pPr>
      <w:spacing w:before="40" w:after="40" w:line="240" w:lineRule="auto"/>
      <w:ind w:left="85" w:right="85"/>
    </w:pPr>
    <w:rPr>
      <w:sz w:val="20"/>
    </w:rPr>
    <w:tblPr>
      <w:tblStyleRowBandSize w:val="1"/>
      <w:tblBorders>
        <w:top w:val="single" w:sz="4" w:space="0" w:color="000000" w:themeColor="text1"/>
        <w:bottom w:val="single" w:sz="4" w:space="0" w:color="000000" w:themeColor="text1"/>
      </w:tblBorders>
      <w:tblCellMar>
        <w:top w:w="57" w:type="dxa"/>
        <w:left w:w="0" w:type="dxa"/>
        <w:bottom w:w="57" w:type="dxa"/>
        <w:right w:w="0" w:type="dxa"/>
      </w:tblCellMar>
    </w:tblPr>
    <w:tblStylePr w:type="firstRow">
      <w:rPr>
        <w:b/>
      </w:rPr>
      <w:tblPr/>
      <w:tcPr>
        <w:tcBorders>
          <w:bottom w:val="single" w:sz="4" w:space="0" w:color="auto"/>
        </w:tcBorders>
      </w:tcPr>
    </w:tblStylePr>
    <w:tblStylePr w:type="lastRow">
      <w:rPr>
        <w:b/>
      </w:rPr>
      <w:tblPr/>
      <w:tcPr>
        <w:shd w:val="clear" w:color="auto" w:fill="A7B2D4" w:themeFill="background2" w:themeFillTint="66"/>
      </w:tcPr>
    </w:tblStylePr>
    <w:tblStylePr w:type="band2Horz">
      <w:tblPr/>
      <w:tcPr>
        <w:shd w:val="clear" w:color="auto" w:fill="D3D8E9" w:themeFill="background2" w:themeFillTint="33"/>
      </w:tcPr>
    </w:tblStylePr>
    <w:tblStylePr w:type="nwCell">
      <w:rPr>
        <w:color w:val="000000" w:themeColor="text1"/>
      </w:rPr>
    </w:tblStylePr>
  </w:style>
  <w:style w:type="paragraph" w:customStyle="1" w:styleId="TableHeading">
    <w:name w:val="Table Heading"/>
    <w:basedOn w:val="Normal"/>
    <w:qFormat/>
    <w:rsid w:val="00297971"/>
    <w:pPr>
      <w:spacing w:before="40" w:after="40" w:line="240" w:lineRule="auto"/>
      <w:ind w:left="85" w:right="85"/>
    </w:pPr>
    <w:rPr>
      <w:color w:val="FFFFFF" w:themeColor="background1"/>
    </w:rPr>
  </w:style>
  <w:style w:type="paragraph" w:customStyle="1" w:styleId="TableHeadingCentred">
    <w:name w:val="Table Heading Centred"/>
    <w:basedOn w:val="Normal"/>
    <w:qFormat/>
    <w:rsid w:val="00CA5C20"/>
    <w:pPr>
      <w:spacing w:before="40" w:after="40" w:line="240" w:lineRule="auto"/>
      <w:jc w:val="center"/>
    </w:pPr>
  </w:style>
  <w:style w:type="paragraph" w:customStyle="1" w:styleId="TableHeadingRight">
    <w:name w:val="Table Heading Right"/>
    <w:basedOn w:val="Normal"/>
    <w:qFormat/>
    <w:rsid w:val="00CA5C20"/>
    <w:pPr>
      <w:spacing w:before="40" w:after="40" w:line="240" w:lineRule="auto"/>
      <w:jc w:val="right"/>
    </w:pPr>
  </w:style>
  <w:style w:type="paragraph" w:customStyle="1" w:styleId="Source">
    <w:name w:val="Source"/>
    <w:basedOn w:val="Normal"/>
    <w:next w:val="Normal"/>
    <w:rsid w:val="001901A1"/>
    <w:pPr>
      <w:spacing w:before="120" w:after="40" w:line="240" w:lineRule="auto"/>
    </w:pPr>
    <w:rPr>
      <w:rFonts w:cs="Times New Roman"/>
      <w:color w:val="788184"/>
      <w:sz w:val="18"/>
      <w:szCs w:val="14"/>
    </w:rPr>
  </w:style>
  <w:style w:type="paragraph" w:customStyle="1" w:styleId="TableText">
    <w:name w:val="Table Text"/>
    <w:basedOn w:val="Normal"/>
    <w:qFormat/>
    <w:rsid w:val="00456DEB"/>
    <w:pPr>
      <w:spacing w:before="40" w:after="40" w:line="240" w:lineRule="auto"/>
      <w:ind w:left="85" w:right="85"/>
    </w:pPr>
    <w:rPr>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6"/>
      </w:numPr>
    </w:pPr>
  </w:style>
  <w:style w:type="paragraph" w:customStyle="1" w:styleId="TableTextBullet2">
    <w:name w:val="Table Text Bullet 2"/>
    <w:basedOn w:val="TableTextBullet"/>
    <w:qFormat/>
    <w:rsid w:val="00961DBB"/>
    <w:pPr>
      <w:numPr>
        <w:ilvl w:val="1"/>
      </w:numPr>
    </w:pPr>
    <w:rPr>
      <w:bCs/>
    </w:rPr>
  </w:style>
  <w:style w:type="paragraph" w:customStyle="1" w:styleId="TableTextBullet3">
    <w:name w:val="Table Text Bullet 3"/>
    <w:basedOn w:val="TableTextBullet2"/>
    <w:qFormat/>
    <w:rsid w:val="00961DBB"/>
    <w:pPr>
      <w:numPr>
        <w:ilvl w:val="2"/>
      </w:numPr>
    </w:pPr>
    <w:rPr>
      <w:bCs w:val="0"/>
    </w:rPr>
  </w:style>
  <w:style w:type="paragraph" w:customStyle="1" w:styleId="TableTextNumber">
    <w:name w:val="Table Text Number"/>
    <w:basedOn w:val="TableText"/>
    <w:qFormat/>
    <w:rsid w:val="00961DBB"/>
    <w:pPr>
      <w:numPr>
        <w:numId w:val="7"/>
      </w:numPr>
    </w:pPr>
  </w:style>
  <w:style w:type="paragraph" w:customStyle="1" w:styleId="TableTextNumber2">
    <w:name w:val="Table Text Number 2"/>
    <w:basedOn w:val="TableTextNumber"/>
    <w:qFormat/>
    <w:rsid w:val="00961DBB"/>
    <w:pPr>
      <w:numPr>
        <w:ilvl w:val="1"/>
      </w:numPr>
    </w:pPr>
  </w:style>
  <w:style w:type="paragraph" w:customStyle="1" w:styleId="TableTextNumber3">
    <w:name w:val="Table Text Number 3"/>
    <w:basedOn w:val="TableTextNumber2"/>
    <w:qFormat/>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
    <w:rsid w:val="00785B35"/>
    <w:pPr>
      <w:spacing w:before="5700" w:after="280" w:line="235" w:lineRule="auto"/>
      <w:ind w:left="227" w:right="3119"/>
      <w:contextualSpacing/>
    </w:pPr>
    <w:rPr>
      <w:rFonts w:ascii="Calibri Light" w:eastAsiaTheme="majorEastAsia" w:hAnsi="Calibri Light" w:cstheme="majorBidi"/>
      <w:caps/>
      <w:color w:val="FFFFFF" w:themeColor="background1"/>
      <w:spacing w:val="14"/>
      <w:sz w:val="44"/>
      <w:szCs w:val="50"/>
      <w:lang w:eastAsia="en-AU"/>
    </w:rPr>
  </w:style>
  <w:style w:type="character" w:customStyle="1" w:styleId="TitleChar">
    <w:name w:val="Title Char"/>
    <w:basedOn w:val="DefaultParagraphFont"/>
    <w:link w:val="Title"/>
    <w:uiPriority w:val="3"/>
    <w:rsid w:val="00785B35"/>
    <w:rPr>
      <w:rFonts w:ascii="Calibri Light" w:eastAsiaTheme="majorEastAsia" w:hAnsi="Calibri Light" w:cstheme="majorBidi"/>
      <w:caps/>
      <w:color w:val="FFFFFF" w:themeColor="background1"/>
      <w:spacing w:val="14"/>
      <w:sz w:val="44"/>
      <w:szCs w:val="50"/>
      <w:lang w:eastAsia="en-AU"/>
    </w:rPr>
  </w:style>
  <w:style w:type="paragraph" w:customStyle="1" w:styleId="Title2">
    <w:name w:val="Title 2"/>
    <w:basedOn w:val="Normal"/>
    <w:link w:val="Title2Char"/>
    <w:uiPriority w:val="3"/>
    <w:rsid w:val="00785B35"/>
    <w:pPr>
      <w:spacing w:line="380" w:lineRule="atLeast"/>
      <w:ind w:left="227" w:right="3119"/>
    </w:pPr>
    <w:rPr>
      <w:rFonts w:asciiTheme="majorHAnsi" w:hAnsiTheme="majorHAnsi"/>
      <w:b/>
      <w:color w:val="FFFFFF" w:themeColor="background1"/>
      <w:spacing w:val="-1"/>
      <w:sz w:val="26"/>
    </w:rPr>
  </w:style>
  <w:style w:type="character" w:customStyle="1" w:styleId="Title2Char">
    <w:name w:val="Title 2 Char"/>
    <w:basedOn w:val="DefaultParagraphFont"/>
    <w:link w:val="Title2"/>
    <w:uiPriority w:val="3"/>
    <w:rsid w:val="00785B35"/>
    <w:rPr>
      <w:rFonts w:asciiTheme="majorHAnsi" w:hAnsiTheme="majorHAnsi"/>
      <w:b/>
      <w:color w:val="FFFFFF" w:themeColor="background1"/>
      <w:spacing w:val="-1"/>
      <w:sz w:val="26"/>
    </w:rPr>
  </w:style>
  <w:style w:type="paragraph" w:customStyle="1" w:styleId="Title3">
    <w:name w:val="Title 3"/>
    <w:basedOn w:val="Title2"/>
    <w:link w:val="Title3Char"/>
    <w:uiPriority w:val="3"/>
    <w:rsid w:val="0081085D"/>
    <w:pPr>
      <w:framePr w:w="2835" w:wrap="around" w:vAnchor="page" w:hAnchor="page" w:x="8591" w:y="7854"/>
      <w:spacing w:after="120" w:line="600" w:lineRule="atLeast"/>
      <w:ind w:right="0"/>
      <w:contextualSpacing/>
    </w:pPr>
    <w:rPr>
      <w:rFonts w:eastAsia="Times New Roman" w:cs="Arial"/>
      <w:b w:val="0"/>
      <w:color w:val="3D4D7D" w:themeColor="background2"/>
      <w:spacing w:val="0"/>
      <w:sz w:val="46"/>
      <w:lang w:eastAsia="en-AU"/>
    </w:rPr>
  </w:style>
  <w:style w:type="paragraph" w:styleId="TOC1">
    <w:name w:val="toc 1"/>
    <w:basedOn w:val="Normal"/>
    <w:next w:val="Normal"/>
    <w:uiPriority w:val="39"/>
    <w:rsid w:val="00E91C83"/>
    <w:pPr>
      <w:tabs>
        <w:tab w:val="left" w:pos="567"/>
        <w:tab w:val="right" w:pos="7654"/>
      </w:tabs>
      <w:spacing w:before="260" w:after="130" w:line="240" w:lineRule="auto"/>
      <w:ind w:left="567" w:right="1983" w:hanging="567"/>
    </w:pPr>
    <w:rPr>
      <w:b/>
      <w:noProof/>
      <w:color w:val="000000" w:themeColor="text1"/>
      <w:sz w:val="24"/>
    </w:rPr>
  </w:style>
  <w:style w:type="paragraph" w:styleId="TOC2">
    <w:name w:val="toc 2"/>
    <w:basedOn w:val="Normal"/>
    <w:next w:val="Normal"/>
    <w:uiPriority w:val="39"/>
    <w:rsid w:val="00E91C83"/>
    <w:pPr>
      <w:tabs>
        <w:tab w:val="left" w:pos="567"/>
        <w:tab w:val="right" w:pos="7654"/>
      </w:tabs>
      <w:spacing w:after="40" w:line="240" w:lineRule="auto"/>
      <w:ind w:left="567" w:right="1985" w:hanging="567"/>
    </w:pPr>
    <w:rPr>
      <w:rFonts w:ascii="Calibri Light" w:eastAsiaTheme="minorEastAsia" w:hAnsi="Calibri Light"/>
      <w:noProof/>
      <w:color w:val="000000" w:themeColor="text1"/>
      <w:sz w:val="24"/>
      <w:lang w:eastAsia="en-AU"/>
    </w:rPr>
  </w:style>
  <w:style w:type="paragraph" w:styleId="TOC3">
    <w:name w:val="toc 3"/>
    <w:basedOn w:val="Normal"/>
    <w:next w:val="Normal"/>
    <w:uiPriority w:val="39"/>
    <w:rsid w:val="00E91C83"/>
    <w:pPr>
      <w:tabs>
        <w:tab w:val="left" w:pos="1417"/>
        <w:tab w:val="right" w:pos="7654"/>
      </w:tabs>
      <w:spacing w:before="120" w:after="120" w:line="240" w:lineRule="auto"/>
      <w:ind w:left="1417" w:right="1985" w:hanging="850"/>
      <w:contextualSpacing/>
    </w:pPr>
    <w:rPr>
      <w:rFonts w:ascii="Calibri Light" w:eastAsiaTheme="minorEastAsia" w:hAnsi="Calibri Light"/>
      <w:noProof/>
      <w:color w:val="000000" w:themeColor="text1"/>
      <w:sz w:val="24"/>
    </w:rPr>
  </w:style>
  <w:style w:type="paragraph" w:styleId="TOC4">
    <w:name w:val="toc 4"/>
    <w:basedOn w:val="Normal"/>
    <w:uiPriority w:val="39"/>
    <w:rsid w:val="00FF1368"/>
    <w:pPr>
      <w:tabs>
        <w:tab w:val="left" w:pos="454"/>
        <w:tab w:val="right" w:pos="7655"/>
      </w:tabs>
      <w:spacing w:after="40" w:line="240" w:lineRule="auto"/>
      <w:ind w:left="454" w:hanging="454"/>
    </w:pPr>
    <w:rPr>
      <w:rFonts w:ascii="Calibri Light" w:hAnsi="Calibri Light"/>
      <w:noProof/>
      <w:color w:val="000000" w:themeColor="text1"/>
      <w:sz w:val="24"/>
    </w:rPr>
  </w:style>
  <w:style w:type="paragraph" w:styleId="TOC5">
    <w:name w:val="toc 5"/>
    <w:basedOn w:val="Normal"/>
    <w:next w:val="Normal"/>
    <w:autoRedefine/>
    <w:uiPriority w:val="39"/>
    <w:rsid w:val="0081085D"/>
    <w:pPr>
      <w:tabs>
        <w:tab w:val="left" w:pos="567"/>
        <w:tab w:val="right" w:pos="7655"/>
      </w:tabs>
      <w:spacing w:after="40" w:line="240" w:lineRule="auto"/>
      <w:ind w:left="567" w:right="1985" w:hanging="567"/>
    </w:pPr>
    <w:rPr>
      <w:rFonts w:ascii="Calibri Light" w:hAnsi="Calibri Light"/>
      <w:b/>
      <w:color w:val="3D4D7D" w:themeColor="background2"/>
      <w:sz w:val="24"/>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semiHidden/>
    <w:rsid w:val="00BE45B2"/>
    <w:pPr>
      <w:tabs>
        <w:tab w:val="left" w:pos="454"/>
        <w:tab w:val="right" w:pos="7626"/>
      </w:tabs>
      <w:spacing w:after="30" w:line="240" w:lineRule="auto"/>
      <w:ind w:left="454" w:hanging="454"/>
    </w:pPr>
    <w:rPr>
      <w:rFonts w:ascii="Calibri Light" w:hAnsi="Calibri Light"/>
      <w:color w:val="000000" w:themeColor="text1"/>
      <w:sz w:val="24"/>
    </w:rPr>
  </w:style>
  <w:style w:type="paragraph" w:styleId="TOCHeading">
    <w:name w:val="TOC Heading"/>
    <w:basedOn w:val="Normal"/>
    <w:uiPriority w:val="39"/>
    <w:rsid w:val="0081085D"/>
    <w:pPr>
      <w:tabs>
        <w:tab w:val="right" w:pos="7655"/>
      </w:tabs>
      <w:spacing w:after="1220" w:line="204" w:lineRule="auto"/>
    </w:pPr>
    <w:rPr>
      <w:rFonts w:ascii="Calibri Light" w:hAnsi="Calibri Light"/>
      <w:color w:val="3D4D7D" w:themeColor="background2"/>
      <w:sz w:val="52"/>
      <w:szCs w:val="40"/>
    </w:rPr>
  </w:style>
  <w:style w:type="paragraph" w:customStyle="1" w:styleId="TOFHeading">
    <w:name w:val="TOF Heading"/>
    <w:basedOn w:val="Normal"/>
    <w:uiPriority w:val="39"/>
    <w:rsid w:val="0081085D"/>
    <w:pPr>
      <w:keepNext/>
      <w:tabs>
        <w:tab w:val="left" w:pos="2268"/>
      </w:tabs>
      <w:spacing w:before="300" w:after="120"/>
    </w:pPr>
    <w:rPr>
      <w:color w:val="3D4D7D" w:themeColor="background2"/>
      <w:sz w:val="28"/>
      <w:szCs w:val="32"/>
    </w:rPr>
  </w:style>
  <w:style w:type="paragraph" w:customStyle="1" w:styleId="xDisclaimerHeading">
    <w:name w:val="xDisclaimer Heading"/>
    <w:basedOn w:val="Normal"/>
    <w:next w:val="xDisclaimerText"/>
    <w:link w:val="xDisclaimerHeadingChar"/>
    <w:uiPriority w:val="3"/>
    <w:rsid w:val="0081085D"/>
    <w:pPr>
      <w:framePr w:hSpace="181" w:wrap="around" w:hAnchor="margin" w:y="4310"/>
      <w:spacing w:before="320" w:line="280" w:lineRule="atLeast"/>
      <w:suppressOverlap/>
    </w:pPr>
    <w:rPr>
      <w:b/>
      <w:color w:val="3D4D7D" w:themeColor="background2"/>
      <w:sz w:val="26"/>
    </w:rPr>
  </w:style>
  <w:style w:type="character" w:customStyle="1" w:styleId="xDisclaimerHeadingChar">
    <w:name w:val="xDisclaimer Heading Char"/>
    <w:basedOn w:val="DefaultParagraphFont"/>
    <w:link w:val="xDisclaimerHeading"/>
    <w:uiPriority w:val="3"/>
    <w:rsid w:val="0081085D"/>
    <w:rPr>
      <w:b/>
      <w:color w:val="3D4D7D" w:themeColor="background2"/>
      <w:sz w:val="26"/>
    </w:rPr>
  </w:style>
  <w:style w:type="paragraph" w:customStyle="1" w:styleId="xDisclaimerText">
    <w:name w:val="xDisclaimer Text"/>
    <w:basedOn w:val="Normal"/>
    <w:uiPriority w:val="3"/>
    <w:rsid w:val="003A43A0"/>
    <w:pPr>
      <w:framePr w:w="7768" w:wrap="around" w:hAnchor="margin" w:yAlign="bottom"/>
      <w:spacing w:after="57"/>
    </w:pPr>
    <w:rPr>
      <w:rFonts w:cs="Times New Roman"/>
      <w:color w:val="000000" w:themeColor="text1"/>
    </w:rPr>
  </w:style>
  <w:style w:type="paragraph" w:customStyle="1" w:styleId="xDisclaimerText2">
    <w:name w:val="xDisclaimer Text 2"/>
    <w:basedOn w:val="xDisclaimerHeading"/>
    <w:uiPriority w:val="3"/>
    <w:rsid w:val="008A0A35"/>
    <w:pPr>
      <w:framePr w:wrap="around"/>
      <w:spacing w:before="0" w:after="170" w:line="302" w:lineRule="atLeast"/>
    </w:pPr>
    <w:rPr>
      <w:b w:val="0"/>
      <w:color w:val="000000" w:themeColor="text1"/>
      <w:sz w:val="22"/>
    </w:rPr>
  </w:style>
  <w:style w:type="table" w:customStyle="1" w:styleId="FooterPlaceholder">
    <w:name w:val="Footer Placeholder"/>
    <w:basedOn w:val="TableNormal"/>
    <w:uiPriority w:val="99"/>
    <w:rsid w:val="00F24BF6"/>
    <w:pPr>
      <w:spacing w:line="240" w:lineRule="auto"/>
    </w:pPr>
    <w:rPr>
      <w:sz w:val="16"/>
    </w:rPr>
    <w:tblPr>
      <w:tblCellMar>
        <w:left w:w="0" w:type="dxa"/>
        <w:right w:w="0" w:type="dxa"/>
      </w:tblCellMar>
    </w:tblPr>
  </w:style>
  <w:style w:type="paragraph" w:customStyle="1" w:styleId="xInlineShape">
    <w:name w:val="xInlineShape"/>
    <w:basedOn w:val="Normal"/>
    <w:next w:val="BodyText"/>
    <w:uiPriority w:val="3"/>
    <w:rsid w:val="00E54919"/>
    <w:pPr>
      <w:keepNext/>
      <w:spacing w:before="60" w:after="60" w:line="240" w:lineRule="auto"/>
      <w:jc w:val="center"/>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Heading1NoNumbering">
    <w:name w:val="Heading 1 No Numbering"/>
    <w:basedOn w:val="Heading1"/>
    <w:qFormat/>
    <w:rsid w:val="00FF1368"/>
    <w:pPr>
      <w:numPr>
        <w:numId w:val="0"/>
      </w:numPr>
    </w:pPr>
  </w:style>
  <w:style w:type="paragraph" w:styleId="TableofFigures">
    <w:name w:val="table of figures"/>
    <w:basedOn w:val="Normal"/>
    <w:next w:val="Normal"/>
    <w:uiPriority w:val="99"/>
    <w:rsid w:val="00563884"/>
    <w:pPr>
      <w:tabs>
        <w:tab w:val="right" w:pos="7655"/>
      </w:tabs>
      <w:spacing w:after="40"/>
      <w:ind w:right="1985"/>
    </w:pPr>
    <w:rPr>
      <w:rFonts w:ascii="Calibri Light" w:hAnsi="Calibri Light"/>
    </w:rPr>
  </w:style>
  <w:style w:type="paragraph" w:customStyle="1" w:styleId="TableTextCentred">
    <w:name w:val="Table Text Centred"/>
    <w:basedOn w:val="TableText"/>
    <w:qFormat/>
    <w:rsid w:val="00AE1CC1"/>
    <w:pPr>
      <w:jc w:val="center"/>
    </w:pPr>
    <w:rPr>
      <w:rFonts w:eastAsia="Times New Roman"/>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BodyTextAfterListTable">
    <w:name w:val="Body Text After List/Table"/>
    <w:basedOn w:val="BodyText"/>
    <w:next w:val="BodyText"/>
    <w:qFormat/>
    <w:rsid w:val="00E167B4"/>
    <w:pPr>
      <w:spacing w:before="240"/>
    </w:pPr>
  </w:style>
  <w:style w:type="paragraph" w:customStyle="1" w:styleId="TableTextIndented">
    <w:name w:val="Table Text Indented"/>
    <w:basedOn w:val="TableText"/>
    <w:qFormat/>
    <w:rsid w:val="009B1E4D"/>
    <w:pPr>
      <w:ind w:left="170"/>
    </w:pPr>
  </w:style>
  <w:style w:type="character" w:customStyle="1" w:styleId="Title3Heading">
    <w:name w:val="Title 3 Heading"/>
    <w:basedOn w:val="DefaultParagraphFont"/>
    <w:uiPriority w:val="3"/>
    <w:qFormat/>
    <w:rsid w:val="008621A9"/>
    <w:rPr>
      <w:sz w:val="36"/>
    </w:rPr>
  </w:style>
  <w:style w:type="character" w:customStyle="1" w:styleId="Title3Char">
    <w:name w:val="Title 3 Char"/>
    <w:basedOn w:val="Title2Char"/>
    <w:link w:val="Title3"/>
    <w:uiPriority w:val="3"/>
    <w:rsid w:val="0081085D"/>
    <w:rPr>
      <w:rFonts w:asciiTheme="majorHAnsi" w:eastAsia="Times New Roman" w:hAnsiTheme="majorHAnsi" w:cs="Arial"/>
      <w:b w:val="0"/>
      <w:color w:val="3D4D7D" w:themeColor="background2"/>
      <w:spacing w:val="-1"/>
      <w:sz w:val="46"/>
      <w:lang w:eastAsia="en-AU"/>
    </w:rPr>
  </w:style>
  <w:style w:type="character" w:styleId="CommentReference">
    <w:name w:val="annotation reference"/>
    <w:basedOn w:val="DefaultParagraphFont"/>
    <w:semiHidden/>
    <w:unhideWhenUsed/>
    <w:rsid w:val="00217EF3"/>
    <w:rPr>
      <w:sz w:val="16"/>
      <w:szCs w:val="16"/>
    </w:rPr>
  </w:style>
  <w:style w:type="paragraph" w:styleId="CommentText">
    <w:name w:val="annotation text"/>
    <w:basedOn w:val="Normal"/>
    <w:link w:val="CommentTextChar"/>
    <w:semiHidden/>
    <w:unhideWhenUsed/>
    <w:rsid w:val="00217EF3"/>
    <w:pPr>
      <w:spacing w:line="240" w:lineRule="auto"/>
    </w:pPr>
    <w:rPr>
      <w:sz w:val="20"/>
      <w:szCs w:val="20"/>
    </w:rPr>
  </w:style>
  <w:style w:type="character" w:customStyle="1" w:styleId="CommentTextChar">
    <w:name w:val="Comment Text Char"/>
    <w:basedOn w:val="DefaultParagraphFont"/>
    <w:link w:val="CommentText"/>
    <w:semiHidden/>
    <w:rsid w:val="00217EF3"/>
    <w:rPr>
      <w:sz w:val="20"/>
      <w:szCs w:val="20"/>
    </w:rPr>
  </w:style>
  <w:style w:type="paragraph" w:styleId="CommentSubject">
    <w:name w:val="annotation subject"/>
    <w:basedOn w:val="CommentText"/>
    <w:next w:val="CommentText"/>
    <w:link w:val="CommentSubjectChar"/>
    <w:semiHidden/>
    <w:unhideWhenUsed/>
    <w:rsid w:val="00217EF3"/>
    <w:rPr>
      <w:b/>
      <w:bCs/>
    </w:rPr>
  </w:style>
  <w:style w:type="character" w:customStyle="1" w:styleId="CommentSubjectChar">
    <w:name w:val="Comment Subject Char"/>
    <w:basedOn w:val="CommentTextChar"/>
    <w:link w:val="CommentSubject"/>
    <w:semiHidden/>
    <w:rsid w:val="00217EF3"/>
    <w:rPr>
      <w:b/>
      <w:bCs/>
      <w:sz w:val="20"/>
      <w:szCs w:val="20"/>
    </w:rPr>
  </w:style>
  <w:style w:type="table" w:styleId="ColorfulGrid">
    <w:name w:val="Colorful Grid"/>
    <w:basedOn w:val="TableNormal"/>
    <w:uiPriority w:val="73"/>
    <w:semiHidden/>
    <w:rsid w:val="00EE3EB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EE3EB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D7E6" w:themeFill="accent1" w:themeFillTint="33"/>
    </w:tcPr>
    <w:tblStylePr w:type="firstRow">
      <w:rPr>
        <w:b/>
        <w:bCs/>
      </w:rPr>
      <w:tblPr/>
      <w:tcPr>
        <w:shd w:val="clear" w:color="auto" w:fill="D6B0CE" w:themeFill="accent1" w:themeFillTint="66"/>
      </w:tcPr>
    </w:tblStylePr>
    <w:tblStylePr w:type="lastRow">
      <w:rPr>
        <w:b/>
        <w:bCs/>
        <w:color w:val="000000" w:themeColor="text1"/>
      </w:rPr>
      <w:tblPr/>
      <w:tcPr>
        <w:shd w:val="clear" w:color="auto" w:fill="D6B0CE" w:themeFill="accent1" w:themeFillTint="66"/>
      </w:tcPr>
    </w:tblStylePr>
    <w:tblStylePr w:type="firstCol">
      <w:rPr>
        <w:color w:val="FFFFFF" w:themeColor="background1"/>
      </w:rPr>
      <w:tblPr/>
      <w:tcPr>
        <w:shd w:val="clear" w:color="auto" w:fill="69365E" w:themeFill="accent1" w:themeFillShade="BF"/>
      </w:tcPr>
    </w:tblStylePr>
    <w:tblStylePr w:type="lastCol">
      <w:rPr>
        <w:color w:val="FFFFFF" w:themeColor="background1"/>
      </w:rPr>
      <w:tblPr/>
      <w:tcPr>
        <w:shd w:val="clear" w:color="auto" w:fill="69365E" w:themeFill="accent1" w:themeFillShade="BF"/>
      </w:tcPr>
    </w:tblStylePr>
    <w:tblStylePr w:type="band1Vert">
      <w:tblPr/>
      <w:tcPr>
        <w:shd w:val="clear" w:color="auto" w:fill="CD9DC3" w:themeFill="accent1" w:themeFillTint="7F"/>
      </w:tcPr>
    </w:tblStylePr>
    <w:tblStylePr w:type="band1Horz">
      <w:tblPr/>
      <w:tcPr>
        <w:shd w:val="clear" w:color="auto" w:fill="CD9DC3" w:themeFill="accent1" w:themeFillTint="7F"/>
      </w:tcPr>
    </w:tblStylePr>
  </w:style>
  <w:style w:type="table" w:styleId="ColorfulGrid-Accent2">
    <w:name w:val="Colorful Grid Accent 2"/>
    <w:basedOn w:val="TableNormal"/>
    <w:uiPriority w:val="73"/>
    <w:semiHidden/>
    <w:rsid w:val="00EE3EB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BD9" w:themeFill="accent2" w:themeFillTint="33"/>
    </w:tcPr>
    <w:tblStylePr w:type="firstRow">
      <w:rPr>
        <w:b/>
        <w:bCs/>
      </w:rPr>
      <w:tblPr/>
      <w:tcPr>
        <w:shd w:val="clear" w:color="auto" w:fill="E8B7B4" w:themeFill="accent2" w:themeFillTint="66"/>
      </w:tcPr>
    </w:tblStylePr>
    <w:tblStylePr w:type="lastRow">
      <w:rPr>
        <w:b/>
        <w:bCs/>
        <w:color w:val="000000" w:themeColor="text1"/>
      </w:rPr>
      <w:tblPr/>
      <w:tcPr>
        <w:shd w:val="clear" w:color="auto" w:fill="E8B7B4" w:themeFill="accent2" w:themeFillTint="66"/>
      </w:tcPr>
    </w:tblStylePr>
    <w:tblStylePr w:type="firstCol">
      <w:rPr>
        <w:color w:val="FFFFFF" w:themeColor="background1"/>
      </w:rPr>
      <w:tblPr/>
      <w:tcPr>
        <w:shd w:val="clear" w:color="auto" w:fill="98362F" w:themeFill="accent2" w:themeFillShade="BF"/>
      </w:tcPr>
    </w:tblStylePr>
    <w:tblStylePr w:type="lastCol">
      <w:rPr>
        <w:color w:val="FFFFFF" w:themeColor="background1"/>
      </w:rPr>
      <w:tblPr/>
      <w:tcPr>
        <w:shd w:val="clear" w:color="auto" w:fill="98362F" w:themeFill="accent2" w:themeFillShade="BF"/>
      </w:tcPr>
    </w:tblStylePr>
    <w:tblStylePr w:type="band1Vert">
      <w:tblPr/>
      <w:tcPr>
        <w:shd w:val="clear" w:color="auto" w:fill="E2A6A2" w:themeFill="accent2" w:themeFillTint="7F"/>
      </w:tcPr>
    </w:tblStylePr>
    <w:tblStylePr w:type="band1Horz">
      <w:tblPr/>
      <w:tcPr>
        <w:shd w:val="clear" w:color="auto" w:fill="E2A6A2" w:themeFill="accent2" w:themeFillTint="7F"/>
      </w:tcPr>
    </w:tblStylePr>
  </w:style>
  <w:style w:type="table" w:styleId="ColorfulGrid-Accent3">
    <w:name w:val="Colorful Grid Accent 3"/>
    <w:basedOn w:val="TableNormal"/>
    <w:uiPriority w:val="73"/>
    <w:semiHidden/>
    <w:rsid w:val="00EE3EB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CE6D8" w:themeFill="accent3" w:themeFillTint="33"/>
    </w:tcPr>
    <w:tblStylePr w:type="firstRow">
      <w:rPr>
        <w:b/>
        <w:bCs/>
      </w:rPr>
      <w:tblPr/>
      <w:tcPr>
        <w:shd w:val="clear" w:color="auto" w:fill="F9CEB1" w:themeFill="accent3" w:themeFillTint="66"/>
      </w:tcPr>
    </w:tblStylePr>
    <w:tblStylePr w:type="lastRow">
      <w:rPr>
        <w:b/>
        <w:bCs/>
        <w:color w:val="000000" w:themeColor="text1"/>
      </w:rPr>
      <w:tblPr/>
      <w:tcPr>
        <w:shd w:val="clear" w:color="auto" w:fill="F9CEB1" w:themeFill="accent3" w:themeFillTint="66"/>
      </w:tcPr>
    </w:tblStylePr>
    <w:tblStylePr w:type="firstCol">
      <w:rPr>
        <w:color w:val="FFFFFF" w:themeColor="background1"/>
      </w:rPr>
      <w:tblPr/>
      <w:tcPr>
        <w:shd w:val="clear" w:color="auto" w:fill="D25E0F" w:themeFill="accent3" w:themeFillShade="BF"/>
      </w:tcPr>
    </w:tblStylePr>
    <w:tblStylePr w:type="lastCol">
      <w:rPr>
        <w:color w:val="FFFFFF" w:themeColor="background1"/>
      </w:rPr>
      <w:tblPr/>
      <w:tcPr>
        <w:shd w:val="clear" w:color="auto" w:fill="D25E0F" w:themeFill="accent3" w:themeFillShade="BF"/>
      </w:tcPr>
    </w:tblStylePr>
    <w:tblStylePr w:type="band1Vert">
      <w:tblPr/>
      <w:tcPr>
        <w:shd w:val="clear" w:color="auto" w:fill="F8C29E" w:themeFill="accent3" w:themeFillTint="7F"/>
      </w:tcPr>
    </w:tblStylePr>
    <w:tblStylePr w:type="band1Horz">
      <w:tblPr/>
      <w:tcPr>
        <w:shd w:val="clear" w:color="auto" w:fill="F8C29E" w:themeFill="accent3" w:themeFillTint="7F"/>
      </w:tcPr>
    </w:tblStylePr>
  </w:style>
  <w:style w:type="table" w:styleId="ColorfulGrid-Accent4">
    <w:name w:val="Colorful Grid Accent 4"/>
    <w:basedOn w:val="TableNormal"/>
    <w:uiPriority w:val="73"/>
    <w:semiHidden/>
    <w:rsid w:val="00EE3EB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EF3DA" w:themeFill="accent4" w:themeFillTint="33"/>
    </w:tcPr>
    <w:tblStylePr w:type="firstRow">
      <w:rPr>
        <w:b/>
        <w:bCs/>
      </w:rPr>
      <w:tblPr/>
      <w:tcPr>
        <w:shd w:val="clear" w:color="auto" w:fill="FDE7B5" w:themeFill="accent4" w:themeFillTint="66"/>
      </w:tcPr>
    </w:tblStylePr>
    <w:tblStylePr w:type="lastRow">
      <w:rPr>
        <w:b/>
        <w:bCs/>
        <w:color w:val="000000" w:themeColor="text1"/>
      </w:rPr>
      <w:tblPr/>
      <w:tcPr>
        <w:shd w:val="clear" w:color="auto" w:fill="FDE7B5" w:themeFill="accent4" w:themeFillTint="66"/>
      </w:tcPr>
    </w:tblStylePr>
    <w:tblStylePr w:type="firstCol">
      <w:rPr>
        <w:color w:val="FFFFFF" w:themeColor="background1"/>
      </w:rPr>
      <w:tblPr/>
      <w:tcPr>
        <w:shd w:val="clear" w:color="auto" w:fill="EEA704" w:themeFill="accent4" w:themeFillShade="BF"/>
      </w:tcPr>
    </w:tblStylePr>
    <w:tblStylePr w:type="lastCol">
      <w:rPr>
        <w:color w:val="FFFFFF" w:themeColor="background1"/>
      </w:rPr>
      <w:tblPr/>
      <w:tcPr>
        <w:shd w:val="clear" w:color="auto" w:fill="EEA704" w:themeFill="accent4" w:themeFillShade="BF"/>
      </w:tcPr>
    </w:tblStylePr>
    <w:tblStylePr w:type="band1Vert">
      <w:tblPr/>
      <w:tcPr>
        <w:shd w:val="clear" w:color="auto" w:fill="FDE2A3" w:themeFill="accent4" w:themeFillTint="7F"/>
      </w:tcPr>
    </w:tblStylePr>
    <w:tblStylePr w:type="band1Horz">
      <w:tblPr/>
      <w:tcPr>
        <w:shd w:val="clear" w:color="auto" w:fill="FDE2A3" w:themeFill="accent4" w:themeFillTint="7F"/>
      </w:tcPr>
    </w:tblStylePr>
  </w:style>
  <w:style w:type="table" w:styleId="ColorfulGrid-Accent5">
    <w:name w:val="Colorful Grid Accent 5"/>
    <w:basedOn w:val="TableNormal"/>
    <w:uiPriority w:val="73"/>
    <w:semiHidden/>
    <w:rsid w:val="00EE3EB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6F2DD" w:themeFill="accent5" w:themeFillTint="33"/>
    </w:tcPr>
    <w:tblStylePr w:type="firstRow">
      <w:rPr>
        <w:b/>
        <w:bCs/>
      </w:rPr>
      <w:tblPr/>
      <w:tcPr>
        <w:shd w:val="clear" w:color="auto" w:fill="CEE5BB" w:themeFill="accent5" w:themeFillTint="66"/>
      </w:tcPr>
    </w:tblStylePr>
    <w:tblStylePr w:type="lastRow">
      <w:rPr>
        <w:b/>
        <w:bCs/>
        <w:color w:val="000000" w:themeColor="text1"/>
      </w:rPr>
      <w:tblPr/>
      <w:tcPr>
        <w:shd w:val="clear" w:color="auto" w:fill="CEE5BB" w:themeFill="accent5" w:themeFillTint="66"/>
      </w:tcPr>
    </w:tblStylePr>
    <w:tblStylePr w:type="firstCol">
      <w:rPr>
        <w:color w:val="FFFFFF" w:themeColor="background1"/>
      </w:rPr>
      <w:tblPr/>
      <w:tcPr>
        <w:shd w:val="clear" w:color="auto" w:fill="63953A" w:themeFill="accent5" w:themeFillShade="BF"/>
      </w:tcPr>
    </w:tblStylePr>
    <w:tblStylePr w:type="lastCol">
      <w:rPr>
        <w:color w:val="FFFFFF" w:themeColor="background1"/>
      </w:rPr>
      <w:tblPr/>
      <w:tcPr>
        <w:shd w:val="clear" w:color="auto" w:fill="63953A" w:themeFill="accent5" w:themeFillShade="BF"/>
      </w:tcPr>
    </w:tblStylePr>
    <w:tblStylePr w:type="band1Vert">
      <w:tblPr/>
      <w:tcPr>
        <w:shd w:val="clear" w:color="auto" w:fill="C2DEAB" w:themeFill="accent5" w:themeFillTint="7F"/>
      </w:tcPr>
    </w:tblStylePr>
    <w:tblStylePr w:type="band1Horz">
      <w:tblPr/>
      <w:tcPr>
        <w:shd w:val="clear" w:color="auto" w:fill="C2DEAB" w:themeFill="accent5" w:themeFillTint="7F"/>
      </w:tcPr>
    </w:tblStylePr>
  </w:style>
  <w:style w:type="table" w:styleId="ColorfulGrid-Accent6">
    <w:name w:val="Colorful Grid Accent 6"/>
    <w:basedOn w:val="TableNormal"/>
    <w:uiPriority w:val="73"/>
    <w:semiHidden/>
    <w:rsid w:val="00EE3EB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3E5E6" w:themeFill="accent6" w:themeFillTint="33"/>
    </w:tcPr>
    <w:tblStylePr w:type="firstRow">
      <w:rPr>
        <w:b/>
        <w:bCs/>
      </w:rPr>
      <w:tblPr/>
      <w:tcPr>
        <w:shd w:val="clear" w:color="auto" w:fill="C8CCCD" w:themeFill="accent6" w:themeFillTint="66"/>
      </w:tcPr>
    </w:tblStylePr>
    <w:tblStylePr w:type="lastRow">
      <w:rPr>
        <w:b/>
        <w:bCs/>
        <w:color w:val="000000" w:themeColor="text1"/>
      </w:rPr>
      <w:tblPr/>
      <w:tcPr>
        <w:shd w:val="clear" w:color="auto" w:fill="C8CCCD" w:themeFill="accent6" w:themeFillTint="66"/>
      </w:tcPr>
    </w:tblStylePr>
    <w:tblStylePr w:type="firstCol">
      <w:rPr>
        <w:color w:val="FFFFFF" w:themeColor="background1"/>
      </w:rPr>
      <w:tblPr/>
      <w:tcPr>
        <w:shd w:val="clear" w:color="auto" w:fill="5A6062" w:themeFill="accent6" w:themeFillShade="BF"/>
      </w:tcPr>
    </w:tblStylePr>
    <w:tblStylePr w:type="lastCol">
      <w:rPr>
        <w:color w:val="FFFFFF" w:themeColor="background1"/>
      </w:rPr>
      <w:tblPr/>
      <w:tcPr>
        <w:shd w:val="clear" w:color="auto" w:fill="5A6062" w:themeFill="accent6" w:themeFillShade="BF"/>
      </w:tcPr>
    </w:tblStylePr>
    <w:tblStylePr w:type="band1Vert">
      <w:tblPr/>
      <w:tcPr>
        <w:shd w:val="clear" w:color="auto" w:fill="BBC0C1" w:themeFill="accent6" w:themeFillTint="7F"/>
      </w:tcPr>
    </w:tblStylePr>
    <w:tblStylePr w:type="band1Horz">
      <w:tblPr/>
      <w:tcPr>
        <w:shd w:val="clear" w:color="auto" w:fill="BBC0C1" w:themeFill="accent6" w:themeFillTint="7F"/>
      </w:tcPr>
    </w:tblStylePr>
  </w:style>
  <w:style w:type="table" w:styleId="ColorfulList">
    <w:name w:val="Colorful List"/>
    <w:basedOn w:val="TableNormal"/>
    <w:uiPriority w:val="72"/>
    <w:semiHidden/>
    <w:rsid w:val="00EE3EB6"/>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33932" w:themeFill="accent2" w:themeFillShade="CC"/>
      </w:tcPr>
    </w:tblStylePr>
    <w:tblStylePr w:type="lastRow">
      <w:rPr>
        <w:b/>
        <w:bCs/>
        <w:color w:val="A339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EE3EB6"/>
    <w:pPr>
      <w:spacing w:line="240" w:lineRule="auto"/>
    </w:pPr>
    <w:rPr>
      <w:color w:val="000000" w:themeColor="text1"/>
    </w:rPr>
    <w:tblPr>
      <w:tblStyleRowBandSize w:val="1"/>
      <w:tblStyleColBandSize w:val="1"/>
    </w:tblPr>
    <w:tcPr>
      <w:shd w:val="clear" w:color="auto" w:fill="F5EBF3" w:themeFill="accent1" w:themeFillTint="19"/>
    </w:tcPr>
    <w:tblStylePr w:type="firstRow">
      <w:rPr>
        <w:b/>
        <w:bCs/>
        <w:color w:val="FFFFFF" w:themeColor="background1"/>
      </w:rPr>
      <w:tblPr/>
      <w:tcPr>
        <w:tcBorders>
          <w:bottom w:val="single" w:sz="12" w:space="0" w:color="FFFFFF" w:themeColor="background1"/>
        </w:tcBorders>
        <w:shd w:val="clear" w:color="auto" w:fill="A33932" w:themeFill="accent2" w:themeFillShade="CC"/>
      </w:tcPr>
    </w:tblStylePr>
    <w:tblStylePr w:type="lastRow">
      <w:rPr>
        <w:b/>
        <w:bCs/>
        <w:color w:val="A339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CEE1" w:themeFill="accent1" w:themeFillTint="3F"/>
      </w:tcPr>
    </w:tblStylePr>
    <w:tblStylePr w:type="band1Horz">
      <w:tblPr/>
      <w:tcPr>
        <w:shd w:val="clear" w:color="auto" w:fill="EAD7E6" w:themeFill="accent1" w:themeFillTint="33"/>
      </w:tcPr>
    </w:tblStylePr>
  </w:style>
  <w:style w:type="table" w:styleId="ColorfulList-Accent2">
    <w:name w:val="Colorful List Accent 2"/>
    <w:basedOn w:val="TableNormal"/>
    <w:uiPriority w:val="72"/>
    <w:semiHidden/>
    <w:rsid w:val="00EE3EB6"/>
    <w:pPr>
      <w:spacing w:line="240" w:lineRule="auto"/>
    </w:pPr>
    <w:rPr>
      <w:color w:val="000000" w:themeColor="text1"/>
    </w:rPr>
    <w:tblPr>
      <w:tblStyleRowBandSize w:val="1"/>
      <w:tblStyleColBandSize w:val="1"/>
    </w:tblPr>
    <w:tcPr>
      <w:shd w:val="clear" w:color="auto" w:fill="F9EDEC" w:themeFill="accent2" w:themeFillTint="19"/>
    </w:tcPr>
    <w:tblStylePr w:type="firstRow">
      <w:rPr>
        <w:b/>
        <w:bCs/>
        <w:color w:val="FFFFFF" w:themeColor="background1"/>
      </w:rPr>
      <w:tblPr/>
      <w:tcPr>
        <w:tcBorders>
          <w:bottom w:val="single" w:sz="12" w:space="0" w:color="FFFFFF" w:themeColor="background1"/>
        </w:tcBorders>
        <w:shd w:val="clear" w:color="auto" w:fill="A33932" w:themeFill="accent2" w:themeFillShade="CC"/>
      </w:tcPr>
    </w:tblStylePr>
    <w:tblStylePr w:type="lastRow">
      <w:rPr>
        <w:b/>
        <w:bCs/>
        <w:color w:val="A339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D2D0" w:themeFill="accent2" w:themeFillTint="3F"/>
      </w:tcPr>
    </w:tblStylePr>
    <w:tblStylePr w:type="band1Horz">
      <w:tblPr/>
      <w:tcPr>
        <w:shd w:val="clear" w:color="auto" w:fill="F3DBD9" w:themeFill="accent2" w:themeFillTint="33"/>
      </w:tcPr>
    </w:tblStylePr>
  </w:style>
  <w:style w:type="table" w:styleId="ColorfulList-Accent3">
    <w:name w:val="Colorful List Accent 3"/>
    <w:basedOn w:val="TableNormal"/>
    <w:uiPriority w:val="72"/>
    <w:semiHidden/>
    <w:rsid w:val="00EE3EB6"/>
    <w:pPr>
      <w:spacing w:line="240" w:lineRule="auto"/>
    </w:pPr>
    <w:rPr>
      <w:color w:val="000000" w:themeColor="text1"/>
    </w:rPr>
    <w:tblPr>
      <w:tblStyleRowBandSize w:val="1"/>
      <w:tblStyleColBandSize w:val="1"/>
    </w:tblPr>
    <w:tcPr>
      <w:shd w:val="clear" w:color="auto" w:fill="FDF3EB" w:themeFill="accent3" w:themeFillTint="19"/>
    </w:tcPr>
    <w:tblStylePr w:type="firstRow">
      <w:rPr>
        <w:b/>
        <w:bCs/>
        <w:color w:val="FFFFFF" w:themeColor="background1"/>
      </w:rPr>
      <w:tblPr/>
      <w:tcPr>
        <w:tcBorders>
          <w:bottom w:val="single" w:sz="12" w:space="0" w:color="FFFFFF" w:themeColor="background1"/>
        </w:tcBorders>
        <w:shd w:val="clear" w:color="auto" w:fill="FBB108" w:themeFill="accent4" w:themeFillShade="CC"/>
      </w:tcPr>
    </w:tblStylePr>
    <w:tblStylePr w:type="lastRow">
      <w:rPr>
        <w:b/>
        <w:bCs/>
        <w:color w:val="FBB10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CE" w:themeFill="accent3" w:themeFillTint="3F"/>
      </w:tcPr>
    </w:tblStylePr>
    <w:tblStylePr w:type="band1Horz">
      <w:tblPr/>
      <w:tcPr>
        <w:shd w:val="clear" w:color="auto" w:fill="FCE6D8" w:themeFill="accent3" w:themeFillTint="33"/>
      </w:tcPr>
    </w:tblStylePr>
  </w:style>
  <w:style w:type="table" w:styleId="ColorfulList-Accent4">
    <w:name w:val="Colorful List Accent 4"/>
    <w:basedOn w:val="TableNormal"/>
    <w:uiPriority w:val="72"/>
    <w:semiHidden/>
    <w:rsid w:val="00EE3EB6"/>
    <w:pPr>
      <w:spacing w:line="240" w:lineRule="auto"/>
    </w:pPr>
    <w:rPr>
      <w:color w:val="000000" w:themeColor="text1"/>
    </w:rPr>
    <w:tblPr>
      <w:tblStyleRowBandSize w:val="1"/>
      <w:tblStyleColBandSize w:val="1"/>
    </w:tblPr>
    <w:tcPr>
      <w:shd w:val="clear" w:color="auto" w:fill="FEF9EC" w:themeFill="accent4" w:themeFillTint="19"/>
    </w:tcPr>
    <w:tblStylePr w:type="firstRow">
      <w:rPr>
        <w:b/>
        <w:bCs/>
        <w:color w:val="FFFFFF" w:themeColor="background1"/>
      </w:rPr>
      <w:tblPr/>
      <w:tcPr>
        <w:tcBorders>
          <w:bottom w:val="single" w:sz="12" w:space="0" w:color="FFFFFF" w:themeColor="background1"/>
        </w:tcBorders>
        <w:shd w:val="clear" w:color="auto" w:fill="E16510" w:themeFill="accent3" w:themeFillShade="CC"/>
      </w:tcPr>
    </w:tblStylePr>
    <w:tblStylePr w:type="lastRow">
      <w:rPr>
        <w:b/>
        <w:bCs/>
        <w:color w:val="E1651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0D1" w:themeFill="accent4" w:themeFillTint="3F"/>
      </w:tcPr>
    </w:tblStylePr>
    <w:tblStylePr w:type="band1Horz">
      <w:tblPr/>
      <w:tcPr>
        <w:shd w:val="clear" w:color="auto" w:fill="FEF3DA" w:themeFill="accent4" w:themeFillTint="33"/>
      </w:tcPr>
    </w:tblStylePr>
  </w:style>
  <w:style w:type="table" w:styleId="ColorfulList-Accent5">
    <w:name w:val="Colorful List Accent 5"/>
    <w:basedOn w:val="TableNormal"/>
    <w:uiPriority w:val="72"/>
    <w:semiHidden/>
    <w:rsid w:val="00EE3EB6"/>
    <w:pPr>
      <w:spacing w:line="240" w:lineRule="auto"/>
    </w:pPr>
    <w:rPr>
      <w:color w:val="000000" w:themeColor="text1"/>
    </w:rPr>
    <w:tblPr>
      <w:tblStyleRowBandSize w:val="1"/>
      <w:tblStyleColBandSize w:val="1"/>
    </w:tblPr>
    <w:tcPr>
      <w:shd w:val="clear" w:color="auto" w:fill="F3F8EE" w:themeFill="accent5" w:themeFillTint="19"/>
    </w:tcPr>
    <w:tblStylePr w:type="firstRow">
      <w:rPr>
        <w:b/>
        <w:bCs/>
        <w:color w:val="FFFFFF" w:themeColor="background1"/>
      </w:rPr>
      <w:tblPr/>
      <w:tcPr>
        <w:tcBorders>
          <w:bottom w:val="single" w:sz="12" w:space="0" w:color="FFFFFF" w:themeColor="background1"/>
        </w:tcBorders>
        <w:shd w:val="clear" w:color="auto" w:fill="606768" w:themeFill="accent6" w:themeFillShade="CC"/>
      </w:tcPr>
    </w:tblStylePr>
    <w:tblStylePr w:type="lastRow">
      <w:rPr>
        <w:b/>
        <w:bCs/>
        <w:color w:val="60676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FD5" w:themeFill="accent5" w:themeFillTint="3F"/>
      </w:tcPr>
    </w:tblStylePr>
    <w:tblStylePr w:type="band1Horz">
      <w:tblPr/>
      <w:tcPr>
        <w:shd w:val="clear" w:color="auto" w:fill="E6F2DD" w:themeFill="accent5" w:themeFillTint="33"/>
      </w:tcPr>
    </w:tblStylePr>
  </w:style>
  <w:style w:type="table" w:styleId="ColorfulList-Accent6">
    <w:name w:val="Colorful List Accent 6"/>
    <w:basedOn w:val="TableNormal"/>
    <w:uiPriority w:val="72"/>
    <w:semiHidden/>
    <w:rsid w:val="00EE3EB6"/>
    <w:pPr>
      <w:spacing w:line="240" w:lineRule="auto"/>
    </w:pPr>
    <w:rPr>
      <w:color w:val="000000" w:themeColor="text1"/>
    </w:rPr>
    <w:tblPr>
      <w:tblStyleRowBandSize w:val="1"/>
      <w:tblStyleColBandSize w:val="1"/>
    </w:tblPr>
    <w:tcPr>
      <w:shd w:val="clear" w:color="auto" w:fill="F1F2F2" w:themeFill="accent6" w:themeFillTint="19"/>
    </w:tcPr>
    <w:tblStylePr w:type="firstRow">
      <w:rPr>
        <w:b/>
        <w:bCs/>
        <w:color w:val="FFFFFF" w:themeColor="background1"/>
      </w:rPr>
      <w:tblPr/>
      <w:tcPr>
        <w:tcBorders>
          <w:bottom w:val="single" w:sz="12" w:space="0" w:color="FFFFFF" w:themeColor="background1"/>
        </w:tcBorders>
        <w:shd w:val="clear" w:color="auto" w:fill="6A9F3D" w:themeFill="accent5" w:themeFillShade="CC"/>
      </w:tcPr>
    </w:tblStylePr>
    <w:tblStylePr w:type="lastRow">
      <w:rPr>
        <w:b/>
        <w:bCs/>
        <w:color w:val="6A9F3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FE0" w:themeFill="accent6" w:themeFillTint="3F"/>
      </w:tcPr>
    </w:tblStylePr>
    <w:tblStylePr w:type="band1Horz">
      <w:tblPr/>
      <w:tcPr>
        <w:shd w:val="clear" w:color="auto" w:fill="E3E5E6" w:themeFill="accent6" w:themeFillTint="33"/>
      </w:tcPr>
    </w:tblStylePr>
  </w:style>
  <w:style w:type="table" w:styleId="ColorfulShading">
    <w:name w:val="Colorful Shading"/>
    <w:basedOn w:val="TableNormal"/>
    <w:uiPriority w:val="71"/>
    <w:semiHidden/>
    <w:rsid w:val="00EE3EB6"/>
    <w:pPr>
      <w:spacing w:line="240" w:lineRule="auto"/>
    </w:pPr>
    <w:rPr>
      <w:color w:val="000000" w:themeColor="text1"/>
    </w:rPr>
    <w:tblPr>
      <w:tblStyleRowBandSize w:val="1"/>
      <w:tblStyleColBandSize w:val="1"/>
      <w:tblBorders>
        <w:top w:val="single" w:sz="24" w:space="0" w:color="C64E4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E3EB6"/>
    <w:pPr>
      <w:spacing w:line="240" w:lineRule="auto"/>
    </w:pPr>
    <w:rPr>
      <w:color w:val="000000" w:themeColor="text1"/>
    </w:rPr>
    <w:tblPr>
      <w:tblStyleRowBandSize w:val="1"/>
      <w:tblStyleColBandSize w:val="1"/>
      <w:tblBorders>
        <w:top w:val="single" w:sz="24" w:space="0" w:color="C64E45" w:themeColor="accent2"/>
        <w:left w:val="single" w:sz="4" w:space="0" w:color="8D487F" w:themeColor="accent1"/>
        <w:bottom w:val="single" w:sz="4" w:space="0" w:color="8D487F" w:themeColor="accent1"/>
        <w:right w:val="single" w:sz="4" w:space="0" w:color="8D487F" w:themeColor="accent1"/>
        <w:insideH w:val="single" w:sz="4" w:space="0" w:color="FFFFFF" w:themeColor="background1"/>
        <w:insideV w:val="single" w:sz="4" w:space="0" w:color="FFFFFF" w:themeColor="background1"/>
      </w:tblBorders>
    </w:tblPr>
    <w:tcPr>
      <w:shd w:val="clear" w:color="auto" w:fill="F5EBF3" w:themeFill="accent1" w:themeFillTint="19"/>
    </w:tcPr>
    <w:tblStylePr w:type="firstRow">
      <w:rPr>
        <w:b/>
        <w:bCs/>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2B4B" w:themeFill="accent1" w:themeFillShade="99"/>
      </w:tcPr>
    </w:tblStylePr>
    <w:tblStylePr w:type="firstCol">
      <w:rPr>
        <w:color w:val="FFFFFF" w:themeColor="background1"/>
      </w:rPr>
      <w:tblPr/>
      <w:tcPr>
        <w:tcBorders>
          <w:top w:val="nil"/>
          <w:left w:val="nil"/>
          <w:bottom w:val="nil"/>
          <w:right w:val="nil"/>
          <w:insideH w:val="single" w:sz="4" w:space="0" w:color="542B4B" w:themeColor="accent1" w:themeShade="99"/>
          <w:insideV w:val="nil"/>
        </w:tcBorders>
        <w:shd w:val="clear" w:color="auto" w:fill="542B4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42B4B" w:themeFill="accent1" w:themeFillShade="99"/>
      </w:tcPr>
    </w:tblStylePr>
    <w:tblStylePr w:type="band1Vert">
      <w:tblPr/>
      <w:tcPr>
        <w:shd w:val="clear" w:color="auto" w:fill="D6B0CE" w:themeFill="accent1" w:themeFillTint="66"/>
      </w:tcPr>
    </w:tblStylePr>
    <w:tblStylePr w:type="band1Horz">
      <w:tblPr/>
      <w:tcPr>
        <w:shd w:val="clear" w:color="auto" w:fill="CD9DC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EE3EB6"/>
    <w:pPr>
      <w:spacing w:line="240" w:lineRule="auto"/>
    </w:pPr>
    <w:rPr>
      <w:color w:val="000000" w:themeColor="text1"/>
    </w:rPr>
    <w:tblPr>
      <w:tblStyleRowBandSize w:val="1"/>
      <w:tblStyleColBandSize w:val="1"/>
      <w:tblBorders>
        <w:top w:val="single" w:sz="24" w:space="0" w:color="C64E45" w:themeColor="accent2"/>
        <w:left w:val="single" w:sz="4" w:space="0" w:color="C64E45" w:themeColor="accent2"/>
        <w:bottom w:val="single" w:sz="4" w:space="0" w:color="C64E45" w:themeColor="accent2"/>
        <w:right w:val="single" w:sz="4" w:space="0" w:color="C64E45" w:themeColor="accent2"/>
        <w:insideH w:val="single" w:sz="4" w:space="0" w:color="FFFFFF" w:themeColor="background1"/>
        <w:insideV w:val="single" w:sz="4" w:space="0" w:color="FFFFFF" w:themeColor="background1"/>
      </w:tblBorders>
    </w:tblPr>
    <w:tcPr>
      <w:shd w:val="clear" w:color="auto" w:fill="F9EDEC" w:themeFill="accent2" w:themeFillTint="19"/>
    </w:tcPr>
    <w:tblStylePr w:type="firstRow">
      <w:rPr>
        <w:b/>
        <w:bCs/>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2B25" w:themeFill="accent2" w:themeFillShade="99"/>
      </w:tcPr>
    </w:tblStylePr>
    <w:tblStylePr w:type="firstCol">
      <w:rPr>
        <w:color w:val="FFFFFF" w:themeColor="background1"/>
      </w:rPr>
      <w:tblPr/>
      <w:tcPr>
        <w:tcBorders>
          <w:top w:val="nil"/>
          <w:left w:val="nil"/>
          <w:bottom w:val="nil"/>
          <w:right w:val="nil"/>
          <w:insideH w:val="single" w:sz="4" w:space="0" w:color="7A2B25" w:themeColor="accent2" w:themeShade="99"/>
          <w:insideV w:val="nil"/>
        </w:tcBorders>
        <w:shd w:val="clear" w:color="auto" w:fill="7A2B2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A2B25" w:themeFill="accent2" w:themeFillShade="99"/>
      </w:tcPr>
    </w:tblStylePr>
    <w:tblStylePr w:type="band1Vert">
      <w:tblPr/>
      <w:tcPr>
        <w:shd w:val="clear" w:color="auto" w:fill="E8B7B4" w:themeFill="accent2" w:themeFillTint="66"/>
      </w:tcPr>
    </w:tblStylePr>
    <w:tblStylePr w:type="band1Horz">
      <w:tblPr/>
      <w:tcPr>
        <w:shd w:val="clear" w:color="auto" w:fill="E2A6A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E3EB6"/>
    <w:pPr>
      <w:spacing w:line="240" w:lineRule="auto"/>
    </w:pPr>
    <w:rPr>
      <w:color w:val="000000" w:themeColor="text1"/>
    </w:rPr>
    <w:tblPr>
      <w:tblStyleRowBandSize w:val="1"/>
      <w:tblStyleColBandSize w:val="1"/>
      <w:tblBorders>
        <w:top w:val="single" w:sz="24" w:space="0" w:color="FCC648" w:themeColor="accent4"/>
        <w:left w:val="single" w:sz="4" w:space="0" w:color="F1873D" w:themeColor="accent3"/>
        <w:bottom w:val="single" w:sz="4" w:space="0" w:color="F1873D" w:themeColor="accent3"/>
        <w:right w:val="single" w:sz="4" w:space="0" w:color="F1873D" w:themeColor="accent3"/>
        <w:insideH w:val="single" w:sz="4" w:space="0" w:color="FFFFFF" w:themeColor="background1"/>
        <w:insideV w:val="single" w:sz="4" w:space="0" w:color="FFFFFF" w:themeColor="background1"/>
      </w:tblBorders>
    </w:tblPr>
    <w:tcPr>
      <w:shd w:val="clear" w:color="auto" w:fill="FDF3EB" w:themeFill="accent3" w:themeFillTint="19"/>
    </w:tcPr>
    <w:tblStylePr w:type="firstRow">
      <w:rPr>
        <w:b/>
        <w:bCs/>
      </w:rPr>
      <w:tblPr/>
      <w:tcPr>
        <w:tcBorders>
          <w:top w:val="nil"/>
          <w:left w:val="nil"/>
          <w:bottom w:val="single" w:sz="24" w:space="0" w:color="FCC64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4C0C" w:themeFill="accent3" w:themeFillShade="99"/>
      </w:tcPr>
    </w:tblStylePr>
    <w:tblStylePr w:type="firstCol">
      <w:rPr>
        <w:color w:val="FFFFFF" w:themeColor="background1"/>
      </w:rPr>
      <w:tblPr/>
      <w:tcPr>
        <w:tcBorders>
          <w:top w:val="nil"/>
          <w:left w:val="nil"/>
          <w:bottom w:val="nil"/>
          <w:right w:val="nil"/>
          <w:insideH w:val="single" w:sz="4" w:space="0" w:color="A84C0C" w:themeColor="accent3" w:themeShade="99"/>
          <w:insideV w:val="nil"/>
        </w:tcBorders>
        <w:shd w:val="clear" w:color="auto" w:fill="A84C0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84C0C" w:themeFill="accent3" w:themeFillShade="99"/>
      </w:tcPr>
    </w:tblStylePr>
    <w:tblStylePr w:type="band1Vert">
      <w:tblPr/>
      <w:tcPr>
        <w:shd w:val="clear" w:color="auto" w:fill="F9CEB1" w:themeFill="accent3" w:themeFillTint="66"/>
      </w:tcPr>
    </w:tblStylePr>
    <w:tblStylePr w:type="band1Horz">
      <w:tblPr/>
      <w:tcPr>
        <w:shd w:val="clear" w:color="auto" w:fill="F8C29E" w:themeFill="accent3" w:themeFillTint="7F"/>
      </w:tcPr>
    </w:tblStylePr>
  </w:style>
  <w:style w:type="table" w:styleId="ColorfulShading-Accent4">
    <w:name w:val="Colorful Shading Accent 4"/>
    <w:basedOn w:val="TableNormal"/>
    <w:uiPriority w:val="71"/>
    <w:semiHidden/>
    <w:rsid w:val="00EE3EB6"/>
    <w:pPr>
      <w:spacing w:line="240" w:lineRule="auto"/>
    </w:pPr>
    <w:rPr>
      <w:color w:val="000000" w:themeColor="text1"/>
    </w:rPr>
    <w:tblPr>
      <w:tblStyleRowBandSize w:val="1"/>
      <w:tblStyleColBandSize w:val="1"/>
      <w:tblBorders>
        <w:top w:val="single" w:sz="24" w:space="0" w:color="F1873D" w:themeColor="accent3"/>
        <w:left w:val="single" w:sz="4" w:space="0" w:color="FCC648" w:themeColor="accent4"/>
        <w:bottom w:val="single" w:sz="4" w:space="0" w:color="FCC648" w:themeColor="accent4"/>
        <w:right w:val="single" w:sz="4" w:space="0" w:color="FCC648" w:themeColor="accent4"/>
        <w:insideH w:val="single" w:sz="4" w:space="0" w:color="FFFFFF" w:themeColor="background1"/>
        <w:insideV w:val="single" w:sz="4" w:space="0" w:color="FFFFFF" w:themeColor="background1"/>
      </w:tblBorders>
    </w:tblPr>
    <w:tcPr>
      <w:shd w:val="clear" w:color="auto" w:fill="FEF9EC" w:themeFill="accent4" w:themeFillTint="19"/>
    </w:tcPr>
    <w:tblStylePr w:type="firstRow">
      <w:rPr>
        <w:b/>
        <w:bCs/>
      </w:rPr>
      <w:tblPr/>
      <w:tcPr>
        <w:tcBorders>
          <w:top w:val="nil"/>
          <w:left w:val="nil"/>
          <w:bottom w:val="single" w:sz="24" w:space="0" w:color="F187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F8603" w:themeFill="accent4" w:themeFillShade="99"/>
      </w:tcPr>
    </w:tblStylePr>
    <w:tblStylePr w:type="firstCol">
      <w:rPr>
        <w:color w:val="FFFFFF" w:themeColor="background1"/>
      </w:rPr>
      <w:tblPr/>
      <w:tcPr>
        <w:tcBorders>
          <w:top w:val="nil"/>
          <w:left w:val="nil"/>
          <w:bottom w:val="nil"/>
          <w:right w:val="nil"/>
          <w:insideH w:val="single" w:sz="4" w:space="0" w:color="BF8603" w:themeColor="accent4" w:themeShade="99"/>
          <w:insideV w:val="nil"/>
        </w:tcBorders>
        <w:shd w:val="clear" w:color="auto" w:fill="BF860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F8603" w:themeFill="accent4" w:themeFillShade="99"/>
      </w:tcPr>
    </w:tblStylePr>
    <w:tblStylePr w:type="band1Vert">
      <w:tblPr/>
      <w:tcPr>
        <w:shd w:val="clear" w:color="auto" w:fill="FDE7B5" w:themeFill="accent4" w:themeFillTint="66"/>
      </w:tcPr>
    </w:tblStylePr>
    <w:tblStylePr w:type="band1Horz">
      <w:tblPr/>
      <w:tcPr>
        <w:shd w:val="clear" w:color="auto" w:fill="FDE2A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E3EB6"/>
    <w:pPr>
      <w:spacing w:line="240" w:lineRule="auto"/>
    </w:pPr>
    <w:rPr>
      <w:color w:val="000000" w:themeColor="text1"/>
    </w:rPr>
    <w:tblPr>
      <w:tblStyleRowBandSize w:val="1"/>
      <w:tblStyleColBandSize w:val="1"/>
      <w:tblBorders>
        <w:top w:val="single" w:sz="24" w:space="0" w:color="788183" w:themeColor="accent6"/>
        <w:left w:val="single" w:sz="4" w:space="0" w:color="86BE57" w:themeColor="accent5"/>
        <w:bottom w:val="single" w:sz="4" w:space="0" w:color="86BE57" w:themeColor="accent5"/>
        <w:right w:val="single" w:sz="4" w:space="0" w:color="86BE57" w:themeColor="accent5"/>
        <w:insideH w:val="single" w:sz="4" w:space="0" w:color="FFFFFF" w:themeColor="background1"/>
        <w:insideV w:val="single" w:sz="4" w:space="0" w:color="FFFFFF" w:themeColor="background1"/>
      </w:tblBorders>
    </w:tblPr>
    <w:tcPr>
      <w:shd w:val="clear" w:color="auto" w:fill="F3F8EE" w:themeFill="accent5" w:themeFillTint="19"/>
    </w:tcPr>
    <w:tblStylePr w:type="firstRow">
      <w:rPr>
        <w:b/>
        <w:bCs/>
      </w:rPr>
      <w:tblPr/>
      <w:tcPr>
        <w:tcBorders>
          <w:top w:val="nil"/>
          <w:left w:val="nil"/>
          <w:bottom w:val="single" w:sz="24" w:space="0" w:color="78818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772E" w:themeFill="accent5" w:themeFillShade="99"/>
      </w:tcPr>
    </w:tblStylePr>
    <w:tblStylePr w:type="firstCol">
      <w:rPr>
        <w:color w:val="FFFFFF" w:themeColor="background1"/>
      </w:rPr>
      <w:tblPr/>
      <w:tcPr>
        <w:tcBorders>
          <w:top w:val="nil"/>
          <w:left w:val="nil"/>
          <w:bottom w:val="nil"/>
          <w:right w:val="nil"/>
          <w:insideH w:val="single" w:sz="4" w:space="0" w:color="4F772E" w:themeColor="accent5" w:themeShade="99"/>
          <w:insideV w:val="nil"/>
        </w:tcBorders>
        <w:shd w:val="clear" w:color="auto" w:fill="4F772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F772E" w:themeFill="accent5" w:themeFillShade="99"/>
      </w:tcPr>
    </w:tblStylePr>
    <w:tblStylePr w:type="band1Vert">
      <w:tblPr/>
      <w:tcPr>
        <w:shd w:val="clear" w:color="auto" w:fill="CEE5BB" w:themeFill="accent5" w:themeFillTint="66"/>
      </w:tcPr>
    </w:tblStylePr>
    <w:tblStylePr w:type="band1Horz">
      <w:tblPr/>
      <w:tcPr>
        <w:shd w:val="clear" w:color="auto" w:fill="C2DEA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EE3EB6"/>
    <w:pPr>
      <w:spacing w:line="240" w:lineRule="auto"/>
    </w:pPr>
    <w:rPr>
      <w:color w:val="000000" w:themeColor="text1"/>
    </w:rPr>
    <w:tblPr>
      <w:tblStyleRowBandSize w:val="1"/>
      <w:tblStyleColBandSize w:val="1"/>
      <w:tblBorders>
        <w:top w:val="single" w:sz="24" w:space="0" w:color="86BE57" w:themeColor="accent5"/>
        <w:left w:val="single" w:sz="4" w:space="0" w:color="788183" w:themeColor="accent6"/>
        <w:bottom w:val="single" w:sz="4" w:space="0" w:color="788183" w:themeColor="accent6"/>
        <w:right w:val="single" w:sz="4" w:space="0" w:color="788183" w:themeColor="accent6"/>
        <w:insideH w:val="single" w:sz="4" w:space="0" w:color="FFFFFF" w:themeColor="background1"/>
        <w:insideV w:val="single" w:sz="4" w:space="0" w:color="FFFFFF" w:themeColor="background1"/>
      </w:tblBorders>
    </w:tblPr>
    <w:tcPr>
      <w:shd w:val="clear" w:color="auto" w:fill="F1F2F2" w:themeFill="accent6" w:themeFillTint="19"/>
    </w:tcPr>
    <w:tblStylePr w:type="firstRow">
      <w:rPr>
        <w:b/>
        <w:bCs/>
      </w:rPr>
      <w:tblPr/>
      <w:tcPr>
        <w:tcBorders>
          <w:top w:val="nil"/>
          <w:left w:val="nil"/>
          <w:bottom w:val="single" w:sz="24" w:space="0" w:color="86BE5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4D4E" w:themeFill="accent6" w:themeFillShade="99"/>
      </w:tcPr>
    </w:tblStylePr>
    <w:tblStylePr w:type="firstCol">
      <w:rPr>
        <w:color w:val="FFFFFF" w:themeColor="background1"/>
      </w:rPr>
      <w:tblPr/>
      <w:tcPr>
        <w:tcBorders>
          <w:top w:val="nil"/>
          <w:left w:val="nil"/>
          <w:bottom w:val="nil"/>
          <w:right w:val="nil"/>
          <w:insideH w:val="single" w:sz="4" w:space="0" w:color="484D4E" w:themeColor="accent6" w:themeShade="99"/>
          <w:insideV w:val="nil"/>
        </w:tcBorders>
        <w:shd w:val="clear" w:color="auto" w:fill="484D4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84D4E" w:themeFill="accent6" w:themeFillShade="99"/>
      </w:tcPr>
    </w:tblStylePr>
    <w:tblStylePr w:type="band1Vert">
      <w:tblPr/>
      <w:tcPr>
        <w:shd w:val="clear" w:color="auto" w:fill="C8CCCD" w:themeFill="accent6" w:themeFillTint="66"/>
      </w:tcPr>
    </w:tblStylePr>
    <w:tblStylePr w:type="band1Horz">
      <w:tblPr/>
      <w:tcPr>
        <w:shd w:val="clear" w:color="auto" w:fill="BBC0C1"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EE3EB6"/>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EE3EB6"/>
    <w:pPr>
      <w:spacing w:line="240" w:lineRule="auto"/>
    </w:pPr>
    <w:rPr>
      <w:color w:val="FFFFFF" w:themeColor="background1"/>
    </w:rPr>
    <w:tblPr>
      <w:tblStyleRowBandSize w:val="1"/>
      <w:tblStyleColBandSize w:val="1"/>
    </w:tblPr>
    <w:tcPr>
      <w:shd w:val="clear" w:color="auto" w:fill="8D487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243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9365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9365E" w:themeFill="accent1" w:themeFillShade="BF"/>
      </w:tcPr>
    </w:tblStylePr>
    <w:tblStylePr w:type="band1Vert">
      <w:tblPr/>
      <w:tcPr>
        <w:tcBorders>
          <w:top w:val="nil"/>
          <w:left w:val="nil"/>
          <w:bottom w:val="nil"/>
          <w:right w:val="nil"/>
          <w:insideH w:val="nil"/>
          <w:insideV w:val="nil"/>
        </w:tcBorders>
        <w:shd w:val="clear" w:color="auto" w:fill="69365E" w:themeFill="accent1" w:themeFillShade="BF"/>
      </w:tcPr>
    </w:tblStylePr>
    <w:tblStylePr w:type="band1Horz">
      <w:tblPr/>
      <w:tcPr>
        <w:tcBorders>
          <w:top w:val="nil"/>
          <w:left w:val="nil"/>
          <w:bottom w:val="nil"/>
          <w:right w:val="nil"/>
          <w:insideH w:val="nil"/>
          <w:insideV w:val="nil"/>
        </w:tcBorders>
        <w:shd w:val="clear" w:color="auto" w:fill="69365E" w:themeFill="accent1" w:themeFillShade="BF"/>
      </w:tcPr>
    </w:tblStylePr>
  </w:style>
  <w:style w:type="table" w:styleId="DarkList-Accent2">
    <w:name w:val="Dark List Accent 2"/>
    <w:basedOn w:val="TableNormal"/>
    <w:uiPriority w:val="70"/>
    <w:semiHidden/>
    <w:rsid w:val="00EE3EB6"/>
    <w:pPr>
      <w:spacing w:line="240" w:lineRule="auto"/>
    </w:pPr>
    <w:rPr>
      <w:color w:val="FFFFFF" w:themeColor="background1"/>
    </w:rPr>
    <w:tblPr>
      <w:tblStyleRowBandSize w:val="1"/>
      <w:tblStyleColBandSize w:val="1"/>
    </w:tblPr>
    <w:tcPr>
      <w:shd w:val="clear" w:color="auto" w:fill="C64E4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231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8362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8362F" w:themeFill="accent2" w:themeFillShade="BF"/>
      </w:tcPr>
    </w:tblStylePr>
    <w:tblStylePr w:type="band1Vert">
      <w:tblPr/>
      <w:tcPr>
        <w:tcBorders>
          <w:top w:val="nil"/>
          <w:left w:val="nil"/>
          <w:bottom w:val="nil"/>
          <w:right w:val="nil"/>
          <w:insideH w:val="nil"/>
          <w:insideV w:val="nil"/>
        </w:tcBorders>
        <w:shd w:val="clear" w:color="auto" w:fill="98362F" w:themeFill="accent2" w:themeFillShade="BF"/>
      </w:tcPr>
    </w:tblStylePr>
    <w:tblStylePr w:type="band1Horz">
      <w:tblPr/>
      <w:tcPr>
        <w:tcBorders>
          <w:top w:val="nil"/>
          <w:left w:val="nil"/>
          <w:bottom w:val="nil"/>
          <w:right w:val="nil"/>
          <w:insideH w:val="nil"/>
          <w:insideV w:val="nil"/>
        </w:tcBorders>
        <w:shd w:val="clear" w:color="auto" w:fill="98362F" w:themeFill="accent2" w:themeFillShade="BF"/>
      </w:tcPr>
    </w:tblStylePr>
  </w:style>
  <w:style w:type="table" w:styleId="DarkList-Accent3">
    <w:name w:val="Dark List Accent 3"/>
    <w:basedOn w:val="TableNormal"/>
    <w:uiPriority w:val="70"/>
    <w:semiHidden/>
    <w:rsid w:val="00EE3EB6"/>
    <w:pPr>
      <w:spacing w:line="240" w:lineRule="auto"/>
    </w:pPr>
    <w:rPr>
      <w:color w:val="FFFFFF" w:themeColor="background1"/>
    </w:rPr>
    <w:tblPr>
      <w:tblStyleRowBandSize w:val="1"/>
      <w:tblStyleColBandSize w:val="1"/>
    </w:tblPr>
    <w:tcPr>
      <w:shd w:val="clear" w:color="auto" w:fill="F187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C3F0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25E0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25E0F" w:themeFill="accent3" w:themeFillShade="BF"/>
      </w:tcPr>
    </w:tblStylePr>
    <w:tblStylePr w:type="band1Vert">
      <w:tblPr/>
      <w:tcPr>
        <w:tcBorders>
          <w:top w:val="nil"/>
          <w:left w:val="nil"/>
          <w:bottom w:val="nil"/>
          <w:right w:val="nil"/>
          <w:insideH w:val="nil"/>
          <w:insideV w:val="nil"/>
        </w:tcBorders>
        <w:shd w:val="clear" w:color="auto" w:fill="D25E0F" w:themeFill="accent3" w:themeFillShade="BF"/>
      </w:tcPr>
    </w:tblStylePr>
    <w:tblStylePr w:type="band1Horz">
      <w:tblPr/>
      <w:tcPr>
        <w:tcBorders>
          <w:top w:val="nil"/>
          <w:left w:val="nil"/>
          <w:bottom w:val="nil"/>
          <w:right w:val="nil"/>
          <w:insideH w:val="nil"/>
          <w:insideV w:val="nil"/>
        </w:tcBorders>
        <w:shd w:val="clear" w:color="auto" w:fill="D25E0F" w:themeFill="accent3" w:themeFillShade="BF"/>
      </w:tcPr>
    </w:tblStylePr>
  </w:style>
  <w:style w:type="table" w:styleId="DarkList-Accent4">
    <w:name w:val="Dark List Accent 4"/>
    <w:basedOn w:val="TableNormal"/>
    <w:uiPriority w:val="70"/>
    <w:semiHidden/>
    <w:rsid w:val="00EE3EB6"/>
    <w:pPr>
      <w:spacing w:line="240" w:lineRule="auto"/>
    </w:pPr>
    <w:rPr>
      <w:color w:val="FFFFFF" w:themeColor="background1"/>
    </w:rPr>
    <w:tblPr>
      <w:tblStyleRowBandSize w:val="1"/>
      <w:tblStyleColBandSize w:val="1"/>
    </w:tblPr>
    <w:tcPr>
      <w:shd w:val="clear" w:color="auto" w:fill="FCC64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E6F0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EA70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EA704" w:themeFill="accent4" w:themeFillShade="BF"/>
      </w:tcPr>
    </w:tblStylePr>
    <w:tblStylePr w:type="band1Vert">
      <w:tblPr/>
      <w:tcPr>
        <w:tcBorders>
          <w:top w:val="nil"/>
          <w:left w:val="nil"/>
          <w:bottom w:val="nil"/>
          <w:right w:val="nil"/>
          <w:insideH w:val="nil"/>
          <w:insideV w:val="nil"/>
        </w:tcBorders>
        <w:shd w:val="clear" w:color="auto" w:fill="EEA704" w:themeFill="accent4" w:themeFillShade="BF"/>
      </w:tcPr>
    </w:tblStylePr>
    <w:tblStylePr w:type="band1Horz">
      <w:tblPr/>
      <w:tcPr>
        <w:tcBorders>
          <w:top w:val="nil"/>
          <w:left w:val="nil"/>
          <w:bottom w:val="nil"/>
          <w:right w:val="nil"/>
          <w:insideH w:val="nil"/>
          <w:insideV w:val="nil"/>
        </w:tcBorders>
        <w:shd w:val="clear" w:color="auto" w:fill="EEA704" w:themeFill="accent4" w:themeFillShade="BF"/>
      </w:tcPr>
    </w:tblStylePr>
  </w:style>
  <w:style w:type="table" w:styleId="DarkList-Accent5">
    <w:name w:val="Dark List Accent 5"/>
    <w:basedOn w:val="TableNormal"/>
    <w:uiPriority w:val="70"/>
    <w:semiHidden/>
    <w:rsid w:val="00EE3EB6"/>
    <w:pPr>
      <w:spacing w:line="240" w:lineRule="auto"/>
    </w:pPr>
    <w:rPr>
      <w:color w:val="FFFFFF" w:themeColor="background1"/>
    </w:rPr>
    <w:tblPr>
      <w:tblStyleRowBandSize w:val="1"/>
      <w:tblStyleColBandSize w:val="1"/>
    </w:tblPr>
    <w:tcPr>
      <w:shd w:val="clear" w:color="auto" w:fill="86BE5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632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3953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3953A" w:themeFill="accent5" w:themeFillShade="BF"/>
      </w:tcPr>
    </w:tblStylePr>
    <w:tblStylePr w:type="band1Vert">
      <w:tblPr/>
      <w:tcPr>
        <w:tcBorders>
          <w:top w:val="nil"/>
          <w:left w:val="nil"/>
          <w:bottom w:val="nil"/>
          <w:right w:val="nil"/>
          <w:insideH w:val="nil"/>
          <w:insideV w:val="nil"/>
        </w:tcBorders>
        <w:shd w:val="clear" w:color="auto" w:fill="63953A" w:themeFill="accent5" w:themeFillShade="BF"/>
      </w:tcPr>
    </w:tblStylePr>
    <w:tblStylePr w:type="band1Horz">
      <w:tblPr/>
      <w:tcPr>
        <w:tcBorders>
          <w:top w:val="nil"/>
          <w:left w:val="nil"/>
          <w:bottom w:val="nil"/>
          <w:right w:val="nil"/>
          <w:insideH w:val="nil"/>
          <w:insideV w:val="nil"/>
        </w:tcBorders>
        <w:shd w:val="clear" w:color="auto" w:fill="63953A" w:themeFill="accent5" w:themeFillShade="BF"/>
      </w:tcPr>
    </w:tblStylePr>
  </w:style>
  <w:style w:type="table" w:styleId="DarkList-Accent6">
    <w:name w:val="Dark List Accent 6"/>
    <w:basedOn w:val="TableNormal"/>
    <w:uiPriority w:val="70"/>
    <w:semiHidden/>
    <w:rsid w:val="00EE3EB6"/>
    <w:pPr>
      <w:spacing w:line="240" w:lineRule="auto"/>
    </w:pPr>
    <w:rPr>
      <w:color w:val="FFFFFF" w:themeColor="background1"/>
    </w:rPr>
    <w:tblPr>
      <w:tblStyleRowBandSize w:val="1"/>
      <w:tblStyleColBandSize w:val="1"/>
    </w:tblPr>
    <w:tcPr>
      <w:shd w:val="clear" w:color="auto" w:fill="78818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04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A606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A6062" w:themeFill="accent6" w:themeFillShade="BF"/>
      </w:tcPr>
    </w:tblStylePr>
    <w:tblStylePr w:type="band1Vert">
      <w:tblPr/>
      <w:tcPr>
        <w:tcBorders>
          <w:top w:val="nil"/>
          <w:left w:val="nil"/>
          <w:bottom w:val="nil"/>
          <w:right w:val="nil"/>
          <w:insideH w:val="nil"/>
          <w:insideV w:val="nil"/>
        </w:tcBorders>
        <w:shd w:val="clear" w:color="auto" w:fill="5A6062" w:themeFill="accent6" w:themeFillShade="BF"/>
      </w:tcPr>
    </w:tblStylePr>
    <w:tblStylePr w:type="band1Horz">
      <w:tblPr/>
      <w:tcPr>
        <w:tcBorders>
          <w:top w:val="nil"/>
          <w:left w:val="nil"/>
          <w:bottom w:val="nil"/>
          <w:right w:val="nil"/>
          <w:insideH w:val="nil"/>
          <w:insideV w:val="nil"/>
        </w:tcBorders>
        <w:shd w:val="clear" w:color="auto" w:fill="5A6062" w:themeFill="accent6" w:themeFillShade="BF"/>
      </w:tcPr>
    </w:tblStylePr>
  </w:style>
  <w:style w:type="table" w:customStyle="1" w:styleId="GridTable1Light">
    <w:name w:val="Grid Table 1 Light"/>
    <w:basedOn w:val="TableNormal"/>
    <w:uiPriority w:val="46"/>
    <w:semiHidden/>
    <w:rsid w:val="00EE3EB6"/>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semiHidden/>
    <w:rsid w:val="00EE3EB6"/>
    <w:pPr>
      <w:spacing w:line="240" w:lineRule="auto"/>
    </w:pPr>
    <w:tblPr>
      <w:tblStyleRowBandSize w:val="1"/>
      <w:tblStyleColBandSize w:val="1"/>
      <w:tblBorders>
        <w:top w:val="single" w:sz="4" w:space="0" w:color="D6B0CE" w:themeColor="accent1" w:themeTint="66"/>
        <w:left w:val="single" w:sz="4" w:space="0" w:color="D6B0CE" w:themeColor="accent1" w:themeTint="66"/>
        <w:bottom w:val="single" w:sz="4" w:space="0" w:color="D6B0CE" w:themeColor="accent1" w:themeTint="66"/>
        <w:right w:val="single" w:sz="4" w:space="0" w:color="D6B0CE" w:themeColor="accent1" w:themeTint="66"/>
        <w:insideH w:val="single" w:sz="4" w:space="0" w:color="D6B0CE" w:themeColor="accent1" w:themeTint="66"/>
        <w:insideV w:val="single" w:sz="4" w:space="0" w:color="D6B0CE" w:themeColor="accent1" w:themeTint="66"/>
      </w:tblBorders>
    </w:tblPr>
    <w:tblStylePr w:type="firstRow">
      <w:rPr>
        <w:b/>
        <w:bCs/>
      </w:rPr>
      <w:tblPr/>
      <w:tcPr>
        <w:tcBorders>
          <w:bottom w:val="single" w:sz="12" w:space="0" w:color="C288B7" w:themeColor="accent1" w:themeTint="99"/>
        </w:tcBorders>
      </w:tcPr>
    </w:tblStylePr>
    <w:tblStylePr w:type="lastRow">
      <w:rPr>
        <w:b/>
        <w:bCs/>
      </w:rPr>
      <w:tblPr/>
      <w:tcPr>
        <w:tcBorders>
          <w:top w:val="double" w:sz="2" w:space="0" w:color="C288B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semiHidden/>
    <w:rsid w:val="00EE3EB6"/>
    <w:pPr>
      <w:spacing w:line="240" w:lineRule="auto"/>
    </w:pPr>
    <w:tblPr>
      <w:tblStyleRowBandSize w:val="1"/>
      <w:tblStyleColBandSize w:val="1"/>
      <w:tblBorders>
        <w:top w:val="single" w:sz="4" w:space="0" w:color="E8B7B4" w:themeColor="accent2" w:themeTint="66"/>
        <w:left w:val="single" w:sz="4" w:space="0" w:color="E8B7B4" w:themeColor="accent2" w:themeTint="66"/>
        <w:bottom w:val="single" w:sz="4" w:space="0" w:color="E8B7B4" w:themeColor="accent2" w:themeTint="66"/>
        <w:right w:val="single" w:sz="4" w:space="0" w:color="E8B7B4" w:themeColor="accent2" w:themeTint="66"/>
        <w:insideH w:val="single" w:sz="4" w:space="0" w:color="E8B7B4" w:themeColor="accent2" w:themeTint="66"/>
        <w:insideV w:val="single" w:sz="4" w:space="0" w:color="E8B7B4" w:themeColor="accent2" w:themeTint="66"/>
      </w:tblBorders>
    </w:tblPr>
    <w:tblStylePr w:type="firstRow">
      <w:rPr>
        <w:b/>
        <w:bCs/>
      </w:rPr>
      <w:tblPr/>
      <w:tcPr>
        <w:tcBorders>
          <w:bottom w:val="single" w:sz="12" w:space="0" w:color="DC948F" w:themeColor="accent2" w:themeTint="99"/>
        </w:tcBorders>
      </w:tcPr>
    </w:tblStylePr>
    <w:tblStylePr w:type="lastRow">
      <w:rPr>
        <w:b/>
        <w:bCs/>
      </w:rPr>
      <w:tblPr/>
      <w:tcPr>
        <w:tcBorders>
          <w:top w:val="double" w:sz="2" w:space="0" w:color="DC948F"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semiHidden/>
    <w:rsid w:val="00EE3EB6"/>
    <w:pPr>
      <w:spacing w:line="240" w:lineRule="auto"/>
    </w:pPr>
    <w:tblPr>
      <w:tblStyleRowBandSize w:val="1"/>
      <w:tblStyleColBandSize w:val="1"/>
      <w:tblBorders>
        <w:top w:val="single" w:sz="4" w:space="0" w:color="F9CEB1" w:themeColor="accent3" w:themeTint="66"/>
        <w:left w:val="single" w:sz="4" w:space="0" w:color="F9CEB1" w:themeColor="accent3" w:themeTint="66"/>
        <w:bottom w:val="single" w:sz="4" w:space="0" w:color="F9CEB1" w:themeColor="accent3" w:themeTint="66"/>
        <w:right w:val="single" w:sz="4" w:space="0" w:color="F9CEB1" w:themeColor="accent3" w:themeTint="66"/>
        <w:insideH w:val="single" w:sz="4" w:space="0" w:color="F9CEB1" w:themeColor="accent3" w:themeTint="66"/>
        <w:insideV w:val="single" w:sz="4" w:space="0" w:color="F9CEB1" w:themeColor="accent3" w:themeTint="66"/>
      </w:tblBorders>
    </w:tblPr>
    <w:tblStylePr w:type="firstRow">
      <w:rPr>
        <w:b/>
        <w:bCs/>
      </w:rPr>
      <w:tblPr/>
      <w:tcPr>
        <w:tcBorders>
          <w:bottom w:val="single" w:sz="12" w:space="0" w:color="F6B68A" w:themeColor="accent3" w:themeTint="99"/>
        </w:tcBorders>
      </w:tcPr>
    </w:tblStylePr>
    <w:tblStylePr w:type="lastRow">
      <w:rPr>
        <w:b/>
        <w:bCs/>
      </w:rPr>
      <w:tblPr/>
      <w:tcPr>
        <w:tcBorders>
          <w:top w:val="double" w:sz="2" w:space="0" w:color="F6B68A"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semiHidden/>
    <w:rsid w:val="00EE3EB6"/>
    <w:pPr>
      <w:spacing w:line="240" w:lineRule="auto"/>
    </w:pPr>
    <w:tblPr>
      <w:tblStyleRowBandSize w:val="1"/>
      <w:tblStyleColBandSize w:val="1"/>
      <w:tblBorders>
        <w:top w:val="single" w:sz="4" w:space="0" w:color="FDE7B5" w:themeColor="accent4" w:themeTint="66"/>
        <w:left w:val="single" w:sz="4" w:space="0" w:color="FDE7B5" w:themeColor="accent4" w:themeTint="66"/>
        <w:bottom w:val="single" w:sz="4" w:space="0" w:color="FDE7B5" w:themeColor="accent4" w:themeTint="66"/>
        <w:right w:val="single" w:sz="4" w:space="0" w:color="FDE7B5" w:themeColor="accent4" w:themeTint="66"/>
        <w:insideH w:val="single" w:sz="4" w:space="0" w:color="FDE7B5" w:themeColor="accent4" w:themeTint="66"/>
        <w:insideV w:val="single" w:sz="4" w:space="0" w:color="FDE7B5" w:themeColor="accent4" w:themeTint="66"/>
      </w:tblBorders>
    </w:tblPr>
    <w:tblStylePr w:type="firstRow">
      <w:rPr>
        <w:b/>
        <w:bCs/>
      </w:rPr>
      <w:tblPr/>
      <w:tcPr>
        <w:tcBorders>
          <w:bottom w:val="single" w:sz="12" w:space="0" w:color="FDDC91" w:themeColor="accent4" w:themeTint="99"/>
        </w:tcBorders>
      </w:tcPr>
    </w:tblStylePr>
    <w:tblStylePr w:type="lastRow">
      <w:rPr>
        <w:b/>
        <w:bCs/>
      </w:rPr>
      <w:tblPr/>
      <w:tcPr>
        <w:tcBorders>
          <w:top w:val="double" w:sz="2" w:space="0" w:color="FDDC91"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semiHidden/>
    <w:rsid w:val="00EE3EB6"/>
    <w:pPr>
      <w:spacing w:line="240" w:lineRule="auto"/>
    </w:pPr>
    <w:tblPr>
      <w:tblStyleRowBandSize w:val="1"/>
      <w:tblStyleColBandSize w:val="1"/>
      <w:tblBorders>
        <w:top w:val="single" w:sz="4" w:space="0" w:color="CEE5BB" w:themeColor="accent5" w:themeTint="66"/>
        <w:left w:val="single" w:sz="4" w:space="0" w:color="CEE5BB" w:themeColor="accent5" w:themeTint="66"/>
        <w:bottom w:val="single" w:sz="4" w:space="0" w:color="CEE5BB" w:themeColor="accent5" w:themeTint="66"/>
        <w:right w:val="single" w:sz="4" w:space="0" w:color="CEE5BB" w:themeColor="accent5" w:themeTint="66"/>
        <w:insideH w:val="single" w:sz="4" w:space="0" w:color="CEE5BB" w:themeColor="accent5" w:themeTint="66"/>
        <w:insideV w:val="single" w:sz="4" w:space="0" w:color="CEE5BB" w:themeColor="accent5" w:themeTint="66"/>
      </w:tblBorders>
    </w:tblPr>
    <w:tblStylePr w:type="firstRow">
      <w:rPr>
        <w:b/>
        <w:bCs/>
      </w:rPr>
      <w:tblPr/>
      <w:tcPr>
        <w:tcBorders>
          <w:bottom w:val="single" w:sz="12" w:space="0" w:color="B6D89A" w:themeColor="accent5" w:themeTint="99"/>
        </w:tcBorders>
      </w:tcPr>
    </w:tblStylePr>
    <w:tblStylePr w:type="lastRow">
      <w:rPr>
        <w:b/>
        <w:bCs/>
      </w:rPr>
      <w:tblPr/>
      <w:tcPr>
        <w:tcBorders>
          <w:top w:val="double" w:sz="2" w:space="0" w:color="B6D89A"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semiHidden/>
    <w:rsid w:val="00EE3EB6"/>
    <w:pPr>
      <w:spacing w:line="240" w:lineRule="auto"/>
    </w:pPr>
    <w:tblPr>
      <w:tblStyleRowBandSize w:val="1"/>
      <w:tblStyleColBandSize w:val="1"/>
      <w:tblBorders>
        <w:top w:val="single" w:sz="4" w:space="0" w:color="C8CCCD" w:themeColor="accent6" w:themeTint="66"/>
        <w:left w:val="single" w:sz="4" w:space="0" w:color="C8CCCD" w:themeColor="accent6" w:themeTint="66"/>
        <w:bottom w:val="single" w:sz="4" w:space="0" w:color="C8CCCD" w:themeColor="accent6" w:themeTint="66"/>
        <w:right w:val="single" w:sz="4" w:space="0" w:color="C8CCCD" w:themeColor="accent6" w:themeTint="66"/>
        <w:insideH w:val="single" w:sz="4" w:space="0" w:color="C8CCCD" w:themeColor="accent6" w:themeTint="66"/>
        <w:insideV w:val="single" w:sz="4" w:space="0" w:color="C8CCCD" w:themeColor="accent6" w:themeTint="66"/>
      </w:tblBorders>
    </w:tblPr>
    <w:tblStylePr w:type="firstRow">
      <w:rPr>
        <w:b/>
        <w:bCs/>
      </w:rPr>
      <w:tblPr/>
      <w:tcPr>
        <w:tcBorders>
          <w:bottom w:val="single" w:sz="12" w:space="0" w:color="ADB3B4" w:themeColor="accent6" w:themeTint="99"/>
        </w:tcBorders>
      </w:tcPr>
    </w:tblStylePr>
    <w:tblStylePr w:type="lastRow">
      <w:rPr>
        <w:b/>
        <w:bCs/>
      </w:rPr>
      <w:tblPr/>
      <w:tcPr>
        <w:tcBorders>
          <w:top w:val="double" w:sz="2" w:space="0" w:color="ADB3B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semiHidden/>
    <w:rsid w:val="00EE3EB6"/>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semiHidden/>
    <w:rsid w:val="00EE3EB6"/>
    <w:pPr>
      <w:spacing w:line="240" w:lineRule="auto"/>
    </w:pPr>
    <w:tblPr>
      <w:tblStyleRowBandSize w:val="1"/>
      <w:tblStyleColBandSize w:val="1"/>
      <w:tblBorders>
        <w:top w:val="single" w:sz="2" w:space="0" w:color="C288B7" w:themeColor="accent1" w:themeTint="99"/>
        <w:bottom w:val="single" w:sz="2" w:space="0" w:color="C288B7" w:themeColor="accent1" w:themeTint="99"/>
        <w:insideH w:val="single" w:sz="2" w:space="0" w:color="C288B7" w:themeColor="accent1" w:themeTint="99"/>
        <w:insideV w:val="single" w:sz="2" w:space="0" w:color="C288B7" w:themeColor="accent1" w:themeTint="99"/>
      </w:tblBorders>
    </w:tblPr>
    <w:tblStylePr w:type="firstRow">
      <w:rPr>
        <w:b/>
        <w:bCs/>
      </w:rPr>
      <w:tblPr/>
      <w:tcPr>
        <w:tcBorders>
          <w:top w:val="nil"/>
          <w:bottom w:val="single" w:sz="12" w:space="0" w:color="C288B7" w:themeColor="accent1" w:themeTint="99"/>
          <w:insideH w:val="nil"/>
          <w:insideV w:val="nil"/>
        </w:tcBorders>
        <w:shd w:val="clear" w:color="auto" w:fill="FFFFFF" w:themeFill="background1"/>
      </w:tcPr>
    </w:tblStylePr>
    <w:tblStylePr w:type="lastRow">
      <w:rPr>
        <w:b/>
        <w:bCs/>
      </w:rPr>
      <w:tblPr/>
      <w:tcPr>
        <w:tcBorders>
          <w:top w:val="double" w:sz="2" w:space="0" w:color="C288B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GridTable2Accent2">
    <w:name w:val="Grid Table 2 Accent 2"/>
    <w:basedOn w:val="TableNormal"/>
    <w:uiPriority w:val="47"/>
    <w:semiHidden/>
    <w:rsid w:val="00EE3EB6"/>
    <w:pPr>
      <w:spacing w:line="240" w:lineRule="auto"/>
    </w:pPr>
    <w:tblPr>
      <w:tblStyleRowBandSize w:val="1"/>
      <w:tblStyleColBandSize w:val="1"/>
      <w:tblBorders>
        <w:top w:val="single" w:sz="2" w:space="0" w:color="DC948F" w:themeColor="accent2" w:themeTint="99"/>
        <w:bottom w:val="single" w:sz="2" w:space="0" w:color="DC948F" w:themeColor="accent2" w:themeTint="99"/>
        <w:insideH w:val="single" w:sz="2" w:space="0" w:color="DC948F" w:themeColor="accent2" w:themeTint="99"/>
        <w:insideV w:val="single" w:sz="2" w:space="0" w:color="DC948F" w:themeColor="accent2" w:themeTint="99"/>
      </w:tblBorders>
    </w:tblPr>
    <w:tblStylePr w:type="firstRow">
      <w:rPr>
        <w:b/>
        <w:bCs/>
      </w:rPr>
      <w:tblPr/>
      <w:tcPr>
        <w:tcBorders>
          <w:top w:val="nil"/>
          <w:bottom w:val="single" w:sz="12" w:space="0" w:color="DC948F" w:themeColor="accent2" w:themeTint="99"/>
          <w:insideH w:val="nil"/>
          <w:insideV w:val="nil"/>
        </w:tcBorders>
        <w:shd w:val="clear" w:color="auto" w:fill="FFFFFF" w:themeFill="background1"/>
      </w:tcPr>
    </w:tblStylePr>
    <w:tblStylePr w:type="lastRow">
      <w:rPr>
        <w:b/>
        <w:bCs/>
      </w:rPr>
      <w:tblPr/>
      <w:tcPr>
        <w:tcBorders>
          <w:top w:val="double" w:sz="2" w:space="0" w:color="DC948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GridTable2Accent3">
    <w:name w:val="Grid Table 2 Accent 3"/>
    <w:basedOn w:val="TableNormal"/>
    <w:uiPriority w:val="47"/>
    <w:semiHidden/>
    <w:rsid w:val="00EE3EB6"/>
    <w:pPr>
      <w:spacing w:line="240" w:lineRule="auto"/>
    </w:pPr>
    <w:tblPr>
      <w:tblStyleRowBandSize w:val="1"/>
      <w:tblStyleColBandSize w:val="1"/>
      <w:tblBorders>
        <w:top w:val="single" w:sz="2" w:space="0" w:color="F6B68A" w:themeColor="accent3" w:themeTint="99"/>
        <w:bottom w:val="single" w:sz="2" w:space="0" w:color="F6B68A" w:themeColor="accent3" w:themeTint="99"/>
        <w:insideH w:val="single" w:sz="2" w:space="0" w:color="F6B68A" w:themeColor="accent3" w:themeTint="99"/>
        <w:insideV w:val="single" w:sz="2" w:space="0" w:color="F6B68A" w:themeColor="accent3" w:themeTint="99"/>
      </w:tblBorders>
    </w:tblPr>
    <w:tblStylePr w:type="firstRow">
      <w:rPr>
        <w:b/>
        <w:bCs/>
      </w:rPr>
      <w:tblPr/>
      <w:tcPr>
        <w:tcBorders>
          <w:top w:val="nil"/>
          <w:bottom w:val="single" w:sz="12" w:space="0" w:color="F6B68A" w:themeColor="accent3" w:themeTint="99"/>
          <w:insideH w:val="nil"/>
          <w:insideV w:val="nil"/>
        </w:tcBorders>
        <w:shd w:val="clear" w:color="auto" w:fill="FFFFFF" w:themeFill="background1"/>
      </w:tcPr>
    </w:tblStylePr>
    <w:tblStylePr w:type="lastRow">
      <w:rPr>
        <w:b/>
        <w:bCs/>
      </w:rPr>
      <w:tblPr/>
      <w:tcPr>
        <w:tcBorders>
          <w:top w:val="double" w:sz="2" w:space="0" w:color="F6B68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GridTable2Accent4">
    <w:name w:val="Grid Table 2 Accent 4"/>
    <w:basedOn w:val="TableNormal"/>
    <w:uiPriority w:val="47"/>
    <w:semiHidden/>
    <w:rsid w:val="00EE3EB6"/>
    <w:pPr>
      <w:spacing w:line="240" w:lineRule="auto"/>
    </w:pPr>
    <w:tblPr>
      <w:tblStyleRowBandSize w:val="1"/>
      <w:tblStyleColBandSize w:val="1"/>
      <w:tblBorders>
        <w:top w:val="single" w:sz="2" w:space="0" w:color="FDDC91" w:themeColor="accent4" w:themeTint="99"/>
        <w:bottom w:val="single" w:sz="2" w:space="0" w:color="FDDC91" w:themeColor="accent4" w:themeTint="99"/>
        <w:insideH w:val="single" w:sz="2" w:space="0" w:color="FDDC91" w:themeColor="accent4" w:themeTint="99"/>
        <w:insideV w:val="single" w:sz="2" w:space="0" w:color="FDDC91" w:themeColor="accent4" w:themeTint="99"/>
      </w:tblBorders>
    </w:tblPr>
    <w:tblStylePr w:type="firstRow">
      <w:rPr>
        <w:b/>
        <w:bCs/>
      </w:rPr>
      <w:tblPr/>
      <w:tcPr>
        <w:tcBorders>
          <w:top w:val="nil"/>
          <w:bottom w:val="single" w:sz="12" w:space="0" w:color="FDDC91" w:themeColor="accent4" w:themeTint="99"/>
          <w:insideH w:val="nil"/>
          <w:insideV w:val="nil"/>
        </w:tcBorders>
        <w:shd w:val="clear" w:color="auto" w:fill="FFFFFF" w:themeFill="background1"/>
      </w:tcPr>
    </w:tblStylePr>
    <w:tblStylePr w:type="lastRow">
      <w:rPr>
        <w:b/>
        <w:bCs/>
      </w:rPr>
      <w:tblPr/>
      <w:tcPr>
        <w:tcBorders>
          <w:top w:val="double" w:sz="2" w:space="0" w:color="FDDC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GridTable2Accent5">
    <w:name w:val="Grid Table 2 Accent 5"/>
    <w:basedOn w:val="TableNormal"/>
    <w:uiPriority w:val="47"/>
    <w:semiHidden/>
    <w:rsid w:val="00EE3EB6"/>
    <w:pPr>
      <w:spacing w:line="240" w:lineRule="auto"/>
    </w:pPr>
    <w:tblPr>
      <w:tblStyleRowBandSize w:val="1"/>
      <w:tblStyleColBandSize w:val="1"/>
      <w:tblBorders>
        <w:top w:val="single" w:sz="2" w:space="0" w:color="B6D89A" w:themeColor="accent5" w:themeTint="99"/>
        <w:bottom w:val="single" w:sz="2" w:space="0" w:color="B6D89A" w:themeColor="accent5" w:themeTint="99"/>
        <w:insideH w:val="single" w:sz="2" w:space="0" w:color="B6D89A" w:themeColor="accent5" w:themeTint="99"/>
        <w:insideV w:val="single" w:sz="2" w:space="0" w:color="B6D89A" w:themeColor="accent5" w:themeTint="99"/>
      </w:tblBorders>
    </w:tblPr>
    <w:tblStylePr w:type="firstRow">
      <w:rPr>
        <w:b/>
        <w:bCs/>
      </w:rPr>
      <w:tblPr/>
      <w:tcPr>
        <w:tcBorders>
          <w:top w:val="nil"/>
          <w:bottom w:val="single" w:sz="12" w:space="0" w:color="B6D89A" w:themeColor="accent5" w:themeTint="99"/>
          <w:insideH w:val="nil"/>
          <w:insideV w:val="nil"/>
        </w:tcBorders>
        <w:shd w:val="clear" w:color="auto" w:fill="FFFFFF" w:themeFill="background1"/>
      </w:tcPr>
    </w:tblStylePr>
    <w:tblStylePr w:type="lastRow">
      <w:rPr>
        <w:b/>
        <w:bCs/>
      </w:rPr>
      <w:tblPr/>
      <w:tcPr>
        <w:tcBorders>
          <w:top w:val="double" w:sz="2" w:space="0" w:color="B6D89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GridTable2Accent6">
    <w:name w:val="Grid Table 2 Accent 6"/>
    <w:basedOn w:val="TableNormal"/>
    <w:uiPriority w:val="47"/>
    <w:semiHidden/>
    <w:rsid w:val="00EE3EB6"/>
    <w:pPr>
      <w:spacing w:line="240" w:lineRule="auto"/>
    </w:pPr>
    <w:tblPr>
      <w:tblStyleRowBandSize w:val="1"/>
      <w:tblStyleColBandSize w:val="1"/>
      <w:tblBorders>
        <w:top w:val="single" w:sz="2" w:space="0" w:color="ADB3B4" w:themeColor="accent6" w:themeTint="99"/>
        <w:bottom w:val="single" w:sz="2" w:space="0" w:color="ADB3B4" w:themeColor="accent6" w:themeTint="99"/>
        <w:insideH w:val="single" w:sz="2" w:space="0" w:color="ADB3B4" w:themeColor="accent6" w:themeTint="99"/>
        <w:insideV w:val="single" w:sz="2" w:space="0" w:color="ADB3B4" w:themeColor="accent6" w:themeTint="99"/>
      </w:tblBorders>
    </w:tblPr>
    <w:tblStylePr w:type="firstRow">
      <w:rPr>
        <w:b/>
        <w:bCs/>
      </w:rPr>
      <w:tblPr/>
      <w:tcPr>
        <w:tcBorders>
          <w:top w:val="nil"/>
          <w:bottom w:val="single" w:sz="12" w:space="0" w:color="ADB3B4" w:themeColor="accent6" w:themeTint="99"/>
          <w:insideH w:val="nil"/>
          <w:insideV w:val="nil"/>
        </w:tcBorders>
        <w:shd w:val="clear" w:color="auto" w:fill="FFFFFF" w:themeFill="background1"/>
      </w:tcPr>
    </w:tblStylePr>
    <w:tblStylePr w:type="lastRow">
      <w:rPr>
        <w:b/>
        <w:bCs/>
      </w:rPr>
      <w:tblPr/>
      <w:tcPr>
        <w:tcBorders>
          <w:top w:val="double" w:sz="2" w:space="0" w:color="ADB3B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GridTable3">
    <w:name w:val="Grid Table 3"/>
    <w:basedOn w:val="TableNormal"/>
    <w:uiPriority w:val="48"/>
    <w:semiHidden/>
    <w:rsid w:val="00EE3EB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semiHidden/>
    <w:rsid w:val="00EE3EB6"/>
    <w:pPr>
      <w:spacing w:line="240" w:lineRule="auto"/>
    </w:p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7E6" w:themeFill="accent1" w:themeFillTint="33"/>
      </w:tcPr>
    </w:tblStylePr>
    <w:tblStylePr w:type="band1Horz">
      <w:tblPr/>
      <w:tcPr>
        <w:shd w:val="clear" w:color="auto" w:fill="EAD7E6" w:themeFill="accent1" w:themeFillTint="33"/>
      </w:tcPr>
    </w:tblStylePr>
    <w:tblStylePr w:type="neCell">
      <w:tblPr/>
      <w:tcPr>
        <w:tcBorders>
          <w:bottom w:val="single" w:sz="4" w:space="0" w:color="C288B7" w:themeColor="accent1" w:themeTint="99"/>
        </w:tcBorders>
      </w:tcPr>
    </w:tblStylePr>
    <w:tblStylePr w:type="nwCell">
      <w:tblPr/>
      <w:tcPr>
        <w:tcBorders>
          <w:bottom w:val="single" w:sz="4" w:space="0" w:color="C288B7" w:themeColor="accent1" w:themeTint="99"/>
        </w:tcBorders>
      </w:tcPr>
    </w:tblStylePr>
    <w:tblStylePr w:type="seCell">
      <w:tblPr/>
      <w:tcPr>
        <w:tcBorders>
          <w:top w:val="single" w:sz="4" w:space="0" w:color="C288B7" w:themeColor="accent1" w:themeTint="99"/>
        </w:tcBorders>
      </w:tcPr>
    </w:tblStylePr>
    <w:tblStylePr w:type="swCell">
      <w:tblPr/>
      <w:tcPr>
        <w:tcBorders>
          <w:top w:val="single" w:sz="4" w:space="0" w:color="C288B7" w:themeColor="accent1" w:themeTint="99"/>
        </w:tcBorders>
      </w:tcPr>
    </w:tblStylePr>
  </w:style>
  <w:style w:type="table" w:customStyle="1" w:styleId="GridTable3Accent2">
    <w:name w:val="Grid Table 3 Accent 2"/>
    <w:basedOn w:val="TableNormal"/>
    <w:uiPriority w:val="48"/>
    <w:semiHidden/>
    <w:rsid w:val="00EE3EB6"/>
    <w:pPr>
      <w:spacing w:line="240" w:lineRule="auto"/>
    </w:p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BD9" w:themeFill="accent2" w:themeFillTint="33"/>
      </w:tcPr>
    </w:tblStylePr>
    <w:tblStylePr w:type="band1Horz">
      <w:tblPr/>
      <w:tcPr>
        <w:shd w:val="clear" w:color="auto" w:fill="F3DBD9" w:themeFill="accent2" w:themeFillTint="33"/>
      </w:tcPr>
    </w:tblStylePr>
    <w:tblStylePr w:type="neCell">
      <w:tblPr/>
      <w:tcPr>
        <w:tcBorders>
          <w:bottom w:val="single" w:sz="4" w:space="0" w:color="DC948F" w:themeColor="accent2" w:themeTint="99"/>
        </w:tcBorders>
      </w:tcPr>
    </w:tblStylePr>
    <w:tblStylePr w:type="nwCell">
      <w:tblPr/>
      <w:tcPr>
        <w:tcBorders>
          <w:bottom w:val="single" w:sz="4" w:space="0" w:color="DC948F" w:themeColor="accent2" w:themeTint="99"/>
        </w:tcBorders>
      </w:tcPr>
    </w:tblStylePr>
    <w:tblStylePr w:type="seCell">
      <w:tblPr/>
      <w:tcPr>
        <w:tcBorders>
          <w:top w:val="single" w:sz="4" w:space="0" w:color="DC948F" w:themeColor="accent2" w:themeTint="99"/>
        </w:tcBorders>
      </w:tcPr>
    </w:tblStylePr>
    <w:tblStylePr w:type="swCell">
      <w:tblPr/>
      <w:tcPr>
        <w:tcBorders>
          <w:top w:val="single" w:sz="4" w:space="0" w:color="DC948F" w:themeColor="accent2" w:themeTint="99"/>
        </w:tcBorders>
      </w:tcPr>
    </w:tblStylePr>
  </w:style>
  <w:style w:type="table" w:customStyle="1" w:styleId="GridTable3Accent3">
    <w:name w:val="Grid Table 3 Accent 3"/>
    <w:basedOn w:val="TableNormal"/>
    <w:uiPriority w:val="48"/>
    <w:semiHidden/>
    <w:rsid w:val="00EE3EB6"/>
    <w:pPr>
      <w:spacing w:line="240" w:lineRule="auto"/>
    </w:p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6D8" w:themeFill="accent3" w:themeFillTint="33"/>
      </w:tcPr>
    </w:tblStylePr>
    <w:tblStylePr w:type="band1Horz">
      <w:tblPr/>
      <w:tcPr>
        <w:shd w:val="clear" w:color="auto" w:fill="FCE6D8" w:themeFill="accent3" w:themeFillTint="33"/>
      </w:tcPr>
    </w:tblStylePr>
    <w:tblStylePr w:type="neCell">
      <w:tblPr/>
      <w:tcPr>
        <w:tcBorders>
          <w:bottom w:val="single" w:sz="4" w:space="0" w:color="F6B68A" w:themeColor="accent3" w:themeTint="99"/>
        </w:tcBorders>
      </w:tcPr>
    </w:tblStylePr>
    <w:tblStylePr w:type="nwCell">
      <w:tblPr/>
      <w:tcPr>
        <w:tcBorders>
          <w:bottom w:val="single" w:sz="4" w:space="0" w:color="F6B68A" w:themeColor="accent3" w:themeTint="99"/>
        </w:tcBorders>
      </w:tcPr>
    </w:tblStylePr>
    <w:tblStylePr w:type="seCell">
      <w:tblPr/>
      <w:tcPr>
        <w:tcBorders>
          <w:top w:val="single" w:sz="4" w:space="0" w:color="F6B68A" w:themeColor="accent3" w:themeTint="99"/>
        </w:tcBorders>
      </w:tcPr>
    </w:tblStylePr>
    <w:tblStylePr w:type="swCell">
      <w:tblPr/>
      <w:tcPr>
        <w:tcBorders>
          <w:top w:val="single" w:sz="4" w:space="0" w:color="F6B68A" w:themeColor="accent3" w:themeTint="99"/>
        </w:tcBorders>
      </w:tcPr>
    </w:tblStylePr>
  </w:style>
  <w:style w:type="table" w:customStyle="1" w:styleId="GridTable3Accent4">
    <w:name w:val="Grid Table 3 Accent 4"/>
    <w:basedOn w:val="TableNormal"/>
    <w:uiPriority w:val="48"/>
    <w:semiHidden/>
    <w:rsid w:val="00EE3EB6"/>
    <w:pPr>
      <w:spacing w:line="240" w:lineRule="auto"/>
    </w:p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3DA" w:themeFill="accent4" w:themeFillTint="33"/>
      </w:tcPr>
    </w:tblStylePr>
    <w:tblStylePr w:type="band1Horz">
      <w:tblPr/>
      <w:tcPr>
        <w:shd w:val="clear" w:color="auto" w:fill="FEF3DA" w:themeFill="accent4" w:themeFillTint="33"/>
      </w:tcPr>
    </w:tblStylePr>
    <w:tblStylePr w:type="neCell">
      <w:tblPr/>
      <w:tcPr>
        <w:tcBorders>
          <w:bottom w:val="single" w:sz="4" w:space="0" w:color="FDDC91" w:themeColor="accent4" w:themeTint="99"/>
        </w:tcBorders>
      </w:tcPr>
    </w:tblStylePr>
    <w:tblStylePr w:type="nwCell">
      <w:tblPr/>
      <w:tcPr>
        <w:tcBorders>
          <w:bottom w:val="single" w:sz="4" w:space="0" w:color="FDDC91" w:themeColor="accent4" w:themeTint="99"/>
        </w:tcBorders>
      </w:tcPr>
    </w:tblStylePr>
    <w:tblStylePr w:type="seCell">
      <w:tblPr/>
      <w:tcPr>
        <w:tcBorders>
          <w:top w:val="single" w:sz="4" w:space="0" w:color="FDDC91" w:themeColor="accent4" w:themeTint="99"/>
        </w:tcBorders>
      </w:tcPr>
    </w:tblStylePr>
    <w:tblStylePr w:type="swCell">
      <w:tblPr/>
      <w:tcPr>
        <w:tcBorders>
          <w:top w:val="single" w:sz="4" w:space="0" w:color="FDDC91" w:themeColor="accent4" w:themeTint="99"/>
        </w:tcBorders>
      </w:tcPr>
    </w:tblStylePr>
  </w:style>
  <w:style w:type="table" w:customStyle="1" w:styleId="GridTable3Accent5">
    <w:name w:val="Grid Table 3 Accent 5"/>
    <w:basedOn w:val="TableNormal"/>
    <w:uiPriority w:val="48"/>
    <w:semiHidden/>
    <w:rsid w:val="00EE3EB6"/>
    <w:pPr>
      <w:spacing w:line="240" w:lineRule="auto"/>
    </w:p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DD" w:themeFill="accent5" w:themeFillTint="33"/>
      </w:tcPr>
    </w:tblStylePr>
    <w:tblStylePr w:type="band1Horz">
      <w:tblPr/>
      <w:tcPr>
        <w:shd w:val="clear" w:color="auto" w:fill="E6F2DD" w:themeFill="accent5" w:themeFillTint="33"/>
      </w:tcPr>
    </w:tblStylePr>
    <w:tblStylePr w:type="neCell">
      <w:tblPr/>
      <w:tcPr>
        <w:tcBorders>
          <w:bottom w:val="single" w:sz="4" w:space="0" w:color="B6D89A" w:themeColor="accent5" w:themeTint="99"/>
        </w:tcBorders>
      </w:tcPr>
    </w:tblStylePr>
    <w:tblStylePr w:type="nwCell">
      <w:tblPr/>
      <w:tcPr>
        <w:tcBorders>
          <w:bottom w:val="single" w:sz="4" w:space="0" w:color="B6D89A" w:themeColor="accent5" w:themeTint="99"/>
        </w:tcBorders>
      </w:tcPr>
    </w:tblStylePr>
    <w:tblStylePr w:type="seCell">
      <w:tblPr/>
      <w:tcPr>
        <w:tcBorders>
          <w:top w:val="single" w:sz="4" w:space="0" w:color="B6D89A" w:themeColor="accent5" w:themeTint="99"/>
        </w:tcBorders>
      </w:tcPr>
    </w:tblStylePr>
    <w:tblStylePr w:type="swCell">
      <w:tblPr/>
      <w:tcPr>
        <w:tcBorders>
          <w:top w:val="single" w:sz="4" w:space="0" w:color="B6D89A" w:themeColor="accent5" w:themeTint="99"/>
        </w:tcBorders>
      </w:tcPr>
    </w:tblStylePr>
  </w:style>
  <w:style w:type="table" w:customStyle="1" w:styleId="GridTable3Accent6">
    <w:name w:val="Grid Table 3 Accent 6"/>
    <w:basedOn w:val="TableNormal"/>
    <w:uiPriority w:val="48"/>
    <w:semiHidden/>
    <w:rsid w:val="00EE3EB6"/>
    <w:pPr>
      <w:spacing w:line="240" w:lineRule="auto"/>
    </w:p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5E6" w:themeFill="accent6" w:themeFillTint="33"/>
      </w:tcPr>
    </w:tblStylePr>
    <w:tblStylePr w:type="band1Horz">
      <w:tblPr/>
      <w:tcPr>
        <w:shd w:val="clear" w:color="auto" w:fill="E3E5E6" w:themeFill="accent6" w:themeFillTint="33"/>
      </w:tcPr>
    </w:tblStylePr>
    <w:tblStylePr w:type="neCell">
      <w:tblPr/>
      <w:tcPr>
        <w:tcBorders>
          <w:bottom w:val="single" w:sz="4" w:space="0" w:color="ADB3B4" w:themeColor="accent6" w:themeTint="99"/>
        </w:tcBorders>
      </w:tcPr>
    </w:tblStylePr>
    <w:tblStylePr w:type="nwCell">
      <w:tblPr/>
      <w:tcPr>
        <w:tcBorders>
          <w:bottom w:val="single" w:sz="4" w:space="0" w:color="ADB3B4" w:themeColor="accent6" w:themeTint="99"/>
        </w:tcBorders>
      </w:tcPr>
    </w:tblStylePr>
    <w:tblStylePr w:type="seCell">
      <w:tblPr/>
      <w:tcPr>
        <w:tcBorders>
          <w:top w:val="single" w:sz="4" w:space="0" w:color="ADB3B4" w:themeColor="accent6" w:themeTint="99"/>
        </w:tcBorders>
      </w:tcPr>
    </w:tblStylePr>
    <w:tblStylePr w:type="swCell">
      <w:tblPr/>
      <w:tcPr>
        <w:tcBorders>
          <w:top w:val="single" w:sz="4" w:space="0" w:color="ADB3B4" w:themeColor="accent6" w:themeTint="99"/>
        </w:tcBorders>
      </w:tcPr>
    </w:tblStylePr>
  </w:style>
  <w:style w:type="table" w:customStyle="1" w:styleId="GridTable4">
    <w:name w:val="Grid Table 4"/>
    <w:basedOn w:val="TableNormal"/>
    <w:uiPriority w:val="49"/>
    <w:semiHidden/>
    <w:rsid w:val="00EE3EB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semiHidden/>
    <w:rsid w:val="00EE3EB6"/>
    <w:pPr>
      <w:spacing w:line="240" w:lineRule="auto"/>
    </w:p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color w:val="FFFFFF" w:themeColor="background1"/>
      </w:rPr>
      <w:tblPr/>
      <w:tcPr>
        <w:tcBorders>
          <w:top w:val="single" w:sz="4" w:space="0" w:color="8D487F" w:themeColor="accent1"/>
          <w:left w:val="single" w:sz="4" w:space="0" w:color="8D487F" w:themeColor="accent1"/>
          <w:bottom w:val="single" w:sz="4" w:space="0" w:color="8D487F" w:themeColor="accent1"/>
          <w:right w:val="single" w:sz="4" w:space="0" w:color="8D487F" w:themeColor="accent1"/>
          <w:insideH w:val="nil"/>
          <w:insideV w:val="nil"/>
        </w:tcBorders>
        <w:shd w:val="clear" w:color="auto" w:fill="8D487F" w:themeFill="accent1"/>
      </w:tcPr>
    </w:tblStylePr>
    <w:tblStylePr w:type="lastRow">
      <w:rPr>
        <w:b/>
        <w:bCs/>
      </w:rPr>
      <w:tblPr/>
      <w:tcPr>
        <w:tcBorders>
          <w:top w:val="double" w:sz="4" w:space="0" w:color="8D487F" w:themeColor="accent1"/>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GridTable4Accent2">
    <w:name w:val="Grid Table 4 Accent 2"/>
    <w:basedOn w:val="TableNormal"/>
    <w:uiPriority w:val="49"/>
    <w:semiHidden/>
    <w:rsid w:val="00EE3EB6"/>
    <w:pPr>
      <w:spacing w:line="240" w:lineRule="auto"/>
    </w:p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color w:val="FFFFFF" w:themeColor="background1"/>
      </w:rPr>
      <w:tblPr/>
      <w:tcPr>
        <w:tcBorders>
          <w:top w:val="single" w:sz="4" w:space="0" w:color="C64E45" w:themeColor="accent2"/>
          <w:left w:val="single" w:sz="4" w:space="0" w:color="C64E45" w:themeColor="accent2"/>
          <w:bottom w:val="single" w:sz="4" w:space="0" w:color="C64E45" w:themeColor="accent2"/>
          <w:right w:val="single" w:sz="4" w:space="0" w:color="C64E45" w:themeColor="accent2"/>
          <w:insideH w:val="nil"/>
          <w:insideV w:val="nil"/>
        </w:tcBorders>
        <w:shd w:val="clear" w:color="auto" w:fill="C64E45" w:themeFill="accent2"/>
      </w:tcPr>
    </w:tblStylePr>
    <w:tblStylePr w:type="lastRow">
      <w:rPr>
        <w:b/>
        <w:bCs/>
      </w:rPr>
      <w:tblPr/>
      <w:tcPr>
        <w:tcBorders>
          <w:top w:val="double" w:sz="4" w:space="0" w:color="C64E45" w:themeColor="accent2"/>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GridTable4Accent3">
    <w:name w:val="Grid Table 4 Accent 3"/>
    <w:basedOn w:val="TableNormal"/>
    <w:uiPriority w:val="49"/>
    <w:semiHidden/>
    <w:rsid w:val="00EE3EB6"/>
    <w:pPr>
      <w:spacing w:line="240" w:lineRule="auto"/>
    </w:p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color w:val="FFFFFF" w:themeColor="background1"/>
      </w:rPr>
      <w:tblPr/>
      <w:tcPr>
        <w:tcBorders>
          <w:top w:val="single" w:sz="4" w:space="0" w:color="F1873D" w:themeColor="accent3"/>
          <w:left w:val="single" w:sz="4" w:space="0" w:color="F1873D" w:themeColor="accent3"/>
          <w:bottom w:val="single" w:sz="4" w:space="0" w:color="F1873D" w:themeColor="accent3"/>
          <w:right w:val="single" w:sz="4" w:space="0" w:color="F1873D" w:themeColor="accent3"/>
          <w:insideH w:val="nil"/>
          <w:insideV w:val="nil"/>
        </w:tcBorders>
        <w:shd w:val="clear" w:color="auto" w:fill="F1873D" w:themeFill="accent3"/>
      </w:tcPr>
    </w:tblStylePr>
    <w:tblStylePr w:type="lastRow">
      <w:rPr>
        <w:b/>
        <w:bCs/>
      </w:rPr>
      <w:tblPr/>
      <w:tcPr>
        <w:tcBorders>
          <w:top w:val="double" w:sz="4" w:space="0" w:color="F1873D" w:themeColor="accent3"/>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GridTable4Accent4">
    <w:name w:val="Grid Table 4 Accent 4"/>
    <w:basedOn w:val="TableNormal"/>
    <w:uiPriority w:val="49"/>
    <w:semiHidden/>
    <w:rsid w:val="00EE3EB6"/>
    <w:pPr>
      <w:spacing w:line="240" w:lineRule="auto"/>
    </w:p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color w:val="FFFFFF" w:themeColor="background1"/>
      </w:rPr>
      <w:tblPr/>
      <w:tcPr>
        <w:tcBorders>
          <w:top w:val="single" w:sz="4" w:space="0" w:color="FCC648" w:themeColor="accent4"/>
          <w:left w:val="single" w:sz="4" w:space="0" w:color="FCC648" w:themeColor="accent4"/>
          <w:bottom w:val="single" w:sz="4" w:space="0" w:color="FCC648" w:themeColor="accent4"/>
          <w:right w:val="single" w:sz="4" w:space="0" w:color="FCC648" w:themeColor="accent4"/>
          <w:insideH w:val="nil"/>
          <w:insideV w:val="nil"/>
        </w:tcBorders>
        <w:shd w:val="clear" w:color="auto" w:fill="FCC648" w:themeFill="accent4"/>
      </w:tcPr>
    </w:tblStylePr>
    <w:tblStylePr w:type="lastRow">
      <w:rPr>
        <w:b/>
        <w:bCs/>
      </w:rPr>
      <w:tblPr/>
      <w:tcPr>
        <w:tcBorders>
          <w:top w:val="double" w:sz="4" w:space="0" w:color="FCC648" w:themeColor="accent4"/>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GridTable4Accent5">
    <w:name w:val="Grid Table 4 Accent 5"/>
    <w:basedOn w:val="TableNormal"/>
    <w:uiPriority w:val="49"/>
    <w:semiHidden/>
    <w:rsid w:val="00EE3EB6"/>
    <w:pPr>
      <w:spacing w:line="240" w:lineRule="auto"/>
    </w:p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color w:val="FFFFFF" w:themeColor="background1"/>
      </w:rPr>
      <w:tblPr/>
      <w:tcPr>
        <w:tcBorders>
          <w:top w:val="single" w:sz="4" w:space="0" w:color="86BE57" w:themeColor="accent5"/>
          <w:left w:val="single" w:sz="4" w:space="0" w:color="86BE57" w:themeColor="accent5"/>
          <w:bottom w:val="single" w:sz="4" w:space="0" w:color="86BE57" w:themeColor="accent5"/>
          <w:right w:val="single" w:sz="4" w:space="0" w:color="86BE57" w:themeColor="accent5"/>
          <w:insideH w:val="nil"/>
          <w:insideV w:val="nil"/>
        </w:tcBorders>
        <w:shd w:val="clear" w:color="auto" w:fill="86BE57" w:themeFill="accent5"/>
      </w:tcPr>
    </w:tblStylePr>
    <w:tblStylePr w:type="lastRow">
      <w:rPr>
        <w:b/>
        <w:bCs/>
      </w:rPr>
      <w:tblPr/>
      <w:tcPr>
        <w:tcBorders>
          <w:top w:val="double" w:sz="4" w:space="0" w:color="86BE57" w:themeColor="accent5"/>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GridTable4Accent6">
    <w:name w:val="Grid Table 4 Accent 6"/>
    <w:basedOn w:val="TableNormal"/>
    <w:uiPriority w:val="49"/>
    <w:semiHidden/>
    <w:rsid w:val="00EE3EB6"/>
    <w:pPr>
      <w:spacing w:line="240" w:lineRule="auto"/>
    </w:p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color w:val="FFFFFF" w:themeColor="background1"/>
      </w:rPr>
      <w:tblPr/>
      <w:tcPr>
        <w:tcBorders>
          <w:top w:val="single" w:sz="4" w:space="0" w:color="788183" w:themeColor="accent6"/>
          <w:left w:val="single" w:sz="4" w:space="0" w:color="788183" w:themeColor="accent6"/>
          <w:bottom w:val="single" w:sz="4" w:space="0" w:color="788183" w:themeColor="accent6"/>
          <w:right w:val="single" w:sz="4" w:space="0" w:color="788183" w:themeColor="accent6"/>
          <w:insideH w:val="nil"/>
          <w:insideV w:val="nil"/>
        </w:tcBorders>
        <w:shd w:val="clear" w:color="auto" w:fill="788183" w:themeFill="accent6"/>
      </w:tcPr>
    </w:tblStylePr>
    <w:tblStylePr w:type="lastRow">
      <w:rPr>
        <w:b/>
        <w:bCs/>
      </w:rPr>
      <w:tblPr/>
      <w:tcPr>
        <w:tcBorders>
          <w:top w:val="double" w:sz="4" w:space="0" w:color="788183" w:themeColor="accent6"/>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GridTable5Dark">
    <w:name w:val="Grid Table 5 Dark"/>
    <w:basedOn w:val="TableNormal"/>
    <w:uiPriority w:val="50"/>
    <w:semiHidden/>
    <w:rsid w:val="00EE3EB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semiHidden/>
    <w:rsid w:val="00EE3EB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7E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487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487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487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487F" w:themeFill="accent1"/>
      </w:tcPr>
    </w:tblStylePr>
    <w:tblStylePr w:type="band1Vert">
      <w:tblPr/>
      <w:tcPr>
        <w:shd w:val="clear" w:color="auto" w:fill="D6B0CE" w:themeFill="accent1" w:themeFillTint="66"/>
      </w:tcPr>
    </w:tblStylePr>
    <w:tblStylePr w:type="band1Horz">
      <w:tblPr/>
      <w:tcPr>
        <w:shd w:val="clear" w:color="auto" w:fill="D6B0CE" w:themeFill="accent1" w:themeFillTint="66"/>
      </w:tcPr>
    </w:tblStylePr>
  </w:style>
  <w:style w:type="table" w:customStyle="1" w:styleId="GridTable5DarkAccent2">
    <w:name w:val="Grid Table 5 Dark Accent 2"/>
    <w:basedOn w:val="TableNormal"/>
    <w:uiPriority w:val="50"/>
    <w:semiHidden/>
    <w:rsid w:val="00EE3EB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B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64E4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64E4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64E4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64E45" w:themeFill="accent2"/>
      </w:tcPr>
    </w:tblStylePr>
    <w:tblStylePr w:type="band1Vert">
      <w:tblPr/>
      <w:tcPr>
        <w:shd w:val="clear" w:color="auto" w:fill="E8B7B4" w:themeFill="accent2" w:themeFillTint="66"/>
      </w:tcPr>
    </w:tblStylePr>
    <w:tblStylePr w:type="band1Horz">
      <w:tblPr/>
      <w:tcPr>
        <w:shd w:val="clear" w:color="auto" w:fill="E8B7B4" w:themeFill="accent2" w:themeFillTint="66"/>
      </w:tcPr>
    </w:tblStylePr>
  </w:style>
  <w:style w:type="table" w:customStyle="1" w:styleId="GridTable5DarkAccent3">
    <w:name w:val="Grid Table 5 Dark Accent 3"/>
    <w:basedOn w:val="TableNormal"/>
    <w:uiPriority w:val="50"/>
    <w:semiHidden/>
    <w:rsid w:val="00EE3EB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6D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87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87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87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873D" w:themeFill="accent3"/>
      </w:tcPr>
    </w:tblStylePr>
    <w:tblStylePr w:type="band1Vert">
      <w:tblPr/>
      <w:tcPr>
        <w:shd w:val="clear" w:color="auto" w:fill="F9CEB1" w:themeFill="accent3" w:themeFillTint="66"/>
      </w:tcPr>
    </w:tblStylePr>
    <w:tblStylePr w:type="band1Horz">
      <w:tblPr/>
      <w:tcPr>
        <w:shd w:val="clear" w:color="auto" w:fill="F9CEB1" w:themeFill="accent3" w:themeFillTint="66"/>
      </w:tcPr>
    </w:tblStylePr>
  </w:style>
  <w:style w:type="table" w:customStyle="1" w:styleId="GridTable5DarkAccent4">
    <w:name w:val="Grid Table 5 Dark Accent 4"/>
    <w:basedOn w:val="TableNormal"/>
    <w:uiPriority w:val="50"/>
    <w:semiHidden/>
    <w:rsid w:val="00EE3EB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3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C64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C64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C64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C648" w:themeFill="accent4"/>
      </w:tcPr>
    </w:tblStylePr>
    <w:tblStylePr w:type="band1Vert">
      <w:tblPr/>
      <w:tcPr>
        <w:shd w:val="clear" w:color="auto" w:fill="FDE7B5" w:themeFill="accent4" w:themeFillTint="66"/>
      </w:tcPr>
    </w:tblStylePr>
    <w:tblStylePr w:type="band1Horz">
      <w:tblPr/>
      <w:tcPr>
        <w:shd w:val="clear" w:color="auto" w:fill="FDE7B5" w:themeFill="accent4" w:themeFillTint="66"/>
      </w:tcPr>
    </w:tblStylePr>
  </w:style>
  <w:style w:type="table" w:customStyle="1" w:styleId="GridTable5DarkAccent5">
    <w:name w:val="Grid Table 5 Dark Accent 5"/>
    <w:basedOn w:val="TableNormal"/>
    <w:uiPriority w:val="50"/>
    <w:semiHidden/>
    <w:rsid w:val="00EE3EB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2D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BE5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BE5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BE5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BE57" w:themeFill="accent5"/>
      </w:tcPr>
    </w:tblStylePr>
    <w:tblStylePr w:type="band1Vert">
      <w:tblPr/>
      <w:tcPr>
        <w:shd w:val="clear" w:color="auto" w:fill="CEE5BB" w:themeFill="accent5" w:themeFillTint="66"/>
      </w:tcPr>
    </w:tblStylePr>
    <w:tblStylePr w:type="band1Horz">
      <w:tblPr/>
      <w:tcPr>
        <w:shd w:val="clear" w:color="auto" w:fill="CEE5BB" w:themeFill="accent5" w:themeFillTint="66"/>
      </w:tcPr>
    </w:tblStylePr>
  </w:style>
  <w:style w:type="table" w:customStyle="1" w:styleId="GridTable5DarkAccent6">
    <w:name w:val="Grid Table 5 Dark Accent 6"/>
    <w:basedOn w:val="TableNormal"/>
    <w:uiPriority w:val="50"/>
    <w:semiHidden/>
    <w:rsid w:val="00EE3EB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5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818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818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818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8183" w:themeFill="accent6"/>
      </w:tcPr>
    </w:tblStylePr>
    <w:tblStylePr w:type="band1Vert">
      <w:tblPr/>
      <w:tcPr>
        <w:shd w:val="clear" w:color="auto" w:fill="C8CCCD" w:themeFill="accent6" w:themeFillTint="66"/>
      </w:tcPr>
    </w:tblStylePr>
    <w:tblStylePr w:type="band1Horz">
      <w:tblPr/>
      <w:tcPr>
        <w:shd w:val="clear" w:color="auto" w:fill="C8CCCD" w:themeFill="accent6" w:themeFillTint="66"/>
      </w:tcPr>
    </w:tblStylePr>
  </w:style>
  <w:style w:type="table" w:customStyle="1" w:styleId="GridTable6Colorful">
    <w:name w:val="Grid Table 6 Colorful"/>
    <w:basedOn w:val="TableNormal"/>
    <w:uiPriority w:val="51"/>
    <w:semiHidden/>
    <w:rsid w:val="00EE3EB6"/>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semiHidden/>
    <w:rsid w:val="00EE3EB6"/>
    <w:pPr>
      <w:spacing w:line="240" w:lineRule="auto"/>
    </w:pPr>
    <w:rPr>
      <w:color w:val="69365E" w:themeColor="accent1" w:themeShade="BF"/>
    </w:r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rPr>
      <w:tblPr/>
      <w:tcPr>
        <w:tcBorders>
          <w:bottom w:val="single" w:sz="12" w:space="0" w:color="C288B7" w:themeColor="accent1" w:themeTint="99"/>
        </w:tcBorders>
      </w:tcPr>
    </w:tblStylePr>
    <w:tblStylePr w:type="lastRow">
      <w:rPr>
        <w:b/>
        <w:bCs/>
      </w:rPr>
      <w:tblPr/>
      <w:tcPr>
        <w:tcBorders>
          <w:top w:val="double" w:sz="4" w:space="0" w:color="C288B7" w:themeColor="accent1" w:themeTint="99"/>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GridTable6ColorfulAccent2">
    <w:name w:val="Grid Table 6 Colorful Accent 2"/>
    <w:basedOn w:val="TableNormal"/>
    <w:uiPriority w:val="51"/>
    <w:semiHidden/>
    <w:rsid w:val="00EE3EB6"/>
    <w:pPr>
      <w:spacing w:line="240" w:lineRule="auto"/>
    </w:pPr>
    <w:rPr>
      <w:color w:val="98362F" w:themeColor="accent2" w:themeShade="BF"/>
    </w:r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rPr>
      <w:tblPr/>
      <w:tcPr>
        <w:tcBorders>
          <w:bottom w:val="single" w:sz="12" w:space="0" w:color="DC948F" w:themeColor="accent2" w:themeTint="99"/>
        </w:tcBorders>
      </w:tcPr>
    </w:tblStylePr>
    <w:tblStylePr w:type="lastRow">
      <w:rPr>
        <w:b/>
        <w:bCs/>
      </w:rPr>
      <w:tblPr/>
      <w:tcPr>
        <w:tcBorders>
          <w:top w:val="double" w:sz="4" w:space="0" w:color="DC948F" w:themeColor="accent2" w:themeTint="99"/>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GridTable6ColorfulAccent3">
    <w:name w:val="Grid Table 6 Colorful Accent 3"/>
    <w:basedOn w:val="TableNormal"/>
    <w:uiPriority w:val="51"/>
    <w:semiHidden/>
    <w:rsid w:val="00EE3EB6"/>
    <w:pPr>
      <w:spacing w:line="240" w:lineRule="auto"/>
    </w:pPr>
    <w:rPr>
      <w:color w:val="D25E0F" w:themeColor="accent3" w:themeShade="BF"/>
    </w:r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rPr>
      <w:tblPr/>
      <w:tcPr>
        <w:tcBorders>
          <w:bottom w:val="single" w:sz="12" w:space="0" w:color="F6B68A" w:themeColor="accent3" w:themeTint="99"/>
        </w:tcBorders>
      </w:tcPr>
    </w:tblStylePr>
    <w:tblStylePr w:type="lastRow">
      <w:rPr>
        <w:b/>
        <w:bCs/>
      </w:rPr>
      <w:tblPr/>
      <w:tcPr>
        <w:tcBorders>
          <w:top w:val="double" w:sz="4" w:space="0" w:color="F6B68A" w:themeColor="accent3" w:themeTint="99"/>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GridTable6ColorfulAccent4">
    <w:name w:val="Grid Table 6 Colorful Accent 4"/>
    <w:basedOn w:val="TableNormal"/>
    <w:uiPriority w:val="51"/>
    <w:semiHidden/>
    <w:rsid w:val="00EE3EB6"/>
    <w:pPr>
      <w:spacing w:line="240" w:lineRule="auto"/>
    </w:pPr>
    <w:rPr>
      <w:color w:val="EEA704" w:themeColor="accent4" w:themeShade="BF"/>
    </w:r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rPr>
      <w:tblPr/>
      <w:tcPr>
        <w:tcBorders>
          <w:bottom w:val="single" w:sz="12" w:space="0" w:color="FDDC91" w:themeColor="accent4" w:themeTint="99"/>
        </w:tcBorders>
      </w:tcPr>
    </w:tblStylePr>
    <w:tblStylePr w:type="lastRow">
      <w:rPr>
        <w:b/>
        <w:bCs/>
      </w:rPr>
      <w:tblPr/>
      <w:tcPr>
        <w:tcBorders>
          <w:top w:val="double" w:sz="4" w:space="0" w:color="FDDC91" w:themeColor="accent4" w:themeTint="99"/>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GridTable6ColorfulAccent5">
    <w:name w:val="Grid Table 6 Colorful Accent 5"/>
    <w:basedOn w:val="TableNormal"/>
    <w:uiPriority w:val="51"/>
    <w:semiHidden/>
    <w:rsid w:val="00EE3EB6"/>
    <w:pPr>
      <w:spacing w:line="240" w:lineRule="auto"/>
    </w:pPr>
    <w:rPr>
      <w:color w:val="63953A" w:themeColor="accent5" w:themeShade="BF"/>
    </w:r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rPr>
      <w:tblPr/>
      <w:tcPr>
        <w:tcBorders>
          <w:bottom w:val="single" w:sz="12" w:space="0" w:color="B6D89A" w:themeColor="accent5" w:themeTint="99"/>
        </w:tcBorders>
      </w:tcPr>
    </w:tblStylePr>
    <w:tblStylePr w:type="lastRow">
      <w:rPr>
        <w:b/>
        <w:bCs/>
      </w:rPr>
      <w:tblPr/>
      <w:tcPr>
        <w:tcBorders>
          <w:top w:val="double" w:sz="4" w:space="0" w:color="B6D89A" w:themeColor="accent5" w:themeTint="99"/>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GridTable6ColorfulAccent6">
    <w:name w:val="Grid Table 6 Colorful Accent 6"/>
    <w:basedOn w:val="TableNormal"/>
    <w:uiPriority w:val="51"/>
    <w:semiHidden/>
    <w:rsid w:val="00EE3EB6"/>
    <w:pPr>
      <w:spacing w:line="240" w:lineRule="auto"/>
    </w:pPr>
    <w:rPr>
      <w:color w:val="5A6062" w:themeColor="accent6" w:themeShade="BF"/>
    </w:r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rPr>
      <w:tblPr/>
      <w:tcPr>
        <w:tcBorders>
          <w:bottom w:val="single" w:sz="12" w:space="0" w:color="ADB3B4" w:themeColor="accent6" w:themeTint="99"/>
        </w:tcBorders>
      </w:tcPr>
    </w:tblStylePr>
    <w:tblStylePr w:type="lastRow">
      <w:rPr>
        <w:b/>
        <w:bCs/>
      </w:rPr>
      <w:tblPr/>
      <w:tcPr>
        <w:tcBorders>
          <w:top w:val="double" w:sz="4" w:space="0" w:color="ADB3B4" w:themeColor="accent6" w:themeTint="99"/>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GridTable7Colorful">
    <w:name w:val="Grid Table 7 Colorful"/>
    <w:basedOn w:val="TableNormal"/>
    <w:uiPriority w:val="52"/>
    <w:semiHidden/>
    <w:rsid w:val="00EE3EB6"/>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semiHidden/>
    <w:rsid w:val="00EE3EB6"/>
    <w:pPr>
      <w:spacing w:line="240" w:lineRule="auto"/>
    </w:pPr>
    <w:rPr>
      <w:color w:val="69365E" w:themeColor="accent1" w:themeShade="BF"/>
    </w:r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7E6" w:themeFill="accent1" w:themeFillTint="33"/>
      </w:tcPr>
    </w:tblStylePr>
    <w:tblStylePr w:type="band1Horz">
      <w:tblPr/>
      <w:tcPr>
        <w:shd w:val="clear" w:color="auto" w:fill="EAD7E6" w:themeFill="accent1" w:themeFillTint="33"/>
      </w:tcPr>
    </w:tblStylePr>
    <w:tblStylePr w:type="neCell">
      <w:tblPr/>
      <w:tcPr>
        <w:tcBorders>
          <w:bottom w:val="single" w:sz="4" w:space="0" w:color="C288B7" w:themeColor="accent1" w:themeTint="99"/>
        </w:tcBorders>
      </w:tcPr>
    </w:tblStylePr>
    <w:tblStylePr w:type="nwCell">
      <w:tblPr/>
      <w:tcPr>
        <w:tcBorders>
          <w:bottom w:val="single" w:sz="4" w:space="0" w:color="C288B7" w:themeColor="accent1" w:themeTint="99"/>
        </w:tcBorders>
      </w:tcPr>
    </w:tblStylePr>
    <w:tblStylePr w:type="seCell">
      <w:tblPr/>
      <w:tcPr>
        <w:tcBorders>
          <w:top w:val="single" w:sz="4" w:space="0" w:color="C288B7" w:themeColor="accent1" w:themeTint="99"/>
        </w:tcBorders>
      </w:tcPr>
    </w:tblStylePr>
    <w:tblStylePr w:type="swCell">
      <w:tblPr/>
      <w:tcPr>
        <w:tcBorders>
          <w:top w:val="single" w:sz="4" w:space="0" w:color="C288B7" w:themeColor="accent1" w:themeTint="99"/>
        </w:tcBorders>
      </w:tcPr>
    </w:tblStylePr>
  </w:style>
  <w:style w:type="table" w:customStyle="1" w:styleId="GridTable7ColorfulAccent2">
    <w:name w:val="Grid Table 7 Colorful Accent 2"/>
    <w:basedOn w:val="TableNormal"/>
    <w:uiPriority w:val="52"/>
    <w:semiHidden/>
    <w:rsid w:val="00EE3EB6"/>
    <w:pPr>
      <w:spacing w:line="240" w:lineRule="auto"/>
    </w:pPr>
    <w:rPr>
      <w:color w:val="98362F" w:themeColor="accent2" w:themeShade="BF"/>
    </w:r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BD9" w:themeFill="accent2" w:themeFillTint="33"/>
      </w:tcPr>
    </w:tblStylePr>
    <w:tblStylePr w:type="band1Horz">
      <w:tblPr/>
      <w:tcPr>
        <w:shd w:val="clear" w:color="auto" w:fill="F3DBD9" w:themeFill="accent2" w:themeFillTint="33"/>
      </w:tcPr>
    </w:tblStylePr>
    <w:tblStylePr w:type="neCell">
      <w:tblPr/>
      <w:tcPr>
        <w:tcBorders>
          <w:bottom w:val="single" w:sz="4" w:space="0" w:color="DC948F" w:themeColor="accent2" w:themeTint="99"/>
        </w:tcBorders>
      </w:tcPr>
    </w:tblStylePr>
    <w:tblStylePr w:type="nwCell">
      <w:tblPr/>
      <w:tcPr>
        <w:tcBorders>
          <w:bottom w:val="single" w:sz="4" w:space="0" w:color="DC948F" w:themeColor="accent2" w:themeTint="99"/>
        </w:tcBorders>
      </w:tcPr>
    </w:tblStylePr>
    <w:tblStylePr w:type="seCell">
      <w:tblPr/>
      <w:tcPr>
        <w:tcBorders>
          <w:top w:val="single" w:sz="4" w:space="0" w:color="DC948F" w:themeColor="accent2" w:themeTint="99"/>
        </w:tcBorders>
      </w:tcPr>
    </w:tblStylePr>
    <w:tblStylePr w:type="swCell">
      <w:tblPr/>
      <w:tcPr>
        <w:tcBorders>
          <w:top w:val="single" w:sz="4" w:space="0" w:color="DC948F" w:themeColor="accent2" w:themeTint="99"/>
        </w:tcBorders>
      </w:tcPr>
    </w:tblStylePr>
  </w:style>
  <w:style w:type="table" w:customStyle="1" w:styleId="GridTable7ColorfulAccent3">
    <w:name w:val="Grid Table 7 Colorful Accent 3"/>
    <w:basedOn w:val="TableNormal"/>
    <w:uiPriority w:val="52"/>
    <w:semiHidden/>
    <w:rsid w:val="00EE3EB6"/>
    <w:pPr>
      <w:spacing w:line="240" w:lineRule="auto"/>
    </w:pPr>
    <w:rPr>
      <w:color w:val="D25E0F" w:themeColor="accent3" w:themeShade="BF"/>
    </w:r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6D8" w:themeFill="accent3" w:themeFillTint="33"/>
      </w:tcPr>
    </w:tblStylePr>
    <w:tblStylePr w:type="band1Horz">
      <w:tblPr/>
      <w:tcPr>
        <w:shd w:val="clear" w:color="auto" w:fill="FCE6D8" w:themeFill="accent3" w:themeFillTint="33"/>
      </w:tcPr>
    </w:tblStylePr>
    <w:tblStylePr w:type="neCell">
      <w:tblPr/>
      <w:tcPr>
        <w:tcBorders>
          <w:bottom w:val="single" w:sz="4" w:space="0" w:color="F6B68A" w:themeColor="accent3" w:themeTint="99"/>
        </w:tcBorders>
      </w:tcPr>
    </w:tblStylePr>
    <w:tblStylePr w:type="nwCell">
      <w:tblPr/>
      <w:tcPr>
        <w:tcBorders>
          <w:bottom w:val="single" w:sz="4" w:space="0" w:color="F6B68A" w:themeColor="accent3" w:themeTint="99"/>
        </w:tcBorders>
      </w:tcPr>
    </w:tblStylePr>
    <w:tblStylePr w:type="seCell">
      <w:tblPr/>
      <w:tcPr>
        <w:tcBorders>
          <w:top w:val="single" w:sz="4" w:space="0" w:color="F6B68A" w:themeColor="accent3" w:themeTint="99"/>
        </w:tcBorders>
      </w:tcPr>
    </w:tblStylePr>
    <w:tblStylePr w:type="swCell">
      <w:tblPr/>
      <w:tcPr>
        <w:tcBorders>
          <w:top w:val="single" w:sz="4" w:space="0" w:color="F6B68A" w:themeColor="accent3" w:themeTint="99"/>
        </w:tcBorders>
      </w:tcPr>
    </w:tblStylePr>
  </w:style>
  <w:style w:type="table" w:customStyle="1" w:styleId="GridTable7ColorfulAccent4">
    <w:name w:val="Grid Table 7 Colorful Accent 4"/>
    <w:basedOn w:val="TableNormal"/>
    <w:uiPriority w:val="52"/>
    <w:semiHidden/>
    <w:rsid w:val="00EE3EB6"/>
    <w:pPr>
      <w:spacing w:line="240" w:lineRule="auto"/>
    </w:pPr>
    <w:rPr>
      <w:color w:val="EEA704" w:themeColor="accent4" w:themeShade="BF"/>
    </w:r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3DA" w:themeFill="accent4" w:themeFillTint="33"/>
      </w:tcPr>
    </w:tblStylePr>
    <w:tblStylePr w:type="band1Horz">
      <w:tblPr/>
      <w:tcPr>
        <w:shd w:val="clear" w:color="auto" w:fill="FEF3DA" w:themeFill="accent4" w:themeFillTint="33"/>
      </w:tcPr>
    </w:tblStylePr>
    <w:tblStylePr w:type="neCell">
      <w:tblPr/>
      <w:tcPr>
        <w:tcBorders>
          <w:bottom w:val="single" w:sz="4" w:space="0" w:color="FDDC91" w:themeColor="accent4" w:themeTint="99"/>
        </w:tcBorders>
      </w:tcPr>
    </w:tblStylePr>
    <w:tblStylePr w:type="nwCell">
      <w:tblPr/>
      <w:tcPr>
        <w:tcBorders>
          <w:bottom w:val="single" w:sz="4" w:space="0" w:color="FDDC91" w:themeColor="accent4" w:themeTint="99"/>
        </w:tcBorders>
      </w:tcPr>
    </w:tblStylePr>
    <w:tblStylePr w:type="seCell">
      <w:tblPr/>
      <w:tcPr>
        <w:tcBorders>
          <w:top w:val="single" w:sz="4" w:space="0" w:color="FDDC91" w:themeColor="accent4" w:themeTint="99"/>
        </w:tcBorders>
      </w:tcPr>
    </w:tblStylePr>
    <w:tblStylePr w:type="swCell">
      <w:tblPr/>
      <w:tcPr>
        <w:tcBorders>
          <w:top w:val="single" w:sz="4" w:space="0" w:color="FDDC91" w:themeColor="accent4" w:themeTint="99"/>
        </w:tcBorders>
      </w:tcPr>
    </w:tblStylePr>
  </w:style>
  <w:style w:type="table" w:customStyle="1" w:styleId="GridTable7ColorfulAccent5">
    <w:name w:val="Grid Table 7 Colorful Accent 5"/>
    <w:basedOn w:val="TableNormal"/>
    <w:uiPriority w:val="52"/>
    <w:semiHidden/>
    <w:rsid w:val="00EE3EB6"/>
    <w:pPr>
      <w:spacing w:line="240" w:lineRule="auto"/>
    </w:pPr>
    <w:rPr>
      <w:color w:val="63953A" w:themeColor="accent5" w:themeShade="BF"/>
    </w:r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DD" w:themeFill="accent5" w:themeFillTint="33"/>
      </w:tcPr>
    </w:tblStylePr>
    <w:tblStylePr w:type="band1Horz">
      <w:tblPr/>
      <w:tcPr>
        <w:shd w:val="clear" w:color="auto" w:fill="E6F2DD" w:themeFill="accent5" w:themeFillTint="33"/>
      </w:tcPr>
    </w:tblStylePr>
    <w:tblStylePr w:type="neCell">
      <w:tblPr/>
      <w:tcPr>
        <w:tcBorders>
          <w:bottom w:val="single" w:sz="4" w:space="0" w:color="B6D89A" w:themeColor="accent5" w:themeTint="99"/>
        </w:tcBorders>
      </w:tcPr>
    </w:tblStylePr>
    <w:tblStylePr w:type="nwCell">
      <w:tblPr/>
      <w:tcPr>
        <w:tcBorders>
          <w:bottom w:val="single" w:sz="4" w:space="0" w:color="B6D89A" w:themeColor="accent5" w:themeTint="99"/>
        </w:tcBorders>
      </w:tcPr>
    </w:tblStylePr>
    <w:tblStylePr w:type="seCell">
      <w:tblPr/>
      <w:tcPr>
        <w:tcBorders>
          <w:top w:val="single" w:sz="4" w:space="0" w:color="B6D89A" w:themeColor="accent5" w:themeTint="99"/>
        </w:tcBorders>
      </w:tcPr>
    </w:tblStylePr>
    <w:tblStylePr w:type="swCell">
      <w:tblPr/>
      <w:tcPr>
        <w:tcBorders>
          <w:top w:val="single" w:sz="4" w:space="0" w:color="B6D89A" w:themeColor="accent5" w:themeTint="99"/>
        </w:tcBorders>
      </w:tcPr>
    </w:tblStylePr>
  </w:style>
  <w:style w:type="table" w:customStyle="1" w:styleId="GridTable7ColorfulAccent6">
    <w:name w:val="Grid Table 7 Colorful Accent 6"/>
    <w:basedOn w:val="TableNormal"/>
    <w:uiPriority w:val="52"/>
    <w:semiHidden/>
    <w:rsid w:val="00EE3EB6"/>
    <w:pPr>
      <w:spacing w:line="240" w:lineRule="auto"/>
    </w:pPr>
    <w:rPr>
      <w:color w:val="5A6062" w:themeColor="accent6" w:themeShade="BF"/>
    </w:r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5E6" w:themeFill="accent6" w:themeFillTint="33"/>
      </w:tcPr>
    </w:tblStylePr>
    <w:tblStylePr w:type="band1Horz">
      <w:tblPr/>
      <w:tcPr>
        <w:shd w:val="clear" w:color="auto" w:fill="E3E5E6" w:themeFill="accent6" w:themeFillTint="33"/>
      </w:tcPr>
    </w:tblStylePr>
    <w:tblStylePr w:type="neCell">
      <w:tblPr/>
      <w:tcPr>
        <w:tcBorders>
          <w:bottom w:val="single" w:sz="4" w:space="0" w:color="ADB3B4" w:themeColor="accent6" w:themeTint="99"/>
        </w:tcBorders>
      </w:tcPr>
    </w:tblStylePr>
    <w:tblStylePr w:type="nwCell">
      <w:tblPr/>
      <w:tcPr>
        <w:tcBorders>
          <w:bottom w:val="single" w:sz="4" w:space="0" w:color="ADB3B4" w:themeColor="accent6" w:themeTint="99"/>
        </w:tcBorders>
      </w:tcPr>
    </w:tblStylePr>
    <w:tblStylePr w:type="seCell">
      <w:tblPr/>
      <w:tcPr>
        <w:tcBorders>
          <w:top w:val="single" w:sz="4" w:space="0" w:color="ADB3B4" w:themeColor="accent6" w:themeTint="99"/>
        </w:tcBorders>
      </w:tcPr>
    </w:tblStylePr>
    <w:tblStylePr w:type="swCell">
      <w:tblPr/>
      <w:tcPr>
        <w:tcBorders>
          <w:top w:val="single" w:sz="4" w:space="0" w:color="ADB3B4" w:themeColor="accent6" w:themeTint="99"/>
        </w:tcBorders>
      </w:tcPr>
    </w:tblStylePr>
  </w:style>
  <w:style w:type="table" w:styleId="LightGrid">
    <w:name w:val="Light Grid"/>
    <w:basedOn w:val="TableNormal"/>
    <w:uiPriority w:val="62"/>
    <w:semiHidden/>
    <w:rsid w:val="00EE3EB6"/>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EE3EB6"/>
    <w:pPr>
      <w:spacing w:line="240" w:lineRule="auto"/>
    </w:p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insideH w:val="single" w:sz="8" w:space="0" w:color="8D487F" w:themeColor="accent1"/>
        <w:insideV w:val="single" w:sz="8" w:space="0" w:color="8D487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487F" w:themeColor="accent1"/>
          <w:left w:val="single" w:sz="8" w:space="0" w:color="8D487F" w:themeColor="accent1"/>
          <w:bottom w:val="single" w:sz="18" w:space="0" w:color="8D487F" w:themeColor="accent1"/>
          <w:right w:val="single" w:sz="8" w:space="0" w:color="8D487F" w:themeColor="accent1"/>
          <w:insideH w:val="nil"/>
          <w:insideV w:val="single" w:sz="8" w:space="0" w:color="8D487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487F" w:themeColor="accent1"/>
          <w:left w:val="single" w:sz="8" w:space="0" w:color="8D487F" w:themeColor="accent1"/>
          <w:bottom w:val="single" w:sz="8" w:space="0" w:color="8D487F" w:themeColor="accent1"/>
          <w:right w:val="single" w:sz="8" w:space="0" w:color="8D487F" w:themeColor="accent1"/>
          <w:insideH w:val="nil"/>
          <w:insideV w:val="single" w:sz="8" w:space="0" w:color="8D487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tblStylePr w:type="band1Vert">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shd w:val="clear" w:color="auto" w:fill="E6CEE1" w:themeFill="accent1" w:themeFillTint="3F"/>
      </w:tcPr>
    </w:tblStylePr>
    <w:tblStylePr w:type="band1Horz">
      <w:tblPr/>
      <w:tcPr>
        <w:tcBorders>
          <w:top w:val="single" w:sz="8" w:space="0" w:color="8D487F" w:themeColor="accent1"/>
          <w:left w:val="single" w:sz="8" w:space="0" w:color="8D487F" w:themeColor="accent1"/>
          <w:bottom w:val="single" w:sz="8" w:space="0" w:color="8D487F" w:themeColor="accent1"/>
          <w:right w:val="single" w:sz="8" w:space="0" w:color="8D487F" w:themeColor="accent1"/>
          <w:insideV w:val="single" w:sz="8" w:space="0" w:color="8D487F" w:themeColor="accent1"/>
        </w:tcBorders>
        <w:shd w:val="clear" w:color="auto" w:fill="E6CEE1" w:themeFill="accent1" w:themeFillTint="3F"/>
      </w:tcPr>
    </w:tblStylePr>
    <w:tblStylePr w:type="band2Horz">
      <w:tblPr/>
      <w:tcPr>
        <w:tcBorders>
          <w:top w:val="single" w:sz="8" w:space="0" w:color="8D487F" w:themeColor="accent1"/>
          <w:left w:val="single" w:sz="8" w:space="0" w:color="8D487F" w:themeColor="accent1"/>
          <w:bottom w:val="single" w:sz="8" w:space="0" w:color="8D487F" w:themeColor="accent1"/>
          <w:right w:val="single" w:sz="8" w:space="0" w:color="8D487F" w:themeColor="accent1"/>
          <w:insideV w:val="single" w:sz="8" w:space="0" w:color="8D487F" w:themeColor="accent1"/>
        </w:tcBorders>
      </w:tcPr>
    </w:tblStylePr>
  </w:style>
  <w:style w:type="table" w:styleId="LightGrid-Accent2">
    <w:name w:val="Light Grid Accent 2"/>
    <w:basedOn w:val="TableNormal"/>
    <w:uiPriority w:val="62"/>
    <w:semiHidden/>
    <w:rsid w:val="00EE3EB6"/>
    <w:pPr>
      <w:spacing w:line="240" w:lineRule="auto"/>
    </w:p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insideH w:val="single" w:sz="8" w:space="0" w:color="C64E45" w:themeColor="accent2"/>
        <w:insideV w:val="single" w:sz="8" w:space="0" w:color="C64E4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64E45" w:themeColor="accent2"/>
          <w:left w:val="single" w:sz="8" w:space="0" w:color="C64E45" w:themeColor="accent2"/>
          <w:bottom w:val="single" w:sz="18" w:space="0" w:color="C64E45" w:themeColor="accent2"/>
          <w:right w:val="single" w:sz="8" w:space="0" w:color="C64E45" w:themeColor="accent2"/>
          <w:insideH w:val="nil"/>
          <w:insideV w:val="single" w:sz="8" w:space="0" w:color="C64E4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64E45" w:themeColor="accent2"/>
          <w:left w:val="single" w:sz="8" w:space="0" w:color="C64E45" w:themeColor="accent2"/>
          <w:bottom w:val="single" w:sz="8" w:space="0" w:color="C64E45" w:themeColor="accent2"/>
          <w:right w:val="single" w:sz="8" w:space="0" w:color="C64E45" w:themeColor="accent2"/>
          <w:insideH w:val="nil"/>
          <w:insideV w:val="single" w:sz="8" w:space="0" w:color="C64E4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tcPr>
    </w:tblStylePr>
    <w:tblStylePr w:type="band1Vert">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shd w:val="clear" w:color="auto" w:fill="F1D2D0" w:themeFill="accent2" w:themeFillTint="3F"/>
      </w:tcPr>
    </w:tblStylePr>
    <w:tblStylePr w:type="band1Horz">
      <w:tblPr/>
      <w:tcPr>
        <w:tcBorders>
          <w:top w:val="single" w:sz="8" w:space="0" w:color="C64E45" w:themeColor="accent2"/>
          <w:left w:val="single" w:sz="8" w:space="0" w:color="C64E45" w:themeColor="accent2"/>
          <w:bottom w:val="single" w:sz="8" w:space="0" w:color="C64E45" w:themeColor="accent2"/>
          <w:right w:val="single" w:sz="8" w:space="0" w:color="C64E45" w:themeColor="accent2"/>
          <w:insideV w:val="single" w:sz="8" w:space="0" w:color="C64E45" w:themeColor="accent2"/>
        </w:tcBorders>
        <w:shd w:val="clear" w:color="auto" w:fill="F1D2D0" w:themeFill="accent2" w:themeFillTint="3F"/>
      </w:tcPr>
    </w:tblStylePr>
    <w:tblStylePr w:type="band2Horz">
      <w:tblPr/>
      <w:tcPr>
        <w:tcBorders>
          <w:top w:val="single" w:sz="8" w:space="0" w:color="C64E45" w:themeColor="accent2"/>
          <w:left w:val="single" w:sz="8" w:space="0" w:color="C64E45" w:themeColor="accent2"/>
          <w:bottom w:val="single" w:sz="8" w:space="0" w:color="C64E45" w:themeColor="accent2"/>
          <w:right w:val="single" w:sz="8" w:space="0" w:color="C64E45" w:themeColor="accent2"/>
          <w:insideV w:val="single" w:sz="8" w:space="0" w:color="C64E45" w:themeColor="accent2"/>
        </w:tcBorders>
      </w:tcPr>
    </w:tblStylePr>
  </w:style>
  <w:style w:type="table" w:styleId="LightGrid-Accent3">
    <w:name w:val="Light Grid Accent 3"/>
    <w:basedOn w:val="TableNormal"/>
    <w:uiPriority w:val="62"/>
    <w:semiHidden/>
    <w:rsid w:val="00EE3EB6"/>
    <w:pPr>
      <w:spacing w:line="240" w:lineRule="auto"/>
    </w:p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18" w:space="0" w:color="F1873D" w:themeColor="accent3"/>
          <w:right w:val="single" w:sz="8" w:space="0" w:color="F1873D" w:themeColor="accent3"/>
          <w:insideH w:val="nil"/>
          <w:insideV w:val="single" w:sz="8" w:space="0" w:color="F187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insideH w:val="nil"/>
          <w:insideV w:val="single" w:sz="8" w:space="0" w:color="F187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shd w:val="clear" w:color="auto" w:fill="FBE1CE" w:themeFill="accent3" w:themeFillTint="3F"/>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shd w:val="clear" w:color="auto" w:fill="FBE1CE" w:themeFill="accent3" w:themeFillTint="3F"/>
      </w:tcPr>
    </w:tblStylePr>
    <w:tblStylePr w:type="band2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tcPr>
    </w:tblStylePr>
  </w:style>
  <w:style w:type="table" w:styleId="LightGrid-Accent4">
    <w:name w:val="Light Grid Accent 4"/>
    <w:basedOn w:val="TableNormal"/>
    <w:uiPriority w:val="62"/>
    <w:semiHidden/>
    <w:rsid w:val="00EE3EB6"/>
    <w:pPr>
      <w:spacing w:line="240" w:lineRule="auto"/>
    </w:p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insideH w:val="single" w:sz="8" w:space="0" w:color="FCC648" w:themeColor="accent4"/>
        <w:insideV w:val="single" w:sz="8" w:space="0" w:color="FCC64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C648" w:themeColor="accent4"/>
          <w:left w:val="single" w:sz="8" w:space="0" w:color="FCC648" w:themeColor="accent4"/>
          <w:bottom w:val="single" w:sz="18" w:space="0" w:color="FCC648" w:themeColor="accent4"/>
          <w:right w:val="single" w:sz="8" w:space="0" w:color="FCC648" w:themeColor="accent4"/>
          <w:insideH w:val="nil"/>
          <w:insideV w:val="single" w:sz="8" w:space="0" w:color="FCC64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C648" w:themeColor="accent4"/>
          <w:left w:val="single" w:sz="8" w:space="0" w:color="FCC648" w:themeColor="accent4"/>
          <w:bottom w:val="single" w:sz="8" w:space="0" w:color="FCC648" w:themeColor="accent4"/>
          <w:right w:val="single" w:sz="8" w:space="0" w:color="FCC648" w:themeColor="accent4"/>
          <w:insideH w:val="nil"/>
          <w:insideV w:val="single" w:sz="8" w:space="0" w:color="FCC64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tcPr>
    </w:tblStylePr>
    <w:tblStylePr w:type="band1Vert">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shd w:val="clear" w:color="auto" w:fill="FEF0D1" w:themeFill="accent4" w:themeFillTint="3F"/>
      </w:tcPr>
    </w:tblStylePr>
    <w:tblStylePr w:type="band1Horz">
      <w:tblPr/>
      <w:tcPr>
        <w:tcBorders>
          <w:top w:val="single" w:sz="8" w:space="0" w:color="FCC648" w:themeColor="accent4"/>
          <w:left w:val="single" w:sz="8" w:space="0" w:color="FCC648" w:themeColor="accent4"/>
          <w:bottom w:val="single" w:sz="8" w:space="0" w:color="FCC648" w:themeColor="accent4"/>
          <w:right w:val="single" w:sz="8" w:space="0" w:color="FCC648" w:themeColor="accent4"/>
          <w:insideV w:val="single" w:sz="8" w:space="0" w:color="FCC648" w:themeColor="accent4"/>
        </w:tcBorders>
        <w:shd w:val="clear" w:color="auto" w:fill="FEF0D1" w:themeFill="accent4" w:themeFillTint="3F"/>
      </w:tcPr>
    </w:tblStylePr>
    <w:tblStylePr w:type="band2Horz">
      <w:tblPr/>
      <w:tcPr>
        <w:tcBorders>
          <w:top w:val="single" w:sz="8" w:space="0" w:color="FCC648" w:themeColor="accent4"/>
          <w:left w:val="single" w:sz="8" w:space="0" w:color="FCC648" w:themeColor="accent4"/>
          <w:bottom w:val="single" w:sz="8" w:space="0" w:color="FCC648" w:themeColor="accent4"/>
          <w:right w:val="single" w:sz="8" w:space="0" w:color="FCC648" w:themeColor="accent4"/>
          <w:insideV w:val="single" w:sz="8" w:space="0" w:color="FCC648" w:themeColor="accent4"/>
        </w:tcBorders>
      </w:tcPr>
    </w:tblStylePr>
  </w:style>
  <w:style w:type="table" w:styleId="LightGrid-Accent5">
    <w:name w:val="Light Grid Accent 5"/>
    <w:basedOn w:val="TableNormal"/>
    <w:uiPriority w:val="62"/>
    <w:semiHidden/>
    <w:rsid w:val="00EE3EB6"/>
    <w:pPr>
      <w:spacing w:line="240" w:lineRule="auto"/>
    </w:p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insideH w:val="single" w:sz="8" w:space="0" w:color="86BE57" w:themeColor="accent5"/>
        <w:insideV w:val="single" w:sz="8" w:space="0" w:color="86BE5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E57" w:themeColor="accent5"/>
          <w:left w:val="single" w:sz="8" w:space="0" w:color="86BE57" w:themeColor="accent5"/>
          <w:bottom w:val="single" w:sz="18" w:space="0" w:color="86BE57" w:themeColor="accent5"/>
          <w:right w:val="single" w:sz="8" w:space="0" w:color="86BE57" w:themeColor="accent5"/>
          <w:insideH w:val="nil"/>
          <w:insideV w:val="single" w:sz="8" w:space="0" w:color="86BE5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E57" w:themeColor="accent5"/>
          <w:left w:val="single" w:sz="8" w:space="0" w:color="86BE57" w:themeColor="accent5"/>
          <w:bottom w:val="single" w:sz="8" w:space="0" w:color="86BE57" w:themeColor="accent5"/>
          <w:right w:val="single" w:sz="8" w:space="0" w:color="86BE57" w:themeColor="accent5"/>
          <w:insideH w:val="nil"/>
          <w:insideV w:val="single" w:sz="8" w:space="0" w:color="86BE5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tcPr>
    </w:tblStylePr>
    <w:tblStylePr w:type="band1Vert">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shd w:val="clear" w:color="auto" w:fill="E1EFD5" w:themeFill="accent5" w:themeFillTint="3F"/>
      </w:tcPr>
    </w:tblStylePr>
    <w:tblStylePr w:type="band1Horz">
      <w:tblPr/>
      <w:tcPr>
        <w:tcBorders>
          <w:top w:val="single" w:sz="8" w:space="0" w:color="86BE57" w:themeColor="accent5"/>
          <w:left w:val="single" w:sz="8" w:space="0" w:color="86BE57" w:themeColor="accent5"/>
          <w:bottom w:val="single" w:sz="8" w:space="0" w:color="86BE57" w:themeColor="accent5"/>
          <w:right w:val="single" w:sz="8" w:space="0" w:color="86BE57" w:themeColor="accent5"/>
          <w:insideV w:val="single" w:sz="8" w:space="0" w:color="86BE57" w:themeColor="accent5"/>
        </w:tcBorders>
        <w:shd w:val="clear" w:color="auto" w:fill="E1EFD5" w:themeFill="accent5" w:themeFillTint="3F"/>
      </w:tcPr>
    </w:tblStylePr>
    <w:tblStylePr w:type="band2Horz">
      <w:tblPr/>
      <w:tcPr>
        <w:tcBorders>
          <w:top w:val="single" w:sz="8" w:space="0" w:color="86BE57" w:themeColor="accent5"/>
          <w:left w:val="single" w:sz="8" w:space="0" w:color="86BE57" w:themeColor="accent5"/>
          <w:bottom w:val="single" w:sz="8" w:space="0" w:color="86BE57" w:themeColor="accent5"/>
          <w:right w:val="single" w:sz="8" w:space="0" w:color="86BE57" w:themeColor="accent5"/>
          <w:insideV w:val="single" w:sz="8" w:space="0" w:color="86BE57" w:themeColor="accent5"/>
        </w:tcBorders>
      </w:tcPr>
    </w:tblStylePr>
  </w:style>
  <w:style w:type="table" w:styleId="LightGrid-Accent6">
    <w:name w:val="Light Grid Accent 6"/>
    <w:basedOn w:val="TableNormal"/>
    <w:uiPriority w:val="62"/>
    <w:semiHidden/>
    <w:rsid w:val="00EE3EB6"/>
    <w:pPr>
      <w:spacing w:line="240" w:lineRule="auto"/>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18" w:space="0" w:color="788183" w:themeColor="accent6"/>
          <w:right w:val="single" w:sz="8" w:space="0" w:color="788183" w:themeColor="accent6"/>
          <w:insideH w:val="nil"/>
          <w:insideV w:val="single" w:sz="8" w:space="0" w:color="7881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insideH w:val="nil"/>
          <w:insideV w:val="single" w:sz="8" w:space="0" w:color="78818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shd w:val="clear" w:color="auto" w:fill="DDDFE0" w:themeFill="accent6" w:themeFillTint="3F"/>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shd w:val="clear" w:color="auto" w:fill="DDDFE0" w:themeFill="accent6" w:themeFillTint="3F"/>
      </w:tcPr>
    </w:tblStylePr>
    <w:tblStylePr w:type="band2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tcPr>
    </w:tblStylePr>
  </w:style>
  <w:style w:type="table" w:styleId="LightList">
    <w:name w:val="Light List"/>
    <w:basedOn w:val="TableNormal"/>
    <w:uiPriority w:val="61"/>
    <w:semiHidden/>
    <w:rsid w:val="00EE3EB6"/>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EE3EB6"/>
    <w:pPr>
      <w:spacing w:line="240" w:lineRule="auto"/>
    </w:p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tblBorders>
    </w:tblPr>
    <w:tblStylePr w:type="firstRow">
      <w:pPr>
        <w:spacing w:before="0" w:after="0" w:line="240" w:lineRule="auto"/>
      </w:pPr>
      <w:rPr>
        <w:b/>
        <w:bCs/>
        <w:color w:val="FFFFFF" w:themeColor="background1"/>
      </w:rPr>
      <w:tblPr/>
      <w:tcPr>
        <w:shd w:val="clear" w:color="auto" w:fill="8D487F" w:themeFill="accent1"/>
      </w:tcPr>
    </w:tblStylePr>
    <w:tblStylePr w:type="lastRow">
      <w:pPr>
        <w:spacing w:before="0" w:after="0" w:line="240" w:lineRule="auto"/>
      </w:pPr>
      <w:rPr>
        <w:b/>
        <w:bCs/>
      </w:rPr>
      <w:tblPr/>
      <w:tcPr>
        <w:tcBorders>
          <w:top w:val="double" w:sz="6" w:space="0" w:color="8D487F" w:themeColor="accent1"/>
          <w:left w:val="single" w:sz="8" w:space="0" w:color="8D487F" w:themeColor="accent1"/>
          <w:bottom w:val="single" w:sz="8" w:space="0" w:color="8D487F" w:themeColor="accent1"/>
          <w:right w:val="single" w:sz="8" w:space="0" w:color="8D487F" w:themeColor="accent1"/>
        </w:tcBorders>
      </w:tcPr>
    </w:tblStylePr>
    <w:tblStylePr w:type="firstCol">
      <w:rPr>
        <w:b/>
        <w:bCs/>
      </w:rPr>
    </w:tblStylePr>
    <w:tblStylePr w:type="lastCol">
      <w:rPr>
        <w:b/>
        <w:bCs/>
      </w:rPr>
    </w:tblStylePr>
    <w:tblStylePr w:type="band1Vert">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tblStylePr w:type="band1Horz">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style>
  <w:style w:type="table" w:styleId="LightList-Accent2">
    <w:name w:val="Light List Accent 2"/>
    <w:basedOn w:val="TableNormal"/>
    <w:uiPriority w:val="61"/>
    <w:semiHidden/>
    <w:rsid w:val="00EE3EB6"/>
    <w:pPr>
      <w:spacing w:line="240" w:lineRule="auto"/>
    </w:p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tblBorders>
    </w:tblPr>
    <w:tblStylePr w:type="firstRow">
      <w:pPr>
        <w:spacing w:before="0" w:after="0" w:line="240" w:lineRule="auto"/>
      </w:pPr>
      <w:rPr>
        <w:b/>
        <w:bCs/>
        <w:color w:val="FFFFFF" w:themeColor="background1"/>
      </w:rPr>
      <w:tblPr/>
      <w:tcPr>
        <w:shd w:val="clear" w:color="auto" w:fill="C64E45" w:themeFill="accent2"/>
      </w:tcPr>
    </w:tblStylePr>
    <w:tblStylePr w:type="lastRow">
      <w:pPr>
        <w:spacing w:before="0" w:after="0" w:line="240" w:lineRule="auto"/>
      </w:pPr>
      <w:rPr>
        <w:b/>
        <w:bCs/>
      </w:rPr>
      <w:tblPr/>
      <w:tcPr>
        <w:tcBorders>
          <w:top w:val="double" w:sz="6" w:space="0" w:color="C64E45" w:themeColor="accent2"/>
          <w:left w:val="single" w:sz="8" w:space="0" w:color="C64E45" w:themeColor="accent2"/>
          <w:bottom w:val="single" w:sz="8" w:space="0" w:color="C64E45" w:themeColor="accent2"/>
          <w:right w:val="single" w:sz="8" w:space="0" w:color="C64E45" w:themeColor="accent2"/>
        </w:tcBorders>
      </w:tcPr>
    </w:tblStylePr>
    <w:tblStylePr w:type="firstCol">
      <w:rPr>
        <w:b/>
        <w:bCs/>
      </w:rPr>
    </w:tblStylePr>
    <w:tblStylePr w:type="lastCol">
      <w:rPr>
        <w:b/>
        <w:bCs/>
      </w:rPr>
    </w:tblStylePr>
    <w:tblStylePr w:type="band1Vert">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tcPr>
    </w:tblStylePr>
    <w:tblStylePr w:type="band1Horz">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tcPr>
    </w:tblStylePr>
  </w:style>
  <w:style w:type="table" w:styleId="LightList-Accent3">
    <w:name w:val="Light List Accent 3"/>
    <w:basedOn w:val="TableNormal"/>
    <w:uiPriority w:val="61"/>
    <w:semiHidden/>
    <w:rsid w:val="00EE3EB6"/>
    <w:pPr>
      <w:spacing w:line="240" w:lineRule="auto"/>
    </w:p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tblBorders>
    </w:tblPr>
    <w:tblStylePr w:type="firstRow">
      <w:pPr>
        <w:spacing w:before="0" w:after="0" w:line="240" w:lineRule="auto"/>
      </w:pPr>
      <w:rPr>
        <w:b/>
        <w:bCs/>
        <w:color w:val="FFFFFF" w:themeColor="background1"/>
      </w:rPr>
      <w:tblPr/>
      <w:tcPr>
        <w:shd w:val="clear" w:color="auto" w:fill="F1873D" w:themeFill="accent3"/>
      </w:tcPr>
    </w:tblStylePr>
    <w:tblStylePr w:type="lastRow">
      <w:pPr>
        <w:spacing w:before="0" w:after="0" w:line="240" w:lineRule="auto"/>
      </w:pPr>
      <w:rPr>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tcBorders>
      </w:tcPr>
    </w:tblStylePr>
    <w:tblStylePr w:type="firstCol">
      <w:rPr>
        <w:b/>
        <w:bCs/>
      </w:rPr>
    </w:tblStylePr>
    <w:tblStylePr w:type="lastCol">
      <w:rPr>
        <w:b/>
        <w:bCs/>
      </w:r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style>
  <w:style w:type="table" w:styleId="LightList-Accent4">
    <w:name w:val="Light List Accent 4"/>
    <w:basedOn w:val="TableNormal"/>
    <w:uiPriority w:val="61"/>
    <w:semiHidden/>
    <w:rsid w:val="00EE3EB6"/>
    <w:pPr>
      <w:spacing w:line="240" w:lineRule="auto"/>
    </w:p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tblBorders>
    </w:tblPr>
    <w:tblStylePr w:type="firstRow">
      <w:pPr>
        <w:spacing w:before="0" w:after="0" w:line="240" w:lineRule="auto"/>
      </w:pPr>
      <w:rPr>
        <w:b/>
        <w:bCs/>
        <w:color w:val="FFFFFF" w:themeColor="background1"/>
      </w:rPr>
      <w:tblPr/>
      <w:tcPr>
        <w:shd w:val="clear" w:color="auto" w:fill="FCC648" w:themeFill="accent4"/>
      </w:tcPr>
    </w:tblStylePr>
    <w:tblStylePr w:type="lastRow">
      <w:pPr>
        <w:spacing w:before="0" w:after="0" w:line="240" w:lineRule="auto"/>
      </w:pPr>
      <w:rPr>
        <w:b/>
        <w:bCs/>
      </w:rPr>
      <w:tblPr/>
      <w:tcPr>
        <w:tcBorders>
          <w:top w:val="double" w:sz="6" w:space="0" w:color="FCC648" w:themeColor="accent4"/>
          <w:left w:val="single" w:sz="8" w:space="0" w:color="FCC648" w:themeColor="accent4"/>
          <w:bottom w:val="single" w:sz="8" w:space="0" w:color="FCC648" w:themeColor="accent4"/>
          <w:right w:val="single" w:sz="8" w:space="0" w:color="FCC648" w:themeColor="accent4"/>
        </w:tcBorders>
      </w:tcPr>
    </w:tblStylePr>
    <w:tblStylePr w:type="firstCol">
      <w:rPr>
        <w:b/>
        <w:bCs/>
      </w:rPr>
    </w:tblStylePr>
    <w:tblStylePr w:type="lastCol">
      <w:rPr>
        <w:b/>
        <w:bCs/>
      </w:rPr>
    </w:tblStylePr>
    <w:tblStylePr w:type="band1Vert">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tcPr>
    </w:tblStylePr>
    <w:tblStylePr w:type="band1Horz">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tcPr>
    </w:tblStylePr>
  </w:style>
  <w:style w:type="table" w:styleId="LightList-Accent5">
    <w:name w:val="Light List Accent 5"/>
    <w:basedOn w:val="TableNormal"/>
    <w:uiPriority w:val="61"/>
    <w:semiHidden/>
    <w:rsid w:val="00EE3EB6"/>
    <w:pPr>
      <w:spacing w:line="240" w:lineRule="auto"/>
    </w:p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tblBorders>
    </w:tblPr>
    <w:tblStylePr w:type="firstRow">
      <w:pPr>
        <w:spacing w:before="0" w:after="0" w:line="240" w:lineRule="auto"/>
      </w:pPr>
      <w:rPr>
        <w:b/>
        <w:bCs/>
        <w:color w:val="FFFFFF" w:themeColor="background1"/>
      </w:rPr>
      <w:tblPr/>
      <w:tcPr>
        <w:shd w:val="clear" w:color="auto" w:fill="86BE57" w:themeFill="accent5"/>
      </w:tcPr>
    </w:tblStylePr>
    <w:tblStylePr w:type="lastRow">
      <w:pPr>
        <w:spacing w:before="0" w:after="0" w:line="240" w:lineRule="auto"/>
      </w:pPr>
      <w:rPr>
        <w:b/>
        <w:bCs/>
      </w:rPr>
      <w:tblPr/>
      <w:tcPr>
        <w:tcBorders>
          <w:top w:val="double" w:sz="6" w:space="0" w:color="86BE57" w:themeColor="accent5"/>
          <w:left w:val="single" w:sz="8" w:space="0" w:color="86BE57" w:themeColor="accent5"/>
          <w:bottom w:val="single" w:sz="8" w:space="0" w:color="86BE57" w:themeColor="accent5"/>
          <w:right w:val="single" w:sz="8" w:space="0" w:color="86BE57" w:themeColor="accent5"/>
        </w:tcBorders>
      </w:tcPr>
    </w:tblStylePr>
    <w:tblStylePr w:type="firstCol">
      <w:rPr>
        <w:b/>
        <w:bCs/>
      </w:rPr>
    </w:tblStylePr>
    <w:tblStylePr w:type="lastCol">
      <w:rPr>
        <w:b/>
        <w:bCs/>
      </w:rPr>
    </w:tblStylePr>
    <w:tblStylePr w:type="band1Vert">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tcPr>
    </w:tblStylePr>
    <w:tblStylePr w:type="band1Horz">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tcPr>
    </w:tblStylePr>
  </w:style>
  <w:style w:type="table" w:styleId="LightList-Accent6">
    <w:name w:val="Light List Accent 6"/>
    <w:basedOn w:val="TableNormal"/>
    <w:uiPriority w:val="61"/>
    <w:semiHidden/>
    <w:rsid w:val="00EE3EB6"/>
    <w:pPr>
      <w:spacing w:line="240" w:lineRule="auto"/>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tblBorders>
    </w:tblPr>
    <w:tblStylePr w:type="firstRow">
      <w:pPr>
        <w:spacing w:before="0" w:after="0" w:line="240" w:lineRule="auto"/>
      </w:pPr>
      <w:rPr>
        <w:b/>
        <w:bCs/>
        <w:color w:val="FFFFFF" w:themeColor="background1"/>
      </w:rPr>
      <w:tblPr/>
      <w:tcPr>
        <w:shd w:val="clear" w:color="auto" w:fill="788183" w:themeFill="accent6"/>
      </w:tcPr>
    </w:tblStylePr>
    <w:tblStylePr w:type="lastRow">
      <w:pPr>
        <w:spacing w:before="0" w:after="0" w:line="240" w:lineRule="auto"/>
      </w:pPr>
      <w:rPr>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tcBorders>
      </w:tcPr>
    </w:tblStylePr>
    <w:tblStylePr w:type="firstCol">
      <w:rPr>
        <w:b/>
        <w:bCs/>
      </w:rPr>
    </w:tblStylePr>
    <w:tblStylePr w:type="lastCol">
      <w:rPr>
        <w:b/>
        <w:bCs/>
      </w:r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style>
  <w:style w:type="table" w:styleId="LightShading">
    <w:name w:val="Light Shading"/>
    <w:basedOn w:val="TableNormal"/>
    <w:uiPriority w:val="60"/>
    <w:semiHidden/>
    <w:rsid w:val="00EE3EB6"/>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EE3EB6"/>
    <w:pPr>
      <w:spacing w:line="240" w:lineRule="auto"/>
    </w:pPr>
    <w:rPr>
      <w:color w:val="69365E" w:themeColor="accent1" w:themeShade="BF"/>
    </w:rPr>
    <w:tblPr>
      <w:tblStyleRowBandSize w:val="1"/>
      <w:tblStyleColBandSize w:val="1"/>
      <w:tblBorders>
        <w:top w:val="single" w:sz="8" w:space="0" w:color="8D487F" w:themeColor="accent1"/>
        <w:bottom w:val="single" w:sz="8" w:space="0" w:color="8D487F" w:themeColor="accent1"/>
      </w:tblBorders>
    </w:tblPr>
    <w:tblStylePr w:type="firstRow">
      <w:pPr>
        <w:spacing w:before="0" w:after="0" w:line="240" w:lineRule="auto"/>
      </w:pPr>
      <w:rPr>
        <w:b/>
        <w:bCs/>
      </w:rPr>
      <w:tblPr/>
      <w:tcPr>
        <w:tcBorders>
          <w:top w:val="single" w:sz="8" w:space="0" w:color="8D487F" w:themeColor="accent1"/>
          <w:left w:val="nil"/>
          <w:bottom w:val="single" w:sz="8" w:space="0" w:color="8D487F" w:themeColor="accent1"/>
          <w:right w:val="nil"/>
          <w:insideH w:val="nil"/>
          <w:insideV w:val="nil"/>
        </w:tcBorders>
      </w:tcPr>
    </w:tblStylePr>
    <w:tblStylePr w:type="lastRow">
      <w:pPr>
        <w:spacing w:before="0" w:after="0" w:line="240" w:lineRule="auto"/>
      </w:pPr>
      <w:rPr>
        <w:b/>
        <w:bCs/>
      </w:rPr>
      <w:tblPr/>
      <w:tcPr>
        <w:tcBorders>
          <w:top w:val="single" w:sz="8" w:space="0" w:color="8D487F" w:themeColor="accent1"/>
          <w:left w:val="nil"/>
          <w:bottom w:val="single" w:sz="8" w:space="0" w:color="8D48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CEE1" w:themeFill="accent1" w:themeFillTint="3F"/>
      </w:tcPr>
    </w:tblStylePr>
    <w:tblStylePr w:type="band1Horz">
      <w:tblPr/>
      <w:tcPr>
        <w:tcBorders>
          <w:left w:val="nil"/>
          <w:right w:val="nil"/>
          <w:insideH w:val="nil"/>
          <w:insideV w:val="nil"/>
        </w:tcBorders>
        <w:shd w:val="clear" w:color="auto" w:fill="E6CEE1" w:themeFill="accent1" w:themeFillTint="3F"/>
      </w:tcPr>
    </w:tblStylePr>
  </w:style>
  <w:style w:type="table" w:styleId="LightShading-Accent2">
    <w:name w:val="Light Shading Accent 2"/>
    <w:basedOn w:val="TableNormal"/>
    <w:uiPriority w:val="60"/>
    <w:semiHidden/>
    <w:rsid w:val="00EE3EB6"/>
    <w:pPr>
      <w:spacing w:line="240" w:lineRule="auto"/>
    </w:pPr>
    <w:rPr>
      <w:color w:val="98362F" w:themeColor="accent2" w:themeShade="BF"/>
    </w:rPr>
    <w:tblPr>
      <w:tblStyleRowBandSize w:val="1"/>
      <w:tblStyleColBandSize w:val="1"/>
      <w:tblBorders>
        <w:top w:val="single" w:sz="8" w:space="0" w:color="C64E45" w:themeColor="accent2"/>
        <w:bottom w:val="single" w:sz="8" w:space="0" w:color="C64E45" w:themeColor="accent2"/>
      </w:tblBorders>
    </w:tblPr>
    <w:tblStylePr w:type="firstRow">
      <w:pPr>
        <w:spacing w:before="0" w:after="0" w:line="240" w:lineRule="auto"/>
      </w:pPr>
      <w:rPr>
        <w:b/>
        <w:bCs/>
      </w:rPr>
      <w:tblPr/>
      <w:tcPr>
        <w:tcBorders>
          <w:top w:val="single" w:sz="8" w:space="0" w:color="C64E45" w:themeColor="accent2"/>
          <w:left w:val="nil"/>
          <w:bottom w:val="single" w:sz="8" w:space="0" w:color="C64E45" w:themeColor="accent2"/>
          <w:right w:val="nil"/>
          <w:insideH w:val="nil"/>
          <w:insideV w:val="nil"/>
        </w:tcBorders>
      </w:tcPr>
    </w:tblStylePr>
    <w:tblStylePr w:type="lastRow">
      <w:pPr>
        <w:spacing w:before="0" w:after="0" w:line="240" w:lineRule="auto"/>
      </w:pPr>
      <w:rPr>
        <w:b/>
        <w:bCs/>
      </w:rPr>
      <w:tblPr/>
      <w:tcPr>
        <w:tcBorders>
          <w:top w:val="single" w:sz="8" w:space="0" w:color="C64E45" w:themeColor="accent2"/>
          <w:left w:val="nil"/>
          <w:bottom w:val="single" w:sz="8" w:space="0" w:color="C64E4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D2D0" w:themeFill="accent2" w:themeFillTint="3F"/>
      </w:tcPr>
    </w:tblStylePr>
    <w:tblStylePr w:type="band1Horz">
      <w:tblPr/>
      <w:tcPr>
        <w:tcBorders>
          <w:left w:val="nil"/>
          <w:right w:val="nil"/>
          <w:insideH w:val="nil"/>
          <w:insideV w:val="nil"/>
        </w:tcBorders>
        <w:shd w:val="clear" w:color="auto" w:fill="F1D2D0" w:themeFill="accent2" w:themeFillTint="3F"/>
      </w:tcPr>
    </w:tblStylePr>
  </w:style>
  <w:style w:type="table" w:styleId="LightShading-Accent3">
    <w:name w:val="Light Shading Accent 3"/>
    <w:basedOn w:val="TableNormal"/>
    <w:uiPriority w:val="60"/>
    <w:semiHidden/>
    <w:rsid w:val="00EE3EB6"/>
    <w:pPr>
      <w:spacing w:line="240" w:lineRule="auto"/>
    </w:pPr>
    <w:rPr>
      <w:color w:val="D25E0F" w:themeColor="accent3" w:themeShade="BF"/>
    </w:rPr>
    <w:tblPr>
      <w:tblStyleRowBandSize w:val="1"/>
      <w:tblStyleColBandSize w:val="1"/>
      <w:tblBorders>
        <w:top w:val="single" w:sz="8" w:space="0" w:color="F1873D" w:themeColor="accent3"/>
        <w:bottom w:val="single" w:sz="8" w:space="0" w:color="F1873D" w:themeColor="accent3"/>
      </w:tblBorders>
    </w:tblPr>
    <w:tblStylePr w:type="firstRow">
      <w:pPr>
        <w:spacing w:before="0" w:after="0" w:line="240" w:lineRule="auto"/>
      </w:pPr>
      <w:rPr>
        <w:b/>
        <w:bCs/>
      </w:rPr>
      <w:tblPr/>
      <w:tcPr>
        <w:tcBorders>
          <w:top w:val="single" w:sz="8" w:space="0" w:color="F1873D" w:themeColor="accent3"/>
          <w:left w:val="nil"/>
          <w:bottom w:val="single" w:sz="8" w:space="0" w:color="F1873D" w:themeColor="accent3"/>
          <w:right w:val="nil"/>
          <w:insideH w:val="nil"/>
          <w:insideV w:val="nil"/>
        </w:tcBorders>
      </w:tcPr>
    </w:tblStylePr>
    <w:tblStylePr w:type="lastRow">
      <w:pPr>
        <w:spacing w:before="0" w:after="0" w:line="240" w:lineRule="auto"/>
      </w:pPr>
      <w:rPr>
        <w:b/>
        <w:bCs/>
      </w:rPr>
      <w:tblPr/>
      <w:tcPr>
        <w:tcBorders>
          <w:top w:val="single" w:sz="8" w:space="0" w:color="F1873D" w:themeColor="accent3"/>
          <w:left w:val="nil"/>
          <w:bottom w:val="single" w:sz="8" w:space="0" w:color="F187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CE" w:themeFill="accent3" w:themeFillTint="3F"/>
      </w:tcPr>
    </w:tblStylePr>
    <w:tblStylePr w:type="band1Horz">
      <w:tblPr/>
      <w:tcPr>
        <w:tcBorders>
          <w:left w:val="nil"/>
          <w:right w:val="nil"/>
          <w:insideH w:val="nil"/>
          <w:insideV w:val="nil"/>
        </w:tcBorders>
        <w:shd w:val="clear" w:color="auto" w:fill="FBE1CE" w:themeFill="accent3" w:themeFillTint="3F"/>
      </w:tcPr>
    </w:tblStylePr>
  </w:style>
  <w:style w:type="table" w:styleId="LightShading-Accent4">
    <w:name w:val="Light Shading Accent 4"/>
    <w:basedOn w:val="TableNormal"/>
    <w:uiPriority w:val="60"/>
    <w:semiHidden/>
    <w:rsid w:val="00EE3EB6"/>
    <w:pPr>
      <w:spacing w:line="240" w:lineRule="auto"/>
    </w:pPr>
    <w:rPr>
      <w:color w:val="EEA704" w:themeColor="accent4" w:themeShade="BF"/>
    </w:rPr>
    <w:tblPr>
      <w:tblStyleRowBandSize w:val="1"/>
      <w:tblStyleColBandSize w:val="1"/>
      <w:tblBorders>
        <w:top w:val="single" w:sz="8" w:space="0" w:color="FCC648" w:themeColor="accent4"/>
        <w:bottom w:val="single" w:sz="8" w:space="0" w:color="FCC648" w:themeColor="accent4"/>
      </w:tblBorders>
    </w:tblPr>
    <w:tblStylePr w:type="firstRow">
      <w:pPr>
        <w:spacing w:before="0" w:after="0" w:line="240" w:lineRule="auto"/>
      </w:pPr>
      <w:rPr>
        <w:b/>
        <w:bCs/>
      </w:rPr>
      <w:tblPr/>
      <w:tcPr>
        <w:tcBorders>
          <w:top w:val="single" w:sz="8" w:space="0" w:color="FCC648" w:themeColor="accent4"/>
          <w:left w:val="nil"/>
          <w:bottom w:val="single" w:sz="8" w:space="0" w:color="FCC648" w:themeColor="accent4"/>
          <w:right w:val="nil"/>
          <w:insideH w:val="nil"/>
          <w:insideV w:val="nil"/>
        </w:tcBorders>
      </w:tcPr>
    </w:tblStylePr>
    <w:tblStylePr w:type="lastRow">
      <w:pPr>
        <w:spacing w:before="0" w:after="0" w:line="240" w:lineRule="auto"/>
      </w:pPr>
      <w:rPr>
        <w:b/>
        <w:bCs/>
      </w:rPr>
      <w:tblPr/>
      <w:tcPr>
        <w:tcBorders>
          <w:top w:val="single" w:sz="8" w:space="0" w:color="FCC648" w:themeColor="accent4"/>
          <w:left w:val="nil"/>
          <w:bottom w:val="single" w:sz="8" w:space="0" w:color="FCC64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0D1" w:themeFill="accent4" w:themeFillTint="3F"/>
      </w:tcPr>
    </w:tblStylePr>
    <w:tblStylePr w:type="band1Horz">
      <w:tblPr/>
      <w:tcPr>
        <w:tcBorders>
          <w:left w:val="nil"/>
          <w:right w:val="nil"/>
          <w:insideH w:val="nil"/>
          <w:insideV w:val="nil"/>
        </w:tcBorders>
        <w:shd w:val="clear" w:color="auto" w:fill="FEF0D1" w:themeFill="accent4" w:themeFillTint="3F"/>
      </w:tcPr>
    </w:tblStylePr>
  </w:style>
  <w:style w:type="table" w:styleId="LightShading-Accent5">
    <w:name w:val="Light Shading Accent 5"/>
    <w:basedOn w:val="TableNormal"/>
    <w:uiPriority w:val="60"/>
    <w:semiHidden/>
    <w:rsid w:val="00EE3EB6"/>
    <w:pPr>
      <w:spacing w:line="240" w:lineRule="auto"/>
    </w:pPr>
    <w:rPr>
      <w:color w:val="63953A" w:themeColor="accent5" w:themeShade="BF"/>
    </w:rPr>
    <w:tblPr>
      <w:tblStyleRowBandSize w:val="1"/>
      <w:tblStyleColBandSize w:val="1"/>
      <w:tblBorders>
        <w:top w:val="single" w:sz="8" w:space="0" w:color="86BE57" w:themeColor="accent5"/>
        <w:bottom w:val="single" w:sz="8" w:space="0" w:color="86BE57" w:themeColor="accent5"/>
      </w:tblBorders>
    </w:tblPr>
    <w:tblStylePr w:type="firstRow">
      <w:pPr>
        <w:spacing w:before="0" w:after="0" w:line="240" w:lineRule="auto"/>
      </w:pPr>
      <w:rPr>
        <w:b/>
        <w:bCs/>
      </w:rPr>
      <w:tblPr/>
      <w:tcPr>
        <w:tcBorders>
          <w:top w:val="single" w:sz="8" w:space="0" w:color="86BE57" w:themeColor="accent5"/>
          <w:left w:val="nil"/>
          <w:bottom w:val="single" w:sz="8" w:space="0" w:color="86BE57" w:themeColor="accent5"/>
          <w:right w:val="nil"/>
          <w:insideH w:val="nil"/>
          <w:insideV w:val="nil"/>
        </w:tcBorders>
      </w:tcPr>
    </w:tblStylePr>
    <w:tblStylePr w:type="lastRow">
      <w:pPr>
        <w:spacing w:before="0" w:after="0" w:line="240" w:lineRule="auto"/>
      </w:pPr>
      <w:rPr>
        <w:b/>
        <w:bCs/>
      </w:rPr>
      <w:tblPr/>
      <w:tcPr>
        <w:tcBorders>
          <w:top w:val="single" w:sz="8" w:space="0" w:color="86BE57" w:themeColor="accent5"/>
          <w:left w:val="nil"/>
          <w:bottom w:val="single" w:sz="8" w:space="0" w:color="86BE5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FD5" w:themeFill="accent5" w:themeFillTint="3F"/>
      </w:tcPr>
    </w:tblStylePr>
    <w:tblStylePr w:type="band1Horz">
      <w:tblPr/>
      <w:tcPr>
        <w:tcBorders>
          <w:left w:val="nil"/>
          <w:right w:val="nil"/>
          <w:insideH w:val="nil"/>
          <w:insideV w:val="nil"/>
        </w:tcBorders>
        <w:shd w:val="clear" w:color="auto" w:fill="E1EFD5" w:themeFill="accent5" w:themeFillTint="3F"/>
      </w:tcPr>
    </w:tblStylePr>
  </w:style>
  <w:style w:type="table" w:styleId="LightShading-Accent6">
    <w:name w:val="Light Shading Accent 6"/>
    <w:basedOn w:val="TableNormal"/>
    <w:uiPriority w:val="60"/>
    <w:semiHidden/>
    <w:rsid w:val="00EE3EB6"/>
    <w:pPr>
      <w:spacing w:line="240" w:lineRule="auto"/>
    </w:pPr>
    <w:rPr>
      <w:color w:val="5A6062" w:themeColor="accent6" w:themeShade="BF"/>
    </w:rPr>
    <w:tblPr>
      <w:tblStyleRowBandSize w:val="1"/>
      <w:tblStyleColBandSize w:val="1"/>
      <w:tblBorders>
        <w:top w:val="single" w:sz="8" w:space="0" w:color="788183" w:themeColor="accent6"/>
        <w:bottom w:val="single" w:sz="8" w:space="0" w:color="788183" w:themeColor="accent6"/>
      </w:tblBorders>
    </w:tblPr>
    <w:tblStylePr w:type="firstRow">
      <w:pPr>
        <w:spacing w:before="0" w:after="0" w:line="240" w:lineRule="auto"/>
      </w:pPr>
      <w:rPr>
        <w:b/>
        <w:bCs/>
      </w:rPr>
      <w:tblPr/>
      <w:tcPr>
        <w:tcBorders>
          <w:top w:val="single" w:sz="8" w:space="0" w:color="788183" w:themeColor="accent6"/>
          <w:left w:val="nil"/>
          <w:bottom w:val="single" w:sz="8" w:space="0" w:color="788183" w:themeColor="accent6"/>
          <w:right w:val="nil"/>
          <w:insideH w:val="nil"/>
          <w:insideV w:val="nil"/>
        </w:tcBorders>
      </w:tcPr>
    </w:tblStylePr>
    <w:tblStylePr w:type="lastRow">
      <w:pPr>
        <w:spacing w:before="0" w:after="0" w:line="240" w:lineRule="auto"/>
      </w:pPr>
      <w:rPr>
        <w:b/>
        <w:bCs/>
      </w:rPr>
      <w:tblPr/>
      <w:tcPr>
        <w:tcBorders>
          <w:top w:val="single" w:sz="8" w:space="0" w:color="788183" w:themeColor="accent6"/>
          <w:left w:val="nil"/>
          <w:bottom w:val="single" w:sz="8" w:space="0" w:color="78818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FE0" w:themeFill="accent6" w:themeFillTint="3F"/>
      </w:tcPr>
    </w:tblStylePr>
    <w:tblStylePr w:type="band1Horz">
      <w:tblPr/>
      <w:tcPr>
        <w:tcBorders>
          <w:left w:val="nil"/>
          <w:right w:val="nil"/>
          <w:insideH w:val="nil"/>
          <w:insideV w:val="nil"/>
        </w:tcBorders>
        <w:shd w:val="clear" w:color="auto" w:fill="DDDFE0" w:themeFill="accent6" w:themeFillTint="3F"/>
      </w:tcPr>
    </w:tblStylePr>
  </w:style>
  <w:style w:type="table" w:customStyle="1" w:styleId="ListTable1Light">
    <w:name w:val="List Table 1 Light"/>
    <w:basedOn w:val="TableNormal"/>
    <w:uiPriority w:val="46"/>
    <w:semiHidden/>
    <w:rsid w:val="00EE3EB6"/>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semiHidden/>
    <w:rsid w:val="00EE3EB6"/>
    <w:pPr>
      <w:spacing w:line="240" w:lineRule="auto"/>
    </w:pPr>
    <w:tblPr>
      <w:tblStyleRowBandSize w:val="1"/>
      <w:tblStyleColBandSize w:val="1"/>
    </w:tblPr>
    <w:tblStylePr w:type="firstRow">
      <w:rPr>
        <w:b/>
        <w:bCs/>
      </w:rPr>
      <w:tblPr/>
      <w:tcPr>
        <w:tcBorders>
          <w:bottom w:val="single" w:sz="4" w:space="0" w:color="C288B7" w:themeColor="accent1" w:themeTint="99"/>
        </w:tcBorders>
      </w:tcPr>
    </w:tblStylePr>
    <w:tblStylePr w:type="lastRow">
      <w:rPr>
        <w:b/>
        <w:bCs/>
      </w:rPr>
      <w:tblPr/>
      <w:tcPr>
        <w:tcBorders>
          <w:top w:val="single" w:sz="4" w:space="0" w:color="C288B7" w:themeColor="accent1" w:themeTint="99"/>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1LightAccent2">
    <w:name w:val="List Table 1 Light Accent 2"/>
    <w:basedOn w:val="TableNormal"/>
    <w:uiPriority w:val="46"/>
    <w:semiHidden/>
    <w:rsid w:val="00EE3EB6"/>
    <w:pPr>
      <w:spacing w:line="240" w:lineRule="auto"/>
    </w:pPr>
    <w:tblPr>
      <w:tblStyleRowBandSize w:val="1"/>
      <w:tblStyleColBandSize w:val="1"/>
    </w:tblPr>
    <w:tblStylePr w:type="firstRow">
      <w:rPr>
        <w:b/>
        <w:bCs/>
      </w:rPr>
      <w:tblPr/>
      <w:tcPr>
        <w:tcBorders>
          <w:bottom w:val="single" w:sz="4" w:space="0" w:color="DC948F" w:themeColor="accent2" w:themeTint="99"/>
        </w:tcBorders>
      </w:tcPr>
    </w:tblStylePr>
    <w:tblStylePr w:type="lastRow">
      <w:rPr>
        <w:b/>
        <w:bCs/>
      </w:rPr>
      <w:tblPr/>
      <w:tcPr>
        <w:tcBorders>
          <w:top w:val="single" w:sz="4" w:space="0" w:color="DC948F" w:themeColor="accent2" w:themeTint="99"/>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1LightAccent3">
    <w:name w:val="List Table 1 Light Accent 3"/>
    <w:basedOn w:val="TableNormal"/>
    <w:uiPriority w:val="46"/>
    <w:semiHidden/>
    <w:rsid w:val="00EE3EB6"/>
    <w:pPr>
      <w:spacing w:line="240" w:lineRule="auto"/>
    </w:pPr>
    <w:tblPr>
      <w:tblStyleRowBandSize w:val="1"/>
      <w:tblStyleColBandSize w:val="1"/>
    </w:tblPr>
    <w:tblStylePr w:type="firstRow">
      <w:rPr>
        <w:b/>
        <w:bCs/>
      </w:rPr>
      <w:tblPr/>
      <w:tcPr>
        <w:tcBorders>
          <w:bottom w:val="single" w:sz="4" w:space="0" w:color="F6B68A" w:themeColor="accent3" w:themeTint="99"/>
        </w:tcBorders>
      </w:tcPr>
    </w:tblStylePr>
    <w:tblStylePr w:type="lastRow">
      <w:rPr>
        <w:b/>
        <w:bCs/>
      </w:rPr>
      <w:tblPr/>
      <w:tcPr>
        <w:tcBorders>
          <w:top w:val="single" w:sz="4" w:space="0" w:color="F6B68A" w:themeColor="accent3" w:themeTint="99"/>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1LightAccent4">
    <w:name w:val="List Table 1 Light Accent 4"/>
    <w:basedOn w:val="TableNormal"/>
    <w:uiPriority w:val="46"/>
    <w:semiHidden/>
    <w:rsid w:val="00EE3EB6"/>
    <w:pPr>
      <w:spacing w:line="240" w:lineRule="auto"/>
    </w:pPr>
    <w:tblPr>
      <w:tblStyleRowBandSize w:val="1"/>
      <w:tblStyleColBandSize w:val="1"/>
    </w:tblPr>
    <w:tblStylePr w:type="firstRow">
      <w:rPr>
        <w:b/>
        <w:bCs/>
      </w:rPr>
      <w:tblPr/>
      <w:tcPr>
        <w:tcBorders>
          <w:bottom w:val="single" w:sz="4" w:space="0" w:color="FDDC91" w:themeColor="accent4" w:themeTint="99"/>
        </w:tcBorders>
      </w:tcPr>
    </w:tblStylePr>
    <w:tblStylePr w:type="lastRow">
      <w:rPr>
        <w:b/>
        <w:bCs/>
      </w:rPr>
      <w:tblPr/>
      <w:tcPr>
        <w:tcBorders>
          <w:top w:val="single" w:sz="4" w:space="0" w:color="FDDC91" w:themeColor="accent4" w:themeTint="99"/>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1LightAccent5">
    <w:name w:val="List Table 1 Light Accent 5"/>
    <w:basedOn w:val="TableNormal"/>
    <w:uiPriority w:val="46"/>
    <w:semiHidden/>
    <w:rsid w:val="00EE3EB6"/>
    <w:pPr>
      <w:spacing w:line="240" w:lineRule="auto"/>
    </w:pPr>
    <w:tblPr>
      <w:tblStyleRowBandSize w:val="1"/>
      <w:tblStyleColBandSize w:val="1"/>
    </w:tblPr>
    <w:tblStylePr w:type="firstRow">
      <w:rPr>
        <w:b/>
        <w:bCs/>
      </w:rPr>
      <w:tblPr/>
      <w:tcPr>
        <w:tcBorders>
          <w:bottom w:val="single" w:sz="4" w:space="0" w:color="B6D89A" w:themeColor="accent5" w:themeTint="99"/>
        </w:tcBorders>
      </w:tcPr>
    </w:tblStylePr>
    <w:tblStylePr w:type="lastRow">
      <w:rPr>
        <w:b/>
        <w:bCs/>
      </w:rPr>
      <w:tblPr/>
      <w:tcPr>
        <w:tcBorders>
          <w:top w:val="single" w:sz="4" w:space="0" w:color="B6D89A" w:themeColor="accent5" w:themeTint="99"/>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1LightAccent6">
    <w:name w:val="List Table 1 Light Accent 6"/>
    <w:basedOn w:val="TableNormal"/>
    <w:uiPriority w:val="46"/>
    <w:semiHidden/>
    <w:rsid w:val="00EE3EB6"/>
    <w:pPr>
      <w:spacing w:line="240" w:lineRule="auto"/>
    </w:pPr>
    <w:tblPr>
      <w:tblStyleRowBandSize w:val="1"/>
      <w:tblStyleColBandSize w:val="1"/>
    </w:tblPr>
    <w:tblStylePr w:type="firstRow">
      <w:rPr>
        <w:b/>
        <w:bCs/>
      </w:rPr>
      <w:tblPr/>
      <w:tcPr>
        <w:tcBorders>
          <w:bottom w:val="single" w:sz="4" w:space="0" w:color="ADB3B4" w:themeColor="accent6" w:themeTint="99"/>
        </w:tcBorders>
      </w:tcPr>
    </w:tblStylePr>
    <w:tblStylePr w:type="lastRow">
      <w:rPr>
        <w:b/>
        <w:bCs/>
      </w:rPr>
      <w:tblPr/>
      <w:tcPr>
        <w:tcBorders>
          <w:top w:val="single" w:sz="4" w:space="0" w:color="ADB3B4" w:themeColor="accent6" w:themeTint="99"/>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2">
    <w:name w:val="List Table 2"/>
    <w:basedOn w:val="TableNormal"/>
    <w:uiPriority w:val="47"/>
    <w:semiHidden/>
    <w:rsid w:val="00EE3EB6"/>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semiHidden/>
    <w:rsid w:val="00EE3EB6"/>
    <w:pPr>
      <w:spacing w:line="240" w:lineRule="auto"/>
    </w:pPr>
    <w:tblPr>
      <w:tblStyleRowBandSize w:val="1"/>
      <w:tblStyleColBandSize w:val="1"/>
      <w:tblBorders>
        <w:top w:val="single" w:sz="4" w:space="0" w:color="C288B7" w:themeColor="accent1" w:themeTint="99"/>
        <w:bottom w:val="single" w:sz="4" w:space="0" w:color="C288B7" w:themeColor="accent1" w:themeTint="99"/>
        <w:insideH w:val="single" w:sz="4" w:space="0" w:color="C288B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2Accent2">
    <w:name w:val="List Table 2 Accent 2"/>
    <w:basedOn w:val="TableNormal"/>
    <w:uiPriority w:val="47"/>
    <w:semiHidden/>
    <w:rsid w:val="00EE3EB6"/>
    <w:pPr>
      <w:spacing w:line="240" w:lineRule="auto"/>
    </w:pPr>
    <w:tblPr>
      <w:tblStyleRowBandSize w:val="1"/>
      <w:tblStyleColBandSize w:val="1"/>
      <w:tblBorders>
        <w:top w:val="single" w:sz="4" w:space="0" w:color="DC948F" w:themeColor="accent2" w:themeTint="99"/>
        <w:bottom w:val="single" w:sz="4" w:space="0" w:color="DC948F" w:themeColor="accent2" w:themeTint="99"/>
        <w:insideH w:val="single" w:sz="4" w:space="0" w:color="DC948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2Accent3">
    <w:name w:val="List Table 2 Accent 3"/>
    <w:basedOn w:val="TableNormal"/>
    <w:uiPriority w:val="47"/>
    <w:semiHidden/>
    <w:rsid w:val="00EE3EB6"/>
    <w:pPr>
      <w:spacing w:line="240" w:lineRule="auto"/>
    </w:pPr>
    <w:tblPr>
      <w:tblStyleRowBandSize w:val="1"/>
      <w:tblStyleColBandSize w:val="1"/>
      <w:tblBorders>
        <w:top w:val="single" w:sz="4" w:space="0" w:color="F6B68A" w:themeColor="accent3" w:themeTint="99"/>
        <w:bottom w:val="single" w:sz="4" w:space="0" w:color="F6B68A" w:themeColor="accent3" w:themeTint="99"/>
        <w:insideH w:val="single" w:sz="4" w:space="0" w:color="F6B68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2Accent4">
    <w:name w:val="List Table 2 Accent 4"/>
    <w:basedOn w:val="TableNormal"/>
    <w:uiPriority w:val="47"/>
    <w:semiHidden/>
    <w:rsid w:val="00EE3EB6"/>
    <w:pPr>
      <w:spacing w:line="240" w:lineRule="auto"/>
    </w:pPr>
    <w:tblPr>
      <w:tblStyleRowBandSize w:val="1"/>
      <w:tblStyleColBandSize w:val="1"/>
      <w:tblBorders>
        <w:top w:val="single" w:sz="4" w:space="0" w:color="FDDC91" w:themeColor="accent4" w:themeTint="99"/>
        <w:bottom w:val="single" w:sz="4" w:space="0" w:color="FDDC91" w:themeColor="accent4" w:themeTint="99"/>
        <w:insideH w:val="single" w:sz="4" w:space="0" w:color="FDDC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2Accent5">
    <w:name w:val="List Table 2 Accent 5"/>
    <w:basedOn w:val="TableNormal"/>
    <w:uiPriority w:val="47"/>
    <w:semiHidden/>
    <w:rsid w:val="00EE3EB6"/>
    <w:pPr>
      <w:spacing w:line="240" w:lineRule="auto"/>
    </w:pPr>
    <w:tblPr>
      <w:tblStyleRowBandSize w:val="1"/>
      <w:tblStyleColBandSize w:val="1"/>
      <w:tblBorders>
        <w:top w:val="single" w:sz="4" w:space="0" w:color="B6D89A" w:themeColor="accent5" w:themeTint="99"/>
        <w:bottom w:val="single" w:sz="4" w:space="0" w:color="B6D89A" w:themeColor="accent5" w:themeTint="99"/>
        <w:insideH w:val="single" w:sz="4" w:space="0" w:color="B6D89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2Accent6">
    <w:name w:val="List Table 2 Accent 6"/>
    <w:basedOn w:val="TableNormal"/>
    <w:uiPriority w:val="47"/>
    <w:semiHidden/>
    <w:rsid w:val="00EE3EB6"/>
    <w:pPr>
      <w:spacing w:line="240" w:lineRule="auto"/>
    </w:pPr>
    <w:tblPr>
      <w:tblStyleRowBandSize w:val="1"/>
      <w:tblStyleColBandSize w:val="1"/>
      <w:tblBorders>
        <w:top w:val="single" w:sz="4" w:space="0" w:color="ADB3B4" w:themeColor="accent6" w:themeTint="99"/>
        <w:bottom w:val="single" w:sz="4" w:space="0" w:color="ADB3B4" w:themeColor="accent6" w:themeTint="99"/>
        <w:insideH w:val="single" w:sz="4" w:space="0" w:color="ADB3B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3">
    <w:name w:val="List Table 3"/>
    <w:basedOn w:val="TableNormal"/>
    <w:uiPriority w:val="48"/>
    <w:semiHidden/>
    <w:rsid w:val="00EE3EB6"/>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semiHidden/>
    <w:rsid w:val="00EE3EB6"/>
    <w:pPr>
      <w:spacing w:line="240" w:lineRule="auto"/>
    </w:pPr>
    <w:tblPr>
      <w:tblStyleRowBandSize w:val="1"/>
      <w:tblStyleColBandSize w:val="1"/>
      <w:tblBorders>
        <w:top w:val="single" w:sz="4" w:space="0" w:color="8D487F" w:themeColor="accent1"/>
        <w:left w:val="single" w:sz="4" w:space="0" w:color="8D487F" w:themeColor="accent1"/>
        <w:bottom w:val="single" w:sz="4" w:space="0" w:color="8D487F" w:themeColor="accent1"/>
        <w:right w:val="single" w:sz="4" w:space="0" w:color="8D487F" w:themeColor="accent1"/>
      </w:tblBorders>
    </w:tblPr>
    <w:tblStylePr w:type="firstRow">
      <w:rPr>
        <w:b/>
        <w:bCs/>
        <w:color w:val="FFFFFF" w:themeColor="background1"/>
      </w:rPr>
      <w:tblPr/>
      <w:tcPr>
        <w:shd w:val="clear" w:color="auto" w:fill="8D487F" w:themeFill="accent1"/>
      </w:tcPr>
    </w:tblStylePr>
    <w:tblStylePr w:type="lastRow">
      <w:rPr>
        <w:b/>
        <w:bCs/>
      </w:rPr>
      <w:tblPr/>
      <w:tcPr>
        <w:tcBorders>
          <w:top w:val="double" w:sz="4" w:space="0" w:color="8D487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487F" w:themeColor="accent1"/>
          <w:right w:val="single" w:sz="4" w:space="0" w:color="8D487F" w:themeColor="accent1"/>
        </w:tcBorders>
      </w:tcPr>
    </w:tblStylePr>
    <w:tblStylePr w:type="band1Horz">
      <w:tblPr/>
      <w:tcPr>
        <w:tcBorders>
          <w:top w:val="single" w:sz="4" w:space="0" w:color="8D487F" w:themeColor="accent1"/>
          <w:bottom w:val="single" w:sz="4" w:space="0" w:color="8D487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487F" w:themeColor="accent1"/>
          <w:left w:val="nil"/>
        </w:tcBorders>
      </w:tcPr>
    </w:tblStylePr>
    <w:tblStylePr w:type="swCell">
      <w:tblPr/>
      <w:tcPr>
        <w:tcBorders>
          <w:top w:val="double" w:sz="4" w:space="0" w:color="8D487F" w:themeColor="accent1"/>
          <w:right w:val="nil"/>
        </w:tcBorders>
      </w:tcPr>
    </w:tblStylePr>
  </w:style>
  <w:style w:type="table" w:customStyle="1" w:styleId="ListTable3Accent2">
    <w:name w:val="List Table 3 Accent 2"/>
    <w:basedOn w:val="TableNormal"/>
    <w:uiPriority w:val="48"/>
    <w:semiHidden/>
    <w:rsid w:val="00EE3EB6"/>
    <w:pPr>
      <w:spacing w:line="240" w:lineRule="auto"/>
    </w:pPr>
    <w:tblPr>
      <w:tblStyleRowBandSize w:val="1"/>
      <w:tblStyleColBandSize w:val="1"/>
      <w:tblBorders>
        <w:top w:val="single" w:sz="4" w:space="0" w:color="C64E45" w:themeColor="accent2"/>
        <w:left w:val="single" w:sz="4" w:space="0" w:color="C64E45" w:themeColor="accent2"/>
        <w:bottom w:val="single" w:sz="4" w:space="0" w:color="C64E45" w:themeColor="accent2"/>
        <w:right w:val="single" w:sz="4" w:space="0" w:color="C64E45" w:themeColor="accent2"/>
      </w:tblBorders>
    </w:tblPr>
    <w:tblStylePr w:type="firstRow">
      <w:rPr>
        <w:b/>
        <w:bCs/>
        <w:color w:val="FFFFFF" w:themeColor="background1"/>
      </w:rPr>
      <w:tblPr/>
      <w:tcPr>
        <w:shd w:val="clear" w:color="auto" w:fill="C64E45" w:themeFill="accent2"/>
      </w:tcPr>
    </w:tblStylePr>
    <w:tblStylePr w:type="lastRow">
      <w:rPr>
        <w:b/>
        <w:bCs/>
      </w:rPr>
      <w:tblPr/>
      <w:tcPr>
        <w:tcBorders>
          <w:top w:val="double" w:sz="4" w:space="0" w:color="C64E4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64E45" w:themeColor="accent2"/>
          <w:right w:val="single" w:sz="4" w:space="0" w:color="C64E45" w:themeColor="accent2"/>
        </w:tcBorders>
      </w:tcPr>
    </w:tblStylePr>
    <w:tblStylePr w:type="band1Horz">
      <w:tblPr/>
      <w:tcPr>
        <w:tcBorders>
          <w:top w:val="single" w:sz="4" w:space="0" w:color="C64E45" w:themeColor="accent2"/>
          <w:bottom w:val="single" w:sz="4" w:space="0" w:color="C64E4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4E45" w:themeColor="accent2"/>
          <w:left w:val="nil"/>
        </w:tcBorders>
      </w:tcPr>
    </w:tblStylePr>
    <w:tblStylePr w:type="swCell">
      <w:tblPr/>
      <w:tcPr>
        <w:tcBorders>
          <w:top w:val="double" w:sz="4" w:space="0" w:color="C64E45" w:themeColor="accent2"/>
          <w:right w:val="nil"/>
        </w:tcBorders>
      </w:tcPr>
    </w:tblStylePr>
  </w:style>
  <w:style w:type="table" w:customStyle="1" w:styleId="ListTable3Accent3">
    <w:name w:val="List Table 3 Accent 3"/>
    <w:basedOn w:val="TableNormal"/>
    <w:uiPriority w:val="48"/>
    <w:semiHidden/>
    <w:rsid w:val="00EE3EB6"/>
    <w:pPr>
      <w:spacing w:line="240" w:lineRule="auto"/>
    </w:pPr>
    <w:tblPr>
      <w:tblStyleRowBandSize w:val="1"/>
      <w:tblStyleColBandSize w:val="1"/>
      <w:tblBorders>
        <w:top w:val="single" w:sz="4" w:space="0" w:color="F1873D" w:themeColor="accent3"/>
        <w:left w:val="single" w:sz="4" w:space="0" w:color="F1873D" w:themeColor="accent3"/>
        <w:bottom w:val="single" w:sz="4" w:space="0" w:color="F1873D" w:themeColor="accent3"/>
        <w:right w:val="single" w:sz="4" w:space="0" w:color="F1873D" w:themeColor="accent3"/>
      </w:tblBorders>
    </w:tblPr>
    <w:tblStylePr w:type="firstRow">
      <w:rPr>
        <w:b/>
        <w:bCs/>
        <w:color w:val="FFFFFF" w:themeColor="background1"/>
      </w:rPr>
      <w:tblPr/>
      <w:tcPr>
        <w:shd w:val="clear" w:color="auto" w:fill="F1873D" w:themeFill="accent3"/>
      </w:tcPr>
    </w:tblStylePr>
    <w:tblStylePr w:type="lastRow">
      <w:rPr>
        <w:b/>
        <w:bCs/>
      </w:rPr>
      <w:tblPr/>
      <w:tcPr>
        <w:tcBorders>
          <w:top w:val="double" w:sz="4" w:space="0" w:color="F187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873D" w:themeColor="accent3"/>
          <w:right w:val="single" w:sz="4" w:space="0" w:color="F1873D" w:themeColor="accent3"/>
        </w:tcBorders>
      </w:tcPr>
    </w:tblStylePr>
    <w:tblStylePr w:type="band1Horz">
      <w:tblPr/>
      <w:tcPr>
        <w:tcBorders>
          <w:top w:val="single" w:sz="4" w:space="0" w:color="F1873D" w:themeColor="accent3"/>
          <w:bottom w:val="single" w:sz="4" w:space="0" w:color="F187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873D" w:themeColor="accent3"/>
          <w:left w:val="nil"/>
        </w:tcBorders>
      </w:tcPr>
    </w:tblStylePr>
    <w:tblStylePr w:type="swCell">
      <w:tblPr/>
      <w:tcPr>
        <w:tcBorders>
          <w:top w:val="double" w:sz="4" w:space="0" w:color="F1873D" w:themeColor="accent3"/>
          <w:right w:val="nil"/>
        </w:tcBorders>
      </w:tcPr>
    </w:tblStylePr>
  </w:style>
  <w:style w:type="table" w:customStyle="1" w:styleId="ListTable3Accent4">
    <w:name w:val="List Table 3 Accent 4"/>
    <w:basedOn w:val="TableNormal"/>
    <w:uiPriority w:val="48"/>
    <w:semiHidden/>
    <w:rsid w:val="00EE3EB6"/>
    <w:pPr>
      <w:spacing w:line="240" w:lineRule="auto"/>
    </w:pPr>
    <w:tblPr>
      <w:tblStyleRowBandSize w:val="1"/>
      <w:tblStyleColBandSize w:val="1"/>
      <w:tblBorders>
        <w:top w:val="single" w:sz="4" w:space="0" w:color="FCC648" w:themeColor="accent4"/>
        <w:left w:val="single" w:sz="4" w:space="0" w:color="FCC648" w:themeColor="accent4"/>
        <w:bottom w:val="single" w:sz="4" w:space="0" w:color="FCC648" w:themeColor="accent4"/>
        <w:right w:val="single" w:sz="4" w:space="0" w:color="FCC648" w:themeColor="accent4"/>
      </w:tblBorders>
    </w:tblPr>
    <w:tblStylePr w:type="firstRow">
      <w:rPr>
        <w:b/>
        <w:bCs/>
        <w:color w:val="FFFFFF" w:themeColor="background1"/>
      </w:rPr>
      <w:tblPr/>
      <w:tcPr>
        <w:shd w:val="clear" w:color="auto" w:fill="FCC648" w:themeFill="accent4"/>
      </w:tcPr>
    </w:tblStylePr>
    <w:tblStylePr w:type="lastRow">
      <w:rPr>
        <w:b/>
        <w:bCs/>
      </w:rPr>
      <w:tblPr/>
      <w:tcPr>
        <w:tcBorders>
          <w:top w:val="double" w:sz="4" w:space="0" w:color="FCC64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C648" w:themeColor="accent4"/>
          <w:right w:val="single" w:sz="4" w:space="0" w:color="FCC648" w:themeColor="accent4"/>
        </w:tcBorders>
      </w:tcPr>
    </w:tblStylePr>
    <w:tblStylePr w:type="band1Horz">
      <w:tblPr/>
      <w:tcPr>
        <w:tcBorders>
          <w:top w:val="single" w:sz="4" w:space="0" w:color="FCC648" w:themeColor="accent4"/>
          <w:bottom w:val="single" w:sz="4" w:space="0" w:color="FCC64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C648" w:themeColor="accent4"/>
          <w:left w:val="nil"/>
        </w:tcBorders>
      </w:tcPr>
    </w:tblStylePr>
    <w:tblStylePr w:type="swCell">
      <w:tblPr/>
      <w:tcPr>
        <w:tcBorders>
          <w:top w:val="double" w:sz="4" w:space="0" w:color="FCC648" w:themeColor="accent4"/>
          <w:right w:val="nil"/>
        </w:tcBorders>
      </w:tcPr>
    </w:tblStylePr>
  </w:style>
  <w:style w:type="table" w:customStyle="1" w:styleId="ListTable3Accent5">
    <w:name w:val="List Table 3 Accent 5"/>
    <w:basedOn w:val="TableNormal"/>
    <w:uiPriority w:val="48"/>
    <w:semiHidden/>
    <w:rsid w:val="00EE3EB6"/>
    <w:pPr>
      <w:spacing w:line="240" w:lineRule="auto"/>
    </w:pPr>
    <w:tblPr>
      <w:tblStyleRowBandSize w:val="1"/>
      <w:tblStyleColBandSize w:val="1"/>
      <w:tblBorders>
        <w:top w:val="single" w:sz="4" w:space="0" w:color="86BE57" w:themeColor="accent5"/>
        <w:left w:val="single" w:sz="4" w:space="0" w:color="86BE57" w:themeColor="accent5"/>
        <w:bottom w:val="single" w:sz="4" w:space="0" w:color="86BE57" w:themeColor="accent5"/>
        <w:right w:val="single" w:sz="4" w:space="0" w:color="86BE57" w:themeColor="accent5"/>
      </w:tblBorders>
    </w:tblPr>
    <w:tblStylePr w:type="firstRow">
      <w:rPr>
        <w:b/>
        <w:bCs/>
        <w:color w:val="FFFFFF" w:themeColor="background1"/>
      </w:rPr>
      <w:tblPr/>
      <w:tcPr>
        <w:shd w:val="clear" w:color="auto" w:fill="86BE57" w:themeFill="accent5"/>
      </w:tcPr>
    </w:tblStylePr>
    <w:tblStylePr w:type="lastRow">
      <w:rPr>
        <w:b/>
        <w:bCs/>
      </w:rPr>
      <w:tblPr/>
      <w:tcPr>
        <w:tcBorders>
          <w:top w:val="double" w:sz="4" w:space="0" w:color="86BE5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BE57" w:themeColor="accent5"/>
          <w:right w:val="single" w:sz="4" w:space="0" w:color="86BE57" w:themeColor="accent5"/>
        </w:tcBorders>
      </w:tcPr>
    </w:tblStylePr>
    <w:tblStylePr w:type="band1Horz">
      <w:tblPr/>
      <w:tcPr>
        <w:tcBorders>
          <w:top w:val="single" w:sz="4" w:space="0" w:color="86BE57" w:themeColor="accent5"/>
          <w:bottom w:val="single" w:sz="4" w:space="0" w:color="86BE5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BE57" w:themeColor="accent5"/>
          <w:left w:val="nil"/>
        </w:tcBorders>
      </w:tcPr>
    </w:tblStylePr>
    <w:tblStylePr w:type="swCell">
      <w:tblPr/>
      <w:tcPr>
        <w:tcBorders>
          <w:top w:val="double" w:sz="4" w:space="0" w:color="86BE57" w:themeColor="accent5"/>
          <w:right w:val="nil"/>
        </w:tcBorders>
      </w:tcPr>
    </w:tblStylePr>
  </w:style>
  <w:style w:type="table" w:customStyle="1" w:styleId="ListTable3Accent6">
    <w:name w:val="List Table 3 Accent 6"/>
    <w:basedOn w:val="TableNormal"/>
    <w:uiPriority w:val="48"/>
    <w:semiHidden/>
    <w:rsid w:val="00EE3EB6"/>
    <w:pPr>
      <w:spacing w:line="240" w:lineRule="auto"/>
    </w:pPr>
    <w:tblPr>
      <w:tblStyleRowBandSize w:val="1"/>
      <w:tblStyleColBandSize w:val="1"/>
      <w:tblBorders>
        <w:top w:val="single" w:sz="4" w:space="0" w:color="788183" w:themeColor="accent6"/>
        <w:left w:val="single" w:sz="4" w:space="0" w:color="788183" w:themeColor="accent6"/>
        <w:bottom w:val="single" w:sz="4" w:space="0" w:color="788183" w:themeColor="accent6"/>
        <w:right w:val="single" w:sz="4" w:space="0" w:color="788183" w:themeColor="accent6"/>
      </w:tblBorders>
    </w:tblPr>
    <w:tblStylePr w:type="firstRow">
      <w:rPr>
        <w:b/>
        <w:bCs/>
        <w:color w:val="FFFFFF" w:themeColor="background1"/>
      </w:rPr>
      <w:tblPr/>
      <w:tcPr>
        <w:shd w:val="clear" w:color="auto" w:fill="788183" w:themeFill="accent6"/>
      </w:tcPr>
    </w:tblStylePr>
    <w:tblStylePr w:type="lastRow">
      <w:rPr>
        <w:b/>
        <w:bCs/>
      </w:rPr>
      <w:tblPr/>
      <w:tcPr>
        <w:tcBorders>
          <w:top w:val="double" w:sz="4" w:space="0" w:color="78818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88183" w:themeColor="accent6"/>
          <w:right w:val="single" w:sz="4" w:space="0" w:color="788183" w:themeColor="accent6"/>
        </w:tcBorders>
      </w:tcPr>
    </w:tblStylePr>
    <w:tblStylePr w:type="band1Horz">
      <w:tblPr/>
      <w:tcPr>
        <w:tcBorders>
          <w:top w:val="single" w:sz="4" w:space="0" w:color="788183" w:themeColor="accent6"/>
          <w:bottom w:val="single" w:sz="4" w:space="0" w:color="78818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88183" w:themeColor="accent6"/>
          <w:left w:val="nil"/>
        </w:tcBorders>
      </w:tcPr>
    </w:tblStylePr>
    <w:tblStylePr w:type="swCell">
      <w:tblPr/>
      <w:tcPr>
        <w:tcBorders>
          <w:top w:val="double" w:sz="4" w:space="0" w:color="788183" w:themeColor="accent6"/>
          <w:right w:val="nil"/>
        </w:tcBorders>
      </w:tcPr>
    </w:tblStylePr>
  </w:style>
  <w:style w:type="table" w:customStyle="1" w:styleId="ListTable4">
    <w:name w:val="List Table 4"/>
    <w:basedOn w:val="TableNormal"/>
    <w:uiPriority w:val="49"/>
    <w:semiHidden/>
    <w:rsid w:val="00EE3EB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semiHidden/>
    <w:rsid w:val="00EE3EB6"/>
    <w:pPr>
      <w:spacing w:line="240" w:lineRule="auto"/>
    </w:p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tblBorders>
    </w:tblPr>
    <w:tblStylePr w:type="firstRow">
      <w:rPr>
        <w:b/>
        <w:bCs/>
        <w:color w:val="FFFFFF" w:themeColor="background1"/>
      </w:rPr>
      <w:tblPr/>
      <w:tcPr>
        <w:tcBorders>
          <w:top w:val="single" w:sz="4" w:space="0" w:color="8D487F" w:themeColor="accent1"/>
          <w:left w:val="single" w:sz="4" w:space="0" w:color="8D487F" w:themeColor="accent1"/>
          <w:bottom w:val="single" w:sz="4" w:space="0" w:color="8D487F" w:themeColor="accent1"/>
          <w:right w:val="single" w:sz="4" w:space="0" w:color="8D487F" w:themeColor="accent1"/>
          <w:insideH w:val="nil"/>
        </w:tcBorders>
        <w:shd w:val="clear" w:color="auto" w:fill="8D487F" w:themeFill="accent1"/>
      </w:tcPr>
    </w:tblStylePr>
    <w:tblStylePr w:type="lastRow">
      <w:rPr>
        <w:b/>
        <w:bCs/>
      </w:rPr>
      <w:tblPr/>
      <w:tcPr>
        <w:tcBorders>
          <w:top w:val="double" w:sz="4" w:space="0" w:color="C288B7" w:themeColor="accent1" w:themeTint="99"/>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4Accent2">
    <w:name w:val="List Table 4 Accent 2"/>
    <w:basedOn w:val="TableNormal"/>
    <w:uiPriority w:val="49"/>
    <w:semiHidden/>
    <w:rsid w:val="00EE3EB6"/>
    <w:pPr>
      <w:spacing w:line="240" w:lineRule="auto"/>
    </w:p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tblBorders>
    </w:tblPr>
    <w:tblStylePr w:type="firstRow">
      <w:rPr>
        <w:b/>
        <w:bCs/>
        <w:color w:val="FFFFFF" w:themeColor="background1"/>
      </w:rPr>
      <w:tblPr/>
      <w:tcPr>
        <w:tcBorders>
          <w:top w:val="single" w:sz="4" w:space="0" w:color="C64E45" w:themeColor="accent2"/>
          <w:left w:val="single" w:sz="4" w:space="0" w:color="C64E45" w:themeColor="accent2"/>
          <w:bottom w:val="single" w:sz="4" w:space="0" w:color="C64E45" w:themeColor="accent2"/>
          <w:right w:val="single" w:sz="4" w:space="0" w:color="C64E45" w:themeColor="accent2"/>
          <w:insideH w:val="nil"/>
        </w:tcBorders>
        <w:shd w:val="clear" w:color="auto" w:fill="C64E45" w:themeFill="accent2"/>
      </w:tcPr>
    </w:tblStylePr>
    <w:tblStylePr w:type="lastRow">
      <w:rPr>
        <w:b/>
        <w:bCs/>
      </w:rPr>
      <w:tblPr/>
      <w:tcPr>
        <w:tcBorders>
          <w:top w:val="double" w:sz="4" w:space="0" w:color="DC948F" w:themeColor="accent2" w:themeTint="99"/>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4Accent3">
    <w:name w:val="List Table 4 Accent 3"/>
    <w:basedOn w:val="TableNormal"/>
    <w:uiPriority w:val="49"/>
    <w:semiHidden/>
    <w:rsid w:val="00EE3EB6"/>
    <w:pPr>
      <w:spacing w:line="240" w:lineRule="auto"/>
    </w:p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tblBorders>
    </w:tblPr>
    <w:tblStylePr w:type="firstRow">
      <w:rPr>
        <w:b/>
        <w:bCs/>
        <w:color w:val="FFFFFF" w:themeColor="background1"/>
      </w:rPr>
      <w:tblPr/>
      <w:tcPr>
        <w:tcBorders>
          <w:top w:val="single" w:sz="4" w:space="0" w:color="F1873D" w:themeColor="accent3"/>
          <w:left w:val="single" w:sz="4" w:space="0" w:color="F1873D" w:themeColor="accent3"/>
          <w:bottom w:val="single" w:sz="4" w:space="0" w:color="F1873D" w:themeColor="accent3"/>
          <w:right w:val="single" w:sz="4" w:space="0" w:color="F1873D" w:themeColor="accent3"/>
          <w:insideH w:val="nil"/>
        </w:tcBorders>
        <w:shd w:val="clear" w:color="auto" w:fill="F1873D" w:themeFill="accent3"/>
      </w:tcPr>
    </w:tblStylePr>
    <w:tblStylePr w:type="lastRow">
      <w:rPr>
        <w:b/>
        <w:bCs/>
      </w:rPr>
      <w:tblPr/>
      <w:tcPr>
        <w:tcBorders>
          <w:top w:val="double" w:sz="4" w:space="0" w:color="F6B68A" w:themeColor="accent3" w:themeTint="99"/>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4Accent4">
    <w:name w:val="List Table 4 Accent 4"/>
    <w:basedOn w:val="TableNormal"/>
    <w:uiPriority w:val="49"/>
    <w:semiHidden/>
    <w:rsid w:val="00EE3EB6"/>
    <w:pPr>
      <w:spacing w:line="240" w:lineRule="auto"/>
    </w:p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tblBorders>
    </w:tblPr>
    <w:tblStylePr w:type="firstRow">
      <w:rPr>
        <w:b/>
        <w:bCs/>
        <w:color w:val="FFFFFF" w:themeColor="background1"/>
      </w:rPr>
      <w:tblPr/>
      <w:tcPr>
        <w:tcBorders>
          <w:top w:val="single" w:sz="4" w:space="0" w:color="FCC648" w:themeColor="accent4"/>
          <w:left w:val="single" w:sz="4" w:space="0" w:color="FCC648" w:themeColor="accent4"/>
          <w:bottom w:val="single" w:sz="4" w:space="0" w:color="FCC648" w:themeColor="accent4"/>
          <w:right w:val="single" w:sz="4" w:space="0" w:color="FCC648" w:themeColor="accent4"/>
          <w:insideH w:val="nil"/>
        </w:tcBorders>
        <w:shd w:val="clear" w:color="auto" w:fill="FCC648" w:themeFill="accent4"/>
      </w:tcPr>
    </w:tblStylePr>
    <w:tblStylePr w:type="lastRow">
      <w:rPr>
        <w:b/>
        <w:bCs/>
      </w:rPr>
      <w:tblPr/>
      <w:tcPr>
        <w:tcBorders>
          <w:top w:val="double" w:sz="4" w:space="0" w:color="FDDC91" w:themeColor="accent4" w:themeTint="99"/>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4Accent5">
    <w:name w:val="List Table 4 Accent 5"/>
    <w:basedOn w:val="TableNormal"/>
    <w:uiPriority w:val="49"/>
    <w:semiHidden/>
    <w:rsid w:val="00EE3EB6"/>
    <w:pPr>
      <w:spacing w:line="240" w:lineRule="auto"/>
    </w:p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tblBorders>
    </w:tblPr>
    <w:tblStylePr w:type="firstRow">
      <w:rPr>
        <w:b/>
        <w:bCs/>
        <w:color w:val="FFFFFF" w:themeColor="background1"/>
      </w:rPr>
      <w:tblPr/>
      <w:tcPr>
        <w:tcBorders>
          <w:top w:val="single" w:sz="4" w:space="0" w:color="86BE57" w:themeColor="accent5"/>
          <w:left w:val="single" w:sz="4" w:space="0" w:color="86BE57" w:themeColor="accent5"/>
          <w:bottom w:val="single" w:sz="4" w:space="0" w:color="86BE57" w:themeColor="accent5"/>
          <w:right w:val="single" w:sz="4" w:space="0" w:color="86BE57" w:themeColor="accent5"/>
          <w:insideH w:val="nil"/>
        </w:tcBorders>
        <w:shd w:val="clear" w:color="auto" w:fill="86BE57" w:themeFill="accent5"/>
      </w:tcPr>
    </w:tblStylePr>
    <w:tblStylePr w:type="lastRow">
      <w:rPr>
        <w:b/>
        <w:bCs/>
      </w:rPr>
      <w:tblPr/>
      <w:tcPr>
        <w:tcBorders>
          <w:top w:val="double" w:sz="4" w:space="0" w:color="B6D89A" w:themeColor="accent5" w:themeTint="99"/>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4Accent6">
    <w:name w:val="List Table 4 Accent 6"/>
    <w:basedOn w:val="TableNormal"/>
    <w:uiPriority w:val="49"/>
    <w:semiHidden/>
    <w:rsid w:val="00EE3EB6"/>
    <w:pPr>
      <w:spacing w:line="240" w:lineRule="auto"/>
    </w:p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tblBorders>
    </w:tblPr>
    <w:tblStylePr w:type="firstRow">
      <w:rPr>
        <w:b/>
        <w:bCs/>
        <w:color w:val="FFFFFF" w:themeColor="background1"/>
      </w:rPr>
      <w:tblPr/>
      <w:tcPr>
        <w:tcBorders>
          <w:top w:val="single" w:sz="4" w:space="0" w:color="788183" w:themeColor="accent6"/>
          <w:left w:val="single" w:sz="4" w:space="0" w:color="788183" w:themeColor="accent6"/>
          <w:bottom w:val="single" w:sz="4" w:space="0" w:color="788183" w:themeColor="accent6"/>
          <w:right w:val="single" w:sz="4" w:space="0" w:color="788183" w:themeColor="accent6"/>
          <w:insideH w:val="nil"/>
        </w:tcBorders>
        <w:shd w:val="clear" w:color="auto" w:fill="788183" w:themeFill="accent6"/>
      </w:tcPr>
    </w:tblStylePr>
    <w:tblStylePr w:type="lastRow">
      <w:rPr>
        <w:b/>
        <w:bCs/>
      </w:rPr>
      <w:tblPr/>
      <w:tcPr>
        <w:tcBorders>
          <w:top w:val="double" w:sz="4" w:space="0" w:color="ADB3B4" w:themeColor="accent6" w:themeTint="99"/>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5Dark">
    <w:name w:val="List Table 5 Dark"/>
    <w:basedOn w:val="TableNormal"/>
    <w:uiPriority w:val="50"/>
    <w:semiHidden/>
    <w:rsid w:val="00EE3EB6"/>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semiHidden/>
    <w:rsid w:val="00EE3EB6"/>
    <w:pPr>
      <w:spacing w:line="240" w:lineRule="auto"/>
    </w:pPr>
    <w:rPr>
      <w:color w:val="FFFFFF" w:themeColor="background1"/>
    </w:rPr>
    <w:tblPr>
      <w:tblStyleRowBandSize w:val="1"/>
      <w:tblStyleColBandSize w:val="1"/>
      <w:tblBorders>
        <w:top w:val="single" w:sz="24" w:space="0" w:color="8D487F" w:themeColor="accent1"/>
        <w:left w:val="single" w:sz="24" w:space="0" w:color="8D487F" w:themeColor="accent1"/>
        <w:bottom w:val="single" w:sz="24" w:space="0" w:color="8D487F" w:themeColor="accent1"/>
        <w:right w:val="single" w:sz="24" w:space="0" w:color="8D487F" w:themeColor="accent1"/>
      </w:tblBorders>
    </w:tblPr>
    <w:tcPr>
      <w:shd w:val="clear" w:color="auto" w:fill="8D487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semiHidden/>
    <w:rsid w:val="00EE3EB6"/>
    <w:pPr>
      <w:spacing w:line="240" w:lineRule="auto"/>
    </w:pPr>
    <w:rPr>
      <w:color w:val="FFFFFF" w:themeColor="background1"/>
    </w:rPr>
    <w:tblPr>
      <w:tblStyleRowBandSize w:val="1"/>
      <w:tblStyleColBandSize w:val="1"/>
      <w:tblBorders>
        <w:top w:val="single" w:sz="24" w:space="0" w:color="C64E45" w:themeColor="accent2"/>
        <w:left w:val="single" w:sz="24" w:space="0" w:color="C64E45" w:themeColor="accent2"/>
        <w:bottom w:val="single" w:sz="24" w:space="0" w:color="C64E45" w:themeColor="accent2"/>
        <w:right w:val="single" w:sz="24" w:space="0" w:color="C64E45" w:themeColor="accent2"/>
      </w:tblBorders>
    </w:tblPr>
    <w:tcPr>
      <w:shd w:val="clear" w:color="auto" w:fill="C64E4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semiHidden/>
    <w:rsid w:val="00EE3EB6"/>
    <w:pPr>
      <w:spacing w:line="240" w:lineRule="auto"/>
    </w:pPr>
    <w:rPr>
      <w:color w:val="FFFFFF" w:themeColor="background1"/>
    </w:rPr>
    <w:tblPr>
      <w:tblStyleRowBandSize w:val="1"/>
      <w:tblStyleColBandSize w:val="1"/>
      <w:tblBorders>
        <w:top w:val="single" w:sz="24" w:space="0" w:color="F1873D" w:themeColor="accent3"/>
        <w:left w:val="single" w:sz="24" w:space="0" w:color="F1873D" w:themeColor="accent3"/>
        <w:bottom w:val="single" w:sz="24" w:space="0" w:color="F1873D" w:themeColor="accent3"/>
        <w:right w:val="single" w:sz="24" w:space="0" w:color="F1873D" w:themeColor="accent3"/>
      </w:tblBorders>
    </w:tblPr>
    <w:tcPr>
      <w:shd w:val="clear" w:color="auto" w:fill="F187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semiHidden/>
    <w:rsid w:val="00EE3EB6"/>
    <w:pPr>
      <w:spacing w:line="240" w:lineRule="auto"/>
    </w:pPr>
    <w:rPr>
      <w:color w:val="FFFFFF" w:themeColor="background1"/>
    </w:rPr>
    <w:tblPr>
      <w:tblStyleRowBandSize w:val="1"/>
      <w:tblStyleColBandSize w:val="1"/>
      <w:tblBorders>
        <w:top w:val="single" w:sz="24" w:space="0" w:color="FCC648" w:themeColor="accent4"/>
        <w:left w:val="single" w:sz="24" w:space="0" w:color="FCC648" w:themeColor="accent4"/>
        <w:bottom w:val="single" w:sz="24" w:space="0" w:color="FCC648" w:themeColor="accent4"/>
        <w:right w:val="single" w:sz="24" w:space="0" w:color="FCC648" w:themeColor="accent4"/>
      </w:tblBorders>
    </w:tblPr>
    <w:tcPr>
      <w:shd w:val="clear" w:color="auto" w:fill="FCC64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semiHidden/>
    <w:rsid w:val="00EE3EB6"/>
    <w:pPr>
      <w:spacing w:line="240" w:lineRule="auto"/>
    </w:pPr>
    <w:rPr>
      <w:color w:val="FFFFFF" w:themeColor="background1"/>
    </w:rPr>
    <w:tblPr>
      <w:tblStyleRowBandSize w:val="1"/>
      <w:tblStyleColBandSize w:val="1"/>
      <w:tblBorders>
        <w:top w:val="single" w:sz="24" w:space="0" w:color="86BE57" w:themeColor="accent5"/>
        <w:left w:val="single" w:sz="24" w:space="0" w:color="86BE57" w:themeColor="accent5"/>
        <w:bottom w:val="single" w:sz="24" w:space="0" w:color="86BE57" w:themeColor="accent5"/>
        <w:right w:val="single" w:sz="24" w:space="0" w:color="86BE57" w:themeColor="accent5"/>
      </w:tblBorders>
    </w:tblPr>
    <w:tcPr>
      <w:shd w:val="clear" w:color="auto" w:fill="86BE5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semiHidden/>
    <w:rsid w:val="00EE3EB6"/>
    <w:pPr>
      <w:spacing w:line="240" w:lineRule="auto"/>
    </w:pPr>
    <w:rPr>
      <w:color w:val="FFFFFF" w:themeColor="background1"/>
    </w:rPr>
    <w:tblPr>
      <w:tblStyleRowBandSize w:val="1"/>
      <w:tblStyleColBandSize w:val="1"/>
      <w:tblBorders>
        <w:top w:val="single" w:sz="24" w:space="0" w:color="788183" w:themeColor="accent6"/>
        <w:left w:val="single" w:sz="24" w:space="0" w:color="788183" w:themeColor="accent6"/>
        <w:bottom w:val="single" w:sz="24" w:space="0" w:color="788183" w:themeColor="accent6"/>
        <w:right w:val="single" w:sz="24" w:space="0" w:color="788183" w:themeColor="accent6"/>
      </w:tblBorders>
    </w:tblPr>
    <w:tcPr>
      <w:shd w:val="clear" w:color="auto" w:fill="78818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semiHidden/>
    <w:rsid w:val="00EE3EB6"/>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semiHidden/>
    <w:rsid w:val="00EE3EB6"/>
    <w:pPr>
      <w:spacing w:line="240" w:lineRule="auto"/>
    </w:pPr>
    <w:rPr>
      <w:color w:val="69365E" w:themeColor="accent1" w:themeShade="BF"/>
    </w:rPr>
    <w:tblPr>
      <w:tblStyleRowBandSize w:val="1"/>
      <w:tblStyleColBandSize w:val="1"/>
      <w:tblBorders>
        <w:top w:val="single" w:sz="4" w:space="0" w:color="8D487F" w:themeColor="accent1"/>
        <w:bottom w:val="single" w:sz="4" w:space="0" w:color="8D487F" w:themeColor="accent1"/>
      </w:tblBorders>
    </w:tblPr>
    <w:tblStylePr w:type="firstRow">
      <w:rPr>
        <w:b/>
        <w:bCs/>
      </w:rPr>
      <w:tblPr/>
      <w:tcPr>
        <w:tcBorders>
          <w:bottom w:val="single" w:sz="4" w:space="0" w:color="8D487F" w:themeColor="accent1"/>
        </w:tcBorders>
      </w:tcPr>
    </w:tblStylePr>
    <w:tblStylePr w:type="lastRow">
      <w:rPr>
        <w:b/>
        <w:bCs/>
      </w:rPr>
      <w:tblPr/>
      <w:tcPr>
        <w:tcBorders>
          <w:top w:val="double" w:sz="4" w:space="0" w:color="8D487F" w:themeColor="accent1"/>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6ColorfulAccent2">
    <w:name w:val="List Table 6 Colorful Accent 2"/>
    <w:basedOn w:val="TableNormal"/>
    <w:uiPriority w:val="51"/>
    <w:semiHidden/>
    <w:rsid w:val="00EE3EB6"/>
    <w:pPr>
      <w:spacing w:line="240" w:lineRule="auto"/>
    </w:pPr>
    <w:rPr>
      <w:color w:val="98362F" w:themeColor="accent2" w:themeShade="BF"/>
    </w:rPr>
    <w:tblPr>
      <w:tblStyleRowBandSize w:val="1"/>
      <w:tblStyleColBandSize w:val="1"/>
      <w:tblBorders>
        <w:top w:val="single" w:sz="4" w:space="0" w:color="C64E45" w:themeColor="accent2"/>
        <w:bottom w:val="single" w:sz="4" w:space="0" w:color="C64E45" w:themeColor="accent2"/>
      </w:tblBorders>
    </w:tblPr>
    <w:tblStylePr w:type="firstRow">
      <w:rPr>
        <w:b/>
        <w:bCs/>
      </w:rPr>
      <w:tblPr/>
      <w:tcPr>
        <w:tcBorders>
          <w:bottom w:val="single" w:sz="4" w:space="0" w:color="C64E45" w:themeColor="accent2"/>
        </w:tcBorders>
      </w:tcPr>
    </w:tblStylePr>
    <w:tblStylePr w:type="lastRow">
      <w:rPr>
        <w:b/>
        <w:bCs/>
      </w:rPr>
      <w:tblPr/>
      <w:tcPr>
        <w:tcBorders>
          <w:top w:val="double" w:sz="4" w:space="0" w:color="C64E45" w:themeColor="accent2"/>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6ColorfulAccent3">
    <w:name w:val="List Table 6 Colorful Accent 3"/>
    <w:basedOn w:val="TableNormal"/>
    <w:uiPriority w:val="51"/>
    <w:semiHidden/>
    <w:rsid w:val="00EE3EB6"/>
    <w:pPr>
      <w:spacing w:line="240" w:lineRule="auto"/>
    </w:pPr>
    <w:rPr>
      <w:color w:val="D25E0F" w:themeColor="accent3" w:themeShade="BF"/>
    </w:rPr>
    <w:tblPr>
      <w:tblStyleRowBandSize w:val="1"/>
      <w:tblStyleColBandSize w:val="1"/>
      <w:tblBorders>
        <w:top w:val="single" w:sz="4" w:space="0" w:color="F1873D" w:themeColor="accent3"/>
        <w:bottom w:val="single" w:sz="4" w:space="0" w:color="F1873D" w:themeColor="accent3"/>
      </w:tblBorders>
    </w:tblPr>
    <w:tblStylePr w:type="firstRow">
      <w:rPr>
        <w:b/>
        <w:bCs/>
      </w:rPr>
      <w:tblPr/>
      <w:tcPr>
        <w:tcBorders>
          <w:bottom w:val="single" w:sz="4" w:space="0" w:color="F1873D" w:themeColor="accent3"/>
        </w:tcBorders>
      </w:tcPr>
    </w:tblStylePr>
    <w:tblStylePr w:type="lastRow">
      <w:rPr>
        <w:b/>
        <w:bCs/>
      </w:rPr>
      <w:tblPr/>
      <w:tcPr>
        <w:tcBorders>
          <w:top w:val="double" w:sz="4" w:space="0" w:color="F1873D" w:themeColor="accent3"/>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6ColorfulAccent4">
    <w:name w:val="List Table 6 Colorful Accent 4"/>
    <w:basedOn w:val="TableNormal"/>
    <w:uiPriority w:val="51"/>
    <w:semiHidden/>
    <w:rsid w:val="00EE3EB6"/>
    <w:pPr>
      <w:spacing w:line="240" w:lineRule="auto"/>
    </w:pPr>
    <w:rPr>
      <w:color w:val="EEA704" w:themeColor="accent4" w:themeShade="BF"/>
    </w:rPr>
    <w:tblPr>
      <w:tblStyleRowBandSize w:val="1"/>
      <w:tblStyleColBandSize w:val="1"/>
      <w:tblBorders>
        <w:top w:val="single" w:sz="4" w:space="0" w:color="FCC648" w:themeColor="accent4"/>
        <w:bottom w:val="single" w:sz="4" w:space="0" w:color="FCC648" w:themeColor="accent4"/>
      </w:tblBorders>
    </w:tblPr>
    <w:tblStylePr w:type="firstRow">
      <w:rPr>
        <w:b/>
        <w:bCs/>
      </w:rPr>
      <w:tblPr/>
      <w:tcPr>
        <w:tcBorders>
          <w:bottom w:val="single" w:sz="4" w:space="0" w:color="FCC648" w:themeColor="accent4"/>
        </w:tcBorders>
      </w:tcPr>
    </w:tblStylePr>
    <w:tblStylePr w:type="lastRow">
      <w:rPr>
        <w:b/>
        <w:bCs/>
      </w:rPr>
      <w:tblPr/>
      <w:tcPr>
        <w:tcBorders>
          <w:top w:val="double" w:sz="4" w:space="0" w:color="FCC648" w:themeColor="accent4"/>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6ColorfulAccent5">
    <w:name w:val="List Table 6 Colorful Accent 5"/>
    <w:basedOn w:val="TableNormal"/>
    <w:uiPriority w:val="51"/>
    <w:semiHidden/>
    <w:rsid w:val="00EE3EB6"/>
    <w:pPr>
      <w:spacing w:line="240" w:lineRule="auto"/>
    </w:pPr>
    <w:rPr>
      <w:color w:val="63953A" w:themeColor="accent5" w:themeShade="BF"/>
    </w:rPr>
    <w:tblPr>
      <w:tblStyleRowBandSize w:val="1"/>
      <w:tblStyleColBandSize w:val="1"/>
      <w:tblBorders>
        <w:top w:val="single" w:sz="4" w:space="0" w:color="86BE57" w:themeColor="accent5"/>
        <w:bottom w:val="single" w:sz="4" w:space="0" w:color="86BE57" w:themeColor="accent5"/>
      </w:tblBorders>
    </w:tblPr>
    <w:tblStylePr w:type="firstRow">
      <w:rPr>
        <w:b/>
        <w:bCs/>
      </w:rPr>
      <w:tblPr/>
      <w:tcPr>
        <w:tcBorders>
          <w:bottom w:val="single" w:sz="4" w:space="0" w:color="86BE57" w:themeColor="accent5"/>
        </w:tcBorders>
      </w:tcPr>
    </w:tblStylePr>
    <w:tblStylePr w:type="lastRow">
      <w:rPr>
        <w:b/>
        <w:bCs/>
      </w:rPr>
      <w:tblPr/>
      <w:tcPr>
        <w:tcBorders>
          <w:top w:val="double" w:sz="4" w:space="0" w:color="86BE57" w:themeColor="accent5"/>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6ColorfulAccent6">
    <w:name w:val="List Table 6 Colorful Accent 6"/>
    <w:basedOn w:val="TableNormal"/>
    <w:uiPriority w:val="51"/>
    <w:semiHidden/>
    <w:rsid w:val="00EE3EB6"/>
    <w:pPr>
      <w:spacing w:line="240" w:lineRule="auto"/>
    </w:pPr>
    <w:rPr>
      <w:color w:val="5A6062" w:themeColor="accent6" w:themeShade="BF"/>
    </w:rPr>
    <w:tblPr>
      <w:tblStyleRowBandSize w:val="1"/>
      <w:tblStyleColBandSize w:val="1"/>
      <w:tblBorders>
        <w:top w:val="single" w:sz="4" w:space="0" w:color="788183" w:themeColor="accent6"/>
        <w:bottom w:val="single" w:sz="4" w:space="0" w:color="788183" w:themeColor="accent6"/>
      </w:tblBorders>
    </w:tblPr>
    <w:tblStylePr w:type="firstRow">
      <w:rPr>
        <w:b/>
        <w:bCs/>
      </w:rPr>
      <w:tblPr/>
      <w:tcPr>
        <w:tcBorders>
          <w:bottom w:val="single" w:sz="4" w:space="0" w:color="788183" w:themeColor="accent6"/>
        </w:tcBorders>
      </w:tcPr>
    </w:tblStylePr>
    <w:tblStylePr w:type="lastRow">
      <w:rPr>
        <w:b/>
        <w:bCs/>
      </w:rPr>
      <w:tblPr/>
      <w:tcPr>
        <w:tcBorders>
          <w:top w:val="double" w:sz="4" w:space="0" w:color="788183" w:themeColor="accent6"/>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7Colorful">
    <w:name w:val="List Table 7 Colorful"/>
    <w:basedOn w:val="TableNormal"/>
    <w:uiPriority w:val="52"/>
    <w:semiHidden/>
    <w:rsid w:val="00EE3EB6"/>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semiHidden/>
    <w:rsid w:val="00EE3EB6"/>
    <w:pPr>
      <w:spacing w:line="240" w:lineRule="auto"/>
    </w:pPr>
    <w:rPr>
      <w:color w:val="69365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487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487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487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487F" w:themeColor="accent1"/>
        </w:tcBorders>
        <w:shd w:val="clear" w:color="auto" w:fill="FFFFFF" w:themeFill="background1"/>
      </w:tcPr>
    </w:tblStylePr>
    <w:tblStylePr w:type="band1Vert">
      <w:tblPr/>
      <w:tcPr>
        <w:shd w:val="clear" w:color="auto" w:fill="EAD7E6" w:themeFill="accent1" w:themeFillTint="33"/>
      </w:tcPr>
    </w:tblStylePr>
    <w:tblStylePr w:type="band1Horz">
      <w:tblPr/>
      <w:tcPr>
        <w:shd w:val="clear" w:color="auto" w:fill="EAD7E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semiHidden/>
    <w:rsid w:val="00EE3EB6"/>
    <w:pPr>
      <w:spacing w:line="240" w:lineRule="auto"/>
    </w:pPr>
    <w:rPr>
      <w:color w:val="98362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64E4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64E4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64E4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64E45" w:themeColor="accent2"/>
        </w:tcBorders>
        <w:shd w:val="clear" w:color="auto" w:fill="FFFFFF" w:themeFill="background1"/>
      </w:tcPr>
    </w:tblStylePr>
    <w:tblStylePr w:type="band1Vert">
      <w:tblPr/>
      <w:tcPr>
        <w:shd w:val="clear" w:color="auto" w:fill="F3DBD9" w:themeFill="accent2" w:themeFillTint="33"/>
      </w:tcPr>
    </w:tblStylePr>
    <w:tblStylePr w:type="band1Horz">
      <w:tblPr/>
      <w:tcPr>
        <w:shd w:val="clear" w:color="auto" w:fill="F3DB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semiHidden/>
    <w:rsid w:val="00EE3EB6"/>
    <w:pPr>
      <w:spacing w:line="240" w:lineRule="auto"/>
    </w:pPr>
    <w:rPr>
      <w:color w:val="D25E0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87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87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87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873D" w:themeColor="accent3"/>
        </w:tcBorders>
        <w:shd w:val="clear" w:color="auto" w:fill="FFFFFF" w:themeFill="background1"/>
      </w:tcPr>
    </w:tblStylePr>
    <w:tblStylePr w:type="band1Vert">
      <w:tblPr/>
      <w:tcPr>
        <w:shd w:val="clear" w:color="auto" w:fill="FCE6D8" w:themeFill="accent3" w:themeFillTint="33"/>
      </w:tcPr>
    </w:tblStylePr>
    <w:tblStylePr w:type="band1Horz">
      <w:tblPr/>
      <w:tcPr>
        <w:shd w:val="clear" w:color="auto" w:fill="FCE6D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semiHidden/>
    <w:rsid w:val="00EE3EB6"/>
    <w:pPr>
      <w:spacing w:line="240" w:lineRule="auto"/>
    </w:pPr>
    <w:rPr>
      <w:color w:val="EEA70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C64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C64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C64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C648" w:themeColor="accent4"/>
        </w:tcBorders>
        <w:shd w:val="clear" w:color="auto" w:fill="FFFFFF" w:themeFill="background1"/>
      </w:tcPr>
    </w:tblStylePr>
    <w:tblStylePr w:type="band1Vert">
      <w:tblPr/>
      <w:tcPr>
        <w:shd w:val="clear" w:color="auto" w:fill="FEF3DA" w:themeFill="accent4" w:themeFillTint="33"/>
      </w:tcPr>
    </w:tblStylePr>
    <w:tblStylePr w:type="band1Horz">
      <w:tblPr/>
      <w:tcPr>
        <w:shd w:val="clear" w:color="auto" w:fill="FEF3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semiHidden/>
    <w:rsid w:val="00EE3EB6"/>
    <w:pPr>
      <w:spacing w:line="240" w:lineRule="auto"/>
    </w:pPr>
    <w:rPr>
      <w:color w:val="63953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BE5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BE5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BE5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BE57" w:themeColor="accent5"/>
        </w:tcBorders>
        <w:shd w:val="clear" w:color="auto" w:fill="FFFFFF" w:themeFill="background1"/>
      </w:tcPr>
    </w:tblStylePr>
    <w:tblStylePr w:type="band1Vert">
      <w:tblPr/>
      <w:tcPr>
        <w:shd w:val="clear" w:color="auto" w:fill="E6F2DD" w:themeFill="accent5" w:themeFillTint="33"/>
      </w:tcPr>
    </w:tblStylePr>
    <w:tblStylePr w:type="band1Horz">
      <w:tblPr/>
      <w:tcPr>
        <w:shd w:val="clear" w:color="auto" w:fill="E6F2D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semiHidden/>
    <w:rsid w:val="00EE3EB6"/>
    <w:pPr>
      <w:spacing w:line="240" w:lineRule="auto"/>
    </w:pPr>
    <w:rPr>
      <w:color w:val="5A606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8818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8818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8818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88183" w:themeColor="accent6"/>
        </w:tcBorders>
        <w:shd w:val="clear" w:color="auto" w:fill="FFFFFF" w:themeFill="background1"/>
      </w:tcPr>
    </w:tblStylePr>
    <w:tblStylePr w:type="band1Vert">
      <w:tblPr/>
      <w:tcPr>
        <w:shd w:val="clear" w:color="auto" w:fill="E3E5E6" w:themeFill="accent6" w:themeFillTint="33"/>
      </w:tcPr>
    </w:tblStylePr>
    <w:tblStylePr w:type="band1Horz">
      <w:tblPr/>
      <w:tcPr>
        <w:shd w:val="clear" w:color="auto" w:fill="E3E5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EE3EB6"/>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EE3EB6"/>
    <w:pPr>
      <w:spacing w:line="240" w:lineRule="auto"/>
    </w:pPr>
    <w:tblPr>
      <w:tblStyleRowBandSize w:val="1"/>
      <w:tblStyleColBandSize w:val="1"/>
      <w:tblBorders>
        <w:top w:val="single" w:sz="8"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single" w:sz="8" w:space="0" w:color="B36BA5" w:themeColor="accent1" w:themeTint="BF"/>
        <w:insideV w:val="single" w:sz="8" w:space="0" w:color="B36BA5" w:themeColor="accent1" w:themeTint="BF"/>
      </w:tblBorders>
    </w:tblPr>
    <w:tcPr>
      <w:shd w:val="clear" w:color="auto" w:fill="E6CEE1" w:themeFill="accent1" w:themeFillTint="3F"/>
    </w:tcPr>
    <w:tblStylePr w:type="firstRow">
      <w:rPr>
        <w:b/>
        <w:bCs/>
      </w:rPr>
    </w:tblStylePr>
    <w:tblStylePr w:type="lastRow">
      <w:rPr>
        <w:b/>
        <w:bCs/>
      </w:rPr>
      <w:tblPr/>
      <w:tcPr>
        <w:tcBorders>
          <w:top w:val="single" w:sz="18" w:space="0" w:color="B36BA5" w:themeColor="accent1" w:themeTint="BF"/>
        </w:tcBorders>
      </w:tcPr>
    </w:tblStylePr>
    <w:tblStylePr w:type="firstCol">
      <w:rPr>
        <w:b/>
        <w:bCs/>
      </w:rPr>
    </w:tblStylePr>
    <w:tblStylePr w:type="lastCol">
      <w:rPr>
        <w:b/>
        <w:bCs/>
      </w:rPr>
    </w:tblStylePr>
    <w:tblStylePr w:type="band1Vert">
      <w:tblPr/>
      <w:tcPr>
        <w:shd w:val="clear" w:color="auto" w:fill="CD9DC3" w:themeFill="accent1" w:themeFillTint="7F"/>
      </w:tcPr>
    </w:tblStylePr>
    <w:tblStylePr w:type="band1Horz">
      <w:tblPr/>
      <w:tcPr>
        <w:shd w:val="clear" w:color="auto" w:fill="CD9DC3" w:themeFill="accent1" w:themeFillTint="7F"/>
      </w:tcPr>
    </w:tblStylePr>
  </w:style>
  <w:style w:type="table" w:styleId="MediumGrid1-Accent2">
    <w:name w:val="Medium Grid 1 Accent 2"/>
    <w:basedOn w:val="TableNormal"/>
    <w:uiPriority w:val="67"/>
    <w:semiHidden/>
    <w:rsid w:val="00EE3EB6"/>
    <w:pPr>
      <w:spacing w:line="240" w:lineRule="auto"/>
    </w:pPr>
    <w:tblPr>
      <w:tblStyleRowBandSize w:val="1"/>
      <w:tblStyleColBandSize w:val="1"/>
      <w:tblBorders>
        <w:top w:val="single" w:sz="8"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single" w:sz="8" w:space="0" w:color="D47973" w:themeColor="accent2" w:themeTint="BF"/>
        <w:insideV w:val="single" w:sz="8" w:space="0" w:color="D47973" w:themeColor="accent2" w:themeTint="BF"/>
      </w:tblBorders>
    </w:tblPr>
    <w:tcPr>
      <w:shd w:val="clear" w:color="auto" w:fill="F1D2D0" w:themeFill="accent2" w:themeFillTint="3F"/>
    </w:tcPr>
    <w:tblStylePr w:type="firstRow">
      <w:rPr>
        <w:b/>
        <w:bCs/>
      </w:rPr>
    </w:tblStylePr>
    <w:tblStylePr w:type="lastRow">
      <w:rPr>
        <w:b/>
        <w:bCs/>
      </w:rPr>
      <w:tblPr/>
      <w:tcPr>
        <w:tcBorders>
          <w:top w:val="single" w:sz="18" w:space="0" w:color="D47973" w:themeColor="accent2" w:themeTint="BF"/>
        </w:tcBorders>
      </w:tcPr>
    </w:tblStylePr>
    <w:tblStylePr w:type="firstCol">
      <w:rPr>
        <w:b/>
        <w:bCs/>
      </w:rPr>
    </w:tblStylePr>
    <w:tblStylePr w:type="lastCol">
      <w:rPr>
        <w:b/>
        <w:bCs/>
      </w:rPr>
    </w:tblStylePr>
    <w:tblStylePr w:type="band1Vert">
      <w:tblPr/>
      <w:tcPr>
        <w:shd w:val="clear" w:color="auto" w:fill="E2A6A2" w:themeFill="accent2" w:themeFillTint="7F"/>
      </w:tcPr>
    </w:tblStylePr>
    <w:tblStylePr w:type="band1Horz">
      <w:tblPr/>
      <w:tcPr>
        <w:shd w:val="clear" w:color="auto" w:fill="E2A6A2" w:themeFill="accent2" w:themeFillTint="7F"/>
      </w:tcPr>
    </w:tblStylePr>
  </w:style>
  <w:style w:type="table" w:styleId="MediumGrid1-Accent3">
    <w:name w:val="Medium Grid 1 Accent 3"/>
    <w:basedOn w:val="TableNormal"/>
    <w:uiPriority w:val="67"/>
    <w:semiHidden/>
    <w:rsid w:val="00EE3EB6"/>
    <w:pPr>
      <w:spacing w:line="240" w:lineRule="auto"/>
    </w:pPr>
    <w:tblPr>
      <w:tblStyleRowBandSize w:val="1"/>
      <w:tblStyleColBandSize w:val="1"/>
      <w:tblBorders>
        <w:top w:val="single" w:sz="8"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single" w:sz="8" w:space="0" w:color="F4A46D" w:themeColor="accent3" w:themeTint="BF"/>
        <w:insideV w:val="single" w:sz="8" w:space="0" w:color="F4A46D" w:themeColor="accent3" w:themeTint="BF"/>
      </w:tblBorders>
    </w:tblPr>
    <w:tcPr>
      <w:shd w:val="clear" w:color="auto" w:fill="FBE1CE" w:themeFill="accent3" w:themeFillTint="3F"/>
    </w:tcPr>
    <w:tblStylePr w:type="firstRow">
      <w:rPr>
        <w:b/>
        <w:bCs/>
      </w:rPr>
    </w:tblStylePr>
    <w:tblStylePr w:type="lastRow">
      <w:rPr>
        <w:b/>
        <w:bCs/>
      </w:rPr>
      <w:tblPr/>
      <w:tcPr>
        <w:tcBorders>
          <w:top w:val="single" w:sz="18" w:space="0" w:color="F4A46D" w:themeColor="accent3" w:themeTint="BF"/>
        </w:tcBorders>
      </w:tcPr>
    </w:tblStylePr>
    <w:tblStylePr w:type="firstCol">
      <w:rPr>
        <w:b/>
        <w:bCs/>
      </w:rPr>
    </w:tblStylePr>
    <w:tblStylePr w:type="lastCol">
      <w:rPr>
        <w:b/>
        <w:bCs/>
      </w:rPr>
    </w:tblStylePr>
    <w:tblStylePr w:type="band1Vert">
      <w:tblPr/>
      <w:tcPr>
        <w:shd w:val="clear" w:color="auto" w:fill="F8C29E" w:themeFill="accent3" w:themeFillTint="7F"/>
      </w:tcPr>
    </w:tblStylePr>
    <w:tblStylePr w:type="band1Horz">
      <w:tblPr/>
      <w:tcPr>
        <w:shd w:val="clear" w:color="auto" w:fill="F8C29E" w:themeFill="accent3" w:themeFillTint="7F"/>
      </w:tcPr>
    </w:tblStylePr>
  </w:style>
  <w:style w:type="table" w:styleId="MediumGrid1-Accent4">
    <w:name w:val="Medium Grid 1 Accent 4"/>
    <w:basedOn w:val="TableNormal"/>
    <w:uiPriority w:val="67"/>
    <w:semiHidden/>
    <w:rsid w:val="00EE3EB6"/>
    <w:pPr>
      <w:spacing w:line="240" w:lineRule="auto"/>
    </w:pPr>
    <w:tblPr>
      <w:tblStyleRowBandSize w:val="1"/>
      <w:tblStyleColBandSize w:val="1"/>
      <w:tblBorders>
        <w:top w:val="single" w:sz="8"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single" w:sz="8" w:space="0" w:color="FCD475" w:themeColor="accent4" w:themeTint="BF"/>
        <w:insideV w:val="single" w:sz="8" w:space="0" w:color="FCD475" w:themeColor="accent4" w:themeTint="BF"/>
      </w:tblBorders>
    </w:tblPr>
    <w:tcPr>
      <w:shd w:val="clear" w:color="auto" w:fill="FEF0D1" w:themeFill="accent4" w:themeFillTint="3F"/>
    </w:tcPr>
    <w:tblStylePr w:type="firstRow">
      <w:rPr>
        <w:b/>
        <w:bCs/>
      </w:rPr>
    </w:tblStylePr>
    <w:tblStylePr w:type="lastRow">
      <w:rPr>
        <w:b/>
        <w:bCs/>
      </w:rPr>
      <w:tblPr/>
      <w:tcPr>
        <w:tcBorders>
          <w:top w:val="single" w:sz="18" w:space="0" w:color="FCD475" w:themeColor="accent4" w:themeTint="BF"/>
        </w:tcBorders>
      </w:tcPr>
    </w:tblStylePr>
    <w:tblStylePr w:type="firstCol">
      <w:rPr>
        <w:b/>
        <w:bCs/>
      </w:rPr>
    </w:tblStylePr>
    <w:tblStylePr w:type="lastCol">
      <w:rPr>
        <w:b/>
        <w:bCs/>
      </w:rPr>
    </w:tblStylePr>
    <w:tblStylePr w:type="band1Vert">
      <w:tblPr/>
      <w:tcPr>
        <w:shd w:val="clear" w:color="auto" w:fill="FDE2A3" w:themeFill="accent4" w:themeFillTint="7F"/>
      </w:tcPr>
    </w:tblStylePr>
    <w:tblStylePr w:type="band1Horz">
      <w:tblPr/>
      <w:tcPr>
        <w:shd w:val="clear" w:color="auto" w:fill="FDE2A3" w:themeFill="accent4" w:themeFillTint="7F"/>
      </w:tcPr>
    </w:tblStylePr>
  </w:style>
  <w:style w:type="table" w:styleId="MediumGrid1-Accent5">
    <w:name w:val="Medium Grid 1 Accent 5"/>
    <w:basedOn w:val="TableNormal"/>
    <w:uiPriority w:val="67"/>
    <w:semiHidden/>
    <w:rsid w:val="00EE3EB6"/>
    <w:pPr>
      <w:spacing w:line="240" w:lineRule="auto"/>
    </w:pPr>
    <w:tblPr>
      <w:tblStyleRowBandSize w:val="1"/>
      <w:tblStyleColBandSize w:val="1"/>
      <w:tblBorders>
        <w:top w:val="single" w:sz="8"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single" w:sz="8" w:space="0" w:color="A4CE81" w:themeColor="accent5" w:themeTint="BF"/>
        <w:insideV w:val="single" w:sz="8" w:space="0" w:color="A4CE81" w:themeColor="accent5" w:themeTint="BF"/>
      </w:tblBorders>
    </w:tblPr>
    <w:tcPr>
      <w:shd w:val="clear" w:color="auto" w:fill="E1EFD5" w:themeFill="accent5" w:themeFillTint="3F"/>
    </w:tcPr>
    <w:tblStylePr w:type="firstRow">
      <w:rPr>
        <w:b/>
        <w:bCs/>
      </w:rPr>
    </w:tblStylePr>
    <w:tblStylePr w:type="lastRow">
      <w:rPr>
        <w:b/>
        <w:bCs/>
      </w:rPr>
      <w:tblPr/>
      <w:tcPr>
        <w:tcBorders>
          <w:top w:val="single" w:sz="18" w:space="0" w:color="A4CE81" w:themeColor="accent5" w:themeTint="BF"/>
        </w:tcBorders>
      </w:tcPr>
    </w:tblStylePr>
    <w:tblStylePr w:type="firstCol">
      <w:rPr>
        <w:b/>
        <w:bCs/>
      </w:rPr>
    </w:tblStylePr>
    <w:tblStylePr w:type="lastCol">
      <w:rPr>
        <w:b/>
        <w:bCs/>
      </w:rPr>
    </w:tblStylePr>
    <w:tblStylePr w:type="band1Vert">
      <w:tblPr/>
      <w:tcPr>
        <w:shd w:val="clear" w:color="auto" w:fill="C2DEAB" w:themeFill="accent5" w:themeFillTint="7F"/>
      </w:tcPr>
    </w:tblStylePr>
    <w:tblStylePr w:type="band1Horz">
      <w:tblPr/>
      <w:tcPr>
        <w:shd w:val="clear" w:color="auto" w:fill="C2DEAB" w:themeFill="accent5" w:themeFillTint="7F"/>
      </w:tcPr>
    </w:tblStylePr>
  </w:style>
  <w:style w:type="table" w:styleId="MediumGrid1-Accent6">
    <w:name w:val="Medium Grid 1 Accent 6"/>
    <w:basedOn w:val="TableNormal"/>
    <w:uiPriority w:val="67"/>
    <w:semiHidden/>
    <w:rsid w:val="00EE3EB6"/>
    <w:pPr>
      <w:spacing w:line="240" w:lineRule="auto"/>
    </w:pPr>
    <w:tblPr>
      <w:tblStyleRowBandSize w:val="1"/>
      <w:tblStyleColBandSize w:val="1"/>
      <w:tblBorders>
        <w:top w:val="single" w:sz="8"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single" w:sz="8" w:space="0" w:color="99A0A2" w:themeColor="accent6" w:themeTint="BF"/>
        <w:insideV w:val="single" w:sz="8" w:space="0" w:color="99A0A2" w:themeColor="accent6" w:themeTint="BF"/>
      </w:tblBorders>
    </w:tblPr>
    <w:tcPr>
      <w:shd w:val="clear" w:color="auto" w:fill="DDDFE0" w:themeFill="accent6" w:themeFillTint="3F"/>
    </w:tcPr>
    <w:tblStylePr w:type="firstRow">
      <w:rPr>
        <w:b/>
        <w:bCs/>
      </w:rPr>
    </w:tblStylePr>
    <w:tblStylePr w:type="lastRow">
      <w:rPr>
        <w:b/>
        <w:bCs/>
      </w:rPr>
      <w:tblPr/>
      <w:tcPr>
        <w:tcBorders>
          <w:top w:val="single" w:sz="18" w:space="0" w:color="99A0A2" w:themeColor="accent6" w:themeTint="BF"/>
        </w:tcBorders>
      </w:tcPr>
    </w:tblStylePr>
    <w:tblStylePr w:type="firstCol">
      <w:rPr>
        <w:b/>
        <w:bCs/>
      </w:rPr>
    </w:tblStylePr>
    <w:tblStylePr w:type="lastCol">
      <w:rPr>
        <w:b/>
        <w:bCs/>
      </w:rPr>
    </w:tblStylePr>
    <w:tblStylePr w:type="band1Vert">
      <w:tblPr/>
      <w:tcPr>
        <w:shd w:val="clear" w:color="auto" w:fill="BBC0C1" w:themeFill="accent6" w:themeFillTint="7F"/>
      </w:tcPr>
    </w:tblStylePr>
    <w:tblStylePr w:type="band1Horz">
      <w:tblPr/>
      <w:tcPr>
        <w:shd w:val="clear" w:color="auto" w:fill="BBC0C1" w:themeFill="accent6" w:themeFillTint="7F"/>
      </w:tcPr>
    </w:tblStylePr>
  </w:style>
  <w:style w:type="table" w:styleId="MediumGrid2">
    <w:name w:val="Medium Grid 2"/>
    <w:basedOn w:val="TableNormal"/>
    <w:uiPriority w:val="68"/>
    <w:semiHidden/>
    <w:rsid w:val="00EE3EB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E3EB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insideH w:val="single" w:sz="8" w:space="0" w:color="8D487F" w:themeColor="accent1"/>
        <w:insideV w:val="single" w:sz="8" w:space="0" w:color="8D487F" w:themeColor="accent1"/>
      </w:tblBorders>
    </w:tblPr>
    <w:tcPr>
      <w:shd w:val="clear" w:color="auto" w:fill="E6CEE1" w:themeFill="accent1" w:themeFillTint="3F"/>
    </w:tcPr>
    <w:tblStylePr w:type="firstRow">
      <w:rPr>
        <w:b/>
        <w:bCs/>
        <w:color w:val="000000" w:themeColor="text1"/>
      </w:rPr>
      <w:tblPr/>
      <w:tcPr>
        <w:shd w:val="clear" w:color="auto" w:fill="F5EB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7E6" w:themeFill="accent1" w:themeFillTint="33"/>
      </w:tcPr>
    </w:tblStylePr>
    <w:tblStylePr w:type="band1Vert">
      <w:tblPr/>
      <w:tcPr>
        <w:shd w:val="clear" w:color="auto" w:fill="CD9DC3" w:themeFill="accent1" w:themeFillTint="7F"/>
      </w:tcPr>
    </w:tblStylePr>
    <w:tblStylePr w:type="band1Horz">
      <w:tblPr/>
      <w:tcPr>
        <w:tcBorders>
          <w:insideH w:val="single" w:sz="6" w:space="0" w:color="8D487F" w:themeColor="accent1"/>
          <w:insideV w:val="single" w:sz="6" w:space="0" w:color="8D487F" w:themeColor="accent1"/>
        </w:tcBorders>
        <w:shd w:val="clear" w:color="auto" w:fill="CD9DC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E3EB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insideH w:val="single" w:sz="8" w:space="0" w:color="C64E45" w:themeColor="accent2"/>
        <w:insideV w:val="single" w:sz="8" w:space="0" w:color="C64E45" w:themeColor="accent2"/>
      </w:tblBorders>
    </w:tblPr>
    <w:tcPr>
      <w:shd w:val="clear" w:color="auto" w:fill="F1D2D0" w:themeFill="accent2" w:themeFillTint="3F"/>
    </w:tcPr>
    <w:tblStylePr w:type="firstRow">
      <w:rPr>
        <w:b/>
        <w:bCs/>
        <w:color w:val="000000" w:themeColor="text1"/>
      </w:rPr>
      <w:tblPr/>
      <w:tcPr>
        <w:shd w:val="clear" w:color="auto" w:fill="F9ED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BD9" w:themeFill="accent2" w:themeFillTint="33"/>
      </w:tcPr>
    </w:tblStylePr>
    <w:tblStylePr w:type="band1Vert">
      <w:tblPr/>
      <w:tcPr>
        <w:shd w:val="clear" w:color="auto" w:fill="E2A6A2" w:themeFill="accent2" w:themeFillTint="7F"/>
      </w:tcPr>
    </w:tblStylePr>
    <w:tblStylePr w:type="band1Horz">
      <w:tblPr/>
      <w:tcPr>
        <w:tcBorders>
          <w:insideH w:val="single" w:sz="6" w:space="0" w:color="C64E45" w:themeColor="accent2"/>
          <w:insideV w:val="single" w:sz="6" w:space="0" w:color="C64E45" w:themeColor="accent2"/>
        </w:tcBorders>
        <w:shd w:val="clear" w:color="auto" w:fill="E2A6A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E3EB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cPr>
      <w:shd w:val="clear" w:color="auto" w:fill="FBE1CE" w:themeFill="accent3" w:themeFillTint="3F"/>
    </w:tcPr>
    <w:tblStylePr w:type="firstRow">
      <w:rPr>
        <w:b/>
        <w:bCs/>
        <w:color w:val="000000" w:themeColor="text1"/>
      </w:rPr>
      <w:tblPr/>
      <w:tcPr>
        <w:shd w:val="clear" w:color="auto" w:fill="FDF3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6D8" w:themeFill="accent3" w:themeFillTint="33"/>
      </w:tcPr>
    </w:tblStylePr>
    <w:tblStylePr w:type="band1Vert">
      <w:tblPr/>
      <w:tcPr>
        <w:shd w:val="clear" w:color="auto" w:fill="F8C29E" w:themeFill="accent3" w:themeFillTint="7F"/>
      </w:tcPr>
    </w:tblStylePr>
    <w:tblStylePr w:type="band1Horz">
      <w:tblPr/>
      <w:tcPr>
        <w:tcBorders>
          <w:insideH w:val="single" w:sz="6" w:space="0" w:color="F1873D" w:themeColor="accent3"/>
          <w:insideV w:val="single" w:sz="6" w:space="0" w:color="F1873D" w:themeColor="accent3"/>
        </w:tcBorders>
        <w:shd w:val="clear" w:color="auto" w:fill="F8C29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E3EB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insideH w:val="single" w:sz="8" w:space="0" w:color="FCC648" w:themeColor="accent4"/>
        <w:insideV w:val="single" w:sz="8" w:space="0" w:color="FCC648" w:themeColor="accent4"/>
      </w:tblBorders>
    </w:tblPr>
    <w:tcPr>
      <w:shd w:val="clear" w:color="auto" w:fill="FEF0D1" w:themeFill="accent4" w:themeFillTint="3F"/>
    </w:tcPr>
    <w:tblStylePr w:type="firstRow">
      <w:rPr>
        <w:b/>
        <w:bCs/>
        <w:color w:val="000000" w:themeColor="text1"/>
      </w:rPr>
      <w:tblPr/>
      <w:tcPr>
        <w:shd w:val="clear" w:color="auto" w:fill="FEF9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3DA" w:themeFill="accent4" w:themeFillTint="33"/>
      </w:tcPr>
    </w:tblStylePr>
    <w:tblStylePr w:type="band1Vert">
      <w:tblPr/>
      <w:tcPr>
        <w:shd w:val="clear" w:color="auto" w:fill="FDE2A3" w:themeFill="accent4" w:themeFillTint="7F"/>
      </w:tcPr>
    </w:tblStylePr>
    <w:tblStylePr w:type="band1Horz">
      <w:tblPr/>
      <w:tcPr>
        <w:tcBorders>
          <w:insideH w:val="single" w:sz="6" w:space="0" w:color="FCC648" w:themeColor="accent4"/>
          <w:insideV w:val="single" w:sz="6" w:space="0" w:color="FCC648" w:themeColor="accent4"/>
        </w:tcBorders>
        <w:shd w:val="clear" w:color="auto" w:fill="FDE2A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E3EB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insideH w:val="single" w:sz="8" w:space="0" w:color="86BE57" w:themeColor="accent5"/>
        <w:insideV w:val="single" w:sz="8" w:space="0" w:color="86BE57" w:themeColor="accent5"/>
      </w:tblBorders>
    </w:tblPr>
    <w:tcPr>
      <w:shd w:val="clear" w:color="auto" w:fill="E1EFD5" w:themeFill="accent5" w:themeFillTint="3F"/>
    </w:tcPr>
    <w:tblStylePr w:type="firstRow">
      <w:rPr>
        <w:b/>
        <w:bCs/>
        <w:color w:val="000000" w:themeColor="text1"/>
      </w:rPr>
      <w:tblPr/>
      <w:tcPr>
        <w:shd w:val="clear" w:color="auto" w:fill="F3F8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2DD" w:themeFill="accent5" w:themeFillTint="33"/>
      </w:tcPr>
    </w:tblStylePr>
    <w:tblStylePr w:type="band1Vert">
      <w:tblPr/>
      <w:tcPr>
        <w:shd w:val="clear" w:color="auto" w:fill="C2DEAB" w:themeFill="accent5" w:themeFillTint="7F"/>
      </w:tcPr>
    </w:tblStylePr>
    <w:tblStylePr w:type="band1Horz">
      <w:tblPr/>
      <w:tcPr>
        <w:tcBorders>
          <w:insideH w:val="single" w:sz="6" w:space="0" w:color="86BE57" w:themeColor="accent5"/>
          <w:insideV w:val="single" w:sz="6" w:space="0" w:color="86BE57" w:themeColor="accent5"/>
        </w:tcBorders>
        <w:shd w:val="clear" w:color="auto" w:fill="C2DEA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EE3EB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cPr>
      <w:shd w:val="clear" w:color="auto" w:fill="DDDFE0" w:themeFill="accent6" w:themeFillTint="3F"/>
    </w:tcPr>
    <w:tblStylePr w:type="firstRow">
      <w:rPr>
        <w:b/>
        <w:bCs/>
        <w:color w:val="000000" w:themeColor="text1"/>
      </w:rPr>
      <w:tblPr/>
      <w:tcPr>
        <w:shd w:val="clear" w:color="auto" w:fill="F1F2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5E6" w:themeFill="accent6" w:themeFillTint="33"/>
      </w:tcPr>
    </w:tblStylePr>
    <w:tblStylePr w:type="band1Vert">
      <w:tblPr/>
      <w:tcPr>
        <w:shd w:val="clear" w:color="auto" w:fill="BBC0C1" w:themeFill="accent6" w:themeFillTint="7F"/>
      </w:tcPr>
    </w:tblStylePr>
    <w:tblStylePr w:type="band1Horz">
      <w:tblPr/>
      <w:tcPr>
        <w:tcBorders>
          <w:insideH w:val="single" w:sz="6" w:space="0" w:color="788183" w:themeColor="accent6"/>
          <w:insideV w:val="single" w:sz="6" w:space="0" w:color="788183" w:themeColor="accent6"/>
        </w:tcBorders>
        <w:shd w:val="clear" w:color="auto" w:fill="BBC0C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EE3EB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EE3EB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CEE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487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487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487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487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9DC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9DC3" w:themeFill="accent1" w:themeFillTint="7F"/>
      </w:tcPr>
    </w:tblStylePr>
  </w:style>
  <w:style w:type="table" w:styleId="MediumGrid3-Accent2">
    <w:name w:val="Medium Grid 3 Accent 2"/>
    <w:basedOn w:val="TableNormal"/>
    <w:uiPriority w:val="69"/>
    <w:semiHidden/>
    <w:rsid w:val="00EE3EB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D2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64E4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64E4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64E4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64E4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A6A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A6A2" w:themeFill="accent2" w:themeFillTint="7F"/>
      </w:tcPr>
    </w:tblStylePr>
  </w:style>
  <w:style w:type="table" w:styleId="MediumGrid3-Accent3">
    <w:name w:val="Medium Grid 3 Accent 3"/>
    <w:basedOn w:val="TableNormal"/>
    <w:uiPriority w:val="69"/>
    <w:semiHidden/>
    <w:rsid w:val="00EE3EB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87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87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87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87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29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29E" w:themeFill="accent3" w:themeFillTint="7F"/>
      </w:tcPr>
    </w:tblStylePr>
  </w:style>
  <w:style w:type="table" w:styleId="MediumGrid3-Accent4">
    <w:name w:val="Medium Grid 3 Accent 4"/>
    <w:basedOn w:val="TableNormal"/>
    <w:uiPriority w:val="69"/>
    <w:semiHidden/>
    <w:rsid w:val="00EE3EB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0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C64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C64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C64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C64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2A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2A3" w:themeFill="accent4" w:themeFillTint="7F"/>
      </w:tcPr>
    </w:tblStylePr>
  </w:style>
  <w:style w:type="table" w:styleId="MediumGrid3-Accent5">
    <w:name w:val="Medium Grid 3 Accent 5"/>
    <w:basedOn w:val="TableNormal"/>
    <w:uiPriority w:val="69"/>
    <w:semiHidden/>
    <w:rsid w:val="00EE3EB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FD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BE5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BE5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BE5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BE5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EA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EAB" w:themeFill="accent5" w:themeFillTint="7F"/>
      </w:tcPr>
    </w:tblStylePr>
  </w:style>
  <w:style w:type="table" w:styleId="MediumGrid3-Accent6">
    <w:name w:val="Medium Grid 3 Accent 6"/>
    <w:basedOn w:val="TableNormal"/>
    <w:uiPriority w:val="69"/>
    <w:semiHidden/>
    <w:rsid w:val="00EE3EB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FE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8818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8818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8818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8818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BC0C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BC0C1" w:themeFill="accent6" w:themeFillTint="7F"/>
      </w:tcPr>
    </w:tblStylePr>
  </w:style>
  <w:style w:type="table" w:styleId="MediumList1">
    <w:name w:val="Medium List 1"/>
    <w:basedOn w:val="TableNormal"/>
    <w:uiPriority w:val="65"/>
    <w:semiHidden/>
    <w:rsid w:val="00EE3EB6"/>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778B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EE3EB6"/>
    <w:pPr>
      <w:spacing w:line="240" w:lineRule="auto"/>
    </w:pPr>
    <w:rPr>
      <w:color w:val="000000" w:themeColor="text1"/>
    </w:rPr>
    <w:tblPr>
      <w:tblStyleRowBandSize w:val="1"/>
      <w:tblStyleColBandSize w:val="1"/>
      <w:tblBorders>
        <w:top w:val="single" w:sz="8" w:space="0" w:color="8D487F" w:themeColor="accent1"/>
        <w:bottom w:val="single" w:sz="8" w:space="0" w:color="8D487F" w:themeColor="accent1"/>
      </w:tblBorders>
    </w:tblPr>
    <w:tblStylePr w:type="firstRow">
      <w:rPr>
        <w:rFonts w:asciiTheme="majorHAnsi" w:eastAsiaTheme="majorEastAsia" w:hAnsiTheme="majorHAnsi" w:cstheme="majorBidi"/>
      </w:rPr>
      <w:tblPr/>
      <w:tcPr>
        <w:tcBorders>
          <w:top w:val="nil"/>
          <w:bottom w:val="single" w:sz="8" w:space="0" w:color="8D487F" w:themeColor="accent1"/>
        </w:tcBorders>
      </w:tcPr>
    </w:tblStylePr>
    <w:tblStylePr w:type="lastRow">
      <w:rPr>
        <w:b/>
        <w:bCs/>
        <w:color w:val="9778B4" w:themeColor="text2"/>
      </w:rPr>
      <w:tblPr/>
      <w:tcPr>
        <w:tcBorders>
          <w:top w:val="single" w:sz="8" w:space="0" w:color="8D487F" w:themeColor="accent1"/>
          <w:bottom w:val="single" w:sz="8" w:space="0" w:color="8D487F" w:themeColor="accent1"/>
        </w:tcBorders>
      </w:tcPr>
    </w:tblStylePr>
    <w:tblStylePr w:type="firstCol">
      <w:rPr>
        <w:b/>
        <w:bCs/>
      </w:rPr>
    </w:tblStylePr>
    <w:tblStylePr w:type="lastCol">
      <w:rPr>
        <w:b/>
        <w:bCs/>
      </w:rPr>
      <w:tblPr/>
      <w:tcPr>
        <w:tcBorders>
          <w:top w:val="single" w:sz="8" w:space="0" w:color="8D487F" w:themeColor="accent1"/>
          <w:bottom w:val="single" w:sz="8" w:space="0" w:color="8D487F" w:themeColor="accent1"/>
        </w:tcBorders>
      </w:tcPr>
    </w:tblStylePr>
    <w:tblStylePr w:type="band1Vert">
      <w:tblPr/>
      <w:tcPr>
        <w:shd w:val="clear" w:color="auto" w:fill="E6CEE1" w:themeFill="accent1" w:themeFillTint="3F"/>
      </w:tcPr>
    </w:tblStylePr>
    <w:tblStylePr w:type="band1Horz">
      <w:tblPr/>
      <w:tcPr>
        <w:shd w:val="clear" w:color="auto" w:fill="E6CEE1" w:themeFill="accent1" w:themeFillTint="3F"/>
      </w:tcPr>
    </w:tblStylePr>
  </w:style>
  <w:style w:type="table" w:styleId="MediumList1-Accent2">
    <w:name w:val="Medium List 1 Accent 2"/>
    <w:basedOn w:val="TableNormal"/>
    <w:uiPriority w:val="65"/>
    <w:semiHidden/>
    <w:rsid w:val="00EE3EB6"/>
    <w:pPr>
      <w:spacing w:line="240" w:lineRule="auto"/>
    </w:pPr>
    <w:rPr>
      <w:color w:val="000000" w:themeColor="text1"/>
    </w:rPr>
    <w:tblPr>
      <w:tblStyleRowBandSize w:val="1"/>
      <w:tblStyleColBandSize w:val="1"/>
      <w:tblBorders>
        <w:top w:val="single" w:sz="8" w:space="0" w:color="C64E45" w:themeColor="accent2"/>
        <w:bottom w:val="single" w:sz="8" w:space="0" w:color="C64E45" w:themeColor="accent2"/>
      </w:tblBorders>
    </w:tblPr>
    <w:tblStylePr w:type="firstRow">
      <w:rPr>
        <w:rFonts w:asciiTheme="majorHAnsi" w:eastAsiaTheme="majorEastAsia" w:hAnsiTheme="majorHAnsi" w:cstheme="majorBidi"/>
      </w:rPr>
      <w:tblPr/>
      <w:tcPr>
        <w:tcBorders>
          <w:top w:val="nil"/>
          <w:bottom w:val="single" w:sz="8" w:space="0" w:color="C64E45" w:themeColor="accent2"/>
        </w:tcBorders>
      </w:tcPr>
    </w:tblStylePr>
    <w:tblStylePr w:type="lastRow">
      <w:rPr>
        <w:b/>
        <w:bCs/>
        <w:color w:val="9778B4" w:themeColor="text2"/>
      </w:rPr>
      <w:tblPr/>
      <w:tcPr>
        <w:tcBorders>
          <w:top w:val="single" w:sz="8" w:space="0" w:color="C64E45" w:themeColor="accent2"/>
          <w:bottom w:val="single" w:sz="8" w:space="0" w:color="C64E45" w:themeColor="accent2"/>
        </w:tcBorders>
      </w:tcPr>
    </w:tblStylePr>
    <w:tblStylePr w:type="firstCol">
      <w:rPr>
        <w:b/>
        <w:bCs/>
      </w:rPr>
    </w:tblStylePr>
    <w:tblStylePr w:type="lastCol">
      <w:rPr>
        <w:b/>
        <w:bCs/>
      </w:rPr>
      <w:tblPr/>
      <w:tcPr>
        <w:tcBorders>
          <w:top w:val="single" w:sz="8" w:space="0" w:color="C64E45" w:themeColor="accent2"/>
          <w:bottom w:val="single" w:sz="8" w:space="0" w:color="C64E45" w:themeColor="accent2"/>
        </w:tcBorders>
      </w:tcPr>
    </w:tblStylePr>
    <w:tblStylePr w:type="band1Vert">
      <w:tblPr/>
      <w:tcPr>
        <w:shd w:val="clear" w:color="auto" w:fill="F1D2D0" w:themeFill="accent2" w:themeFillTint="3F"/>
      </w:tcPr>
    </w:tblStylePr>
    <w:tblStylePr w:type="band1Horz">
      <w:tblPr/>
      <w:tcPr>
        <w:shd w:val="clear" w:color="auto" w:fill="F1D2D0" w:themeFill="accent2" w:themeFillTint="3F"/>
      </w:tcPr>
    </w:tblStylePr>
  </w:style>
  <w:style w:type="table" w:styleId="MediumList1-Accent3">
    <w:name w:val="Medium List 1 Accent 3"/>
    <w:basedOn w:val="TableNormal"/>
    <w:uiPriority w:val="65"/>
    <w:semiHidden/>
    <w:rsid w:val="00EE3EB6"/>
    <w:pPr>
      <w:spacing w:line="240" w:lineRule="auto"/>
    </w:pPr>
    <w:rPr>
      <w:color w:val="000000" w:themeColor="text1"/>
    </w:rPr>
    <w:tblPr>
      <w:tblStyleRowBandSize w:val="1"/>
      <w:tblStyleColBandSize w:val="1"/>
      <w:tblBorders>
        <w:top w:val="single" w:sz="8" w:space="0" w:color="F1873D" w:themeColor="accent3"/>
        <w:bottom w:val="single" w:sz="8" w:space="0" w:color="F1873D" w:themeColor="accent3"/>
      </w:tblBorders>
    </w:tblPr>
    <w:tblStylePr w:type="firstRow">
      <w:rPr>
        <w:rFonts w:asciiTheme="majorHAnsi" w:eastAsiaTheme="majorEastAsia" w:hAnsiTheme="majorHAnsi" w:cstheme="majorBidi"/>
      </w:rPr>
      <w:tblPr/>
      <w:tcPr>
        <w:tcBorders>
          <w:top w:val="nil"/>
          <w:bottom w:val="single" w:sz="8" w:space="0" w:color="F1873D" w:themeColor="accent3"/>
        </w:tcBorders>
      </w:tcPr>
    </w:tblStylePr>
    <w:tblStylePr w:type="lastRow">
      <w:rPr>
        <w:b/>
        <w:bCs/>
        <w:color w:val="9778B4" w:themeColor="text2"/>
      </w:rPr>
      <w:tblPr/>
      <w:tcPr>
        <w:tcBorders>
          <w:top w:val="single" w:sz="8" w:space="0" w:color="F1873D" w:themeColor="accent3"/>
          <w:bottom w:val="single" w:sz="8" w:space="0" w:color="F1873D" w:themeColor="accent3"/>
        </w:tcBorders>
      </w:tcPr>
    </w:tblStylePr>
    <w:tblStylePr w:type="firstCol">
      <w:rPr>
        <w:b/>
        <w:bCs/>
      </w:rPr>
    </w:tblStylePr>
    <w:tblStylePr w:type="lastCol">
      <w:rPr>
        <w:b/>
        <w:bCs/>
      </w:rPr>
      <w:tblPr/>
      <w:tcPr>
        <w:tcBorders>
          <w:top w:val="single" w:sz="8" w:space="0" w:color="F1873D" w:themeColor="accent3"/>
          <w:bottom w:val="single" w:sz="8" w:space="0" w:color="F1873D" w:themeColor="accent3"/>
        </w:tcBorders>
      </w:tcPr>
    </w:tblStylePr>
    <w:tblStylePr w:type="band1Vert">
      <w:tblPr/>
      <w:tcPr>
        <w:shd w:val="clear" w:color="auto" w:fill="FBE1CE" w:themeFill="accent3" w:themeFillTint="3F"/>
      </w:tcPr>
    </w:tblStylePr>
    <w:tblStylePr w:type="band1Horz">
      <w:tblPr/>
      <w:tcPr>
        <w:shd w:val="clear" w:color="auto" w:fill="FBE1CE" w:themeFill="accent3" w:themeFillTint="3F"/>
      </w:tcPr>
    </w:tblStylePr>
  </w:style>
  <w:style w:type="table" w:styleId="MediumList1-Accent4">
    <w:name w:val="Medium List 1 Accent 4"/>
    <w:basedOn w:val="TableNormal"/>
    <w:uiPriority w:val="65"/>
    <w:semiHidden/>
    <w:rsid w:val="00EE3EB6"/>
    <w:pPr>
      <w:spacing w:line="240" w:lineRule="auto"/>
    </w:pPr>
    <w:rPr>
      <w:color w:val="000000" w:themeColor="text1"/>
    </w:rPr>
    <w:tblPr>
      <w:tblStyleRowBandSize w:val="1"/>
      <w:tblStyleColBandSize w:val="1"/>
      <w:tblBorders>
        <w:top w:val="single" w:sz="8" w:space="0" w:color="FCC648" w:themeColor="accent4"/>
        <w:bottom w:val="single" w:sz="8" w:space="0" w:color="FCC648" w:themeColor="accent4"/>
      </w:tblBorders>
    </w:tblPr>
    <w:tblStylePr w:type="firstRow">
      <w:rPr>
        <w:rFonts w:asciiTheme="majorHAnsi" w:eastAsiaTheme="majorEastAsia" w:hAnsiTheme="majorHAnsi" w:cstheme="majorBidi"/>
      </w:rPr>
      <w:tblPr/>
      <w:tcPr>
        <w:tcBorders>
          <w:top w:val="nil"/>
          <w:bottom w:val="single" w:sz="8" w:space="0" w:color="FCC648" w:themeColor="accent4"/>
        </w:tcBorders>
      </w:tcPr>
    </w:tblStylePr>
    <w:tblStylePr w:type="lastRow">
      <w:rPr>
        <w:b/>
        <w:bCs/>
        <w:color w:val="9778B4" w:themeColor="text2"/>
      </w:rPr>
      <w:tblPr/>
      <w:tcPr>
        <w:tcBorders>
          <w:top w:val="single" w:sz="8" w:space="0" w:color="FCC648" w:themeColor="accent4"/>
          <w:bottom w:val="single" w:sz="8" w:space="0" w:color="FCC648" w:themeColor="accent4"/>
        </w:tcBorders>
      </w:tcPr>
    </w:tblStylePr>
    <w:tblStylePr w:type="firstCol">
      <w:rPr>
        <w:b/>
        <w:bCs/>
      </w:rPr>
    </w:tblStylePr>
    <w:tblStylePr w:type="lastCol">
      <w:rPr>
        <w:b/>
        <w:bCs/>
      </w:rPr>
      <w:tblPr/>
      <w:tcPr>
        <w:tcBorders>
          <w:top w:val="single" w:sz="8" w:space="0" w:color="FCC648" w:themeColor="accent4"/>
          <w:bottom w:val="single" w:sz="8" w:space="0" w:color="FCC648" w:themeColor="accent4"/>
        </w:tcBorders>
      </w:tcPr>
    </w:tblStylePr>
    <w:tblStylePr w:type="band1Vert">
      <w:tblPr/>
      <w:tcPr>
        <w:shd w:val="clear" w:color="auto" w:fill="FEF0D1" w:themeFill="accent4" w:themeFillTint="3F"/>
      </w:tcPr>
    </w:tblStylePr>
    <w:tblStylePr w:type="band1Horz">
      <w:tblPr/>
      <w:tcPr>
        <w:shd w:val="clear" w:color="auto" w:fill="FEF0D1" w:themeFill="accent4" w:themeFillTint="3F"/>
      </w:tcPr>
    </w:tblStylePr>
  </w:style>
  <w:style w:type="table" w:styleId="MediumList1-Accent5">
    <w:name w:val="Medium List 1 Accent 5"/>
    <w:basedOn w:val="TableNormal"/>
    <w:uiPriority w:val="65"/>
    <w:semiHidden/>
    <w:rsid w:val="00EE3EB6"/>
    <w:pPr>
      <w:spacing w:line="240" w:lineRule="auto"/>
    </w:pPr>
    <w:rPr>
      <w:color w:val="000000" w:themeColor="text1"/>
    </w:rPr>
    <w:tblPr>
      <w:tblStyleRowBandSize w:val="1"/>
      <w:tblStyleColBandSize w:val="1"/>
      <w:tblBorders>
        <w:top w:val="single" w:sz="8" w:space="0" w:color="86BE57" w:themeColor="accent5"/>
        <w:bottom w:val="single" w:sz="8" w:space="0" w:color="86BE57" w:themeColor="accent5"/>
      </w:tblBorders>
    </w:tblPr>
    <w:tblStylePr w:type="firstRow">
      <w:rPr>
        <w:rFonts w:asciiTheme="majorHAnsi" w:eastAsiaTheme="majorEastAsia" w:hAnsiTheme="majorHAnsi" w:cstheme="majorBidi"/>
      </w:rPr>
      <w:tblPr/>
      <w:tcPr>
        <w:tcBorders>
          <w:top w:val="nil"/>
          <w:bottom w:val="single" w:sz="8" w:space="0" w:color="86BE57" w:themeColor="accent5"/>
        </w:tcBorders>
      </w:tcPr>
    </w:tblStylePr>
    <w:tblStylePr w:type="lastRow">
      <w:rPr>
        <w:b/>
        <w:bCs/>
        <w:color w:val="9778B4" w:themeColor="text2"/>
      </w:rPr>
      <w:tblPr/>
      <w:tcPr>
        <w:tcBorders>
          <w:top w:val="single" w:sz="8" w:space="0" w:color="86BE57" w:themeColor="accent5"/>
          <w:bottom w:val="single" w:sz="8" w:space="0" w:color="86BE57" w:themeColor="accent5"/>
        </w:tcBorders>
      </w:tcPr>
    </w:tblStylePr>
    <w:tblStylePr w:type="firstCol">
      <w:rPr>
        <w:b/>
        <w:bCs/>
      </w:rPr>
    </w:tblStylePr>
    <w:tblStylePr w:type="lastCol">
      <w:rPr>
        <w:b/>
        <w:bCs/>
      </w:rPr>
      <w:tblPr/>
      <w:tcPr>
        <w:tcBorders>
          <w:top w:val="single" w:sz="8" w:space="0" w:color="86BE57" w:themeColor="accent5"/>
          <w:bottom w:val="single" w:sz="8" w:space="0" w:color="86BE57" w:themeColor="accent5"/>
        </w:tcBorders>
      </w:tcPr>
    </w:tblStylePr>
    <w:tblStylePr w:type="band1Vert">
      <w:tblPr/>
      <w:tcPr>
        <w:shd w:val="clear" w:color="auto" w:fill="E1EFD5" w:themeFill="accent5" w:themeFillTint="3F"/>
      </w:tcPr>
    </w:tblStylePr>
    <w:tblStylePr w:type="band1Horz">
      <w:tblPr/>
      <w:tcPr>
        <w:shd w:val="clear" w:color="auto" w:fill="E1EFD5" w:themeFill="accent5" w:themeFillTint="3F"/>
      </w:tcPr>
    </w:tblStylePr>
  </w:style>
  <w:style w:type="table" w:styleId="MediumList1-Accent6">
    <w:name w:val="Medium List 1 Accent 6"/>
    <w:basedOn w:val="TableNormal"/>
    <w:uiPriority w:val="65"/>
    <w:semiHidden/>
    <w:rsid w:val="00EE3EB6"/>
    <w:pPr>
      <w:spacing w:line="240" w:lineRule="auto"/>
    </w:pPr>
    <w:rPr>
      <w:color w:val="000000" w:themeColor="text1"/>
    </w:rPr>
    <w:tblPr>
      <w:tblStyleRowBandSize w:val="1"/>
      <w:tblStyleColBandSize w:val="1"/>
      <w:tblBorders>
        <w:top w:val="single" w:sz="8" w:space="0" w:color="788183" w:themeColor="accent6"/>
        <w:bottom w:val="single" w:sz="8" w:space="0" w:color="788183" w:themeColor="accent6"/>
      </w:tblBorders>
    </w:tblPr>
    <w:tblStylePr w:type="firstRow">
      <w:rPr>
        <w:rFonts w:asciiTheme="majorHAnsi" w:eastAsiaTheme="majorEastAsia" w:hAnsiTheme="majorHAnsi" w:cstheme="majorBidi"/>
      </w:rPr>
      <w:tblPr/>
      <w:tcPr>
        <w:tcBorders>
          <w:top w:val="nil"/>
          <w:bottom w:val="single" w:sz="8" w:space="0" w:color="788183" w:themeColor="accent6"/>
        </w:tcBorders>
      </w:tcPr>
    </w:tblStylePr>
    <w:tblStylePr w:type="lastRow">
      <w:rPr>
        <w:b/>
        <w:bCs/>
        <w:color w:val="9778B4" w:themeColor="text2"/>
      </w:rPr>
      <w:tblPr/>
      <w:tcPr>
        <w:tcBorders>
          <w:top w:val="single" w:sz="8" w:space="0" w:color="788183" w:themeColor="accent6"/>
          <w:bottom w:val="single" w:sz="8" w:space="0" w:color="788183" w:themeColor="accent6"/>
        </w:tcBorders>
      </w:tcPr>
    </w:tblStylePr>
    <w:tblStylePr w:type="firstCol">
      <w:rPr>
        <w:b/>
        <w:bCs/>
      </w:rPr>
    </w:tblStylePr>
    <w:tblStylePr w:type="lastCol">
      <w:rPr>
        <w:b/>
        <w:bCs/>
      </w:rPr>
      <w:tblPr/>
      <w:tcPr>
        <w:tcBorders>
          <w:top w:val="single" w:sz="8" w:space="0" w:color="788183" w:themeColor="accent6"/>
          <w:bottom w:val="single" w:sz="8" w:space="0" w:color="788183" w:themeColor="accent6"/>
        </w:tcBorders>
      </w:tcPr>
    </w:tblStylePr>
    <w:tblStylePr w:type="band1Vert">
      <w:tblPr/>
      <w:tcPr>
        <w:shd w:val="clear" w:color="auto" w:fill="DDDFE0" w:themeFill="accent6" w:themeFillTint="3F"/>
      </w:tcPr>
    </w:tblStylePr>
    <w:tblStylePr w:type="band1Horz">
      <w:tblPr/>
      <w:tcPr>
        <w:shd w:val="clear" w:color="auto" w:fill="DDDFE0" w:themeFill="accent6" w:themeFillTint="3F"/>
      </w:tcPr>
    </w:tblStylePr>
  </w:style>
  <w:style w:type="table" w:styleId="MediumList2">
    <w:name w:val="Medium List 2"/>
    <w:basedOn w:val="TableNormal"/>
    <w:uiPriority w:val="66"/>
    <w:semiHidden/>
    <w:rsid w:val="00EE3EB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E3EB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tblBorders>
    </w:tblPr>
    <w:tblStylePr w:type="firstRow">
      <w:rPr>
        <w:sz w:val="24"/>
        <w:szCs w:val="24"/>
      </w:rPr>
      <w:tblPr/>
      <w:tcPr>
        <w:tcBorders>
          <w:top w:val="nil"/>
          <w:left w:val="nil"/>
          <w:bottom w:val="single" w:sz="24" w:space="0" w:color="8D487F" w:themeColor="accent1"/>
          <w:right w:val="nil"/>
          <w:insideH w:val="nil"/>
          <w:insideV w:val="nil"/>
        </w:tcBorders>
        <w:shd w:val="clear" w:color="auto" w:fill="FFFFFF" w:themeFill="background1"/>
      </w:tcPr>
    </w:tblStylePr>
    <w:tblStylePr w:type="lastRow">
      <w:tblPr/>
      <w:tcPr>
        <w:tcBorders>
          <w:top w:val="single" w:sz="8" w:space="0" w:color="8D487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487F" w:themeColor="accent1"/>
          <w:insideH w:val="nil"/>
          <w:insideV w:val="nil"/>
        </w:tcBorders>
        <w:shd w:val="clear" w:color="auto" w:fill="FFFFFF" w:themeFill="background1"/>
      </w:tcPr>
    </w:tblStylePr>
    <w:tblStylePr w:type="lastCol">
      <w:tblPr/>
      <w:tcPr>
        <w:tcBorders>
          <w:top w:val="nil"/>
          <w:left w:val="single" w:sz="8" w:space="0" w:color="8D487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CEE1" w:themeFill="accent1" w:themeFillTint="3F"/>
      </w:tcPr>
    </w:tblStylePr>
    <w:tblStylePr w:type="band1Horz">
      <w:tblPr/>
      <w:tcPr>
        <w:tcBorders>
          <w:top w:val="nil"/>
          <w:bottom w:val="nil"/>
          <w:insideH w:val="nil"/>
          <w:insideV w:val="nil"/>
        </w:tcBorders>
        <w:shd w:val="clear" w:color="auto" w:fill="E6CEE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E3EB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tblBorders>
    </w:tblPr>
    <w:tblStylePr w:type="firstRow">
      <w:rPr>
        <w:sz w:val="24"/>
        <w:szCs w:val="24"/>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tblPr/>
      <w:tcPr>
        <w:tcBorders>
          <w:top w:val="single" w:sz="8" w:space="0" w:color="C64E45"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64E45" w:themeColor="accent2"/>
          <w:insideH w:val="nil"/>
          <w:insideV w:val="nil"/>
        </w:tcBorders>
        <w:shd w:val="clear" w:color="auto" w:fill="FFFFFF" w:themeFill="background1"/>
      </w:tcPr>
    </w:tblStylePr>
    <w:tblStylePr w:type="lastCol">
      <w:tblPr/>
      <w:tcPr>
        <w:tcBorders>
          <w:top w:val="nil"/>
          <w:left w:val="single" w:sz="8" w:space="0" w:color="C64E4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D2D0" w:themeFill="accent2" w:themeFillTint="3F"/>
      </w:tcPr>
    </w:tblStylePr>
    <w:tblStylePr w:type="band1Horz">
      <w:tblPr/>
      <w:tcPr>
        <w:tcBorders>
          <w:top w:val="nil"/>
          <w:bottom w:val="nil"/>
          <w:insideH w:val="nil"/>
          <w:insideV w:val="nil"/>
        </w:tcBorders>
        <w:shd w:val="clear" w:color="auto" w:fill="F1D2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E3EB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tblBorders>
    </w:tblPr>
    <w:tblStylePr w:type="firstRow">
      <w:rPr>
        <w:sz w:val="24"/>
        <w:szCs w:val="24"/>
      </w:rPr>
      <w:tblPr/>
      <w:tcPr>
        <w:tcBorders>
          <w:top w:val="nil"/>
          <w:left w:val="nil"/>
          <w:bottom w:val="single" w:sz="24" w:space="0" w:color="F1873D" w:themeColor="accent3"/>
          <w:right w:val="nil"/>
          <w:insideH w:val="nil"/>
          <w:insideV w:val="nil"/>
        </w:tcBorders>
        <w:shd w:val="clear" w:color="auto" w:fill="FFFFFF" w:themeFill="background1"/>
      </w:tcPr>
    </w:tblStylePr>
    <w:tblStylePr w:type="lastRow">
      <w:tblPr/>
      <w:tcPr>
        <w:tcBorders>
          <w:top w:val="single" w:sz="8" w:space="0" w:color="F1873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873D" w:themeColor="accent3"/>
          <w:insideH w:val="nil"/>
          <w:insideV w:val="nil"/>
        </w:tcBorders>
        <w:shd w:val="clear" w:color="auto" w:fill="FFFFFF" w:themeFill="background1"/>
      </w:tcPr>
    </w:tblStylePr>
    <w:tblStylePr w:type="lastCol">
      <w:tblPr/>
      <w:tcPr>
        <w:tcBorders>
          <w:top w:val="nil"/>
          <w:left w:val="single" w:sz="8" w:space="0" w:color="F187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CE" w:themeFill="accent3" w:themeFillTint="3F"/>
      </w:tcPr>
    </w:tblStylePr>
    <w:tblStylePr w:type="band1Horz">
      <w:tblPr/>
      <w:tcPr>
        <w:tcBorders>
          <w:top w:val="nil"/>
          <w:bottom w:val="nil"/>
          <w:insideH w:val="nil"/>
          <w:insideV w:val="nil"/>
        </w:tcBorders>
        <w:shd w:val="clear" w:color="auto" w:fill="FBE1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E3EB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tblBorders>
    </w:tblPr>
    <w:tblStylePr w:type="firstRow">
      <w:rPr>
        <w:sz w:val="24"/>
        <w:szCs w:val="24"/>
      </w:rPr>
      <w:tblPr/>
      <w:tcPr>
        <w:tcBorders>
          <w:top w:val="nil"/>
          <w:left w:val="nil"/>
          <w:bottom w:val="single" w:sz="24" w:space="0" w:color="FCC648" w:themeColor="accent4"/>
          <w:right w:val="nil"/>
          <w:insideH w:val="nil"/>
          <w:insideV w:val="nil"/>
        </w:tcBorders>
        <w:shd w:val="clear" w:color="auto" w:fill="FFFFFF" w:themeFill="background1"/>
      </w:tcPr>
    </w:tblStylePr>
    <w:tblStylePr w:type="lastRow">
      <w:tblPr/>
      <w:tcPr>
        <w:tcBorders>
          <w:top w:val="single" w:sz="8" w:space="0" w:color="FCC64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C648" w:themeColor="accent4"/>
          <w:insideH w:val="nil"/>
          <w:insideV w:val="nil"/>
        </w:tcBorders>
        <w:shd w:val="clear" w:color="auto" w:fill="FFFFFF" w:themeFill="background1"/>
      </w:tcPr>
    </w:tblStylePr>
    <w:tblStylePr w:type="lastCol">
      <w:tblPr/>
      <w:tcPr>
        <w:tcBorders>
          <w:top w:val="nil"/>
          <w:left w:val="single" w:sz="8" w:space="0" w:color="FCC64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0D1" w:themeFill="accent4" w:themeFillTint="3F"/>
      </w:tcPr>
    </w:tblStylePr>
    <w:tblStylePr w:type="band1Horz">
      <w:tblPr/>
      <w:tcPr>
        <w:tcBorders>
          <w:top w:val="nil"/>
          <w:bottom w:val="nil"/>
          <w:insideH w:val="nil"/>
          <w:insideV w:val="nil"/>
        </w:tcBorders>
        <w:shd w:val="clear" w:color="auto" w:fill="FEF0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E3EB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tblBorders>
    </w:tblPr>
    <w:tblStylePr w:type="firstRow">
      <w:rPr>
        <w:sz w:val="24"/>
        <w:szCs w:val="24"/>
      </w:rPr>
      <w:tblPr/>
      <w:tcPr>
        <w:tcBorders>
          <w:top w:val="nil"/>
          <w:left w:val="nil"/>
          <w:bottom w:val="single" w:sz="24" w:space="0" w:color="86BE57" w:themeColor="accent5"/>
          <w:right w:val="nil"/>
          <w:insideH w:val="nil"/>
          <w:insideV w:val="nil"/>
        </w:tcBorders>
        <w:shd w:val="clear" w:color="auto" w:fill="FFFFFF" w:themeFill="background1"/>
      </w:tcPr>
    </w:tblStylePr>
    <w:tblStylePr w:type="lastRow">
      <w:tblPr/>
      <w:tcPr>
        <w:tcBorders>
          <w:top w:val="single" w:sz="8" w:space="0" w:color="86BE5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BE57" w:themeColor="accent5"/>
          <w:insideH w:val="nil"/>
          <w:insideV w:val="nil"/>
        </w:tcBorders>
        <w:shd w:val="clear" w:color="auto" w:fill="FFFFFF" w:themeFill="background1"/>
      </w:tcPr>
    </w:tblStylePr>
    <w:tblStylePr w:type="lastCol">
      <w:tblPr/>
      <w:tcPr>
        <w:tcBorders>
          <w:top w:val="nil"/>
          <w:left w:val="single" w:sz="8" w:space="0" w:color="86BE5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FD5" w:themeFill="accent5" w:themeFillTint="3F"/>
      </w:tcPr>
    </w:tblStylePr>
    <w:tblStylePr w:type="band1Horz">
      <w:tblPr/>
      <w:tcPr>
        <w:tcBorders>
          <w:top w:val="nil"/>
          <w:bottom w:val="nil"/>
          <w:insideH w:val="nil"/>
          <w:insideV w:val="nil"/>
        </w:tcBorders>
        <w:shd w:val="clear" w:color="auto" w:fill="E1EFD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EE3EB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tblBorders>
    </w:tblPr>
    <w:tblStylePr w:type="firstRow">
      <w:rPr>
        <w:sz w:val="24"/>
        <w:szCs w:val="24"/>
      </w:rPr>
      <w:tblPr/>
      <w:tcPr>
        <w:tcBorders>
          <w:top w:val="nil"/>
          <w:left w:val="nil"/>
          <w:bottom w:val="single" w:sz="24" w:space="0" w:color="788183" w:themeColor="accent6"/>
          <w:right w:val="nil"/>
          <w:insideH w:val="nil"/>
          <w:insideV w:val="nil"/>
        </w:tcBorders>
        <w:shd w:val="clear" w:color="auto" w:fill="FFFFFF" w:themeFill="background1"/>
      </w:tcPr>
    </w:tblStylePr>
    <w:tblStylePr w:type="lastRow">
      <w:tblPr/>
      <w:tcPr>
        <w:tcBorders>
          <w:top w:val="single" w:sz="8" w:space="0" w:color="78818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88183" w:themeColor="accent6"/>
          <w:insideH w:val="nil"/>
          <w:insideV w:val="nil"/>
        </w:tcBorders>
        <w:shd w:val="clear" w:color="auto" w:fill="FFFFFF" w:themeFill="background1"/>
      </w:tcPr>
    </w:tblStylePr>
    <w:tblStylePr w:type="lastCol">
      <w:tblPr/>
      <w:tcPr>
        <w:tcBorders>
          <w:top w:val="nil"/>
          <w:left w:val="single" w:sz="8" w:space="0" w:color="78818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FE0" w:themeFill="accent6" w:themeFillTint="3F"/>
      </w:tcPr>
    </w:tblStylePr>
    <w:tblStylePr w:type="band1Horz">
      <w:tblPr/>
      <w:tcPr>
        <w:tcBorders>
          <w:top w:val="nil"/>
          <w:bottom w:val="nil"/>
          <w:insideH w:val="nil"/>
          <w:insideV w:val="nil"/>
        </w:tcBorders>
        <w:shd w:val="clear" w:color="auto" w:fill="DDDFE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EE3EB6"/>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EE3EB6"/>
    <w:pPr>
      <w:spacing w:line="240" w:lineRule="auto"/>
    </w:pPr>
    <w:tblPr>
      <w:tblStyleRowBandSize w:val="1"/>
      <w:tblStyleColBandSize w:val="1"/>
      <w:tblBorders>
        <w:top w:val="single" w:sz="8"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single" w:sz="8" w:space="0" w:color="B36BA5" w:themeColor="accent1" w:themeTint="BF"/>
      </w:tblBorders>
    </w:tblPr>
    <w:tblStylePr w:type="firstRow">
      <w:pPr>
        <w:spacing w:before="0" w:after="0" w:line="240" w:lineRule="auto"/>
      </w:pPr>
      <w:rPr>
        <w:b/>
        <w:bCs/>
        <w:color w:val="FFFFFF" w:themeColor="background1"/>
      </w:rPr>
      <w:tblPr/>
      <w:tcPr>
        <w:tcBorders>
          <w:top w:val="single" w:sz="8"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nil"/>
          <w:insideV w:val="nil"/>
        </w:tcBorders>
        <w:shd w:val="clear" w:color="auto" w:fill="8D487F" w:themeFill="accent1"/>
      </w:tcPr>
    </w:tblStylePr>
    <w:tblStylePr w:type="lastRow">
      <w:pPr>
        <w:spacing w:before="0" w:after="0" w:line="240" w:lineRule="auto"/>
      </w:pPr>
      <w:rPr>
        <w:b/>
        <w:bCs/>
      </w:rPr>
      <w:tblPr/>
      <w:tcPr>
        <w:tcBorders>
          <w:top w:val="double" w:sz="6"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E6CEE1" w:themeFill="accent1" w:themeFillTint="3F"/>
      </w:tcPr>
    </w:tblStylePr>
    <w:tblStylePr w:type="band1Horz">
      <w:tblPr/>
      <w:tcPr>
        <w:tcBorders>
          <w:insideH w:val="nil"/>
          <w:insideV w:val="nil"/>
        </w:tcBorders>
        <w:shd w:val="clear" w:color="auto" w:fill="E6CEE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E3EB6"/>
    <w:pPr>
      <w:spacing w:line="240" w:lineRule="auto"/>
    </w:pPr>
    <w:tblPr>
      <w:tblStyleRowBandSize w:val="1"/>
      <w:tblStyleColBandSize w:val="1"/>
      <w:tblBorders>
        <w:top w:val="single" w:sz="8"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single" w:sz="8" w:space="0" w:color="D47973" w:themeColor="accent2" w:themeTint="BF"/>
      </w:tblBorders>
    </w:tblPr>
    <w:tblStylePr w:type="firstRow">
      <w:pPr>
        <w:spacing w:before="0" w:after="0" w:line="240" w:lineRule="auto"/>
      </w:pPr>
      <w:rPr>
        <w:b/>
        <w:bCs/>
        <w:color w:val="FFFFFF" w:themeColor="background1"/>
      </w:rPr>
      <w:tblPr/>
      <w:tcPr>
        <w:tcBorders>
          <w:top w:val="single" w:sz="8"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nil"/>
          <w:insideV w:val="nil"/>
        </w:tcBorders>
        <w:shd w:val="clear" w:color="auto" w:fill="C64E45" w:themeFill="accent2"/>
      </w:tcPr>
    </w:tblStylePr>
    <w:tblStylePr w:type="lastRow">
      <w:pPr>
        <w:spacing w:before="0" w:after="0" w:line="240" w:lineRule="auto"/>
      </w:pPr>
      <w:rPr>
        <w:b/>
        <w:bCs/>
      </w:rPr>
      <w:tblPr/>
      <w:tcPr>
        <w:tcBorders>
          <w:top w:val="double" w:sz="6"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D2D0" w:themeFill="accent2" w:themeFillTint="3F"/>
      </w:tcPr>
    </w:tblStylePr>
    <w:tblStylePr w:type="band1Horz">
      <w:tblPr/>
      <w:tcPr>
        <w:tcBorders>
          <w:insideH w:val="nil"/>
          <w:insideV w:val="nil"/>
        </w:tcBorders>
        <w:shd w:val="clear" w:color="auto" w:fill="F1D2D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E3EB6"/>
    <w:pPr>
      <w:spacing w:line="240" w:lineRule="auto"/>
    </w:pPr>
    <w:tblPr>
      <w:tblStyleRowBandSize w:val="1"/>
      <w:tblStyleColBandSize w:val="1"/>
      <w:tblBorders>
        <w:top w:val="single" w:sz="8"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single" w:sz="8" w:space="0" w:color="F4A46D" w:themeColor="accent3" w:themeTint="BF"/>
      </w:tblBorders>
    </w:tblPr>
    <w:tblStylePr w:type="firstRow">
      <w:pPr>
        <w:spacing w:before="0" w:after="0" w:line="240" w:lineRule="auto"/>
      </w:pPr>
      <w:rPr>
        <w:b/>
        <w:bCs/>
        <w:color w:val="FFFFFF" w:themeColor="background1"/>
      </w:rPr>
      <w:tblPr/>
      <w:tcPr>
        <w:tcBorders>
          <w:top w:val="single" w:sz="8"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nil"/>
          <w:insideV w:val="nil"/>
        </w:tcBorders>
        <w:shd w:val="clear" w:color="auto" w:fill="F1873D" w:themeFill="accent3"/>
      </w:tcPr>
    </w:tblStylePr>
    <w:tblStylePr w:type="lastRow">
      <w:pPr>
        <w:spacing w:before="0" w:after="0" w:line="240" w:lineRule="auto"/>
      </w:pPr>
      <w:rPr>
        <w:b/>
        <w:bCs/>
      </w:rPr>
      <w:tblPr/>
      <w:tcPr>
        <w:tcBorders>
          <w:top w:val="double" w:sz="6"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E1CE" w:themeFill="accent3" w:themeFillTint="3F"/>
      </w:tcPr>
    </w:tblStylePr>
    <w:tblStylePr w:type="band1Horz">
      <w:tblPr/>
      <w:tcPr>
        <w:tcBorders>
          <w:insideH w:val="nil"/>
          <w:insideV w:val="nil"/>
        </w:tcBorders>
        <w:shd w:val="clear" w:color="auto" w:fill="FBE1C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E3EB6"/>
    <w:pPr>
      <w:spacing w:line="240" w:lineRule="auto"/>
    </w:pPr>
    <w:tblPr>
      <w:tblStyleRowBandSize w:val="1"/>
      <w:tblStyleColBandSize w:val="1"/>
      <w:tblBorders>
        <w:top w:val="single" w:sz="8"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single" w:sz="8" w:space="0" w:color="FCD475" w:themeColor="accent4" w:themeTint="BF"/>
      </w:tblBorders>
    </w:tblPr>
    <w:tblStylePr w:type="firstRow">
      <w:pPr>
        <w:spacing w:before="0" w:after="0" w:line="240" w:lineRule="auto"/>
      </w:pPr>
      <w:rPr>
        <w:b/>
        <w:bCs/>
        <w:color w:val="FFFFFF" w:themeColor="background1"/>
      </w:rPr>
      <w:tblPr/>
      <w:tcPr>
        <w:tcBorders>
          <w:top w:val="single" w:sz="8"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nil"/>
          <w:insideV w:val="nil"/>
        </w:tcBorders>
        <w:shd w:val="clear" w:color="auto" w:fill="FCC648" w:themeFill="accent4"/>
      </w:tcPr>
    </w:tblStylePr>
    <w:tblStylePr w:type="lastRow">
      <w:pPr>
        <w:spacing w:before="0" w:after="0" w:line="240" w:lineRule="auto"/>
      </w:pPr>
      <w:rPr>
        <w:b/>
        <w:bCs/>
      </w:rPr>
      <w:tblPr/>
      <w:tcPr>
        <w:tcBorders>
          <w:top w:val="double" w:sz="6"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0D1" w:themeFill="accent4" w:themeFillTint="3F"/>
      </w:tcPr>
    </w:tblStylePr>
    <w:tblStylePr w:type="band1Horz">
      <w:tblPr/>
      <w:tcPr>
        <w:tcBorders>
          <w:insideH w:val="nil"/>
          <w:insideV w:val="nil"/>
        </w:tcBorders>
        <w:shd w:val="clear" w:color="auto" w:fill="FEF0D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E3EB6"/>
    <w:pPr>
      <w:spacing w:line="240" w:lineRule="auto"/>
    </w:pPr>
    <w:tblPr>
      <w:tblStyleRowBandSize w:val="1"/>
      <w:tblStyleColBandSize w:val="1"/>
      <w:tblBorders>
        <w:top w:val="single" w:sz="8"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single" w:sz="8" w:space="0" w:color="A4CE81" w:themeColor="accent5" w:themeTint="BF"/>
      </w:tblBorders>
    </w:tblPr>
    <w:tblStylePr w:type="firstRow">
      <w:pPr>
        <w:spacing w:before="0" w:after="0" w:line="240" w:lineRule="auto"/>
      </w:pPr>
      <w:rPr>
        <w:b/>
        <w:bCs/>
        <w:color w:val="FFFFFF" w:themeColor="background1"/>
      </w:rPr>
      <w:tblPr/>
      <w:tcPr>
        <w:tcBorders>
          <w:top w:val="single" w:sz="8"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nil"/>
          <w:insideV w:val="nil"/>
        </w:tcBorders>
        <w:shd w:val="clear" w:color="auto" w:fill="86BE57" w:themeFill="accent5"/>
      </w:tcPr>
    </w:tblStylePr>
    <w:tblStylePr w:type="lastRow">
      <w:pPr>
        <w:spacing w:before="0" w:after="0" w:line="240" w:lineRule="auto"/>
      </w:pPr>
      <w:rPr>
        <w:b/>
        <w:bCs/>
      </w:rPr>
      <w:tblPr/>
      <w:tcPr>
        <w:tcBorders>
          <w:top w:val="double" w:sz="6"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EFD5" w:themeFill="accent5" w:themeFillTint="3F"/>
      </w:tcPr>
    </w:tblStylePr>
    <w:tblStylePr w:type="band1Horz">
      <w:tblPr/>
      <w:tcPr>
        <w:tcBorders>
          <w:insideH w:val="nil"/>
          <w:insideV w:val="nil"/>
        </w:tcBorders>
        <w:shd w:val="clear" w:color="auto" w:fill="E1EFD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EE3EB6"/>
    <w:pPr>
      <w:spacing w:line="240" w:lineRule="auto"/>
    </w:pPr>
    <w:tblPr>
      <w:tblStyleRowBandSize w:val="1"/>
      <w:tblStyleColBandSize w:val="1"/>
      <w:tblBorders>
        <w:top w:val="single" w:sz="8"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single" w:sz="8" w:space="0" w:color="99A0A2" w:themeColor="accent6" w:themeTint="BF"/>
      </w:tblBorders>
    </w:tblPr>
    <w:tblStylePr w:type="firstRow">
      <w:pPr>
        <w:spacing w:before="0" w:after="0" w:line="240" w:lineRule="auto"/>
      </w:pPr>
      <w:rPr>
        <w:b/>
        <w:bCs/>
        <w:color w:val="FFFFFF" w:themeColor="background1"/>
      </w:rPr>
      <w:tblPr/>
      <w:tcPr>
        <w:tcBorders>
          <w:top w:val="single" w:sz="8"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nil"/>
          <w:insideV w:val="nil"/>
        </w:tcBorders>
        <w:shd w:val="clear" w:color="auto" w:fill="788183" w:themeFill="accent6"/>
      </w:tcPr>
    </w:tblStylePr>
    <w:tblStylePr w:type="lastRow">
      <w:pPr>
        <w:spacing w:before="0" w:after="0" w:line="240" w:lineRule="auto"/>
      </w:pPr>
      <w:rPr>
        <w:b/>
        <w:bCs/>
      </w:rPr>
      <w:tblPr/>
      <w:tcPr>
        <w:tcBorders>
          <w:top w:val="double" w:sz="6"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nil"/>
          <w:insideV w:val="nil"/>
        </w:tcBorders>
      </w:tcPr>
    </w:tblStylePr>
    <w:tblStylePr w:type="firstCol">
      <w:rPr>
        <w:b/>
        <w:bCs/>
      </w:rPr>
    </w:tblStylePr>
    <w:tblStylePr w:type="lastCol">
      <w:rPr>
        <w:b/>
        <w:bCs/>
      </w:rPr>
    </w:tblStylePr>
    <w:tblStylePr w:type="band1Vert">
      <w:tblPr/>
      <w:tcPr>
        <w:shd w:val="clear" w:color="auto" w:fill="DDDFE0" w:themeFill="accent6" w:themeFillTint="3F"/>
      </w:tcPr>
    </w:tblStylePr>
    <w:tblStylePr w:type="band1Horz">
      <w:tblPr/>
      <w:tcPr>
        <w:tcBorders>
          <w:insideH w:val="nil"/>
          <w:insideV w:val="nil"/>
        </w:tcBorders>
        <w:shd w:val="clear" w:color="auto" w:fill="DDDFE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EE3EB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EE3EB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487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D487F" w:themeFill="accent1"/>
      </w:tcPr>
    </w:tblStylePr>
    <w:tblStylePr w:type="lastCol">
      <w:rPr>
        <w:b/>
        <w:bCs/>
        <w:color w:val="FFFFFF" w:themeColor="background1"/>
      </w:rPr>
      <w:tblPr/>
      <w:tcPr>
        <w:tcBorders>
          <w:left w:val="nil"/>
          <w:right w:val="nil"/>
          <w:insideH w:val="nil"/>
          <w:insideV w:val="nil"/>
        </w:tcBorders>
        <w:shd w:val="clear" w:color="auto" w:fill="8D487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E3EB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64E4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64E45" w:themeFill="accent2"/>
      </w:tcPr>
    </w:tblStylePr>
    <w:tblStylePr w:type="lastCol">
      <w:rPr>
        <w:b/>
        <w:bCs/>
        <w:color w:val="FFFFFF" w:themeColor="background1"/>
      </w:rPr>
      <w:tblPr/>
      <w:tcPr>
        <w:tcBorders>
          <w:left w:val="nil"/>
          <w:right w:val="nil"/>
          <w:insideH w:val="nil"/>
          <w:insideV w:val="nil"/>
        </w:tcBorders>
        <w:shd w:val="clear" w:color="auto" w:fill="C64E4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E3EB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87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873D" w:themeFill="accent3"/>
      </w:tcPr>
    </w:tblStylePr>
    <w:tblStylePr w:type="lastCol">
      <w:rPr>
        <w:b/>
        <w:bCs/>
        <w:color w:val="FFFFFF" w:themeColor="background1"/>
      </w:rPr>
      <w:tblPr/>
      <w:tcPr>
        <w:tcBorders>
          <w:left w:val="nil"/>
          <w:right w:val="nil"/>
          <w:insideH w:val="nil"/>
          <w:insideV w:val="nil"/>
        </w:tcBorders>
        <w:shd w:val="clear" w:color="auto" w:fill="F187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E3EB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C64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CC648" w:themeFill="accent4"/>
      </w:tcPr>
    </w:tblStylePr>
    <w:tblStylePr w:type="lastCol">
      <w:rPr>
        <w:b/>
        <w:bCs/>
        <w:color w:val="FFFFFF" w:themeColor="background1"/>
      </w:rPr>
      <w:tblPr/>
      <w:tcPr>
        <w:tcBorders>
          <w:left w:val="nil"/>
          <w:right w:val="nil"/>
          <w:insideH w:val="nil"/>
          <w:insideV w:val="nil"/>
        </w:tcBorders>
        <w:shd w:val="clear" w:color="auto" w:fill="FCC64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E3EB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E5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E57" w:themeFill="accent5"/>
      </w:tcPr>
    </w:tblStylePr>
    <w:tblStylePr w:type="lastCol">
      <w:rPr>
        <w:b/>
        <w:bCs/>
        <w:color w:val="FFFFFF" w:themeColor="background1"/>
      </w:rPr>
      <w:tblPr/>
      <w:tcPr>
        <w:tcBorders>
          <w:left w:val="nil"/>
          <w:right w:val="nil"/>
          <w:insideH w:val="nil"/>
          <w:insideV w:val="nil"/>
        </w:tcBorders>
        <w:shd w:val="clear" w:color="auto" w:fill="86BE5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EE3EB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8818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88183" w:themeFill="accent6"/>
      </w:tcPr>
    </w:tblStylePr>
    <w:tblStylePr w:type="lastCol">
      <w:rPr>
        <w:b/>
        <w:bCs/>
        <w:color w:val="FFFFFF" w:themeColor="background1"/>
      </w:rPr>
      <w:tblPr/>
      <w:tcPr>
        <w:tcBorders>
          <w:left w:val="nil"/>
          <w:right w:val="nil"/>
          <w:insideH w:val="nil"/>
          <w:insideV w:val="nil"/>
        </w:tcBorders>
        <w:shd w:val="clear" w:color="auto" w:fill="78818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
    <w:name w:val="Plain Table 1"/>
    <w:basedOn w:val="TableNormal"/>
    <w:uiPriority w:val="41"/>
    <w:semiHidden/>
    <w:rsid w:val="00EE3EB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semiHidden/>
    <w:rsid w:val="00EE3EB6"/>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semiHidden/>
    <w:rsid w:val="00EE3EB6"/>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semiHidden/>
    <w:rsid w:val="00EE3EB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semiHidden/>
    <w:rsid w:val="00EE3EB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Light">
    <w:name w:val="Grid Table Light"/>
    <w:basedOn w:val="TableNormal"/>
    <w:uiPriority w:val="40"/>
    <w:semiHidden/>
    <w:rsid w:val="00EE3EB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Continue3">
    <w:name w:val="List Continue 3"/>
    <w:basedOn w:val="Normal"/>
    <w:rsid w:val="00503B7F"/>
    <w:pPr>
      <w:spacing w:before="120"/>
      <w:ind w:left="851"/>
    </w:pPr>
  </w:style>
  <w:style w:type="paragraph" w:styleId="ListNumber4">
    <w:name w:val="List Number 4"/>
    <w:basedOn w:val="Normal"/>
    <w:rsid w:val="00D264C9"/>
    <w:pPr>
      <w:numPr>
        <w:ilvl w:val="3"/>
        <w:numId w:val="23"/>
      </w:numPr>
      <w:spacing w:before="120"/>
      <w:ind w:left="1135"/>
    </w:pPr>
  </w:style>
  <w:style w:type="paragraph" w:styleId="ListNumber5">
    <w:name w:val="List Number 5"/>
    <w:basedOn w:val="Normal"/>
    <w:rsid w:val="00D264C9"/>
    <w:pPr>
      <w:numPr>
        <w:ilvl w:val="4"/>
        <w:numId w:val="23"/>
      </w:numPr>
      <w:spacing w:before="120"/>
      <w:ind w:left="1418"/>
    </w:pPr>
  </w:style>
  <w:style w:type="paragraph" w:styleId="ListContinue4">
    <w:name w:val="List Continue 4"/>
    <w:basedOn w:val="Normal"/>
    <w:rsid w:val="00503B7F"/>
    <w:pPr>
      <w:spacing w:before="120" w:after="60"/>
      <w:ind w:left="1134"/>
    </w:pPr>
  </w:style>
  <w:style w:type="paragraph" w:styleId="ListContinue5">
    <w:name w:val="List Continue 5"/>
    <w:basedOn w:val="Normal"/>
    <w:rsid w:val="00503B7F"/>
    <w:pPr>
      <w:spacing w:before="120"/>
      <w:ind w:left="1418"/>
    </w:pPr>
  </w:style>
  <w:style w:type="table" w:customStyle="1" w:styleId="BoxPlaceholder">
    <w:name w:val="Box Placeholder"/>
    <w:basedOn w:val="TableNormal"/>
    <w:uiPriority w:val="99"/>
    <w:rsid w:val="00BC0200"/>
    <w:pPr>
      <w:spacing w:line="240" w:lineRule="auto"/>
    </w:pPr>
    <w:tblPr>
      <w:tblInd w:w="142" w:type="dxa"/>
      <w:tblCellMar>
        <w:top w:w="113" w:type="dxa"/>
        <w:left w:w="142" w:type="dxa"/>
        <w:bottom w:w="113" w:type="dxa"/>
        <w:right w:w="142" w:type="dxa"/>
      </w:tblCellMar>
    </w:tblPr>
    <w:tcPr>
      <w:shd w:val="clear" w:color="auto" w:fill="E3E5E6" w:themeFill="accent6" w:themeFillTint="33"/>
    </w:tcPr>
  </w:style>
  <w:style w:type="character" w:styleId="PlaceholderText">
    <w:name w:val="Placeholder Text"/>
    <w:basedOn w:val="DefaultParagraphFont"/>
    <w:rsid w:val="004D58BA"/>
    <w:rPr>
      <w:color w:val="808080"/>
    </w:rPr>
  </w:style>
  <w:style w:type="table" w:customStyle="1" w:styleId="PBOFinancial">
    <w:name w:val="PBO Financial"/>
    <w:basedOn w:val="TableNormal"/>
    <w:uiPriority w:val="99"/>
    <w:rsid w:val="00456DEB"/>
    <w:pPr>
      <w:spacing w:before="40" w:after="40" w:line="240" w:lineRule="auto"/>
      <w:jc w:val="right"/>
    </w:pPr>
    <w:rPr>
      <w:sz w:val="20"/>
    </w:rPr>
    <w:tblPr>
      <w:tblCellMar>
        <w:top w:w="11" w:type="dxa"/>
        <w:left w:w="0" w:type="dxa"/>
        <w:bottom w:w="11" w:type="dxa"/>
        <w:right w:w="0" w:type="dxa"/>
      </w:tblCellMar>
    </w:tblPr>
    <w:tblStylePr w:type="firstRow">
      <w:rPr>
        <w:b w:val="0"/>
      </w:rPr>
      <w:tblPr/>
      <w:tcPr>
        <w:tcBorders>
          <w:top w:val="nil"/>
          <w:left w:val="nil"/>
          <w:bottom w:val="single" w:sz="4" w:space="0" w:color="auto"/>
          <w:right w:val="nil"/>
          <w:insideH w:val="nil"/>
          <w:insideV w:val="nil"/>
          <w:tl2br w:val="nil"/>
          <w:tr2bl w:val="nil"/>
        </w:tcBorders>
        <w:tcMar>
          <w:top w:w="11" w:type="dxa"/>
          <w:left w:w="0" w:type="nil"/>
          <w:bottom w:w="11" w:type="dxa"/>
          <w:right w:w="57" w:type="dxa"/>
        </w:tcMar>
      </w:tcPr>
    </w:tblStylePr>
    <w:tblStylePr w:type="lastRow">
      <w:rPr>
        <w:b w:val="0"/>
      </w:rPr>
      <w:tblPr/>
      <w:tcPr>
        <w:tcBorders>
          <w:top w:val="single" w:sz="4" w:space="0" w:color="auto"/>
          <w:left w:val="nil"/>
          <w:bottom w:val="single" w:sz="4" w:space="0" w:color="auto"/>
          <w:right w:val="nil"/>
          <w:insideH w:val="nil"/>
          <w:insideV w:val="nil"/>
          <w:tl2br w:val="nil"/>
          <w:tr2bl w:val="nil"/>
        </w:tcBorders>
      </w:tcPr>
    </w:tblStylePr>
    <w:tblStylePr w:type="firstCol">
      <w:pPr>
        <w:jc w:val="left"/>
      </w:pPr>
      <w:tblPr/>
      <w:tcPr>
        <w:tcMar>
          <w:top w:w="28" w:type="dxa"/>
          <w:left w:w="0" w:type="nil"/>
          <w:bottom w:w="28" w:type="dxa"/>
          <w:right w:w="57" w:type="dxa"/>
        </w:tcMar>
      </w:tcPr>
    </w:tblStylePr>
    <w:tblStylePr w:type="swCell">
      <w:rPr>
        <w:b/>
      </w:rPr>
    </w:tblStylePr>
  </w:style>
  <w:style w:type="paragraph" w:customStyle="1" w:styleId="xTableDecorativeA">
    <w:name w:val="xTableDecorativeA"/>
    <w:basedOn w:val="Normal"/>
    <w:next w:val="Normal"/>
    <w:uiPriority w:val="99"/>
    <w:semiHidden/>
    <w:qFormat/>
    <w:rsid w:val="00FD3658"/>
    <w:pPr>
      <w:keepNext/>
      <w:keepLines/>
      <w:spacing w:line="80" w:lineRule="exact"/>
    </w:pPr>
    <w:rPr>
      <w:b/>
      <w:sz w:val="14"/>
    </w:rPr>
  </w:style>
  <w:style w:type="paragraph" w:customStyle="1" w:styleId="PullQuote">
    <w:name w:val="Pull Quote"/>
    <w:basedOn w:val="Normal"/>
    <w:qFormat/>
    <w:rsid w:val="006242BA"/>
    <w:pPr>
      <w:keepNext/>
      <w:keepLines/>
      <w:spacing w:before="120" w:after="120"/>
    </w:pPr>
    <w:rPr>
      <w:b/>
    </w:rPr>
  </w:style>
  <w:style w:type="paragraph" w:customStyle="1" w:styleId="Heading2NoNumbering">
    <w:name w:val="Heading 2 No Numbering"/>
    <w:basedOn w:val="Heading2"/>
    <w:qFormat/>
    <w:rsid w:val="00904D3B"/>
    <w:pPr>
      <w:numPr>
        <w:ilvl w:val="0"/>
        <w:numId w:val="0"/>
      </w:numPr>
    </w:pPr>
  </w:style>
  <w:style w:type="paragraph" w:customStyle="1" w:styleId="AppendixHeading4">
    <w:name w:val="Appendix Heading 4"/>
    <w:basedOn w:val="Normal"/>
    <w:next w:val="BodyText"/>
    <w:uiPriority w:val="30"/>
    <w:qFormat/>
    <w:rsid w:val="0081085D"/>
    <w:pPr>
      <w:spacing w:before="310" w:after="110" w:line="240" w:lineRule="auto"/>
    </w:pPr>
    <w:rPr>
      <w:rFonts w:asciiTheme="majorHAnsi" w:hAnsiTheme="majorHAnsi"/>
      <w:i/>
      <w:color w:val="000000" w:themeColor="text1"/>
      <w:sz w:val="23"/>
    </w:rPr>
  </w:style>
  <w:style w:type="paragraph" w:customStyle="1" w:styleId="AppendixHeading5">
    <w:name w:val="Appendix Heading 5"/>
    <w:basedOn w:val="Normal"/>
    <w:next w:val="BodyText"/>
    <w:uiPriority w:val="30"/>
    <w:qFormat/>
    <w:rsid w:val="0081085D"/>
    <w:pPr>
      <w:spacing w:before="310" w:after="110" w:line="240" w:lineRule="auto"/>
    </w:pPr>
    <w:rPr>
      <w:rFonts w:asciiTheme="majorHAnsi" w:hAnsiTheme="majorHAnsi"/>
      <w:i/>
      <w:color w:val="3D4D7D" w:themeColor="background2"/>
      <w:sz w:val="23"/>
    </w:rPr>
  </w:style>
  <w:style w:type="paragraph" w:customStyle="1" w:styleId="Heading3NoNumbering">
    <w:name w:val="Heading 3 No Numbering"/>
    <w:basedOn w:val="Heading3"/>
    <w:next w:val="BodyText"/>
    <w:qFormat/>
    <w:rsid w:val="00B245AF"/>
  </w:style>
  <w:style w:type="numbering" w:customStyle="1" w:styleId="Bullets">
    <w:name w:val="Bullets"/>
    <w:uiPriority w:val="99"/>
    <w:rsid w:val="005050DA"/>
    <w:pPr>
      <w:numPr>
        <w:numId w:val="14"/>
      </w:numPr>
    </w:pPr>
  </w:style>
  <w:style w:type="numbering" w:customStyle="1" w:styleId="NumberedList">
    <w:name w:val="NumberedList"/>
    <w:uiPriority w:val="99"/>
    <w:rsid w:val="005050DA"/>
    <w:pPr>
      <w:numPr>
        <w:numId w:val="17"/>
      </w:numPr>
    </w:pPr>
  </w:style>
  <w:style w:type="paragraph" w:customStyle="1" w:styleId="CaptionDescriptor">
    <w:name w:val="Caption Descriptor"/>
    <w:basedOn w:val="Caption"/>
    <w:qFormat/>
    <w:rsid w:val="007C0767"/>
    <w:rPr>
      <w:b w:val="0"/>
      <w:sz w:val="20"/>
    </w:rPr>
  </w:style>
  <w:style w:type="table" w:customStyle="1" w:styleId="TablePlaceholder">
    <w:name w:val="Table Placeholder"/>
    <w:basedOn w:val="TableNormal"/>
    <w:uiPriority w:val="99"/>
    <w:rsid w:val="00B366ED"/>
    <w:tblPr>
      <w:tblCellMar>
        <w:left w:w="0" w:type="dxa"/>
        <w:right w:w="0" w:type="dxa"/>
      </w:tblCellMar>
    </w:tblPr>
  </w:style>
  <w:style w:type="paragraph" w:customStyle="1" w:styleId="CaptionLeft">
    <w:name w:val="Caption Left"/>
    <w:basedOn w:val="Caption"/>
    <w:next w:val="BodyText"/>
    <w:qFormat/>
    <w:rsid w:val="00233BE7"/>
    <w:pPr>
      <w:jc w:val="left"/>
    </w:pPr>
  </w:style>
  <w:style w:type="paragraph" w:customStyle="1" w:styleId="TableSubheading">
    <w:name w:val="Table Subheading"/>
    <w:basedOn w:val="TableText"/>
    <w:qFormat/>
    <w:rsid w:val="000B3F9F"/>
    <w:rPr>
      <w:b/>
      <w:szCs w:val="20"/>
    </w:rPr>
  </w:style>
  <w:style w:type="paragraph" w:customStyle="1" w:styleId="TableHeadingBlueAllCaps">
    <w:name w:val="Table Heading Blue All Caps"/>
    <w:basedOn w:val="TableText"/>
    <w:qFormat/>
    <w:rsid w:val="000B3F9F"/>
    <w:rPr>
      <w:b/>
      <w:caps/>
      <w:color w:val="3D4D7D" w:themeColor="background2"/>
      <w:szCs w:val="20"/>
    </w:rPr>
  </w:style>
  <w:style w:type="paragraph" w:customStyle="1" w:styleId="PBOtext">
    <w:name w:val="PBO text"/>
    <w:basedOn w:val="Normal"/>
    <w:link w:val="PBOtextChar"/>
    <w:qFormat/>
    <w:rsid w:val="00DF4EF3"/>
    <w:pPr>
      <w:spacing w:before="300" w:after="300" w:line="240" w:lineRule="auto"/>
    </w:pPr>
    <w:rPr>
      <w:rFonts w:ascii="Calibri" w:eastAsia="Cambria" w:hAnsi="Calibri" w:cs="Times New Roman"/>
      <w:lang w:eastAsia="en-AU"/>
    </w:rPr>
  </w:style>
  <w:style w:type="character" w:customStyle="1" w:styleId="PBOtextChar">
    <w:name w:val="PBO text Char"/>
    <w:basedOn w:val="DefaultParagraphFont"/>
    <w:link w:val="PBOtext"/>
    <w:rsid w:val="00DF4EF3"/>
    <w:rPr>
      <w:rFonts w:ascii="Calibri" w:eastAsia="Cambria" w:hAnsi="Calibri" w:cs="Times New Roman"/>
      <w:lang w:eastAsia="en-AU"/>
    </w:rPr>
  </w:style>
  <w:style w:type="paragraph" w:styleId="NormalWeb">
    <w:name w:val="Normal (Web)"/>
    <w:basedOn w:val="Normal"/>
    <w:uiPriority w:val="99"/>
    <w:semiHidden/>
    <w:unhideWhenUsed/>
    <w:rsid w:val="00DF4EF3"/>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customStyle="1" w:styleId="PBOheading1">
    <w:name w:val="PBO heading 1"/>
    <w:basedOn w:val="Heading1"/>
    <w:next w:val="Normal"/>
    <w:uiPriority w:val="1"/>
    <w:qFormat/>
    <w:rsid w:val="00E86239"/>
    <w:pPr>
      <w:keepLines w:val="0"/>
      <w:numPr>
        <w:numId w:val="0"/>
      </w:numPr>
      <w:pBdr>
        <w:bottom w:val="single" w:sz="4" w:space="1" w:color="264A76"/>
      </w:pBdr>
      <w:tabs>
        <w:tab w:val="clear" w:pos="1418"/>
        <w:tab w:val="clear" w:pos="1701"/>
        <w:tab w:val="clear" w:pos="1985"/>
      </w:tabs>
      <w:spacing w:before="680" w:after="480" w:line="240" w:lineRule="auto"/>
    </w:pPr>
    <w:rPr>
      <w:rFonts w:ascii="Georgia" w:eastAsia="Times New Roman" w:hAnsi="Georgia" w:cs="Times New Roman"/>
      <w:color w:val="264A76"/>
      <w:sz w:val="50"/>
      <w:szCs w:val="24"/>
    </w:rPr>
  </w:style>
  <w:style w:type="character" w:styleId="FollowedHyperlink">
    <w:name w:val="FollowedHyperlink"/>
    <w:basedOn w:val="DefaultParagraphFont"/>
    <w:semiHidden/>
    <w:unhideWhenUsed/>
    <w:rsid w:val="00E9526A"/>
    <w:rPr>
      <w:color w:val="3D4D7D" w:themeColor="followedHyperlink"/>
      <w:u w:val="single"/>
    </w:rPr>
  </w:style>
  <w:style w:type="paragraph" w:styleId="Revision">
    <w:name w:val="Revision"/>
    <w:hidden/>
    <w:uiPriority w:val="99"/>
    <w:semiHidden/>
    <w:rsid w:val="008A113A"/>
    <w:pPr>
      <w:spacing w:line="240" w:lineRule="auto"/>
    </w:pPr>
  </w:style>
  <w:style w:type="character" w:styleId="Emphasis">
    <w:name w:val="Emphasis"/>
    <w:basedOn w:val="DefaultParagraphFont"/>
    <w:uiPriority w:val="20"/>
    <w:qFormat/>
    <w:rsid w:val="00FF0F7B"/>
    <w:rPr>
      <w:i/>
      <w:iCs/>
    </w:rPr>
  </w:style>
  <w:style w:type="character" w:styleId="Strong">
    <w:name w:val="Strong"/>
    <w:basedOn w:val="DefaultParagraphFont"/>
    <w:uiPriority w:val="22"/>
    <w:qFormat/>
    <w:rsid w:val="00FF0F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note text" w:uiPriority="5"/>
    <w:lsdException w:name="header" w:uiPriority="99"/>
    <w:lsdException w:name="caption" w:qFormat="1"/>
    <w:lsdException w:name="table of figures" w:semiHidden="0" w:uiPriority="99" w:unhideWhenUsed="0"/>
    <w:lsdException w:name="footnote reference" w:uiPriority="5"/>
    <w:lsdException w:name="List Bullet" w:qFormat="1"/>
    <w:lsdException w:name="List Number" w:qFormat="1"/>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qFormat="1"/>
  </w:latentStyles>
  <w:style w:type="paragraph" w:default="1" w:styleId="Normal">
    <w:name w:val="Normal"/>
    <w:qFormat/>
    <w:rsid w:val="00EC4FFB"/>
  </w:style>
  <w:style w:type="paragraph" w:styleId="Heading1">
    <w:name w:val="heading 1"/>
    <w:basedOn w:val="Normal"/>
    <w:next w:val="BodyText"/>
    <w:link w:val="Heading1Char"/>
    <w:qFormat/>
    <w:rsid w:val="0081085D"/>
    <w:pPr>
      <w:keepNext/>
      <w:keepLines/>
      <w:numPr>
        <w:numId w:val="8"/>
      </w:numPr>
      <w:tabs>
        <w:tab w:val="right" w:pos="1418"/>
        <w:tab w:val="right" w:pos="1701"/>
        <w:tab w:val="right" w:pos="1985"/>
      </w:tabs>
      <w:spacing w:after="600" w:line="204" w:lineRule="auto"/>
      <w:outlineLvl w:val="0"/>
    </w:pPr>
    <w:rPr>
      <w:rFonts w:ascii="Calibri Light" w:hAnsi="Calibri Light"/>
      <w:bCs/>
      <w:color w:val="3D4D7D" w:themeColor="background2"/>
      <w:kern w:val="32"/>
      <w:sz w:val="52"/>
      <w:szCs w:val="32"/>
    </w:rPr>
  </w:style>
  <w:style w:type="paragraph" w:styleId="Heading2">
    <w:name w:val="heading 2"/>
    <w:basedOn w:val="Normal"/>
    <w:next w:val="BodyText"/>
    <w:link w:val="Heading2Char"/>
    <w:qFormat/>
    <w:rsid w:val="0081085D"/>
    <w:pPr>
      <w:keepNext/>
      <w:keepLines/>
      <w:numPr>
        <w:ilvl w:val="1"/>
        <w:numId w:val="8"/>
      </w:numPr>
      <w:tabs>
        <w:tab w:val="left" w:pos="1418"/>
        <w:tab w:val="left" w:pos="1701"/>
        <w:tab w:val="left" w:pos="1985"/>
      </w:tabs>
      <w:spacing w:before="330" w:after="80" w:line="240" w:lineRule="auto"/>
      <w:outlineLvl w:val="1"/>
    </w:pPr>
    <w:rPr>
      <w:rFonts w:asciiTheme="majorHAnsi" w:hAnsiTheme="majorHAnsi"/>
      <w:b/>
      <w:bCs/>
      <w:iCs/>
      <w:color w:val="3D4D7D" w:themeColor="background2"/>
      <w:kern w:val="20"/>
      <w:sz w:val="28"/>
      <w:szCs w:val="28"/>
    </w:rPr>
  </w:style>
  <w:style w:type="paragraph" w:styleId="Heading3">
    <w:name w:val="heading 3"/>
    <w:basedOn w:val="Normal"/>
    <w:next w:val="BodyText"/>
    <w:link w:val="Heading3Char"/>
    <w:qFormat/>
    <w:rsid w:val="00553445"/>
    <w:pPr>
      <w:keepNext/>
      <w:keepLines/>
      <w:tabs>
        <w:tab w:val="left" w:pos="1418"/>
        <w:tab w:val="left" w:pos="1701"/>
        <w:tab w:val="left" w:pos="1985"/>
      </w:tabs>
      <w:spacing w:before="300" w:after="90" w:line="240" w:lineRule="auto"/>
      <w:outlineLvl w:val="2"/>
    </w:pPr>
    <w:rPr>
      <w:b/>
      <w:sz w:val="23"/>
    </w:rPr>
  </w:style>
  <w:style w:type="paragraph" w:styleId="Heading4">
    <w:name w:val="heading 4"/>
    <w:basedOn w:val="Normal"/>
    <w:next w:val="BodyText"/>
    <w:link w:val="Heading4Char"/>
    <w:qFormat/>
    <w:rsid w:val="00AE1DE7"/>
    <w:pPr>
      <w:keepNext/>
      <w:keepLines/>
      <w:tabs>
        <w:tab w:val="left" w:pos="1418"/>
        <w:tab w:val="left" w:pos="1701"/>
        <w:tab w:val="left" w:pos="1985"/>
      </w:tabs>
      <w:spacing w:before="310" w:after="110" w:line="240" w:lineRule="auto"/>
      <w:outlineLvl w:val="3"/>
    </w:pPr>
    <w:rPr>
      <w:rFonts w:eastAsiaTheme="majorEastAsia" w:cstheme="majorBidi"/>
      <w:b/>
      <w:bCs/>
      <w:i/>
      <w:iCs/>
      <w:color w:val="000000" w:themeColor="text1"/>
      <w:sz w:val="23"/>
    </w:rPr>
  </w:style>
  <w:style w:type="paragraph" w:styleId="Heading5">
    <w:name w:val="heading 5"/>
    <w:basedOn w:val="Normal"/>
    <w:next w:val="BodyText"/>
    <w:link w:val="Heading5Char"/>
    <w:qFormat/>
    <w:rsid w:val="00AE1DE7"/>
    <w:pPr>
      <w:keepNext/>
      <w:keepLines/>
      <w:spacing w:before="310" w:after="110" w:line="240" w:lineRule="auto"/>
      <w:outlineLvl w:val="4"/>
    </w:pPr>
    <w:rPr>
      <w:rFonts w:asciiTheme="majorHAnsi" w:eastAsiaTheme="majorEastAsia" w:hAnsiTheme="majorHAnsi" w:cstheme="majorBidi"/>
      <w:i/>
      <w:color w:val="000000" w:themeColor="text1"/>
      <w:sz w:val="23"/>
    </w:rPr>
  </w:style>
  <w:style w:type="paragraph" w:styleId="Heading6">
    <w:name w:val="heading 6"/>
    <w:basedOn w:val="Normal"/>
    <w:next w:val="BodyText"/>
    <w:link w:val="Heading6Char"/>
    <w:qFormat/>
    <w:rsid w:val="0081085D"/>
    <w:pPr>
      <w:keepNext/>
      <w:keepLines/>
      <w:spacing w:before="310" w:after="110" w:line="240" w:lineRule="auto"/>
      <w:outlineLvl w:val="5"/>
    </w:pPr>
    <w:rPr>
      <w:rFonts w:asciiTheme="majorHAnsi" w:eastAsiaTheme="majorEastAsia" w:hAnsiTheme="majorHAnsi" w:cstheme="majorBidi"/>
      <w:i/>
      <w:iCs/>
      <w:color w:val="3D4D7D" w:themeColor="background2"/>
      <w:sz w:val="23"/>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29"/>
    <w:rsid w:val="0081085D"/>
    <w:pPr>
      <w:keepNext/>
      <w:keepLines/>
      <w:numPr>
        <w:numId w:val="1"/>
      </w:numPr>
      <w:tabs>
        <w:tab w:val="left" w:pos="4536"/>
      </w:tabs>
      <w:spacing w:after="600" w:line="204" w:lineRule="auto"/>
      <w:outlineLvl w:val="7"/>
    </w:pPr>
    <w:rPr>
      <w:rFonts w:ascii="Calibri Light" w:eastAsiaTheme="majorEastAsia" w:hAnsi="Calibri Light" w:cstheme="majorBidi"/>
      <w:color w:val="3D4D7D" w:themeColor="background2"/>
      <w:sz w:val="52"/>
    </w:rPr>
  </w:style>
  <w:style w:type="paragraph" w:styleId="Heading9">
    <w:name w:val="heading 9"/>
    <w:aliases w:val="Appendix Heading 1"/>
    <w:basedOn w:val="Normal"/>
    <w:next w:val="BodyText"/>
    <w:link w:val="Heading9Char"/>
    <w:uiPriority w:val="29"/>
    <w:rsid w:val="0081085D"/>
    <w:pPr>
      <w:keepNext/>
      <w:keepLines/>
      <w:numPr>
        <w:ilvl w:val="1"/>
        <w:numId w:val="1"/>
      </w:numPr>
      <w:tabs>
        <w:tab w:val="left" w:pos="1559"/>
        <w:tab w:val="left" w:pos="1843"/>
        <w:tab w:val="left" w:pos="2126"/>
        <w:tab w:val="left" w:pos="2410"/>
      </w:tabs>
      <w:spacing w:before="330" w:after="80" w:line="240" w:lineRule="auto"/>
      <w:outlineLvl w:val="8"/>
    </w:pPr>
    <w:rPr>
      <w:b/>
      <w:color w:val="3D4D7D" w:themeColor="background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5"/>
    <w:rsid w:val="00F7087C"/>
    <w:pPr>
      <w:tabs>
        <w:tab w:val="left" w:pos="425"/>
      </w:tabs>
      <w:spacing w:before="60" w:line="240" w:lineRule="exact"/>
      <w:ind w:left="284" w:hanging="284"/>
    </w:pPr>
    <w:rPr>
      <w:kern w:val="16"/>
      <w:sz w:val="18"/>
    </w:rPr>
  </w:style>
  <w:style w:type="character" w:customStyle="1" w:styleId="FootnoteTextChar">
    <w:name w:val="Footnote Text Char"/>
    <w:basedOn w:val="DefaultParagraphFont"/>
    <w:link w:val="FootnoteText"/>
    <w:uiPriority w:val="5"/>
    <w:rsid w:val="00F7087C"/>
    <w:rPr>
      <w:kern w:val="16"/>
      <w:sz w:val="18"/>
    </w:rPr>
  </w:style>
  <w:style w:type="character" w:styleId="FootnoteReference">
    <w:name w:val="footnote reference"/>
    <w:basedOn w:val="DefaultParagraphFont"/>
    <w:uiPriority w:val="5"/>
    <w:rsid w:val="00961DBB"/>
    <w:rPr>
      <w:rFonts w:asciiTheme="minorHAnsi" w:hAnsiTheme="minorHAnsi"/>
      <w:color w:val="auto"/>
      <w:vertAlign w:val="superscript"/>
    </w:rPr>
  </w:style>
  <w:style w:type="paragraph" w:styleId="BodyText">
    <w:name w:val="Body Text"/>
    <w:basedOn w:val="Normal"/>
    <w:link w:val="BodyTextChar"/>
    <w:qFormat/>
    <w:rsid w:val="00D264C9"/>
    <w:pPr>
      <w:spacing w:before="120"/>
    </w:pPr>
    <w:rPr>
      <w:rFonts w:cs="Times New Roman"/>
    </w:rPr>
  </w:style>
  <w:style w:type="character" w:customStyle="1" w:styleId="BodyTextChar">
    <w:name w:val="Body Text Char"/>
    <w:basedOn w:val="DefaultParagraphFont"/>
    <w:link w:val="BodyText"/>
    <w:rsid w:val="00D264C9"/>
    <w:rPr>
      <w:rFonts w:cs="Times New Roman"/>
    </w:rPr>
  </w:style>
  <w:style w:type="table" w:customStyle="1" w:styleId="PullOutBoxwithDecorativeLines">
    <w:name w:val="Pull Out Box with Decorative Lines"/>
    <w:basedOn w:val="TableNormal"/>
    <w:uiPriority w:val="99"/>
    <w:rsid w:val="00403A8E"/>
    <w:pPr>
      <w:keepNext/>
      <w:keepLines/>
      <w:spacing w:before="120" w:after="120" w:line="276" w:lineRule="auto"/>
    </w:pPr>
    <w:tblPr>
      <w:tblCellMar>
        <w:top w:w="28" w:type="dxa"/>
        <w:left w:w="0" w:type="dxa"/>
        <w:bottom w:w="28" w:type="dxa"/>
        <w:right w:w="0" w:type="dxa"/>
      </w:tblCellMar>
    </w:tblPr>
    <w:trPr>
      <w:cantSplit/>
    </w:trPr>
    <w:tblStylePr w:type="firstRow">
      <w:pPr>
        <w:keepNext/>
        <w:wordWrap/>
        <w:spacing w:beforeLines="0" w:before="0" w:beforeAutospacing="0" w:afterLines="0" w:after="0" w:afterAutospacing="0" w:line="80" w:lineRule="exact"/>
      </w:pPr>
      <w:rPr>
        <w:sz w:val="14"/>
      </w:rPr>
      <w:tblPr/>
      <w:tcPr>
        <w:tcBorders>
          <w:top w:val="nil"/>
          <w:left w:val="nil"/>
          <w:bottom w:val="nil"/>
          <w:right w:val="nil"/>
          <w:insideH w:val="nil"/>
          <w:insideV w:val="nil"/>
          <w:tl2br w:val="nil"/>
          <w:tr2bl w:val="nil"/>
        </w:tcBorders>
      </w:tcPr>
    </w:tblStylePr>
    <w:tblStylePr w:type="lastRow">
      <w:pPr>
        <w:wordWrap/>
        <w:spacing w:beforeLines="0" w:before="0" w:beforeAutospacing="0" w:afterLines="0" w:after="0" w:afterAutospacing="0" w:line="80" w:lineRule="exact"/>
      </w:pPr>
    </w:tblStylePr>
  </w:style>
  <w:style w:type="character" w:customStyle="1" w:styleId="Heading1Char">
    <w:name w:val="Heading 1 Char"/>
    <w:basedOn w:val="DefaultParagraphFont"/>
    <w:link w:val="Heading1"/>
    <w:rsid w:val="0081085D"/>
    <w:rPr>
      <w:rFonts w:ascii="Calibri Light" w:hAnsi="Calibri Light"/>
      <w:bCs/>
      <w:color w:val="3D4D7D" w:themeColor="background2"/>
      <w:kern w:val="32"/>
      <w:sz w:val="52"/>
      <w:szCs w:val="32"/>
    </w:rPr>
  </w:style>
  <w:style w:type="character" w:customStyle="1" w:styleId="Heading2Char">
    <w:name w:val="Heading 2 Char"/>
    <w:basedOn w:val="DefaultParagraphFont"/>
    <w:link w:val="Heading2"/>
    <w:rsid w:val="0081085D"/>
    <w:rPr>
      <w:rFonts w:asciiTheme="majorHAnsi" w:hAnsiTheme="majorHAnsi"/>
      <w:b/>
      <w:bCs/>
      <w:iCs/>
      <w:color w:val="3D4D7D" w:themeColor="background2"/>
      <w:kern w:val="20"/>
      <w:sz w:val="28"/>
      <w:szCs w:val="28"/>
    </w:rPr>
  </w:style>
  <w:style w:type="character" w:customStyle="1" w:styleId="Heading3Char">
    <w:name w:val="Heading 3 Char"/>
    <w:basedOn w:val="DefaultParagraphFont"/>
    <w:link w:val="Heading3"/>
    <w:rsid w:val="00553445"/>
    <w:rPr>
      <w:b/>
      <w:sz w:val="23"/>
    </w:rPr>
  </w:style>
  <w:style w:type="character" w:customStyle="1" w:styleId="Heading4Char">
    <w:name w:val="Heading 4 Char"/>
    <w:basedOn w:val="DefaultParagraphFont"/>
    <w:link w:val="Heading4"/>
    <w:rsid w:val="00AE1DE7"/>
    <w:rPr>
      <w:rFonts w:eastAsiaTheme="majorEastAsia" w:cstheme="majorBidi"/>
      <w:b/>
      <w:bCs/>
      <w:i/>
      <w:iCs/>
      <w:color w:val="000000" w:themeColor="text1"/>
      <w:sz w:val="23"/>
    </w:rPr>
  </w:style>
  <w:style w:type="character" w:customStyle="1" w:styleId="Heading5Char">
    <w:name w:val="Heading 5 Char"/>
    <w:basedOn w:val="DefaultParagraphFont"/>
    <w:link w:val="Heading5"/>
    <w:rsid w:val="00AE1DE7"/>
    <w:rPr>
      <w:rFonts w:asciiTheme="majorHAnsi" w:eastAsiaTheme="majorEastAsia" w:hAnsiTheme="majorHAnsi" w:cstheme="majorBidi"/>
      <w:i/>
      <w:color w:val="000000" w:themeColor="text1"/>
      <w:sz w:val="23"/>
    </w:rPr>
  </w:style>
  <w:style w:type="character" w:customStyle="1" w:styleId="Heading6Char">
    <w:name w:val="Heading 6 Char"/>
    <w:basedOn w:val="DefaultParagraphFont"/>
    <w:link w:val="Heading6"/>
    <w:rsid w:val="0081085D"/>
    <w:rPr>
      <w:rFonts w:asciiTheme="majorHAnsi" w:eastAsiaTheme="majorEastAsia" w:hAnsiTheme="majorHAnsi" w:cstheme="majorBidi"/>
      <w:i/>
      <w:iCs/>
      <w:color w:val="3D4D7D" w:themeColor="background2"/>
      <w:sz w:val="23"/>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uiPriority w:val="29"/>
    <w:rsid w:val="0081085D"/>
    <w:rPr>
      <w:rFonts w:ascii="Calibri Light" w:eastAsiaTheme="majorEastAsia" w:hAnsi="Calibri Light" w:cstheme="majorBidi"/>
      <w:color w:val="3D4D7D" w:themeColor="background2"/>
      <w:sz w:val="52"/>
    </w:rPr>
  </w:style>
  <w:style w:type="character" w:customStyle="1" w:styleId="Heading9Char">
    <w:name w:val="Heading 9 Char"/>
    <w:aliases w:val="Appendix Heading 1 Char"/>
    <w:basedOn w:val="DefaultParagraphFont"/>
    <w:link w:val="Heading9"/>
    <w:uiPriority w:val="29"/>
    <w:rsid w:val="0081085D"/>
    <w:rPr>
      <w:b/>
      <w:color w:val="3D4D7D" w:themeColor="background2"/>
      <w:sz w:val="28"/>
    </w:rPr>
  </w:style>
  <w:style w:type="paragraph" w:customStyle="1" w:styleId="AppendixHeading2">
    <w:name w:val="Appendix Heading 2"/>
    <w:basedOn w:val="Normal"/>
    <w:next w:val="BodyText"/>
    <w:uiPriority w:val="30"/>
    <w:rsid w:val="0081085D"/>
    <w:pPr>
      <w:keepNext/>
      <w:keepLines/>
      <w:numPr>
        <w:ilvl w:val="2"/>
        <w:numId w:val="1"/>
      </w:numPr>
      <w:tabs>
        <w:tab w:val="left" w:pos="1559"/>
        <w:tab w:val="left" w:pos="1843"/>
        <w:tab w:val="left" w:pos="2126"/>
        <w:tab w:val="left" w:pos="2410"/>
      </w:tabs>
      <w:spacing w:before="300" w:after="90" w:line="240" w:lineRule="auto"/>
    </w:pPr>
    <w:rPr>
      <w:rFonts w:asciiTheme="majorHAnsi" w:hAnsiTheme="majorHAnsi"/>
      <w:b/>
      <w:sz w:val="23"/>
    </w:rPr>
  </w:style>
  <w:style w:type="paragraph" w:customStyle="1" w:styleId="AppendixHeading3">
    <w:name w:val="Appendix Heading 3"/>
    <w:basedOn w:val="Normal"/>
    <w:next w:val="BodyText"/>
    <w:uiPriority w:val="30"/>
    <w:rsid w:val="0081085D"/>
    <w:pPr>
      <w:keepNext/>
      <w:keepLines/>
      <w:numPr>
        <w:ilvl w:val="3"/>
        <w:numId w:val="1"/>
      </w:numPr>
      <w:tabs>
        <w:tab w:val="left" w:pos="1559"/>
        <w:tab w:val="left" w:pos="1843"/>
        <w:tab w:val="left" w:pos="2126"/>
        <w:tab w:val="left" w:pos="2410"/>
        <w:tab w:val="left" w:pos="6804"/>
      </w:tabs>
      <w:spacing w:before="310" w:after="110" w:line="240" w:lineRule="auto"/>
    </w:pPr>
    <w:rPr>
      <w:rFonts w:asciiTheme="majorHAnsi" w:hAnsiTheme="majorHAnsi"/>
      <w:b/>
      <w:i/>
      <w:color w:val="000000" w:themeColor="text1"/>
      <w:sz w:val="23"/>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CaptionDescriptor"/>
    <w:qFormat/>
    <w:rsid w:val="001F78AC"/>
    <w:pPr>
      <w:keepNext/>
      <w:spacing w:before="40" w:after="40" w:line="240" w:lineRule="auto"/>
      <w:jc w:val="center"/>
    </w:pPr>
    <w:rPr>
      <w:b/>
      <w:bCs/>
      <w:color w:val="3D4D7D" w:themeColor="background2"/>
    </w:rPr>
  </w:style>
  <w:style w:type="paragraph" w:styleId="Footer">
    <w:name w:val="footer"/>
    <w:basedOn w:val="Normal"/>
    <w:link w:val="FooterChar"/>
    <w:uiPriority w:val="99"/>
    <w:rsid w:val="00F24BF6"/>
    <w:pPr>
      <w:spacing w:line="240" w:lineRule="auto"/>
    </w:pPr>
    <w:rPr>
      <w:caps/>
      <w:color w:val="000000" w:themeColor="text1"/>
      <w:spacing w:val="5"/>
      <w:sz w:val="16"/>
    </w:rPr>
  </w:style>
  <w:style w:type="character" w:customStyle="1" w:styleId="FooterChar">
    <w:name w:val="Footer Char"/>
    <w:basedOn w:val="DefaultParagraphFont"/>
    <w:link w:val="Footer"/>
    <w:uiPriority w:val="99"/>
    <w:rsid w:val="00F24BF6"/>
    <w:rPr>
      <w:caps/>
      <w:color w:val="000000" w:themeColor="text1"/>
      <w:spacing w:val="5"/>
      <w:sz w:val="16"/>
    </w:rPr>
  </w:style>
  <w:style w:type="paragraph" w:customStyle="1" w:styleId="FooterLeft">
    <w:name w:val="Footer Left"/>
    <w:basedOn w:val="Footer"/>
    <w:uiPriority w:val="99"/>
    <w:rsid w:val="00023A6F"/>
  </w:style>
  <w:style w:type="paragraph" w:customStyle="1" w:styleId="FooterRight">
    <w:name w:val="Footer Right"/>
    <w:basedOn w:val="FooterLeft"/>
    <w:next w:val="Footer"/>
    <w:uiPriority w:val="99"/>
    <w:rsid w:val="00023A6F"/>
    <w:pPr>
      <w:jc w:val="right"/>
    </w:pPr>
    <w:rPr>
      <w:rFonts w:eastAsia="Times New Roman" w:cs="Arial"/>
      <w:noProof/>
      <w:lang w:eastAsia="en-AU"/>
    </w:rPr>
  </w:style>
  <w:style w:type="paragraph" w:customStyle="1" w:styleId="FooterRightPageNumber">
    <w:name w:val="Footer Right Page Number"/>
    <w:basedOn w:val="Normal"/>
    <w:uiPriority w:val="99"/>
    <w:rsid w:val="008E2623"/>
    <w:pPr>
      <w:spacing w:line="240" w:lineRule="auto"/>
      <w:ind w:right="652"/>
      <w:jc w:val="right"/>
    </w:pPr>
    <w:rPr>
      <w:rFonts w:eastAsia="Times New Roman" w:cs="Arial"/>
      <w:b/>
      <w:noProof/>
      <w:color w:val="000000" w:themeColor="text1"/>
      <w:sz w:val="16"/>
      <w:lang w:eastAsia="en-AU"/>
    </w:rPr>
  </w:style>
  <w:style w:type="paragraph" w:customStyle="1" w:styleId="FooterLeftPageNumber">
    <w:name w:val="Footer Left Page Number"/>
    <w:basedOn w:val="Footer"/>
    <w:uiPriority w:val="99"/>
    <w:rsid w:val="008E2623"/>
    <w:pPr>
      <w:ind w:left="652"/>
    </w:pPr>
    <w:rPr>
      <w:b/>
      <w:caps w:val="0"/>
      <w:spacing w:val="0"/>
    </w:rPr>
  </w:style>
  <w:style w:type="paragraph" w:customStyle="1" w:styleId="FootnoteSeparator">
    <w:name w:val="Footnote Separator"/>
    <w:basedOn w:val="Normal"/>
    <w:uiPriority w:val="2"/>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961DBB"/>
    <w:pPr>
      <w:spacing w:line="240" w:lineRule="auto"/>
    </w:pPr>
  </w:style>
  <w:style w:type="character" w:customStyle="1" w:styleId="HeaderChar">
    <w:name w:val="Header Char"/>
    <w:basedOn w:val="DefaultParagraphFont"/>
    <w:link w:val="Header"/>
    <w:uiPriority w:val="99"/>
    <w:rsid w:val="00A77F60"/>
  </w:style>
  <w:style w:type="paragraph" w:customStyle="1" w:styleId="Introduction">
    <w:name w:val="Introduction"/>
    <w:basedOn w:val="Normal"/>
    <w:next w:val="BodyText"/>
    <w:qFormat/>
    <w:rsid w:val="00BA1E8D"/>
    <w:pPr>
      <w:spacing w:before="180" w:after="180" w:line="216" w:lineRule="auto"/>
    </w:pPr>
    <w:rPr>
      <w:b/>
      <w:color w:val="8D487F" w:themeColor="accent1"/>
      <w:sz w:val="24"/>
    </w:rPr>
  </w:style>
  <w:style w:type="character" w:customStyle="1" w:styleId="Italics">
    <w:name w:val="Italics"/>
    <w:rsid w:val="00961DBB"/>
    <w:rPr>
      <w:i/>
    </w:rPr>
  </w:style>
  <w:style w:type="paragraph" w:styleId="ListBullet">
    <w:name w:val="List Bullet"/>
    <w:basedOn w:val="Normal"/>
    <w:unhideWhenUsed/>
    <w:qFormat/>
    <w:rsid w:val="00D264C9"/>
    <w:pPr>
      <w:keepLines/>
      <w:numPr>
        <w:numId w:val="16"/>
      </w:numPr>
      <w:spacing w:before="120"/>
    </w:pPr>
  </w:style>
  <w:style w:type="paragraph" w:styleId="ListBullet2">
    <w:name w:val="List Bullet 2"/>
    <w:basedOn w:val="ListBullet"/>
    <w:unhideWhenUsed/>
    <w:qFormat/>
    <w:rsid w:val="00D264C9"/>
    <w:pPr>
      <w:numPr>
        <w:ilvl w:val="1"/>
      </w:numPr>
    </w:pPr>
    <w:rPr>
      <w:color w:val="000000" w:themeColor="text1"/>
    </w:rPr>
  </w:style>
  <w:style w:type="paragraph" w:styleId="ListBullet3">
    <w:name w:val="List Bullet 3"/>
    <w:basedOn w:val="ListBullet2"/>
    <w:unhideWhenUsed/>
    <w:rsid w:val="00D264C9"/>
    <w:pPr>
      <w:numPr>
        <w:ilvl w:val="2"/>
      </w:numPr>
      <w:ind w:left="851"/>
    </w:pPr>
  </w:style>
  <w:style w:type="paragraph" w:styleId="ListContinue">
    <w:name w:val="List Continue"/>
    <w:basedOn w:val="Normal"/>
    <w:qFormat/>
    <w:rsid w:val="00503B7F"/>
    <w:pPr>
      <w:spacing w:before="120"/>
      <w:ind w:left="284"/>
    </w:pPr>
  </w:style>
  <w:style w:type="paragraph" w:styleId="ListContinue2">
    <w:name w:val="List Continue 2"/>
    <w:basedOn w:val="Normal"/>
    <w:qFormat/>
    <w:rsid w:val="00503B7F"/>
    <w:pPr>
      <w:spacing w:before="120"/>
      <w:ind w:left="567"/>
    </w:pPr>
  </w:style>
  <w:style w:type="paragraph" w:styleId="ListNumber">
    <w:name w:val="List Number"/>
    <w:basedOn w:val="Normal"/>
    <w:qFormat/>
    <w:rsid w:val="00503B7F"/>
    <w:pPr>
      <w:numPr>
        <w:numId w:val="23"/>
      </w:numPr>
      <w:spacing w:before="120"/>
    </w:pPr>
  </w:style>
  <w:style w:type="paragraph" w:styleId="ListNumber2">
    <w:name w:val="List Number 2"/>
    <w:basedOn w:val="Normal"/>
    <w:qFormat/>
    <w:rsid w:val="00D264C9"/>
    <w:pPr>
      <w:numPr>
        <w:ilvl w:val="1"/>
        <w:numId w:val="23"/>
      </w:numPr>
      <w:spacing w:before="120"/>
    </w:pPr>
    <w:rPr>
      <w:spacing w:val="-1"/>
    </w:rPr>
  </w:style>
  <w:style w:type="paragraph" w:styleId="ListNumber3">
    <w:name w:val="List Number 3"/>
    <w:basedOn w:val="Normal"/>
    <w:qFormat/>
    <w:rsid w:val="00D264C9"/>
    <w:pPr>
      <w:numPr>
        <w:ilvl w:val="2"/>
        <w:numId w:val="23"/>
      </w:numPr>
      <w:spacing w:before="120"/>
      <w:ind w:left="851"/>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E54919"/>
    <w:pPr>
      <w:spacing w:before="120"/>
    </w:pPr>
  </w:style>
  <w:style w:type="paragraph" w:customStyle="1" w:styleId="OverviewHeading2">
    <w:name w:val="Overview Heading 2"/>
    <w:basedOn w:val="Normal"/>
    <w:next w:val="OverviewBodyText"/>
    <w:rsid w:val="0081085D"/>
    <w:pPr>
      <w:keepNext/>
      <w:keepLines/>
      <w:spacing w:before="330" w:after="80" w:line="240" w:lineRule="auto"/>
    </w:pPr>
    <w:rPr>
      <w:b/>
      <w:color w:val="3D4D7D" w:themeColor="background2"/>
      <w:sz w:val="28"/>
    </w:rPr>
  </w:style>
  <w:style w:type="paragraph" w:customStyle="1" w:styleId="OverviewHeading3">
    <w:name w:val="Overview Heading 3"/>
    <w:basedOn w:val="OverviewHeading2"/>
    <w:next w:val="OverviewBodyText"/>
    <w:rsid w:val="005050DA"/>
    <w:pPr>
      <w:spacing w:before="300" w:after="90"/>
    </w:pPr>
    <w:rPr>
      <w:color w:val="000000" w:themeColor="text1"/>
      <w:sz w:val="23"/>
    </w:rPr>
  </w:style>
  <w:style w:type="character" w:styleId="PageNumber">
    <w:name w:val="page number"/>
    <w:basedOn w:val="DefaultParagraphFont"/>
    <w:semiHidden/>
    <w:rsid w:val="00961DBB"/>
    <w:rPr>
      <w:rFonts w:ascii="Arial" w:hAnsi="Arial"/>
      <w:b/>
      <w:color w:val="auto"/>
      <w:sz w:val="16"/>
    </w:rPr>
  </w:style>
  <w:style w:type="paragraph" w:customStyle="1" w:styleId="PullOutBoxBodyText">
    <w:name w:val="Pull Out Box Body Text"/>
    <w:basedOn w:val="Normal"/>
    <w:qFormat/>
    <w:rsid w:val="0081085D"/>
    <w:pPr>
      <w:spacing w:before="120" w:after="120" w:line="320" w:lineRule="atLeast"/>
      <w:ind w:left="284" w:right="284"/>
    </w:pPr>
    <w:rPr>
      <w:rFonts w:eastAsia="Times New Roman" w:cs="Arial"/>
      <w:b/>
      <w:i/>
      <w:color w:val="3D4D7D" w:themeColor="background2"/>
      <w:spacing w:val="-1"/>
      <w:lang w:eastAsia="en-AU"/>
    </w:rPr>
  </w:style>
  <w:style w:type="paragraph" w:customStyle="1" w:styleId="PullOutBoxBullet">
    <w:name w:val="Pull Out Box Bullet"/>
    <w:basedOn w:val="PullOutBoxBodyText"/>
    <w:qFormat/>
    <w:rsid w:val="00B2295B"/>
    <w:pPr>
      <w:numPr>
        <w:numId w:val="9"/>
      </w:numPr>
      <w:spacing w:before="60" w:after="60"/>
    </w:pPr>
  </w:style>
  <w:style w:type="paragraph" w:customStyle="1" w:styleId="PullOutBoxBullet2">
    <w:name w:val="Pull Out Box Bullet 2"/>
    <w:basedOn w:val="PullOutBoxBodyText"/>
    <w:qFormat/>
    <w:rsid w:val="00B2295B"/>
    <w:pPr>
      <w:numPr>
        <w:ilvl w:val="1"/>
        <w:numId w:val="9"/>
      </w:numPr>
      <w:spacing w:before="60" w:after="60"/>
    </w:pPr>
  </w:style>
  <w:style w:type="paragraph" w:customStyle="1" w:styleId="PullOutBoxBullet3">
    <w:name w:val="Pull Out Box Bullet 3"/>
    <w:basedOn w:val="PullOutBoxBodyText"/>
    <w:semiHidden/>
    <w:qFormat/>
    <w:rsid w:val="00B2295B"/>
    <w:pPr>
      <w:numPr>
        <w:ilvl w:val="2"/>
        <w:numId w:val="9"/>
      </w:numPr>
      <w:spacing w:before="60" w:after="60"/>
    </w:pPr>
  </w:style>
  <w:style w:type="paragraph" w:customStyle="1" w:styleId="PullOutBoxHeading">
    <w:name w:val="Pull Out Box Heading"/>
    <w:basedOn w:val="PullOutBoxBodyText"/>
    <w:qFormat/>
    <w:rsid w:val="00413CE6"/>
    <w:pPr>
      <w:keepNext/>
      <w:keepLines/>
      <w:spacing w:before="114" w:after="114" w:line="360" w:lineRule="atLeast"/>
    </w:pPr>
    <w:rPr>
      <w:sz w:val="28"/>
    </w:rPr>
  </w:style>
  <w:style w:type="paragraph" w:customStyle="1" w:styleId="PullOutBoxNumber">
    <w:name w:val="Pull Out Box Number"/>
    <w:basedOn w:val="PullOutBoxBodyText"/>
    <w:qFormat/>
    <w:rsid w:val="00B2295B"/>
    <w:pPr>
      <w:numPr>
        <w:numId w:val="10"/>
      </w:numPr>
      <w:spacing w:before="60" w:after="60"/>
    </w:pPr>
  </w:style>
  <w:style w:type="paragraph" w:customStyle="1" w:styleId="PullOutBoxNumber2">
    <w:name w:val="Pull Out Box Number 2"/>
    <w:basedOn w:val="PullOutBoxBodyText"/>
    <w:qFormat/>
    <w:rsid w:val="00B2295B"/>
    <w:pPr>
      <w:numPr>
        <w:ilvl w:val="1"/>
        <w:numId w:val="10"/>
      </w:numPr>
      <w:spacing w:before="60" w:after="60"/>
    </w:pPr>
  </w:style>
  <w:style w:type="paragraph" w:customStyle="1" w:styleId="PullOutBoxNumber3">
    <w:name w:val="Pull Out Box Number 3"/>
    <w:basedOn w:val="PullOutBoxBodyText"/>
    <w:qFormat/>
    <w:rsid w:val="00B2295B"/>
    <w:pPr>
      <w:numPr>
        <w:ilvl w:val="2"/>
        <w:numId w:val="10"/>
      </w:numPr>
      <w:spacing w:before="60" w:after="60"/>
    </w:pPr>
  </w:style>
  <w:style w:type="table" w:customStyle="1" w:styleId="PullOutBoxTable">
    <w:name w:val="Pull Out Box Table"/>
    <w:basedOn w:val="TableNormal"/>
    <w:uiPriority w:val="99"/>
    <w:rsid w:val="00AD2869"/>
    <w:pPr>
      <w:spacing w:before="120" w:after="120" w:line="320" w:lineRule="atLeast"/>
      <w:ind w:left="284" w:right="284"/>
    </w:pPr>
    <w:rPr>
      <w:rFonts w:eastAsia="Times New Roman" w:cs="Arial"/>
      <w:color w:val="3D4D7D" w:themeColor="background2"/>
      <w:lang w:eastAsia="en-AU"/>
    </w:rPr>
    <w:tblPr>
      <w:tblBorders>
        <w:top w:val="single" w:sz="4" w:space="0" w:color="FEF5DF"/>
        <w:left w:val="single" w:sz="4" w:space="0" w:color="FEF5DF"/>
        <w:bottom w:val="single" w:sz="4" w:space="0" w:color="FEF5DF"/>
        <w:right w:val="single" w:sz="4" w:space="0" w:color="FEF5DF"/>
        <w:insideH w:val="single" w:sz="4" w:space="0" w:color="FEF5DF"/>
        <w:insideV w:val="single" w:sz="4" w:space="0" w:color="FEF5DF"/>
      </w:tblBorders>
      <w:tblCellMar>
        <w:top w:w="142" w:type="dxa"/>
        <w:left w:w="0" w:type="dxa"/>
        <w:bottom w:w="142" w:type="dxa"/>
        <w:right w:w="0" w:type="dxa"/>
      </w:tblCellMar>
    </w:tblPr>
    <w:tcPr>
      <w:shd w:val="clear" w:color="auto" w:fill="FEF5DF"/>
    </w:tcPr>
  </w:style>
  <w:style w:type="paragraph" w:styleId="Quote">
    <w:name w:val="Quote"/>
    <w:basedOn w:val="Normal"/>
    <w:link w:val="QuoteChar"/>
    <w:qFormat/>
    <w:rsid w:val="00A326AE"/>
    <w:pPr>
      <w:tabs>
        <w:tab w:val="left" w:pos="1134"/>
      </w:tabs>
      <w:spacing w:before="120"/>
      <w:ind w:left="284"/>
    </w:pPr>
    <w:rPr>
      <w:i/>
      <w:iCs/>
    </w:rPr>
  </w:style>
  <w:style w:type="character" w:customStyle="1" w:styleId="QuoteChar">
    <w:name w:val="Quote Char"/>
    <w:basedOn w:val="DefaultParagraphFont"/>
    <w:link w:val="Quote"/>
    <w:rsid w:val="00A326AE"/>
    <w:rPr>
      <w:i/>
      <w:iCs/>
    </w:rPr>
  </w:style>
  <w:style w:type="paragraph" w:customStyle="1" w:styleId="QuoteBullet">
    <w:name w:val="Quote Bullet"/>
    <w:basedOn w:val="Quote"/>
    <w:qFormat/>
    <w:rsid w:val="00A326AE"/>
    <w:pPr>
      <w:numPr>
        <w:numId w:val="4"/>
      </w:numPr>
      <w:ind w:left="568" w:hanging="284"/>
    </w:pPr>
  </w:style>
  <w:style w:type="paragraph" w:customStyle="1" w:styleId="QuoteBullet2">
    <w:name w:val="Quote Bullet 2"/>
    <w:basedOn w:val="Quote"/>
    <w:qFormat/>
    <w:rsid w:val="002D14CD"/>
    <w:pPr>
      <w:numPr>
        <w:ilvl w:val="1"/>
        <w:numId w:val="4"/>
      </w:numPr>
      <w:tabs>
        <w:tab w:val="clear" w:pos="1134"/>
      </w:tabs>
    </w:pPr>
  </w:style>
  <w:style w:type="character" w:customStyle="1" w:styleId="Superscript">
    <w:name w:val="Superscript"/>
    <w:rsid w:val="00961DBB"/>
    <w:rPr>
      <w:vertAlign w:val="superscript"/>
    </w:rPr>
  </w:style>
  <w:style w:type="table" w:customStyle="1" w:styleId="TableGridDarkHeader">
    <w:name w:val="Table Grid Dark Header"/>
    <w:basedOn w:val="TableNormal"/>
    <w:uiPriority w:val="99"/>
    <w:rsid w:val="00AD2869"/>
    <w:pPr>
      <w:spacing w:before="40" w:after="40" w:line="240" w:lineRule="auto"/>
    </w:pPr>
    <w:rPr>
      <w:sz w:val="20"/>
    </w:rPr>
    <w:tblPr>
      <w:tblStyleRowBandSize w:val="1"/>
      <w:tblCellMar>
        <w:top w:w="57" w:type="dxa"/>
        <w:left w:w="0" w:type="dxa"/>
        <w:bottom w:w="57" w:type="dxa"/>
        <w:right w:w="0" w:type="dxa"/>
      </w:tblCellMar>
    </w:tblPr>
    <w:tblStylePr w:type="firstRow">
      <w:rPr>
        <w:b/>
        <w:color w:val="FFFFFF" w:themeColor="background1"/>
      </w:rPr>
      <w:tblPr/>
      <w:tcPr>
        <w:shd w:val="clear" w:color="auto" w:fill="3D4D7D" w:themeFill="background2"/>
      </w:tcPr>
    </w:tblStylePr>
    <w:tblStylePr w:type="lastRow">
      <w:rPr>
        <w:b/>
      </w:rPr>
      <w:tblPr/>
      <w:tcPr>
        <w:shd w:val="clear" w:color="auto" w:fill="A7B2D4" w:themeFill="background2" w:themeFillTint="66"/>
      </w:tcPr>
    </w:tblStylePr>
    <w:tblStylePr w:type="band1Horz">
      <w:tblPr/>
      <w:tcPr>
        <w:shd w:val="clear" w:color="auto" w:fill="D3D8E9" w:themeFill="background2" w:themeFillTint="33"/>
      </w:tcPr>
    </w:tblStylePr>
  </w:style>
  <w:style w:type="paragraph" w:customStyle="1" w:styleId="TableFootnotes">
    <w:name w:val="Table Footnotes"/>
    <w:basedOn w:val="Normal"/>
    <w:rsid w:val="001901A1"/>
    <w:pPr>
      <w:keepLines/>
      <w:numPr>
        <w:numId w:val="5"/>
      </w:numPr>
      <w:spacing w:before="60" w:after="60" w:line="260" w:lineRule="atLeast"/>
    </w:pPr>
    <w:rPr>
      <w:color w:val="788184"/>
      <w:sz w:val="18"/>
    </w:rPr>
  </w:style>
  <w:style w:type="table" w:styleId="TableGrid">
    <w:name w:val="Table Grid"/>
    <w:basedOn w:val="TableNormal"/>
    <w:rsid w:val="00AD2869"/>
    <w:pPr>
      <w:spacing w:before="40" w:after="40" w:line="240" w:lineRule="auto"/>
      <w:ind w:left="85" w:right="85"/>
    </w:pPr>
    <w:rPr>
      <w:sz w:val="20"/>
    </w:rPr>
    <w:tblPr>
      <w:tblStyleRowBandSize w:val="1"/>
      <w:tblBorders>
        <w:top w:val="single" w:sz="4" w:space="0" w:color="000000" w:themeColor="text1"/>
        <w:bottom w:val="single" w:sz="4" w:space="0" w:color="000000" w:themeColor="text1"/>
      </w:tblBorders>
      <w:tblCellMar>
        <w:top w:w="57" w:type="dxa"/>
        <w:left w:w="0" w:type="dxa"/>
        <w:bottom w:w="57" w:type="dxa"/>
        <w:right w:w="0" w:type="dxa"/>
      </w:tblCellMar>
    </w:tblPr>
    <w:tblStylePr w:type="firstRow">
      <w:rPr>
        <w:b/>
      </w:rPr>
      <w:tblPr/>
      <w:tcPr>
        <w:tcBorders>
          <w:bottom w:val="single" w:sz="4" w:space="0" w:color="auto"/>
        </w:tcBorders>
      </w:tcPr>
    </w:tblStylePr>
    <w:tblStylePr w:type="lastRow">
      <w:rPr>
        <w:b/>
      </w:rPr>
      <w:tblPr/>
      <w:tcPr>
        <w:shd w:val="clear" w:color="auto" w:fill="A7B2D4" w:themeFill="background2" w:themeFillTint="66"/>
      </w:tcPr>
    </w:tblStylePr>
    <w:tblStylePr w:type="band2Horz">
      <w:tblPr/>
      <w:tcPr>
        <w:shd w:val="clear" w:color="auto" w:fill="D3D8E9" w:themeFill="background2" w:themeFillTint="33"/>
      </w:tcPr>
    </w:tblStylePr>
    <w:tblStylePr w:type="nwCell">
      <w:rPr>
        <w:color w:val="000000" w:themeColor="text1"/>
      </w:rPr>
    </w:tblStylePr>
  </w:style>
  <w:style w:type="paragraph" w:customStyle="1" w:styleId="TableHeading">
    <w:name w:val="Table Heading"/>
    <w:basedOn w:val="Normal"/>
    <w:qFormat/>
    <w:rsid w:val="00297971"/>
    <w:pPr>
      <w:spacing w:before="40" w:after="40" w:line="240" w:lineRule="auto"/>
      <w:ind w:left="85" w:right="85"/>
    </w:pPr>
    <w:rPr>
      <w:color w:val="FFFFFF" w:themeColor="background1"/>
    </w:rPr>
  </w:style>
  <w:style w:type="paragraph" w:customStyle="1" w:styleId="TableHeadingCentred">
    <w:name w:val="Table Heading Centred"/>
    <w:basedOn w:val="Normal"/>
    <w:qFormat/>
    <w:rsid w:val="00CA5C20"/>
    <w:pPr>
      <w:spacing w:before="40" w:after="40" w:line="240" w:lineRule="auto"/>
      <w:jc w:val="center"/>
    </w:pPr>
  </w:style>
  <w:style w:type="paragraph" w:customStyle="1" w:styleId="TableHeadingRight">
    <w:name w:val="Table Heading Right"/>
    <w:basedOn w:val="Normal"/>
    <w:qFormat/>
    <w:rsid w:val="00CA5C20"/>
    <w:pPr>
      <w:spacing w:before="40" w:after="40" w:line="240" w:lineRule="auto"/>
      <w:jc w:val="right"/>
    </w:pPr>
  </w:style>
  <w:style w:type="paragraph" w:customStyle="1" w:styleId="Source">
    <w:name w:val="Source"/>
    <w:basedOn w:val="Normal"/>
    <w:next w:val="Normal"/>
    <w:rsid w:val="001901A1"/>
    <w:pPr>
      <w:spacing w:before="120" w:after="40" w:line="240" w:lineRule="auto"/>
    </w:pPr>
    <w:rPr>
      <w:rFonts w:cs="Times New Roman"/>
      <w:color w:val="788184"/>
      <w:sz w:val="18"/>
      <w:szCs w:val="14"/>
    </w:rPr>
  </w:style>
  <w:style w:type="paragraph" w:customStyle="1" w:styleId="TableText">
    <w:name w:val="Table Text"/>
    <w:basedOn w:val="Normal"/>
    <w:qFormat/>
    <w:rsid w:val="00456DEB"/>
    <w:pPr>
      <w:spacing w:before="40" w:after="40" w:line="240" w:lineRule="auto"/>
      <w:ind w:left="85" w:right="85"/>
    </w:pPr>
    <w:rPr>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6"/>
      </w:numPr>
    </w:pPr>
  </w:style>
  <w:style w:type="paragraph" w:customStyle="1" w:styleId="TableTextBullet2">
    <w:name w:val="Table Text Bullet 2"/>
    <w:basedOn w:val="TableTextBullet"/>
    <w:qFormat/>
    <w:rsid w:val="00961DBB"/>
    <w:pPr>
      <w:numPr>
        <w:ilvl w:val="1"/>
      </w:numPr>
    </w:pPr>
    <w:rPr>
      <w:bCs/>
    </w:rPr>
  </w:style>
  <w:style w:type="paragraph" w:customStyle="1" w:styleId="TableTextBullet3">
    <w:name w:val="Table Text Bullet 3"/>
    <w:basedOn w:val="TableTextBullet2"/>
    <w:qFormat/>
    <w:rsid w:val="00961DBB"/>
    <w:pPr>
      <w:numPr>
        <w:ilvl w:val="2"/>
      </w:numPr>
    </w:pPr>
    <w:rPr>
      <w:bCs w:val="0"/>
    </w:rPr>
  </w:style>
  <w:style w:type="paragraph" w:customStyle="1" w:styleId="TableTextNumber">
    <w:name w:val="Table Text Number"/>
    <w:basedOn w:val="TableText"/>
    <w:qFormat/>
    <w:rsid w:val="00961DBB"/>
    <w:pPr>
      <w:numPr>
        <w:numId w:val="7"/>
      </w:numPr>
    </w:pPr>
  </w:style>
  <w:style w:type="paragraph" w:customStyle="1" w:styleId="TableTextNumber2">
    <w:name w:val="Table Text Number 2"/>
    <w:basedOn w:val="TableTextNumber"/>
    <w:qFormat/>
    <w:rsid w:val="00961DBB"/>
    <w:pPr>
      <w:numPr>
        <w:ilvl w:val="1"/>
      </w:numPr>
    </w:pPr>
  </w:style>
  <w:style w:type="paragraph" w:customStyle="1" w:styleId="TableTextNumber3">
    <w:name w:val="Table Text Number 3"/>
    <w:basedOn w:val="TableTextNumber2"/>
    <w:qFormat/>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
    <w:rsid w:val="00785B35"/>
    <w:pPr>
      <w:spacing w:before="5700" w:after="280" w:line="235" w:lineRule="auto"/>
      <w:ind w:left="227" w:right="3119"/>
      <w:contextualSpacing/>
    </w:pPr>
    <w:rPr>
      <w:rFonts w:ascii="Calibri Light" w:eastAsiaTheme="majorEastAsia" w:hAnsi="Calibri Light" w:cstheme="majorBidi"/>
      <w:caps/>
      <w:color w:val="FFFFFF" w:themeColor="background1"/>
      <w:spacing w:val="14"/>
      <w:sz w:val="44"/>
      <w:szCs w:val="50"/>
      <w:lang w:eastAsia="en-AU"/>
    </w:rPr>
  </w:style>
  <w:style w:type="character" w:customStyle="1" w:styleId="TitleChar">
    <w:name w:val="Title Char"/>
    <w:basedOn w:val="DefaultParagraphFont"/>
    <w:link w:val="Title"/>
    <w:uiPriority w:val="3"/>
    <w:rsid w:val="00785B35"/>
    <w:rPr>
      <w:rFonts w:ascii="Calibri Light" w:eastAsiaTheme="majorEastAsia" w:hAnsi="Calibri Light" w:cstheme="majorBidi"/>
      <w:caps/>
      <w:color w:val="FFFFFF" w:themeColor="background1"/>
      <w:spacing w:val="14"/>
      <w:sz w:val="44"/>
      <w:szCs w:val="50"/>
      <w:lang w:eastAsia="en-AU"/>
    </w:rPr>
  </w:style>
  <w:style w:type="paragraph" w:customStyle="1" w:styleId="Title2">
    <w:name w:val="Title 2"/>
    <w:basedOn w:val="Normal"/>
    <w:link w:val="Title2Char"/>
    <w:uiPriority w:val="3"/>
    <w:rsid w:val="00785B35"/>
    <w:pPr>
      <w:spacing w:line="380" w:lineRule="atLeast"/>
      <w:ind w:left="227" w:right="3119"/>
    </w:pPr>
    <w:rPr>
      <w:rFonts w:asciiTheme="majorHAnsi" w:hAnsiTheme="majorHAnsi"/>
      <w:b/>
      <w:color w:val="FFFFFF" w:themeColor="background1"/>
      <w:spacing w:val="-1"/>
      <w:sz w:val="26"/>
    </w:rPr>
  </w:style>
  <w:style w:type="character" w:customStyle="1" w:styleId="Title2Char">
    <w:name w:val="Title 2 Char"/>
    <w:basedOn w:val="DefaultParagraphFont"/>
    <w:link w:val="Title2"/>
    <w:uiPriority w:val="3"/>
    <w:rsid w:val="00785B35"/>
    <w:rPr>
      <w:rFonts w:asciiTheme="majorHAnsi" w:hAnsiTheme="majorHAnsi"/>
      <w:b/>
      <w:color w:val="FFFFFF" w:themeColor="background1"/>
      <w:spacing w:val="-1"/>
      <w:sz w:val="26"/>
    </w:rPr>
  </w:style>
  <w:style w:type="paragraph" w:customStyle="1" w:styleId="Title3">
    <w:name w:val="Title 3"/>
    <w:basedOn w:val="Title2"/>
    <w:link w:val="Title3Char"/>
    <w:uiPriority w:val="3"/>
    <w:rsid w:val="0081085D"/>
    <w:pPr>
      <w:framePr w:w="2835" w:wrap="around" w:vAnchor="page" w:hAnchor="page" w:x="8591" w:y="7854"/>
      <w:spacing w:after="120" w:line="600" w:lineRule="atLeast"/>
      <w:ind w:right="0"/>
      <w:contextualSpacing/>
    </w:pPr>
    <w:rPr>
      <w:rFonts w:eastAsia="Times New Roman" w:cs="Arial"/>
      <w:b w:val="0"/>
      <w:color w:val="3D4D7D" w:themeColor="background2"/>
      <w:spacing w:val="0"/>
      <w:sz w:val="46"/>
      <w:lang w:eastAsia="en-AU"/>
    </w:rPr>
  </w:style>
  <w:style w:type="paragraph" w:styleId="TOC1">
    <w:name w:val="toc 1"/>
    <w:basedOn w:val="Normal"/>
    <w:next w:val="Normal"/>
    <w:uiPriority w:val="39"/>
    <w:rsid w:val="00E91C83"/>
    <w:pPr>
      <w:tabs>
        <w:tab w:val="left" w:pos="567"/>
        <w:tab w:val="right" w:pos="7654"/>
      </w:tabs>
      <w:spacing w:before="260" w:after="130" w:line="240" w:lineRule="auto"/>
      <w:ind w:left="567" w:right="1983" w:hanging="567"/>
    </w:pPr>
    <w:rPr>
      <w:b/>
      <w:noProof/>
      <w:color w:val="000000" w:themeColor="text1"/>
      <w:sz w:val="24"/>
    </w:rPr>
  </w:style>
  <w:style w:type="paragraph" w:styleId="TOC2">
    <w:name w:val="toc 2"/>
    <w:basedOn w:val="Normal"/>
    <w:next w:val="Normal"/>
    <w:uiPriority w:val="39"/>
    <w:rsid w:val="00E91C83"/>
    <w:pPr>
      <w:tabs>
        <w:tab w:val="left" w:pos="567"/>
        <w:tab w:val="right" w:pos="7654"/>
      </w:tabs>
      <w:spacing w:after="40" w:line="240" w:lineRule="auto"/>
      <w:ind w:left="567" w:right="1985" w:hanging="567"/>
    </w:pPr>
    <w:rPr>
      <w:rFonts w:ascii="Calibri Light" w:eastAsiaTheme="minorEastAsia" w:hAnsi="Calibri Light"/>
      <w:noProof/>
      <w:color w:val="000000" w:themeColor="text1"/>
      <w:sz w:val="24"/>
      <w:lang w:eastAsia="en-AU"/>
    </w:rPr>
  </w:style>
  <w:style w:type="paragraph" w:styleId="TOC3">
    <w:name w:val="toc 3"/>
    <w:basedOn w:val="Normal"/>
    <w:next w:val="Normal"/>
    <w:uiPriority w:val="39"/>
    <w:rsid w:val="00E91C83"/>
    <w:pPr>
      <w:tabs>
        <w:tab w:val="left" w:pos="1417"/>
        <w:tab w:val="right" w:pos="7654"/>
      </w:tabs>
      <w:spacing w:before="120" w:after="120" w:line="240" w:lineRule="auto"/>
      <w:ind w:left="1417" w:right="1985" w:hanging="850"/>
      <w:contextualSpacing/>
    </w:pPr>
    <w:rPr>
      <w:rFonts w:ascii="Calibri Light" w:eastAsiaTheme="minorEastAsia" w:hAnsi="Calibri Light"/>
      <w:noProof/>
      <w:color w:val="000000" w:themeColor="text1"/>
      <w:sz w:val="24"/>
    </w:rPr>
  </w:style>
  <w:style w:type="paragraph" w:styleId="TOC4">
    <w:name w:val="toc 4"/>
    <w:basedOn w:val="Normal"/>
    <w:uiPriority w:val="39"/>
    <w:rsid w:val="00FF1368"/>
    <w:pPr>
      <w:tabs>
        <w:tab w:val="left" w:pos="454"/>
        <w:tab w:val="right" w:pos="7655"/>
      </w:tabs>
      <w:spacing w:after="40" w:line="240" w:lineRule="auto"/>
      <w:ind w:left="454" w:hanging="454"/>
    </w:pPr>
    <w:rPr>
      <w:rFonts w:ascii="Calibri Light" w:hAnsi="Calibri Light"/>
      <w:noProof/>
      <w:color w:val="000000" w:themeColor="text1"/>
      <w:sz w:val="24"/>
    </w:rPr>
  </w:style>
  <w:style w:type="paragraph" w:styleId="TOC5">
    <w:name w:val="toc 5"/>
    <w:basedOn w:val="Normal"/>
    <w:next w:val="Normal"/>
    <w:autoRedefine/>
    <w:uiPriority w:val="39"/>
    <w:rsid w:val="0081085D"/>
    <w:pPr>
      <w:tabs>
        <w:tab w:val="left" w:pos="567"/>
        <w:tab w:val="right" w:pos="7655"/>
      </w:tabs>
      <w:spacing w:after="40" w:line="240" w:lineRule="auto"/>
      <w:ind w:left="567" w:right="1985" w:hanging="567"/>
    </w:pPr>
    <w:rPr>
      <w:rFonts w:ascii="Calibri Light" w:hAnsi="Calibri Light"/>
      <w:b/>
      <w:color w:val="3D4D7D" w:themeColor="background2"/>
      <w:sz w:val="24"/>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semiHidden/>
    <w:rsid w:val="00BE45B2"/>
    <w:pPr>
      <w:tabs>
        <w:tab w:val="left" w:pos="454"/>
        <w:tab w:val="right" w:pos="7626"/>
      </w:tabs>
      <w:spacing w:after="30" w:line="240" w:lineRule="auto"/>
      <w:ind w:left="454" w:hanging="454"/>
    </w:pPr>
    <w:rPr>
      <w:rFonts w:ascii="Calibri Light" w:hAnsi="Calibri Light"/>
      <w:color w:val="000000" w:themeColor="text1"/>
      <w:sz w:val="24"/>
    </w:rPr>
  </w:style>
  <w:style w:type="paragraph" w:styleId="TOCHeading">
    <w:name w:val="TOC Heading"/>
    <w:basedOn w:val="Normal"/>
    <w:uiPriority w:val="39"/>
    <w:rsid w:val="0081085D"/>
    <w:pPr>
      <w:tabs>
        <w:tab w:val="right" w:pos="7655"/>
      </w:tabs>
      <w:spacing w:after="1220" w:line="204" w:lineRule="auto"/>
    </w:pPr>
    <w:rPr>
      <w:rFonts w:ascii="Calibri Light" w:hAnsi="Calibri Light"/>
      <w:color w:val="3D4D7D" w:themeColor="background2"/>
      <w:sz w:val="52"/>
      <w:szCs w:val="40"/>
    </w:rPr>
  </w:style>
  <w:style w:type="paragraph" w:customStyle="1" w:styleId="TOFHeading">
    <w:name w:val="TOF Heading"/>
    <w:basedOn w:val="Normal"/>
    <w:uiPriority w:val="39"/>
    <w:rsid w:val="0081085D"/>
    <w:pPr>
      <w:keepNext/>
      <w:tabs>
        <w:tab w:val="left" w:pos="2268"/>
      </w:tabs>
      <w:spacing w:before="300" w:after="120"/>
    </w:pPr>
    <w:rPr>
      <w:color w:val="3D4D7D" w:themeColor="background2"/>
      <w:sz w:val="28"/>
      <w:szCs w:val="32"/>
    </w:rPr>
  </w:style>
  <w:style w:type="paragraph" w:customStyle="1" w:styleId="xDisclaimerHeading">
    <w:name w:val="xDisclaimer Heading"/>
    <w:basedOn w:val="Normal"/>
    <w:next w:val="xDisclaimerText"/>
    <w:link w:val="xDisclaimerHeadingChar"/>
    <w:uiPriority w:val="3"/>
    <w:rsid w:val="0081085D"/>
    <w:pPr>
      <w:framePr w:hSpace="181" w:wrap="around" w:hAnchor="margin" w:y="4310"/>
      <w:spacing w:before="320" w:line="280" w:lineRule="atLeast"/>
      <w:suppressOverlap/>
    </w:pPr>
    <w:rPr>
      <w:b/>
      <w:color w:val="3D4D7D" w:themeColor="background2"/>
      <w:sz w:val="26"/>
    </w:rPr>
  </w:style>
  <w:style w:type="character" w:customStyle="1" w:styleId="xDisclaimerHeadingChar">
    <w:name w:val="xDisclaimer Heading Char"/>
    <w:basedOn w:val="DefaultParagraphFont"/>
    <w:link w:val="xDisclaimerHeading"/>
    <w:uiPriority w:val="3"/>
    <w:rsid w:val="0081085D"/>
    <w:rPr>
      <w:b/>
      <w:color w:val="3D4D7D" w:themeColor="background2"/>
      <w:sz w:val="26"/>
    </w:rPr>
  </w:style>
  <w:style w:type="paragraph" w:customStyle="1" w:styleId="xDisclaimerText">
    <w:name w:val="xDisclaimer Text"/>
    <w:basedOn w:val="Normal"/>
    <w:uiPriority w:val="3"/>
    <w:rsid w:val="003A43A0"/>
    <w:pPr>
      <w:framePr w:w="7768" w:wrap="around" w:hAnchor="margin" w:yAlign="bottom"/>
      <w:spacing w:after="57"/>
    </w:pPr>
    <w:rPr>
      <w:rFonts w:cs="Times New Roman"/>
      <w:color w:val="000000" w:themeColor="text1"/>
    </w:rPr>
  </w:style>
  <w:style w:type="paragraph" w:customStyle="1" w:styleId="xDisclaimerText2">
    <w:name w:val="xDisclaimer Text 2"/>
    <w:basedOn w:val="xDisclaimerHeading"/>
    <w:uiPriority w:val="3"/>
    <w:rsid w:val="008A0A35"/>
    <w:pPr>
      <w:framePr w:wrap="around"/>
      <w:spacing w:before="0" w:after="170" w:line="302" w:lineRule="atLeast"/>
    </w:pPr>
    <w:rPr>
      <w:b w:val="0"/>
      <w:color w:val="000000" w:themeColor="text1"/>
      <w:sz w:val="22"/>
    </w:rPr>
  </w:style>
  <w:style w:type="table" w:customStyle="1" w:styleId="FooterPlaceholder">
    <w:name w:val="Footer Placeholder"/>
    <w:basedOn w:val="TableNormal"/>
    <w:uiPriority w:val="99"/>
    <w:rsid w:val="00F24BF6"/>
    <w:pPr>
      <w:spacing w:line="240" w:lineRule="auto"/>
    </w:pPr>
    <w:rPr>
      <w:sz w:val="16"/>
    </w:rPr>
    <w:tblPr>
      <w:tblCellMar>
        <w:left w:w="0" w:type="dxa"/>
        <w:right w:w="0" w:type="dxa"/>
      </w:tblCellMar>
    </w:tblPr>
  </w:style>
  <w:style w:type="paragraph" w:customStyle="1" w:styleId="xInlineShape">
    <w:name w:val="xInlineShape"/>
    <w:basedOn w:val="Normal"/>
    <w:next w:val="BodyText"/>
    <w:uiPriority w:val="3"/>
    <w:rsid w:val="00E54919"/>
    <w:pPr>
      <w:keepNext/>
      <w:spacing w:before="60" w:after="60" w:line="240" w:lineRule="auto"/>
      <w:jc w:val="center"/>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Heading1NoNumbering">
    <w:name w:val="Heading 1 No Numbering"/>
    <w:basedOn w:val="Heading1"/>
    <w:qFormat/>
    <w:rsid w:val="00FF1368"/>
    <w:pPr>
      <w:numPr>
        <w:numId w:val="0"/>
      </w:numPr>
    </w:pPr>
  </w:style>
  <w:style w:type="paragraph" w:styleId="TableofFigures">
    <w:name w:val="table of figures"/>
    <w:basedOn w:val="Normal"/>
    <w:next w:val="Normal"/>
    <w:uiPriority w:val="99"/>
    <w:rsid w:val="00563884"/>
    <w:pPr>
      <w:tabs>
        <w:tab w:val="right" w:pos="7655"/>
      </w:tabs>
      <w:spacing w:after="40"/>
      <w:ind w:right="1985"/>
    </w:pPr>
    <w:rPr>
      <w:rFonts w:ascii="Calibri Light" w:hAnsi="Calibri Light"/>
    </w:rPr>
  </w:style>
  <w:style w:type="paragraph" w:customStyle="1" w:styleId="TableTextCentred">
    <w:name w:val="Table Text Centred"/>
    <w:basedOn w:val="TableText"/>
    <w:qFormat/>
    <w:rsid w:val="00AE1CC1"/>
    <w:pPr>
      <w:jc w:val="center"/>
    </w:pPr>
    <w:rPr>
      <w:rFonts w:eastAsia="Times New Roman"/>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BodyTextAfterListTable">
    <w:name w:val="Body Text After List/Table"/>
    <w:basedOn w:val="BodyText"/>
    <w:next w:val="BodyText"/>
    <w:qFormat/>
    <w:rsid w:val="00E167B4"/>
    <w:pPr>
      <w:spacing w:before="240"/>
    </w:pPr>
  </w:style>
  <w:style w:type="paragraph" w:customStyle="1" w:styleId="TableTextIndented">
    <w:name w:val="Table Text Indented"/>
    <w:basedOn w:val="TableText"/>
    <w:qFormat/>
    <w:rsid w:val="009B1E4D"/>
    <w:pPr>
      <w:ind w:left="170"/>
    </w:pPr>
  </w:style>
  <w:style w:type="character" w:customStyle="1" w:styleId="Title3Heading">
    <w:name w:val="Title 3 Heading"/>
    <w:basedOn w:val="DefaultParagraphFont"/>
    <w:uiPriority w:val="3"/>
    <w:qFormat/>
    <w:rsid w:val="008621A9"/>
    <w:rPr>
      <w:sz w:val="36"/>
    </w:rPr>
  </w:style>
  <w:style w:type="character" w:customStyle="1" w:styleId="Title3Char">
    <w:name w:val="Title 3 Char"/>
    <w:basedOn w:val="Title2Char"/>
    <w:link w:val="Title3"/>
    <w:uiPriority w:val="3"/>
    <w:rsid w:val="0081085D"/>
    <w:rPr>
      <w:rFonts w:asciiTheme="majorHAnsi" w:eastAsia="Times New Roman" w:hAnsiTheme="majorHAnsi" w:cs="Arial"/>
      <w:b w:val="0"/>
      <w:color w:val="3D4D7D" w:themeColor="background2"/>
      <w:spacing w:val="-1"/>
      <w:sz w:val="46"/>
      <w:lang w:eastAsia="en-AU"/>
    </w:rPr>
  </w:style>
  <w:style w:type="character" w:styleId="CommentReference">
    <w:name w:val="annotation reference"/>
    <w:basedOn w:val="DefaultParagraphFont"/>
    <w:semiHidden/>
    <w:unhideWhenUsed/>
    <w:rsid w:val="00217EF3"/>
    <w:rPr>
      <w:sz w:val="16"/>
      <w:szCs w:val="16"/>
    </w:rPr>
  </w:style>
  <w:style w:type="paragraph" w:styleId="CommentText">
    <w:name w:val="annotation text"/>
    <w:basedOn w:val="Normal"/>
    <w:link w:val="CommentTextChar"/>
    <w:semiHidden/>
    <w:unhideWhenUsed/>
    <w:rsid w:val="00217EF3"/>
    <w:pPr>
      <w:spacing w:line="240" w:lineRule="auto"/>
    </w:pPr>
    <w:rPr>
      <w:sz w:val="20"/>
      <w:szCs w:val="20"/>
    </w:rPr>
  </w:style>
  <w:style w:type="character" w:customStyle="1" w:styleId="CommentTextChar">
    <w:name w:val="Comment Text Char"/>
    <w:basedOn w:val="DefaultParagraphFont"/>
    <w:link w:val="CommentText"/>
    <w:semiHidden/>
    <w:rsid w:val="00217EF3"/>
    <w:rPr>
      <w:sz w:val="20"/>
      <w:szCs w:val="20"/>
    </w:rPr>
  </w:style>
  <w:style w:type="paragraph" w:styleId="CommentSubject">
    <w:name w:val="annotation subject"/>
    <w:basedOn w:val="CommentText"/>
    <w:next w:val="CommentText"/>
    <w:link w:val="CommentSubjectChar"/>
    <w:semiHidden/>
    <w:unhideWhenUsed/>
    <w:rsid w:val="00217EF3"/>
    <w:rPr>
      <w:b/>
      <w:bCs/>
    </w:rPr>
  </w:style>
  <w:style w:type="character" w:customStyle="1" w:styleId="CommentSubjectChar">
    <w:name w:val="Comment Subject Char"/>
    <w:basedOn w:val="CommentTextChar"/>
    <w:link w:val="CommentSubject"/>
    <w:semiHidden/>
    <w:rsid w:val="00217EF3"/>
    <w:rPr>
      <w:b/>
      <w:bCs/>
      <w:sz w:val="20"/>
      <w:szCs w:val="20"/>
    </w:rPr>
  </w:style>
  <w:style w:type="table" w:styleId="ColorfulGrid">
    <w:name w:val="Colorful Grid"/>
    <w:basedOn w:val="TableNormal"/>
    <w:uiPriority w:val="73"/>
    <w:semiHidden/>
    <w:rsid w:val="00EE3EB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EE3EB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D7E6" w:themeFill="accent1" w:themeFillTint="33"/>
    </w:tcPr>
    <w:tblStylePr w:type="firstRow">
      <w:rPr>
        <w:b/>
        <w:bCs/>
      </w:rPr>
      <w:tblPr/>
      <w:tcPr>
        <w:shd w:val="clear" w:color="auto" w:fill="D6B0CE" w:themeFill="accent1" w:themeFillTint="66"/>
      </w:tcPr>
    </w:tblStylePr>
    <w:tblStylePr w:type="lastRow">
      <w:rPr>
        <w:b/>
        <w:bCs/>
        <w:color w:val="000000" w:themeColor="text1"/>
      </w:rPr>
      <w:tblPr/>
      <w:tcPr>
        <w:shd w:val="clear" w:color="auto" w:fill="D6B0CE" w:themeFill="accent1" w:themeFillTint="66"/>
      </w:tcPr>
    </w:tblStylePr>
    <w:tblStylePr w:type="firstCol">
      <w:rPr>
        <w:color w:val="FFFFFF" w:themeColor="background1"/>
      </w:rPr>
      <w:tblPr/>
      <w:tcPr>
        <w:shd w:val="clear" w:color="auto" w:fill="69365E" w:themeFill="accent1" w:themeFillShade="BF"/>
      </w:tcPr>
    </w:tblStylePr>
    <w:tblStylePr w:type="lastCol">
      <w:rPr>
        <w:color w:val="FFFFFF" w:themeColor="background1"/>
      </w:rPr>
      <w:tblPr/>
      <w:tcPr>
        <w:shd w:val="clear" w:color="auto" w:fill="69365E" w:themeFill="accent1" w:themeFillShade="BF"/>
      </w:tcPr>
    </w:tblStylePr>
    <w:tblStylePr w:type="band1Vert">
      <w:tblPr/>
      <w:tcPr>
        <w:shd w:val="clear" w:color="auto" w:fill="CD9DC3" w:themeFill="accent1" w:themeFillTint="7F"/>
      </w:tcPr>
    </w:tblStylePr>
    <w:tblStylePr w:type="band1Horz">
      <w:tblPr/>
      <w:tcPr>
        <w:shd w:val="clear" w:color="auto" w:fill="CD9DC3" w:themeFill="accent1" w:themeFillTint="7F"/>
      </w:tcPr>
    </w:tblStylePr>
  </w:style>
  <w:style w:type="table" w:styleId="ColorfulGrid-Accent2">
    <w:name w:val="Colorful Grid Accent 2"/>
    <w:basedOn w:val="TableNormal"/>
    <w:uiPriority w:val="73"/>
    <w:semiHidden/>
    <w:rsid w:val="00EE3EB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BD9" w:themeFill="accent2" w:themeFillTint="33"/>
    </w:tcPr>
    <w:tblStylePr w:type="firstRow">
      <w:rPr>
        <w:b/>
        <w:bCs/>
      </w:rPr>
      <w:tblPr/>
      <w:tcPr>
        <w:shd w:val="clear" w:color="auto" w:fill="E8B7B4" w:themeFill="accent2" w:themeFillTint="66"/>
      </w:tcPr>
    </w:tblStylePr>
    <w:tblStylePr w:type="lastRow">
      <w:rPr>
        <w:b/>
        <w:bCs/>
        <w:color w:val="000000" w:themeColor="text1"/>
      </w:rPr>
      <w:tblPr/>
      <w:tcPr>
        <w:shd w:val="clear" w:color="auto" w:fill="E8B7B4" w:themeFill="accent2" w:themeFillTint="66"/>
      </w:tcPr>
    </w:tblStylePr>
    <w:tblStylePr w:type="firstCol">
      <w:rPr>
        <w:color w:val="FFFFFF" w:themeColor="background1"/>
      </w:rPr>
      <w:tblPr/>
      <w:tcPr>
        <w:shd w:val="clear" w:color="auto" w:fill="98362F" w:themeFill="accent2" w:themeFillShade="BF"/>
      </w:tcPr>
    </w:tblStylePr>
    <w:tblStylePr w:type="lastCol">
      <w:rPr>
        <w:color w:val="FFFFFF" w:themeColor="background1"/>
      </w:rPr>
      <w:tblPr/>
      <w:tcPr>
        <w:shd w:val="clear" w:color="auto" w:fill="98362F" w:themeFill="accent2" w:themeFillShade="BF"/>
      </w:tcPr>
    </w:tblStylePr>
    <w:tblStylePr w:type="band1Vert">
      <w:tblPr/>
      <w:tcPr>
        <w:shd w:val="clear" w:color="auto" w:fill="E2A6A2" w:themeFill="accent2" w:themeFillTint="7F"/>
      </w:tcPr>
    </w:tblStylePr>
    <w:tblStylePr w:type="band1Horz">
      <w:tblPr/>
      <w:tcPr>
        <w:shd w:val="clear" w:color="auto" w:fill="E2A6A2" w:themeFill="accent2" w:themeFillTint="7F"/>
      </w:tcPr>
    </w:tblStylePr>
  </w:style>
  <w:style w:type="table" w:styleId="ColorfulGrid-Accent3">
    <w:name w:val="Colorful Grid Accent 3"/>
    <w:basedOn w:val="TableNormal"/>
    <w:uiPriority w:val="73"/>
    <w:semiHidden/>
    <w:rsid w:val="00EE3EB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CE6D8" w:themeFill="accent3" w:themeFillTint="33"/>
    </w:tcPr>
    <w:tblStylePr w:type="firstRow">
      <w:rPr>
        <w:b/>
        <w:bCs/>
      </w:rPr>
      <w:tblPr/>
      <w:tcPr>
        <w:shd w:val="clear" w:color="auto" w:fill="F9CEB1" w:themeFill="accent3" w:themeFillTint="66"/>
      </w:tcPr>
    </w:tblStylePr>
    <w:tblStylePr w:type="lastRow">
      <w:rPr>
        <w:b/>
        <w:bCs/>
        <w:color w:val="000000" w:themeColor="text1"/>
      </w:rPr>
      <w:tblPr/>
      <w:tcPr>
        <w:shd w:val="clear" w:color="auto" w:fill="F9CEB1" w:themeFill="accent3" w:themeFillTint="66"/>
      </w:tcPr>
    </w:tblStylePr>
    <w:tblStylePr w:type="firstCol">
      <w:rPr>
        <w:color w:val="FFFFFF" w:themeColor="background1"/>
      </w:rPr>
      <w:tblPr/>
      <w:tcPr>
        <w:shd w:val="clear" w:color="auto" w:fill="D25E0F" w:themeFill="accent3" w:themeFillShade="BF"/>
      </w:tcPr>
    </w:tblStylePr>
    <w:tblStylePr w:type="lastCol">
      <w:rPr>
        <w:color w:val="FFFFFF" w:themeColor="background1"/>
      </w:rPr>
      <w:tblPr/>
      <w:tcPr>
        <w:shd w:val="clear" w:color="auto" w:fill="D25E0F" w:themeFill="accent3" w:themeFillShade="BF"/>
      </w:tcPr>
    </w:tblStylePr>
    <w:tblStylePr w:type="band1Vert">
      <w:tblPr/>
      <w:tcPr>
        <w:shd w:val="clear" w:color="auto" w:fill="F8C29E" w:themeFill="accent3" w:themeFillTint="7F"/>
      </w:tcPr>
    </w:tblStylePr>
    <w:tblStylePr w:type="band1Horz">
      <w:tblPr/>
      <w:tcPr>
        <w:shd w:val="clear" w:color="auto" w:fill="F8C29E" w:themeFill="accent3" w:themeFillTint="7F"/>
      </w:tcPr>
    </w:tblStylePr>
  </w:style>
  <w:style w:type="table" w:styleId="ColorfulGrid-Accent4">
    <w:name w:val="Colorful Grid Accent 4"/>
    <w:basedOn w:val="TableNormal"/>
    <w:uiPriority w:val="73"/>
    <w:semiHidden/>
    <w:rsid w:val="00EE3EB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EF3DA" w:themeFill="accent4" w:themeFillTint="33"/>
    </w:tcPr>
    <w:tblStylePr w:type="firstRow">
      <w:rPr>
        <w:b/>
        <w:bCs/>
      </w:rPr>
      <w:tblPr/>
      <w:tcPr>
        <w:shd w:val="clear" w:color="auto" w:fill="FDE7B5" w:themeFill="accent4" w:themeFillTint="66"/>
      </w:tcPr>
    </w:tblStylePr>
    <w:tblStylePr w:type="lastRow">
      <w:rPr>
        <w:b/>
        <w:bCs/>
        <w:color w:val="000000" w:themeColor="text1"/>
      </w:rPr>
      <w:tblPr/>
      <w:tcPr>
        <w:shd w:val="clear" w:color="auto" w:fill="FDE7B5" w:themeFill="accent4" w:themeFillTint="66"/>
      </w:tcPr>
    </w:tblStylePr>
    <w:tblStylePr w:type="firstCol">
      <w:rPr>
        <w:color w:val="FFFFFF" w:themeColor="background1"/>
      </w:rPr>
      <w:tblPr/>
      <w:tcPr>
        <w:shd w:val="clear" w:color="auto" w:fill="EEA704" w:themeFill="accent4" w:themeFillShade="BF"/>
      </w:tcPr>
    </w:tblStylePr>
    <w:tblStylePr w:type="lastCol">
      <w:rPr>
        <w:color w:val="FFFFFF" w:themeColor="background1"/>
      </w:rPr>
      <w:tblPr/>
      <w:tcPr>
        <w:shd w:val="clear" w:color="auto" w:fill="EEA704" w:themeFill="accent4" w:themeFillShade="BF"/>
      </w:tcPr>
    </w:tblStylePr>
    <w:tblStylePr w:type="band1Vert">
      <w:tblPr/>
      <w:tcPr>
        <w:shd w:val="clear" w:color="auto" w:fill="FDE2A3" w:themeFill="accent4" w:themeFillTint="7F"/>
      </w:tcPr>
    </w:tblStylePr>
    <w:tblStylePr w:type="band1Horz">
      <w:tblPr/>
      <w:tcPr>
        <w:shd w:val="clear" w:color="auto" w:fill="FDE2A3" w:themeFill="accent4" w:themeFillTint="7F"/>
      </w:tcPr>
    </w:tblStylePr>
  </w:style>
  <w:style w:type="table" w:styleId="ColorfulGrid-Accent5">
    <w:name w:val="Colorful Grid Accent 5"/>
    <w:basedOn w:val="TableNormal"/>
    <w:uiPriority w:val="73"/>
    <w:semiHidden/>
    <w:rsid w:val="00EE3EB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6F2DD" w:themeFill="accent5" w:themeFillTint="33"/>
    </w:tcPr>
    <w:tblStylePr w:type="firstRow">
      <w:rPr>
        <w:b/>
        <w:bCs/>
      </w:rPr>
      <w:tblPr/>
      <w:tcPr>
        <w:shd w:val="clear" w:color="auto" w:fill="CEE5BB" w:themeFill="accent5" w:themeFillTint="66"/>
      </w:tcPr>
    </w:tblStylePr>
    <w:tblStylePr w:type="lastRow">
      <w:rPr>
        <w:b/>
        <w:bCs/>
        <w:color w:val="000000" w:themeColor="text1"/>
      </w:rPr>
      <w:tblPr/>
      <w:tcPr>
        <w:shd w:val="clear" w:color="auto" w:fill="CEE5BB" w:themeFill="accent5" w:themeFillTint="66"/>
      </w:tcPr>
    </w:tblStylePr>
    <w:tblStylePr w:type="firstCol">
      <w:rPr>
        <w:color w:val="FFFFFF" w:themeColor="background1"/>
      </w:rPr>
      <w:tblPr/>
      <w:tcPr>
        <w:shd w:val="clear" w:color="auto" w:fill="63953A" w:themeFill="accent5" w:themeFillShade="BF"/>
      </w:tcPr>
    </w:tblStylePr>
    <w:tblStylePr w:type="lastCol">
      <w:rPr>
        <w:color w:val="FFFFFF" w:themeColor="background1"/>
      </w:rPr>
      <w:tblPr/>
      <w:tcPr>
        <w:shd w:val="clear" w:color="auto" w:fill="63953A" w:themeFill="accent5" w:themeFillShade="BF"/>
      </w:tcPr>
    </w:tblStylePr>
    <w:tblStylePr w:type="band1Vert">
      <w:tblPr/>
      <w:tcPr>
        <w:shd w:val="clear" w:color="auto" w:fill="C2DEAB" w:themeFill="accent5" w:themeFillTint="7F"/>
      </w:tcPr>
    </w:tblStylePr>
    <w:tblStylePr w:type="band1Horz">
      <w:tblPr/>
      <w:tcPr>
        <w:shd w:val="clear" w:color="auto" w:fill="C2DEAB" w:themeFill="accent5" w:themeFillTint="7F"/>
      </w:tcPr>
    </w:tblStylePr>
  </w:style>
  <w:style w:type="table" w:styleId="ColorfulGrid-Accent6">
    <w:name w:val="Colorful Grid Accent 6"/>
    <w:basedOn w:val="TableNormal"/>
    <w:uiPriority w:val="73"/>
    <w:semiHidden/>
    <w:rsid w:val="00EE3EB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3E5E6" w:themeFill="accent6" w:themeFillTint="33"/>
    </w:tcPr>
    <w:tblStylePr w:type="firstRow">
      <w:rPr>
        <w:b/>
        <w:bCs/>
      </w:rPr>
      <w:tblPr/>
      <w:tcPr>
        <w:shd w:val="clear" w:color="auto" w:fill="C8CCCD" w:themeFill="accent6" w:themeFillTint="66"/>
      </w:tcPr>
    </w:tblStylePr>
    <w:tblStylePr w:type="lastRow">
      <w:rPr>
        <w:b/>
        <w:bCs/>
        <w:color w:val="000000" w:themeColor="text1"/>
      </w:rPr>
      <w:tblPr/>
      <w:tcPr>
        <w:shd w:val="clear" w:color="auto" w:fill="C8CCCD" w:themeFill="accent6" w:themeFillTint="66"/>
      </w:tcPr>
    </w:tblStylePr>
    <w:tblStylePr w:type="firstCol">
      <w:rPr>
        <w:color w:val="FFFFFF" w:themeColor="background1"/>
      </w:rPr>
      <w:tblPr/>
      <w:tcPr>
        <w:shd w:val="clear" w:color="auto" w:fill="5A6062" w:themeFill="accent6" w:themeFillShade="BF"/>
      </w:tcPr>
    </w:tblStylePr>
    <w:tblStylePr w:type="lastCol">
      <w:rPr>
        <w:color w:val="FFFFFF" w:themeColor="background1"/>
      </w:rPr>
      <w:tblPr/>
      <w:tcPr>
        <w:shd w:val="clear" w:color="auto" w:fill="5A6062" w:themeFill="accent6" w:themeFillShade="BF"/>
      </w:tcPr>
    </w:tblStylePr>
    <w:tblStylePr w:type="band1Vert">
      <w:tblPr/>
      <w:tcPr>
        <w:shd w:val="clear" w:color="auto" w:fill="BBC0C1" w:themeFill="accent6" w:themeFillTint="7F"/>
      </w:tcPr>
    </w:tblStylePr>
    <w:tblStylePr w:type="band1Horz">
      <w:tblPr/>
      <w:tcPr>
        <w:shd w:val="clear" w:color="auto" w:fill="BBC0C1" w:themeFill="accent6" w:themeFillTint="7F"/>
      </w:tcPr>
    </w:tblStylePr>
  </w:style>
  <w:style w:type="table" w:styleId="ColorfulList">
    <w:name w:val="Colorful List"/>
    <w:basedOn w:val="TableNormal"/>
    <w:uiPriority w:val="72"/>
    <w:semiHidden/>
    <w:rsid w:val="00EE3EB6"/>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33932" w:themeFill="accent2" w:themeFillShade="CC"/>
      </w:tcPr>
    </w:tblStylePr>
    <w:tblStylePr w:type="lastRow">
      <w:rPr>
        <w:b/>
        <w:bCs/>
        <w:color w:val="A339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EE3EB6"/>
    <w:pPr>
      <w:spacing w:line="240" w:lineRule="auto"/>
    </w:pPr>
    <w:rPr>
      <w:color w:val="000000" w:themeColor="text1"/>
    </w:rPr>
    <w:tblPr>
      <w:tblStyleRowBandSize w:val="1"/>
      <w:tblStyleColBandSize w:val="1"/>
    </w:tblPr>
    <w:tcPr>
      <w:shd w:val="clear" w:color="auto" w:fill="F5EBF3" w:themeFill="accent1" w:themeFillTint="19"/>
    </w:tcPr>
    <w:tblStylePr w:type="firstRow">
      <w:rPr>
        <w:b/>
        <w:bCs/>
        <w:color w:val="FFFFFF" w:themeColor="background1"/>
      </w:rPr>
      <w:tblPr/>
      <w:tcPr>
        <w:tcBorders>
          <w:bottom w:val="single" w:sz="12" w:space="0" w:color="FFFFFF" w:themeColor="background1"/>
        </w:tcBorders>
        <w:shd w:val="clear" w:color="auto" w:fill="A33932" w:themeFill="accent2" w:themeFillShade="CC"/>
      </w:tcPr>
    </w:tblStylePr>
    <w:tblStylePr w:type="lastRow">
      <w:rPr>
        <w:b/>
        <w:bCs/>
        <w:color w:val="A339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CEE1" w:themeFill="accent1" w:themeFillTint="3F"/>
      </w:tcPr>
    </w:tblStylePr>
    <w:tblStylePr w:type="band1Horz">
      <w:tblPr/>
      <w:tcPr>
        <w:shd w:val="clear" w:color="auto" w:fill="EAD7E6" w:themeFill="accent1" w:themeFillTint="33"/>
      </w:tcPr>
    </w:tblStylePr>
  </w:style>
  <w:style w:type="table" w:styleId="ColorfulList-Accent2">
    <w:name w:val="Colorful List Accent 2"/>
    <w:basedOn w:val="TableNormal"/>
    <w:uiPriority w:val="72"/>
    <w:semiHidden/>
    <w:rsid w:val="00EE3EB6"/>
    <w:pPr>
      <w:spacing w:line="240" w:lineRule="auto"/>
    </w:pPr>
    <w:rPr>
      <w:color w:val="000000" w:themeColor="text1"/>
    </w:rPr>
    <w:tblPr>
      <w:tblStyleRowBandSize w:val="1"/>
      <w:tblStyleColBandSize w:val="1"/>
    </w:tblPr>
    <w:tcPr>
      <w:shd w:val="clear" w:color="auto" w:fill="F9EDEC" w:themeFill="accent2" w:themeFillTint="19"/>
    </w:tcPr>
    <w:tblStylePr w:type="firstRow">
      <w:rPr>
        <w:b/>
        <w:bCs/>
        <w:color w:val="FFFFFF" w:themeColor="background1"/>
      </w:rPr>
      <w:tblPr/>
      <w:tcPr>
        <w:tcBorders>
          <w:bottom w:val="single" w:sz="12" w:space="0" w:color="FFFFFF" w:themeColor="background1"/>
        </w:tcBorders>
        <w:shd w:val="clear" w:color="auto" w:fill="A33932" w:themeFill="accent2" w:themeFillShade="CC"/>
      </w:tcPr>
    </w:tblStylePr>
    <w:tblStylePr w:type="lastRow">
      <w:rPr>
        <w:b/>
        <w:bCs/>
        <w:color w:val="A339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D2D0" w:themeFill="accent2" w:themeFillTint="3F"/>
      </w:tcPr>
    </w:tblStylePr>
    <w:tblStylePr w:type="band1Horz">
      <w:tblPr/>
      <w:tcPr>
        <w:shd w:val="clear" w:color="auto" w:fill="F3DBD9" w:themeFill="accent2" w:themeFillTint="33"/>
      </w:tcPr>
    </w:tblStylePr>
  </w:style>
  <w:style w:type="table" w:styleId="ColorfulList-Accent3">
    <w:name w:val="Colorful List Accent 3"/>
    <w:basedOn w:val="TableNormal"/>
    <w:uiPriority w:val="72"/>
    <w:semiHidden/>
    <w:rsid w:val="00EE3EB6"/>
    <w:pPr>
      <w:spacing w:line="240" w:lineRule="auto"/>
    </w:pPr>
    <w:rPr>
      <w:color w:val="000000" w:themeColor="text1"/>
    </w:rPr>
    <w:tblPr>
      <w:tblStyleRowBandSize w:val="1"/>
      <w:tblStyleColBandSize w:val="1"/>
    </w:tblPr>
    <w:tcPr>
      <w:shd w:val="clear" w:color="auto" w:fill="FDF3EB" w:themeFill="accent3" w:themeFillTint="19"/>
    </w:tcPr>
    <w:tblStylePr w:type="firstRow">
      <w:rPr>
        <w:b/>
        <w:bCs/>
        <w:color w:val="FFFFFF" w:themeColor="background1"/>
      </w:rPr>
      <w:tblPr/>
      <w:tcPr>
        <w:tcBorders>
          <w:bottom w:val="single" w:sz="12" w:space="0" w:color="FFFFFF" w:themeColor="background1"/>
        </w:tcBorders>
        <w:shd w:val="clear" w:color="auto" w:fill="FBB108" w:themeFill="accent4" w:themeFillShade="CC"/>
      </w:tcPr>
    </w:tblStylePr>
    <w:tblStylePr w:type="lastRow">
      <w:rPr>
        <w:b/>
        <w:bCs/>
        <w:color w:val="FBB10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CE" w:themeFill="accent3" w:themeFillTint="3F"/>
      </w:tcPr>
    </w:tblStylePr>
    <w:tblStylePr w:type="band1Horz">
      <w:tblPr/>
      <w:tcPr>
        <w:shd w:val="clear" w:color="auto" w:fill="FCE6D8" w:themeFill="accent3" w:themeFillTint="33"/>
      </w:tcPr>
    </w:tblStylePr>
  </w:style>
  <w:style w:type="table" w:styleId="ColorfulList-Accent4">
    <w:name w:val="Colorful List Accent 4"/>
    <w:basedOn w:val="TableNormal"/>
    <w:uiPriority w:val="72"/>
    <w:semiHidden/>
    <w:rsid w:val="00EE3EB6"/>
    <w:pPr>
      <w:spacing w:line="240" w:lineRule="auto"/>
    </w:pPr>
    <w:rPr>
      <w:color w:val="000000" w:themeColor="text1"/>
    </w:rPr>
    <w:tblPr>
      <w:tblStyleRowBandSize w:val="1"/>
      <w:tblStyleColBandSize w:val="1"/>
    </w:tblPr>
    <w:tcPr>
      <w:shd w:val="clear" w:color="auto" w:fill="FEF9EC" w:themeFill="accent4" w:themeFillTint="19"/>
    </w:tcPr>
    <w:tblStylePr w:type="firstRow">
      <w:rPr>
        <w:b/>
        <w:bCs/>
        <w:color w:val="FFFFFF" w:themeColor="background1"/>
      </w:rPr>
      <w:tblPr/>
      <w:tcPr>
        <w:tcBorders>
          <w:bottom w:val="single" w:sz="12" w:space="0" w:color="FFFFFF" w:themeColor="background1"/>
        </w:tcBorders>
        <w:shd w:val="clear" w:color="auto" w:fill="E16510" w:themeFill="accent3" w:themeFillShade="CC"/>
      </w:tcPr>
    </w:tblStylePr>
    <w:tblStylePr w:type="lastRow">
      <w:rPr>
        <w:b/>
        <w:bCs/>
        <w:color w:val="E1651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0D1" w:themeFill="accent4" w:themeFillTint="3F"/>
      </w:tcPr>
    </w:tblStylePr>
    <w:tblStylePr w:type="band1Horz">
      <w:tblPr/>
      <w:tcPr>
        <w:shd w:val="clear" w:color="auto" w:fill="FEF3DA" w:themeFill="accent4" w:themeFillTint="33"/>
      </w:tcPr>
    </w:tblStylePr>
  </w:style>
  <w:style w:type="table" w:styleId="ColorfulList-Accent5">
    <w:name w:val="Colorful List Accent 5"/>
    <w:basedOn w:val="TableNormal"/>
    <w:uiPriority w:val="72"/>
    <w:semiHidden/>
    <w:rsid w:val="00EE3EB6"/>
    <w:pPr>
      <w:spacing w:line="240" w:lineRule="auto"/>
    </w:pPr>
    <w:rPr>
      <w:color w:val="000000" w:themeColor="text1"/>
    </w:rPr>
    <w:tblPr>
      <w:tblStyleRowBandSize w:val="1"/>
      <w:tblStyleColBandSize w:val="1"/>
    </w:tblPr>
    <w:tcPr>
      <w:shd w:val="clear" w:color="auto" w:fill="F3F8EE" w:themeFill="accent5" w:themeFillTint="19"/>
    </w:tcPr>
    <w:tblStylePr w:type="firstRow">
      <w:rPr>
        <w:b/>
        <w:bCs/>
        <w:color w:val="FFFFFF" w:themeColor="background1"/>
      </w:rPr>
      <w:tblPr/>
      <w:tcPr>
        <w:tcBorders>
          <w:bottom w:val="single" w:sz="12" w:space="0" w:color="FFFFFF" w:themeColor="background1"/>
        </w:tcBorders>
        <w:shd w:val="clear" w:color="auto" w:fill="606768" w:themeFill="accent6" w:themeFillShade="CC"/>
      </w:tcPr>
    </w:tblStylePr>
    <w:tblStylePr w:type="lastRow">
      <w:rPr>
        <w:b/>
        <w:bCs/>
        <w:color w:val="60676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FD5" w:themeFill="accent5" w:themeFillTint="3F"/>
      </w:tcPr>
    </w:tblStylePr>
    <w:tblStylePr w:type="band1Horz">
      <w:tblPr/>
      <w:tcPr>
        <w:shd w:val="clear" w:color="auto" w:fill="E6F2DD" w:themeFill="accent5" w:themeFillTint="33"/>
      </w:tcPr>
    </w:tblStylePr>
  </w:style>
  <w:style w:type="table" w:styleId="ColorfulList-Accent6">
    <w:name w:val="Colorful List Accent 6"/>
    <w:basedOn w:val="TableNormal"/>
    <w:uiPriority w:val="72"/>
    <w:semiHidden/>
    <w:rsid w:val="00EE3EB6"/>
    <w:pPr>
      <w:spacing w:line="240" w:lineRule="auto"/>
    </w:pPr>
    <w:rPr>
      <w:color w:val="000000" w:themeColor="text1"/>
    </w:rPr>
    <w:tblPr>
      <w:tblStyleRowBandSize w:val="1"/>
      <w:tblStyleColBandSize w:val="1"/>
    </w:tblPr>
    <w:tcPr>
      <w:shd w:val="clear" w:color="auto" w:fill="F1F2F2" w:themeFill="accent6" w:themeFillTint="19"/>
    </w:tcPr>
    <w:tblStylePr w:type="firstRow">
      <w:rPr>
        <w:b/>
        <w:bCs/>
        <w:color w:val="FFFFFF" w:themeColor="background1"/>
      </w:rPr>
      <w:tblPr/>
      <w:tcPr>
        <w:tcBorders>
          <w:bottom w:val="single" w:sz="12" w:space="0" w:color="FFFFFF" w:themeColor="background1"/>
        </w:tcBorders>
        <w:shd w:val="clear" w:color="auto" w:fill="6A9F3D" w:themeFill="accent5" w:themeFillShade="CC"/>
      </w:tcPr>
    </w:tblStylePr>
    <w:tblStylePr w:type="lastRow">
      <w:rPr>
        <w:b/>
        <w:bCs/>
        <w:color w:val="6A9F3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FE0" w:themeFill="accent6" w:themeFillTint="3F"/>
      </w:tcPr>
    </w:tblStylePr>
    <w:tblStylePr w:type="band1Horz">
      <w:tblPr/>
      <w:tcPr>
        <w:shd w:val="clear" w:color="auto" w:fill="E3E5E6" w:themeFill="accent6" w:themeFillTint="33"/>
      </w:tcPr>
    </w:tblStylePr>
  </w:style>
  <w:style w:type="table" w:styleId="ColorfulShading">
    <w:name w:val="Colorful Shading"/>
    <w:basedOn w:val="TableNormal"/>
    <w:uiPriority w:val="71"/>
    <w:semiHidden/>
    <w:rsid w:val="00EE3EB6"/>
    <w:pPr>
      <w:spacing w:line="240" w:lineRule="auto"/>
    </w:pPr>
    <w:rPr>
      <w:color w:val="000000" w:themeColor="text1"/>
    </w:rPr>
    <w:tblPr>
      <w:tblStyleRowBandSize w:val="1"/>
      <w:tblStyleColBandSize w:val="1"/>
      <w:tblBorders>
        <w:top w:val="single" w:sz="24" w:space="0" w:color="C64E4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E3EB6"/>
    <w:pPr>
      <w:spacing w:line="240" w:lineRule="auto"/>
    </w:pPr>
    <w:rPr>
      <w:color w:val="000000" w:themeColor="text1"/>
    </w:rPr>
    <w:tblPr>
      <w:tblStyleRowBandSize w:val="1"/>
      <w:tblStyleColBandSize w:val="1"/>
      <w:tblBorders>
        <w:top w:val="single" w:sz="24" w:space="0" w:color="C64E45" w:themeColor="accent2"/>
        <w:left w:val="single" w:sz="4" w:space="0" w:color="8D487F" w:themeColor="accent1"/>
        <w:bottom w:val="single" w:sz="4" w:space="0" w:color="8D487F" w:themeColor="accent1"/>
        <w:right w:val="single" w:sz="4" w:space="0" w:color="8D487F" w:themeColor="accent1"/>
        <w:insideH w:val="single" w:sz="4" w:space="0" w:color="FFFFFF" w:themeColor="background1"/>
        <w:insideV w:val="single" w:sz="4" w:space="0" w:color="FFFFFF" w:themeColor="background1"/>
      </w:tblBorders>
    </w:tblPr>
    <w:tcPr>
      <w:shd w:val="clear" w:color="auto" w:fill="F5EBF3" w:themeFill="accent1" w:themeFillTint="19"/>
    </w:tcPr>
    <w:tblStylePr w:type="firstRow">
      <w:rPr>
        <w:b/>
        <w:bCs/>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2B4B" w:themeFill="accent1" w:themeFillShade="99"/>
      </w:tcPr>
    </w:tblStylePr>
    <w:tblStylePr w:type="firstCol">
      <w:rPr>
        <w:color w:val="FFFFFF" w:themeColor="background1"/>
      </w:rPr>
      <w:tblPr/>
      <w:tcPr>
        <w:tcBorders>
          <w:top w:val="nil"/>
          <w:left w:val="nil"/>
          <w:bottom w:val="nil"/>
          <w:right w:val="nil"/>
          <w:insideH w:val="single" w:sz="4" w:space="0" w:color="542B4B" w:themeColor="accent1" w:themeShade="99"/>
          <w:insideV w:val="nil"/>
        </w:tcBorders>
        <w:shd w:val="clear" w:color="auto" w:fill="542B4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42B4B" w:themeFill="accent1" w:themeFillShade="99"/>
      </w:tcPr>
    </w:tblStylePr>
    <w:tblStylePr w:type="band1Vert">
      <w:tblPr/>
      <w:tcPr>
        <w:shd w:val="clear" w:color="auto" w:fill="D6B0CE" w:themeFill="accent1" w:themeFillTint="66"/>
      </w:tcPr>
    </w:tblStylePr>
    <w:tblStylePr w:type="band1Horz">
      <w:tblPr/>
      <w:tcPr>
        <w:shd w:val="clear" w:color="auto" w:fill="CD9DC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EE3EB6"/>
    <w:pPr>
      <w:spacing w:line="240" w:lineRule="auto"/>
    </w:pPr>
    <w:rPr>
      <w:color w:val="000000" w:themeColor="text1"/>
    </w:rPr>
    <w:tblPr>
      <w:tblStyleRowBandSize w:val="1"/>
      <w:tblStyleColBandSize w:val="1"/>
      <w:tblBorders>
        <w:top w:val="single" w:sz="24" w:space="0" w:color="C64E45" w:themeColor="accent2"/>
        <w:left w:val="single" w:sz="4" w:space="0" w:color="C64E45" w:themeColor="accent2"/>
        <w:bottom w:val="single" w:sz="4" w:space="0" w:color="C64E45" w:themeColor="accent2"/>
        <w:right w:val="single" w:sz="4" w:space="0" w:color="C64E45" w:themeColor="accent2"/>
        <w:insideH w:val="single" w:sz="4" w:space="0" w:color="FFFFFF" w:themeColor="background1"/>
        <w:insideV w:val="single" w:sz="4" w:space="0" w:color="FFFFFF" w:themeColor="background1"/>
      </w:tblBorders>
    </w:tblPr>
    <w:tcPr>
      <w:shd w:val="clear" w:color="auto" w:fill="F9EDEC" w:themeFill="accent2" w:themeFillTint="19"/>
    </w:tcPr>
    <w:tblStylePr w:type="firstRow">
      <w:rPr>
        <w:b/>
        <w:bCs/>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2B25" w:themeFill="accent2" w:themeFillShade="99"/>
      </w:tcPr>
    </w:tblStylePr>
    <w:tblStylePr w:type="firstCol">
      <w:rPr>
        <w:color w:val="FFFFFF" w:themeColor="background1"/>
      </w:rPr>
      <w:tblPr/>
      <w:tcPr>
        <w:tcBorders>
          <w:top w:val="nil"/>
          <w:left w:val="nil"/>
          <w:bottom w:val="nil"/>
          <w:right w:val="nil"/>
          <w:insideH w:val="single" w:sz="4" w:space="0" w:color="7A2B25" w:themeColor="accent2" w:themeShade="99"/>
          <w:insideV w:val="nil"/>
        </w:tcBorders>
        <w:shd w:val="clear" w:color="auto" w:fill="7A2B2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A2B25" w:themeFill="accent2" w:themeFillShade="99"/>
      </w:tcPr>
    </w:tblStylePr>
    <w:tblStylePr w:type="band1Vert">
      <w:tblPr/>
      <w:tcPr>
        <w:shd w:val="clear" w:color="auto" w:fill="E8B7B4" w:themeFill="accent2" w:themeFillTint="66"/>
      </w:tcPr>
    </w:tblStylePr>
    <w:tblStylePr w:type="band1Horz">
      <w:tblPr/>
      <w:tcPr>
        <w:shd w:val="clear" w:color="auto" w:fill="E2A6A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E3EB6"/>
    <w:pPr>
      <w:spacing w:line="240" w:lineRule="auto"/>
    </w:pPr>
    <w:rPr>
      <w:color w:val="000000" w:themeColor="text1"/>
    </w:rPr>
    <w:tblPr>
      <w:tblStyleRowBandSize w:val="1"/>
      <w:tblStyleColBandSize w:val="1"/>
      <w:tblBorders>
        <w:top w:val="single" w:sz="24" w:space="0" w:color="FCC648" w:themeColor="accent4"/>
        <w:left w:val="single" w:sz="4" w:space="0" w:color="F1873D" w:themeColor="accent3"/>
        <w:bottom w:val="single" w:sz="4" w:space="0" w:color="F1873D" w:themeColor="accent3"/>
        <w:right w:val="single" w:sz="4" w:space="0" w:color="F1873D" w:themeColor="accent3"/>
        <w:insideH w:val="single" w:sz="4" w:space="0" w:color="FFFFFF" w:themeColor="background1"/>
        <w:insideV w:val="single" w:sz="4" w:space="0" w:color="FFFFFF" w:themeColor="background1"/>
      </w:tblBorders>
    </w:tblPr>
    <w:tcPr>
      <w:shd w:val="clear" w:color="auto" w:fill="FDF3EB" w:themeFill="accent3" w:themeFillTint="19"/>
    </w:tcPr>
    <w:tblStylePr w:type="firstRow">
      <w:rPr>
        <w:b/>
        <w:bCs/>
      </w:rPr>
      <w:tblPr/>
      <w:tcPr>
        <w:tcBorders>
          <w:top w:val="nil"/>
          <w:left w:val="nil"/>
          <w:bottom w:val="single" w:sz="24" w:space="0" w:color="FCC64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4C0C" w:themeFill="accent3" w:themeFillShade="99"/>
      </w:tcPr>
    </w:tblStylePr>
    <w:tblStylePr w:type="firstCol">
      <w:rPr>
        <w:color w:val="FFFFFF" w:themeColor="background1"/>
      </w:rPr>
      <w:tblPr/>
      <w:tcPr>
        <w:tcBorders>
          <w:top w:val="nil"/>
          <w:left w:val="nil"/>
          <w:bottom w:val="nil"/>
          <w:right w:val="nil"/>
          <w:insideH w:val="single" w:sz="4" w:space="0" w:color="A84C0C" w:themeColor="accent3" w:themeShade="99"/>
          <w:insideV w:val="nil"/>
        </w:tcBorders>
        <w:shd w:val="clear" w:color="auto" w:fill="A84C0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84C0C" w:themeFill="accent3" w:themeFillShade="99"/>
      </w:tcPr>
    </w:tblStylePr>
    <w:tblStylePr w:type="band1Vert">
      <w:tblPr/>
      <w:tcPr>
        <w:shd w:val="clear" w:color="auto" w:fill="F9CEB1" w:themeFill="accent3" w:themeFillTint="66"/>
      </w:tcPr>
    </w:tblStylePr>
    <w:tblStylePr w:type="band1Horz">
      <w:tblPr/>
      <w:tcPr>
        <w:shd w:val="clear" w:color="auto" w:fill="F8C29E" w:themeFill="accent3" w:themeFillTint="7F"/>
      </w:tcPr>
    </w:tblStylePr>
  </w:style>
  <w:style w:type="table" w:styleId="ColorfulShading-Accent4">
    <w:name w:val="Colorful Shading Accent 4"/>
    <w:basedOn w:val="TableNormal"/>
    <w:uiPriority w:val="71"/>
    <w:semiHidden/>
    <w:rsid w:val="00EE3EB6"/>
    <w:pPr>
      <w:spacing w:line="240" w:lineRule="auto"/>
    </w:pPr>
    <w:rPr>
      <w:color w:val="000000" w:themeColor="text1"/>
    </w:rPr>
    <w:tblPr>
      <w:tblStyleRowBandSize w:val="1"/>
      <w:tblStyleColBandSize w:val="1"/>
      <w:tblBorders>
        <w:top w:val="single" w:sz="24" w:space="0" w:color="F1873D" w:themeColor="accent3"/>
        <w:left w:val="single" w:sz="4" w:space="0" w:color="FCC648" w:themeColor="accent4"/>
        <w:bottom w:val="single" w:sz="4" w:space="0" w:color="FCC648" w:themeColor="accent4"/>
        <w:right w:val="single" w:sz="4" w:space="0" w:color="FCC648" w:themeColor="accent4"/>
        <w:insideH w:val="single" w:sz="4" w:space="0" w:color="FFFFFF" w:themeColor="background1"/>
        <w:insideV w:val="single" w:sz="4" w:space="0" w:color="FFFFFF" w:themeColor="background1"/>
      </w:tblBorders>
    </w:tblPr>
    <w:tcPr>
      <w:shd w:val="clear" w:color="auto" w:fill="FEF9EC" w:themeFill="accent4" w:themeFillTint="19"/>
    </w:tcPr>
    <w:tblStylePr w:type="firstRow">
      <w:rPr>
        <w:b/>
        <w:bCs/>
      </w:rPr>
      <w:tblPr/>
      <w:tcPr>
        <w:tcBorders>
          <w:top w:val="nil"/>
          <w:left w:val="nil"/>
          <w:bottom w:val="single" w:sz="24" w:space="0" w:color="F187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F8603" w:themeFill="accent4" w:themeFillShade="99"/>
      </w:tcPr>
    </w:tblStylePr>
    <w:tblStylePr w:type="firstCol">
      <w:rPr>
        <w:color w:val="FFFFFF" w:themeColor="background1"/>
      </w:rPr>
      <w:tblPr/>
      <w:tcPr>
        <w:tcBorders>
          <w:top w:val="nil"/>
          <w:left w:val="nil"/>
          <w:bottom w:val="nil"/>
          <w:right w:val="nil"/>
          <w:insideH w:val="single" w:sz="4" w:space="0" w:color="BF8603" w:themeColor="accent4" w:themeShade="99"/>
          <w:insideV w:val="nil"/>
        </w:tcBorders>
        <w:shd w:val="clear" w:color="auto" w:fill="BF860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F8603" w:themeFill="accent4" w:themeFillShade="99"/>
      </w:tcPr>
    </w:tblStylePr>
    <w:tblStylePr w:type="band1Vert">
      <w:tblPr/>
      <w:tcPr>
        <w:shd w:val="clear" w:color="auto" w:fill="FDE7B5" w:themeFill="accent4" w:themeFillTint="66"/>
      </w:tcPr>
    </w:tblStylePr>
    <w:tblStylePr w:type="band1Horz">
      <w:tblPr/>
      <w:tcPr>
        <w:shd w:val="clear" w:color="auto" w:fill="FDE2A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E3EB6"/>
    <w:pPr>
      <w:spacing w:line="240" w:lineRule="auto"/>
    </w:pPr>
    <w:rPr>
      <w:color w:val="000000" w:themeColor="text1"/>
    </w:rPr>
    <w:tblPr>
      <w:tblStyleRowBandSize w:val="1"/>
      <w:tblStyleColBandSize w:val="1"/>
      <w:tblBorders>
        <w:top w:val="single" w:sz="24" w:space="0" w:color="788183" w:themeColor="accent6"/>
        <w:left w:val="single" w:sz="4" w:space="0" w:color="86BE57" w:themeColor="accent5"/>
        <w:bottom w:val="single" w:sz="4" w:space="0" w:color="86BE57" w:themeColor="accent5"/>
        <w:right w:val="single" w:sz="4" w:space="0" w:color="86BE57" w:themeColor="accent5"/>
        <w:insideH w:val="single" w:sz="4" w:space="0" w:color="FFFFFF" w:themeColor="background1"/>
        <w:insideV w:val="single" w:sz="4" w:space="0" w:color="FFFFFF" w:themeColor="background1"/>
      </w:tblBorders>
    </w:tblPr>
    <w:tcPr>
      <w:shd w:val="clear" w:color="auto" w:fill="F3F8EE" w:themeFill="accent5" w:themeFillTint="19"/>
    </w:tcPr>
    <w:tblStylePr w:type="firstRow">
      <w:rPr>
        <w:b/>
        <w:bCs/>
      </w:rPr>
      <w:tblPr/>
      <w:tcPr>
        <w:tcBorders>
          <w:top w:val="nil"/>
          <w:left w:val="nil"/>
          <w:bottom w:val="single" w:sz="24" w:space="0" w:color="78818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772E" w:themeFill="accent5" w:themeFillShade="99"/>
      </w:tcPr>
    </w:tblStylePr>
    <w:tblStylePr w:type="firstCol">
      <w:rPr>
        <w:color w:val="FFFFFF" w:themeColor="background1"/>
      </w:rPr>
      <w:tblPr/>
      <w:tcPr>
        <w:tcBorders>
          <w:top w:val="nil"/>
          <w:left w:val="nil"/>
          <w:bottom w:val="nil"/>
          <w:right w:val="nil"/>
          <w:insideH w:val="single" w:sz="4" w:space="0" w:color="4F772E" w:themeColor="accent5" w:themeShade="99"/>
          <w:insideV w:val="nil"/>
        </w:tcBorders>
        <w:shd w:val="clear" w:color="auto" w:fill="4F772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F772E" w:themeFill="accent5" w:themeFillShade="99"/>
      </w:tcPr>
    </w:tblStylePr>
    <w:tblStylePr w:type="band1Vert">
      <w:tblPr/>
      <w:tcPr>
        <w:shd w:val="clear" w:color="auto" w:fill="CEE5BB" w:themeFill="accent5" w:themeFillTint="66"/>
      </w:tcPr>
    </w:tblStylePr>
    <w:tblStylePr w:type="band1Horz">
      <w:tblPr/>
      <w:tcPr>
        <w:shd w:val="clear" w:color="auto" w:fill="C2DEA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EE3EB6"/>
    <w:pPr>
      <w:spacing w:line="240" w:lineRule="auto"/>
    </w:pPr>
    <w:rPr>
      <w:color w:val="000000" w:themeColor="text1"/>
    </w:rPr>
    <w:tblPr>
      <w:tblStyleRowBandSize w:val="1"/>
      <w:tblStyleColBandSize w:val="1"/>
      <w:tblBorders>
        <w:top w:val="single" w:sz="24" w:space="0" w:color="86BE57" w:themeColor="accent5"/>
        <w:left w:val="single" w:sz="4" w:space="0" w:color="788183" w:themeColor="accent6"/>
        <w:bottom w:val="single" w:sz="4" w:space="0" w:color="788183" w:themeColor="accent6"/>
        <w:right w:val="single" w:sz="4" w:space="0" w:color="788183" w:themeColor="accent6"/>
        <w:insideH w:val="single" w:sz="4" w:space="0" w:color="FFFFFF" w:themeColor="background1"/>
        <w:insideV w:val="single" w:sz="4" w:space="0" w:color="FFFFFF" w:themeColor="background1"/>
      </w:tblBorders>
    </w:tblPr>
    <w:tcPr>
      <w:shd w:val="clear" w:color="auto" w:fill="F1F2F2" w:themeFill="accent6" w:themeFillTint="19"/>
    </w:tcPr>
    <w:tblStylePr w:type="firstRow">
      <w:rPr>
        <w:b/>
        <w:bCs/>
      </w:rPr>
      <w:tblPr/>
      <w:tcPr>
        <w:tcBorders>
          <w:top w:val="nil"/>
          <w:left w:val="nil"/>
          <w:bottom w:val="single" w:sz="24" w:space="0" w:color="86BE5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4D4E" w:themeFill="accent6" w:themeFillShade="99"/>
      </w:tcPr>
    </w:tblStylePr>
    <w:tblStylePr w:type="firstCol">
      <w:rPr>
        <w:color w:val="FFFFFF" w:themeColor="background1"/>
      </w:rPr>
      <w:tblPr/>
      <w:tcPr>
        <w:tcBorders>
          <w:top w:val="nil"/>
          <w:left w:val="nil"/>
          <w:bottom w:val="nil"/>
          <w:right w:val="nil"/>
          <w:insideH w:val="single" w:sz="4" w:space="0" w:color="484D4E" w:themeColor="accent6" w:themeShade="99"/>
          <w:insideV w:val="nil"/>
        </w:tcBorders>
        <w:shd w:val="clear" w:color="auto" w:fill="484D4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84D4E" w:themeFill="accent6" w:themeFillShade="99"/>
      </w:tcPr>
    </w:tblStylePr>
    <w:tblStylePr w:type="band1Vert">
      <w:tblPr/>
      <w:tcPr>
        <w:shd w:val="clear" w:color="auto" w:fill="C8CCCD" w:themeFill="accent6" w:themeFillTint="66"/>
      </w:tcPr>
    </w:tblStylePr>
    <w:tblStylePr w:type="band1Horz">
      <w:tblPr/>
      <w:tcPr>
        <w:shd w:val="clear" w:color="auto" w:fill="BBC0C1"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EE3EB6"/>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EE3EB6"/>
    <w:pPr>
      <w:spacing w:line="240" w:lineRule="auto"/>
    </w:pPr>
    <w:rPr>
      <w:color w:val="FFFFFF" w:themeColor="background1"/>
    </w:rPr>
    <w:tblPr>
      <w:tblStyleRowBandSize w:val="1"/>
      <w:tblStyleColBandSize w:val="1"/>
    </w:tblPr>
    <w:tcPr>
      <w:shd w:val="clear" w:color="auto" w:fill="8D487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243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9365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9365E" w:themeFill="accent1" w:themeFillShade="BF"/>
      </w:tcPr>
    </w:tblStylePr>
    <w:tblStylePr w:type="band1Vert">
      <w:tblPr/>
      <w:tcPr>
        <w:tcBorders>
          <w:top w:val="nil"/>
          <w:left w:val="nil"/>
          <w:bottom w:val="nil"/>
          <w:right w:val="nil"/>
          <w:insideH w:val="nil"/>
          <w:insideV w:val="nil"/>
        </w:tcBorders>
        <w:shd w:val="clear" w:color="auto" w:fill="69365E" w:themeFill="accent1" w:themeFillShade="BF"/>
      </w:tcPr>
    </w:tblStylePr>
    <w:tblStylePr w:type="band1Horz">
      <w:tblPr/>
      <w:tcPr>
        <w:tcBorders>
          <w:top w:val="nil"/>
          <w:left w:val="nil"/>
          <w:bottom w:val="nil"/>
          <w:right w:val="nil"/>
          <w:insideH w:val="nil"/>
          <w:insideV w:val="nil"/>
        </w:tcBorders>
        <w:shd w:val="clear" w:color="auto" w:fill="69365E" w:themeFill="accent1" w:themeFillShade="BF"/>
      </w:tcPr>
    </w:tblStylePr>
  </w:style>
  <w:style w:type="table" w:styleId="DarkList-Accent2">
    <w:name w:val="Dark List Accent 2"/>
    <w:basedOn w:val="TableNormal"/>
    <w:uiPriority w:val="70"/>
    <w:semiHidden/>
    <w:rsid w:val="00EE3EB6"/>
    <w:pPr>
      <w:spacing w:line="240" w:lineRule="auto"/>
    </w:pPr>
    <w:rPr>
      <w:color w:val="FFFFFF" w:themeColor="background1"/>
    </w:rPr>
    <w:tblPr>
      <w:tblStyleRowBandSize w:val="1"/>
      <w:tblStyleColBandSize w:val="1"/>
    </w:tblPr>
    <w:tcPr>
      <w:shd w:val="clear" w:color="auto" w:fill="C64E4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231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8362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8362F" w:themeFill="accent2" w:themeFillShade="BF"/>
      </w:tcPr>
    </w:tblStylePr>
    <w:tblStylePr w:type="band1Vert">
      <w:tblPr/>
      <w:tcPr>
        <w:tcBorders>
          <w:top w:val="nil"/>
          <w:left w:val="nil"/>
          <w:bottom w:val="nil"/>
          <w:right w:val="nil"/>
          <w:insideH w:val="nil"/>
          <w:insideV w:val="nil"/>
        </w:tcBorders>
        <w:shd w:val="clear" w:color="auto" w:fill="98362F" w:themeFill="accent2" w:themeFillShade="BF"/>
      </w:tcPr>
    </w:tblStylePr>
    <w:tblStylePr w:type="band1Horz">
      <w:tblPr/>
      <w:tcPr>
        <w:tcBorders>
          <w:top w:val="nil"/>
          <w:left w:val="nil"/>
          <w:bottom w:val="nil"/>
          <w:right w:val="nil"/>
          <w:insideH w:val="nil"/>
          <w:insideV w:val="nil"/>
        </w:tcBorders>
        <w:shd w:val="clear" w:color="auto" w:fill="98362F" w:themeFill="accent2" w:themeFillShade="BF"/>
      </w:tcPr>
    </w:tblStylePr>
  </w:style>
  <w:style w:type="table" w:styleId="DarkList-Accent3">
    <w:name w:val="Dark List Accent 3"/>
    <w:basedOn w:val="TableNormal"/>
    <w:uiPriority w:val="70"/>
    <w:semiHidden/>
    <w:rsid w:val="00EE3EB6"/>
    <w:pPr>
      <w:spacing w:line="240" w:lineRule="auto"/>
    </w:pPr>
    <w:rPr>
      <w:color w:val="FFFFFF" w:themeColor="background1"/>
    </w:rPr>
    <w:tblPr>
      <w:tblStyleRowBandSize w:val="1"/>
      <w:tblStyleColBandSize w:val="1"/>
    </w:tblPr>
    <w:tcPr>
      <w:shd w:val="clear" w:color="auto" w:fill="F187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C3F0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25E0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25E0F" w:themeFill="accent3" w:themeFillShade="BF"/>
      </w:tcPr>
    </w:tblStylePr>
    <w:tblStylePr w:type="band1Vert">
      <w:tblPr/>
      <w:tcPr>
        <w:tcBorders>
          <w:top w:val="nil"/>
          <w:left w:val="nil"/>
          <w:bottom w:val="nil"/>
          <w:right w:val="nil"/>
          <w:insideH w:val="nil"/>
          <w:insideV w:val="nil"/>
        </w:tcBorders>
        <w:shd w:val="clear" w:color="auto" w:fill="D25E0F" w:themeFill="accent3" w:themeFillShade="BF"/>
      </w:tcPr>
    </w:tblStylePr>
    <w:tblStylePr w:type="band1Horz">
      <w:tblPr/>
      <w:tcPr>
        <w:tcBorders>
          <w:top w:val="nil"/>
          <w:left w:val="nil"/>
          <w:bottom w:val="nil"/>
          <w:right w:val="nil"/>
          <w:insideH w:val="nil"/>
          <w:insideV w:val="nil"/>
        </w:tcBorders>
        <w:shd w:val="clear" w:color="auto" w:fill="D25E0F" w:themeFill="accent3" w:themeFillShade="BF"/>
      </w:tcPr>
    </w:tblStylePr>
  </w:style>
  <w:style w:type="table" w:styleId="DarkList-Accent4">
    <w:name w:val="Dark List Accent 4"/>
    <w:basedOn w:val="TableNormal"/>
    <w:uiPriority w:val="70"/>
    <w:semiHidden/>
    <w:rsid w:val="00EE3EB6"/>
    <w:pPr>
      <w:spacing w:line="240" w:lineRule="auto"/>
    </w:pPr>
    <w:rPr>
      <w:color w:val="FFFFFF" w:themeColor="background1"/>
    </w:rPr>
    <w:tblPr>
      <w:tblStyleRowBandSize w:val="1"/>
      <w:tblStyleColBandSize w:val="1"/>
    </w:tblPr>
    <w:tcPr>
      <w:shd w:val="clear" w:color="auto" w:fill="FCC64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E6F0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EA70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EA704" w:themeFill="accent4" w:themeFillShade="BF"/>
      </w:tcPr>
    </w:tblStylePr>
    <w:tblStylePr w:type="band1Vert">
      <w:tblPr/>
      <w:tcPr>
        <w:tcBorders>
          <w:top w:val="nil"/>
          <w:left w:val="nil"/>
          <w:bottom w:val="nil"/>
          <w:right w:val="nil"/>
          <w:insideH w:val="nil"/>
          <w:insideV w:val="nil"/>
        </w:tcBorders>
        <w:shd w:val="clear" w:color="auto" w:fill="EEA704" w:themeFill="accent4" w:themeFillShade="BF"/>
      </w:tcPr>
    </w:tblStylePr>
    <w:tblStylePr w:type="band1Horz">
      <w:tblPr/>
      <w:tcPr>
        <w:tcBorders>
          <w:top w:val="nil"/>
          <w:left w:val="nil"/>
          <w:bottom w:val="nil"/>
          <w:right w:val="nil"/>
          <w:insideH w:val="nil"/>
          <w:insideV w:val="nil"/>
        </w:tcBorders>
        <w:shd w:val="clear" w:color="auto" w:fill="EEA704" w:themeFill="accent4" w:themeFillShade="BF"/>
      </w:tcPr>
    </w:tblStylePr>
  </w:style>
  <w:style w:type="table" w:styleId="DarkList-Accent5">
    <w:name w:val="Dark List Accent 5"/>
    <w:basedOn w:val="TableNormal"/>
    <w:uiPriority w:val="70"/>
    <w:semiHidden/>
    <w:rsid w:val="00EE3EB6"/>
    <w:pPr>
      <w:spacing w:line="240" w:lineRule="auto"/>
    </w:pPr>
    <w:rPr>
      <w:color w:val="FFFFFF" w:themeColor="background1"/>
    </w:rPr>
    <w:tblPr>
      <w:tblStyleRowBandSize w:val="1"/>
      <w:tblStyleColBandSize w:val="1"/>
    </w:tblPr>
    <w:tcPr>
      <w:shd w:val="clear" w:color="auto" w:fill="86BE5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632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3953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3953A" w:themeFill="accent5" w:themeFillShade="BF"/>
      </w:tcPr>
    </w:tblStylePr>
    <w:tblStylePr w:type="band1Vert">
      <w:tblPr/>
      <w:tcPr>
        <w:tcBorders>
          <w:top w:val="nil"/>
          <w:left w:val="nil"/>
          <w:bottom w:val="nil"/>
          <w:right w:val="nil"/>
          <w:insideH w:val="nil"/>
          <w:insideV w:val="nil"/>
        </w:tcBorders>
        <w:shd w:val="clear" w:color="auto" w:fill="63953A" w:themeFill="accent5" w:themeFillShade="BF"/>
      </w:tcPr>
    </w:tblStylePr>
    <w:tblStylePr w:type="band1Horz">
      <w:tblPr/>
      <w:tcPr>
        <w:tcBorders>
          <w:top w:val="nil"/>
          <w:left w:val="nil"/>
          <w:bottom w:val="nil"/>
          <w:right w:val="nil"/>
          <w:insideH w:val="nil"/>
          <w:insideV w:val="nil"/>
        </w:tcBorders>
        <w:shd w:val="clear" w:color="auto" w:fill="63953A" w:themeFill="accent5" w:themeFillShade="BF"/>
      </w:tcPr>
    </w:tblStylePr>
  </w:style>
  <w:style w:type="table" w:styleId="DarkList-Accent6">
    <w:name w:val="Dark List Accent 6"/>
    <w:basedOn w:val="TableNormal"/>
    <w:uiPriority w:val="70"/>
    <w:semiHidden/>
    <w:rsid w:val="00EE3EB6"/>
    <w:pPr>
      <w:spacing w:line="240" w:lineRule="auto"/>
    </w:pPr>
    <w:rPr>
      <w:color w:val="FFFFFF" w:themeColor="background1"/>
    </w:rPr>
    <w:tblPr>
      <w:tblStyleRowBandSize w:val="1"/>
      <w:tblStyleColBandSize w:val="1"/>
    </w:tblPr>
    <w:tcPr>
      <w:shd w:val="clear" w:color="auto" w:fill="78818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04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A606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A6062" w:themeFill="accent6" w:themeFillShade="BF"/>
      </w:tcPr>
    </w:tblStylePr>
    <w:tblStylePr w:type="band1Vert">
      <w:tblPr/>
      <w:tcPr>
        <w:tcBorders>
          <w:top w:val="nil"/>
          <w:left w:val="nil"/>
          <w:bottom w:val="nil"/>
          <w:right w:val="nil"/>
          <w:insideH w:val="nil"/>
          <w:insideV w:val="nil"/>
        </w:tcBorders>
        <w:shd w:val="clear" w:color="auto" w:fill="5A6062" w:themeFill="accent6" w:themeFillShade="BF"/>
      </w:tcPr>
    </w:tblStylePr>
    <w:tblStylePr w:type="band1Horz">
      <w:tblPr/>
      <w:tcPr>
        <w:tcBorders>
          <w:top w:val="nil"/>
          <w:left w:val="nil"/>
          <w:bottom w:val="nil"/>
          <w:right w:val="nil"/>
          <w:insideH w:val="nil"/>
          <w:insideV w:val="nil"/>
        </w:tcBorders>
        <w:shd w:val="clear" w:color="auto" w:fill="5A6062" w:themeFill="accent6" w:themeFillShade="BF"/>
      </w:tcPr>
    </w:tblStylePr>
  </w:style>
  <w:style w:type="table" w:customStyle="1" w:styleId="GridTable1Light">
    <w:name w:val="Grid Table 1 Light"/>
    <w:basedOn w:val="TableNormal"/>
    <w:uiPriority w:val="46"/>
    <w:semiHidden/>
    <w:rsid w:val="00EE3EB6"/>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semiHidden/>
    <w:rsid w:val="00EE3EB6"/>
    <w:pPr>
      <w:spacing w:line="240" w:lineRule="auto"/>
    </w:pPr>
    <w:tblPr>
      <w:tblStyleRowBandSize w:val="1"/>
      <w:tblStyleColBandSize w:val="1"/>
      <w:tblBorders>
        <w:top w:val="single" w:sz="4" w:space="0" w:color="D6B0CE" w:themeColor="accent1" w:themeTint="66"/>
        <w:left w:val="single" w:sz="4" w:space="0" w:color="D6B0CE" w:themeColor="accent1" w:themeTint="66"/>
        <w:bottom w:val="single" w:sz="4" w:space="0" w:color="D6B0CE" w:themeColor="accent1" w:themeTint="66"/>
        <w:right w:val="single" w:sz="4" w:space="0" w:color="D6B0CE" w:themeColor="accent1" w:themeTint="66"/>
        <w:insideH w:val="single" w:sz="4" w:space="0" w:color="D6B0CE" w:themeColor="accent1" w:themeTint="66"/>
        <w:insideV w:val="single" w:sz="4" w:space="0" w:color="D6B0CE" w:themeColor="accent1" w:themeTint="66"/>
      </w:tblBorders>
    </w:tblPr>
    <w:tblStylePr w:type="firstRow">
      <w:rPr>
        <w:b/>
        <w:bCs/>
      </w:rPr>
      <w:tblPr/>
      <w:tcPr>
        <w:tcBorders>
          <w:bottom w:val="single" w:sz="12" w:space="0" w:color="C288B7" w:themeColor="accent1" w:themeTint="99"/>
        </w:tcBorders>
      </w:tcPr>
    </w:tblStylePr>
    <w:tblStylePr w:type="lastRow">
      <w:rPr>
        <w:b/>
        <w:bCs/>
      </w:rPr>
      <w:tblPr/>
      <w:tcPr>
        <w:tcBorders>
          <w:top w:val="double" w:sz="2" w:space="0" w:color="C288B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semiHidden/>
    <w:rsid w:val="00EE3EB6"/>
    <w:pPr>
      <w:spacing w:line="240" w:lineRule="auto"/>
    </w:pPr>
    <w:tblPr>
      <w:tblStyleRowBandSize w:val="1"/>
      <w:tblStyleColBandSize w:val="1"/>
      <w:tblBorders>
        <w:top w:val="single" w:sz="4" w:space="0" w:color="E8B7B4" w:themeColor="accent2" w:themeTint="66"/>
        <w:left w:val="single" w:sz="4" w:space="0" w:color="E8B7B4" w:themeColor="accent2" w:themeTint="66"/>
        <w:bottom w:val="single" w:sz="4" w:space="0" w:color="E8B7B4" w:themeColor="accent2" w:themeTint="66"/>
        <w:right w:val="single" w:sz="4" w:space="0" w:color="E8B7B4" w:themeColor="accent2" w:themeTint="66"/>
        <w:insideH w:val="single" w:sz="4" w:space="0" w:color="E8B7B4" w:themeColor="accent2" w:themeTint="66"/>
        <w:insideV w:val="single" w:sz="4" w:space="0" w:color="E8B7B4" w:themeColor="accent2" w:themeTint="66"/>
      </w:tblBorders>
    </w:tblPr>
    <w:tblStylePr w:type="firstRow">
      <w:rPr>
        <w:b/>
        <w:bCs/>
      </w:rPr>
      <w:tblPr/>
      <w:tcPr>
        <w:tcBorders>
          <w:bottom w:val="single" w:sz="12" w:space="0" w:color="DC948F" w:themeColor="accent2" w:themeTint="99"/>
        </w:tcBorders>
      </w:tcPr>
    </w:tblStylePr>
    <w:tblStylePr w:type="lastRow">
      <w:rPr>
        <w:b/>
        <w:bCs/>
      </w:rPr>
      <w:tblPr/>
      <w:tcPr>
        <w:tcBorders>
          <w:top w:val="double" w:sz="2" w:space="0" w:color="DC948F"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semiHidden/>
    <w:rsid w:val="00EE3EB6"/>
    <w:pPr>
      <w:spacing w:line="240" w:lineRule="auto"/>
    </w:pPr>
    <w:tblPr>
      <w:tblStyleRowBandSize w:val="1"/>
      <w:tblStyleColBandSize w:val="1"/>
      <w:tblBorders>
        <w:top w:val="single" w:sz="4" w:space="0" w:color="F9CEB1" w:themeColor="accent3" w:themeTint="66"/>
        <w:left w:val="single" w:sz="4" w:space="0" w:color="F9CEB1" w:themeColor="accent3" w:themeTint="66"/>
        <w:bottom w:val="single" w:sz="4" w:space="0" w:color="F9CEB1" w:themeColor="accent3" w:themeTint="66"/>
        <w:right w:val="single" w:sz="4" w:space="0" w:color="F9CEB1" w:themeColor="accent3" w:themeTint="66"/>
        <w:insideH w:val="single" w:sz="4" w:space="0" w:color="F9CEB1" w:themeColor="accent3" w:themeTint="66"/>
        <w:insideV w:val="single" w:sz="4" w:space="0" w:color="F9CEB1" w:themeColor="accent3" w:themeTint="66"/>
      </w:tblBorders>
    </w:tblPr>
    <w:tblStylePr w:type="firstRow">
      <w:rPr>
        <w:b/>
        <w:bCs/>
      </w:rPr>
      <w:tblPr/>
      <w:tcPr>
        <w:tcBorders>
          <w:bottom w:val="single" w:sz="12" w:space="0" w:color="F6B68A" w:themeColor="accent3" w:themeTint="99"/>
        </w:tcBorders>
      </w:tcPr>
    </w:tblStylePr>
    <w:tblStylePr w:type="lastRow">
      <w:rPr>
        <w:b/>
        <w:bCs/>
      </w:rPr>
      <w:tblPr/>
      <w:tcPr>
        <w:tcBorders>
          <w:top w:val="double" w:sz="2" w:space="0" w:color="F6B68A"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semiHidden/>
    <w:rsid w:val="00EE3EB6"/>
    <w:pPr>
      <w:spacing w:line="240" w:lineRule="auto"/>
    </w:pPr>
    <w:tblPr>
      <w:tblStyleRowBandSize w:val="1"/>
      <w:tblStyleColBandSize w:val="1"/>
      <w:tblBorders>
        <w:top w:val="single" w:sz="4" w:space="0" w:color="FDE7B5" w:themeColor="accent4" w:themeTint="66"/>
        <w:left w:val="single" w:sz="4" w:space="0" w:color="FDE7B5" w:themeColor="accent4" w:themeTint="66"/>
        <w:bottom w:val="single" w:sz="4" w:space="0" w:color="FDE7B5" w:themeColor="accent4" w:themeTint="66"/>
        <w:right w:val="single" w:sz="4" w:space="0" w:color="FDE7B5" w:themeColor="accent4" w:themeTint="66"/>
        <w:insideH w:val="single" w:sz="4" w:space="0" w:color="FDE7B5" w:themeColor="accent4" w:themeTint="66"/>
        <w:insideV w:val="single" w:sz="4" w:space="0" w:color="FDE7B5" w:themeColor="accent4" w:themeTint="66"/>
      </w:tblBorders>
    </w:tblPr>
    <w:tblStylePr w:type="firstRow">
      <w:rPr>
        <w:b/>
        <w:bCs/>
      </w:rPr>
      <w:tblPr/>
      <w:tcPr>
        <w:tcBorders>
          <w:bottom w:val="single" w:sz="12" w:space="0" w:color="FDDC91" w:themeColor="accent4" w:themeTint="99"/>
        </w:tcBorders>
      </w:tcPr>
    </w:tblStylePr>
    <w:tblStylePr w:type="lastRow">
      <w:rPr>
        <w:b/>
        <w:bCs/>
      </w:rPr>
      <w:tblPr/>
      <w:tcPr>
        <w:tcBorders>
          <w:top w:val="double" w:sz="2" w:space="0" w:color="FDDC91"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semiHidden/>
    <w:rsid w:val="00EE3EB6"/>
    <w:pPr>
      <w:spacing w:line="240" w:lineRule="auto"/>
    </w:pPr>
    <w:tblPr>
      <w:tblStyleRowBandSize w:val="1"/>
      <w:tblStyleColBandSize w:val="1"/>
      <w:tblBorders>
        <w:top w:val="single" w:sz="4" w:space="0" w:color="CEE5BB" w:themeColor="accent5" w:themeTint="66"/>
        <w:left w:val="single" w:sz="4" w:space="0" w:color="CEE5BB" w:themeColor="accent5" w:themeTint="66"/>
        <w:bottom w:val="single" w:sz="4" w:space="0" w:color="CEE5BB" w:themeColor="accent5" w:themeTint="66"/>
        <w:right w:val="single" w:sz="4" w:space="0" w:color="CEE5BB" w:themeColor="accent5" w:themeTint="66"/>
        <w:insideH w:val="single" w:sz="4" w:space="0" w:color="CEE5BB" w:themeColor="accent5" w:themeTint="66"/>
        <w:insideV w:val="single" w:sz="4" w:space="0" w:color="CEE5BB" w:themeColor="accent5" w:themeTint="66"/>
      </w:tblBorders>
    </w:tblPr>
    <w:tblStylePr w:type="firstRow">
      <w:rPr>
        <w:b/>
        <w:bCs/>
      </w:rPr>
      <w:tblPr/>
      <w:tcPr>
        <w:tcBorders>
          <w:bottom w:val="single" w:sz="12" w:space="0" w:color="B6D89A" w:themeColor="accent5" w:themeTint="99"/>
        </w:tcBorders>
      </w:tcPr>
    </w:tblStylePr>
    <w:tblStylePr w:type="lastRow">
      <w:rPr>
        <w:b/>
        <w:bCs/>
      </w:rPr>
      <w:tblPr/>
      <w:tcPr>
        <w:tcBorders>
          <w:top w:val="double" w:sz="2" w:space="0" w:color="B6D89A"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semiHidden/>
    <w:rsid w:val="00EE3EB6"/>
    <w:pPr>
      <w:spacing w:line="240" w:lineRule="auto"/>
    </w:pPr>
    <w:tblPr>
      <w:tblStyleRowBandSize w:val="1"/>
      <w:tblStyleColBandSize w:val="1"/>
      <w:tblBorders>
        <w:top w:val="single" w:sz="4" w:space="0" w:color="C8CCCD" w:themeColor="accent6" w:themeTint="66"/>
        <w:left w:val="single" w:sz="4" w:space="0" w:color="C8CCCD" w:themeColor="accent6" w:themeTint="66"/>
        <w:bottom w:val="single" w:sz="4" w:space="0" w:color="C8CCCD" w:themeColor="accent6" w:themeTint="66"/>
        <w:right w:val="single" w:sz="4" w:space="0" w:color="C8CCCD" w:themeColor="accent6" w:themeTint="66"/>
        <w:insideH w:val="single" w:sz="4" w:space="0" w:color="C8CCCD" w:themeColor="accent6" w:themeTint="66"/>
        <w:insideV w:val="single" w:sz="4" w:space="0" w:color="C8CCCD" w:themeColor="accent6" w:themeTint="66"/>
      </w:tblBorders>
    </w:tblPr>
    <w:tblStylePr w:type="firstRow">
      <w:rPr>
        <w:b/>
        <w:bCs/>
      </w:rPr>
      <w:tblPr/>
      <w:tcPr>
        <w:tcBorders>
          <w:bottom w:val="single" w:sz="12" w:space="0" w:color="ADB3B4" w:themeColor="accent6" w:themeTint="99"/>
        </w:tcBorders>
      </w:tcPr>
    </w:tblStylePr>
    <w:tblStylePr w:type="lastRow">
      <w:rPr>
        <w:b/>
        <w:bCs/>
      </w:rPr>
      <w:tblPr/>
      <w:tcPr>
        <w:tcBorders>
          <w:top w:val="double" w:sz="2" w:space="0" w:color="ADB3B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semiHidden/>
    <w:rsid w:val="00EE3EB6"/>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semiHidden/>
    <w:rsid w:val="00EE3EB6"/>
    <w:pPr>
      <w:spacing w:line="240" w:lineRule="auto"/>
    </w:pPr>
    <w:tblPr>
      <w:tblStyleRowBandSize w:val="1"/>
      <w:tblStyleColBandSize w:val="1"/>
      <w:tblBorders>
        <w:top w:val="single" w:sz="2" w:space="0" w:color="C288B7" w:themeColor="accent1" w:themeTint="99"/>
        <w:bottom w:val="single" w:sz="2" w:space="0" w:color="C288B7" w:themeColor="accent1" w:themeTint="99"/>
        <w:insideH w:val="single" w:sz="2" w:space="0" w:color="C288B7" w:themeColor="accent1" w:themeTint="99"/>
        <w:insideV w:val="single" w:sz="2" w:space="0" w:color="C288B7" w:themeColor="accent1" w:themeTint="99"/>
      </w:tblBorders>
    </w:tblPr>
    <w:tblStylePr w:type="firstRow">
      <w:rPr>
        <w:b/>
        <w:bCs/>
      </w:rPr>
      <w:tblPr/>
      <w:tcPr>
        <w:tcBorders>
          <w:top w:val="nil"/>
          <w:bottom w:val="single" w:sz="12" w:space="0" w:color="C288B7" w:themeColor="accent1" w:themeTint="99"/>
          <w:insideH w:val="nil"/>
          <w:insideV w:val="nil"/>
        </w:tcBorders>
        <w:shd w:val="clear" w:color="auto" w:fill="FFFFFF" w:themeFill="background1"/>
      </w:tcPr>
    </w:tblStylePr>
    <w:tblStylePr w:type="lastRow">
      <w:rPr>
        <w:b/>
        <w:bCs/>
      </w:rPr>
      <w:tblPr/>
      <w:tcPr>
        <w:tcBorders>
          <w:top w:val="double" w:sz="2" w:space="0" w:color="C288B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GridTable2Accent2">
    <w:name w:val="Grid Table 2 Accent 2"/>
    <w:basedOn w:val="TableNormal"/>
    <w:uiPriority w:val="47"/>
    <w:semiHidden/>
    <w:rsid w:val="00EE3EB6"/>
    <w:pPr>
      <w:spacing w:line="240" w:lineRule="auto"/>
    </w:pPr>
    <w:tblPr>
      <w:tblStyleRowBandSize w:val="1"/>
      <w:tblStyleColBandSize w:val="1"/>
      <w:tblBorders>
        <w:top w:val="single" w:sz="2" w:space="0" w:color="DC948F" w:themeColor="accent2" w:themeTint="99"/>
        <w:bottom w:val="single" w:sz="2" w:space="0" w:color="DC948F" w:themeColor="accent2" w:themeTint="99"/>
        <w:insideH w:val="single" w:sz="2" w:space="0" w:color="DC948F" w:themeColor="accent2" w:themeTint="99"/>
        <w:insideV w:val="single" w:sz="2" w:space="0" w:color="DC948F" w:themeColor="accent2" w:themeTint="99"/>
      </w:tblBorders>
    </w:tblPr>
    <w:tblStylePr w:type="firstRow">
      <w:rPr>
        <w:b/>
        <w:bCs/>
      </w:rPr>
      <w:tblPr/>
      <w:tcPr>
        <w:tcBorders>
          <w:top w:val="nil"/>
          <w:bottom w:val="single" w:sz="12" w:space="0" w:color="DC948F" w:themeColor="accent2" w:themeTint="99"/>
          <w:insideH w:val="nil"/>
          <w:insideV w:val="nil"/>
        </w:tcBorders>
        <w:shd w:val="clear" w:color="auto" w:fill="FFFFFF" w:themeFill="background1"/>
      </w:tcPr>
    </w:tblStylePr>
    <w:tblStylePr w:type="lastRow">
      <w:rPr>
        <w:b/>
        <w:bCs/>
      </w:rPr>
      <w:tblPr/>
      <w:tcPr>
        <w:tcBorders>
          <w:top w:val="double" w:sz="2" w:space="0" w:color="DC948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GridTable2Accent3">
    <w:name w:val="Grid Table 2 Accent 3"/>
    <w:basedOn w:val="TableNormal"/>
    <w:uiPriority w:val="47"/>
    <w:semiHidden/>
    <w:rsid w:val="00EE3EB6"/>
    <w:pPr>
      <w:spacing w:line="240" w:lineRule="auto"/>
    </w:pPr>
    <w:tblPr>
      <w:tblStyleRowBandSize w:val="1"/>
      <w:tblStyleColBandSize w:val="1"/>
      <w:tblBorders>
        <w:top w:val="single" w:sz="2" w:space="0" w:color="F6B68A" w:themeColor="accent3" w:themeTint="99"/>
        <w:bottom w:val="single" w:sz="2" w:space="0" w:color="F6B68A" w:themeColor="accent3" w:themeTint="99"/>
        <w:insideH w:val="single" w:sz="2" w:space="0" w:color="F6B68A" w:themeColor="accent3" w:themeTint="99"/>
        <w:insideV w:val="single" w:sz="2" w:space="0" w:color="F6B68A" w:themeColor="accent3" w:themeTint="99"/>
      </w:tblBorders>
    </w:tblPr>
    <w:tblStylePr w:type="firstRow">
      <w:rPr>
        <w:b/>
        <w:bCs/>
      </w:rPr>
      <w:tblPr/>
      <w:tcPr>
        <w:tcBorders>
          <w:top w:val="nil"/>
          <w:bottom w:val="single" w:sz="12" w:space="0" w:color="F6B68A" w:themeColor="accent3" w:themeTint="99"/>
          <w:insideH w:val="nil"/>
          <w:insideV w:val="nil"/>
        </w:tcBorders>
        <w:shd w:val="clear" w:color="auto" w:fill="FFFFFF" w:themeFill="background1"/>
      </w:tcPr>
    </w:tblStylePr>
    <w:tblStylePr w:type="lastRow">
      <w:rPr>
        <w:b/>
        <w:bCs/>
      </w:rPr>
      <w:tblPr/>
      <w:tcPr>
        <w:tcBorders>
          <w:top w:val="double" w:sz="2" w:space="0" w:color="F6B68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GridTable2Accent4">
    <w:name w:val="Grid Table 2 Accent 4"/>
    <w:basedOn w:val="TableNormal"/>
    <w:uiPriority w:val="47"/>
    <w:semiHidden/>
    <w:rsid w:val="00EE3EB6"/>
    <w:pPr>
      <w:spacing w:line="240" w:lineRule="auto"/>
    </w:pPr>
    <w:tblPr>
      <w:tblStyleRowBandSize w:val="1"/>
      <w:tblStyleColBandSize w:val="1"/>
      <w:tblBorders>
        <w:top w:val="single" w:sz="2" w:space="0" w:color="FDDC91" w:themeColor="accent4" w:themeTint="99"/>
        <w:bottom w:val="single" w:sz="2" w:space="0" w:color="FDDC91" w:themeColor="accent4" w:themeTint="99"/>
        <w:insideH w:val="single" w:sz="2" w:space="0" w:color="FDDC91" w:themeColor="accent4" w:themeTint="99"/>
        <w:insideV w:val="single" w:sz="2" w:space="0" w:color="FDDC91" w:themeColor="accent4" w:themeTint="99"/>
      </w:tblBorders>
    </w:tblPr>
    <w:tblStylePr w:type="firstRow">
      <w:rPr>
        <w:b/>
        <w:bCs/>
      </w:rPr>
      <w:tblPr/>
      <w:tcPr>
        <w:tcBorders>
          <w:top w:val="nil"/>
          <w:bottom w:val="single" w:sz="12" w:space="0" w:color="FDDC91" w:themeColor="accent4" w:themeTint="99"/>
          <w:insideH w:val="nil"/>
          <w:insideV w:val="nil"/>
        </w:tcBorders>
        <w:shd w:val="clear" w:color="auto" w:fill="FFFFFF" w:themeFill="background1"/>
      </w:tcPr>
    </w:tblStylePr>
    <w:tblStylePr w:type="lastRow">
      <w:rPr>
        <w:b/>
        <w:bCs/>
      </w:rPr>
      <w:tblPr/>
      <w:tcPr>
        <w:tcBorders>
          <w:top w:val="double" w:sz="2" w:space="0" w:color="FDDC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GridTable2Accent5">
    <w:name w:val="Grid Table 2 Accent 5"/>
    <w:basedOn w:val="TableNormal"/>
    <w:uiPriority w:val="47"/>
    <w:semiHidden/>
    <w:rsid w:val="00EE3EB6"/>
    <w:pPr>
      <w:spacing w:line="240" w:lineRule="auto"/>
    </w:pPr>
    <w:tblPr>
      <w:tblStyleRowBandSize w:val="1"/>
      <w:tblStyleColBandSize w:val="1"/>
      <w:tblBorders>
        <w:top w:val="single" w:sz="2" w:space="0" w:color="B6D89A" w:themeColor="accent5" w:themeTint="99"/>
        <w:bottom w:val="single" w:sz="2" w:space="0" w:color="B6D89A" w:themeColor="accent5" w:themeTint="99"/>
        <w:insideH w:val="single" w:sz="2" w:space="0" w:color="B6D89A" w:themeColor="accent5" w:themeTint="99"/>
        <w:insideV w:val="single" w:sz="2" w:space="0" w:color="B6D89A" w:themeColor="accent5" w:themeTint="99"/>
      </w:tblBorders>
    </w:tblPr>
    <w:tblStylePr w:type="firstRow">
      <w:rPr>
        <w:b/>
        <w:bCs/>
      </w:rPr>
      <w:tblPr/>
      <w:tcPr>
        <w:tcBorders>
          <w:top w:val="nil"/>
          <w:bottom w:val="single" w:sz="12" w:space="0" w:color="B6D89A" w:themeColor="accent5" w:themeTint="99"/>
          <w:insideH w:val="nil"/>
          <w:insideV w:val="nil"/>
        </w:tcBorders>
        <w:shd w:val="clear" w:color="auto" w:fill="FFFFFF" w:themeFill="background1"/>
      </w:tcPr>
    </w:tblStylePr>
    <w:tblStylePr w:type="lastRow">
      <w:rPr>
        <w:b/>
        <w:bCs/>
      </w:rPr>
      <w:tblPr/>
      <w:tcPr>
        <w:tcBorders>
          <w:top w:val="double" w:sz="2" w:space="0" w:color="B6D89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GridTable2Accent6">
    <w:name w:val="Grid Table 2 Accent 6"/>
    <w:basedOn w:val="TableNormal"/>
    <w:uiPriority w:val="47"/>
    <w:semiHidden/>
    <w:rsid w:val="00EE3EB6"/>
    <w:pPr>
      <w:spacing w:line="240" w:lineRule="auto"/>
    </w:pPr>
    <w:tblPr>
      <w:tblStyleRowBandSize w:val="1"/>
      <w:tblStyleColBandSize w:val="1"/>
      <w:tblBorders>
        <w:top w:val="single" w:sz="2" w:space="0" w:color="ADB3B4" w:themeColor="accent6" w:themeTint="99"/>
        <w:bottom w:val="single" w:sz="2" w:space="0" w:color="ADB3B4" w:themeColor="accent6" w:themeTint="99"/>
        <w:insideH w:val="single" w:sz="2" w:space="0" w:color="ADB3B4" w:themeColor="accent6" w:themeTint="99"/>
        <w:insideV w:val="single" w:sz="2" w:space="0" w:color="ADB3B4" w:themeColor="accent6" w:themeTint="99"/>
      </w:tblBorders>
    </w:tblPr>
    <w:tblStylePr w:type="firstRow">
      <w:rPr>
        <w:b/>
        <w:bCs/>
      </w:rPr>
      <w:tblPr/>
      <w:tcPr>
        <w:tcBorders>
          <w:top w:val="nil"/>
          <w:bottom w:val="single" w:sz="12" w:space="0" w:color="ADB3B4" w:themeColor="accent6" w:themeTint="99"/>
          <w:insideH w:val="nil"/>
          <w:insideV w:val="nil"/>
        </w:tcBorders>
        <w:shd w:val="clear" w:color="auto" w:fill="FFFFFF" w:themeFill="background1"/>
      </w:tcPr>
    </w:tblStylePr>
    <w:tblStylePr w:type="lastRow">
      <w:rPr>
        <w:b/>
        <w:bCs/>
      </w:rPr>
      <w:tblPr/>
      <w:tcPr>
        <w:tcBorders>
          <w:top w:val="double" w:sz="2" w:space="0" w:color="ADB3B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GridTable3">
    <w:name w:val="Grid Table 3"/>
    <w:basedOn w:val="TableNormal"/>
    <w:uiPriority w:val="48"/>
    <w:semiHidden/>
    <w:rsid w:val="00EE3EB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semiHidden/>
    <w:rsid w:val="00EE3EB6"/>
    <w:pPr>
      <w:spacing w:line="240" w:lineRule="auto"/>
    </w:p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7E6" w:themeFill="accent1" w:themeFillTint="33"/>
      </w:tcPr>
    </w:tblStylePr>
    <w:tblStylePr w:type="band1Horz">
      <w:tblPr/>
      <w:tcPr>
        <w:shd w:val="clear" w:color="auto" w:fill="EAD7E6" w:themeFill="accent1" w:themeFillTint="33"/>
      </w:tcPr>
    </w:tblStylePr>
    <w:tblStylePr w:type="neCell">
      <w:tblPr/>
      <w:tcPr>
        <w:tcBorders>
          <w:bottom w:val="single" w:sz="4" w:space="0" w:color="C288B7" w:themeColor="accent1" w:themeTint="99"/>
        </w:tcBorders>
      </w:tcPr>
    </w:tblStylePr>
    <w:tblStylePr w:type="nwCell">
      <w:tblPr/>
      <w:tcPr>
        <w:tcBorders>
          <w:bottom w:val="single" w:sz="4" w:space="0" w:color="C288B7" w:themeColor="accent1" w:themeTint="99"/>
        </w:tcBorders>
      </w:tcPr>
    </w:tblStylePr>
    <w:tblStylePr w:type="seCell">
      <w:tblPr/>
      <w:tcPr>
        <w:tcBorders>
          <w:top w:val="single" w:sz="4" w:space="0" w:color="C288B7" w:themeColor="accent1" w:themeTint="99"/>
        </w:tcBorders>
      </w:tcPr>
    </w:tblStylePr>
    <w:tblStylePr w:type="swCell">
      <w:tblPr/>
      <w:tcPr>
        <w:tcBorders>
          <w:top w:val="single" w:sz="4" w:space="0" w:color="C288B7" w:themeColor="accent1" w:themeTint="99"/>
        </w:tcBorders>
      </w:tcPr>
    </w:tblStylePr>
  </w:style>
  <w:style w:type="table" w:customStyle="1" w:styleId="GridTable3Accent2">
    <w:name w:val="Grid Table 3 Accent 2"/>
    <w:basedOn w:val="TableNormal"/>
    <w:uiPriority w:val="48"/>
    <w:semiHidden/>
    <w:rsid w:val="00EE3EB6"/>
    <w:pPr>
      <w:spacing w:line="240" w:lineRule="auto"/>
    </w:p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BD9" w:themeFill="accent2" w:themeFillTint="33"/>
      </w:tcPr>
    </w:tblStylePr>
    <w:tblStylePr w:type="band1Horz">
      <w:tblPr/>
      <w:tcPr>
        <w:shd w:val="clear" w:color="auto" w:fill="F3DBD9" w:themeFill="accent2" w:themeFillTint="33"/>
      </w:tcPr>
    </w:tblStylePr>
    <w:tblStylePr w:type="neCell">
      <w:tblPr/>
      <w:tcPr>
        <w:tcBorders>
          <w:bottom w:val="single" w:sz="4" w:space="0" w:color="DC948F" w:themeColor="accent2" w:themeTint="99"/>
        </w:tcBorders>
      </w:tcPr>
    </w:tblStylePr>
    <w:tblStylePr w:type="nwCell">
      <w:tblPr/>
      <w:tcPr>
        <w:tcBorders>
          <w:bottom w:val="single" w:sz="4" w:space="0" w:color="DC948F" w:themeColor="accent2" w:themeTint="99"/>
        </w:tcBorders>
      </w:tcPr>
    </w:tblStylePr>
    <w:tblStylePr w:type="seCell">
      <w:tblPr/>
      <w:tcPr>
        <w:tcBorders>
          <w:top w:val="single" w:sz="4" w:space="0" w:color="DC948F" w:themeColor="accent2" w:themeTint="99"/>
        </w:tcBorders>
      </w:tcPr>
    </w:tblStylePr>
    <w:tblStylePr w:type="swCell">
      <w:tblPr/>
      <w:tcPr>
        <w:tcBorders>
          <w:top w:val="single" w:sz="4" w:space="0" w:color="DC948F" w:themeColor="accent2" w:themeTint="99"/>
        </w:tcBorders>
      </w:tcPr>
    </w:tblStylePr>
  </w:style>
  <w:style w:type="table" w:customStyle="1" w:styleId="GridTable3Accent3">
    <w:name w:val="Grid Table 3 Accent 3"/>
    <w:basedOn w:val="TableNormal"/>
    <w:uiPriority w:val="48"/>
    <w:semiHidden/>
    <w:rsid w:val="00EE3EB6"/>
    <w:pPr>
      <w:spacing w:line="240" w:lineRule="auto"/>
    </w:p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6D8" w:themeFill="accent3" w:themeFillTint="33"/>
      </w:tcPr>
    </w:tblStylePr>
    <w:tblStylePr w:type="band1Horz">
      <w:tblPr/>
      <w:tcPr>
        <w:shd w:val="clear" w:color="auto" w:fill="FCE6D8" w:themeFill="accent3" w:themeFillTint="33"/>
      </w:tcPr>
    </w:tblStylePr>
    <w:tblStylePr w:type="neCell">
      <w:tblPr/>
      <w:tcPr>
        <w:tcBorders>
          <w:bottom w:val="single" w:sz="4" w:space="0" w:color="F6B68A" w:themeColor="accent3" w:themeTint="99"/>
        </w:tcBorders>
      </w:tcPr>
    </w:tblStylePr>
    <w:tblStylePr w:type="nwCell">
      <w:tblPr/>
      <w:tcPr>
        <w:tcBorders>
          <w:bottom w:val="single" w:sz="4" w:space="0" w:color="F6B68A" w:themeColor="accent3" w:themeTint="99"/>
        </w:tcBorders>
      </w:tcPr>
    </w:tblStylePr>
    <w:tblStylePr w:type="seCell">
      <w:tblPr/>
      <w:tcPr>
        <w:tcBorders>
          <w:top w:val="single" w:sz="4" w:space="0" w:color="F6B68A" w:themeColor="accent3" w:themeTint="99"/>
        </w:tcBorders>
      </w:tcPr>
    </w:tblStylePr>
    <w:tblStylePr w:type="swCell">
      <w:tblPr/>
      <w:tcPr>
        <w:tcBorders>
          <w:top w:val="single" w:sz="4" w:space="0" w:color="F6B68A" w:themeColor="accent3" w:themeTint="99"/>
        </w:tcBorders>
      </w:tcPr>
    </w:tblStylePr>
  </w:style>
  <w:style w:type="table" w:customStyle="1" w:styleId="GridTable3Accent4">
    <w:name w:val="Grid Table 3 Accent 4"/>
    <w:basedOn w:val="TableNormal"/>
    <w:uiPriority w:val="48"/>
    <w:semiHidden/>
    <w:rsid w:val="00EE3EB6"/>
    <w:pPr>
      <w:spacing w:line="240" w:lineRule="auto"/>
    </w:p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3DA" w:themeFill="accent4" w:themeFillTint="33"/>
      </w:tcPr>
    </w:tblStylePr>
    <w:tblStylePr w:type="band1Horz">
      <w:tblPr/>
      <w:tcPr>
        <w:shd w:val="clear" w:color="auto" w:fill="FEF3DA" w:themeFill="accent4" w:themeFillTint="33"/>
      </w:tcPr>
    </w:tblStylePr>
    <w:tblStylePr w:type="neCell">
      <w:tblPr/>
      <w:tcPr>
        <w:tcBorders>
          <w:bottom w:val="single" w:sz="4" w:space="0" w:color="FDDC91" w:themeColor="accent4" w:themeTint="99"/>
        </w:tcBorders>
      </w:tcPr>
    </w:tblStylePr>
    <w:tblStylePr w:type="nwCell">
      <w:tblPr/>
      <w:tcPr>
        <w:tcBorders>
          <w:bottom w:val="single" w:sz="4" w:space="0" w:color="FDDC91" w:themeColor="accent4" w:themeTint="99"/>
        </w:tcBorders>
      </w:tcPr>
    </w:tblStylePr>
    <w:tblStylePr w:type="seCell">
      <w:tblPr/>
      <w:tcPr>
        <w:tcBorders>
          <w:top w:val="single" w:sz="4" w:space="0" w:color="FDDC91" w:themeColor="accent4" w:themeTint="99"/>
        </w:tcBorders>
      </w:tcPr>
    </w:tblStylePr>
    <w:tblStylePr w:type="swCell">
      <w:tblPr/>
      <w:tcPr>
        <w:tcBorders>
          <w:top w:val="single" w:sz="4" w:space="0" w:color="FDDC91" w:themeColor="accent4" w:themeTint="99"/>
        </w:tcBorders>
      </w:tcPr>
    </w:tblStylePr>
  </w:style>
  <w:style w:type="table" w:customStyle="1" w:styleId="GridTable3Accent5">
    <w:name w:val="Grid Table 3 Accent 5"/>
    <w:basedOn w:val="TableNormal"/>
    <w:uiPriority w:val="48"/>
    <w:semiHidden/>
    <w:rsid w:val="00EE3EB6"/>
    <w:pPr>
      <w:spacing w:line="240" w:lineRule="auto"/>
    </w:p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DD" w:themeFill="accent5" w:themeFillTint="33"/>
      </w:tcPr>
    </w:tblStylePr>
    <w:tblStylePr w:type="band1Horz">
      <w:tblPr/>
      <w:tcPr>
        <w:shd w:val="clear" w:color="auto" w:fill="E6F2DD" w:themeFill="accent5" w:themeFillTint="33"/>
      </w:tcPr>
    </w:tblStylePr>
    <w:tblStylePr w:type="neCell">
      <w:tblPr/>
      <w:tcPr>
        <w:tcBorders>
          <w:bottom w:val="single" w:sz="4" w:space="0" w:color="B6D89A" w:themeColor="accent5" w:themeTint="99"/>
        </w:tcBorders>
      </w:tcPr>
    </w:tblStylePr>
    <w:tblStylePr w:type="nwCell">
      <w:tblPr/>
      <w:tcPr>
        <w:tcBorders>
          <w:bottom w:val="single" w:sz="4" w:space="0" w:color="B6D89A" w:themeColor="accent5" w:themeTint="99"/>
        </w:tcBorders>
      </w:tcPr>
    </w:tblStylePr>
    <w:tblStylePr w:type="seCell">
      <w:tblPr/>
      <w:tcPr>
        <w:tcBorders>
          <w:top w:val="single" w:sz="4" w:space="0" w:color="B6D89A" w:themeColor="accent5" w:themeTint="99"/>
        </w:tcBorders>
      </w:tcPr>
    </w:tblStylePr>
    <w:tblStylePr w:type="swCell">
      <w:tblPr/>
      <w:tcPr>
        <w:tcBorders>
          <w:top w:val="single" w:sz="4" w:space="0" w:color="B6D89A" w:themeColor="accent5" w:themeTint="99"/>
        </w:tcBorders>
      </w:tcPr>
    </w:tblStylePr>
  </w:style>
  <w:style w:type="table" w:customStyle="1" w:styleId="GridTable3Accent6">
    <w:name w:val="Grid Table 3 Accent 6"/>
    <w:basedOn w:val="TableNormal"/>
    <w:uiPriority w:val="48"/>
    <w:semiHidden/>
    <w:rsid w:val="00EE3EB6"/>
    <w:pPr>
      <w:spacing w:line="240" w:lineRule="auto"/>
    </w:p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5E6" w:themeFill="accent6" w:themeFillTint="33"/>
      </w:tcPr>
    </w:tblStylePr>
    <w:tblStylePr w:type="band1Horz">
      <w:tblPr/>
      <w:tcPr>
        <w:shd w:val="clear" w:color="auto" w:fill="E3E5E6" w:themeFill="accent6" w:themeFillTint="33"/>
      </w:tcPr>
    </w:tblStylePr>
    <w:tblStylePr w:type="neCell">
      <w:tblPr/>
      <w:tcPr>
        <w:tcBorders>
          <w:bottom w:val="single" w:sz="4" w:space="0" w:color="ADB3B4" w:themeColor="accent6" w:themeTint="99"/>
        </w:tcBorders>
      </w:tcPr>
    </w:tblStylePr>
    <w:tblStylePr w:type="nwCell">
      <w:tblPr/>
      <w:tcPr>
        <w:tcBorders>
          <w:bottom w:val="single" w:sz="4" w:space="0" w:color="ADB3B4" w:themeColor="accent6" w:themeTint="99"/>
        </w:tcBorders>
      </w:tcPr>
    </w:tblStylePr>
    <w:tblStylePr w:type="seCell">
      <w:tblPr/>
      <w:tcPr>
        <w:tcBorders>
          <w:top w:val="single" w:sz="4" w:space="0" w:color="ADB3B4" w:themeColor="accent6" w:themeTint="99"/>
        </w:tcBorders>
      </w:tcPr>
    </w:tblStylePr>
    <w:tblStylePr w:type="swCell">
      <w:tblPr/>
      <w:tcPr>
        <w:tcBorders>
          <w:top w:val="single" w:sz="4" w:space="0" w:color="ADB3B4" w:themeColor="accent6" w:themeTint="99"/>
        </w:tcBorders>
      </w:tcPr>
    </w:tblStylePr>
  </w:style>
  <w:style w:type="table" w:customStyle="1" w:styleId="GridTable4">
    <w:name w:val="Grid Table 4"/>
    <w:basedOn w:val="TableNormal"/>
    <w:uiPriority w:val="49"/>
    <w:semiHidden/>
    <w:rsid w:val="00EE3EB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semiHidden/>
    <w:rsid w:val="00EE3EB6"/>
    <w:pPr>
      <w:spacing w:line="240" w:lineRule="auto"/>
    </w:p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color w:val="FFFFFF" w:themeColor="background1"/>
      </w:rPr>
      <w:tblPr/>
      <w:tcPr>
        <w:tcBorders>
          <w:top w:val="single" w:sz="4" w:space="0" w:color="8D487F" w:themeColor="accent1"/>
          <w:left w:val="single" w:sz="4" w:space="0" w:color="8D487F" w:themeColor="accent1"/>
          <w:bottom w:val="single" w:sz="4" w:space="0" w:color="8D487F" w:themeColor="accent1"/>
          <w:right w:val="single" w:sz="4" w:space="0" w:color="8D487F" w:themeColor="accent1"/>
          <w:insideH w:val="nil"/>
          <w:insideV w:val="nil"/>
        </w:tcBorders>
        <w:shd w:val="clear" w:color="auto" w:fill="8D487F" w:themeFill="accent1"/>
      </w:tcPr>
    </w:tblStylePr>
    <w:tblStylePr w:type="lastRow">
      <w:rPr>
        <w:b/>
        <w:bCs/>
      </w:rPr>
      <w:tblPr/>
      <w:tcPr>
        <w:tcBorders>
          <w:top w:val="double" w:sz="4" w:space="0" w:color="8D487F" w:themeColor="accent1"/>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GridTable4Accent2">
    <w:name w:val="Grid Table 4 Accent 2"/>
    <w:basedOn w:val="TableNormal"/>
    <w:uiPriority w:val="49"/>
    <w:semiHidden/>
    <w:rsid w:val="00EE3EB6"/>
    <w:pPr>
      <w:spacing w:line="240" w:lineRule="auto"/>
    </w:p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color w:val="FFFFFF" w:themeColor="background1"/>
      </w:rPr>
      <w:tblPr/>
      <w:tcPr>
        <w:tcBorders>
          <w:top w:val="single" w:sz="4" w:space="0" w:color="C64E45" w:themeColor="accent2"/>
          <w:left w:val="single" w:sz="4" w:space="0" w:color="C64E45" w:themeColor="accent2"/>
          <w:bottom w:val="single" w:sz="4" w:space="0" w:color="C64E45" w:themeColor="accent2"/>
          <w:right w:val="single" w:sz="4" w:space="0" w:color="C64E45" w:themeColor="accent2"/>
          <w:insideH w:val="nil"/>
          <w:insideV w:val="nil"/>
        </w:tcBorders>
        <w:shd w:val="clear" w:color="auto" w:fill="C64E45" w:themeFill="accent2"/>
      </w:tcPr>
    </w:tblStylePr>
    <w:tblStylePr w:type="lastRow">
      <w:rPr>
        <w:b/>
        <w:bCs/>
      </w:rPr>
      <w:tblPr/>
      <w:tcPr>
        <w:tcBorders>
          <w:top w:val="double" w:sz="4" w:space="0" w:color="C64E45" w:themeColor="accent2"/>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GridTable4Accent3">
    <w:name w:val="Grid Table 4 Accent 3"/>
    <w:basedOn w:val="TableNormal"/>
    <w:uiPriority w:val="49"/>
    <w:semiHidden/>
    <w:rsid w:val="00EE3EB6"/>
    <w:pPr>
      <w:spacing w:line="240" w:lineRule="auto"/>
    </w:p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color w:val="FFFFFF" w:themeColor="background1"/>
      </w:rPr>
      <w:tblPr/>
      <w:tcPr>
        <w:tcBorders>
          <w:top w:val="single" w:sz="4" w:space="0" w:color="F1873D" w:themeColor="accent3"/>
          <w:left w:val="single" w:sz="4" w:space="0" w:color="F1873D" w:themeColor="accent3"/>
          <w:bottom w:val="single" w:sz="4" w:space="0" w:color="F1873D" w:themeColor="accent3"/>
          <w:right w:val="single" w:sz="4" w:space="0" w:color="F1873D" w:themeColor="accent3"/>
          <w:insideH w:val="nil"/>
          <w:insideV w:val="nil"/>
        </w:tcBorders>
        <w:shd w:val="clear" w:color="auto" w:fill="F1873D" w:themeFill="accent3"/>
      </w:tcPr>
    </w:tblStylePr>
    <w:tblStylePr w:type="lastRow">
      <w:rPr>
        <w:b/>
        <w:bCs/>
      </w:rPr>
      <w:tblPr/>
      <w:tcPr>
        <w:tcBorders>
          <w:top w:val="double" w:sz="4" w:space="0" w:color="F1873D" w:themeColor="accent3"/>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GridTable4Accent4">
    <w:name w:val="Grid Table 4 Accent 4"/>
    <w:basedOn w:val="TableNormal"/>
    <w:uiPriority w:val="49"/>
    <w:semiHidden/>
    <w:rsid w:val="00EE3EB6"/>
    <w:pPr>
      <w:spacing w:line="240" w:lineRule="auto"/>
    </w:p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color w:val="FFFFFF" w:themeColor="background1"/>
      </w:rPr>
      <w:tblPr/>
      <w:tcPr>
        <w:tcBorders>
          <w:top w:val="single" w:sz="4" w:space="0" w:color="FCC648" w:themeColor="accent4"/>
          <w:left w:val="single" w:sz="4" w:space="0" w:color="FCC648" w:themeColor="accent4"/>
          <w:bottom w:val="single" w:sz="4" w:space="0" w:color="FCC648" w:themeColor="accent4"/>
          <w:right w:val="single" w:sz="4" w:space="0" w:color="FCC648" w:themeColor="accent4"/>
          <w:insideH w:val="nil"/>
          <w:insideV w:val="nil"/>
        </w:tcBorders>
        <w:shd w:val="clear" w:color="auto" w:fill="FCC648" w:themeFill="accent4"/>
      </w:tcPr>
    </w:tblStylePr>
    <w:tblStylePr w:type="lastRow">
      <w:rPr>
        <w:b/>
        <w:bCs/>
      </w:rPr>
      <w:tblPr/>
      <w:tcPr>
        <w:tcBorders>
          <w:top w:val="double" w:sz="4" w:space="0" w:color="FCC648" w:themeColor="accent4"/>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GridTable4Accent5">
    <w:name w:val="Grid Table 4 Accent 5"/>
    <w:basedOn w:val="TableNormal"/>
    <w:uiPriority w:val="49"/>
    <w:semiHidden/>
    <w:rsid w:val="00EE3EB6"/>
    <w:pPr>
      <w:spacing w:line="240" w:lineRule="auto"/>
    </w:p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color w:val="FFFFFF" w:themeColor="background1"/>
      </w:rPr>
      <w:tblPr/>
      <w:tcPr>
        <w:tcBorders>
          <w:top w:val="single" w:sz="4" w:space="0" w:color="86BE57" w:themeColor="accent5"/>
          <w:left w:val="single" w:sz="4" w:space="0" w:color="86BE57" w:themeColor="accent5"/>
          <w:bottom w:val="single" w:sz="4" w:space="0" w:color="86BE57" w:themeColor="accent5"/>
          <w:right w:val="single" w:sz="4" w:space="0" w:color="86BE57" w:themeColor="accent5"/>
          <w:insideH w:val="nil"/>
          <w:insideV w:val="nil"/>
        </w:tcBorders>
        <w:shd w:val="clear" w:color="auto" w:fill="86BE57" w:themeFill="accent5"/>
      </w:tcPr>
    </w:tblStylePr>
    <w:tblStylePr w:type="lastRow">
      <w:rPr>
        <w:b/>
        <w:bCs/>
      </w:rPr>
      <w:tblPr/>
      <w:tcPr>
        <w:tcBorders>
          <w:top w:val="double" w:sz="4" w:space="0" w:color="86BE57" w:themeColor="accent5"/>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GridTable4Accent6">
    <w:name w:val="Grid Table 4 Accent 6"/>
    <w:basedOn w:val="TableNormal"/>
    <w:uiPriority w:val="49"/>
    <w:semiHidden/>
    <w:rsid w:val="00EE3EB6"/>
    <w:pPr>
      <w:spacing w:line="240" w:lineRule="auto"/>
    </w:p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color w:val="FFFFFF" w:themeColor="background1"/>
      </w:rPr>
      <w:tblPr/>
      <w:tcPr>
        <w:tcBorders>
          <w:top w:val="single" w:sz="4" w:space="0" w:color="788183" w:themeColor="accent6"/>
          <w:left w:val="single" w:sz="4" w:space="0" w:color="788183" w:themeColor="accent6"/>
          <w:bottom w:val="single" w:sz="4" w:space="0" w:color="788183" w:themeColor="accent6"/>
          <w:right w:val="single" w:sz="4" w:space="0" w:color="788183" w:themeColor="accent6"/>
          <w:insideH w:val="nil"/>
          <w:insideV w:val="nil"/>
        </w:tcBorders>
        <w:shd w:val="clear" w:color="auto" w:fill="788183" w:themeFill="accent6"/>
      </w:tcPr>
    </w:tblStylePr>
    <w:tblStylePr w:type="lastRow">
      <w:rPr>
        <w:b/>
        <w:bCs/>
      </w:rPr>
      <w:tblPr/>
      <w:tcPr>
        <w:tcBorders>
          <w:top w:val="double" w:sz="4" w:space="0" w:color="788183" w:themeColor="accent6"/>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GridTable5Dark">
    <w:name w:val="Grid Table 5 Dark"/>
    <w:basedOn w:val="TableNormal"/>
    <w:uiPriority w:val="50"/>
    <w:semiHidden/>
    <w:rsid w:val="00EE3EB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semiHidden/>
    <w:rsid w:val="00EE3EB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7E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487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487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487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487F" w:themeFill="accent1"/>
      </w:tcPr>
    </w:tblStylePr>
    <w:tblStylePr w:type="band1Vert">
      <w:tblPr/>
      <w:tcPr>
        <w:shd w:val="clear" w:color="auto" w:fill="D6B0CE" w:themeFill="accent1" w:themeFillTint="66"/>
      </w:tcPr>
    </w:tblStylePr>
    <w:tblStylePr w:type="band1Horz">
      <w:tblPr/>
      <w:tcPr>
        <w:shd w:val="clear" w:color="auto" w:fill="D6B0CE" w:themeFill="accent1" w:themeFillTint="66"/>
      </w:tcPr>
    </w:tblStylePr>
  </w:style>
  <w:style w:type="table" w:customStyle="1" w:styleId="GridTable5DarkAccent2">
    <w:name w:val="Grid Table 5 Dark Accent 2"/>
    <w:basedOn w:val="TableNormal"/>
    <w:uiPriority w:val="50"/>
    <w:semiHidden/>
    <w:rsid w:val="00EE3EB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B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64E4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64E4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64E4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64E45" w:themeFill="accent2"/>
      </w:tcPr>
    </w:tblStylePr>
    <w:tblStylePr w:type="band1Vert">
      <w:tblPr/>
      <w:tcPr>
        <w:shd w:val="clear" w:color="auto" w:fill="E8B7B4" w:themeFill="accent2" w:themeFillTint="66"/>
      </w:tcPr>
    </w:tblStylePr>
    <w:tblStylePr w:type="band1Horz">
      <w:tblPr/>
      <w:tcPr>
        <w:shd w:val="clear" w:color="auto" w:fill="E8B7B4" w:themeFill="accent2" w:themeFillTint="66"/>
      </w:tcPr>
    </w:tblStylePr>
  </w:style>
  <w:style w:type="table" w:customStyle="1" w:styleId="GridTable5DarkAccent3">
    <w:name w:val="Grid Table 5 Dark Accent 3"/>
    <w:basedOn w:val="TableNormal"/>
    <w:uiPriority w:val="50"/>
    <w:semiHidden/>
    <w:rsid w:val="00EE3EB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6D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87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87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87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873D" w:themeFill="accent3"/>
      </w:tcPr>
    </w:tblStylePr>
    <w:tblStylePr w:type="band1Vert">
      <w:tblPr/>
      <w:tcPr>
        <w:shd w:val="clear" w:color="auto" w:fill="F9CEB1" w:themeFill="accent3" w:themeFillTint="66"/>
      </w:tcPr>
    </w:tblStylePr>
    <w:tblStylePr w:type="band1Horz">
      <w:tblPr/>
      <w:tcPr>
        <w:shd w:val="clear" w:color="auto" w:fill="F9CEB1" w:themeFill="accent3" w:themeFillTint="66"/>
      </w:tcPr>
    </w:tblStylePr>
  </w:style>
  <w:style w:type="table" w:customStyle="1" w:styleId="GridTable5DarkAccent4">
    <w:name w:val="Grid Table 5 Dark Accent 4"/>
    <w:basedOn w:val="TableNormal"/>
    <w:uiPriority w:val="50"/>
    <w:semiHidden/>
    <w:rsid w:val="00EE3EB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3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C64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C64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C64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C648" w:themeFill="accent4"/>
      </w:tcPr>
    </w:tblStylePr>
    <w:tblStylePr w:type="band1Vert">
      <w:tblPr/>
      <w:tcPr>
        <w:shd w:val="clear" w:color="auto" w:fill="FDE7B5" w:themeFill="accent4" w:themeFillTint="66"/>
      </w:tcPr>
    </w:tblStylePr>
    <w:tblStylePr w:type="band1Horz">
      <w:tblPr/>
      <w:tcPr>
        <w:shd w:val="clear" w:color="auto" w:fill="FDE7B5" w:themeFill="accent4" w:themeFillTint="66"/>
      </w:tcPr>
    </w:tblStylePr>
  </w:style>
  <w:style w:type="table" w:customStyle="1" w:styleId="GridTable5DarkAccent5">
    <w:name w:val="Grid Table 5 Dark Accent 5"/>
    <w:basedOn w:val="TableNormal"/>
    <w:uiPriority w:val="50"/>
    <w:semiHidden/>
    <w:rsid w:val="00EE3EB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2D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BE5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BE5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BE5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BE57" w:themeFill="accent5"/>
      </w:tcPr>
    </w:tblStylePr>
    <w:tblStylePr w:type="band1Vert">
      <w:tblPr/>
      <w:tcPr>
        <w:shd w:val="clear" w:color="auto" w:fill="CEE5BB" w:themeFill="accent5" w:themeFillTint="66"/>
      </w:tcPr>
    </w:tblStylePr>
    <w:tblStylePr w:type="band1Horz">
      <w:tblPr/>
      <w:tcPr>
        <w:shd w:val="clear" w:color="auto" w:fill="CEE5BB" w:themeFill="accent5" w:themeFillTint="66"/>
      </w:tcPr>
    </w:tblStylePr>
  </w:style>
  <w:style w:type="table" w:customStyle="1" w:styleId="GridTable5DarkAccent6">
    <w:name w:val="Grid Table 5 Dark Accent 6"/>
    <w:basedOn w:val="TableNormal"/>
    <w:uiPriority w:val="50"/>
    <w:semiHidden/>
    <w:rsid w:val="00EE3EB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5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818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818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818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8183" w:themeFill="accent6"/>
      </w:tcPr>
    </w:tblStylePr>
    <w:tblStylePr w:type="band1Vert">
      <w:tblPr/>
      <w:tcPr>
        <w:shd w:val="clear" w:color="auto" w:fill="C8CCCD" w:themeFill="accent6" w:themeFillTint="66"/>
      </w:tcPr>
    </w:tblStylePr>
    <w:tblStylePr w:type="band1Horz">
      <w:tblPr/>
      <w:tcPr>
        <w:shd w:val="clear" w:color="auto" w:fill="C8CCCD" w:themeFill="accent6" w:themeFillTint="66"/>
      </w:tcPr>
    </w:tblStylePr>
  </w:style>
  <w:style w:type="table" w:customStyle="1" w:styleId="GridTable6Colorful">
    <w:name w:val="Grid Table 6 Colorful"/>
    <w:basedOn w:val="TableNormal"/>
    <w:uiPriority w:val="51"/>
    <w:semiHidden/>
    <w:rsid w:val="00EE3EB6"/>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semiHidden/>
    <w:rsid w:val="00EE3EB6"/>
    <w:pPr>
      <w:spacing w:line="240" w:lineRule="auto"/>
    </w:pPr>
    <w:rPr>
      <w:color w:val="69365E" w:themeColor="accent1" w:themeShade="BF"/>
    </w:r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rPr>
      <w:tblPr/>
      <w:tcPr>
        <w:tcBorders>
          <w:bottom w:val="single" w:sz="12" w:space="0" w:color="C288B7" w:themeColor="accent1" w:themeTint="99"/>
        </w:tcBorders>
      </w:tcPr>
    </w:tblStylePr>
    <w:tblStylePr w:type="lastRow">
      <w:rPr>
        <w:b/>
        <w:bCs/>
      </w:rPr>
      <w:tblPr/>
      <w:tcPr>
        <w:tcBorders>
          <w:top w:val="double" w:sz="4" w:space="0" w:color="C288B7" w:themeColor="accent1" w:themeTint="99"/>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GridTable6ColorfulAccent2">
    <w:name w:val="Grid Table 6 Colorful Accent 2"/>
    <w:basedOn w:val="TableNormal"/>
    <w:uiPriority w:val="51"/>
    <w:semiHidden/>
    <w:rsid w:val="00EE3EB6"/>
    <w:pPr>
      <w:spacing w:line="240" w:lineRule="auto"/>
    </w:pPr>
    <w:rPr>
      <w:color w:val="98362F" w:themeColor="accent2" w:themeShade="BF"/>
    </w:r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rPr>
      <w:tblPr/>
      <w:tcPr>
        <w:tcBorders>
          <w:bottom w:val="single" w:sz="12" w:space="0" w:color="DC948F" w:themeColor="accent2" w:themeTint="99"/>
        </w:tcBorders>
      </w:tcPr>
    </w:tblStylePr>
    <w:tblStylePr w:type="lastRow">
      <w:rPr>
        <w:b/>
        <w:bCs/>
      </w:rPr>
      <w:tblPr/>
      <w:tcPr>
        <w:tcBorders>
          <w:top w:val="double" w:sz="4" w:space="0" w:color="DC948F" w:themeColor="accent2" w:themeTint="99"/>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GridTable6ColorfulAccent3">
    <w:name w:val="Grid Table 6 Colorful Accent 3"/>
    <w:basedOn w:val="TableNormal"/>
    <w:uiPriority w:val="51"/>
    <w:semiHidden/>
    <w:rsid w:val="00EE3EB6"/>
    <w:pPr>
      <w:spacing w:line="240" w:lineRule="auto"/>
    </w:pPr>
    <w:rPr>
      <w:color w:val="D25E0F" w:themeColor="accent3" w:themeShade="BF"/>
    </w:r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rPr>
      <w:tblPr/>
      <w:tcPr>
        <w:tcBorders>
          <w:bottom w:val="single" w:sz="12" w:space="0" w:color="F6B68A" w:themeColor="accent3" w:themeTint="99"/>
        </w:tcBorders>
      </w:tcPr>
    </w:tblStylePr>
    <w:tblStylePr w:type="lastRow">
      <w:rPr>
        <w:b/>
        <w:bCs/>
      </w:rPr>
      <w:tblPr/>
      <w:tcPr>
        <w:tcBorders>
          <w:top w:val="double" w:sz="4" w:space="0" w:color="F6B68A" w:themeColor="accent3" w:themeTint="99"/>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GridTable6ColorfulAccent4">
    <w:name w:val="Grid Table 6 Colorful Accent 4"/>
    <w:basedOn w:val="TableNormal"/>
    <w:uiPriority w:val="51"/>
    <w:semiHidden/>
    <w:rsid w:val="00EE3EB6"/>
    <w:pPr>
      <w:spacing w:line="240" w:lineRule="auto"/>
    </w:pPr>
    <w:rPr>
      <w:color w:val="EEA704" w:themeColor="accent4" w:themeShade="BF"/>
    </w:r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rPr>
      <w:tblPr/>
      <w:tcPr>
        <w:tcBorders>
          <w:bottom w:val="single" w:sz="12" w:space="0" w:color="FDDC91" w:themeColor="accent4" w:themeTint="99"/>
        </w:tcBorders>
      </w:tcPr>
    </w:tblStylePr>
    <w:tblStylePr w:type="lastRow">
      <w:rPr>
        <w:b/>
        <w:bCs/>
      </w:rPr>
      <w:tblPr/>
      <w:tcPr>
        <w:tcBorders>
          <w:top w:val="double" w:sz="4" w:space="0" w:color="FDDC91" w:themeColor="accent4" w:themeTint="99"/>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GridTable6ColorfulAccent5">
    <w:name w:val="Grid Table 6 Colorful Accent 5"/>
    <w:basedOn w:val="TableNormal"/>
    <w:uiPriority w:val="51"/>
    <w:semiHidden/>
    <w:rsid w:val="00EE3EB6"/>
    <w:pPr>
      <w:spacing w:line="240" w:lineRule="auto"/>
    </w:pPr>
    <w:rPr>
      <w:color w:val="63953A" w:themeColor="accent5" w:themeShade="BF"/>
    </w:r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rPr>
      <w:tblPr/>
      <w:tcPr>
        <w:tcBorders>
          <w:bottom w:val="single" w:sz="12" w:space="0" w:color="B6D89A" w:themeColor="accent5" w:themeTint="99"/>
        </w:tcBorders>
      </w:tcPr>
    </w:tblStylePr>
    <w:tblStylePr w:type="lastRow">
      <w:rPr>
        <w:b/>
        <w:bCs/>
      </w:rPr>
      <w:tblPr/>
      <w:tcPr>
        <w:tcBorders>
          <w:top w:val="double" w:sz="4" w:space="0" w:color="B6D89A" w:themeColor="accent5" w:themeTint="99"/>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GridTable6ColorfulAccent6">
    <w:name w:val="Grid Table 6 Colorful Accent 6"/>
    <w:basedOn w:val="TableNormal"/>
    <w:uiPriority w:val="51"/>
    <w:semiHidden/>
    <w:rsid w:val="00EE3EB6"/>
    <w:pPr>
      <w:spacing w:line="240" w:lineRule="auto"/>
    </w:pPr>
    <w:rPr>
      <w:color w:val="5A6062" w:themeColor="accent6" w:themeShade="BF"/>
    </w:r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rPr>
      <w:tblPr/>
      <w:tcPr>
        <w:tcBorders>
          <w:bottom w:val="single" w:sz="12" w:space="0" w:color="ADB3B4" w:themeColor="accent6" w:themeTint="99"/>
        </w:tcBorders>
      </w:tcPr>
    </w:tblStylePr>
    <w:tblStylePr w:type="lastRow">
      <w:rPr>
        <w:b/>
        <w:bCs/>
      </w:rPr>
      <w:tblPr/>
      <w:tcPr>
        <w:tcBorders>
          <w:top w:val="double" w:sz="4" w:space="0" w:color="ADB3B4" w:themeColor="accent6" w:themeTint="99"/>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GridTable7Colorful">
    <w:name w:val="Grid Table 7 Colorful"/>
    <w:basedOn w:val="TableNormal"/>
    <w:uiPriority w:val="52"/>
    <w:semiHidden/>
    <w:rsid w:val="00EE3EB6"/>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semiHidden/>
    <w:rsid w:val="00EE3EB6"/>
    <w:pPr>
      <w:spacing w:line="240" w:lineRule="auto"/>
    </w:pPr>
    <w:rPr>
      <w:color w:val="69365E" w:themeColor="accent1" w:themeShade="BF"/>
    </w:r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7E6" w:themeFill="accent1" w:themeFillTint="33"/>
      </w:tcPr>
    </w:tblStylePr>
    <w:tblStylePr w:type="band1Horz">
      <w:tblPr/>
      <w:tcPr>
        <w:shd w:val="clear" w:color="auto" w:fill="EAD7E6" w:themeFill="accent1" w:themeFillTint="33"/>
      </w:tcPr>
    </w:tblStylePr>
    <w:tblStylePr w:type="neCell">
      <w:tblPr/>
      <w:tcPr>
        <w:tcBorders>
          <w:bottom w:val="single" w:sz="4" w:space="0" w:color="C288B7" w:themeColor="accent1" w:themeTint="99"/>
        </w:tcBorders>
      </w:tcPr>
    </w:tblStylePr>
    <w:tblStylePr w:type="nwCell">
      <w:tblPr/>
      <w:tcPr>
        <w:tcBorders>
          <w:bottom w:val="single" w:sz="4" w:space="0" w:color="C288B7" w:themeColor="accent1" w:themeTint="99"/>
        </w:tcBorders>
      </w:tcPr>
    </w:tblStylePr>
    <w:tblStylePr w:type="seCell">
      <w:tblPr/>
      <w:tcPr>
        <w:tcBorders>
          <w:top w:val="single" w:sz="4" w:space="0" w:color="C288B7" w:themeColor="accent1" w:themeTint="99"/>
        </w:tcBorders>
      </w:tcPr>
    </w:tblStylePr>
    <w:tblStylePr w:type="swCell">
      <w:tblPr/>
      <w:tcPr>
        <w:tcBorders>
          <w:top w:val="single" w:sz="4" w:space="0" w:color="C288B7" w:themeColor="accent1" w:themeTint="99"/>
        </w:tcBorders>
      </w:tcPr>
    </w:tblStylePr>
  </w:style>
  <w:style w:type="table" w:customStyle="1" w:styleId="GridTable7ColorfulAccent2">
    <w:name w:val="Grid Table 7 Colorful Accent 2"/>
    <w:basedOn w:val="TableNormal"/>
    <w:uiPriority w:val="52"/>
    <w:semiHidden/>
    <w:rsid w:val="00EE3EB6"/>
    <w:pPr>
      <w:spacing w:line="240" w:lineRule="auto"/>
    </w:pPr>
    <w:rPr>
      <w:color w:val="98362F" w:themeColor="accent2" w:themeShade="BF"/>
    </w:r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BD9" w:themeFill="accent2" w:themeFillTint="33"/>
      </w:tcPr>
    </w:tblStylePr>
    <w:tblStylePr w:type="band1Horz">
      <w:tblPr/>
      <w:tcPr>
        <w:shd w:val="clear" w:color="auto" w:fill="F3DBD9" w:themeFill="accent2" w:themeFillTint="33"/>
      </w:tcPr>
    </w:tblStylePr>
    <w:tblStylePr w:type="neCell">
      <w:tblPr/>
      <w:tcPr>
        <w:tcBorders>
          <w:bottom w:val="single" w:sz="4" w:space="0" w:color="DC948F" w:themeColor="accent2" w:themeTint="99"/>
        </w:tcBorders>
      </w:tcPr>
    </w:tblStylePr>
    <w:tblStylePr w:type="nwCell">
      <w:tblPr/>
      <w:tcPr>
        <w:tcBorders>
          <w:bottom w:val="single" w:sz="4" w:space="0" w:color="DC948F" w:themeColor="accent2" w:themeTint="99"/>
        </w:tcBorders>
      </w:tcPr>
    </w:tblStylePr>
    <w:tblStylePr w:type="seCell">
      <w:tblPr/>
      <w:tcPr>
        <w:tcBorders>
          <w:top w:val="single" w:sz="4" w:space="0" w:color="DC948F" w:themeColor="accent2" w:themeTint="99"/>
        </w:tcBorders>
      </w:tcPr>
    </w:tblStylePr>
    <w:tblStylePr w:type="swCell">
      <w:tblPr/>
      <w:tcPr>
        <w:tcBorders>
          <w:top w:val="single" w:sz="4" w:space="0" w:color="DC948F" w:themeColor="accent2" w:themeTint="99"/>
        </w:tcBorders>
      </w:tcPr>
    </w:tblStylePr>
  </w:style>
  <w:style w:type="table" w:customStyle="1" w:styleId="GridTable7ColorfulAccent3">
    <w:name w:val="Grid Table 7 Colorful Accent 3"/>
    <w:basedOn w:val="TableNormal"/>
    <w:uiPriority w:val="52"/>
    <w:semiHidden/>
    <w:rsid w:val="00EE3EB6"/>
    <w:pPr>
      <w:spacing w:line="240" w:lineRule="auto"/>
    </w:pPr>
    <w:rPr>
      <w:color w:val="D25E0F" w:themeColor="accent3" w:themeShade="BF"/>
    </w:r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6D8" w:themeFill="accent3" w:themeFillTint="33"/>
      </w:tcPr>
    </w:tblStylePr>
    <w:tblStylePr w:type="band1Horz">
      <w:tblPr/>
      <w:tcPr>
        <w:shd w:val="clear" w:color="auto" w:fill="FCE6D8" w:themeFill="accent3" w:themeFillTint="33"/>
      </w:tcPr>
    </w:tblStylePr>
    <w:tblStylePr w:type="neCell">
      <w:tblPr/>
      <w:tcPr>
        <w:tcBorders>
          <w:bottom w:val="single" w:sz="4" w:space="0" w:color="F6B68A" w:themeColor="accent3" w:themeTint="99"/>
        </w:tcBorders>
      </w:tcPr>
    </w:tblStylePr>
    <w:tblStylePr w:type="nwCell">
      <w:tblPr/>
      <w:tcPr>
        <w:tcBorders>
          <w:bottom w:val="single" w:sz="4" w:space="0" w:color="F6B68A" w:themeColor="accent3" w:themeTint="99"/>
        </w:tcBorders>
      </w:tcPr>
    </w:tblStylePr>
    <w:tblStylePr w:type="seCell">
      <w:tblPr/>
      <w:tcPr>
        <w:tcBorders>
          <w:top w:val="single" w:sz="4" w:space="0" w:color="F6B68A" w:themeColor="accent3" w:themeTint="99"/>
        </w:tcBorders>
      </w:tcPr>
    </w:tblStylePr>
    <w:tblStylePr w:type="swCell">
      <w:tblPr/>
      <w:tcPr>
        <w:tcBorders>
          <w:top w:val="single" w:sz="4" w:space="0" w:color="F6B68A" w:themeColor="accent3" w:themeTint="99"/>
        </w:tcBorders>
      </w:tcPr>
    </w:tblStylePr>
  </w:style>
  <w:style w:type="table" w:customStyle="1" w:styleId="GridTable7ColorfulAccent4">
    <w:name w:val="Grid Table 7 Colorful Accent 4"/>
    <w:basedOn w:val="TableNormal"/>
    <w:uiPriority w:val="52"/>
    <w:semiHidden/>
    <w:rsid w:val="00EE3EB6"/>
    <w:pPr>
      <w:spacing w:line="240" w:lineRule="auto"/>
    </w:pPr>
    <w:rPr>
      <w:color w:val="EEA704" w:themeColor="accent4" w:themeShade="BF"/>
    </w:r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3DA" w:themeFill="accent4" w:themeFillTint="33"/>
      </w:tcPr>
    </w:tblStylePr>
    <w:tblStylePr w:type="band1Horz">
      <w:tblPr/>
      <w:tcPr>
        <w:shd w:val="clear" w:color="auto" w:fill="FEF3DA" w:themeFill="accent4" w:themeFillTint="33"/>
      </w:tcPr>
    </w:tblStylePr>
    <w:tblStylePr w:type="neCell">
      <w:tblPr/>
      <w:tcPr>
        <w:tcBorders>
          <w:bottom w:val="single" w:sz="4" w:space="0" w:color="FDDC91" w:themeColor="accent4" w:themeTint="99"/>
        </w:tcBorders>
      </w:tcPr>
    </w:tblStylePr>
    <w:tblStylePr w:type="nwCell">
      <w:tblPr/>
      <w:tcPr>
        <w:tcBorders>
          <w:bottom w:val="single" w:sz="4" w:space="0" w:color="FDDC91" w:themeColor="accent4" w:themeTint="99"/>
        </w:tcBorders>
      </w:tcPr>
    </w:tblStylePr>
    <w:tblStylePr w:type="seCell">
      <w:tblPr/>
      <w:tcPr>
        <w:tcBorders>
          <w:top w:val="single" w:sz="4" w:space="0" w:color="FDDC91" w:themeColor="accent4" w:themeTint="99"/>
        </w:tcBorders>
      </w:tcPr>
    </w:tblStylePr>
    <w:tblStylePr w:type="swCell">
      <w:tblPr/>
      <w:tcPr>
        <w:tcBorders>
          <w:top w:val="single" w:sz="4" w:space="0" w:color="FDDC91" w:themeColor="accent4" w:themeTint="99"/>
        </w:tcBorders>
      </w:tcPr>
    </w:tblStylePr>
  </w:style>
  <w:style w:type="table" w:customStyle="1" w:styleId="GridTable7ColorfulAccent5">
    <w:name w:val="Grid Table 7 Colorful Accent 5"/>
    <w:basedOn w:val="TableNormal"/>
    <w:uiPriority w:val="52"/>
    <w:semiHidden/>
    <w:rsid w:val="00EE3EB6"/>
    <w:pPr>
      <w:spacing w:line="240" w:lineRule="auto"/>
    </w:pPr>
    <w:rPr>
      <w:color w:val="63953A" w:themeColor="accent5" w:themeShade="BF"/>
    </w:r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DD" w:themeFill="accent5" w:themeFillTint="33"/>
      </w:tcPr>
    </w:tblStylePr>
    <w:tblStylePr w:type="band1Horz">
      <w:tblPr/>
      <w:tcPr>
        <w:shd w:val="clear" w:color="auto" w:fill="E6F2DD" w:themeFill="accent5" w:themeFillTint="33"/>
      </w:tcPr>
    </w:tblStylePr>
    <w:tblStylePr w:type="neCell">
      <w:tblPr/>
      <w:tcPr>
        <w:tcBorders>
          <w:bottom w:val="single" w:sz="4" w:space="0" w:color="B6D89A" w:themeColor="accent5" w:themeTint="99"/>
        </w:tcBorders>
      </w:tcPr>
    </w:tblStylePr>
    <w:tblStylePr w:type="nwCell">
      <w:tblPr/>
      <w:tcPr>
        <w:tcBorders>
          <w:bottom w:val="single" w:sz="4" w:space="0" w:color="B6D89A" w:themeColor="accent5" w:themeTint="99"/>
        </w:tcBorders>
      </w:tcPr>
    </w:tblStylePr>
    <w:tblStylePr w:type="seCell">
      <w:tblPr/>
      <w:tcPr>
        <w:tcBorders>
          <w:top w:val="single" w:sz="4" w:space="0" w:color="B6D89A" w:themeColor="accent5" w:themeTint="99"/>
        </w:tcBorders>
      </w:tcPr>
    </w:tblStylePr>
    <w:tblStylePr w:type="swCell">
      <w:tblPr/>
      <w:tcPr>
        <w:tcBorders>
          <w:top w:val="single" w:sz="4" w:space="0" w:color="B6D89A" w:themeColor="accent5" w:themeTint="99"/>
        </w:tcBorders>
      </w:tcPr>
    </w:tblStylePr>
  </w:style>
  <w:style w:type="table" w:customStyle="1" w:styleId="GridTable7ColorfulAccent6">
    <w:name w:val="Grid Table 7 Colorful Accent 6"/>
    <w:basedOn w:val="TableNormal"/>
    <w:uiPriority w:val="52"/>
    <w:semiHidden/>
    <w:rsid w:val="00EE3EB6"/>
    <w:pPr>
      <w:spacing w:line="240" w:lineRule="auto"/>
    </w:pPr>
    <w:rPr>
      <w:color w:val="5A6062" w:themeColor="accent6" w:themeShade="BF"/>
    </w:r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5E6" w:themeFill="accent6" w:themeFillTint="33"/>
      </w:tcPr>
    </w:tblStylePr>
    <w:tblStylePr w:type="band1Horz">
      <w:tblPr/>
      <w:tcPr>
        <w:shd w:val="clear" w:color="auto" w:fill="E3E5E6" w:themeFill="accent6" w:themeFillTint="33"/>
      </w:tcPr>
    </w:tblStylePr>
    <w:tblStylePr w:type="neCell">
      <w:tblPr/>
      <w:tcPr>
        <w:tcBorders>
          <w:bottom w:val="single" w:sz="4" w:space="0" w:color="ADB3B4" w:themeColor="accent6" w:themeTint="99"/>
        </w:tcBorders>
      </w:tcPr>
    </w:tblStylePr>
    <w:tblStylePr w:type="nwCell">
      <w:tblPr/>
      <w:tcPr>
        <w:tcBorders>
          <w:bottom w:val="single" w:sz="4" w:space="0" w:color="ADB3B4" w:themeColor="accent6" w:themeTint="99"/>
        </w:tcBorders>
      </w:tcPr>
    </w:tblStylePr>
    <w:tblStylePr w:type="seCell">
      <w:tblPr/>
      <w:tcPr>
        <w:tcBorders>
          <w:top w:val="single" w:sz="4" w:space="0" w:color="ADB3B4" w:themeColor="accent6" w:themeTint="99"/>
        </w:tcBorders>
      </w:tcPr>
    </w:tblStylePr>
    <w:tblStylePr w:type="swCell">
      <w:tblPr/>
      <w:tcPr>
        <w:tcBorders>
          <w:top w:val="single" w:sz="4" w:space="0" w:color="ADB3B4" w:themeColor="accent6" w:themeTint="99"/>
        </w:tcBorders>
      </w:tcPr>
    </w:tblStylePr>
  </w:style>
  <w:style w:type="table" w:styleId="LightGrid">
    <w:name w:val="Light Grid"/>
    <w:basedOn w:val="TableNormal"/>
    <w:uiPriority w:val="62"/>
    <w:semiHidden/>
    <w:rsid w:val="00EE3EB6"/>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EE3EB6"/>
    <w:pPr>
      <w:spacing w:line="240" w:lineRule="auto"/>
    </w:p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insideH w:val="single" w:sz="8" w:space="0" w:color="8D487F" w:themeColor="accent1"/>
        <w:insideV w:val="single" w:sz="8" w:space="0" w:color="8D487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487F" w:themeColor="accent1"/>
          <w:left w:val="single" w:sz="8" w:space="0" w:color="8D487F" w:themeColor="accent1"/>
          <w:bottom w:val="single" w:sz="18" w:space="0" w:color="8D487F" w:themeColor="accent1"/>
          <w:right w:val="single" w:sz="8" w:space="0" w:color="8D487F" w:themeColor="accent1"/>
          <w:insideH w:val="nil"/>
          <w:insideV w:val="single" w:sz="8" w:space="0" w:color="8D487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487F" w:themeColor="accent1"/>
          <w:left w:val="single" w:sz="8" w:space="0" w:color="8D487F" w:themeColor="accent1"/>
          <w:bottom w:val="single" w:sz="8" w:space="0" w:color="8D487F" w:themeColor="accent1"/>
          <w:right w:val="single" w:sz="8" w:space="0" w:color="8D487F" w:themeColor="accent1"/>
          <w:insideH w:val="nil"/>
          <w:insideV w:val="single" w:sz="8" w:space="0" w:color="8D487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tblStylePr w:type="band1Vert">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shd w:val="clear" w:color="auto" w:fill="E6CEE1" w:themeFill="accent1" w:themeFillTint="3F"/>
      </w:tcPr>
    </w:tblStylePr>
    <w:tblStylePr w:type="band1Horz">
      <w:tblPr/>
      <w:tcPr>
        <w:tcBorders>
          <w:top w:val="single" w:sz="8" w:space="0" w:color="8D487F" w:themeColor="accent1"/>
          <w:left w:val="single" w:sz="8" w:space="0" w:color="8D487F" w:themeColor="accent1"/>
          <w:bottom w:val="single" w:sz="8" w:space="0" w:color="8D487F" w:themeColor="accent1"/>
          <w:right w:val="single" w:sz="8" w:space="0" w:color="8D487F" w:themeColor="accent1"/>
          <w:insideV w:val="single" w:sz="8" w:space="0" w:color="8D487F" w:themeColor="accent1"/>
        </w:tcBorders>
        <w:shd w:val="clear" w:color="auto" w:fill="E6CEE1" w:themeFill="accent1" w:themeFillTint="3F"/>
      </w:tcPr>
    </w:tblStylePr>
    <w:tblStylePr w:type="band2Horz">
      <w:tblPr/>
      <w:tcPr>
        <w:tcBorders>
          <w:top w:val="single" w:sz="8" w:space="0" w:color="8D487F" w:themeColor="accent1"/>
          <w:left w:val="single" w:sz="8" w:space="0" w:color="8D487F" w:themeColor="accent1"/>
          <w:bottom w:val="single" w:sz="8" w:space="0" w:color="8D487F" w:themeColor="accent1"/>
          <w:right w:val="single" w:sz="8" w:space="0" w:color="8D487F" w:themeColor="accent1"/>
          <w:insideV w:val="single" w:sz="8" w:space="0" w:color="8D487F" w:themeColor="accent1"/>
        </w:tcBorders>
      </w:tcPr>
    </w:tblStylePr>
  </w:style>
  <w:style w:type="table" w:styleId="LightGrid-Accent2">
    <w:name w:val="Light Grid Accent 2"/>
    <w:basedOn w:val="TableNormal"/>
    <w:uiPriority w:val="62"/>
    <w:semiHidden/>
    <w:rsid w:val="00EE3EB6"/>
    <w:pPr>
      <w:spacing w:line="240" w:lineRule="auto"/>
    </w:p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insideH w:val="single" w:sz="8" w:space="0" w:color="C64E45" w:themeColor="accent2"/>
        <w:insideV w:val="single" w:sz="8" w:space="0" w:color="C64E4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64E45" w:themeColor="accent2"/>
          <w:left w:val="single" w:sz="8" w:space="0" w:color="C64E45" w:themeColor="accent2"/>
          <w:bottom w:val="single" w:sz="18" w:space="0" w:color="C64E45" w:themeColor="accent2"/>
          <w:right w:val="single" w:sz="8" w:space="0" w:color="C64E45" w:themeColor="accent2"/>
          <w:insideH w:val="nil"/>
          <w:insideV w:val="single" w:sz="8" w:space="0" w:color="C64E4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64E45" w:themeColor="accent2"/>
          <w:left w:val="single" w:sz="8" w:space="0" w:color="C64E45" w:themeColor="accent2"/>
          <w:bottom w:val="single" w:sz="8" w:space="0" w:color="C64E45" w:themeColor="accent2"/>
          <w:right w:val="single" w:sz="8" w:space="0" w:color="C64E45" w:themeColor="accent2"/>
          <w:insideH w:val="nil"/>
          <w:insideV w:val="single" w:sz="8" w:space="0" w:color="C64E4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tcPr>
    </w:tblStylePr>
    <w:tblStylePr w:type="band1Vert">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shd w:val="clear" w:color="auto" w:fill="F1D2D0" w:themeFill="accent2" w:themeFillTint="3F"/>
      </w:tcPr>
    </w:tblStylePr>
    <w:tblStylePr w:type="band1Horz">
      <w:tblPr/>
      <w:tcPr>
        <w:tcBorders>
          <w:top w:val="single" w:sz="8" w:space="0" w:color="C64E45" w:themeColor="accent2"/>
          <w:left w:val="single" w:sz="8" w:space="0" w:color="C64E45" w:themeColor="accent2"/>
          <w:bottom w:val="single" w:sz="8" w:space="0" w:color="C64E45" w:themeColor="accent2"/>
          <w:right w:val="single" w:sz="8" w:space="0" w:color="C64E45" w:themeColor="accent2"/>
          <w:insideV w:val="single" w:sz="8" w:space="0" w:color="C64E45" w:themeColor="accent2"/>
        </w:tcBorders>
        <w:shd w:val="clear" w:color="auto" w:fill="F1D2D0" w:themeFill="accent2" w:themeFillTint="3F"/>
      </w:tcPr>
    </w:tblStylePr>
    <w:tblStylePr w:type="band2Horz">
      <w:tblPr/>
      <w:tcPr>
        <w:tcBorders>
          <w:top w:val="single" w:sz="8" w:space="0" w:color="C64E45" w:themeColor="accent2"/>
          <w:left w:val="single" w:sz="8" w:space="0" w:color="C64E45" w:themeColor="accent2"/>
          <w:bottom w:val="single" w:sz="8" w:space="0" w:color="C64E45" w:themeColor="accent2"/>
          <w:right w:val="single" w:sz="8" w:space="0" w:color="C64E45" w:themeColor="accent2"/>
          <w:insideV w:val="single" w:sz="8" w:space="0" w:color="C64E45" w:themeColor="accent2"/>
        </w:tcBorders>
      </w:tcPr>
    </w:tblStylePr>
  </w:style>
  <w:style w:type="table" w:styleId="LightGrid-Accent3">
    <w:name w:val="Light Grid Accent 3"/>
    <w:basedOn w:val="TableNormal"/>
    <w:uiPriority w:val="62"/>
    <w:semiHidden/>
    <w:rsid w:val="00EE3EB6"/>
    <w:pPr>
      <w:spacing w:line="240" w:lineRule="auto"/>
    </w:p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18" w:space="0" w:color="F1873D" w:themeColor="accent3"/>
          <w:right w:val="single" w:sz="8" w:space="0" w:color="F1873D" w:themeColor="accent3"/>
          <w:insideH w:val="nil"/>
          <w:insideV w:val="single" w:sz="8" w:space="0" w:color="F187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insideH w:val="nil"/>
          <w:insideV w:val="single" w:sz="8" w:space="0" w:color="F187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shd w:val="clear" w:color="auto" w:fill="FBE1CE" w:themeFill="accent3" w:themeFillTint="3F"/>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shd w:val="clear" w:color="auto" w:fill="FBE1CE" w:themeFill="accent3" w:themeFillTint="3F"/>
      </w:tcPr>
    </w:tblStylePr>
    <w:tblStylePr w:type="band2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tcPr>
    </w:tblStylePr>
  </w:style>
  <w:style w:type="table" w:styleId="LightGrid-Accent4">
    <w:name w:val="Light Grid Accent 4"/>
    <w:basedOn w:val="TableNormal"/>
    <w:uiPriority w:val="62"/>
    <w:semiHidden/>
    <w:rsid w:val="00EE3EB6"/>
    <w:pPr>
      <w:spacing w:line="240" w:lineRule="auto"/>
    </w:p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insideH w:val="single" w:sz="8" w:space="0" w:color="FCC648" w:themeColor="accent4"/>
        <w:insideV w:val="single" w:sz="8" w:space="0" w:color="FCC64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C648" w:themeColor="accent4"/>
          <w:left w:val="single" w:sz="8" w:space="0" w:color="FCC648" w:themeColor="accent4"/>
          <w:bottom w:val="single" w:sz="18" w:space="0" w:color="FCC648" w:themeColor="accent4"/>
          <w:right w:val="single" w:sz="8" w:space="0" w:color="FCC648" w:themeColor="accent4"/>
          <w:insideH w:val="nil"/>
          <w:insideV w:val="single" w:sz="8" w:space="0" w:color="FCC64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C648" w:themeColor="accent4"/>
          <w:left w:val="single" w:sz="8" w:space="0" w:color="FCC648" w:themeColor="accent4"/>
          <w:bottom w:val="single" w:sz="8" w:space="0" w:color="FCC648" w:themeColor="accent4"/>
          <w:right w:val="single" w:sz="8" w:space="0" w:color="FCC648" w:themeColor="accent4"/>
          <w:insideH w:val="nil"/>
          <w:insideV w:val="single" w:sz="8" w:space="0" w:color="FCC64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tcPr>
    </w:tblStylePr>
    <w:tblStylePr w:type="band1Vert">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shd w:val="clear" w:color="auto" w:fill="FEF0D1" w:themeFill="accent4" w:themeFillTint="3F"/>
      </w:tcPr>
    </w:tblStylePr>
    <w:tblStylePr w:type="band1Horz">
      <w:tblPr/>
      <w:tcPr>
        <w:tcBorders>
          <w:top w:val="single" w:sz="8" w:space="0" w:color="FCC648" w:themeColor="accent4"/>
          <w:left w:val="single" w:sz="8" w:space="0" w:color="FCC648" w:themeColor="accent4"/>
          <w:bottom w:val="single" w:sz="8" w:space="0" w:color="FCC648" w:themeColor="accent4"/>
          <w:right w:val="single" w:sz="8" w:space="0" w:color="FCC648" w:themeColor="accent4"/>
          <w:insideV w:val="single" w:sz="8" w:space="0" w:color="FCC648" w:themeColor="accent4"/>
        </w:tcBorders>
        <w:shd w:val="clear" w:color="auto" w:fill="FEF0D1" w:themeFill="accent4" w:themeFillTint="3F"/>
      </w:tcPr>
    </w:tblStylePr>
    <w:tblStylePr w:type="band2Horz">
      <w:tblPr/>
      <w:tcPr>
        <w:tcBorders>
          <w:top w:val="single" w:sz="8" w:space="0" w:color="FCC648" w:themeColor="accent4"/>
          <w:left w:val="single" w:sz="8" w:space="0" w:color="FCC648" w:themeColor="accent4"/>
          <w:bottom w:val="single" w:sz="8" w:space="0" w:color="FCC648" w:themeColor="accent4"/>
          <w:right w:val="single" w:sz="8" w:space="0" w:color="FCC648" w:themeColor="accent4"/>
          <w:insideV w:val="single" w:sz="8" w:space="0" w:color="FCC648" w:themeColor="accent4"/>
        </w:tcBorders>
      </w:tcPr>
    </w:tblStylePr>
  </w:style>
  <w:style w:type="table" w:styleId="LightGrid-Accent5">
    <w:name w:val="Light Grid Accent 5"/>
    <w:basedOn w:val="TableNormal"/>
    <w:uiPriority w:val="62"/>
    <w:semiHidden/>
    <w:rsid w:val="00EE3EB6"/>
    <w:pPr>
      <w:spacing w:line="240" w:lineRule="auto"/>
    </w:p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insideH w:val="single" w:sz="8" w:space="0" w:color="86BE57" w:themeColor="accent5"/>
        <w:insideV w:val="single" w:sz="8" w:space="0" w:color="86BE5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E57" w:themeColor="accent5"/>
          <w:left w:val="single" w:sz="8" w:space="0" w:color="86BE57" w:themeColor="accent5"/>
          <w:bottom w:val="single" w:sz="18" w:space="0" w:color="86BE57" w:themeColor="accent5"/>
          <w:right w:val="single" w:sz="8" w:space="0" w:color="86BE57" w:themeColor="accent5"/>
          <w:insideH w:val="nil"/>
          <w:insideV w:val="single" w:sz="8" w:space="0" w:color="86BE5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E57" w:themeColor="accent5"/>
          <w:left w:val="single" w:sz="8" w:space="0" w:color="86BE57" w:themeColor="accent5"/>
          <w:bottom w:val="single" w:sz="8" w:space="0" w:color="86BE57" w:themeColor="accent5"/>
          <w:right w:val="single" w:sz="8" w:space="0" w:color="86BE57" w:themeColor="accent5"/>
          <w:insideH w:val="nil"/>
          <w:insideV w:val="single" w:sz="8" w:space="0" w:color="86BE5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tcPr>
    </w:tblStylePr>
    <w:tblStylePr w:type="band1Vert">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shd w:val="clear" w:color="auto" w:fill="E1EFD5" w:themeFill="accent5" w:themeFillTint="3F"/>
      </w:tcPr>
    </w:tblStylePr>
    <w:tblStylePr w:type="band1Horz">
      <w:tblPr/>
      <w:tcPr>
        <w:tcBorders>
          <w:top w:val="single" w:sz="8" w:space="0" w:color="86BE57" w:themeColor="accent5"/>
          <w:left w:val="single" w:sz="8" w:space="0" w:color="86BE57" w:themeColor="accent5"/>
          <w:bottom w:val="single" w:sz="8" w:space="0" w:color="86BE57" w:themeColor="accent5"/>
          <w:right w:val="single" w:sz="8" w:space="0" w:color="86BE57" w:themeColor="accent5"/>
          <w:insideV w:val="single" w:sz="8" w:space="0" w:color="86BE57" w:themeColor="accent5"/>
        </w:tcBorders>
        <w:shd w:val="clear" w:color="auto" w:fill="E1EFD5" w:themeFill="accent5" w:themeFillTint="3F"/>
      </w:tcPr>
    </w:tblStylePr>
    <w:tblStylePr w:type="band2Horz">
      <w:tblPr/>
      <w:tcPr>
        <w:tcBorders>
          <w:top w:val="single" w:sz="8" w:space="0" w:color="86BE57" w:themeColor="accent5"/>
          <w:left w:val="single" w:sz="8" w:space="0" w:color="86BE57" w:themeColor="accent5"/>
          <w:bottom w:val="single" w:sz="8" w:space="0" w:color="86BE57" w:themeColor="accent5"/>
          <w:right w:val="single" w:sz="8" w:space="0" w:color="86BE57" w:themeColor="accent5"/>
          <w:insideV w:val="single" w:sz="8" w:space="0" w:color="86BE57" w:themeColor="accent5"/>
        </w:tcBorders>
      </w:tcPr>
    </w:tblStylePr>
  </w:style>
  <w:style w:type="table" w:styleId="LightGrid-Accent6">
    <w:name w:val="Light Grid Accent 6"/>
    <w:basedOn w:val="TableNormal"/>
    <w:uiPriority w:val="62"/>
    <w:semiHidden/>
    <w:rsid w:val="00EE3EB6"/>
    <w:pPr>
      <w:spacing w:line="240" w:lineRule="auto"/>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18" w:space="0" w:color="788183" w:themeColor="accent6"/>
          <w:right w:val="single" w:sz="8" w:space="0" w:color="788183" w:themeColor="accent6"/>
          <w:insideH w:val="nil"/>
          <w:insideV w:val="single" w:sz="8" w:space="0" w:color="7881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insideH w:val="nil"/>
          <w:insideV w:val="single" w:sz="8" w:space="0" w:color="78818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shd w:val="clear" w:color="auto" w:fill="DDDFE0" w:themeFill="accent6" w:themeFillTint="3F"/>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shd w:val="clear" w:color="auto" w:fill="DDDFE0" w:themeFill="accent6" w:themeFillTint="3F"/>
      </w:tcPr>
    </w:tblStylePr>
    <w:tblStylePr w:type="band2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tcPr>
    </w:tblStylePr>
  </w:style>
  <w:style w:type="table" w:styleId="LightList">
    <w:name w:val="Light List"/>
    <w:basedOn w:val="TableNormal"/>
    <w:uiPriority w:val="61"/>
    <w:semiHidden/>
    <w:rsid w:val="00EE3EB6"/>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EE3EB6"/>
    <w:pPr>
      <w:spacing w:line="240" w:lineRule="auto"/>
    </w:p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tblBorders>
    </w:tblPr>
    <w:tblStylePr w:type="firstRow">
      <w:pPr>
        <w:spacing w:before="0" w:after="0" w:line="240" w:lineRule="auto"/>
      </w:pPr>
      <w:rPr>
        <w:b/>
        <w:bCs/>
        <w:color w:val="FFFFFF" w:themeColor="background1"/>
      </w:rPr>
      <w:tblPr/>
      <w:tcPr>
        <w:shd w:val="clear" w:color="auto" w:fill="8D487F" w:themeFill="accent1"/>
      </w:tcPr>
    </w:tblStylePr>
    <w:tblStylePr w:type="lastRow">
      <w:pPr>
        <w:spacing w:before="0" w:after="0" w:line="240" w:lineRule="auto"/>
      </w:pPr>
      <w:rPr>
        <w:b/>
        <w:bCs/>
      </w:rPr>
      <w:tblPr/>
      <w:tcPr>
        <w:tcBorders>
          <w:top w:val="double" w:sz="6" w:space="0" w:color="8D487F" w:themeColor="accent1"/>
          <w:left w:val="single" w:sz="8" w:space="0" w:color="8D487F" w:themeColor="accent1"/>
          <w:bottom w:val="single" w:sz="8" w:space="0" w:color="8D487F" w:themeColor="accent1"/>
          <w:right w:val="single" w:sz="8" w:space="0" w:color="8D487F" w:themeColor="accent1"/>
        </w:tcBorders>
      </w:tcPr>
    </w:tblStylePr>
    <w:tblStylePr w:type="firstCol">
      <w:rPr>
        <w:b/>
        <w:bCs/>
      </w:rPr>
    </w:tblStylePr>
    <w:tblStylePr w:type="lastCol">
      <w:rPr>
        <w:b/>
        <w:bCs/>
      </w:rPr>
    </w:tblStylePr>
    <w:tblStylePr w:type="band1Vert">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tblStylePr w:type="band1Horz">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style>
  <w:style w:type="table" w:styleId="LightList-Accent2">
    <w:name w:val="Light List Accent 2"/>
    <w:basedOn w:val="TableNormal"/>
    <w:uiPriority w:val="61"/>
    <w:semiHidden/>
    <w:rsid w:val="00EE3EB6"/>
    <w:pPr>
      <w:spacing w:line="240" w:lineRule="auto"/>
    </w:p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tblBorders>
    </w:tblPr>
    <w:tblStylePr w:type="firstRow">
      <w:pPr>
        <w:spacing w:before="0" w:after="0" w:line="240" w:lineRule="auto"/>
      </w:pPr>
      <w:rPr>
        <w:b/>
        <w:bCs/>
        <w:color w:val="FFFFFF" w:themeColor="background1"/>
      </w:rPr>
      <w:tblPr/>
      <w:tcPr>
        <w:shd w:val="clear" w:color="auto" w:fill="C64E45" w:themeFill="accent2"/>
      </w:tcPr>
    </w:tblStylePr>
    <w:tblStylePr w:type="lastRow">
      <w:pPr>
        <w:spacing w:before="0" w:after="0" w:line="240" w:lineRule="auto"/>
      </w:pPr>
      <w:rPr>
        <w:b/>
        <w:bCs/>
      </w:rPr>
      <w:tblPr/>
      <w:tcPr>
        <w:tcBorders>
          <w:top w:val="double" w:sz="6" w:space="0" w:color="C64E45" w:themeColor="accent2"/>
          <w:left w:val="single" w:sz="8" w:space="0" w:color="C64E45" w:themeColor="accent2"/>
          <w:bottom w:val="single" w:sz="8" w:space="0" w:color="C64E45" w:themeColor="accent2"/>
          <w:right w:val="single" w:sz="8" w:space="0" w:color="C64E45" w:themeColor="accent2"/>
        </w:tcBorders>
      </w:tcPr>
    </w:tblStylePr>
    <w:tblStylePr w:type="firstCol">
      <w:rPr>
        <w:b/>
        <w:bCs/>
      </w:rPr>
    </w:tblStylePr>
    <w:tblStylePr w:type="lastCol">
      <w:rPr>
        <w:b/>
        <w:bCs/>
      </w:rPr>
    </w:tblStylePr>
    <w:tblStylePr w:type="band1Vert">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tcPr>
    </w:tblStylePr>
    <w:tblStylePr w:type="band1Horz">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tcPr>
    </w:tblStylePr>
  </w:style>
  <w:style w:type="table" w:styleId="LightList-Accent3">
    <w:name w:val="Light List Accent 3"/>
    <w:basedOn w:val="TableNormal"/>
    <w:uiPriority w:val="61"/>
    <w:semiHidden/>
    <w:rsid w:val="00EE3EB6"/>
    <w:pPr>
      <w:spacing w:line="240" w:lineRule="auto"/>
    </w:p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tblBorders>
    </w:tblPr>
    <w:tblStylePr w:type="firstRow">
      <w:pPr>
        <w:spacing w:before="0" w:after="0" w:line="240" w:lineRule="auto"/>
      </w:pPr>
      <w:rPr>
        <w:b/>
        <w:bCs/>
        <w:color w:val="FFFFFF" w:themeColor="background1"/>
      </w:rPr>
      <w:tblPr/>
      <w:tcPr>
        <w:shd w:val="clear" w:color="auto" w:fill="F1873D" w:themeFill="accent3"/>
      </w:tcPr>
    </w:tblStylePr>
    <w:tblStylePr w:type="lastRow">
      <w:pPr>
        <w:spacing w:before="0" w:after="0" w:line="240" w:lineRule="auto"/>
      </w:pPr>
      <w:rPr>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tcBorders>
      </w:tcPr>
    </w:tblStylePr>
    <w:tblStylePr w:type="firstCol">
      <w:rPr>
        <w:b/>
        <w:bCs/>
      </w:rPr>
    </w:tblStylePr>
    <w:tblStylePr w:type="lastCol">
      <w:rPr>
        <w:b/>
        <w:bCs/>
      </w:r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style>
  <w:style w:type="table" w:styleId="LightList-Accent4">
    <w:name w:val="Light List Accent 4"/>
    <w:basedOn w:val="TableNormal"/>
    <w:uiPriority w:val="61"/>
    <w:semiHidden/>
    <w:rsid w:val="00EE3EB6"/>
    <w:pPr>
      <w:spacing w:line="240" w:lineRule="auto"/>
    </w:p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tblBorders>
    </w:tblPr>
    <w:tblStylePr w:type="firstRow">
      <w:pPr>
        <w:spacing w:before="0" w:after="0" w:line="240" w:lineRule="auto"/>
      </w:pPr>
      <w:rPr>
        <w:b/>
        <w:bCs/>
        <w:color w:val="FFFFFF" w:themeColor="background1"/>
      </w:rPr>
      <w:tblPr/>
      <w:tcPr>
        <w:shd w:val="clear" w:color="auto" w:fill="FCC648" w:themeFill="accent4"/>
      </w:tcPr>
    </w:tblStylePr>
    <w:tblStylePr w:type="lastRow">
      <w:pPr>
        <w:spacing w:before="0" w:after="0" w:line="240" w:lineRule="auto"/>
      </w:pPr>
      <w:rPr>
        <w:b/>
        <w:bCs/>
      </w:rPr>
      <w:tblPr/>
      <w:tcPr>
        <w:tcBorders>
          <w:top w:val="double" w:sz="6" w:space="0" w:color="FCC648" w:themeColor="accent4"/>
          <w:left w:val="single" w:sz="8" w:space="0" w:color="FCC648" w:themeColor="accent4"/>
          <w:bottom w:val="single" w:sz="8" w:space="0" w:color="FCC648" w:themeColor="accent4"/>
          <w:right w:val="single" w:sz="8" w:space="0" w:color="FCC648" w:themeColor="accent4"/>
        </w:tcBorders>
      </w:tcPr>
    </w:tblStylePr>
    <w:tblStylePr w:type="firstCol">
      <w:rPr>
        <w:b/>
        <w:bCs/>
      </w:rPr>
    </w:tblStylePr>
    <w:tblStylePr w:type="lastCol">
      <w:rPr>
        <w:b/>
        <w:bCs/>
      </w:rPr>
    </w:tblStylePr>
    <w:tblStylePr w:type="band1Vert">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tcPr>
    </w:tblStylePr>
    <w:tblStylePr w:type="band1Horz">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tcPr>
    </w:tblStylePr>
  </w:style>
  <w:style w:type="table" w:styleId="LightList-Accent5">
    <w:name w:val="Light List Accent 5"/>
    <w:basedOn w:val="TableNormal"/>
    <w:uiPriority w:val="61"/>
    <w:semiHidden/>
    <w:rsid w:val="00EE3EB6"/>
    <w:pPr>
      <w:spacing w:line="240" w:lineRule="auto"/>
    </w:p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tblBorders>
    </w:tblPr>
    <w:tblStylePr w:type="firstRow">
      <w:pPr>
        <w:spacing w:before="0" w:after="0" w:line="240" w:lineRule="auto"/>
      </w:pPr>
      <w:rPr>
        <w:b/>
        <w:bCs/>
        <w:color w:val="FFFFFF" w:themeColor="background1"/>
      </w:rPr>
      <w:tblPr/>
      <w:tcPr>
        <w:shd w:val="clear" w:color="auto" w:fill="86BE57" w:themeFill="accent5"/>
      </w:tcPr>
    </w:tblStylePr>
    <w:tblStylePr w:type="lastRow">
      <w:pPr>
        <w:spacing w:before="0" w:after="0" w:line="240" w:lineRule="auto"/>
      </w:pPr>
      <w:rPr>
        <w:b/>
        <w:bCs/>
      </w:rPr>
      <w:tblPr/>
      <w:tcPr>
        <w:tcBorders>
          <w:top w:val="double" w:sz="6" w:space="0" w:color="86BE57" w:themeColor="accent5"/>
          <w:left w:val="single" w:sz="8" w:space="0" w:color="86BE57" w:themeColor="accent5"/>
          <w:bottom w:val="single" w:sz="8" w:space="0" w:color="86BE57" w:themeColor="accent5"/>
          <w:right w:val="single" w:sz="8" w:space="0" w:color="86BE57" w:themeColor="accent5"/>
        </w:tcBorders>
      </w:tcPr>
    </w:tblStylePr>
    <w:tblStylePr w:type="firstCol">
      <w:rPr>
        <w:b/>
        <w:bCs/>
      </w:rPr>
    </w:tblStylePr>
    <w:tblStylePr w:type="lastCol">
      <w:rPr>
        <w:b/>
        <w:bCs/>
      </w:rPr>
    </w:tblStylePr>
    <w:tblStylePr w:type="band1Vert">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tcPr>
    </w:tblStylePr>
    <w:tblStylePr w:type="band1Horz">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tcPr>
    </w:tblStylePr>
  </w:style>
  <w:style w:type="table" w:styleId="LightList-Accent6">
    <w:name w:val="Light List Accent 6"/>
    <w:basedOn w:val="TableNormal"/>
    <w:uiPriority w:val="61"/>
    <w:semiHidden/>
    <w:rsid w:val="00EE3EB6"/>
    <w:pPr>
      <w:spacing w:line="240" w:lineRule="auto"/>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tblBorders>
    </w:tblPr>
    <w:tblStylePr w:type="firstRow">
      <w:pPr>
        <w:spacing w:before="0" w:after="0" w:line="240" w:lineRule="auto"/>
      </w:pPr>
      <w:rPr>
        <w:b/>
        <w:bCs/>
        <w:color w:val="FFFFFF" w:themeColor="background1"/>
      </w:rPr>
      <w:tblPr/>
      <w:tcPr>
        <w:shd w:val="clear" w:color="auto" w:fill="788183" w:themeFill="accent6"/>
      </w:tcPr>
    </w:tblStylePr>
    <w:tblStylePr w:type="lastRow">
      <w:pPr>
        <w:spacing w:before="0" w:after="0" w:line="240" w:lineRule="auto"/>
      </w:pPr>
      <w:rPr>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tcBorders>
      </w:tcPr>
    </w:tblStylePr>
    <w:tblStylePr w:type="firstCol">
      <w:rPr>
        <w:b/>
        <w:bCs/>
      </w:rPr>
    </w:tblStylePr>
    <w:tblStylePr w:type="lastCol">
      <w:rPr>
        <w:b/>
        <w:bCs/>
      </w:r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style>
  <w:style w:type="table" w:styleId="LightShading">
    <w:name w:val="Light Shading"/>
    <w:basedOn w:val="TableNormal"/>
    <w:uiPriority w:val="60"/>
    <w:semiHidden/>
    <w:rsid w:val="00EE3EB6"/>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EE3EB6"/>
    <w:pPr>
      <w:spacing w:line="240" w:lineRule="auto"/>
    </w:pPr>
    <w:rPr>
      <w:color w:val="69365E" w:themeColor="accent1" w:themeShade="BF"/>
    </w:rPr>
    <w:tblPr>
      <w:tblStyleRowBandSize w:val="1"/>
      <w:tblStyleColBandSize w:val="1"/>
      <w:tblBorders>
        <w:top w:val="single" w:sz="8" w:space="0" w:color="8D487F" w:themeColor="accent1"/>
        <w:bottom w:val="single" w:sz="8" w:space="0" w:color="8D487F" w:themeColor="accent1"/>
      </w:tblBorders>
    </w:tblPr>
    <w:tblStylePr w:type="firstRow">
      <w:pPr>
        <w:spacing w:before="0" w:after="0" w:line="240" w:lineRule="auto"/>
      </w:pPr>
      <w:rPr>
        <w:b/>
        <w:bCs/>
      </w:rPr>
      <w:tblPr/>
      <w:tcPr>
        <w:tcBorders>
          <w:top w:val="single" w:sz="8" w:space="0" w:color="8D487F" w:themeColor="accent1"/>
          <w:left w:val="nil"/>
          <w:bottom w:val="single" w:sz="8" w:space="0" w:color="8D487F" w:themeColor="accent1"/>
          <w:right w:val="nil"/>
          <w:insideH w:val="nil"/>
          <w:insideV w:val="nil"/>
        </w:tcBorders>
      </w:tcPr>
    </w:tblStylePr>
    <w:tblStylePr w:type="lastRow">
      <w:pPr>
        <w:spacing w:before="0" w:after="0" w:line="240" w:lineRule="auto"/>
      </w:pPr>
      <w:rPr>
        <w:b/>
        <w:bCs/>
      </w:rPr>
      <w:tblPr/>
      <w:tcPr>
        <w:tcBorders>
          <w:top w:val="single" w:sz="8" w:space="0" w:color="8D487F" w:themeColor="accent1"/>
          <w:left w:val="nil"/>
          <w:bottom w:val="single" w:sz="8" w:space="0" w:color="8D48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CEE1" w:themeFill="accent1" w:themeFillTint="3F"/>
      </w:tcPr>
    </w:tblStylePr>
    <w:tblStylePr w:type="band1Horz">
      <w:tblPr/>
      <w:tcPr>
        <w:tcBorders>
          <w:left w:val="nil"/>
          <w:right w:val="nil"/>
          <w:insideH w:val="nil"/>
          <w:insideV w:val="nil"/>
        </w:tcBorders>
        <w:shd w:val="clear" w:color="auto" w:fill="E6CEE1" w:themeFill="accent1" w:themeFillTint="3F"/>
      </w:tcPr>
    </w:tblStylePr>
  </w:style>
  <w:style w:type="table" w:styleId="LightShading-Accent2">
    <w:name w:val="Light Shading Accent 2"/>
    <w:basedOn w:val="TableNormal"/>
    <w:uiPriority w:val="60"/>
    <w:semiHidden/>
    <w:rsid w:val="00EE3EB6"/>
    <w:pPr>
      <w:spacing w:line="240" w:lineRule="auto"/>
    </w:pPr>
    <w:rPr>
      <w:color w:val="98362F" w:themeColor="accent2" w:themeShade="BF"/>
    </w:rPr>
    <w:tblPr>
      <w:tblStyleRowBandSize w:val="1"/>
      <w:tblStyleColBandSize w:val="1"/>
      <w:tblBorders>
        <w:top w:val="single" w:sz="8" w:space="0" w:color="C64E45" w:themeColor="accent2"/>
        <w:bottom w:val="single" w:sz="8" w:space="0" w:color="C64E45" w:themeColor="accent2"/>
      </w:tblBorders>
    </w:tblPr>
    <w:tblStylePr w:type="firstRow">
      <w:pPr>
        <w:spacing w:before="0" w:after="0" w:line="240" w:lineRule="auto"/>
      </w:pPr>
      <w:rPr>
        <w:b/>
        <w:bCs/>
      </w:rPr>
      <w:tblPr/>
      <w:tcPr>
        <w:tcBorders>
          <w:top w:val="single" w:sz="8" w:space="0" w:color="C64E45" w:themeColor="accent2"/>
          <w:left w:val="nil"/>
          <w:bottom w:val="single" w:sz="8" w:space="0" w:color="C64E45" w:themeColor="accent2"/>
          <w:right w:val="nil"/>
          <w:insideH w:val="nil"/>
          <w:insideV w:val="nil"/>
        </w:tcBorders>
      </w:tcPr>
    </w:tblStylePr>
    <w:tblStylePr w:type="lastRow">
      <w:pPr>
        <w:spacing w:before="0" w:after="0" w:line="240" w:lineRule="auto"/>
      </w:pPr>
      <w:rPr>
        <w:b/>
        <w:bCs/>
      </w:rPr>
      <w:tblPr/>
      <w:tcPr>
        <w:tcBorders>
          <w:top w:val="single" w:sz="8" w:space="0" w:color="C64E45" w:themeColor="accent2"/>
          <w:left w:val="nil"/>
          <w:bottom w:val="single" w:sz="8" w:space="0" w:color="C64E4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D2D0" w:themeFill="accent2" w:themeFillTint="3F"/>
      </w:tcPr>
    </w:tblStylePr>
    <w:tblStylePr w:type="band1Horz">
      <w:tblPr/>
      <w:tcPr>
        <w:tcBorders>
          <w:left w:val="nil"/>
          <w:right w:val="nil"/>
          <w:insideH w:val="nil"/>
          <w:insideV w:val="nil"/>
        </w:tcBorders>
        <w:shd w:val="clear" w:color="auto" w:fill="F1D2D0" w:themeFill="accent2" w:themeFillTint="3F"/>
      </w:tcPr>
    </w:tblStylePr>
  </w:style>
  <w:style w:type="table" w:styleId="LightShading-Accent3">
    <w:name w:val="Light Shading Accent 3"/>
    <w:basedOn w:val="TableNormal"/>
    <w:uiPriority w:val="60"/>
    <w:semiHidden/>
    <w:rsid w:val="00EE3EB6"/>
    <w:pPr>
      <w:spacing w:line="240" w:lineRule="auto"/>
    </w:pPr>
    <w:rPr>
      <w:color w:val="D25E0F" w:themeColor="accent3" w:themeShade="BF"/>
    </w:rPr>
    <w:tblPr>
      <w:tblStyleRowBandSize w:val="1"/>
      <w:tblStyleColBandSize w:val="1"/>
      <w:tblBorders>
        <w:top w:val="single" w:sz="8" w:space="0" w:color="F1873D" w:themeColor="accent3"/>
        <w:bottom w:val="single" w:sz="8" w:space="0" w:color="F1873D" w:themeColor="accent3"/>
      </w:tblBorders>
    </w:tblPr>
    <w:tblStylePr w:type="firstRow">
      <w:pPr>
        <w:spacing w:before="0" w:after="0" w:line="240" w:lineRule="auto"/>
      </w:pPr>
      <w:rPr>
        <w:b/>
        <w:bCs/>
      </w:rPr>
      <w:tblPr/>
      <w:tcPr>
        <w:tcBorders>
          <w:top w:val="single" w:sz="8" w:space="0" w:color="F1873D" w:themeColor="accent3"/>
          <w:left w:val="nil"/>
          <w:bottom w:val="single" w:sz="8" w:space="0" w:color="F1873D" w:themeColor="accent3"/>
          <w:right w:val="nil"/>
          <w:insideH w:val="nil"/>
          <w:insideV w:val="nil"/>
        </w:tcBorders>
      </w:tcPr>
    </w:tblStylePr>
    <w:tblStylePr w:type="lastRow">
      <w:pPr>
        <w:spacing w:before="0" w:after="0" w:line="240" w:lineRule="auto"/>
      </w:pPr>
      <w:rPr>
        <w:b/>
        <w:bCs/>
      </w:rPr>
      <w:tblPr/>
      <w:tcPr>
        <w:tcBorders>
          <w:top w:val="single" w:sz="8" w:space="0" w:color="F1873D" w:themeColor="accent3"/>
          <w:left w:val="nil"/>
          <w:bottom w:val="single" w:sz="8" w:space="0" w:color="F187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CE" w:themeFill="accent3" w:themeFillTint="3F"/>
      </w:tcPr>
    </w:tblStylePr>
    <w:tblStylePr w:type="band1Horz">
      <w:tblPr/>
      <w:tcPr>
        <w:tcBorders>
          <w:left w:val="nil"/>
          <w:right w:val="nil"/>
          <w:insideH w:val="nil"/>
          <w:insideV w:val="nil"/>
        </w:tcBorders>
        <w:shd w:val="clear" w:color="auto" w:fill="FBE1CE" w:themeFill="accent3" w:themeFillTint="3F"/>
      </w:tcPr>
    </w:tblStylePr>
  </w:style>
  <w:style w:type="table" w:styleId="LightShading-Accent4">
    <w:name w:val="Light Shading Accent 4"/>
    <w:basedOn w:val="TableNormal"/>
    <w:uiPriority w:val="60"/>
    <w:semiHidden/>
    <w:rsid w:val="00EE3EB6"/>
    <w:pPr>
      <w:spacing w:line="240" w:lineRule="auto"/>
    </w:pPr>
    <w:rPr>
      <w:color w:val="EEA704" w:themeColor="accent4" w:themeShade="BF"/>
    </w:rPr>
    <w:tblPr>
      <w:tblStyleRowBandSize w:val="1"/>
      <w:tblStyleColBandSize w:val="1"/>
      <w:tblBorders>
        <w:top w:val="single" w:sz="8" w:space="0" w:color="FCC648" w:themeColor="accent4"/>
        <w:bottom w:val="single" w:sz="8" w:space="0" w:color="FCC648" w:themeColor="accent4"/>
      </w:tblBorders>
    </w:tblPr>
    <w:tblStylePr w:type="firstRow">
      <w:pPr>
        <w:spacing w:before="0" w:after="0" w:line="240" w:lineRule="auto"/>
      </w:pPr>
      <w:rPr>
        <w:b/>
        <w:bCs/>
      </w:rPr>
      <w:tblPr/>
      <w:tcPr>
        <w:tcBorders>
          <w:top w:val="single" w:sz="8" w:space="0" w:color="FCC648" w:themeColor="accent4"/>
          <w:left w:val="nil"/>
          <w:bottom w:val="single" w:sz="8" w:space="0" w:color="FCC648" w:themeColor="accent4"/>
          <w:right w:val="nil"/>
          <w:insideH w:val="nil"/>
          <w:insideV w:val="nil"/>
        </w:tcBorders>
      </w:tcPr>
    </w:tblStylePr>
    <w:tblStylePr w:type="lastRow">
      <w:pPr>
        <w:spacing w:before="0" w:after="0" w:line="240" w:lineRule="auto"/>
      </w:pPr>
      <w:rPr>
        <w:b/>
        <w:bCs/>
      </w:rPr>
      <w:tblPr/>
      <w:tcPr>
        <w:tcBorders>
          <w:top w:val="single" w:sz="8" w:space="0" w:color="FCC648" w:themeColor="accent4"/>
          <w:left w:val="nil"/>
          <w:bottom w:val="single" w:sz="8" w:space="0" w:color="FCC64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0D1" w:themeFill="accent4" w:themeFillTint="3F"/>
      </w:tcPr>
    </w:tblStylePr>
    <w:tblStylePr w:type="band1Horz">
      <w:tblPr/>
      <w:tcPr>
        <w:tcBorders>
          <w:left w:val="nil"/>
          <w:right w:val="nil"/>
          <w:insideH w:val="nil"/>
          <w:insideV w:val="nil"/>
        </w:tcBorders>
        <w:shd w:val="clear" w:color="auto" w:fill="FEF0D1" w:themeFill="accent4" w:themeFillTint="3F"/>
      </w:tcPr>
    </w:tblStylePr>
  </w:style>
  <w:style w:type="table" w:styleId="LightShading-Accent5">
    <w:name w:val="Light Shading Accent 5"/>
    <w:basedOn w:val="TableNormal"/>
    <w:uiPriority w:val="60"/>
    <w:semiHidden/>
    <w:rsid w:val="00EE3EB6"/>
    <w:pPr>
      <w:spacing w:line="240" w:lineRule="auto"/>
    </w:pPr>
    <w:rPr>
      <w:color w:val="63953A" w:themeColor="accent5" w:themeShade="BF"/>
    </w:rPr>
    <w:tblPr>
      <w:tblStyleRowBandSize w:val="1"/>
      <w:tblStyleColBandSize w:val="1"/>
      <w:tblBorders>
        <w:top w:val="single" w:sz="8" w:space="0" w:color="86BE57" w:themeColor="accent5"/>
        <w:bottom w:val="single" w:sz="8" w:space="0" w:color="86BE57" w:themeColor="accent5"/>
      </w:tblBorders>
    </w:tblPr>
    <w:tblStylePr w:type="firstRow">
      <w:pPr>
        <w:spacing w:before="0" w:after="0" w:line="240" w:lineRule="auto"/>
      </w:pPr>
      <w:rPr>
        <w:b/>
        <w:bCs/>
      </w:rPr>
      <w:tblPr/>
      <w:tcPr>
        <w:tcBorders>
          <w:top w:val="single" w:sz="8" w:space="0" w:color="86BE57" w:themeColor="accent5"/>
          <w:left w:val="nil"/>
          <w:bottom w:val="single" w:sz="8" w:space="0" w:color="86BE57" w:themeColor="accent5"/>
          <w:right w:val="nil"/>
          <w:insideH w:val="nil"/>
          <w:insideV w:val="nil"/>
        </w:tcBorders>
      </w:tcPr>
    </w:tblStylePr>
    <w:tblStylePr w:type="lastRow">
      <w:pPr>
        <w:spacing w:before="0" w:after="0" w:line="240" w:lineRule="auto"/>
      </w:pPr>
      <w:rPr>
        <w:b/>
        <w:bCs/>
      </w:rPr>
      <w:tblPr/>
      <w:tcPr>
        <w:tcBorders>
          <w:top w:val="single" w:sz="8" w:space="0" w:color="86BE57" w:themeColor="accent5"/>
          <w:left w:val="nil"/>
          <w:bottom w:val="single" w:sz="8" w:space="0" w:color="86BE5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FD5" w:themeFill="accent5" w:themeFillTint="3F"/>
      </w:tcPr>
    </w:tblStylePr>
    <w:tblStylePr w:type="band1Horz">
      <w:tblPr/>
      <w:tcPr>
        <w:tcBorders>
          <w:left w:val="nil"/>
          <w:right w:val="nil"/>
          <w:insideH w:val="nil"/>
          <w:insideV w:val="nil"/>
        </w:tcBorders>
        <w:shd w:val="clear" w:color="auto" w:fill="E1EFD5" w:themeFill="accent5" w:themeFillTint="3F"/>
      </w:tcPr>
    </w:tblStylePr>
  </w:style>
  <w:style w:type="table" w:styleId="LightShading-Accent6">
    <w:name w:val="Light Shading Accent 6"/>
    <w:basedOn w:val="TableNormal"/>
    <w:uiPriority w:val="60"/>
    <w:semiHidden/>
    <w:rsid w:val="00EE3EB6"/>
    <w:pPr>
      <w:spacing w:line="240" w:lineRule="auto"/>
    </w:pPr>
    <w:rPr>
      <w:color w:val="5A6062" w:themeColor="accent6" w:themeShade="BF"/>
    </w:rPr>
    <w:tblPr>
      <w:tblStyleRowBandSize w:val="1"/>
      <w:tblStyleColBandSize w:val="1"/>
      <w:tblBorders>
        <w:top w:val="single" w:sz="8" w:space="0" w:color="788183" w:themeColor="accent6"/>
        <w:bottom w:val="single" w:sz="8" w:space="0" w:color="788183" w:themeColor="accent6"/>
      </w:tblBorders>
    </w:tblPr>
    <w:tblStylePr w:type="firstRow">
      <w:pPr>
        <w:spacing w:before="0" w:after="0" w:line="240" w:lineRule="auto"/>
      </w:pPr>
      <w:rPr>
        <w:b/>
        <w:bCs/>
      </w:rPr>
      <w:tblPr/>
      <w:tcPr>
        <w:tcBorders>
          <w:top w:val="single" w:sz="8" w:space="0" w:color="788183" w:themeColor="accent6"/>
          <w:left w:val="nil"/>
          <w:bottom w:val="single" w:sz="8" w:space="0" w:color="788183" w:themeColor="accent6"/>
          <w:right w:val="nil"/>
          <w:insideH w:val="nil"/>
          <w:insideV w:val="nil"/>
        </w:tcBorders>
      </w:tcPr>
    </w:tblStylePr>
    <w:tblStylePr w:type="lastRow">
      <w:pPr>
        <w:spacing w:before="0" w:after="0" w:line="240" w:lineRule="auto"/>
      </w:pPr>
      <w:rPr>
        <w:b/>
        <w:bCs/>
      </w:rPr>
      <w:tblPr/>
      <w:tcPr>
        <w:tcBorders>
          <w:top w:val="single" w:sz="8" w:space="0" w:color="788183" w:themeColor="accent6"/>
          <w:left w:val="nil"/>
          <w:bottom w:val="single" w:sz="8" w:space="0" w:color="78818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FE0" w:themeFill="accent6" w:themeFillTint="3F"/>
      </w:tcPr>
    </w:tblStylePr>
    <w:tblStylePr w:type="band1Horz">
      <w:tblPr/>
      <w:tcPr>
        <w:tcBorders>
          <w:left w:val="nil"/>
          <w:right w:val="nil"/>
          <w:insideH w:val="nil"/>
          <w:insideV w:val="nil"/>
        </w:tcBorders>
        <w:shd w:val="clear" w:color="auto" w:fill="DDDFE0" w:themeFill="accent6" w:themeFillTint="3F"/>
      </w:tcPr>
    </w:tblStylePr>
  </w:style>
  <w:style w:type="table" w:customStyle="1" w:styleId="ListTable1Light">
    <w:name w:val="List Table 1 Light"/>
    <w:basedOn w:val="TableNormal"/>
    <w:uiPriority w:val="46"/>
    <w:semiHidden/>
    <w:rsid w:val="00EE3EB6"/>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semiHidden/>
    <w:rsid w:val="00EE3EB6"/>
    <w:pPr>
      <w:spacing w:line="240" w:lineRule="auto"/>
    </w:pPr>
    <w:tblPr>
      <w:tblStyleRowBandSize w:val="1"/>
      <w:tblStyleColBandSize w:val="1"/>
    </w:tblPr>
    <w:tblStylePr w:type="firstRow">
      <w:rPr>
        <w:b/>
        <w:bCs/>
      </w:rPr>
      <w:tblPr/>
      <w:tcPr>
        <w:tcBorders>
          <w:bottom w:val="single" w:sz="4" w:space="0" w:color="C288B7" w:themeColor="accent1" w:themeTint="99"/>
        </w:tcBorders>
      </w:tcPr>
    </w:tblStylePr>
    <w:tblStylePr w:type="lastRow">
      <w:rPr>
        <w:b/>
        <w:bCs/>
      </w:rPr>
      <w:tblPr/>
      <w:tcPr>
        <w:tcBorders>
          <w:top w:val="single" w:sz="4" w:space="0" w:color="C288B7" w:themeColor="accent1" w:themeTint="99"/>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1LightAccent2">
    <w:name w:val="List Table 1 Light Accent 2"/>
    <w:basedOn w:val="TableNormal"/>
    <w:uiPriority w:val="46"/>
    <w:semiHidden/>
    <w:rsid w:val="00EE3EB6"/>
    <w:pPr>
      <w:spacing w:line="240" w:lineRule="auto"/>
    </w:pPr>
    <w:tblPr>
      <w:tblStyleRowBandSize w:val="1"/>
      <w:tblStyleColBandSize w:val="1"/>
    </w:tblPr>
    <w:tblStylePr w:type="firstRow">
      <w:rPr>
        <w:b/>
        <w:bCs/>
      </w:rPr>
      <w:tblPr/>
      <w:tcPr>
        <w:tcBorders>
          <w:bottom w:val="single" w:sz="4" w:space="0" w:color="DC948F" w:themeColor="accent2" w:themeTint="99"/>
        </w:tcBorders>
      </w:tcPr>
    </w:tblStylePr>
    <w:tblStylePr w:type="lastRow">
      <w:rPr>
        <w:b/>
        <w:bCs/>
      </w:rPr>
      <w:tblPr/>
      <w:tcPr>
        <w:tcBorders>
          <w:top w:val="single" w:sz="4" w:space="0" w:color="DC948F" w:themeColor="accent2" w:themeTint="99"/>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1LightAccent3">
    <w:name w:val="List Table 1 Light Accent 3"/>
    <w:basedOn w:val="TableNormal"/>
    <w:uiPriority w:val="46"/>
    <w:semiHidden/>
    <w:rsid w:val="00EE3EB6"/>
    <w:pPr>
      <w:spacing w:line="240" w:lineRule="auto"/>
    </w:pPr>
    <w:tblPr>
      <w:tblStyleRowBandSize w:val="1"/>
      <w:tblStyleColBandSize w:val="1"/>
    </w:tblPr>
    <w:tblStylePr w:type="firstRow">
      <w:rPr>
        <w:b/>
        <w:bCs/>
      </w:rPr>
      <w:tblPr/>
      <w:tcPr>
        <w:tcBorders>
          <w:bottom w:val="single" w:sz="4" w:space="0" w:color="F6B68A" w:themeColor="accent3" w:themeTint="99"/>
        </w:tcBorders>
      </w:tcPr>
    </w:tblStylePr>
    <w:tblStylePr w:type="lastRow">
      <w:rPr>
        <w:b/>
        <w:bCs/>
      </w:rPr>
      <w:tblPr/>
      <w:tcPr>
        <w:tcBorders>
          <w:top w:val="single" w:sz="4" w:space="0" w:color="F6B68A" w:themeColor="accent3" w:themeTint="99"/>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1LightAccent4">
    <w:name w:val="List Table 1 Light Accent 4"/>
    <w:basedOn w:val="TableNormal"/>
    <w:uiPriority w:val="46"/>
    <w:semiHidden/>
    <w:rsid w:val="00EE3EB6"/>
    <w:pPr>
      <w:spacing w:line="240" w:lineRule="auto"/>
    </w:pPr>
    <w:tblPr>
      <w:tblStyleRowBandSize w:val="1"/>
      <w:tblStyleColBandSize w:val="1"/>
    </w:tblPr>
    <w:tblStylePr w:type="firstRow">
      <w:rPr>
        <w:b/>
        <w:bCs/>
      </w:rPr>
      <w:tblPr/>
      <w:tcPr>
        <w:tcBorders>
          <w:bottom w:val="single" w:sz="4" w:space="0" w:color="FDDC91" w:themeColor="accent4" w:themeTint="99"/>
        </w:tcBorders>
      </w:tcPr>
    </w:tblStylePr>
    <w:tblStylePr w:type="lastRow">
      <w:rPr>
        <w:b/>
        <w:bCs/>
      </w:rPr>
      <w:tblPr/>
      <w:tcPr>
        <w:tcBorders>
          <w:top w:val="single" w:sz="4" w:space="0" w:color="FDDC91" w:themeColor="accent4" w:themeTint="99"/>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1LightAccent5">
    <w:name w:val="List Table 1 Light Accent 5"/>
    <w:basedOn w:val="TableNormal"/>
    <w:uiPriority w:val="46"/>
    <w:semiHidden/>
    <w:rsid w:val="00EE3EB6"/>
    <w:pPr>
      <w:spacing w:line="240" w:lineRule="auto"/>
    </w:pPr>
    <w:tblPr>
      <w:tblStyleRowBandSize w:val="1"/>
      <w:tblStyleColBandSize w:val="1"/>
    </w:tblPr>
    <w:tblStylePr w:type="firstRow">
      <w:rPr>
        <w:b/>
        <w:bCs/>
      </w:rPr>
      <w:tblPr/>
      <w:tcPr>
        <w:tcBorders>
          <w:bottom w:val="single" w:sz="4" w:space="0" w:color="B6D89A" w:themeColor="accent5" w:themeTint="99"/>
        </w:tcBorders>
      </w:tcPr>
    </w:tblStylePr>
    <w:tblStylePr w:type="lastRow">
      <w:rPr>
        <w:b/>
        <w:bCs/>
      </w:rPr>
      <w:tblPr/>
      <w:tcPr>
        <w:tcBorders>
          <w:top w:val="single" w:sz="4" w:space="0" w:color="B6D89A" w:themeColor="accent5" w:themeTint="99"/>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1LightAccent6">
    <w:name w:val="List Table 1 Light Accent 6"/>
    <w:basedOn w:val="TableNormal"/>
    <w:uiPriority w:val="46"/>
    <w:semiHidden/>
    <w:rsid w:val="00EE3EB6"/>
    <w:pPr>
      <w:spacing w:line="240" w:lineRule="auto"/>
    </w:pPr>
    <w:tblPr>
      <w:tblStyleRowBandSize w:val="1"/>
      <w:tblStyleColBandSize w:val="1"/>
    </w:tblPr>
    <w:tblStylePr w:type="firstRow">
      <w:rPr>
        <w:b/>
        <w:bCs/>
      </w:rPr>
      <w:tblPr/>
      <w:tcPr>
        <w:tcBorders>
          <w:bottom w:val="single" w:sz="4" w:space="0" w:color="ADB3B4" w:themeColor="accent6" w:themeTint="99"/>
        </w:tcBorders>
      </w:tcPr>
    </w:tblStylePr>
    <w:tblStylePr w:type="lastRow">
      <w:rPr>
        <w:b/>
        <w:bCs/>
      </w:rPr>
      <w:tblPr/>
      <w:tcPr>
        <w:tcBorders>
          <w:top w:val="single" w:sz="4" w:space="0" w:color="ADB3B4" w:themeColor="accent6" w:themeTint="99"/>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2">
    <w:name w:val="List Table 2"/>
    <w:basedOn w:val="TableNormal"/>
    <w:uiPriority w:val="47"/>
    <w:semiHidden/>
    <w:rsid w:val="00EE3EB6"/>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semiHidden/>
    <w:rsid w:val="00EE3EB6"/>
    <w:pPr>
      <w:spacing w:line="240" w:lineRule="auto"/>
    </w:pPr>
    <w:tblPr>
      <w:tblStyleRowBandSize w:val="1"/>
      <w:tblStyleColBandSize w:val="1"/>
      <w:tblBorders>
        <w:top w:val="single" w:sz="4" w:space="0" w:color="C288B7" w:themeColor="accent1" w:themeTint="99"/>
        <w:bottom w:val="single" w:sz="4" w:space="0" w:color="C288B7" w:themeColor="accent1" w:themeTint="99"/>
        <w:insideH w:val="single" w:sz="4" w:space="0" w:color="C288B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2Accent2">
    <w:name w:val="List Table 2 Accent 2"/>
    <w:basedOn w:val="TableNormal"/>
    <w:uiPriority w:val="47"/>
    <w:semiHidden/>
    <w:rsid w:val="00EE3EB6"/>
    <w:pPr>
      <w:spacing w:line="240" w:lineRule="auto"/>
    </w:pPr>
    <w:tblPr>
      <w:tblStyleRowBandSize w:val="1"/>
      <w:tblStyleColBandSize w:val="1"/>
      <w:tblBorders>
        <w:top w:val="single" w:sz="4" w:space="0" w:color="DC948F" w:themeColor="accent2" w:themeTint="99"/>
        <w:bottom w:val="single" w:sz="4" w:space="0" w:color="DC948F" w:themeColor="accent2" w:themeTint="99"/>
        <w:insideH w:val="single" w:sz="4" w:space="0" w:color="DC948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2Accent3">
    <w:name w:val="List Table 2 Accent 3"/>
    <w:basedOn w:val="TableNormal"/>
    <w:uiPriority w:val="47"/>
    <w:semiHidden/>
    <w:rsid w:val="00EE3EB6"/>
    <w:pPr>
      <w:spacing w:line="240" w:lineRule="auto"/>
    </w:pPr>
    <w:tblPr>
      <w:tblStyleRowBandSize w:val="1"/>
      <w:tblStyleColBandSize w:val="1"/>
      <w:tblBorders>
        <w:top w:val="single" w:sz="4" w:space="0" w:color="F6B68A" w:themeColor="accent3" w:themeTint="99"/>
        <w:bottom w:val="single" w:sz="4" w:space="0" w:color="F6B68A" w:themeColor="accent3" w:themeTint="99"/>
        <w:insideH w:val="single" w:sz="4" w:space="0" w:color="F6B68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2Accent4">
    <w:name w:val="List Table 2 Accent 4"/>
    <w:basedOn w:val="TableNormal"/>
    <w:uiPriority w:val="47"/>
    <w:semiHidden/>
    <w:rsid w:val="00EE3EB6"/>
    <w:pPr>
      <w:spacing w:line="240" w:lineRule="auto"/>
    </w:pPr>
    <w:tblPr>
      <w:tblStyleRowBandSize w:val="1"/>
      <w:tblStyleColBandSize w:val="1"/>
      <w:tblBorders>
        <w:top w:val="single" w:sz="4" w:space="0" w:color="FDDC91" w:themeColor="accent4" w:themeTint="99"/>
        <w:bottom w:val="single" w:sz="4" w:space="0" w:color="FDDC91" w:themeColor="accent4" w:themeTint="99"/>
        <w:insideH w:val="single" w:sz="4" w:space="0" w:color="FDDC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2Accent5">
    <w:name w:val="List Table 2 Accent 5"/>
    <w:basedOn w:val="TableNormal"/>
    <w:uiPriority w:val="47"/>
    <w:semiHidden/>
    <w:rsid w:val="00EE3EB6"/>
    <w:pPr>
      <w:spacing w:line="240" w:lineRule="auto"/>
    </w:pPr>
    <w:tblPr>
      <w:tblStyleRowBandSize w:val="1"/>
      <w:tblStyleColBandSize w:val="1"/>
      <w:tblBorders>
        <w:top w:val="single" w:sz="4" w:space="0" w:color="B6D89A" w:themeColor="accent5" w:themeTint="99"/>
        <w:bottom w:val="single" w:sz="4" w:space="0" w:color="B6D89A" w:themeColor="accent5" w:themeTint="99"/>
        <w:insideH w:val="single" w:sz="4" w:space="0" w:color="B6D89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2Accent6">
    <w:name w:val="List Table 2 Accent 6"/>
    <w:basedOn w:val="TableNormal"/>
    <w:uiPriority w:val="47"/>
    <w:semiHidden/>
    <w:rsid w:val="00EE3EB6"/>
    <w:pPr>
      <w:spacing w:line="240" w:lineRule="auto"/>
    </w:pPr>
    <w:tblPr>
      <w:tblStyleRowBandSize w:val="1"/>
      <w:tblStyleColBandSize w:val="1"/>
      <w:tblBorders>
        <w:top w:val="single" w:sz="4" w:space="0" w:color="ADB3B4" w:themeColor="accent6" w:themeTint="99"/>
        <w:bottom w:val="single" w:sz="4" w:space="0" w:color="ADB3B4" w:themeColor="accent6" w:themeTint="99"/>
        <w:insideH w:val="single" w:sz="4" w:space="0" w:color="ADB3B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3">
    <w:name w:val="List Table 3"/>
    <w:basedOn w:val="TableNormal"/>
    <w:uiPriority w:val="48"/>
    <w:semiHidden/>
    <w:rsid w:val="00EE3EB6"/>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semiHidden/>
    <w:rsid w:val="00EE3EB6"/>
    <w:pPr>
      <w:spacing w:line="240" w:lineRule="auto"/>
    </w:pPr>
    <w:tblPr>
      <w:tblStyleRowBandSize w:val="1"/>
      <w:tblStyleColBandSize w:val="1"/>
      <w:tblBorders>
        <w:top w:val="single" w:sz="4" w:space="0" w:color="8D487F" w:themeColor="accent1"/>
        <w:left w:val="single" w:sz="4" w:space="0" w:color="8D487F" w:themeColor="accent1"/>
        <w:bottom w:val="single" w:sz="4" w:space="0" w:color="8D487F" w:themeColor="accent1"/>
        <w:right w:val="single" w:sz="4" w:space="0" w:color="8D487F" w:themeColor="accent1"/>
      </w:tblBorders>
    </w:tblPr>
    <w:tblStylePr w:type="firstRow">
      <w:rPr>
        <w:b/>
        <w:bCs/>
        <w:color w:val="FFFFFF" w:themeColor="background1"/>
      </w:rPr>
      <w:tblPr/>
      <w:tcPr>
        <w:shd w:val="clear" w:color="auto" w:fill="8D487F" w:themeFill="accent1"/>
      </w:tcPr>
    </w:tblStylePr>
    <w:tblStylePr w:type="lastRow">
      <w:rPr>
        <w:b/>
        <w:bCs/>
      </w:rPr>
      <w:tblPr/>
      <w:tcPr>
        <w:tcBorders>
          <w:top w:val="double" w:sz="4" w:space="0" w:color="8D487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487F" w:themeColor="accent1"/>
          <w:right w:val="single" w:sz="4" w:space="0" w:color="8D487F" w:themeColor="accent1"/>
        </w:tcBorders>
      </w:tcPr>
    </w:tblStylePr>
    <w:tblStylePr w:type="band1Horz">
      <w:tblPr/>
      <w:tcPr>
        <w:tcBorders>
          <w:top w:val="single" w:sz="4" w:space="0" w:color="8D487F" w:themeColor="accent1"/>
          <w:bottom w:val="single" w:sz="4" w:space="0" w:color="8D487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487F" w:themeColor="accent1"/>
          <w:left w:val="nil"/>
        </w:tcBorders>
      </w:tcPr>
    </w:tblStylePr>
    <w:tblStylePr w:type="swCell">
      <w:tblPr/>
      <w:tcPr>
        <w:tcBorders>
          <w:top w:val="double" w:sz="4" w:space="0" w:color="8D487F" w:themeColor="accent1"/>
          <w:right w:val="nil"/>
        </w:tcBorders>
      </w:tcPr>
    </w:tblStylePr>
  </w:style>
  <w:style w:type="table" w:customStyle="1" w:styleId="ListTable3Accent2">
    <w:name w:val="List Table 3 Accent 2"/>
    <w:basedOn w:val="TableNormal"/>
    <w:uiPriority w:val="48"/>
    <w:semiHidden/>
    <w:rsid w:val="00EE3EB6"/>
    <w:pPr>
      <w:spacing w:line="240" w:lineRule="auto"/>
    </w:pPr>
    <w:tblPr>
      <w:tblStyleRowBandSize w:val="1"/>
      <w:tblStyleColBandSize w:val="1"/>
      <w:tblBorders>
        <w:top w:val="single" w:sz="4" w:space="0" w:color="C64E45" w:themeColor="accent2"/>
        <w:left w:val="single" w:sz="4" w:space="0" w:color="C64E45" w:themeColor="accent2"/>
        <w:bottom w:val="single" w:sz="4" w:space="0" w:color="C64E45" w:themeColor="accent2"/>
        <w:right w:val="single" w:sz="4" w:space="0" w:color="C64E45" w:themeColor="accent2"/>
      </w:tblBorders>
    </w:tblPr>
    <w:tblStylePr w:type="firstRow">
      <w:rPr>
        <w:b/>
        <w:bCs/>
        <w:color w:val="FFFFFF" w:themeColor="background1"/>
      </w:rPr>
      <w:tblPr/>
      <w:tcPr>
        <w:shd w:val="clear" w:color="auto" w:fill="C64E45" w:themeFill="accent2"/>
      </w:tcPr>
    </w:tblStylePr>
    <w:tblStylePr w:type="lastRow">
      <w:rPr>
        <w:b/>
        <w:bCs/>
      </w:rPr>
      <w:tblPr/>
      <w:tcPr>
        <w:tcBorders>
          <w:top w:val="double" w:sz="4" w:space="0" w:color="C64E4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64E45" w:themeColor="accent2"/>
          <w:right w:val="single" w:sz="4" w:space="0" w:color="C64E45" w:themeColor="accent2"/>
        </w:tcBorders>
      </w:tcPr>
    </w:tblStylePr>
    <w:tblStylePr w:type="band1Horz">
      <w:tblPr/>
      <w:tcPr>
        <w:tcBorders>
          <w:top w:val="single" w:sz="4" w:space="0" w:color="C64E45" w:themeColor="accent2"/>
          <w:bottom w:val="single" w:sz="4" w:space="0" w:color="C64E4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4E45" w:themeColor="accent2"/>
          <w:left w:val="nil"/>
        </w:tcBorders>
      </w:tcPr>
    </w:tblStylePr>
    <w:tblStylePr w:type="swCell">
      <w:tblPr/>
      <w:tcPr>
        <w:tcBorders>
          <w:top w:val="double" w:sz="4" w:space="0" w:color="C64E45" w:themeColor="accent2"/>
          <w:right w:val="nil"/>
        </w:tcBorders>
      </w:tcPr>
    </w:tblStylePr>
  </w:style>
  <w:style w:type="table" w:customStyle="1" w:styleId="ListTable3Accent3">
    <w:name w:val="List Table 3 Accent 3"/>
    <w:basedOn w:val="TableNormal"/>
    <w:uiPriority w:val="48"/>
    <w:semiHidden/>
    <w:rsid w:val="00EE3EB6"/>
    <w:pPr>
      <w:spacing w:line="240" w:lineRule="auto"/>
    </w:pPr>
    <w:tblPr>
      <w:tblStyleRowBandSize w:val="1"/>
      <w:tblStyleColBandSize w:val="1"/>
      <w:tblBorders>
        <w:top w:val="single" w:sz="4" w:space="0" w:color="F1873D" w:themeColor="accent3"/>
        <w:left w:val="single" w:sz="4" w:space="0" w:color="F1873D" w:themeColor="accent3"/>
        <w:bottom w:val="single" w:sz="4" w:space="0" w:color="F1873D" w:themeColor="accent3"/>
        <w:right w:val="single" w:sz="4" w:space="0" w:color="F1873D" w:themeColor="accent3"/>
      </w:tblBorders>
    </w:tblPr>
    <w:tblStylePr w:type="firstRow">
      <w:rPr>
        <w:b/>
        <w:bCs/>
        <w:color w:val="FFFFFF" w:themeColor="background1"/>
      </w:rPr>
      <w:tblPr/>
      <w:tcPr>
        <w:shd w:val="clear" w:color="auto" w:fill="F1873D" w:themeFill="accent3"/>
      </w:tcPr>
    </w:tblStylePr>
    <w:tblStylePr w:type="lastRow">
      <w:rPr>
        <w:b/>
        <w:bCs/>
      </w:rPr>
      <w:tblPr/>
      <w:tcPr>
        <w:tcBorders>
          <w:top w:val="double" w:sz="4" w:space="0" w:color="F187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873D" w:themeColor="accent3"/>
          <w:right w:val="single" w:sz="4" w:space="0" w:color="F1873D" w:themeColor="accent3"/>
        </w:tcBorders>
      </w:tcPr>
    </w:tblStylePr>
    <w:tblStylePr w:type="band1Horz">
      <w:tblPr/>
      <w:tcPr>
        <w:tcBorders>
          <w:top w:val="single" w:sz="4" w:space="0" w:color="F1873D" w:themeColor="accent3"/>
          <w:bottom w:val="single" w:sz="4" w:space="0" w:color="F187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873D" w:themeColor="accent3"/>
          <w:left w:val="nil"/>
        </w:tcBorders>
      </w:tcPr>
    </w:tblStylePr>
    <w:tblStylePr w:type="swCell">
      <w:tblPr/>
      <w:tcPr>
        <w:tcBorders>
          <w:top w:val="double" w:sz="4" w:space="0" w:color="F1873D" w:themeColor="accent3"/>
          <w:right w:val="nil"/>
        </w:tcBorders>
      </w:tcPr>
    </w:tblStylePr>
  </w:style>
  <w:style w:type="table" w:customStyle="1" w:styleId="ListTable3Accent4">
    <w:name w:val="List Table 3 Accent 4"/>
    <w:basedOn w:val="TableNormal"/>
    <w:uiPriority w:val="48"/>
    <w:semiHidden/>
    <w:rsid w:val="00EE3EB6"/>
    <w:pPr>
      <w:spacing w:line="240" w:lineRule="auto"/>
    </w:pPr>
    <w:tblPr>
      <w:tblStyleRowBandSize w:val="1"/>
      <w:tblStyleColBandSize w:val="1"/>
      <w:tblBorders>
        <w:top w:val="single" w:sz="4" w:space="0" w:color="FCC648" w:themeColor="accent4"/>
        <w:left w:val="single" w:sz="4" w:space="0" w:color="FCC648" w:themeColor="accent4"/>
        <w:bottom w:val="single" w:sz="4" w:space="0" w:color="FCC648" w:themeColor="accent4"/>
        <w:right w:val="single" w:sz="4" w:space="0" w:color="FCC648" w:themeColor="accent4"/>
      </w:tblBorders>
    </w:tblPr>
    <w:tblStylePr w:type="firstRow">
      <w:rPr>
        <w:b/>
        <w:bCs/>
        <w:color w:val="FFFFFF" w:themeColor="background1"/>
      </w:rPr>
      <w:tblPr/>
      <w:tcPr>
        <w:shd w:val="clear" w:color="auto" w:fill="FCC648" w:themeFill="accent4"/>
      </w:tcPr>
    </w:tblStylePr>
    <w:tblStylePr w:type="lastRow">
      <w:rPr>
        <w:b/>
        <w:bCs/>
      </w:rPr>
      <w:tblPr/>
      <w:tcPr>
        <w:tcBorders>
          <w:top w:val="double" w:sz="4" w:space="0" w:color="FCC64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C648" w:themeColor="accent4"/>
          <w:right w:val="single" w:sz="4" w:space="0" w:color="FCC648" w:themeColor="accent4"/>
        </w:tcBorders>
      </w:tcPr>
    </w:tblStylePr>
    <w:tblStylePr w:type="band1Horz">
      <w:tblPr/>
      <w:tcPr>
        <w:tcBorders>
          <w:top w:val="single" w:sz="4" w:space="0" w:color="FCC648" w:themeColor="accent4"/>
          <w:bottom w:val="single" w:sz="4" w:space="0" w:color="FCC64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C648" w:themeColor="accent4"/>
          <w:left w:val="nil"/>
        </w:tcBorders>
      </w:tcPr>
    </w:tblStylePr>
    <w:tblStylePr w:type="swCell">
      <w:tblPr/>
      <w:tcPr>
        <w:tcBorders>
          <w:top w:val="double" w:sz="4" w:space="0" w:color="FCC648" w:themeColor="accent4"/>
          <w:right w:val="nil"/>
        </w:tcBorders>
      </w:tcPr>
    </w:tblStylePr>
  </w:style>
  <w:style w:type="table" w:customStyle="1" w:styleId="ListTable3Accent5">
    <w:name w:val="List Table 3 Accent 5"/>
    <w:basedOn w:val="TableNormal"/>
    <w:uiPriority w:val="48"/>
    <w:semiHidden/>
    <w:rsid w:val="00EE3EB6"/>
    <w:pPr>
      <w:spacing w:line="240" w:lineRule="auto"/>
    </w:pPr>
    <w:tblPr>
      <w:tblStyleRowBandSize w:val="1"/>
      <w:tblStyleColBandSize w:val="1"/>
      <w:tblBorders>
        <w:top w:val="single" w:sz="4" w:space="0" w:color="86BE57" w:themeColor="accent5"/>
        <w:left w:val="single" w:sz="4" w:space="0" w:color="86BE57" w:themeColor="accent5"/>
        <w:bottom w:val="single" w:sz="4" w:space="0" w:color="86BE57" w:themeColor="accent5"/>
        <w:right w:val="single" w:sz="4" w:space="0" w:color="86BE57" w:themeColor="accent5"/>
      </w:tblBorders>
    </w:tblPr>
    <w:tblStylePr w:type="firstRow">
      <w:rPr>
        <w:b/>
        <w:bCs/>
        <w:color w:val="FFFFFF" w:themeColor="background1"/>
      </w:rPr>
      <w:tblPr/>
      <w:tcPr>
        <w:shd w:val="clear" w:color="auto" w:fill="86BE57" w:themeFill="accent5"/>
      </w:tcPr>
    </w:tblStylePr>
    <w:tblStylePr w:type="lastRow">
      <w:rPr>
        <w:b/>
        <w:bCs/>
      </w:rPr>
      <w:tblPr/>
      <w:tcPr>
        <w:tcBorders>
          <w:top w:val="double" w:sz="4" w:space="0" w:color="86BE5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BE57" w:themeColor="accent5"/>
          <w:right w:val="single" w:sz="4" w:space="0" w:color="86BE57" w:themeColor="accent5"/>
        </w:tcBorders>
      </w:tcPr>
    </w:tblStylePr>
    <w:tblStylePr w:type="band1Horz">
      <w:tblPr/>
      <w:tcPr>
        <w:tcBorders>
          <w:top w:val="single" w:sz="4" w:space="0" w:color="86BE57" w:themeColor="accent5"/>
          <w:bottom w:val="single" w:sz="4" w:space="0" w:color="86BE5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BE57" w:themeColor="accent5"/>
          <w:left w:val="nil"/>
        </w:tcBorders>
      </w:tcPr>
    </w:tblStylePr>
    <w:tblStylePr w:type="swCell">
      <w:tblPr/>
      <w:tcPr>
        <w:tcBorders>
          <w:top w:val="double" w:sz="4" w:space="0" w:color="86BE57" w:themeColor="accent5"/>
          <w:right w:val="nil"/>
        </w:tcBorders>
      </w:tcPr>
    </w:tblStylePr>
  </w:style>
  <w:style w:type="table" w:customStyle="1" w:styleId="ListTable3Accent6">
    <w:name w:val="List Table 3 Accent 6"/>
    <w:basedOn w:val="TableNormal"/>
    <w:uiPriority w:val="48"/>
    <w:semiHidden/>
    <w:rsid w:val="00EE3EB6"/>
    <w:pPr>
      <w:spacing w:line="240" w:lineRule="auto"/>
    </w:pPr>
    <w:tblPr>
      <w:tblStyleRowBandSize w:val="1"/>
      <w:tblStyleColBandSize w:val="1"/>
      <w:tblBorders>
        <w:top w:val="single" w:sz="4" w:space="0" w:color="788183" w:themeColor="accent6"/>
        <w:left w:val="single" w:sz="4" w:space="0" w:color="788183" w:themeColor="accent6"/>
        <w:bottom w:val="single" w:sz="4" w:space="0" w:color="788183" w:themeColor="accent6"/>
        <w:right w:val="single" w:sz="4" w:space="0" w:color="788183" w:themeColor="accent6"/>
      </w:tblBorders>
    </w:tblPr>
    <w:tblStylePr w:type="firstRow">
      <w:rPr>
        <w:b/>
        <w:bCs/>
        <w:color w:val="FFFFFF" w:themeColor="background1"/>
      </w:rPr>
      <w:tblPr/>
      <w:tcPr>
        <w:shd w:val="clear" w:color="auto" w:fill="788183" w:themeFill="accent6"/>
      </w:tcPr>
    </w:tblStylePr>
    <w:tblStylePr w:type="lastRow">
      <w:rPr>
        <w:b/>
        <w:bCs/>
      </w:rPr>
      <w:tblPr/>
      <w:tcPr>
        <w:tcBorders>
          <w:top w:val="double" w:sz="4" w:space="0" w:color="78818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88183" w:themeColor="accent6"/>
          <w:right w:val="single" w:sz="4" w:space="0" w:color="788183" w:themeColor="accent6"/>
        </w:tcBorders>
      </w:tcPr>
    </w:tblStylePr>
    <w:tblStylePr w:type="band1Horz">
      <w:tblPr/>
      <w:tcPr>
        <w:tcBorders>
          <w:top w:val="single" w:sz="4" w:space="0" w:color="788183" w:themeColor="accent6"/>
          <w:bottom w:val="single" w:sz="4" w:space="0" w:color="78818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88183" w:themeColor="accent6"/>
          <w:left w:val="nil"/>
        </w:tcBorders>
      </w:tcPr>
    </w:tblStylePr>
    <w:tblStylePr w:type="swCell">
      <w:tblPr/>
      <w:tcPr>
        <w:tcBorders>
          <w:top w:val="double" w:sz="4" w:space="0" w:color="788183" w:themeColor="accent6"/>
          <w:right w:val="nil"/>
        </w:tcBorders>
      </w:tcPr>
    </w:tblStylePr>
  </w:style>
  <w:style w:type="table" w:customStyle="1" w:styleId="ListTable4">
    <w:name w:val="List Table 4"/>
    <w:basedOn w:val="TableNormal"/>
    <w:uiPriority w:val="49"/>
    <w:semiHidden/>
    <w:rsid w:val="00EE3EB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semiHidden/>
    <w:rsid w:val="00EE3EB6"/>
    <w:pPr>
      <w:spacing w:line="240" w:lineRule="auto"/>
    </w:p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tblBorders>
    </w:tblPr>
    <w:tblStylePr w:type="firstRow">
      <w:rPr>
        <w:b/>
        <w:bCs/>
        <w:color w:val="FFFFFF" w:themeColor="background1"/>
      </w:rPr>
      <w:tblPr/>
      <w:tcPr>
        <w:tcBorders>
          <w:top w:val="single" w:sz="4" w:space="0" w:color="8D487F" w:themeColor="accent1"/>
          <w:left w:val="single" w:sz="4" w:space="0" w:color="8D487F" w:themeColor="accent1"/>
          <w:bottom w:val="single" w:sz="4" w:space="0" w:color="8D487F" w:themeColor="accent1"/>
          <w:right w:val="single" w:sz="4" w:space="0" w:color="8D487F" w:themeColor="accent1"/>
          <w:insideH w:val="nil"/>
        </w:tcBorders>
        <w:shd w:val="clear" w:color="auto" w:fill="8D487F" w:themeFill="accent1"/>
      </w:tcPr>
    </w:tblStylePr>
    <w:tblStylePr w:type="lastRow">
      <w:rPr>
        <w:b/>
        <w:bCs/>
      </w:rPr>
      <w:tblPr/>
      <w:tcPr>
        <w:tcBorders>
          <w:top w:val="double" w:sz="4" w:space="0" w:color="C288B7" w:themeColor="accent1" w:themeTint="99"/>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4Accent2">
    <w:name w:val="List Table 4 Accent 2"/>
    <w:basedOn w:val="TableNormal"/>
    <w:uiPriority w:val="49"/>
    <w:semiHidden/>
    <w:rsid w:val="00EE3EB6"/>
    <w:pPr>
      <w:spacing w:line="240" w:lineRule="auto"/>
    </w:p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tblBorders>
    </w:tblPr>
    <w:tblStylePr w:type="firstRow">
      <w:rPr>
        <w:b/>
        <w:bCs/>
        <w:color w:val="FFFFFF" w:themeColor="background1"/>
      </w:rPr>
      <w:tblPr/>
      <w:tcPr>
        <w:tcBorders>
          <w:top w:val="single" w:sz="4" w:space="0" w:color="C64E45" w:themeColor="accent2"/>
          <w:left w:val="single" w:sz="4" w:space="0" w:color="C64E45" w:themeColor="accent2"/>
          <w:bottom w:val="single" w:sz="4" w:space="0" w:color="C64E45" w:themeColor="accent2"/>
          <w:right w:val="single" w:sz="4" w:space="0" w:color="C64E45" w:themeColor="accent2"/>
          <w:insideH w:val="nil"/>
        </w:tcBorders>
        <w:shd w:val="clear" w:color="auto" w:fill="C64E45" w:themeFill="accent2"/>
      </w:tcPr>
    </w:tblStylePr>
    <w:tblStylePr w:type="lastRow">
      <w:rPr>
        <w:b/>
        <w:bCs/>
      </w:rPr>
      <w:tblPr/>
      <w:tcPr>
        <w:tcBorders>
          <w:top w:val="double" w:sz="4" w:space="0" w:color="DC948F" w:themeColor="accent2" w:themeTint="99"/>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4Accent3">
    <w:name w:val="List Table 4 Accent 3"/>
    <w:basedOn w:val="TableNormal"/>
    <w:uiPriority w:val="49"/>
    <w:semiHidden/>
    <w:rsid w:val="00EE3EB6"/>
    <w:pPr>
      <w:spacing w:line="240" w:lineRule="auto"/>
    </w:p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tblBorders>
    </w:tblPr>
    <w:tblStylePr w:type="firstRow">
      <w:rPr>
        <w:b/>
        <w:bCs/>
        <w:color w:val="FFFFFF" w:themeColor="background1"/>
      </w:rPr>
      <w:tblPr/>
      <w:tcPr>
        <w:tcBorders>
          <w:top w:val="single" w:sz="4" w:space="0" w:color="F1873D" w:themeColor="accent3"/>
          <w:left w:val="single" w:sz="4" w:space="0" w:color="F1873D" w:themeColor="accent3"/>
          <w:bottom w:val="single" w:sz="4" w:space="0" w:color="F1873D" w:themeColor="accent3"/>
          <w:right w:val="single" w:sz="4" w:space="0" w:color="F1873D" w:themeColor="accent3"/>
          <w:insideH w:val="nil"/>
        </w:tcBorders>
        <w:shd w:val="clear" w:color="auto" w:fill="F1873D" w:themeFill="accent3"/>
      </w:tcPr>
    </w:tblStylePr>
    <w:tblStylePr w:type="lastRow">
      <w:rPr>
        <w:b/>
        <w:bCs/>
      </w:rPr>
      <w:tblPr/>
      <w:tcPr>
        <w:tcBorders>
          <w:top w:val="double" w:sz="4" w:space="0" w:color="F6B68A" w:themeColor="accent3" w:themeTint="99"/>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4Accent4">
    <w:name w:val="List Table 4 Accent 4"/>
    <w:basedOn w:val="TableNormal"/>
    <w:uiPriority w:val="49"/>
    <w:semiHidden/>
    <w:rsid w:val="00EE3EB6"/>
    <w:pPr>
      <w:spacing w:line="240" w:lineRule="auto"/>
    </w:p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tblBorders>
    </w:tblPr>
    <w:tblStylePr w:type="firstRow">
      <w:rPr>
        <w:b/>
        <w:bCs/>
        <w:color w:val="FFFFFF" w:themeColor="background1"/>
      </w:rPr>
      <w:tblPr/>
      <w:tcPr>
        <w:tcBorders>
          <w:top w:val="single" w:sz="4" w:space="0" w:color="FCC648" w:themeColor="accent4"/>
          <w:left w:val="single" w:sz="4" w:space="0" w:color="FCC648" w:themeColor="accent4"/>
          <w:bottom w:val="single" w:sz="4" w:space="0" w:color="FCC648" w:themeColor="accent4"/>
          <w:right w:val="single" w:sz="4" w:space="0" w:color="FCC648" w:themeColor="accent4"/>
          <w:insideH w:val="nil"/>
        </w:tcBorders>
        <w:shd w:val="clear" w:color="auto" w:fill="FCC648" w:themeFill="accent4"/>
      </w:tcPr>
    </w:tblStylePr>
    <w:tblStylePr w:type="lastRow">
      <w:rPr>
        <w:b/>
        <w:bCs/>
      </w:rPr>
      <w:tblPr/>
      <w:tcPr>
        <w:tcBorders>
          <w:top w:val="double" w:sz="4" w:space="0" w:color="FDDC91" w:themeColor="accent4" w:themeTint="99"/>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4Accent5">
    <w:name w:val="List Table 4 Accent 5"/>
    <w:basedOn w:val="TableNormal"/>
    <w:uiPriority w:val="49"/>
    <w:semiHidden/>
    <w:rsid w:val="00EE3EB6"/>
    <w:pPr>
      <w:spacing w:line="240" w:lineRule="auto"/>
    </w:p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tblBorders>
    </w:tblPr>
    <w:tblStylePr w:type="firstRow">
      <w:rPr>
        <w:b/>
        <w:bCs/>
        <w:color w:val="FFFFFF" w:themeColor="background1"/>
      </w:rPr>
      <w:tblPr/>
      <w:tcPr>
        <w:tcBorders>
          <w:top w:val="single" w:sz="4" w:space="0" w:color="86BE57" w:themeColor="accent5"/>
          <w:left w:val="single" w:sz="4" w:space="0" w:color="86BE57" w:themeColor="accent5"/>
          <w:bottom w:val="single" w:sz="4" w:space="0" w:color="86BE57" w:themeColor="accent5"/>
          <w:right w:val="single" w:sz="4" w:space="0" w:color="86BE57" w:themeColor="accent5"/>
          <w:insideH w:val="nil"/>
        </w:tcBorders>
        <w:shd w:val="clear" w:color="auto" w:fill="86BE57" w:themeFill="accent5"/>
      </w:tcPr>
    </w:tblStylePr>
    <w:tblStylePr w:type="lastRow">
      <w:rPr>
        <w:b/>
        <w:bCs/>
      </w:rPr>
      <w:tblPr/>
      <w:tcPr>
        <w:tcBorders>
          <w:top w:val="double" w:sz="4" w:space="0" w:color="B6D89A" w:themeColor="accent5" w:themeTint="99"/>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4Accent6">
    <w:name w:val="List Table 4 Accent 6"/>
    <w:basedOn w:val="TableNormal"/>
    <w:uiPriority w:val="49"/>
    <w:semiHidden/>
    <w:rsid w:val="00EE3EB6"/>
    <w:pPr>
      <w:spacing w:line="240" w:lineRule="auto"/>
    </w:p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tblBorders>
    </w:tblPr>
    <w:tblStylePr w:type="firstRow">
      <w:rPr>
        <w:b/>
        <w:bCs/>
        <w:color w:val="FFFFFF" w:themeColor="background1"/>
      </w:rPr>
      <w:tblPr/>
      <w:tcPr>
        <w:tcBorders>
          <w:top w:val="single" w:sz="4" w:space="0" w:color="788183" w:themeColor="accent6"/>
          <w:left w:val="single" w:sz="4" w:space="0" w:color="788183" w:themeColor="accent6"/>
          <w:bottom w:val="single" w:sz="4" w:space="0" w:color="788183" w:themeColor="accent6"/>
          <w:right w:val="single" w:sz="4" w:space="0" w:color="788183" w:themeColor="accent6"/>
          <w:insideH w:val="nil"/>
        </w:tcBorders>
        <w:shd w:val="clear" w:color="auto" w:fill="788183" w:themeFill="accent6"/>
      </w:tcPr>
    </w:tblStylePr>
    <w:tblStylePr w:type="lastRow">
      <w:rPr>
        <w:b/>
        <w:bCs/>
      </w:rPr>
      <w:tblPr/>
      <w:tcPr>
        <w:tcBorders>
          <w:top w:val="double" w:sz="4" w:space="0" w:color="ADB3B4" w:themeColor="accent6" w:themeTint="99"/>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5Dark">
    <w:name w:val="List Table 5 Dark"/>
    <w:basedOn w:val="TableNormal"/>
    <w:uiPriority w:val="50"/>
    <w:semiHidden/>
    <w:rsid w:val="00EE3EB6"/>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semiHidden/>
    <w:rsid w:val="00EE3EB6"/>
    <w:pPr>
      <w:spacing w:line="240" w:lineRule="auto"/>
    </w:pPr>
    <w:rPr>
      <w:color w:val="FFFFFF" w:themeColor="background1"/>
    </w:rPr>
    <w:tblPr>
      <w:tblStyleRowBandSize w:val="1"/>
      <w:tblStyleColBandSize w:val="1"/>
      <w:tblBorders>
        <w:top w:val="single" w:sz="24" w:space="0" w:color="8D487F" w:themeColor="accent1"/>
        <w:left w:val="single" w:sz="24" w:space="0" w:color="8D487F" w:themeColor="accent1"/>
        <w:bottom w:val="single" w:sz="24" w:space="0" w:color="8D487F" w:themeColor="accent1"/>
        <w:right w:val="single" w:sz="24" w:space="0" w:color="8D487F" w:themeColor="accent1"/>
      </w:tblBorders>
    </w:tblPr>
    <w:tcPr>
      <w:shd w:val="clear" w:color="auto" w:fill="8D487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semiHidden/>
    <w:rsid w:val="00EE3EB6"/>
    <w:pPr>
      <w:spacing w:line="240" w:lineRule="auto"/>
    </w:pPr>
    <w:rPr>
      <w:color w:val="FFFFFF" w:themeColor="background1"/>
    </w:rPr>
    <w:tblPr>
      <w:tblStyleRowBandSize w:val="1"/>
      <w:tblStyleColBandSize w:val="1"/>
      <w:tblBorders>
        <w:top w:val="single" w:sz="24" w:space="0" w:color="C64E45" w:themeColor="accent2"/>
        <w:left w:val="single" w:sz="24" w:space="0" w:color="C64E45" w:themeColor="accent2"/>
        <w:bottom w:val="single" w:sz="24" w:space="0" w:color="C64E45" w:themeColor="accent2"/>
        <w:right w:val="single" w:sz="24" w:space="0" w:color="C64E45" w:themeColor="accent2"/>
      </w:tblBorders>
    </w:tblPr>
    <w:tcPr>
      <w:shd w:val="clear" w:color="auto" w:fill="C64E4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semiHidden/>
    <w:rsid w:val="00EE3EB6"/>
    <w:pPr>
      <w:spacing w:line="240" w:lineRule="auto"/>
    </w:pPr>
    <w:rPr>
      <w:color w:val="FFFFFF" w:themeColor="background1"/>
    </w:rPr>
    <w:tblPr>
      <w:tblStyleRowBandSize w:val="1"/>
      <w:tblStyleColBandSize w:val="1"/>
      <w:tblBorders>
        <w:top w:val="single" w:sz="24" w:space="0" w:color="F1873D" w:themeColor="accent3"/>
        <w:left w:val="single" w:sz="24" w:space="0" w:color="F1873D" w:themeColor="accent3"/>
        <w:bottom w:val="single" w:sz="24" w:space="0" w:color="F1873D" w:themeColor="accent3"/>
        <w:right w:val="single" w:sz="24" w:space="0" w:color="F1873D" w:themeColor="accent3"/>
      </w:tblBorders>
    </w:tblPr>
    <w:tcPr>
      <w:shd w:val="clear" w:color="auto" w:fill="F187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semiHidden/>
    <w:rsid w:val="00EE3EB6"/>
    <w:pPr>
      <w:spacing w:line="240" w:lineRule="auto"/>
    </w:pPr>
    <w:rPr>
      <w:color w:val="FFFFFF" w:themeColor="background1"/>
    </w:rPr>
    <w:tblPr>
      <w:tblStyleRowBandSize w:val="1"/>
      <w:tblStyleColBandSize w:val="1"/>
      <w:tblBorders>
        <w:top w:val="single" w:sz="24" w:space="0" w:color="FCC648" w:themeColor="accent4"/>
        <w:left w:val="single" w:sz="24" w:space="0" w:color="FCC648" w:themeColor="accent4"/>
        <w:bottom w:val="single" w:sz="24" w:space="0" w:color="FCC648" w:themeColor="accent4"/>
        <w:right w:val="single" w:sz="24" w:space="0" w:color="FCC648" w:themeColor="accent4"/>
      </w:tblBorders>
    </w:tblPr>
    <w:tcPr>
      <w:shd w:val="clear" w:color="auto" w:fill="FCC64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semiHidden/>
    <w:rsid w:val="00EE3EB6"/>
    <w:pPr>
      <w:spacing w:line="240" w:lineRule="auto"/>
    </w:pPr>
    <w:rPr>
      <w:color w:val="FFFFFF" w:themeColor="background1"/>
    </w:rPr>
    <w:tblPr>
      <w:tblStyleRowBandSize w:val="1"/>
      <w:tblStyleColBandSize w:val="1"/>
      <w:tblBorders>
        <w:top w:val="single" w:sz="24" w:space="0" w:color="86BE57" w:themeColor="accent5"/>
        <w:left w:val="single" w:sz="24" w:space="0" w:color="86BE57" w:themeColor="accent5"/>
        <w:bottom w:val="single" w:sz="24" w:space="0" w:color="86BE57" w:themeColor="accent5"/>
        <w:right w:val="single" w:sz="24" w:space="0" w:color="86BE57" w:themeColor="accent5"/>
      </w:tblBorders>
    </w:tblPr>
    <w:tcPr>
      <w:shd w:val="clear" w:color="auto" w:fill="86BE5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semiHidden/>
    <w:rsid w:val="00EE3EB6"/>
    <w:pPr>
      <w:spacing w:line="240" w:lineRule="auto"/>
    </w:pPr>
    <w:rPr>
      <w:color w:val="FFFFFF" w:themeColor="background1"/>
    </w:rPr>
    <w:tblPr>
      <w:tblStyleRowBandSize w:val="1"/>
      <w:tblStyleColBandSize w:val="1"/>
      <w:tblBorders>
        <w:top w:val="single" w:sz="24" w:space="0" w:color="788183" w:themeColor="accent6"/>
        <w:left w:val="single" w:sz="24" w:space="0" w:color="788183" w:themeColor="accent6"/>
        <w:bottom w:val="single" w:sz="24" w:space="0" w:color="788183" w:themeColor="accent6"/>
        <w:right w:val="single" w:sz="24" w:space="0" w:color="788183" w:themeColor="accent6"/>
      </w:tblBorders>
    </w:tblPr>
    <w:tcPr>
      <w:shd w:val="clear" w:color="auto" w:fill="78818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semiHidden/>
    <w:rsid w:val="00EE3EB6"/>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semiHidden/>
    <w:rsid w:val="00EE3EB6"/>
    <w:pPr>
      <w:spacing w:line="240" w:lineRule="auto"/>
    </w:pPr>
    <w:rPr>
      <w:color w:val="69365E" w:themeColor="accent1" w:themeShade="BF"/>
    </w:rPr>
    <w:tblPr>
      <w:tblStyleRowBandSize w:val="1"/>
      <w:tblStyleColBandSize w:val="1"/>
      <w:tblBorders>
        <w:top w:val="single" w:sz="4" w:space="0" w:color="8D487F" w:themeColor="accent1"/>
        <w:bottom w:val="single" w:sz="4" w:space="0" w:color="8D487F" w:themeColor="accent1"/>
      </w:tblBorders>
    </w:tblPr>
    <w:tblStylePr w:type="firstRow">
      <w:rPr>
        <w:b/>
        <w:bCs/>
      </w:rPr>
      <w:tblPr/>
      <w:tcPr>
        <w:tcBorders>
          <w:bottom w:val="single" w:sz="4" w:space="0" w:color="8D487F" w:themeColor="accent1"/>
        </w:tcBorders>
      </w:tcPr>
    </w:tblStylePr>
    <w:tblStylePr w:type="lastRow">
      <w:rPr>
        <w:b/>
        <w:bCs/>
      </w:rPr>
      <w:tblPr/>
      <w:tcPr>
        <w:tcBorders>
          <w:top w:val="double" w:sz="4" w:space="0" w:color="8D487F" w:themeColor="accent1"/>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6ColorfulAccent2">
    <w:name w:val="List Table 6 Colorful Accent 2"/>
    <w:basedOn w:val="TableNormal"/>
    <w:uiPriority w:val="51"/>
    <w:semiHidden/>
    <w:rsid w:val="00EE3EB6"/>
    <w:pPr>
      <w:spacing w:line="240" w:lineRule="auto"/>
    </w:pPr>
    <w:rPr>
      <w:color w:val="98362F" w:themeColor="accent2" w:themeShade="BF"/>
    </w:rPr>
    <w:tblPr>
      <w:tblStyleRowBandSize w:val="1"/>
      <w:tblStyleColBandSize w:val="1"/>
      <w:tblBorders>
        <w:top w:val="single" w:sz="4" w:space="0" w:color="C64E45" w:themeColor="accent2"/>
        <w:bottom w:val="single" w:sz="4" w:space="0" w:color="C64E45" w:themeColor="accent2"/>
      </w:tblBorders>
    </w:tblPr>
    <w:tblStylePr w:type="firstRow">
      <w:rPr>
        <w:b/>
        <w:bCs/>
      </w:rPr>
      <w:tblPr/>
      <w:tcPr>
        <w:tcBorders>
          <w:bottom w:val="single" w:sz="4" w:space="0" w:color="C64E45" w:themeColor="accent2"/>
        </w:tcBorders>
      </w:tcPr>
    </w:tblStylePr>
    <w:tblStylePr w:type="lastRow">
      <w:rPr>
        <w:b/>
        <w:bCs/>
      </w:rPr>
      <w:tblPr/>
      <w:tcPr>
        <w:tcBorders>
          <w:top w:val="double" w:sz="4" w:space="0" w:color="C64E45" w:themeColor="accent2"/>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6ColorfulAccent3">
    <w:name w:val="List Table 6 Colorful Accent 3"/>
    <w:basedOn w:val="TableNormal"/>
    <w:uiPriority w:val="51"/>
    <w:semiHidden/>
    <w:rsid w:val="00EE3EB6"/>
    <w:pPr>
      <w:spacing w:line="240" w:lineRule="auto"/>
    </w:pPr>
    <w:rPr>
      <w:color w:val="D25E0F" w:themeColor="accent3" w:themeShade="BF"/>
    </w:rPr>
    <w:tblPr>
      <w:tblStyleRowBandSize w:val="1"/>
      <w:tblStyleColBandSize w:val="1"/>
      <w:tblBorders>
        <w:top w:val="single" w:sz="4" w:space="0" w:color="F1873D" w:themeColor="accent3"/>
        <w:bottom w:val="single" w:sz="4" w:space="0" w:color="F1873D" w:themeColor="accent3"/>
      </w:tblBorders>
    </w:tblPr>
    <w:tblStylePr w:type="firstRow">
      <w:rPr>
        <w:b/>
        <w:bCs/>
      </w:rPr>
      <w:tblPr/>
      <w:tcPr>
        <w:tcBorders>
          <w:bottom w:val="single" w:sz="4" w:space="0" w:color="F1873D" w:themeColor="accent3"/>
        </w:tcBorders>
      </w:tcPr>
    </w:tblStylePr>
    <w:tblStylePr w:type="lastRow">
      <w:rPr>
        <w:b/>
        <w:bCs/>
      </w:rPr>
      <w:tblPr/>
      <w:tcPr>
        <w:tcBorders>
          <w:top w:val="double" w:sz="4" w:space="0" w:color="F1873D" w:themeColor="accent3"/>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6ColorfulAccent4">
    <w:name w:val="List Table 6 Colorful Accent 4"/>
    <w:basedOn w:val="TableNormal"/>
    <w:uiPriority w:val="51"/>
    <w:semiHidden/>
    <w:rsid w:val="00EE3EB6"/>
    <w:pPr>
      <w:spacing w:line="240" w:lineRule="auto"/>
    </w:pPr>
    <w:rPr>
      <w:color w:val="EEA704" w:themeColor="accent4" w:themeShade="BF"/>
    </w:rPr>
    <w:tblPr>
      <w:tblStyleRowBandSize w:val="1"/>
      <w:tblStyleColBandSize w:val="1"/>
      <w:tblBorders>
        <w:top w:val="single" w:sz="4" w:space="0" w:color="FCC648" w:themeColor="accent4"/>
        <w:bottom w:val="single" w:sz="4" w:space="0" w:color="FCC648" w:themeColor="accent4"/>
      </w:tblBorders>
    </w:tblPr>
    <w:tblStylePr w:type="firstRow">
      <w:rPr>
        <w:b/>
        <w:bCs/>
      </w:rPr>
      <w:tblPr/>
      <w:tcPr>
        <w:tcBorders>
          <w:bottom w:val="single" w:sz="4" w:space="0" w:color="FCC648" w:themeColor="accent4"/>
        </w:tcBorders>
      </w:tcPr>
    </w:tblStylePr>
    <w:tblStylePr w:type="lastRow">
      <w:rPr>
        <w:b/>
        <w:bCs/>
      </w:rPr>
      <w:tblPr/>
      <w:tcPr>
        <w:tcBorders>
          <w:top w:val="double" w:sz="4" w:space="0" w:color="FCC648" w:themeColor="accent4"/>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6ColorfulAccent5">
    <w:name w:val="List Table 6 Colorful Accent 5"/>
    <w:basedOn w:val="TableNormal"/>
    <w:uiPriority w:val="51"/>
    <w:semiHidden/>
    <w:rsid w:val="00EE3EB6"/>
    <w:pPr>
      <w:spacing w:line="240" w:lineRule="auto"/>
    </w:pPr>
    <w:rPr>
      <w:color w:val="63953A" w:themeColor="accent5" w:themeShade="BF"/>
    </w:rPr>
    <w:tblPr>
      <w:tblStyleRowBandSize w:val="1"/>
      <w:tblStyleColBandSize w:val="1"/>
      <w:tblBorders>
        <w:top w:val="single" w:sz="4" w:space="0" w:color="86BE57" w:themeColor="accent5"/>
        <w:bottom w:val="single" w:sz="4" w:space="0" w:color="86BE57" w:themeColor="accent5"/>
      </w:tblBorders>
    </w:tblPr>
    <w:tblStylePr w:type="firstRow">
      <w:rPr>
        <w:b/>
        <w:bCs/>
      </w:rPr>
      <w:tblPr/>
      <w:tcPr>
        <w:tcBorders>
          <w:bottom w:val="single" w:sz="4" w:space="0" w:color="86BE57" w:themeColor="accent5"/>
        </w:tcBorders>
      </w:tcPr>
    </w:tblStylePr>
    <w:tblStylePr w:type="lastRow">
      <w:rPr>
        <w:b/>
        <w:bCs/>
      </w:rPr>
      <w:tblPr/>
      <w:tcPr>
        <w:tcBorders>
          <w:top w:val="double" w:sz="4" w:space="0" w:color="86BE57" w:themeColor="accent5"/>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6ColorfulAccent6">
    <w:name w:val="List Table 6 Colorful Accent 6"/>
    <w:basedOn w:val="TableNormal"/>
    <w:uiPriority w:val="51"/>
    <w:semiHidden/>
    <w:rsid w:val="00EE3EB6"/>
    <w:pPr>
      <w:spacing w:line="240" w:lineRule="auto"/>
    </w:pPr>
    <w:rPr>
      <w:color w:val="5A6062" w:themeColor="accent6" w:themeShade="BF"/>
    </w:rPr>
    <w:tblPr>
      <w:tblStyleRowBandSize w:val="1"/>
      <w:tblStyleColBandSize w:val="1"/>
      <w:tblBorders>
        <w:top w:val="single" w:sz="4" w:space="0" w:color="788183" w:themeColor="accent6"/>
        <w:bottom w:val="single" w:sz="4" w:space="0" w:color="788183" w:themeColor="accent6"/>
      </w:tblBorders>
    </w:tblPr>
    <w:tblStylePr w:type="firstRow">
      <w:rPr>
        <w:b/>
        <w:bCs/>
      </w:rPr>
      <w:tblPr/>
      <w:tcPr>
        <w:tcBorders>
          <w:bottom w:val="single" w:sz="4" w:space="0" w:color="788183" w:themeColor="accent6"/>
        </w:tcBorders>
      </w:tcPr>
    </w:tblStylePr>
    <w:tblStylePr w:type="lastRow">
      <w:rPr>
        <w:b/>
        <w:bCs/>
      </w:rPr>
      <w:tblPr/>
      <w:tcPr>
        <w:tcBorders>
          <w:top w:val="double" w:sz="4" w:space="0" w:color="788183" w:themeColor="accent6"/>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7Colorful">
    <w:name w:val="List Table 7 Colorful"/>
    <w:basedOn w:val="TableNormal"/>
    <w:uiPriority w:val="52"/>
    <w:semiHidden/>
    <w:rsid w:val="00EE3EB6"/>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semiHidden/>
    <w:rsid w:val="00EE3EB6"/>
    <w:pPr>
      <w:spacing w:line="240" w:lineRule="auto"/>
    </w:pPr>
    <w:rPr>
      <w:color w:val="69365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487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487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487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487F" w:themeColor="accent1"/>
        </w:tcBorders>
        <w:shd w:val="clear" w:color="auto" w:fill="FFFFFF" w:themeFill="background1"/>
      </w:tcPr>
    </w:tblStylePr>
    <w:tblStylePr w:type="band1Vert">
      <w:tblPr/>
      <w:tcPr>
        <w:shd w:val="clear" w:color="auto" w:fill="EAD7E6" w:themeFill="accent1" w:themeFillTint="33"/>
      </w:tcPr>
    </w:tblStylePr>
    <w:tblStylePr w:type="band1Horz">
      <w:tblPr/>
      <w:tcPr>
        <w:shd w:val="clear" w:color="auto" w:fill="EAD7E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semiHidden/>
    <w:rsid w:val="00EE3EB6"/>
    <w:pPr>
      <w:spacing w:line="240" w:lineRule="auto"/>
    </w:pPr>
    <w:rPr>
      <w:color w:val="98362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64E4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64E4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64E4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64E45" w:themeColor="accent2"/>
        </w:tcBorders>
        <w:shd w:val="clear" w:color="auto" w:fill="FFFFFF" w:themeFill="background1"/>
      </w:tcPr>
    </w:tblStylePr>
    <w:tblStylePr w:type="band1Vert">
      <w:tblPr/>
      <w:tcPr>
        <w:shd w:val="clear" w:color="auto" w:fill="F3DBD9" w:themeFill="accent2" w:themeFillTint="33"/>
      </w:tcPr>
    </w:tblStylePr>
    <w:tblStylePr w:type="band1Horz">
      <w:tblPr/>
      <w:tcPr>
        <w:shd w:val="clear" w:color="auto" w:fill="F3DB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semiHidden/>
    <w:rsid w:val="00EE3EB6"/>
    <w:pPr>
      <w:spacing w:line="240" w:lineRule="auto"/>
    </w:pPr>
    <w:rPr>
      <w:color w:val="D25E0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87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87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87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873D" w:themeColor="accent3"/>
        </w:tcBorders>
        <w:shd w:val="clear" w:color="auto" w:fill="FFFFFF" w:themeFill="background1"/>
      </w:tcPr>
    </w:tblStylePr>
    <w:tblStylePr w:type="band1Vert">
      <w:tblPr/>
      <w:tcPr>
        <w:shd w:val="clear" w:color="auto" w:fill="FCE6D8" w:themeFill="accent3" w:themeFillTint="33"/>
      </w:tcPr>
    </w:tblStylePr>
    <w:tblStylePr w:type="band1Horz">
      <w:tblPr/>
      <w:tcPr>
        <w:shd w:val="clear" w:color="auto" w:fill="FCE6D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semiHidden/>
    <w:rsid w:val="00EE3EB6"/>
    <w:pPr>
      <w:spacing w:line="240" w:lineRule="auto"/>
    </w:pPr>
    <w:rPr>
      <w:color w:val="EEA70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C64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C64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C64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C648" w:themeColor="accent4"/>
        </w:tcBorders>
        <w:shd w:val="clear" w:color="auto" w:fill="FFFFFF" w:themeFill="background1"/>
      </w:tcPr>
    </w:tblStylePr>
    <w:tblStylePr w:type="band1Vert">
      <w:tblPr/>
      <w:tcPr>
        <w:shd w:val="clear" w:color="auto" w:fill="FEF3DA" w:themeFill="accent4" w:themeFillTint="33"/>
      </w:tcPr>
    </w:tblStylePr>
    <w:tblStylePr w:type="band1Horz">
      <w:tblPr/>
      <w:tcPr>
        <w:shd w:val="clear" w:color="auto" w:fill="FEF3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semiHidden/>
    <w:rsid w:val="00EE3EB6"/>
    <w:pPr>
      <w:spacing w:line="240" w:lineRule="auto"/>
    </w:pPr>
    <w:rPr>
      <w:color w:val="63953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BE5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BE5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BE5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BE57" w:themeColor="accent5"/>
        </w:tcBorders>
        <w:shd w:val="clear" w:color="auto" w:fill="FFFFFF" w:themeFill="background1"/>
      </w:tcPr>
    </w:tblStylePr>
    <w:tblStylePr w:type="band1Vert">
      <w:tblPr/>
      <w:tcPr>
        <w:shd w:val="clear" w:color="auto" w:fill="E6F2DD" w:themeFill="accent5" w:themeFillTint="33"/>
      </w:tcPr>
    </w:tblStylePr>
    <w:tblStylePr w:type="band1Horz">
      <w:tblPr/>
      <w:tcPr>
        <w:shd w:val="clear" w:color="auto" w:fill="E6F2D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semiHidden/>
    <w:rsid w:val="00EE3EB6"/>
    <w:pPr>
      <w:spacing w:line="240" w:lineRule="auto"/>
    </w:pPr>
    <w:rPr>
      <w:color w:val="5A606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8818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8818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8818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88183" w:themeColor="accent6"/>
        </w:tcBorders>
        <w:shd w:val="clear" w:color="auto" w:fill="FFFFFF" w:themeFill="background1"/>
      </w:tcPr>
    </w:tblStylePr>
    <w:tblStylePr w:type="band1Vert">
      <w:tblPr/>
      <w:tcPr>
        <w:shd w:val="clear" w:color="auto" w:fill="E3E5E6" w:themeFill="accent6" w:themeFillTint="33"/>
      </w:tcPr>
    </w:tblStylePr>
    <w:tblStylePr w:type="band1Horz">
      <w:tblPr/>
      <w:tcPr>
        <w:shd w:val="clear" w:color="auto" w:fill="E3E5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EE3EB6"/>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EE3EB6"/>
    <w:pPr>
      <w:spacing w:line="240" w:lineRule="auto"/>
    </w:pPr>
    <w:tblPr>
      <w:tblStyleRowBandSize w:val="1"/>
      <w:tblStyleColBandSize w:val="1"/>
      <w:tblBorders>
        <w:top w:val="single" w:sz="8"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single" w:sz="8" w:space="0" w:color="B36BA5" w:themeColor="accent1" w:themeTint="BF"/>
        <w:insideV w:val="single" w:sz="8" w:space="0" w:color="B36BA5" w:themeColor="accent1" w:themeTint="BF"/>
      </w:tblBorders>
    </w:tblPr>
    <w:tcPr>
      <w:shd w:val="clear" w:color="auto" w:fill="E6CEE1" w:themeFill="accent1" w:themeFillTint="3F"/>
    </w:tcPr>
    <w:tblStylePr w:type="firstRow">
      <w:rPr>
        <w:b/>
        <w:bCs/>
      </w:rPr>
    </w:tblStylePr>
    <w:tblStylePr w:type="lastRow">
      <w:rPr>
        <w:b/>
        <w:bCs/>
      </w:rPr>
      <w:tblPr/>
      <w:tcPr>
        <w:tcBorders>
          <w:top w:val="single" w:sz="18" w:space="0" w:color="B36BA5" w:themeColor="accent1" w:themeTint="BF"/>
        </w:tcBorders>
      </w:tcPr>
    </w:tblStylePr>
    <w:tblStylePr w:type="firstCol">
      <w:rPr>
        <w:b/>
        <w:bCs/>
      </w:rPr>
    </w:tblStylePr>
    <w:tblStylePr w:type="lastCol">
      <w:rPr>
        <w:b/>
        <w:bCs/>
      </w:rPr>
    </w:tblStylePr>
    <w:tblStylePr w:type="band1Vert">
      <w:tblPr/>
      <w:tcPr>
        <w:shd w:val="clear" w:color="auto" w:fill="CD9DC3" w:themeFill="accent1" w:themeFillTint="7F"/>
      </w:tcPr>
    </w:tblStylePr>
    <w:tblStylePr w:type="band1Horz">
      <w:tblPr/>
      <w:tcPr>
        <w:shd w:val="clear" w:color="auto" w:fill="CD9DC3" w:themeFill="accent1" w:themeFillTint="7F"/>
      </w:tcPr>
    </w:tblStylePr>
  </w:style>
  <w:style w:type="table" w:styleId="MediumGrid1-Accent2">
    <w:name w:val="Medium Grid 1 Accent 2"/>
    <w:basedOn w:val="TableNormal"/>
    <w:uiPriority w:val="67"/>
    <w:semiHidden/>
    <w:rsid w:val="00EE3EB6"/>
    <w:pPr>
      <w:spacing w:line="240" w:lineRule="auto"/>
    </w:pPr>
    <w:tblPr>
      <w:tblStyleRowBandSize w:val="1"/>
      <w:tblStyleColBandSize w:val="1"/>
      <w:tblBorders>
        <w:top w:val="single" w:sz="8"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single" w:sz="8" w:space="0" w:color="D47973" w:themeColor="accent2" w:themeTint="BF"/>
        <w:insideV w:val="single" w:sz="8" w:space="0" w:color="D47973" w:themeColor="accent2" w:themeTint="BF"/>
      </w:tblBorders>
    </w:tblPr>
    <w:tcPr>
      <w:shd w:val="clear" w:color="auto" w:fill="F1D2D0" w:themeFill="accent2" w:themeFillTint="3F"/>
    </w:tcPr>
    <w:tblStylePr w:type="firstRow">
      <w:rPr>
        <w:b/>
        <w:bCs/>
      </w:rPr>
    </w:tblStylePr>
    <w:tblStylePr w:type="lastRow">
      <w:rPr>
        <w:b/>
        <w:bCs/>
      </w:rPr>
      <w:tblPr/>
      <w:tcPr>
        <w:tcBorders>
          <w:top w:val="single" w:sz="18" w:space="0" w:color="D47973" w:themeColor="accent2" w:themeTint="BF"/>
        </w:tcBorders>
      </w:tcPr>
    </w:tblStylePr>
    <w:tblStylePr w:type="firstCol">
      <w:rPr>
        <w:b/>
        <w:bCs/>
      </w:rPr>
    </w:tblStylePr>
    <w:tblStylePr w:type="lastCol">
      <w:rPr>
        <w:b/>
        <w:bCs/>
      </w:rPr>
    </w:tblStylePr>
    <w:tblStylePr w:type="band1Vert">
      <w:tblPr/>
      <w:tcPr>
        <w:shd w:val="clear" w:color="auto" w:fill="E2A6A2" w:themeFill="accent2" w:themeFillTint="7F"/>
      </w:tcPr>
    </w:tblStylePr>
    <w:tblStylePr w:type="band1Horz">
      <w:tblPr/>
      <w:tcPr>
        <w:shd w:val="clear" w:color="auto" w:fill="E2A6A2" w:themeFill="accent2" w:themeFillTint="7F"/>
      </w:tcPr>
    </w:tblStylePr>
  </w:style>
  <w:style w:type="table" w:styleId="MediumGrid1-Accent3">
    <w:name w:val="Medium Grid 1 Accent 3"/>
    <w:basedOn w:val="TableNormal"/>
    <w:uiPriority w:val="67"/>
    <w:semiHidden/>
    <w:rsid w:val="00EE3EB6"/>
    <w:pPr>
      <w:spacing w:line="240" w:lineRule="auto"/>
    </w:pPr>
    <w:tblPr>
      <w:tblStyleRowBandSize w:val="1"/>
      <w:tblStyleColBandSize w:val="1"/>
      <w:tblBorders>
        <w:top w:val="single" w:sz="8"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single" w:sz="8" w:space="0" w:color="F4A46D" w:themeColor="accent3" w:themeTint="BF"/>
        <w:insideV w:val="single" w:sz="8" w:space="0" w:color="F4A46D" w:themeColor="accent3" w:themeTint="BF"/>
      </w:tblBorders>
    </w:tblPr>
    <w:tcPr>
      <w:shd w:val="clear" w:color="auto" w:fill="FBE1CE" w:themeFill="accent3" w:themeFillTint="3F"/>
    </w:tcPr>
    <w:tblStylePr w:type="firstRow">
      <w:rPr>
        <w:b/>
        <w:bCs/>
      </w:rPr>
    </w:tblStylePr>
    <w:tblStylePr w:type="lastRow">
      <w:rPr>
        <w:b/>
        <w:bCs/>
      </w:rPr>
      <w:tblPr/>
      <w:tcPr>
        <w:tcBorders>
          <w:top w:val="single" w:sz="18" w:space="0" w:color="F4A46D" w:themeColor="accent3" w:themeTint="BF"/>
        </w:tcBorders>
      </w:tcPr>
    </w:tblStylePr>
    <w:tblStylePr w:type="firstCol">
      <w:rPr>
        <w:b/>
        <w:bCs/>
      </w:rPr>
    </w:tblStylePr>
    <w:tblStylePr w:type="lastCol">
      <w:rPr>
        <w:b/>
        <w:bCs/>
      </w:rPr>
    </w:tblStylePr>
    <w:tblStylePr w:type="band1Vert">
      <w:tblPr/>
      <w:tcPr>
        <w:shd w:val="clear" w:color="auto" w:fill="F8C29E" w:themeFill="accent3" w:themeFillTint="7F"/>
      </w:tcPr>
    </w:tblStylePr>
    <w:tblStylePr w:type="band1Horz">
      <w:tblPr/>
      <w:tcPr>
        <w:shd w:val="clear" w:color="auto" w:fill="F8C29E" w:themeFill="accent3" w:themeFillTint="7F"/>
      </w:tcPr>
    </w:tblStylePr>
  </w:style>
  <w:style w:type="table" w:styleId="MediumGrid1-Accent4">
    <w:name w:val="Medium Grid 1 Accent 4"/>
    <w:basedOn w:val="TableNormal"/>
    <w:uiPriority w:val="67"/>
    <w:semiHidden/>
    <w:rsid w:val="00EE3EB6"/>
    <w:pPr>
      <w:spacing w:line="240" w:lineRule="auto"/>
    </w:pPr>
    <w:tblPr>
      <w:tblStyleRowBandSize w:val="1"/>
      <w:tblStyleColBandSize w:val="1"/>
      <w:tblBorders>
        <w:top w:val="single" w:sz="8"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single" w:sz="8" w:space="0" w:color="FCD475" w:themeColor="accent4" w:themeTint="BF"/>
        <w:insideV w:val="single" w:sz="8" w:space="0" w:color="FCD475" w:themeColor="accent4" w:themeTint="BF"/>
      </w:tblBorders>
    </w:tblPr>
    <w:tcPr>
      <w:shd w:val="clear" w:color="auto" w:fill="FEF0D1" w:themeFill="accent4" w:themeFillTint="3F"/>
    </w:tcPr>
    <w:tblStylePr w:type="firstRow">
      <w:rPr>
        <w:b/>
        <w:bCs/>
      </w:rPr>
    </w:tblStylePr>
    <w:tblStylePr w:type="lastRow">
      <w:rPr>
        <w:b/>
        <w:bCs/>
      </w:rPr>
      <w:tblPr/>
      <w:tcPr>
        <w:tcBorders>
          <w:top w:val="single" w:sz="18" w:space="0" w:color="FCD475" w:themeColor="accent4" w:themeTint="BF"/>
        </w:tcBorders>
      </w:tcPr>
    </w:tblStylePr>
    <w:tblStylePr w:type="firstCol">
      <w:rPr>
        <w:b/>
        <w:bCs/>
      </w:rPr>
    </w:tblStylePr>
    <w:tblStylePr w:type="lastCol">
      <w:rPr>
        <w:b/>
        <w:bCs/>
      </w:rPr>
    </w:tblStylePr>
    <w:tblStylePr w:type="band1Vert">
      <w:tblPr/>
      <w:tcPr>
        <w:shd w:val="clear" w:color="auto" w:fill="FDE2A3" w:themeFill="accent4" w:themeFillTint="7F"/>
      </w:tcPr>
    </w:tblStylePr>
    <w:tblStylePr w:type="band1Horz">
      <w:tblPr/>
      <w:tcPr>
        <w:shd w:val="clear" w:color="auto" w:fill="FDE2A3" w:themeFill="accent4" w:themeFillTint="7F"/>
      </w:tcPr>
    </w:tblStylePr>
  </w:style>
  <w:style w:type="table" w:styleId="MediumGrid1-Accent5">
    <w:name w:val="Medium Grid 1 Accent 5"/>
    <w:basedOn w:val="TableNormal"/>
    <w:uiPriority w:val="67"/>
    <w:semiHidden/>
    <w:rsid w:val="00EE3EB6"/>
    <w:pPr>
      <w:spacing w:line="240" w:lineRule="auto"/>
    </w:pPr>
    <w:tblPr>
      <w:tblStyleRowBandSize w:val="1"/>
      <w:tblStyleColBandSize w:val="1"/>
      <w:tblBorders>
        <w:top w:val="single" w:sz="8"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single" w:sz="8" w:space="0" w:color="A4CE81" w:themeColor="accent5" w:themeTint="BF"/>
        <w:insideV w:val="single" w:sz="8" w:space="0" w:color="A4CE81" w:themeColor="accent5" w:themeTint="BF"/>
      </w:tblBorders>
    </w:tblPr>
    <w:tcPr>
      <w:shd w:val="clear" w:color="auto" w:fill="E1EFD5" w:themeFill="accent5" w:themeFillTint="3F"/>
    </w:tcPr>
    <w:tblStylePr w:type="firstRow">
      <w:rPr>
        <w:b/>
        <w:bCs/>
      </w:rPr>
    </w:tblStylePr>
    <w:tblStylePr w:type="lastRow">
      <w:rPr>
        <w:b/>
        <w:bCs/>
      </w:rPr>
      <w:tblPr/>
      <w:tcPr>
        <w:tcBorders>
          <w:top w:val="single" w:sz="18" w:space="0" w:color="A4CE81" w:themeColor="accent5" w:themeTint="BF"/>
        </w:tcBorders>
      </w:tcPr>
    </w:tblStylePr>
    <w:tblStylePr w:type="firstCol">
      <w:rPr>
        <w:b/>
        <w:bCs/>
      </w:rPr>
    </w:tblStylePr>
    <w:tblStylePr w:type="lastCol">
      <w:rPr>
        <w:b/>
        <w:bCs/>
      </w:rPr>
    </w:tblStylePr>
    <w:tblStylePr w:type="band1Vert">
      <w:tblPr/>
      <w:tcPr>
        <w:shd w:val="clear" w:color="auto" w:fill="C2DEAB" w:themeFill="accent5" w:themeFillTint="7F"/>
      </w:tcPr>
    </w:tblStylePr>
    <w:tblStylePr w:type="band1Horz">
      <w:tblPr/>
      <w:tcPr>
        <w:shd w:val="clear" w:color="auto" w:fill="C2DEAB" w:themeFill="accent5" w:themeFillTint="7F"/>
      </w:tcPr>
    </w:tblStylePr>
  </w:style>
  <w:style w:type="table" w:styleId="MediumGrid1-Accent6">
    <w:name w:val="Medium Grid 1 Accent 6"/>
    <w:basedOn w:val="TableNormal"/>
    <w:uiPriority w:val="67"/>
    <w:semiHidden/>
    <w:rsid w:val="00EE3EB6"/>
    <w:pPr>
      <w:spacing w:line="240" w:lineRule="auto"/>
    </w:pPr>
    <w:tblPr>
      <w:tblStyleRowBandSize w:val="1"/>
      <w:tblStyleColBandSize w:val="1"/>
      <w:tblBorders>
        <w:top w:val="single" w:sz="8"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single" w:sz="8" w:space="0" w:color="99A0A2" w:themeColor="accent6" w:themeTint="BF"/>
        <w:insideV w:val="single" w:sz="8" w:space="0" w:color="99A0A2" w:themeColor="accent6" w:themeTint="BF"/>
      </w:tblBorders>
    </w:tblPr>
    <w:tcPr>
      <w:shd w:val="clear" w:color="auto" w:fill="DDDFE0" w:themeFill="accent6" w:themeFillTint="3F"/>
    </w:tcPr>
    <w:tblStylePr w:type="firstRow">
      <w:rPr>
        <w:b/>
        <w:bCs/>
      </w:rPr>
    </w:tblStylePr>
    <w:tblStylePr w:type="lastRow">
      <w:rPr>
        <w:b/>
        <w:bCs/>
      </w:rPr>
      <w:tblPr/>
      <w:tcPr>
        <w:tcBorders>
          <w:top w:val="single" w:sz="18" w:space="0" w:color="99A0A2" w:themeColor="accent6" w:themeTint="BF"/>
        </w:tcBorders>
      </w:tcPr>
    </w:tblStylePr>
    <w:tblStylePr w:type="firstCol">
      <w:rPr>
        <w:b/>
        <w:bCs/>
      </w:rPr>
    </w:tblStylePr>
    <w:tblStylePr w:type="lastCol">
      <w:rPr>
        <w:b/>
        <w:bCs/>
      </w:rPr>
    </w:tblStylePr>
    <w:tblStylePr w:type="band1Vert">
      <w:tblPr/>
      <w:tcPr>
        <w:shd w:val="clear" w:color="auto" w:fill="BBC0C1" w:themeFill="accent6" w:themeFillTint="7F"/>
      </w:tcPr>
    </w:tblStylePr>
    <w:tblStylePr w:type="band1Horz">
      <w:tblPr/>
      <w:tcPr>
        <w:shd w:val="clear" w:color="auto" w:fill="BBC0C1" w:themeFill="accent6" w:themeFillTint="7F"/>
      </w:tcPr>
    </w:tblStylePr>
  </w:style>
  <w:style w:type="table" w:styleId="MediumGrid2">
    <w:name w:val="Medium Grid 2"/>
    <w:basedOn w:val="TableNormal"/>
    <w:uiPriority w:val="68"/>
    <w:semiHidden/>
    <w:rsid w:val="00EE3EB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E3EB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insideH w:val="single" w:sz="8" w:space="0" w:color="8D487F" w:themeColor="accent1"/>
        <w:insideV w:val="single" w:sz="8" w:space="0" w:color="8D487F" w:themeColor="accent1"/>
      </w:tblBorders>
    </w:tblPr>
    <w:tcPr>
      <w:shd w:val="clear" w:color="auto" w:fill="E6CEE1" w:themeFill="accent1" w:themeFillTint="3F"/>
    </w:tcPr>
    <w:tblStylePr w:type="firstRow">
      <w:rPr>
        <w:b/>
        <w:bCs/>
        <w:color w:val="000000" w:themeColor="text1"/>
      </w:rPr>
      <w:tblPr/>
      <w:tcPr>
        <w:shd w:val="clear" w:color="auto" w:fill="F5EB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7E6" w:themeFill="accent1" w:themeFillTint="33"/>
      </w:tcPr>
    </w:tblStylePr>
    <w:tblStylePr w:type="band1Vert">
      <w:tblPr/>
      <w:tcPr>
        <w:shd w:val="clear" w:color="auto" w:fill="CD9DC3" w:themeFill="accent1" w:themeFillTint="7F"/>
      </w:tcPr>
    </w:tblStylePr>
    <w:tblStylePr w:type="band1Horz">
      <w:tblPr/>
      <w:tcPr>
        <w:tcBorders>
          <w:insideH w:val="single" w:sz="6" w:space="0" w:color="8D487F" w:themeColor="accent1"/>
          <w:insideV w:val="single" w:sz="6" w:space="0" w:color="8D487F" w:themeColor="accent1"/>
        </w:tcBorders>
        <w:shd w:val="clear" w:color="auto" w:fill="CD9DC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E3EB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insideH w:val="single" w:sz="8" w:space="0" w:color="C64E45" w:themeColor="accent2"/>
        <w:insideV w:val="single" w:sz="8" w:space="0" w:color="C64E45" w:themeColor="accent2"/>
      </w:tblBorders>
    </w:tblPr>
    <w:tcPr>
      <w:shd w:val="clear" w:color="auto" w:fill="F1D2D0" w:themeFill="accent2" w:themeFillTint="3F"/>
    </w:tcPr>
    <w:tblStylePr w:type="firstRow">
      <w:rPr>
        <w:b/>
        <w:bCs/>
        <w:color w:val="000000" w:themeColor="text1"/>
      </w:rPr>
      <w:tblPr/>
      <w:tcPr>
        <w:shd w:val="clear" w:color="auto" w:fill="F9ED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BD9" w:themeFill="accent2" w:themeFillTint="33"/>
      </w:tcPr>
    </w:tblStylePr>
    <w:tblStylePr w:type="band1Vert">
      <w:tblPr/>
      <w:tcPr>
        <w:shd w:val="clear" w:color="auto" w:fill="E2A6A2" w:themeFill="accent2" w:themeFillTint="7F"/>
      </w:tcPr>
    </w:tblStylePr>
    <w:tblStylePr w:type="band1Horz">
      <w:tblPr/>
      <w:tcPr>
        <w:tcBorders>
          <w:insideH w:val="single" w:sz="6" w:space="0" w:color="C64E45" w:themeColor="accent2"/>
          <w:insideV w:val="single" w:sz="6" w:space="0" w:color="C64E45" w:themeColor="accent2"/>
        </w:tcBorders>
        <w:shd w:val="clear" w:color="auto" w:fill="E2A6A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E3EB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cPr>
      <w:shd w:val="clear" w:color="auto" w:fill="FBE1CE" w:themeFill="accent3" w:themeFillTint="3F"/>
    </w:tcPr>
    <w:tblStylePr w:type="firstRow">
      <w:rPr>
        <w:b/>
        <w:bCs/>
        <w:color w:val="000000" w:themeColor="text1"/>
      </w:rPr>
      <w:tblPr/>
      <w:tcPr>
        <w:shd w:val="clear" w:color="auto" w:fill="FDF3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6D8" w:themeFill="accent3" w:themeFillTint="33"/>
      </w:tcPr>
    </w:tblStylePr>
    <w:tblStylePr w:type="band1Vert">
      <w:tblPr/>
      <w:tcPr>
        <w:shd w:val="clear" w:color="auto" w:fill="F8C29E" w:themeFill="accent3" w:themeFillTint="7F"/>
      </w:tcPr>
    </w:tblStylePr>
    <w:tblStylePr w:type="band1Horz">
      <w:tblPr/>
      <w:tcPr>
        <w:tcBorders>
          <w:insideH w:val="single" w:sz="6" w:space="0" w:color="F1873D" w:themeColor="accent3"/>
          <w:insideV w:val="single" w:sz="6" w:space="0" w:color="F1873D" w:themeColor="accent3"/>
        </w:tcBorders>
        <w:shd w:val="clear" w:color="auto" w:fill="F8C29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E3EB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insideH w:val="single" w:sz="8" w:space="0" w:color="FCC648" w:themeColor="accent4"/>
        <w:insideV w:val="single" w:sz="8" w:space="0" w:color="FCC648" w:themeColor="accent4"/>
      </w:tblBorders>
    </w:tblPr>
    <w:tcPr>
      <w:shd w:val="clear" w:color="auto" w:fill="FEF0D1" w:themeFill="accent4" w:themeFillTint="3F"/>
    </w:tcPr>
    <w:tblStylePr w:type="firstRow">
      <w:rPr>
        <w:b/>
        <w:bCs/>
        <w:color w:val="000000" w:themeColor="text1"/>
      </w:rPr>
      <w:tblPr/>
      <w:tcPr>
        <w:shd w:val="clear" w:color="auto" w:fill="FEF9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3DA" w:themeFill="accent4" w:themeFillTint="33"/>
      </w:tcPr>
    </w:tblStylePr>
    <w:tblStylePr w:type="band1Vert">
      <w:tblPr/>
      <w:tcPr>
        <w:shd w:val="clear" w:color="auto" w:fill="FDE2A3" w:themeFill="accent4" w:themeFillTint="7F"/>
      </w:tcPr>
    </w:tblStylePr>
    <w:tblStylePr w:type="band1Horz">
      <w:tblPr/>
      <w:tcPr>
        <w:tcBorders>
          <w:insideH w:val="single" w:sz="6" w:space="0" w:color="FCC648" w:themeColor="accent4"/>
          <w:insideV w:val="single" w:sz="6" w:space="0" w:color="FCC648" w:themeColor="accent4"/>
        </w:tcBorders>
        <w:shd w:val="clear" w:color="auto" w:fill="FDE2A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E3EB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insideH w:val="single" w:sz="8" w:space="0" w:color="86BE57" w:themeColor="accent5"/>
        <w:insideV w:val="single" w:sz="8" w:space="0" w:color="86BE57" w:themeColor="accent5"/>
      </w:tblBorders>
    </w:tblPr>
    <w:tcPr>
      <w:shd w:val="clear" w:color="auto" w:fill="E1EFD5" w:themeFill="accent5" w:themeFillTint="3F"/>
    </w:tcPr>
    <w:tblStylePr w:type="firstRow">
      <w:rPr>
        <w:b/>
        <w:bCs/>
        <w:color w:val="000000" w:themeColor="text1"/>
      </w:rPr>
      <w:tblPr/>
      <w:tcPr>
        <w:shd w:val="clear" w:color="auto" w:fill="F3F8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2DD" w:themeFill="accent5" w:themeFillTint="33"/>
      </w:tcPr>
    </w:tblStylePr>
    <w:tblStylePr w:type="band1Vert">
      <w:tblPr/>
      <w:tcPr>
        <w:shd w:val="clear" w:color="auto" w:fill="C2DEAB" w:themeFill="accent5" w:themeFillTint="7F"/>
      </w:tcPr>
    </w:tblStylePr>
    <w:tblStylePr w:type="band1Horz">
      <w:tblPr/>
      <w:tcPr>
        <w:tcBorders>
          <w:insideH w:val="single" w:sz="6" w:space="0" w:color="86BE57" w:themeColor="accent5"/>
          <w:insideV w:val="single" w:sz="6" w:space="0" w:color="86BE57" w:themeColor="accent5"/>
        </w:tcBorders>
        <w:shd w:val="clear" w:color="auto" w:fill="C2DEA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EE3EB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cPr>
      <w:shd w:val="clear" w:color="auto" w:fill="DDDFE0" w:themeFill="accent6" w:themeFillTint="3F"/>
    </w:tcPr>
    <w:tblStylePr w:type="firstRow">
      <w:rPr>
        <w:b/>
        <w:bCs/>
        <w:color w:val="000000" w:themeColor="text1"/>
      </w:rPr>
      <w:tblPr/>
      <w:tcPr>
        <w:shd w:val="clear" w:color="auto" w:fill="F1F2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5E6" w:themeFill="accent6" w:themeFillTint="33"/>
      </w:tcPr>
    </w:tblStylePr>
    <w:tblStylePr w:type="band1Vert">
      <w:tblPr/>
      <w:tcPr>
        <w:shd w:val="clear" w:color="auto" w:fill="BBC0C1" w:themeFill="accent6" w:themeFillTint="7F"/>
      </w:tcPr>
    </w:tblStylePr>
    <w:tblStylePr w:type="band1Horz">
      <w:tblPr/>
      <w:tcPr>
        <w:tcBorders>
          <w:insideH w:val="single" w:sz="6" w:space="0" w:color="788183" w:themeColor="accent6"/>
          <w:insideV w:val="single" w:sz="6" w:space="0" w:color="788183" w:themeColor="accent6"/>
        </w:tcBorders>
        <w:shd w:val="clear" w:color="auto" w:fill="BBC0C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EE3EB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EE3EB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CEE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487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487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487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487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9DC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9DC3" w:themeFill="accent1" w:themeFillTint="7F"/>
      </w:tcPr>
    </w:tblStylePr>
  </w:style>
  <w:style w:type="table" w:styleId="MediumGrid3-Accent2">
    <w:name w:val="Medium Grid 3 Accent 2"/>
    <w:basedOn w:val="TableNormal"/>
    <w:uiPriority w:val="69"/>
    <w:semiHidden/>
    <w:rsid w:val="00EE3EB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D2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64E4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64E4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64E4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64E4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A6A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A6A2" w:themeFill="accent2" w:themeFillTint="7F"/>
      </w:tcPr>
    </w:tblStylePr>
  </w:style>
  <w:style w:type="table" w:styleId="MediumGrid3-Accent3">
    <w:name w:val="Medium Grid 3 Accent 3"/>
    <w:basedOn w:val="TableNormal"/>
    <w:uiPriority w:val="69"/>
    <w:semiHidden/>
    <w:rsid w:val="00EE3EB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87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87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87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87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29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29E" w:themeFill="accent3" w:themeFillTint="7F"/>
      </w:tcPr>
    </w:tblStylePr>
  </w:style>
  <w:style w:type="table" w:styleId="MediumGrid3-Accent4">
    <w:name w:val="Medium Grid 3 Accent 4"/>
    <w:basedOn w:val="TableNormal"/>
    <w:uiPriority w:val="69"/>
    <w:semiHidden/>
    <w:rsid w:val="00EE3EB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0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C64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C64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C64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C64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2A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2A3" w:themeFill="accent4" w:themeFillTint="7F"/>
      </w:tcPr>
    </w:tblStylePr>
  </w:style>
  <w:style w:type="table" w:styleId="MediumGrid3-Accent5">
    <w:name w:val="Medium Grid 3 Accent 5"/>
    <w:basedOn w:val="TableNormal"/>
    <w:uiPriority w:val="69"/>
    <w:semiHidden/>
    <w:rsid w:val="00EE3EB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FD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BE5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BE5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BE5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BE5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EA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EAB" w:themeFill="accent5" w:themeFillTint="7F"/>
      </w:tcPr>
    </w:tblStylePr>
  </w:style>
  <w:style w:type="table" w:styleId="MediumGrid3-Accent6">
    <w:name w:val="Medium Grid 3 Accent 6"/>
    <w:basedOn w:val="TableNormal"/>
    <w:uiPriority w:val="69"/>
    <w:semiHidden/>
    <w:rsid w:val="00EE3EB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FE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8818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8818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8818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8818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BC0C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BC0C1" w:themeFill="accent6" w:themeFillTint="7F"/>
      </w:tcPr>
    </w:tblStylePr>
  </w:style>
  <w:style w:type="table" w:styleId="MediumList1">
    <w:name w:val="Medium List 1"/>
    <w:basedOn w:val="TableNormal"/>
    <w:uiPriority w:val="65"/>
    <w:semiHidden/>
    <w:rsid w:val="00EE3EB6"/>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778B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EE3EB6"/>
    <w:pPr>
      <w:spacing w:line="240" w:lineRule="auto"/>
    </w:pPr>
    <w:rPr>
      <w:color w:val="000000" w:themeColor="text1"/>
    </w:rPr>
    <w:tblPr>
      <w:tblStyleRowBandSize w:val="1"/>
      <w:tblStyleColBandSize w:val="1"/>
      <w:tblBorders>
        <w:top w:val="single" w:sz="8" w:space="0" w:color="8D487F" w:themeColor="accent1"/>
        <w:bottom w:val="single" w:sz="8" w:space="0" w:color="8D487F" w:themeColor="accent1"/>
      </w:tblBorders>
    </w:tblPr>
    <w:tblStylePr w:type="firstRow">
      <w:rPr>
        <w:rFonts w:asciiTheme="majorHAnsi" w:eastAsiaTheme="majorEastAsia" w:hAnsiTheme="majorHAnsi" w:cstheme="majorBidi"/>
      </w:rPr>
      <w:tblPr/>
      <w:tcPr>
        <w:tcBorders>
          <w:top w:val="nil"/>
          <w:bottom w:val="single" w:sz="8" w:space="0" w:color="8D487F" w:themeColor="accent1"/>
        </w:tcBorders>
      </w:tcPr>
    </w:tblStylePr>
    <w:tblStylePr w:type="lastRow">
      <w:rPr>
        <w:b/>
        <w:bCs/>
        <w:color w:val="9778B4" w:themeColor="text2"/>
      </w:rPr>
      <w:tblPr/>
      <w:tcPr>
        <w:tcBorders>
          <w:top w:val="single" w:sz="8" w:space="0" w:color="8D487F" w:themeColor="accent1"/>
          <w:bottom w:val="single" w:sz="8" w:space="0" w:color="8D487F" w:themeColor="accent1"/>
        </w:tcBorders>
      </w:tcPr>
    </w:tblStylePr>
    <w:tblStylePr w:type="firstCol">
      <w:rPr>
        <w:b/>
        <w:bCs/>
      </w:rPr>
    </w:tblStylePr>
    <w:tblStylePr w:type="lastCol">
      <w:rPr>
        <w:b/>
        <w:bCs/>
      </w:rPr>
      <w:tblPr/>
      <w:tcPr>
        <w:tcBorders>
          <w:top w:val="single" w:sz="8" w:space="0" w:color="8D487F" w:themeColor="accent1"/>
          <w:bottom w:val="single" w:sz="8" w:space="0" w:color="8D487F" w:themeColor="accent1"/>
        </w:tcBorders>
      </w:tcPr>
    </w:tblStylePr>
    <w:tblStylePr w:type="band1Vert">
      <w:tblPr/>
      <w:tcPr>
        <w:shd w:val="clear" w:color="auto" w:fill="E6CEE1" w:themeFill="accent1" w:themeFillTint="3F"/>
      </w:tcPr>
    </w:tblStylePr>
    <w:tblStylePr w:type="band1Horz">
      <w:tblPr/>
      <w:tcPr>
        <w:shd w:val="clear" w:color="auto" w:fill="E6CEE1" w:themeFill="accent1" w:themeFillTint="3F"/>
      </w:tcPr>
    </w:tblStylePr>
  </w:style>
  <w:style w:type="table" w:styleId="MediumList1-Accent2">
    <w:name w:val="Medium List 1 Accent 2"/>
    <w:basedOn w:val="TableNormal"/>
    <w:uiPriority w:val="65"/>
    <w:semiHidden/>
    <w:rsid w:val="00EE3EB6"/>
    <w:pPr>
      <w:spacing w:line="240" w:lineRule="auto"/>
    </w:pPr>
    <w:rPr>
      <w:color w:val="000000" w:themeColor="text1"/>
    </w:rPr>
    <w:tblPr>
      <w:tblStyleRowBandSize w:val="1"/>
      <w:tblStyleColBandSize w:val="1"/>
      <w:tblBorders>
        <w:top w:val="single" w:sz="8" w:space="0" w:color="C64E45" w:themeColor="accent2"/>
        <w:bottom w:val="single" w:sz="8" w:space="0" w:color="C64E45" w:themeColor="accent2"/>
      </w:tblBorders>
    </w:tblPr>
    <w:tblStylePr w:type="firstRow">
      <w:rPr>
        <w:rFonts w:asciiTheme="majorHAnsi" w:eastAsiaTheme="majorEastAsia" w:hAnsiTheme="majorHAnsi" w:cstheme="majorBidi"/>
      </w:rPr>
      <w:tblPr/>
      <w:tcPr>
        <w:tcBorders>
          <w:top w:val="nil"/>
          <w:bottom w:val="single" w:sz="8" w:space="0" w:color="C64E45" w:themeColor="accent2"/>
        </w:tcBorders>
      </w:tcPr>
    </w:tblStylePr>
    <w:tblStylePr w:type="lastRow">
      <w:rPr>
        <w:b/>
        <w:bCs/>
        <w:color w:val="9778B4" w:themeColor="text2"/>
      </w:rPr>
      <w:tblPr/>
      <w:tcPr>
        <w:tcBorders>
          <w:top w:val="single" w:sz="8" w:space="0" w:color="C64E45" w:themeColor="accent2"/>
          <w:bottom w:val="single" w:sz="8" w:space="0" w:color="C64E45" w:themeColor="accent2"/>
        </w:tcBorders>
      </w:tcPr>
    </w:tblStylePr>
    <w:tblStylePr w:type="firstCol">
      <w:rPr>
        <w:b/>
        <w:bCs/>
      </w:rPr>
    </w:tblStylePr>
    <w:tblStylePr w:type="lastCol">
      <w:rPr>
        <w:b/>
        <w:bCs/>
      </w:rPr>
      <w:tblPr/>
      <w:tcPr>
        <w:tcBorders>
          <w:top w:val="single" w:sz="8" w:space="0" w:color="C64E45" w:themeColor="accent2"/>
          <w:bottom w:val="single" w:sz="8" w:space="0" w:color="C64E45" w:themeColor="accent2"/>
        </w:tcBorders>
      </w:tcPr>
    </w:tblStylePr>
    <w:tblStylePr w:type="band1Vert">
      <w:tblPr/>
      <w:tcPr>
        <w:shd w:val="clear" w:color="auto" w:fill="F1D2D0" w:themeFill="accent2" w:themeFillTint="3F"/>
      </w:tcPr>
    </w:tblStylePr>
    <w:tblStylePr w:type="band1Horz">
      <w:tblPr/>
      <w:tcPr>
        <w:shd w:val="clear" w:color="auto" w:fill="F1D2D0" w:themeFill="accent2" w:themeFillTint="3F"/>
      </w:tcPr>
    </w:tblStylePr>
  </w:style>
  <w:style w:type="table" w:styleId="MediumList1-Accent3">
    <w:name w:val="Medium List 1 Accent 3"/>
    <w:basedOn w:val="TableNormal"/>
    <w:uiPriority w:val="65"/>
    <w:semiHidden/>
    <w:rsid w:val="00EE3EB6"/>
    <w:pPr>
      <w:spacing w:line="240" w:lineRule="auto"/>
    </w:pPr>
    <w:rPr>
      <w:color w:val="000000" w:themeColor="text1"/>
    </w:rPr>
    <w:tblPr>
      <w:tblStyleRowBandSize w:val="1"/>
      <w:tblStyleColBandSize w:val="1"/>
      <w:tblBorders>
        <w:top w:val="single" w:sz="8" w:space="0" w:color="F1873D" w:themeColor="accent3"/>
        <w:bottom w:val="single" w:sz="8" w:space="0" w:color="F1873D" w:themeColor="accent3"/>
      </w:tblBorders>
    </w:tblPr>
    <w:tblStylePr w:type="firstRow">
      <w:rPr>
        <w:rFonts w:asciiTheme="majorHAnsi" w:eastAsiaTheme="majorEastAsia" w:hAnsiTheme="majorHAnsi" w:cstheme="majorBidi"/>
      </w:rPr>
      <w:tblPr/>
      <w:tcPr>
        <w:tcBorders>
          <w:top w:val="nil"/>
          <w:bottom w:val="single" w:sz="8" w:space="0" w:color="F1873D" w:themeColor="accent3"/>
        </w:tcBorders>
      </w:tcPr>
    </w:tblStylePr>
    <w:tblStylePr w:type="lastRow">
      <w:rPr>
        <w:b/>
        <w:bCs/>
        <w:color w:val="9778B4" w:themeColor="text2"/>
      </w:rPr>
      <w:tblPr/>
      <w:tcPr>
        <w:tcBorders>
          <w:top w:val="single" w:sz="8" w:space="0" w:color="F1873D" w:themeColor="accent3"/>
          <w:bottom w:val="single" w:sz="8" w:space="0" w:color="F1873D" w:themeColor="accent3"/>
        </w:tcBorders>
      </w:tcPr>
    </w:tblStylePr>
    <w:tblStylePr w:type="firstCol">
      <w:rPr>
        <w:b/>
        <w:bCs/>
      </w:rPr>
    </w:tblStylePr>
    <w:tblStylePr w:type="lastCol">
      <w:rPr>
        <w:b/>
        <w:bCs/>
      </w:rPr>
      <w:tblPr/>
      <w:tcPr>
        <w:tcBorders>
          <w:top w:val="single" w:sz="8" w:space="0" w:color="F1873D" w:themeColor="accent3"/>
          <w:bottom w:val="single" w:sz="8" w:space="0" w:color="F1873D" w:themeColor="accent3"/>
        </w:tcBorders>
      </w:tcPr>
    </w:tblStylePr>
    <w:tblStylePr w:type="band1Vert">
      <w:tblPr/>
      <w:tcPr>
        <w:shd w:val="clear" w:color="auto" w:fill="FBE1CE" w:themeFill="accent3" w:themeFillTint="3F"/>
      </w:tcPr>
    </w:tblStylePr>
    <w:tblStylePr w:type="band1Horz">
      <w:tblPr/>
      <w:tcPr>
        <w:shd w:val="clear" w:color="auto" w:fill="FBE1CE" w:themeFill="accent3" w:themeFillTint="3F"/>
      </w:tcPr>
    </w:tblStylePr>
  </w:style>
  <w:style w:type="table" w:styleId="MediumList1-Accent4">
    <w:name w:val="Medium List 1 Accent 4"/>
    <w:basedOn w:val="TableNormal"/>
    <w:uiPriority w:val="65"/>
    <w:semiHidden/>
    <w:rsid w:val="00EE3EB6"/>
    <w:pPr>
      <w:spacing w:line="240" w:lineRule="auto"/>
    </w:pPr>
    <w:rPr>
      <w:color w:val="000000" w:themeColor="text1"/>
    </w:rPr>
    <w:tblPr>
      <w:tblStyleRowBandSize w:val="1"/>
      <w:tblStyleColBandSize w:val="1"/>
      <w:tblBorders>
        <w:top w:val="single" w:sz="8" w:space="0" w:color="FCC648" w:themeColor="accent4"/>
        <w:bottom w:val="single" w:sz="8" w:space="0" w:color="FCC648" w:themeColor="accent4"/>
      </w:tblBorders>
    </w:tblPr>
    <w:tblStylePr w:type="firstRow">
      <w:rPr>
        <w:rFonts w:asciiTheme="majorHAnsi" w:eastAsiaTheme="majorEastAsia" w:hAnsiTheme="majorHAnsi" w:cstheme="majorBidi"/>
      </w:rPr>
      <w:tblPr/>
      <w:tcPr>
        <w:tcBorders>
          <w:top w:val="nil"/>
          <w:bottom w:val="single" w:sz="8" w:space="0" w:color="FCC648" w:themeColor="accent4"/>
        </w:tcBorders>
      </w:tcPr>
    </w:tblStylePr>
    <w:tblStylePr w:type="lastRow">
      <w:rPr>
        <w:b/>
        <w:bCs/>
        <w:color w:val="9778B4" w:themeColor="text2"/>
      </w:rPr>
      <w:tblPr/>
      <w:tcPr>
        <w:tcBorders>
          <w:top w:val="single" w:sz="8" w:space="0" w:color="FCC648" w:themeColor="accent4"/>
          <w:bottom w:val="single" w:sz="8" w:space="0" w:color="FCC648" w:themeColor="accent4"/>
        </w:tcBorders>
      </w:tcPr>
    </w:tblStylePr>
    <w:tblStylePr w:type="firstCol">
      <w:rPr>
        <w:b/>
        <w:bCs/>
      </w:rPr>
    </w:tblStylePr>
    <w:tblStylePr w:type="lastCol">
      <w:rPr>
        <w:b/>
        <w:bCs/>
      </w:rPr>
      <w:tblPr/>
      <w:tcPr>
        <w:tcBorders>
          <w:top w:val="single" w:sz="8" w:space="0" w:color="FCC648" w:themeColor="accent4"/>
          <w:bottom w:val="single" w:sz="8" w:space="0" w:color="FCC648" w:themeColor="accent4"/>
        </w:tcBorders>
      </w:tcPr>
    </w:tblStylePr>
    <w:tblStylePr w:type="band1Vert">
      <w:tblPr/>
      <w:tcPr>
        <w:shd w:val="clear" w:color="auto" w:fill="FEF0D1" w:themeFill="accent4" w:themeFillTint="3F"/>
      </w:tcPr>
    </w:tblStylePr>
    <w:tblStylePr w:type="band1Horz">
      <w:tblPr/>
      <w:tcPr>
        <w:shd w:val="clear" w:color="auto" w:fill="FEF0D1" w:themeFill="accent4" w:themeFillTint="3F"/>
      </w:tcPr>
    </w:tblStylePr>
  </w:style>
  <w:style w:type="table" w:styleId="MediumList1-Accent5">
    <w:name w:val="Medium List 1 Accent 5"/>
    <w:basedOn w:val="TableNormal"/>
    <w:uiPriority w:val="65"/>
    <w:semiHidden/>
    <w:rsid w:val="00EE3EB6"/>
    <w:pPr>
      <w:spacing w:line="240" w:lineRule="auto"/>
    </w:pPr>
    <w:rPr>
      <w:color w:val="000000" w:themeColor="text1"/>
    </w:rPr>
    <w:tblPr>
      <w:tblStyleRowBandSize w:val="1"/>
      <w:tblStyleColBandSize w:val="1"/>
      <w:tblBorders>
        <w:top w:val="single" w:sz="8" w:space="0" w:color="86BE57" w:themeColor="accent5"/>
        <w:bottom w:val="single" w:sz="8" w:space="0" w:color="86BE57" w:themeColor="accent5"/>
      </w:tblBorders>
    </w:tblPr>
    <w:tblStylePr w:type="firstRow">
      <w:rPr>
        <w:rFonts w:asciiTheme="majorHAnsi" w:eastAsiaTheme="majorEastAsia" w:hAnsiTheme="majorHAnsi" w:cstheme="majorBidi"/>
      </w:rPr>
      <w:tblPr/>
      <w:tcPr>
        <w:tcBorders>
          <w:top w:val="nil"/>
          <w:bottom w:val="single" w:sz="8" w:space="0" w:color="86BE57" w:themeColor="accent5"/>
        </w:tcBorders>
      </w:tcPr>
    </w:tblStylePr>
    <w:tblStylePr w:type="lastRow">
      <w:rPr>
        <w:b/>
        <w:bCs/>
        <w:color w:val="9778B4" w:themeColor="text2"/>
      </w:rPr>
      <w:tblPr/>
      <w:tcPr>
        <w:tcBorders>
          <w:top w:val="single" w:sz="8" w:space="0" w:color="86BE57" w:themeColor="accent5"/>
          <w:bottom w:val="single" w:sz="8" w:space="0" w:color="86BE57" w:themeColor="accent5"/>
        </w:tcBorders>
      </w:tcPr>
    </w:tblStylePr>
    <w:tblStylePr w:type="firstCol">
      <w:rPr>
        <w:b/>
        <w:bCs/>
      </w:rPr>
    </w:tblStylePr>
    <w:tblStylePr w:type="lastCol">
      <w:rPr>
        <w:b/>
        <w:bCs/>
      </w:rPr>
      <w:tblPr/>
      <w:tcPr>
        <w:tcBorders>
          <w:top w:val="single" w:sz="8" w:space="0" w:color="86BE57" w:themeColor="accent5"/>
          <w:bottom w:val="single" w:sz="8" w:space="0" w:color="86BE57" w:themeColor="accent5"/>
        </w:tcBorders>
      </w:tcPr>
    </w:tblStylePr>
    <w:tblStylePr w:type="band1Vert">
      <w:tblPr/>
      <w:tcPr>
        <w:shd w:val="clear" w:color="auto" w:fill="E1EFD5" w:themeFill="accent5" w:themeFillTint="3F"/>
      </w:tcPr>
    </w:tblStylePr>
    <w:tblStylePr w:type="band1Horz">
      <w:tblPr/>
      <w:tcPr>
        <w:shd w:val="clear" w:color="auto" w:fill="E1EFD5" w:themeFill="accent5" w:themeFillTint="3F"/>
      </w:tcPr>
    </w:tblStylePr>
  </w:style>
  <w:style w:type="table" w:styleId="MediumList1-Accent6">
    <w:name w:val="Medium List 1 Accent 6"/>
    <w:basedOn w:val="TableNormal"/>
    <w:uiPriority w:val="65"/>
    <w:semiHidden/>
    <w:rsid w:val="00EE3EB6"/>
    <w:pPr>
      <w:spacing w:line="240" w:lineRule="auto"/>
    </w:pPr>
    <w:rPr>
      <w:color w:val="000000" w:themeColor="text1"/>
    </w:rPr>
    <w:tblPr>
      <w:tblStyleRowBandSize w:val="1"/>
      <w:tblStyleColBandSize w:val="1"/>
      <w:tblBorders>
        <w:top w:val="single" w:sz="8" w:space="0" w:color="788183" w:themeColor="accent6"/>
        <w:bottom w:val="single" w:sz="8" w:space="0" w:color="788183" w:themeColor="accent6"/>
      </w:tblBorders>
    </w:tblPr>
    <w:tblStylePr w:type="firstRow">
      <w:rPr>
        <w:rFonts w:asciiTheme="majorHAnsi" w:eastAsiaTheme="majorEastAsia" w:hAnsiTheme="majorHAnsi" w:cstheme="majorBidi"/>
      </w:rPr>
      <w:tblPr/>
      <w:tcPr>
        <w:tcBorders>
          <w:top w:val="nil"/>
          <w:bottom w:val="single" w:sz="8" w:space="0" w:color="788183" w:themeColor="accent6"/>
        </w:tcBorders>
      </w:tcPr>
    </w:tblStylePr>
    <w:tblStylePr w:type="lastRow">
      <w:rPr>
        <w:b/>
        <w:bCs/>
        <w:color w:val="9778B4" w:themeColor="text2"/>
      </w:rPr>
      <w:tblPr/>
      <w:tcPr>
        <w:tcBorders>
          <w:top w:val="single" w:sz="8" w:space="0" w:color="788183" w:themeColor="accent6"/>
          <w:bottom w:val="single" w:sz="8" w:space="0" w:color="788183" w:themeColor="accent6"/>
        </w:tcBorders>
      </w:tcPr>
    </w:tblStylePr>
    <w:tblStylePr w:type="firstCol">
      <w:rPr>
        <w:b/>
        <w:bCs/>
      </w:rPr>
    </w:tblStylePr>
    <w:tblStylePr w:type="lastCol">
      <w:rPr>
        <w:b/>
        <w:bCs/>
      </w:rPr>
      <w:tblPr/>
      <w:tcPr>
        <w:tcBorders>
          <w:top w:val="single" w:sz="8" w:space="0" w:color="788183" w:themeColor="accent6"/>
          <w:bottom w:val="single" w:sz="8" w:space="0" w:color="788183" w:themeColor="accent6"/>
        </w:tcBorders>
      </w:tcPr>
    </w:tblStylePr>
    <w:tblStylePr w:type="band1Vert">
      <w:tblPr/>
      <w:tcPr>
        <w:shd w:val="clear" w:color="auto" w:fill="DDDFE0" w:themeFill="accent6" w:themeFillTint="3F"/>
      </w:tcPr>
    </w:tblStylePr>
    <w:tblStylePr w:type="band1Horz">
      <w:tblPr/>
      <w:tcPr>
        <w:shd w:val="clear" w:color="auto" w:fill="DDDFE0" w:themeFill="accent6" w:themeFillTint="3F"/>
      </w:tcPr>
    </w:tblStylePr>
  </w:style>
  <w:style w:type="table" w:styleId="MediumList2">
    <w:name w:val="Medium List 2"/>
    <w:basedOn w:val="TableNormal"/>
    <w:uiPriority w:val="66"/>
    <w:semiHidden/>
    <w:rsid w:val="00EE3EB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E3EB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tblBorders>
    </w:tblPr>
    <w:tblStylePr w:type="firstRow">
      <w:rPr>
        <w:sz w:val="24"/>
        <w:szCs w:val="24"/>
      </w:rPr>
      <w:tblPr/>
      <w:tcPr>
        <w:tcBorders>
          <w:top w:val="nil"/>
          <w:left w:val="nil"/>
          <w:bottom w:val="single" w:sz="24" w:space="0" w:color="8D487F" w:themeColor="accent1"/>
          <w:right w:val="nil"/>
          <w:insideH w:val="nil"/>
          <w:insideV w:val="nil"/>
        </w:tcBorders>
        <w:shd w:val="clear" w:color="auto" w:fill="FFFFFF" w:themeFill="background1"/>
      </w:tcPr>
    </w:tblStylePr>
    <w:tblStylePr w:type="lastRow">
      <w:tblPr/>
      <w:tcPr>
        <w:tcBorders>
          <w:top w:val="single" w:sz="8" w:space="0" w:color="8D487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487F" w:themeColor="accent1"/>
          <w:insideH w:val="nil"/>
          <w:insideV w:val="nil"/>
        </w:tcBorders>
        <w:shd w:val="clear" w:color="auto" w:fill="FFFFFF" w:themeFill="background1"/>
      </w:tcPr>
    </w:tblStylePr>
    <w:tblStylePr w:type="lastCol">
      <w:tblPr/>
      <w:tcPr>
        <w:tcBorders>
          <w:top w:val="nil"/>
          <w:left w:val="single" w:sz="8" w:space="0" w:color="8D487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CEE1" w:themeFill="accent1" w:themeFillTint="3F"/>
      </w:tcPr>
    </w:tblStylePr>
    <w:tblStylePr w:type="band1Horz">
      <w:tblPr/>
      <w:tcPr>
        <w:tcBorders>
          <w:top w:val="nil"/>
          <w:bottom w:val="nil"/>
          <w:insideH w:val="nil"/>
          <w:insideV w:val="nil"/>
        </w:tcBorders>
        <w:shd w:val="clear" w:color="auto" w:fill="E6CEE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E3EB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tblBorders>
    </w:tblPr>
    <w:tblStylePr w:type="firstRow">
      <w:rPr>
        <w:sz w:val="24"/>
        <w:szCs w:val="24"/>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tblPr/>
      <w:tcPr>
        <w:tcBorders>
          <w:top w:val="single" w:sz="8" w:space="0" w:color="C64E45"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64E45" w:themeColor="accent2"/>
          <w:insideH w:val="nil"/>
          <w:insideV w:val="nil"/>
        </w:tcBorders>
        <w:shd w:val="clear" w:color="auto" w:fill="FFFFFF" w:themeFill="background1"/>
      </w:tcPr>
    </w:tblStylePr>
    <w:tblStylePr w:type="lastCol">
      <w:tblPr/>
      <w:tcPr>
        <w:tcBorders>
          <w:top w:val="nil"/>
          <w:left w:val="single" w:sz="8" w:space="0" w:color="C64E4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D2D0" w:themeFill="accent2" w:themeFillTint="3F"/>
      </w:tcPr>
    </w:tblStylePr>
    <w:tblStylePr w:type="band1Horz">
      <w:tblPr/>
      <w:tcPr>
        <w:tcBorders>
          <w:top w:val="nil"/>
          <w:bottom w:val="nil"/>
          <w:insideH w:val="nil"/>
          <w:insideV w:val="nil"/>
        </w:tcBorders>
        <w:shd w:val="clear" w:color="auto" w:fill="F1D2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E3EB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tblBorders>
    </w:tblPr>
    <w:tblStylePr w:type="firstRow">
      <w:rPr>
        <w:sz w:val="24"/>
        <w:szCs w:val="24"/>
      </w:rPr>
      <w:tblPr/>
      <w:tcPr>
        <w:tcBorders>
          <w:top w:val="nil"/>
          <w:left w:val="nil"/>
          <w:bottom w:val="single" w:sz="24" w:space="0" w:color="F1873D" w:themeColor="accent3"/>
          <w:right w:val="nil"/>
          <w:insideH w:val="nil"/>
          <w:insideV w:val="nil"/>
        </w:tcBorders>
        <w:shd w:val="clear" w:color="auto" w:fill="FFFFFF" w:themeFill="background1"/>
      </w:tcPr>
    </w:tblStylePr>
    <w:tblStylePr w:type="lastRow">
      <w:tblPr/>
      <w:tcPr>
        <w:tcBorders>
          <w:top w:val="single" w:sz="8" w:space="0" w:color="F1873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873D" w:themeColor="accent3"/>
          <w:insideH w:val="nil"/>
          <w:insideV w:val="nil"/>
        </w:tcBorders>
        <w:shd w:val="clear" w:color="auto" w:fill="FFFFFF" w:themeFill="background1"/>
      </w:tcPr>
    </w:tblStylePr>
    <w:tblStylePr w:type="lastCol">
      <w:tblPr/>
      <w:tcPr>
        <w:tcBorders>
          <w:top w:val="nil"/>
          <w:left w:val="single" w:sz="8" w:space="0" w:color="F187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CE" w:themeFill="accent3" w:themeFillTint="3F"/>
      </w:tcPr>
    </w:tblStylePr>
    <w:tblStylePr w:type="band1Horz">
      <w:tblPr/>
      <w:tcPr>
        <w:tcBorders>
          <w:top w:val="nil"/>
          <w:bottom w:val="nil"/>
          <w:insideH w:val="nil"/>
          <w:insideV w:val="nil"/>
        </w:tcBorders>
        <w:shd w:val="clear" w:color="auto" w:fill="FBE1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E3EB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tblBorders>
    </w:tblPr>
    <w:tblStylePr w:type="firstRow">
      <w:rPr>
        <w:sz w:val="24"/>
        <w:szCs w:val="24"/>
      </w:rPr>
      <w:tblPr/>
      <w:tcPr>
        <w:tcBorders>
          <w:top w:val="nil"/>
          <w:left w:val="nil"/>
          <w:bottom w:val="single" w:sz="24" w:space="0" w:color="FCC648" w:themeColor="accent4"/>
          <w:right w:val="nil"/>
          <w:insideH w:val="nil"/>
          <w:insideV w:val="nil"/>
        </w:tcBorders>
        <w:shd w:val="clear" w:color="auto" w:fill="FFFFFF" w:themeFill="background1"/>
      </w:tcPr>
    </w:tblStylePr>
    <w:tblStylePr w:type="lastRow">
      <w:tblPr/>
      <w:tcPr>
        <w:tcBorders>
          <w:top w:val="single" w:sz="8" w:space="0" w:color="FCC64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C648" w:themeColor="accent4"/>
          <w:insideH w:val="nil"/>
          <w:insideV w:val="nil"/>
        </w:tcBorders>
        <w:shd w:val="clear" w:color="auto" w:fill="FFFFFF" w:themeFill="background1"/>
      </w:tcPr>
    </w:tblStylePr>
    <w:tblStylePr w:type="lastCol">
      <w:tblPr/>
      <w:tcPr>
        <w:tcBorders>
          <w:top w:val="nil"/>
          <w:left w:val="single" w:sz="8" w:space="0" w:color="FCC64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0D1" w:themeFill="accent4" w:themeFillTint="3F"/>
      </w:tcPr>
    </w:tblStylePr>
    <w:tblStylePr w:type="band1Horz">
      <w:tblPr/>
      <w:tcPr>
        <w:tcBorders>
          <w:top w:val="nil"/>
          <w:bottom w:val="nil"/>
          <w:insideH w:val="nil"/>
          <w:insideV w:val="nil"/>
        </w:tcBorders>
        <w:shd w:val="clear" w:color="auto" w:fill="FEF0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E3EB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tblBorders>
    </w:tblPr>
    <w:tblStylePr w:type="firstRow">
      <w:rPr>
        <w:sz w:val="24"/>
        <w:szCs w:val="24"/>
      </w:rPr>
      <w:tblPr/>
      <w:tcPr>
        <w:tcBorders>
          <w:top w:val="nil"/>
          <w:left w:val="nil"/>
          <w:bottom w:val="single" w:sz="24" w:space="0" w:color="86BE57" w:themeColor="accent5"/>
          <w:right w:val="nil"/>
          <w:insideH w:val="nil"/>
          <w:insideV w:val="nil"/>
        </w:tcBorders>
        <w:shd w:val="clear" w:color="auto" w:fill="FFFFFF" w:themeFill="background1"/>
      </w:tcPr>
    </w:tblStylePr>
    <w:tblStylePr w:type="lastRow">
      <w:tblPr/>
      <w:tcPr>
        <w:tcBorders>
          <w:top w:val="single" w:sz="8" w:space="0" w:color="86BE5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BE57" w:themeColor="accent5"/>
          <w:insideH w:val="nil"/>
          <w:insideV w:val="nil"/>
        </w:tcBorders>
        <w:shd w:val="clear" w:color="auto" w:fill="FFFFFF" w:themeFill="background1"/>
      </w:tcPr>
    </w:tblStylePr>
    <w:tblStylePr w:type="lastCol">
      <w:tblPr/>
      <w:tcPr>
        <w:tcBorders>
          <w:top w:val="nil"/>
          <w:left w:val="single" w:sz="8" w:space="0" w:color="86BE5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FD5" w:themeFill="accent5" w:themeFillTint="3F"/>
      </w:tcPr>
    </w:tblStylePr>
    <w:tblStylePr w:type="band1Horz">
      <w:tblPr/>
      <w:tcPr>
        <w:tcBorders>
          <w:top w:val="nil"/>
          <w:bottom w:val="nil"/>
          <w:insideH w:val="nil"/>
          <w:insideV w:val="nil"/>
        </w:tcBorders>
        <w:shd w:val="clear" w:color="auto" w:fill="E1EFD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EE3EB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tblBorders>
    </w:tblPr>
    <w:tblStylePr w:type="firstRow">
      <w:rPr>
        <w:sz w:val="24"/>
        <w:szCs w:val="24"/>
      </w:rPr>
      <w:tblPr/>
      <w:tcPr>
        <w:tcBorders>
          <w:top w:val="nil"/>
          <w:left w:val="nil"/>
          <w:bottom w:val="single" w:sz="24" w:space="0" w:color="788183" w:themeColor="accent6"/>
          <w:right w:val="nil"/>
          <w:insideH w:val="nil"/>
          <w:insideV w:val="nil"/>
        </w:tcBorders>
        <w:shd w:val="clear" w:color="auto" w:fill="FFFFFF" w:themeFill="background1"/>
      </w:tcPr>
    </w:tblStylePr>
    <w:tblStylePr w:type="lastRow">
      <w:tblPr/>
      <w:tcPr>
        <w:tcBorders>
          <w:top w:val="single" w:sz="8" w:space="0" w:color="78818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88183" w:themeColor="accent6"/>
          <w:insideH w:val="nil"/>
          <w:insideV w:val="nil"/>
        </w:tcBorders>
        <w:shd w:val="clear" w:color="auto" w:fill="FFFFFF" w:themeFill="background1"/>
      </w:tcPr>
    </w:tblStylePr>
    <w:tblStylePr w:type="lastCol">
      <w:tblPr/>
      <w:tcPr>
        <w:tcBorders>
          <w:top w:val="nil"/>
          <w:left w:val="single" w:sz="8" w:space="0" w:color="78818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FE0" w:themeFill="accent6" w:themeFillTint="3F"/>
      </w:tcPr>
    </w:tblStylePr>
    <w:tblStylePr w:type="band1Horz">
      <w:tblPr/>
      <w:tcPr>
        <w:tcBorders>
          <w:top w:val="nil"/>
          <w:bottom w:val="nil"/>
          <w:insideH w:val="nil"/>
          <w:insideV w:val="nil"/>
        </w:tcBorders>
        <w:shd w:val="clear" w:color="auto" w:fill="DDDFE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EE3EB6"/>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EE3EB6"/>
    <w:pPr>
      <w:spacing w:line="240" w:lineRule="auto"/>
    </w:pPr>
    <w:tblPr>
      <w:tblStyleRowBandSize w:val="1"/>
      <w:tblStyleColBandSize w:val="1"/>
      <w:tblBorders>
        <w:top w:val="single" w:sz="8"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single" w:sz="8" w:space="0" w:color="B36BA5" w:themeColor="accent1" w:themeTint="BF"/>
      </w:tblBorders>
    </w:tblPr>
    <w:tblStylePr w:type="firstRow">
      <w:pPr>
        <w:spacing w:before="0" w:after="0" w:line="240" w:lineRule="auto"/>
      </w:pPr>
      <w:rPr>
        <w:b/>
        <w:bCs/>
        <w:color w:val="FFFFFF" w:themeColor="background1"/>
      </w:rPr>
      <w:tblPr/>
      <w:tcPr>
        <w:tcBorders>
          <w:top w:val="single" w:sz="8"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nil"/>
          <w:insideV w:val="nil"/>
        </w:tcBorders>
        <w:shd w:val="clear" w:color="auto" w:fill="8D487F" w:themeFill="accent1"/>
      </w:tcPr>
    </w:tblStylePr>
    <w:tblStylePr w:type="lastRow">
      <w:pPr>
        <w:spacing w:before="0" w:after="0" w:line="240" w:lineRule="auto"/>
      </w:pPr>
      <w:rPr>
        <w:b/>
        <w:bCs/>
      </w:rPr>
      <w:tblPr/>
      <w:tcPr>
        <w:tcBorders>
          <w:top w:val="double" w:sz="6"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E6CEE1" w:themeFill="accent1" w:themeFillTint="3F"/>
      </w:tcPr>
    </w:tblStylePr>
    <w:tblStylePr w:type="band1Horz">
      <w:tblPr/>
      <w:tcPr>
        <w:tcBorders>
          <w:insideH w:val="nil"/>
          <w:insideV w:val="nil"/>
        </w:tcBorders>
        <w:shd w:val="clear" w:color="auto" w:fill="E6CEE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E3EB6"/>
    <w:pPr>
      <w:spacing w:line="240" w:lineRule="auto"/>
    </w:pPr>
    <w:tblPr>
      <w:tblStyleRowBandSize w:val="1"/>
      <w:tblStyleColBandSize w:val="1"/>
      <w:tblBorders>
        <w:top w:val="single" w:sz="8"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single" w:sz="8" w:space="0" w:color="D47973" w:themeColor="accent2" w:themeTint="BF"/>
      </w:tblBorders>
    </w:tblPr>
    <w:tblStylePr w:type="firstRow">
      <w:pPr>
        <w:spacing w:before="0" w:after="0" w:line="240" w:lineRule="auto"/>
      </w:pPr>
      <w:rPr>
        <w:b/>
        <w:bCs/>
        <w:color w:val="FFFFFF" w:themeColor="background1"/>
      </w:rPr>
      <w:tblPr/>
      <w:tcPr>
        <w:tcBorders>
          <w:top w:val="single" w:sz="8"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nil"/>
          <w:insideV w:val="nil"/>
        </w:tcBorders>
        <w:shd w:val="clear" w:color="auto" w:fill="C64E45" w:themeFill="accent2"/>
      </w:tcPr>
    </w:tblStylePr>
    <w:tblStylePr w:type="lastRow">
      <w:pPr>
        <w:spacing w:before="0" w:after="0" w:line="240" w:lineRule="auto"/>
      </w:pPr>
      <w:rPr>
        <w:b/>
        <w:bCs/>
      </w:rPr>
      <w:tblPr/>
      <w:tcPr>
        <w:tcBorders>
          <w:top w:val="double" w:sz="6"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D2D0" w:themeFill="accent2" w:themeFillTint="3F"/>
      </w:tcPr>
    </w:tblStylePr>
    <w:tblStylePr w:type="band1Horz">
      <w:tblPr/>
      <w:tcPr>
        <w:tcBorders>
          <w:insideH w:val="nil"/>
          <w:insideV w:val="nil"/>
        </w:tcBorders>
        <w:shd w:val="clear" w:color="auto" w:fill="F1D2D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E3EB6"/>
    <w:pPr>
      <w:spacing w:line="240" w:lineRule="auto"/>
    </w:pPr>
    <w:tblPr>
      <w:tblStyleRowBandSize w:val="1"/>
      <w:tblStyleColBandSize w:val="1"/>
      <w:tblBorders>
        <w:top w:val="single" w:sz="8"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single" w:sz="8" w:space="0" w:color="F4A46D" w:themeColor="accent3" w:themeTint="BF"/>
      </w:tblBorders>
    </w:tblPr>
    <w:tblStylePr w:type="firstRow">
      <w:pPr>
        <w:spacing w:before="0" w:after="0" w:line="240" w:lineRule="auto"/>
      </w:pPr>
      <w:rPr>
        <w:b/>
        <w:bCs/>
        <w:color w:val="FFFFFF" w:themeColor="background1"/>
      </w:rPr>
      <w:tblPr/>
      <w:tcPr>
        <w:tcBorders>
          <w:top w:val="single" w:sz="8"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nil"/>
          <w:insideV w:val="nil"/>
        </w:tcBorders>
        <w:shd w:val="clear" w:color="auto" w:fill="F1873D" w:themeFill="accent3"/>
      </w:tcPr>
    </w:tblStylePr>
    <w:tblStylePr w:type="lastRow">
      <w:pPr>
        <w:spacing w:before="0" w:after="0" w:line="240" w:lineRule="auto"/>
      </w:pPr>
      <w:rPr>
        <w:b/>
        <w:bCs/>
      </w:rPr>
      <w:tblPr/>
      <w:tcPr>
        <w:tcBorders>
          <w:top w:val="double" w:sz="6"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E1CE" w:themeFill="accent3" w:themeFillTint="3F"/>
      </w:tcPr>
    </w:tblStylePr>
    <w:tblStylePr w:type="band1Horz">
      <w:tblPr/>
      <w:tcPr>
        <w:tcBorders>
          <w:insideH w:val="nil"/>
          <w:insideV w:val="nil"/>
        </w:tcBorders>
        <w:shd w:val="clear" w:color="auto" w:fill="FBE1C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E3EB6"/>
    <w:pPr>
      <w:spacing w:line="240" w:lineRule="auto"/>
    </w:pPr>
    <w:tblPr>
      <w:tblStyleRowBandSize w:val="1"/>
      <w:tblStyleColBandSize w:val="1"/>
      <w:tblBorders>
        <w:top w:val="single" w:sz="8"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single" w:sz="8" w:space="0" w:color="FCD475" w:themeColor="accent4" w:themeTint="BF"/>
      </w:tblBorders>
    </w:tblPr>
    <w:tblStylePr w:type="firstRow">
      <w:pPr>
        <w:spacing w:before="0" w:after="0" w:line="240" w:lineRule="auto"/>
      </w:pPr>
      <w:rPr>
        <w:b/>
        <w:bCs/>
        <w:color w:val="FFFFFF" w:themeColor="background1"/>
      </w:rPr>
      <w:tblPr/>
      <w:tcPr>
        <w:tcBorders>
          <w:top w:val="single" w:sz="8"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nil"/>
          <w:insideV w:val="nil"/>
        </w:tcBorders>
        <w:shd w:val="clear" w:color="auto" w:fill="FCC648" w:themeFill="accent4"/>
      </w:tcPr>
    </w:tblStylePr>
    <w:tblStylePr w:type="lastRow">
      <w:pPr>
        <w:spacing w:before="0" w:after="0" w:line="240" w:lineRule="auto"/>
      </w:pPr>
      <w:rPr>
        <w:b/>
        <w:bCs/>
      </w:rPr>
      <w:tblPr/>
      <w:tcPr>
        <w:tcBorders>
          <w:top w:val="double" w:sz="6"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0D1" w:themeFill="accent4" w:themeFillTint="3F"/>
      </w:tcPr>
    </w:tblStylePr>
    <w:tblStylePr w:type="band1Horz">
      <w:tblPr/>
      <w:tcPr>
        <w:tcBorders>
          <w:insideH w:val="nil"/>
          <w:insideV w:val="nil"/>
        </w:tcBorders>
        <w:shd w:val="clear" w:color="auto" w:fill="FEF0D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E3EB6"/>
    <w:pPr>
      <w:spacing w:line="240" w:lineRule="auto"/>
    </w:pPr>
    <w:tblPr>
      <w:tblStyleRowBandSize w:val="1"/>
      <w:tblStyleColBandSize w:val="1"/>
      <w:tblBorders>
        <w:top w:val="single" w:sz="8"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single" w:sz="8" w:space="0" w:color="A4CE81" w:themeColor="accent5" w:themeTint="BF"/>
      </w:tblBorders>
    </w:tblPr>
    <w:tblStylePr w:type="firstRow">
      <w:pPr>
        <w:spacing w:before="0" w:after="0" w:line="240" w:lineRule="auto"/>
      </w:pPr>
      <w:rPr>
        <w:b/>
        <w:bCs/>
        <w:color w:val="FFFFFF" w:themeColor="background1"/>
      </w:rPr>
      <w:tblPr/>
      <w:tcPr>
        <w:tcBorders>
          <w:top w:val="single" w:sz="8"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nil"/>
          <w:insideV w:val="nil"/>
        </w:tcBorders>
        <w:shd w:val="clear" w:color="auto" w:fill="86BE57" w:themeFill="accent5"/>
      </w:tcPr>
    </w:tblStylePr>
    <w:tblStylePr w:type="lastRow">
      <w:pPr>
        <w:spacing w:before="0" w:after="0" w:line="240" w:lineRule="auto"/>
      </w:pPr>
      <w:rPr>
        <w:b/>
        <w:bCs/>
      </w:rPr>
      <w:tblPr/>
      <w:tcPr>
        <w:tcBorders>
          <w:top w:val="double" w:sz="6"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EFD5" w:themeFill="accent5" w:themeFillTint="3F"/>
      </w:tcPr>
    </w:tblStylePr>
    <w:tblStylePr w:type="band1Horz">
      <w:tblPr/>
      <w:tcPr>
        <w:tcBorders>
          <w:insideH w:val="nil"/>
          <w:insideV w:val="nil"/>
        </w:tcBorders>
        <w:shd w:val="clear" w:color="auto" w:fill="E1EFD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EE3EB6"/>
    <w:pPr>
      <w:spacing w:line="240" w:lineRule="auto"/>
    </w:pPr>
    <w:tblPr>
      <w:tblStyleRowBandSize w:val="1"/>
      <w:tblStyleColBandSize w:val="1"/>
      <w:tblBorders>
        <w:top w:val="single" w:sz="8"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single" w:sz="8" w:space="0" w:color="99A0A2" w:themeColor="accent6" w:themeTint="BF"/>
      </w:tblBorders>
    </w:tblPr>
    <w:tblStylePr w:type="firstRow">
      <w:pPr>
        <w:spacing w:before="0" w:after="0" w:line="240" w:lineRule="auto"/>
      </w:pPr>
      <w:rPr>
        <w:b/>
        <w:bCs/>
        <w:color w:val="FFFFFF" w:themeColor="background1"/>
      </w:rPr>
      <w:tblPr/>
      <w:tcPr>
        <w:tcBorders>
          <w:top w:val="single" w:sz="8"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nil"/>
          <w:insideV w:val="nil"/>
        </w:tcBorders>
        <w:shd w:val="clear" w:color="auto" w:fill="788183" w:themeFill="accent6"/>
      </w:tcPr>
    </w:tblStylePr>
    <w:tblStylePr w:type="lastRow">
      <w:pPr>
        <w:spacing w:before="0" w:after="0" w:line="240" w:lineRule="auto"/>
      </w:pPr>
      <w:rPr>
        <w:b/>
        <w:bCs/>
      </w:rPr>
      <w:tblPr/>
      <w:tcPr>
        <w:tcBorders>
          <w:top w:val="double" w:sz="6"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nil"/>
          <w:insideV w:val="nil"/>
        </w:tcBorders>
      </w:tcPr>
    </w:tblStylePr>
    <w:tblStylePr w:type="firstCol">
      <w:rPr>
        <w:b/>
        <w:bCs/>
      </w:rPr>
    </w:tblStylePr>
    <w:tblStylePr w:type="lastCol">
      <w:rPr>
        <w:b/>
        <w:bCs/>
      </w:rPr>
    </w:tblStylePr>
    <w:tblStylePr w:type="band1Vert">
      <w:tblPr/>
      <w:tcPr>
        <w:shd w:val="clear" w:color="auto" w:fill="DDDFE0" w:themeFill="accent6" w:themeFillTint="3F"/>
      </w:tcPr>
    </w:tblStylePr>
    <w:tblStylePr w:type="band1Horz">
      <w:tblPr/>
      <w:tcPr>
        <w:tcBorders>
          <w:insideH w:val="nil"/>
          <w:insideV w:val="nil"/>
        </w:tcBorders>
        <w:shd w:val="clear" w:color="auto" w:fill="DDDFE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EE3EB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EE3EB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487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D487F" w:themeFill="accent1"/>
      </w:tcPr>
    </w:tblStylePr>
    <w:tblStylePr w:type="lastCol">
      <w:rPr>
        <w:b/>
        <w:bCs/>
        <w:color w:val="FFFFFF" w:themeColor="background1"/>
      </w:rPr>
      <w:tblPr/>
      <w:tcPr>
        <w:tcBorders>
          <w:left w:val="nil"/>
          <w:right w:val="nil"/>
          <w:insideH w:val="nil"/>
          <w:insideV w:val="nil"/>
        </w:tcBorders>
        <w:shd w:val="clear" w:color="auto" w:fill="8D487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E3EB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64E4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64E45" w:themeFill="accent2"/>
      </w:tcPr>
    </w:tblStylePr>
    <w:tblStylePr w:type="lastCol">
      <w:rPr>
        <w:b/>
        <w:bCs/>
        <w:color w:val="FFFFFF" w:themeColor="background1"/>
      </w:rPr>
      <w:tblPr/>
      <w:tcPr>
        <w:tcBorders>
          <w:left w:val="nil"/>
          <w:right w:val="nil"/>
          <w:insideH w:val="nil"/>
          <w:insideV w:val="nil"/>
        </w:tcBorders>
        <w:shd w:val="clear" w:color="auto" w:fill="C64E4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E3EB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87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873D" w:themeFill="accent3"/>
      </w:tcPr>
    </w:tblStylePr>
    <w:tblStylePr w:type="lastCol">
      <w:rPr>
        <w:b/>
        <w:bCs/>
        <w:color w:val="FFFFFF" w:themeColor="background1"/>
      </w:rPr>
      <w:tblPr/>
      <w:tcPr>
        <w:tcBorders>
          <w:left w:val="nil"/>
          <w:right w:val="nil"/>
          <w:insideH w:val="nil"/>
          <w:insideV w:val="nil"/>
        </w:tcBorders>
        <w:shd w:val="clear" w:color="auto" w:fill="F187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E3EB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C64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CC648" w:themeFill="accent4"/>
      </w:tcPr>
    </w:tblStylePr>
    <w:tblStylePr w:type="lastCol">
      <w:rPr>
        <w:b/>
        <w:bCs/>
        <w:color w:val="FFFFFF" w:themeColor="background1"/>
      </w:rPr>
      <w:tblPr/>
      <w:tcPr>
        <w:tcBorders>
          <w:left w:val="nil"/>
          <w:right w:val="nil"/>
          <w:insideH w:val="nil"/>
          <w:insideV w:val="nil"/>
        </w:tcBorders>
        <w:shd w:val="clear" w:color="auto" w:fill="FCC64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E3EB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E5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E57" w:themeFill="accent5"/>
      </w:tcPr>
    </w:tblStylePr>
    <w:tblStylePr w:type="lastCol">
      <w:rPr>
        <w:b/>
        <w:bCs/>
        <w:color w:val="FFFFFF" w:themeColor="background1"/>
      </w:rPr>
      <w:tblPr/>
      <w:tcPr>
        <w:tcBorders>
          <w:left w:val="nil"/>
          <w:right w:val="nil"/>
          <w:insideH w:val="nil"/>
          <w:insideV w:val="nil"/>
        </w:tcBorders>
        <w:shd w:val="clear" w:color="auto" w:fill="86BE5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EE3EB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8818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88183" w:themeFill="accent6"/>
      </w:tcPr>
    </w:tblStylePr>
    <w:tblStylePr w:type="lastCol">
      <w:rPr>
        <w:b/>
        <w:bCs/>
        <w:color w:val="FFFFFF" w:themeColor="background1"/>
      </w:rPr>
      <w:tblPr/>
      <w:tcPr>
        <w:tcBorders>
          <w:left w:val="nil"/>
          <w:right w:val="nil"/>
          <w:insideH w:val="nil"/>
          <w:insideV w:val="nil"/>
        </w:tcBorders>
        <w:shd w:val="clear" w:color="auto" w:fill="78818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
    <w:name w:val="Plain Table 1"/>
    <w:basedOn w:val="TableNormal"/>
    <w:uiPriority w:val="41"/>
    <w:semiHidden/>
    <w:rsid w:val="00EE3EB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semiHidden/>
    <w:rsid w:val="00EE3EB6"/>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semiHidden/>
    <w:rsid w:val="00EE3EB6"/>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semiHidden/>
    <w:rsid w:val="00EE3EB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semiHidden/>
    <w:rsid w:val="00EE3EB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Light">
    <w:name w:val="Grid Table Light"/>
    <w:basedOn w:val="TableNormal"/>
    <w:uiPriority w:val="40"/>
    <w:semiHidden/>
    <w:rsid w:val="00EE3EB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Continue3">
    <w:name w:val="List Continue 3"/>
    <w:basedOn w:val="Normal"/>
    <w:rsid w:val="00503B7F"/>
    <w:pPr>
      <w:spacing w:before="120"/>
      <w:ind w:left="851"/>
    </w:pPr>
  </w:style>
  <w:style w:type="paragraph" w:styleId="ListNumber4">
    <w:name w:val="List Number 4"/>
    <w:basedOn w:val="Normal"/>
    <w:rsid w:val="00D264C9"/>
    <w:pPr>
      <w:numPr>
        <w:ilvl w:val="3"/>
        <w:numId w:val="23"/>
      </w:numPr>
      <w:spacing w:before="120"/>
      <w:ind w:left="1135"/>
    </w:pPr>
  </w:style>
  <w:style w:type="paragraph" w:styleId="ListNumber5">
    <w:name w:val="List Number 5"/>
    <w:basedOn w:val="Normal"/>
    <w:rsid w:val="00D264C9"/>
    <w:pPr>
      <w:numPr>
        <w:ilvl w:val="4"/>
        <w:numId w:val="23"/>
      </w:numPr>
      <w:spacing w:before="120"/>
      <w:ind w:left="1418"/>
    </w:pPr>
  </w:style>
  <w:style w:type="paragraph" w:styleId="ListContinue4">
    <w:name w:val="List Continue 4"/>
    <w:basedOn w:val="Normal"/>
    <w:rsid w:val="00503B7F"/>
    <w:pPr>
      <w:spacing w:before="120" w:after="60"/>
      <w:ind w:left="1134"/>
    </w:pPr>
  </w:style>
  <w:style w:type="paragraph" w:styleId="ListContinue5">
    <w:name w:val="List Continue 5"/>
    <w:basedOn w:val="Normal"/>
    <w:rsid w:val="00503B7F"/>
    <w:pPr>
      <w:spacing w:before="120"/>
      <w:ind w:left="1418"/>
    </w:pPr>
  </w:style>
  <w:style w:type="table" w:customStyle="1" w:styleId="BoxPlaceholder">
    <w:name w:val="Box Placeholder"/>
    <w:basedOn w:val="TableNormal"/>
    <w:uiPriority w:val="99"/>
    <w:rsid w:val="00BC0200"/>
    <w:pPr>
      <w:spacing w:line="240" w:lineRule="auto"/>
    </w:pPr>
    <w:tblPr>
      <w:tblInd w:w="142" w:type="dxa"/>
      <w:tblCellMar>
        <w:top w:w="113" w:type="dxa"/>
        <w:left w:w="142" w:type="dxa"/>
        <w:bottom w:w="113" w:type="dxa"/>
        <w:right w:w="142" w:type="dxa"/>
      </w:tblCellMar>
    </w:tblPr>
    <w:tcPr>
      <w:shd w:val="clear" w:color="auto" w:fill="E3E5E6" w:themeFill="accent6" w:themeFillTint="33"/>
    </w:tcPr>
  </w:style>
  <w:style w:type="character" w:styleId="PlaceholderText">
    <w:name w:val="Placeholder Text"/>
    <w:basedOn w:val="DefaultParagraphFont"/>
    <w:rsid w:val="004D58BA"/>
    <w:rPr>
      <w:color w:val="808080"/>
    </w:rPr>
  </w:style>
  <w:style w:type="table" w:customStyle="1" w:styleId="PBOFinancial">
    <w:name w:val="PBO Financial"/>
    <w:basedOn w:val="TableNormal"/>
    <w:uiPriority w:val="99"/>
    <w:rsid w:val="00456DEB"/>
    <w:pPr>
      <w:spacing w:before="40" w:after="40" w:line="240" w:lineRule="auto"/>
      <w:jc w:val="right"/>
    </w:pPr>
    <w:rPr>
      <w:sz w:val="20"/>
    </w:rPr>
    <w:tblPr>
      <w:tblCellMar>
        <w:top w:w="11" w:type="dxa"/>
        <w:left w:w="0" w:type="dxa"/>
        <w:bottom w:w="11" w:type="dxa"/>
        <w:right w:w="0" w:type="dxa"/>
      </w:tblCellMar>
    </w:tblPr>
    <w:tblStylePr w:type="firstRow">
      <w:rPr>
        <w:b w:val="0"/>
      </w:rPr>
      <w:tblPr/>
      <w:tcPr>
        <w:tcBorders>
          <w:top w:val="nil"/>
          <w:left w:val="nil"/>
          <w:bottom w:val="single" w:sz="4" w:space="0" w:color="auto"/>
          <w:right w:val="nil"/>
          <w:insideH w:val="nil"/>
          <w:insideV w:val="nil"/>
          <w:tl2br w:val="nil"/>
          <w:tr2bl w:val="nil"/>
        </w:tcBorders>
        <w:tcMar>
          <w:top w:w="11" w:type="dxa"/>
          <w:left w:w="0" w:type="nil"/>
          <w:bottom w:w="11" w:type="dxa"/>
          <w:right w:w="57" w:type="dxa"/>
        </w:tcMar>
      </w:tcPr>
    </w:tblStylePr>
    <w:tblStylePr w:type="lastRow">
      <w:rPr>
        <w:b w:val="0"/>
      </w:rPr>
      <w:tblPr/>
      <w:tcPr>
        <w:tcBorders>
          <w:top w:val="single" w:sz="4" w:space="0" w:color="auto"/>
          <w:left w:val="nil"/>
          <w:bottom w:val="single" w:sz="4" w:space="0" w:color="auto"/>
          <w:right w:val="nil"/>
          <w:insideH w:val="nil"/>
          <w:insideV w:val="nil"/>
          <w:tl2br w:val="nil"/>
          <w:tr2bl w:val="nil"/>
        </w:tcBorders>
      </w:tcPr>
    </w:tblStylePr>
    <w:tblStylePr w:type="firstCol">
      <w:pPr>
        <w:jc w:val="left"/>
      </w:pPr>
      <w:tblPr/>
      <w:tcPr>
        <w:tcMar>
          <w:top w:w="28" w:type="dxa"/>
          <w:left w:w="0" w:type="nil"/>
          <w:bottom w:w="28" w:type="dxa"/>
          <w:right w:w="57" w:type="dxa"/>
        </w:tcMar>
      </w:tcPr>
    </w:tblStylePr>
    <w:tblStylePr w:type="swCell">
      <w:rPr>
        <w:b/>
      </w:rPr>
    </w:tblStylePr>
  </w:style>
  <w:style w:type="paragraph" w:customStyle="1" w:styleId="xTableDecorativeA">
    <w:name w:val="xTableDecorativeA"/>
    <w:basedOn w:val="Normal"/>
    <w:next w:val="Normal"/>
    <w:uiPriority w:val="99"/>
    <w:semiHidden/>
    <w:qFormat/>
    <w:rsid w:val="00FD3658"/>
    <w:pPr>
      <w:keepNext/>
      <w:keepLines/>
      <w:spacing w:line="80" w:lineRule="exact"/>
    </w:pPr>
    <w:rPr>
      <w:b/>
      <w:sz w:val="14"/>
    </w:rPr>
  </w:style>
  <w:style w:type="paragraph" w:customStyle="1" w:styleId="PullQuote">
    <w:name w:val="Pull Quote"/>
    <w:basedOn w:val="Normal"/>
    <w:qFormat/>
    <w:rsid w:val="006242BA"/>
    <w:pPr>
      <w:keepNext/>
      <w:keepLines/>
      <w:spacing w:before="120" w:after="120"/>
    </w:pPr>
    <w:rPr>
      <w:b/>
    </w:rPr>
  </w:style>
  <w:style w:type="paragraph" w:customStyle="1" w:styleId="Heading2NoNumbering">
    <w:name w:val="Heading 2 No Numbering"/>
    <w:basedOn w:val="Heading2"/>
    <w:qFormat/>
    <w:rsid w:val="00904D3B"/>
    <w:pPr>
      <w:numPr>
        <w:ilvl w:val="0"/>
        <w:numId w:val="0"/>
      </w:numPr>
    </w:pPr>
  </w:style>
  <w:style w:type="paragraph" w:customStyle="1" w:styleId="AppendixHeading4">
    <w:name w:val="Appendix Heading 4"/>
    <w:basedOn w:val="Normal"/>
    <w:next w:val="BodyText"/>
    <w:uiPriority w:val="30"/>
    <w:qFormat/>
    <w:rsid w:val="0081085D"/>
    <w:pPr>
      <w:spacing w:before="310" w:after="110" w:line="240" w:lineRule="auto"/>
    </w:pPr>
    <w:rPr>
      <w:rFonts w:asciiTheme="majorHAnsi" w:hAnsiTheme="majorHAnsi"/>
      <w:i/>
      <w:color w:val="000000" w:themeColor="text1"/>
      <w:sz w:val="23"/>
    </w:rPr>
  </w:style>
  <w:style w:type="paragraph" w:customStyle="1" w:styleId="AppendixHeading5">
    <w:name w:val="Appendix Heading 5"/>
    <w:basedOn w:val="Normal"/>
    <w:next w:val="BodyText"/>
    <w:uiPriority w:val="30"/>
    <w:qFormat/>
    <w:rsid w:val="0081085D"/>
    <w:pPr>
      <w:spacing w:before="310" w:after="110" w:line="240" w:lineRule="auto"/>
    </w:pPr>
    <w:rPr>
      <w:rFonts w:asciiTheme="majorHAnsi" w:hAnsiTheme="majorHAnsi"/>
      <w:i/>
      <w:color w:val="3D4D7D" w:themeColor="background2"/>
      <w:sz w:val="23"/>
    </w:rPr>
  </w:style>
  <w:style w:type="paragraph" w:customStyle="1" w:styleId="Heading3NoNumbering">
    <w:name w:val="Heading 3 No Numbering"/>
    <w:basedOn w:val="Heading3"/>
    <w:next w:val="BodyText"/>
    <w:qFormat/>
    <w:rsid w:val="00B245AF"/>
  </w:style>
  <w:style w:type="numbering" w:customStyle="1" w:styleId="Bullets">
    <w:name w:val="Bullets"/>
    <w:uiPriority w:val="99"/>
    <w:rsid w:val="005050DA"/>
    <w:pPr>
      <w:numPr>
        <w:numId w:val="14"/>
      </w:numPr>
    </w:pPr>
  </w:style>
  <w:style w:type="numbering" w:customStyle="1" w:styleId="NumberedList">
    <w:name w:val="NumberedList"/>
    <w:uiPriority w:val="99"/>
    <w:rsid w:val="005050DA"/>
    <w:pPr>
      <w:numPr>
        <w:numId w:val="17"/>
      </w:numPr>
    </w:pPr>
  </w:style>
  <w:style w:type="paragraph" w:customStyle="1" w:styleId="CaptionDescriptor">
    <w:name w:val="Caption Descriptor"/>
    <w:basedOn w:val="Caption"/>
    <w:qFormat/>
    <w:rsid w:val="007C0767"/>
    <w:rPr>
      <w:b w:val="0"/>
      <w:sz w:val="20"/>
    </w:rPr>
  </w:style>
  <w:style w:type="table" w:customStyle="1" w:styleId="TablePlaceholder">
    <w:name w:val="Table Placeholder"/>
    <w:basedOn w:val="TableNormal"/>
    <w:uiPriority w:val="99"/>
    <w:rsid w:val="00B366ED"/>
    <w:tblPr>
      <w:tblCellMar>
        <w:left w:w="0" w:type="dxa"/>
        <w:right w:w="0" w:type="dxa"/>
      </w:tblCellMar>
    </w:tblPr>
  </w:style>
  <w:style w:type="paragraph" w:customStyle="1" w:styleId="CaptionLeft">
    <w:name w:val="Caption Left"/>
    <w:basedOn w:val="Caption"/>
    <w:next w:val="BodyText"/>
    <w:qFormat/>
    <w:rsid w:val="00233BE7"/>
    <w:pPr>
      <w:jc w:val="left"/>
    </w:pPr>
  </w:style>
  <w:style w:type="paragraph" w:customStyle="1" w:styleId="TableSubheading">
    <w:name w:val="Table Subheading"/>
    <w:basedOn w:val="TableText"/>
    <w:qFormat/>
    <w:rsid w:val="000B3F9F"/>
    <w:rPr>
      <w:b/>
      <w:szCs w:val="20"/>
    </w:rPr>
  </w:style>
  <w:style w:type="paragraph" w:customStyle="1" w:styleId="TableHeadingBlueAllCaps">
    <w:name w:val="Table Heading Blue All Caps"/>
    <w:basedOn w:val="TableText"/>
    <w:qFormat/>
    <w:rsid w:val="000B3F9F"/>
    <w:rPr>
      <w:b/>
      <w:caps/>
      <w:color w:val="3D4D7D" w:themeColor="background2"/>
      <w:szCs w:val="20"/>
    </w:rPr>
  </w:style>
  <w:style w:type="paragraph" w:customStyle="1" w:styleId="PBOtext">
    <w:name w:val="PBO text"/>
    <w:basedOn w:val="Normal"/>
    <w:link w:val="PBOtextChar"/>
    <w:qFormat/>
    <w:rsid w:val="00DF4EF3"/>
    <w:pPr>
      <w:spacing w:before="300" w:after="300" w:line="240" w:lineRule="auto"/>
    </w:pPr>
    <w:rPr>
      <w:rFonts w:ascii="Calibri" w:eastAsia="Cambria" w:hAnsi="Calibri" w:cs="Times New Roman"/>
      <w:lang w:eastAsia="en-AU"/>
    </w:rPr>
  </w:style>
  <w:style w:type="character" w:customStyle="1" w:styleId="PBOtextChar">
    <w:name w:val="PBO text Char"/>
    <w:basedOn w:val="DefaultParagraphFont"/>
    <w:link w:val="PBOtext"/>
    <w:rsid w:val="00DF4EF3"/>
    <w:rPr>
      <w:rFonts w:ascii="Calibri" w:eastAsia="Cambria" w:hAnsi="Calibri" w:cs="Times New Roman"/>
      <w:lang w:eastAsia="en-AU"/>
    </w:rPr>
  </w:style>
  <w:style w:type="paragraph" w:styleId="NormalWeb">
    <w:name w:val="Normal (Web)"/>
    <w:basedOn w:val="Normal"/>
    <w:uiPriority w:val="99"/>
    <w:semiHidden/>
    <w:unhideWhenUsed/>
    <w:rsid w:val="00DF4EF3"/>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customStyle="1" w:styleId="PBOheading1">
    <w:name w:val="PBO heading 1"/>
    <w:basedOn w:val="Heading1"/>
    <w:next w:val="Normal"/>
    <w:uiPriority w:val="1"/>
    <w:qFormat/>
    <w:rsid w:val="00E86239"/>
    <w:pPr>
      <w:keepLines w:val="0"/>
      <w:numPr>
        <w:numId w:val="0"/>
      </w:numPr>
      <w:pBdr>
        <w:bottom w:val="single" w:sz="4" w:space="1" w:color="264A76"/>
      </w:pBdr>
      <w:tabs>
        <w:tab w:val="clear" w:pos="1418"/>
        <w:tab w:val="clear" w:pos="1701"/>
        <w:tab w:val="clear" w:pos="1985"/>
      </w:tabs>
      <w:spacing w:before="680" w:after="480" w:line="240" w:lineRule="auto"/>
    </w:pPr>
    <w:rPr>
      <w:rFonts w:ascii="Georgia" w:eastAsia="Times New Roman" w:hAnsi="Georgia" w:cs="Times New Roman"/>
      <w:color w:val="264A76"/>
      <w:sz w:val="50"/>
      <w:szCs w:val="24"/>
    </w:rPr>
  </w:style>
  <w:style w:type="character" w:styleId="FollowedHyperlink">
    <w:name w:val="FollowedHyperlink"/>
    <w:basedOn w:val="DefaultParagraphFont"/>
    <w:semiHidden/>
    <w:unhideWhenUsed/>
    <w:rsid w:val="00E9526A"/>
    <w:rPr>
      <w:color w:val="3D4D7D" w:themeColor="followedHyperlink"/>
      <w:u w:val="single"/>
    </w:rPr>
  </w:style>
  <w:style w:type="paragraph" w:styleId="Revision">
    <w:name w:val="Revision"/>
    <w:hidden/>
    <w:uiPriority w:val="99"/>
    <w:semiHidden/>
    <w:rsid w:val="008A113A"/>
    <w:pPr>
      <w:spacing w:line="240" w:lineRule="auto"/>
    </w:pPr>
  </w:style>
  <w:style w:type="character" w:styleId="Emphasis">
    <w:name w:val="Emphasis"/>
    <w:basedOn w:val="DefaultParagraphFont"/>
    <w:uiPriority w:val="20"/>
    <w:qFormat/>
    <w:rsid w:val="00FF0F7B"/>
    <w:rPr>
      <w:i/>
      <w:iCs/>
    </w:rPr>
  </w:style>
  <w:style w:type="character" w:styleId="Strong">
    <w:name w:val="Strong"/>
    <w:basedOn w:val="DefaultParagraphFont"/>
    <w:uiPriority w:val="22"/>
    <w:qFormat/>
    <w:rsid w:val="00FF0F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737">
      <w:bodyDiv w:val="1"/>
      <w:marLeft w:val="0"/>
      <w:marRight w:val="0"/>
      <w:marTop w:val="0"/>
      <w:marBottom w:val="0"/>
      <w:divBdr>
        <w:top w:val="none" w:sz="0" w:space="0" w:color="auto"/>
        <w:left w:val="none" w:sz="0" w:space="0" w:color="auto"/>
        <w:bottom w:val="none" w:sz="0" w:space="0" w:color="auto"/>
        <w:right w:val="none" w:sz="0" w:space="0" w:color="auto"/>
      </w:divBdr>
    </w:div>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330834566">
      <w:bodyDiv w:val="1"/>
      <w:marLeft w:val="0"/>
      <w:marRight w:val="0"/>
      <w:marTop w:val="0"/>
      <w:marBottom w:val="0"/>
      <w:divBdr>
        <w:top w:val="none" w:sz="0" w:space="0" w:color="auto"/>
        <w:left w:val="none" w:sz="0" w:space="0" w:color="auto"/>
        <w:bottom w:val="none" w:sz="0" w:space="0" w:color="auto"/>
        <w:right w:val="none" w:sz="0" w:space="0" w:color="auto"/>
      </w:divBdr>
      <w:divsChild>
        <w:div w:id="223109137">
          <w:marLeft w:val="0"/>
          <w:marRight w:val="0"/>
          <w:marTop w:val="0"/>
          <w:marBottom w:val="0"/>
          <w:divBdr>
            <w:top w:val="none" w:sz="0" w:space="0" w:color="auto"/>
            <w:left w:val="none" w:sz="0" w:space="0" w:color="auto"/>
            <w:bottom w:val="none" w:sz="0" w:space="0" w:color="auto"/>
            <w:right w:val="none" w:sz="0" w:space="0" w:color="auto"/>
          </w:divBdr>
          <w:divsChild>
            <w:div w:id="741025151">
              <w:marLeft w:val="0"/>
              <w:marRight w:val="0"/>
              <w:marTop w:val="0"/>
              <w:marBottom w:val="0"/>
              <w:divBdr>
                <w:top w:val="none" w:sz="0" w:space="0" w:color="auto"/>
                <w:left w:val="none" w:sz="0" w:space="0" w:color="auto"/>
                <w:bottom w:val="none" w:sz="0" w:space="0" w:color="auto"/>
                <w:right w:val="none" w:sz="0" w:space="0" w:color="auto"/>
              </w:divBdr>
              <w:divsChild>
                <w:div w:id="1535339432">
                  <w:marLeft w:val="0"/>
                  <w:marRight w:val="0"/>
                  <w:marTop w:val="0"/>
                  <w:marBottom w:val="0"/>
                  <w:divBdr>
                    <w:top w:val="none" w:sz="0" w:space="0" w:color="auto"/>
                    <w:left w:val="none" w:sz="0" w:space="0" w:color="auto"/>
                    <w:bottom w:val="none" w:sz="0" w:space="0" w:color="auto"/>
                    <w:right w:val="none" w:sz="0" w:space="0" w:color="auto"/>
                  </w:divBdr>
                  <w:divsChild>
                    <w:div w:id="78991348">
                      <w:marLeft w:val="0"/>
                      <w:marRight w:val="0"/>
                      <w:marTop w:val="0"/>
                      <w:marBottom w:val="0"/>
                      <w:divBdr>
                        <w:top w:val="none" w:sz="0" w:space="0" w:color="auto"/>
                        <w:left w:val="none" w:sz="0" w:space="0" w:color="auto"/>
                        <w:bottom w:val="none" w:sz="0" w:space="0" w:color="auto"/>
                        <w:right w:val="none" w:sz="0" w:space="0" w:color="auto"/>
                      </w:divBdr>
                      <w:divsChild>
                        <w:div w:id="1613709276">
                          <w:marLeft w:val="0"/>
                          <w:marRight w:val="0"/>
                          <w:marTop w:val="0"/>
                          <w:marBottom w:val="0"/>
                          <w:divBdr>
                            <w:top w:val="none" w:sz="0" w:space="0" w:color="auto"/>
                            <w:left w:val="none" w:sz="0" w:space="0" w:color="auto"/>
                            <w:bottom w:val="none" w:sz="0" w:space="0" w:color="auto"/>
                            <w:right w:val="none" w:sz="0" w:space="0" w:color="auto"/>
                          </w:divBdr>
                          <w:divsChild>
                            <w:div w:id="2137328343">
                              <w:marLeft w:val="0"/>
                              <w:marRight w:val="0"/>
                              <w:marTop w:val="0"/>
                              <w:marBottom w:val="0"/>
                              <w:divBdr>
                                <w:top w:val="none" w:sz="0" w:space="0" w:color="auto"/>
                                <w:left w:val="none" w:sz="0" w:space="0" w:color="auto"/>
                                <w:bottom w:val="none" w:sz="0" w:space="0" w:color="auto"/>
                                <w:right w:val="none" w:sz="0" w:space="0" w:color="auto"/>
                              </w:divBdr>
                              <w:divsChild>
                                <w:div w:id="595947568">
                                  <w:marLeft w:val="0"/>
                                  <w:marRight w:val="0"/>
                                  <w:marTop w:val="0"/>
                                  <w:marBottom w:val="0"/>
                                  <w:divBdr>
                                    <w:top w:val="none" w:sz="0" w:space="0" w:color="auto"/>
                                    <w:left w:val="none" w:sz="0" w:space="0" w:color="auto"/>
                                    <w:bottom w:val="none" w:sz="0" w:space="0" w:color="auto"/>
                                    <w:right w:val="none" w:sz="0" w:space="0" w:color="auto"/>
                                  </w:divBdr>
                                  <w:divsChild>
                                    <w:div w:id="14874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281955">
      <w:bodyDiv w:val="1"/>
      <w:marLeft w:val="0"/>
      <w:marRight w:val="0"/>
      <w:marTop w:val="0"/>
      <w:marBottom w:val="0"/>
      <w:divBdr>
        <w:top w:val="none" w:sz="0" w:space="0" w:color="auto"/>
        <w:left w:val="none" w:sz="0" w:space="0" w:color="auto"/>
        <w:bottom w:val="none" w:sz="0" w:space="0" w:color="auto"/>
        <w:right w:val="none" w:sz="0" w:space="0" w:color="auto"/>
      </w:divBdr>
    </w:div>
    <w:div w:id="1263227147">
      <w:bodyDiv w:val="1"/>
      <w:marLeft w:val="0"/>
      <w:marRight w:val="0"/>
      <w:marTop w:val="0"/>
      <w:marBottom w:val="0"/>
      <w:divBdr>
        <w:top w:val="none" w:sz="0" w:space="0" w:color="auto"/>
        <w:left w:val="none" w:sz="0" w:space="0" w:color="auto"/>
        <w:bottom w:val="none" w:sz="0" w:space="0" w:color="auto"/>
        <w:right w:val="none" w:sz="0" w:space="0" w:color="auto"/>
      </w:divBdr>
    </w:div>
    <w:div w:id="1665233909">
      <w:bodyDiv w:val="1"/>
      <w:marLeft w:val="0"/>
      <w:marRight w:val="0"/>
      <w:marTop w:val="0"/>
      <w:marBottom w:val="0"/>
      <w:divBdr>
        <w:top w:val="none" w:sz="0" w:space="0" w:color="auto"/>
        <w:left w:val="none" w:sz="0" w:space="0" w:color="auto"/>
        <w:bottom w:val="none" w:sz="0" w:space="0" w:color="auto"/>
        <w:right w:val="none" w:sz="0" w:space="0" w:color="auto"/>
      </w:divBdr>
    </w:div>
    <w:div w:id="1738672791">
      <w:bodyDiv w:val="1"/>
      <w:marLeft w:val="0"/>
      <w:marRight w:val="0"/>
      <w:marTop w:val="0"/>
      <w:marBottom w:val="0"/>
      <w:divBdr>
        <w:top w:val="none" w:sz="0" w:space="0" w:color="auto"/>
        <w:left w:val="none" w:sz="0" w:space="0" w:color="auto"/>
        <w:bottom w:val="none" w:sz="0" w:space="0" w:color="auto"/>
        <w:right w:val="none" w:sz="0" w:space="0" w:color="auto"/>
      </w:divBdr>
    </w:div>
    <w:div w:id="182970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ph.gov.au/About_Parliament/Parliamentary_Departments/Parliamentary_Budget_Office/General_elections/2019_general_election/2019_Post-election_report" TargetMode="External"/><Relationship Id="rId117" Type="http://schemas.openxmlformats.org/officeDocument/2006/relationships/hyperlink" Target="https://www.aph.gov.au/About_Parliament/Parliamentary_Departments/Parliamentary_Budget_Office/General_elections/2019_general_election/~/media/8CC862073C124E329F7294086FE22FCF.ashx" TargetMode="External"/><Relationship Id="rId21" Type="http://schemas.openxmlformats.org/officeDocument/2006/relationships/footer" Target="footer3.xml"/><Relationship Id="rId42" Type="http://schemas.openxmlformats.org/officeDocument/2006/relationships/hyperlink" Target="https://www.aph.gov.au/~/media/05%20About%20Parliament/54%20Parliamentary%20Depts/548%20Parliamentary%20Budget%20Office/Reports/Information%20ppapers/What%20is%20a%20Parliamentary%20Budget%20Office%20Costing%20PDF.pdf?la=en" TargetMode="External"/><Relationship Id="rId47" Type="http://schemas.openxmlformats.org/officeDocument/2006/relationships/hyperlink" Target="https://www.abs.gov.au/AUSSTATS/abs@.nsf/Lookup/4240.0Main+Features102018?OpenDocument" TargetMode="External"/><Relationship Id="rId63" Type="http://schemas.openxmlformats.org/officeDocument/2006/relationships/hyperlink" Target="https://www.pc.gov.au/inquiries/completed/migrant-intake/report/migrant-intake-supplementa.pdf" TargetMode="External"/><Relationship Id="rId68" Type="http://schemas.openxmlformats.org/officeDocument/2006/relationships/hyperlink" Target="https://www.aph.gov.au/~/media/05%20About%20Parliament/54%20Parliamentary%20Depts/548%20Parliamentary%20Budget%20Office/Publicly%20released%20costings/Revenue%20implications%20of%20setting%20mandatory%20Government%20fleet%20electric%20vehicle%20purchasing%20targets%20PDF.pdf?la=en" TargetMode="External"/><Relationship Id="rId84" Type="http://schemas.openxmlformats.org/officeDocument/2006/relationships/hyperlink" Target="https://webarchive.nationalarchives.gov.uk/20140206160303/http:/www.hmrc.gov.uk/budget2012/excheq-income-tax-2042.htm" TargetMode="External"/><Relationship Id="rId89" Type="http://schemas.openxmlformats.org/officeDocument/2006/relationships/hyperlink" Target="https://www.aph.gov.au/About_Parliament/Parliamentary_Departments/Parliamentary_Budget_Office/General_elections/2019_general_election/~/media/E92850600A374948BE4582C7C4AA0CAA.ashx" TargetMode="External"/><Relationship Id="rId112" Type="http://schemas.openxmlformats.org/officeDocument/2006/relationships/hyperlink" Target="https://www.aph.gov.au/About_Parliament/Parliamentary_Departments/Parliamentary_Budget_Office/General_elections/2019_general_election/~/media/24C29073D562412EB352A316B0AB0E07.ashx" TargetMode="External"/><Relationship Id="rId133" Type="http://schemas.openxmlformats.org/officeDocument/2006/relationships/hyperlink" Target="https://www.aph.gov.au/About_Parliament/Parliamentary_Departments/Parliamentary_Budget_Office/General_elections/2019_general_election/~/media/1C157FB5C4B74C27BC9EC6072D7A716B.ashx" TargetMode="External"/><Relationship Id="rId138" Type="http://schemas.openxmlformats.org/officeDocument/2006/relationships/hyperlink" Target="https://www.aph.gov.au/About_Parliament/Parliamentary_Departments/Parliamentary_Budget_Office/General_elections/2019_general_election/~/media/1294557551FD4E6D95967AF9EB627FAD.ashx" TargetMode="External"/><Relationship Id="rId16" Type="http://schemas.openxmlformats.org/officeDocument/2006/relationships/header" Target="header4.xml"/><Relationship Id="rId107" Type="http://schemas.openxmlformats.org/officeDocument/2006/relationships/hyperlink" Target="https://www.aph.gov.au/About_Parliament/Parliamentary_Departments/Parliamentary_Budget_Office/General_elections/2019_general_election/~/media/BDF10D0B99D74067AAD8786C70A55324.ashx" TargetMode="External"/><Relationship Id="rId11" Type="http://schemas.openxmlformats.org/officeDocument/2006/relationships/header" Target="header3.xml"/><Relationship Id="rId32" Type="http://schemas.openxmlformats.org/officeDocument/2006/relationships/hyperlink" Target="https://www.aph.gov.au/About_Parliament/Parliamentary_Departments/Parliamentary_Budget_Office/General_elections/2019_general_election/~/media/0F005B6CE169460E9E8AA2B207A5E3C5.ashx" TargetMode="External"/><Relationship Id="rId37" Type="http://schemas.openxmlformats.org/officeDocument/2006/relationships/hyperlink" Target="https://www.aph.gov.au/About_Parliament/Parliamentary_Departments/Parliamentary_Budget_Office/General_elections/2019_general_election/2019_Post-election_report" TargetMode="External"/><Relationship Id="rId53" Type="http://schemas.openxmlformats.org/officeDocument/2006/relationships/hyperlink" Target="https://melbourneinstitute.unimelb.edu.au/downloads/working_paper_series/wp2011n26.pdf" TargetMode="External"/><Relationship Id="rId58" Type="http://schemas.openxmlformats.org/officeDocument/2006/relationships/hyperlink" Target="https://www.aph.gov.au/About_Parliament/Parliamentary_Departments/Parliamentary_Budget_Office/General_elections/2019_general_election/~/media/D8D1ADB4D2F249B29486EB03082D87F2.ashx" TargetMode="External"/><Relationship Id="rId74" Type="http://schemas.openxmlformats.org/officeDocument/2006/relationships/hyperlink" Target="https://www.aph.gov.au/About_Parliament/Parliamentary_Departments/Parliamentary_Budget_Office/General_elections/2019_general_election/~/media/BC1BAC9C714441439786F301CE07F562.ashx" TargetMode="External"/><Relationship Id="rId79" Type="http://schemas.openxmlformats.org/officeDocument/2006/relationships/hyperlink" Target="https://www.aph.gov.au/About_Parliament/Parliamentary_Departments/Parliamentary_Budget_Office/General_elections/2019_general_election/~/media/5990BC1D3A8B4AEDA0A43BBD4DB615E6.ashx" TargetMode="External"/><Relationship Id="rId102" Type="http://schemas.openxmlformats.org/officeDocument/2006/relationships/hyperlink" Target="https://www.aph.gov.au/~/media/05%20About%20Parliament/54%20Parliamentary%20Depts/548%20Parliamentary%20Budget%20Office/Publicly%20released%20costings/Revenue%20implications%20of%20changes%20to%20vehicle%20taxation%20measures%20%20Fringe%20benefits%20tax%20exemption%20PDF.pdf?la=en" TargetMode="External"/><Relationship Id="rId123" Type="http://schemas.openxmlformats.org/officeDocument/2006/relationships/hyperlink" Target="https://www.stockbrokers.org.au/wp-content/uploads/2018/05/Removing-the-refundability-of-franking-credits-Rice-Warner-2-May-2018.pdf" TargetMode="External"/><Relationship Id="rId128" Type="http://schemas.openxmlformats.org/officeDocument/2006/relationships/hyperlink" Target="https://taxprof.typepad.com/files/joint-committee.pdf" TargetMode="External"/><Relationship Id="rId144" Type="http://schemas.openxmlformats.org/officeDocument/2006/relationships/hyperlink" Target="https://www.aph.gov.au/About_Parliament/Parliamentary_Departments/Parliamentary_Budget_Office/General_elections/2019_general_election/~/media/C044A0EB4B15426CB31B1AD4EBE26803.ashx" TargetMode="External"/><Relationship Id="rId149"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hyperlink" Target="https://www.aph.gov.au/About_Parliament/Parliamentary_Departments/Parliamentary_Budget_Office/General_elections/2019_general_election/~/media/0C2F0A08FA854798A60D9649B34AE02E.ashx" TargetMode="External"/><Relationship Id="rId95" Type="http://schemas.openxmlformats.org/officeDocument/2006/relationships/hyperlink" Target="https://www.aph.gov.au/~/media/05%20About%20Parliament/54%20Parliamentary%20Depts/548%20Parliamentary%20Budget%20Office/Publicly%20released%20costings/Personal%20Income%20Tax%20Plan.pdf?la=en" TargetMode="External"/><Relationship Id="rId22" Type="http://schemas.openxmlformats.org/officeDocument/2006/relationships/header" Target="header7.xml"/><Relationship Id="rId27" Type="http://schemas.openxmlformats.org/officeDocument/2006/relationships/hyperlink" Target="mailto:feedback@pbo.gov.au" TargetMode="External"/><Relationship Id="rId43" Type="http://schemas.openxmlformats.org/officeDocument/2006/relationships/hyperlink" Target="https://www.aph.gov.au/~/media/05%20About%20Parliament/54%20Parliamentary%20Depts/548%20Parliamentary%20Budget%20Office/Reports/Information%20ppapers/Including%20broader%20economic%20effects%20in%20policy%20costings%20PDF.pdf?la=en" TargetMode="External"/><Relationship Id="rId48" Type="http://schemas.openxmlformats.org/officeDocument/2006/relationships/hyperlink" Target="https://www.aph.gov.au/About_Parliament/Parliamentary_Departments/Parliamentary_Budget_Office/General_elections/2019_general_election/~/media/B4E32720538A4E67ACE01C53234ECA0C.ashx" TargetMode="External"/><Relationship Id="rId64" Type="http://schemas.openxmlformats.org/officeDocument/2006/relationships/hyperlink" Target="https://melbourneinstitute.unimelb.edu.au/assets/documents/hilda-bibliography/other-publications/pre2010/Mowbray_etal_ChangetoAustLabour_web.pdf" TargetMode="External"/><Relationship Id="rId69" Type="http://schemas.openxmlformats.org/officeDocument/2006/relationships/hyperlink" Target="https://www.aph.gov.au/About_Parliament/Parliamentary_Departments/Parliamentary_Budget_Office/General_elections/2019_general_election/~/media/E760C085EF484242BB841FA64B983DAD.ashx" TargetMode="External"/><Relationship Id="rId113" Type="http://schemas.openxmlformats.org/officeDocument/2006/relationships/hyperlink" Target="https://www.aph.gov.au/About_Parliament/Parliamentary_Departments/Parliamentary_Budget_Office/General_elections/2019_general_election/~/media/0C21722E8E744A16B08E78EF88196F92.ashx" TargetMode="External"/><Relationship Id="rId118" Type="http://schemas.openxmlformats.org/officeDocument/2006/relationships/hyperlink" Target="https://www.imf.org/en/Publications/WP/Issues/2018/06/13/Are-Elasticities-of-Taxable-Income-Rising-45925" TargetMode="External"/><Relationship Id="rId134" Type="http://schemas.openxmlformats.org/officeDocument/2006/relationships/hyperlink" Target="https://www.imf.org/en/Publications/WP/Issues/2018/06/13/Are-Elasticities-of-Taxable-Income-Rising-45925" TargetMode="External"/><Relationship Id="rId139" Type="http://schemas.openxmlformats.org/officeDocument/2006/relationships/hyperlink" Target="https://www.aph.gov.au/About_Parliament/Parliamentary_Departments/Parliamentary_Budget_Office/General_elections/2019_general_election/~/media/57016BB1151A4377B36CC043B7EBDB98.ashx" TargetMode="External"/><Relationship Id="rId80" Type="http://schemas.openxmlformats.org/officeDocument/2006/relationships/hyperlink" Target="https://www.aph.gov.au/About_Parliament/Parliamentary_Departments/Parliamentary_Budget_Office/General_elections/2019_general_election/~/media/F6261600568F4720B24B22F021F0E651.ashx" TargetMode="External"/><Relationship Id="rId85" Type="http://schemas.openxmlformats.org/officeDocument/2006/relationships/hyperlink" Target="https://www.pbo-dpb.gc.ca/en/blog/news/PIT" TargetMode="External"/><Relationship Id="rId15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creativecommons.org/licenses/by-nc-nd/3.0/au/" TargetMode="External"/><Relationship Id="rId17" Type="http://schemas.openxmlformats.org/officeDocument/2006/relationships/header" Target="header5.xml"/><Relationship Id="rId25" Type="http://schemas.openxmlformats.org/officeDocument/2006/relationships/footer" Target="footer5.xml"/><Relationship Id="rId33" Type="http://schemas.openxmlformats.org/officeDocument/2006/relationships/hyperlink" Target="https://www.aph.gov.au/About_Parliament/Parliamentary_Departments/Parliamentary_Budget_Office/General_elections/2019_general_election/~/media/AD9E73E4FFE14D369EA9B9660A6A9236.ashx" TargetMode="External"/><Relationship Id="rId38" Type="http://schemas.openxmlformats.org/officeDocument/2006/relationships/hyperlink" Target="mailto:feedback@pbo.gov.au" TargetMode="External"/><Relationship Id="rId46" Type="http://schemas.openxmlformats.org/officeDocument/2006/relationships/hyperlink" Target="https://onlinelibrary.wiley.com/doi/pdf/10.1111/j.1475-4932.2010.00707.x" TargetMode="External"/><Relationship Id="rId59" Type="http://schemas.openxmlformats.org/officeDocument/2006/relationships/hyperlink" Target="https://www.aph.gov.au/About_Parliament/Parliamentary_Departments/Parliamentary_Budget_Office/General_elections/2019_general_election/~/media/AD9E73E4FFE14D369EA9B9660A6A9236.ashx" TargetMode="External"/><Relationship Id="rId67" Type="http://schemas.openxmlformats.org/officeDocument/2006/relationships/hyperlink" Target="https://www.aph.gov.au/About_Parliament/Parliamentary_Departments/Parliamentary_Budget_Office/General_elections/2019_general_election/~/media/48525F6738264F7899FE8BA73083B05C.ashx" TargetMode="External"/><Relationship Id="rId103" Type="http://schemas.openxmlformats.org/officeDocument/2006/relationships/hyperlink" Target="https://www.aph.gov.au/About_Parliament/Parliamentary_Departments/Parliamentary_Budget_Office/General_elections/2019_general_election/~/media/F2F547BAA9D041E39AD203D23FABC448.ashx" TargetMode="External"/><Relationship Id="rId108" Type="http://schemas.openxmlformats.org/officeDocument/2006/relationships/hyperlink" Target="https://www.aph.gov.au/About_Parliament/Parliamentary_Departments/Parliamentary_Budget_Office/General_elections/2019_general_election/~/media/41DEFF215A9C4006AA412F648A4451D8.ashx" TargetMode="External"/><Relationship Id="rId116" Type="http://schemas.openxmlformats.org/officeDocument/2006/relationships/hyperlink" Target="https://www150.statcan.gc.ca/n1/daily-quotidien/190815/dq190815a-eng.htm" TargetMode="External"/><Relationship Id="rId124" Type="http://schemas.openxmlformats.org/officeDocument/2006/relationships/hyperlink" Target="https://www.aph.gov.au/About_Parliament/Parliamentary_Departments/Parliamentary_Budget_Office/General_elections/2019_general_election/~/media/D09BD2EEF2C34CF6BA0FFB70CAD3E273.ashx" TargetMode="External"/><Relationship Id="rId129" Type="http://schemas.openxmlformats.org/officeDocument/2006/relationships/hyperlink" Target="https://www.aph.gov.au/About_Parliament/Parliamentary_Departments/Parliamentary_Budget_Office/General_elections/2019_general_election/~/media/0F005B6CE169460E9E8AA2B207A5E3C5.ashx" TargetMode="External"/><Relationship Id="rId137" Type="http://schemas.openxmlformats.org/officeDocument/2006/relationships/hyperlink" Target="https://obr.uk/obr-working-paper-series-forestalling-ahead-of-property-tax-changes/" TargetMode="External"/><Relationship Id="rId20" Type="http://schemas.openxmlformats.org/officeDocument/2006/relationships/header" Target="header6.xml"/><Relationship Id="rId41" Type="http://schemas.openxmlformats.org/officeDocument/2006/relationships/hyperlink" Target="https://www.aph.gov.au/About_Parliament/Parliamentary_Departments/Parliamentary_Budget_Office/General_elections/2019_general_election/2019_Post-election_report" TargetMode="External"/><Relationship Id="rId54" Type="http://schemas.openxmlformats.org/officeDocument/2006/relationships/hyperlink" Target="https://www.aph.gov.au/About_Parliament/Parliamentary_Departments/Parliamentary_Budget_Office/General_elections/2019_general_election/~/media/6972B2AE3B1342678B7A94430D7E82E5.ashx" TargetMode="External"/><Relationship Id="rId62" Type="http://schemas.openxmlformats.org/officeDocument/2006/relationships/hyperlink" Target="https://www.aph.gov.au/About_Parliament/Parliamentary_Departments/Parliamentary_Budget_Office/General_elections/2019_general_election/~/media/EBE586C254F9452199EC88382971C004.ashx" TargetMode="External"/><Relationship Id="rId70" Type="http://schemas.openxmlformats.org/officeDocument/2006/relationships/hyperlink" Target="https://grattan.edu.au/report/super-tax-targeting/" TargetMode="External"/><Relationship Id="rId75" Type="http://schemas.openxmlformats.org/officeDocument/2006/relationships/hyperlink" Target="https://www.ato.gov.au/About-ATO/Research-and-statistics/In-detail/Super-statistics/SMSF/Self-managed-super-fund-quarterly-statistical-report---December-2018/" TargetMode="External"/><Relationship Id="rId83" Type="http://schemas.openxmlformats.org/officeDocument/2006/relationships/hyperlink" Target="https://www.aph.gov.au/About_Parliament/Parliamentary_Departments/Parliamentary_Budget_Office/General_elections/2019_general_election/~/media/BA0249EF4ED349B3A8342865F32DDEA7.ashx" TargetMode="External"/><Relationship Id="rId88" Type="http://schemas.openxmlformats.org/officeDocument/2006/relationships/hyperlink" Target="https://www.imf.org/en/Publications/WP/Issues/2018/06/13/Are-Elasticities-of-Taxable-Income-Rising-45925" TargetMode="External"/><Relationship Id="rId91" Type="http://schemas.openxmlformats.org/officeDocument/2006/relationships/hyperlink" Target="https://www.aph.gov.au/About_Parliament/Parliamentary_Departments/Parliamentary_Budget_Office/General_elections/2019_general_election/~/media/59664EC5915F4C318D82081A249A5A3B.ashx" TargetMode="External"/><Relationship Id="rId96" Type="http://schemas.openxmlformats.org/officeDocument/2006/relationships/hyperlink" Target="https://www.aph.gov.au/About_Parliament/Parliamentary_Departments/Parliamentary_Budget_Office/General_elections/2019_general_election/~/media/45A8D0384E1743468F8A8C63A2526681.ashx" TargetMode="External"/><Relationship Id="rId111" Type="http://schemas.openxmlformats.org/officeDocument/2006/relationships/hyperlink" Target="http://climatechangeauthority.gov.au/files/files/Target-Progress-Review/Climate-Change-Mitigation-Scenarios-modelling-report-provided-to-the-Climate-Change-Authority-in-support-of-its-Caps-and-Target-review/Climate_Change_Mitigation_Scenarios.pdf" TargetMode="External"/><Relationship Id="rId132" Type="http://schemas.openxmlformats.org/officeDocument/2006/relationships/hyperlink" Target="https://www.aph.gov.au/Parliamentary_Business/Bills_Legislation/Bills_Search_Results/Result?bId=r5284" TargetMode="External"/><Relationship Id="rId140" Type="http://schemas.openxmlformats.org/officeDocument/2006/relationships/hyperlink" Target="https://www.abs.gov.au/AUSSTATS/abs@.nsf/Lookup/5609.0Main+Features1November%202018?OpenDocument" TargetMode="External"/><Relationship Id="rId145" Type="http://schemas.openxmlformats.org/officeDocument/2006/relationships/hyperlink" Target="https://www.aph.gov.au/About_Parliament/Parliamentary_Departments/Parliamentary_Budget_Office/General_elections/2019_general_election/~/media/41DEFF215A9C4006AA412F648A4451D8.ashx"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feedback@pbo.gov.au" TargetMode="External"/><Relationship Id="rId23" Type="http://schemas.openxmlformats.org/officeDocument/2006/relationships/header" Target="header8.xml"/><Relationship Id="rId28" Type="http://schemas.openxmlformats.org/officeDocument/2006/relationships/header" Target="header9.xml"/><Relationship Id="rId36" Type="http://schemas.openxmlformats.org/officeDocument/2006/relationships/hyperlink" Target="https://www.aph.gov.au/About_Parliament/Parliamentary_Departments/Parliamentary_Budget_Office/General_elections/2019_general_election/~/media/57016BB1151A4377B36CC043B7EBDB98.ashx" TargetMode="External"/><Relationship Id="rId49" Type="http://schemas.openxmlformats.org/officeDocument/2006/relationships/hyperlink" Target="https://www.aph.gov.au/About_Parliament/Parliamentary_Departments/Parliamentary_Budget_Office/General_elections/2019_general_election/~/media/6C0BE80519614B3882431015D5499CC7.ashx" TargetMode="External"/><Relationship Id="rId57" Type="http://schemas.openxmlformats.org/officeDocument/2006/relationships/hyperlink" Target="https://www.ncbi.nlm.nih.gov/pubmed/22624529" TargetMode="External"/><Relationship Id="rId106" Type="http://schemas.openxmlformats.org/officeDocument/2006/relationships/hyperlink" Target="https://www.aph.gov.au/Parliamentary_Business/Bills_Legislation/Bills_Search_Results/Result?bId=r5896" TargetMode="External"/><Relationship Id="rId114" Type="http://schemas.openxmlformats.org/officeDocument/2006/relationships/hyperlink" Target="https://www.aph.gov.au/Parliamentary_Business/Bills_Legislation/Bills_Search_Results/Result?bId=r5284" TargetMode="External"/><Relationship Id="rId119" Type="http://schemas.openxmlformats.org/officeDocument/2006/relationships/hyperlink" Target="https://www.aph.gov.au/About_Parliament/Parliamentary_Departments/Parliamentary_Budget_Office/General_elections/2019_general_election/~/media/D09BD2EEF2C34CF6BA0FFB70CAD3E273.ashx" TargetMode="External"/><Relationship Id="rId127" Type="http://schemas.openxmlformats.org/officeDocument/2006/relationships/hyperlink" Target="https://www.aph.gov.au/About_Parliament/Parliamentary_Departments/Parliamentary_Budget_Office/General_elections/2019_general_election/~/media/03F04E417A54401B95762F909BF96D98.ashx" TargetMode="External"/><Relationship Id="rId10" Type="http://schemas.openxmlformats.org/officeDocument/2006/relationships/header" Target="header2.xml"/><Relationship Id="rId31" Type="http://schemas.openxmlformats.org/officeDocument/2006/relationships/footer" Target="footer7.xml"/><Relationship Id="rId44" Type="http://schemas.openxmlformats.org/officeDocument/2006/relationships/hyperlink" Target="https://www.google.com.au/url?sa=t&amp;rct=j&amp;q=&amp;esrc=s&amp;source=web&amp;cd=3&amp;ved=2ahUKEwj13-DS1ZbmAhVPWysKHbfIC-0QFjACegQIAxAC&amp;url=https%3A%2F%2Fwww.aph.gov.au%2FDocumentStore.ashx%3Fid%3D26ad05c9-2c8c-4654-be20-e65770ea808d%26subId%3D303625&amp;usg=AOvVaw3MyVuLkm-_4Nks5cv9Jt5n" TargetMode="External"/><Relationship Id="rId52" Type="http://schemas.openxmlformats.org/officeDocument/2006/relationships/hyperlink" Target="https://www.aph.gov.au/About_Parliament/Parliamentary_Departments/Parliamentary_Budget_Office/General_elections/2019_general_election/~/media/38E11CBD42B743F6887CB453BEC01930.ashx" TargetMode="External"/><Relationship Id="rId60" Type="http://schemas.openxmlformats.org/officeDocument/2006/relationships/hyperlink" Target="https://www.aph.gov.au/About_Parliament/Parliamentary_Departments/Parliamentary_Budget_Office/General_elections/2019_general_election/~/media/1C74FA9F335A4DD6A2C284887A710DE4.ashx" TargetMode="External"/><Relationship Id="rId65" Type="http://schemas.openxmlformats.org/officeDocument/2006/relationships/hyperlink" Target="https://www.aph.gov.au/About_Parliament/Parliamentary_Departments/Parliamentary_Budget_Office/General_elections/2019_general_election/~/media/85936351600C4A3D9ED2D9837F520AC3.ashx" TargetMode="External"/><Relationship Id="rId73" Type="http://schemas.openxmlformats.org/officeDocument/2006/relationships/hyperlink" Target="https://www.aph.gov.au/About_Parliament/Parliamentary_Departments/Parliamentary_Library/FlagPost/2014/June/FHSA-Scheme-Closure" TargetMode="External"/><Relationship Id="rId78" Type="http://schemas.openxmlformats.org/officeDocument/2006/relationships/hyperlink" Target="https://www.aph.gov.au/About_Parliament/Parliamentary_Departments/Parliamentary_Budget_Office/General_elections/2019_general_election/~/media/1C157FB5C4B74C27BC9EC6072D7A716B.ashx" TargetMode="External"/><Relationship Id="rId81" Type="http://schemas.openxmlformats.org/officeDocument/2006/relationships/hyperlink" Target="https://www.aph.gov.au/About_Parliament/Parliamentary_Departments/Parliamentary_Budget_Office/General_elections/2019_general_election/~/media/E8016D9FAFC6486AA95C8E90CC5F34A2.ashx" TargetMode="External"/><Relationship Id="rId86" Type="http://schemas.openxmlformats.org/officeDocument/2006/relationships/hyperlink" Target="https://www.aph.gov.au/About_Parliament/Parliamentary_Departments/Parliamentary_Budget_Office/General_elections/2019_general_election/~/media/0C2F0A08FA854798A60D9649B34AE02E.ashx" TargetMode="External"/><Relationship Id="rId94" Type="http://schemas.openxmlformats.org/officeDocument/2006/relationships/hyperlink" Target="https://www.aph.gov.au/~/media/05%20About%20Parliament/54%20Parliamentary%20Depts/548%20Parliamentary%20Budget%20Office/Publicly%20released%20costings/Tax%20cuts%20package.pdf?la=en" TargetMode="External"/><Relationship Id="rId99" Type="http://schemas.openxmlformats.org/officeDocument/2006/relationships/hyperlink" Target="https://www.aph.gov.au/About_Parliament/Parliamentary_Departments/Parliamentary_Budget_Office/General_elections/2019_general_election/~/media/F6261600568F4720B24B22F021F0E651.ashx" TargetMode="External"/><Relationship Id="rId101" Type="http://schemas.openxmlformats.org/officeDocument/2006/relationships/hyperlink" Target="https://www.aph.gov.au/About_Parliament/Parliamentary_Departments/Parliamentary_Budget_Office/General_elections/2019_general_election/~/media/40B7CE06A14A4D0FB0D17B58C4C3606E.ashx" TargetMode="External"/><Relationship Id="rId122" Type="http://schemas.openxmlformats.org/officeDocument/2006/relationships/hyperlink" Target="https://www.aph.gov.au/About_Parliament/Parliamentary_Departments/Parliamentary_Budget_Office/General_elections/2019_general_election/~/media/D09BD2EEF2C34CF6BA0FFB70CAD3E273.ashx" TargetMode="External"/><Relationship Id="rId130" Type="http://schemas.openxmlformats.org/officeDocument/2006/relationships/hyperlink" Target="https://www.aph.gov.au/About_Parliament/Parliamentary_Departments/Parliamentary_Budget_Office/General_elections/2019_general_election/~/media/57016BB1151A4377B36CC043B7EBDB98.ashx" TargetMode="External"/><Relationship Id="rId135" Type="http://schemas.openxmlformats.org/officeDocument/2006/relationships/hyperlink" Target="https://www.aph.gov.au/About_Parliament/Parliamentary_Departments/Parliamentary_Budget_Office/General_elections/2019_general_election/~/media/1294557551FD4E6D95967AF9EB627FAD.ashx" TargetMode="External"/><Relationship Id="rId143" Type="http://schemas.openxmlformats.org/officeDocument/2006/relationships/hyperlink" Target="https://www.aph.gov.au/About_Parliament/Parliamentary_Departments/Parliamentary_Budget_Office/General_elections/2019_general_election/~/media/F6261600568F4720B24B22F021F0E651.ashx" TargetMode="External"/><Relationship Id="rId148" Type="http://schemas.openxmlformats.org/officeDocument/2006/relationships/hyperlink" Target="https://www.aph.gov.au/About_Parliament/Parliamentary_Departments/Parliamentary_Budget_Office/General_elections/2019_general_election/~/media/F9804F3BA8894073B4FD8B3D91C2CE0B.ashx" TargetMode="Externa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oter" Target="footer1.xml"/><Relationship Id="rId39" Type="http://schemas.openxmlformats.org/officeDocument/2006/relationships/hyperlink" Target="https://www.imf.org/en/Publications/WP/Issues/2018/06/13/Are-Elasticities-of-Taxable-Income-Rising-45925" TargetMode="External"/><Relationship Id="rId109" Type="http://schemas.openxmlformats.org/officeDocument/2006/relationships/hyperlink" Target="https://www.aph.gov.au/About_Parliament/Parliamentary_Departments/Parliamentary_Budget_Office/General_elections/2019_general_election/~/media/6AF081479EFE4E32BA18F31BA68DC479.ashx" TargetMode="External"/><Relationship Id="rId34" Type="http://schemas.openxmlformats.org/officeDocument/2006/relationships/image" Target="media/image4.emf"/><Relationship Id="rId50" Type="http://schemas.openxmlformats.org/officeDocument/2006/relationships/hyperlink" Target="http://www.federalfinancialrelations.gov.au/content/npa/education_past.aspx" TargetMode="External"/><Relationship Id="rId55" Type="http://schemas.openxmlformats.org/officeDocument/2006/relationships/hyperlink" Target="https://www.aph.gov.au/About_Parliament/Parliamentary_Departments/Parliamentary_Budget_Office/General_elections/2019_general_election/~/media/D786E629D7884E1E90BFF6732EC07A91.ashx" TargetMode="External"/><Relationship Id="rId76" Type="http://schemas.openxmlformats.org/officeDocument/2006/relationships/hyperlink" Target="https://www.aph.gov.au/About_Parliament/Parliamentary_Departments/Parliamentary_Budget_Office/General_elections/2019_general_election/~/media/1C410EA19EE04F5A81069C644CD9764F.ashx" TargetMode="External"/><Relationship Id="rId97" Type="http://schemas.openxmlformats.org/officeDocument/2006/relationships/hyperlink" Target="https://www.abs.gov.au/ausstats/abs@.nsf/mf/8158.0" TargetMode="External"/><Relationship Id="rId104" Type="http://schemas.openxmlformats.org/officeDocument/2006/relationships/hyperlink" Target="https://www.aph.gov.au/About_Parliament/Parliamentary_Departments/Parliamentary_Budget_Office/General_elections/2019_general_election/~/media/F713C9B9C78A4F1C85FD0E228842AA9F.ashx" TargetMode="External"/><Relationship Id="rId120" Type="http://schemas.openxmlformats.org/officeDocument/2006/relationships/hyperlink" Target="https://www.westpac.com.au/about-westpac/investor-centre/dividend-information/" TargetMode="External"/><Relationship Id="rId125" Type="http://schemas.openxmlformats.org/officeDocument/2006/relationships/hyperlink" Target="https://www.aph.gov.au/About_Parliament/Parliamentary_Departments/Parliamentary_Budget_Office/General_elections/2019_general_election/~/media/40A520DF66EC4F2EAC1E8124C53C411E.ashx" TargetMode="External"/><Relationship Id="rId141" Type="http://schemas.openxmlformats.org/officeDocument/2006/relationships/hyperlink" Target="https://www.brokernews.com.au/news/breaking-news/established-dwellings-preferred-investment-choice-239207.aspx" TargetMode="External"/><Relationship Id="rId146" Type="http://schemas.openxmlformats.org/officeDocument/2006/relationships/hyperlink" Target="https://www.aph.gov.au/About_Parliament/Parliamentary_Departments/Parliamentary_Budget_Office/General_elections/2019_general_election/~/media/3B7651487461409298CBA29D96BA9468.ashx" TargetMode="External"/><Relationship Id="rId7" Type="http://schemas.openxmlformats.org/officeDocument/2006/relationships/footnotes" Target="footnotes.xml"/><Relationship Id="rId71" Type="http://schemas.openxmlformats.org/officeDocument/2006/relationships/hyperlink" Target="https://www.aph.gov.au/About_Parliament/Parliamentary_Departments/Parliamentary_Budget_Office/General_elections/2019_general_election/~/media/FC2DED86DD6749B99CB803E1AC9B8EF3.ashx" TargetMode="External"/><Relationship Id="rId92" Type="http://schemas.openxmlformats.org/officeDocument/2006/relationships/hyperlink" Target="https://www.aph.gov.au/About_Parliament/Parliamentary_Departments/Parliamentary_Budget_Office/General_elections/2019_general_election/~/media/0F005B6CE169460E9E8AA2B207A5E3C5.ashx" TargetMode="External"/><Relationship Id="rId2" Type="http://schemas.openxmlformats.org/officeDocument/2006/relationships/numbering" Target="numbering.xml"/><Relationship Id="rId29" Type="http://schemas.openxmlformats.org/officeDocument/2006/relationships/header" Target="header10.xml"/><Relationship Id="rId24" Type="http://schemas.openxmlformats.org/officeDocument/2006/relationships/footer" Target="footer4.xml"/><Relationship Id="rId40" Type="http://schemas.openxmlformats.org/officeDocument/2006/relationships/hyperlink" Target="https://obr.uk/obr-working-paper-series-forestalling-ahead-of-property-tax-changes/" TargetMode="External"/><Relationship Id="rId45" Type="http://schemas.openxmlformats.org/officeDocument/2006/relationships/hyperlink" Target="https://www.aph.gov.au/About_Parliament/Parliamentary_Departments/Parliamentary_Budget_Office/General_elections/2019_general_election/~/media/1AC1C771C2474A2BA7E25A594622EEFD.ashx" TargetMode="External"/><Relationship Id="rId66" Type="http://schemas.openxmlformats.org/officeDocument/2006/relationships/hyperlink" Target="https://www.aph.gov.au/About_Parliament/Parliamentary_Departments/Parliamentary_Budget_Office/General_elections/2019_general_election/~/media/4D9CDCC301C64613A3A5CB3E44308D8B.ashx" TargetMode="External"/><Relationship Id="rId87" Type="http://schemas.openxmlformats.org/officeDocument/2006/relationships/hyperlink" Target="https://www.aph.gov.au/About_Parliament/Parliamentary_Departments/Parliamentary_Budget_Office/General_elections/2019_general_election/~/media/0F005B6CE169460E9E8AA2B207A5E3C5.ashx" TargetMode="External"/><Relationship Id="rId110" Type="http://schemas.openxmlformats.org/officeDocument/2006/relationships/hyperlink" Target="https://www.aph.gov.au/About_Parliament/Parliamentary_Departments/Parliamentary_Budget_Office/General_elections/2019_general_election/~/media/9283FC5BBCBB46B498F447D6D91215BF.ashx" TargetMode="External"/><Relationship Id="rId115" Type="http://schemas.openxmlformats.org/officeDocument/2006/relationships/hyperlink" Target="https://www.aph.gov.au/~/media/05%20About%20Parliament/54%20Parliamentary%20Depts/548%20Parliamentary%20Budget%20Office/Publicly%20released%20costings/Applying%20a%20road%20user%20charge%20to%20electric%20vehicles%20PDF.pdf?la=en" TargetMode="External"/><Relationship Id="rId131" Type="http://schemas.openxmlformats.org/officeDocument/2006/relationships/hyperlink" Target="https://www.aph.gov.au/About_Parliament/Parliamentary_Departments/Parliamentary_Budget_Office/General_elections/2019_general_election/~/media/FC2DED86DD6749B99CB803E1AC9B8EF3.ashx" TargetMode="External"/><Relationship Id="rId136" Type="http://schemas.openxmlformats.org/officeDocument/2006/relationships/hyperlink" Target="https://www.aph.gov.au/About_Parliament/Parliamentary_Departments/Parliamentary_Budget_Office/General_elections/2019_general_election/~/media/57016BB1151A4377B36CC043B7EBDB98.ashx" TargetMode="External"/><Relationship Id="rId61" Type="http://schemas.openxmlformats.org/officeDocument/2006/relationships/hyperlink" Target="https://www.aph.gov.au/About_Parliament/Parliamentary_Departments/Parliamentary_Library/pubs/rp/rp1617/Quick_Guides/BoatTurnbacks" TargetMode="External"/><Relationship Id="rId82" Type="http://schemas.openxmlformats.org/officeDocument/2006/relationships/hyperlink" Target="https://www.aph.gov.au/About_Parliament/Parliamentary_Departments/Parliamentary_Budget_Office/General_elections/2019_general_election/~/media/EA943BCAB2CA4CCFB35FB06EDE300BE5.ashx" TargetMode="External"/><Relationship Id="rId19" Type="http://schemas.openxmlformats.org/officeDocument/2006/relationships/footer" Target="footer2.xml"/><Relationship Id="rId14" Type="http://schemas.openxmlformats.org/officeDocument/2006/relationships/hyperlink" Target="https://www.pmc.gov.au/government/commonwealth-coat-arms" TargetMode="External"/><Relationship Id="rId30" Type="http://schemas.openxmlformats.org/officeDocument/2006/relationships/footer" Target="footer6.xml"/><Relationship Id="rId35" Type="http://schemas.openxmlformats.org/officeDocument/2006/relationships/hyperlink" Target="https://www.aph.gov.au/About_Parliament/Parliamentary_Departments/Parliamentary_Budget_Office/General_elections/2019_general_election/~/media/1294557551FD4E6D95967AF9EB627FAD.ashx" TargetMode="External"/><Relationship Id="rId56" Type="http://schemas.openxmlformats.org/officeDocument/2006/relationships/hyperlink" Target="https://www.aph.gov.au/About_Parliament/Parliamentary_Departments/Parliamentary_Budget_Office/General_elections/2019_general_election/~/media/C1062CFE67384B5FB4A8CE4E712D3FF2.ashx" TargetMode="External"/><Relationship Id="rId77" Type="http://schemas.openxmlformats.org/officeDocument/2006/relationships/hyperlink" Target="https://www.aph.gov.au/~/media/05%20About%20Parliament/54%20Parliamentary%20Depts/548%20Parliamentary%20Budget%20Office/Publicly%20released%20costings/Common%20group%20insurance%20-%20PDF.pdf?la=en" TargetMode="External"/><Relationship Id="rId100" Type="http://schemas.openxmlformats.org/officeDocument/2006/relationships/hyperlink" Target="https://www.aph.gov.au/About_Parliament/Parliamentary_Departments/Parliamentary_Budget_Office/General_elections/2019_general_election/~/media/F6261600568F4720B24B22F021F0E651.ashx" TargetMode="External"/><Relationship Id="rId105" Type="http://schemas.openxmlformats.org/officeDocument/2006/relationships/hyperlink" Target="https://www.aph.gov.au/About_Parliament/Parliamentary_Departments/Parliamentary_Budget_Office/General_elections/2019_general_election/~/media/0C21722E8E744A16B08E78EF88196F92.ashx" TargetMode="External"/><Relationship Id="rId126" Type="http://schemas.openxmlformats.org/officeDocument/2006/relationships/hyperlink" Target="https://www.aph.gov.au/About_Parliament/Parliamentary_Departments/Parliamentary_Budget_Office/General_elections/2019_general_election/~/media/B71172E562D14799AADC176FD28E4E62.ashx" TargetMode="External"/><Relationship Id="rId147" Type="http://schemas.openxmlformats.org/officeDocument/2006/relationships/hyperlink" Target="https://www.aph.gov.au/About_Parliament/Parliamentary_Departments/Parliamentary_Budget_Office/General_elections/2019_general_election/~/media/C2DBAA209729432FB6250E03FD3BA43B.ashx" TargetMode="External"/><Relationship Id="rId8" Type="http://schemas.openxmlformats.org/officeDocument/2006/relationships/endnotes" Target="endnotes.xml"/><Relationship Id="rId51" Type="http://schemas.openxmlformats.org/officeDocument/2006/relationships/hyperlink" Target="https://www.aph.gov.au/About_Parliament/Parliamentary_Departments/Parliamentary_Budget_Office/General_elections/2019_general_election/~/media/43D5816C1717482E9183D7E8B60F7BC3.ashx" TargetMode="External"/><Relationship Id="rId72" Type="http://schemas.openxmlformats.org/officeDocument/2006/relationships/hyperlink" Target="https://www.aph.gov.au/About_Parliament/Parliamentary_Departments/Parliamentary_Budget_Office/General_elections/2019_general_election/~/media/E7F3E93D4EC344D1A306F616816E76DA.ashx" TargetMode="External"/><Relationship Id="rId93" Type="http://schemas.openxmlformats.org/officeDocument/2006/relationships/hyperlink" Target="https://www.aph.gov.au/About_Parliament/Parliamentary_Departments/Parliamentary_Budget_Office/General_elections/2019_general_election/~/media/7408DC1020CC457C8EC1A3297A37D39C.ashx" TargetMode="External"/><Relationship Id="rId98" Type="http://schemas.openxmlformats.org/officeDocument/2006/relationships/hyperlink" Target="https://www.aph.gov.au/About_Parliament/Parliamentary_Departments/Parliamentary_Budget_Office/General_elections/2019_general_election/~/media/FA5D8906A93448DC97B0D51A026BC6B2.ashx" TargetMode="External"/><Relationship Id="rId121" Type="http://schemas.openxmlformats.org/officeDocument/2006/relationships/hyperlink" Target="https://www.aph.gov.au/About_Parliament/Parliamentary_Departments/Parliamentary_Budget_Office/General_elections/2019_general_election/~/media/D09BD2EEF2C34CF6BA0FFB70CAD3E273.ashx" TargetMode="External"/><Relationship Id="rId142" Type="http://schemas.openxmlformats.org/officeDocument/2006/relationships/hyperlink" Target="https://www.aph.gov.au/About_Parliament/Parliamentary_Departments/Parliamentary_Budget_Office/General_elections/2019_general_election/~/media/1294557551FD4E6D95967AF9EB627FAD.ash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oecd.org/governance/budgeting/oecdnetworkofparliamentarybudgetofficialspbo.htm" TargetMode="External"/><Relationship Id="rId1" Type="http://schemas.openxmlformats.org/officeDocument/2006/relationships/hyperlink" Target="https://www.aph.gov.au/About_Parliament/Parliamentary_Departments/Parliamentary_Budget_Office/Publications/media"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2.%20Publications\PBO%20Research%20Report%20v2.dotm" TargetMode="External"/></Relationships>
</file>

<file path=word/theme/theme1.xml><?xml version="1.0" encoding="utf-8"?>
<a:theme xmlns:a="http://schemas.openxmlformats.org/drawingml/2006/main" name="Office Theme">
  <a:themeElements>
    <a:clrScheme name="PBO 2018">
      <a:dk1>
        <a:srgbClr val="000000"/>
      </a:dk1>
      <a:lt1>
        <a:srgbClr val="FFFFFF"/>
      </a:lt1>
      <a:dk2>
        <a:srgbClr val="9778B4"/>
      </a:dk2>
      <a:lt2>
        <a:srgbClr val="3D4D7D"/>
      </a:lt2>
      <a:accent1>
        <a:srgbClr val="8D487F"/>
      </a:accent1>
      <a:accent2>
        <a:srgbClr val="C64E45"/>
      </a:accent2>
      <a:accent3>
        <a:srgbClr val="F1873D"/>
      </a:accent3>
      <a:accent4>
        <a:srgbClr val="FCC648"/>
      </a:accent4>
      <a:accent5>
        <a:srgbClr val="86BE57"/>
      </a:accent5>
      <a:accent6>
        <a:srgbClr val="788183"/>
      </a:accent6>
      <a:hlink>
        <a:srgbClr val="000000"/>
      </a:hlink>
      <a:folHlink>
        <a:srgbClr val="3D4D7D"/>
      </a:folHlink>
    </a:clrScheme>
    <a:fontScheme name="PBO v2">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5D503-7D4D-4947-AD21-EAA65D77B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PBO Research Report v2.dotm</Template>
  <TotalTime>6</TotalTime>
  <Pages>33</Pages>
  <Words>13606</Words>
  <Characters>77555</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90980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Tunks, Gareth (PBO)</dc:creator>
  <cp:lastModifiedBy>Parliamentary Budget Office</cp:lastModifiedBy>
  <cp:revision>4</cp:revision>
  <cp:lastPrinted>2019-12-20T02:18:00Z</cp:lastPrinted>
  <dcterms:created xsi:type="dcterms:W3CDTF">2020-01-14T06:35:00Z</dcterms:created>
  <dcterms:modified xsi:type="dcterms:W3CDTF">2020-01-14T06:49:00Z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Y</vt:lpwstr>
  </property>
  <property fmtid="{D5CDD505-2E9C-101B-9397-08002B2CF9AE}" pid="4" name="xTOCH3">
    <vt:lpwstr>N</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Figures</vt:lpwstr>
  </property>
  <property fmtid="{D5CDD505-2E9C-101B-9397-08002B2CF9AE}" pid="10" name="xHeadingsNumbered">
    <vt:lpwstr>True</vt:lpwstr>
  </property>
  <property fmtid="{D5CDD505-2E9C-101B-9397-08002B2CF9AE}" pid="11" name="xAppendixName">
    <vt:lpwstr>Appendix</vt:lpwstr>
  </property>
</Properties>
</file>