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9B" w:rsidRPr="00857029" w:rsidRDefault="00981C9B" w:rsidP="00981C9B">
      <w:pPr>
        <w:pStyle w:val="PBOheading2"/>
      </w:pPr>
      <w:bookmarkStart w:id="0" w:name="_GoBack"/>
      <w:bookmarkEnd w:id="0"/>
      <w:r>
        <w:rPr>
          <w:noProof/>
          <w:lang w:eastAsia="en-AU"/>
        </w:rPr>
        <w:drawing>
          <wp:anchor distT="0" distB="0" distL="114300" distR="114300" simplePos="0" relativeHeight="251659264" behindDoc="1" locked="0" layoutInCell="1" allowOverlap="1" wp14:anchorId="7EB7C07B" wp14:editId="6A6018EE">
            <wp:simplePos x="0" y="0"/>
            <wp:positionH relativeFrom="column">
              <wp:posOffset>2540</wp:posOffset>
            </wp:positionH>
            <wp:positionV relativeFrom="paragraph">
              <wp:posOffset>-307431</wp:posOffset>
            </wp:positionV>
            <wp:extent cx="3132000" cy="666000"/>
            <wp:effectExtent l="0" t="0" r="0" b="1270"/>
            <wp:wrapNone/>
            <wp:docPr id="1" name="Picture 1"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14:sizeRelH relativeFrom="page">
              <wp14:pctWidth>0</wp14:pctWidth>
            </wp14:sizeRelH>
            <wp14:sizeRelV relativeFrom="page">
              <wp14:pctHeight>0</wp14:pctHeight>
            </wp14:sizeRelV>
          </wp:anchor>
        </w:drawing>
      </w:r>
      <w:r w:rsidRPr="00857029">
        <w:t xml:space="preserve">PBO Guidance </w:t>
      </w:r>
      <w:r>
        <w:t>02/2017</w:t>
      </w:r>
    </w:p>
    <w:p w:rsidR="00872D71" w:rsidRDefault="00EA7DF3" w:rsidP="00006F38">
      <w:pPr>
        <w:pStyle w:val="Heading1"/>
        <w:spacing w:before="360"/>
      </w:pPr>
      <w:r>
        <w:t>PBO publication of responses that have been publicly released by parliamentarians</w:t>
      </w:r>
    </w:p>
    <w:p w:rsidR="00981C9B" w:rsidRDefault="00981C9B" w:rsidP="00981C9B">
      <w:pPr>
        <w:pStyle w:val="BodyText"/>
      </w:pPr>
      <w:r>
        <w:t>Following the 2016 General Election, the Joint Committee of Public Accounts and Audit (JCPAA) commissioned an independent review of the operations of the Parliamentary Budget Office (PBO)</w:t>
      </w:r>
      <w:r w:rsidR="001633E5">
        <w:t xml:space="preserve">. In March 2017, the </w:t>
      </w:r>
      <w:r w:rsidR="001633E5" w:rsidRPr="00E4325D">
        <w:rPr>
          <w:i/>
        </w:rPr>
        <w:t>Parliamentary Budget Office Review 2016</w:t>
      </w:r>
      <w:r w:rsidR="001633E5">
        <w:rPr>
          <w:i/>
        </w:rPr>
        <w:t>–</w:t>
      </w:r>
      <w:r w:rsidR="001633E5" w:rsidRPr="00E4325D">
        <w:rPr>
          <w:i/>
        </w:rPr>
        <w:t>17</w:t>
      </w:r>
      <w:r w:rsidR="001633E5">
        <w:rPr>
          <w:i/>
        </w:rPr>
        <w:t xml:space="preserve"> – report of the Independent Review Panel </w:t>
      </w:r>
      <w:r w:rsidR="001633E5" w:rsidRPr="006F4CC2">
        <w:t>was released</w:t>
      </w:r>
      <w:r w:rsidR="001633E5">
        <w:rPr>
          <w:i/>
        </w:rPr>
        <w:t xml:space="preserve">. </w:t>
      </w:r>
    </w:p>
    <w:p w:rsidR="00981C9B" w:rsidRDefault="00981C9B" w:rsidP="00981C9B">
      <w:pPr>
        <w:pStyle w:val="BodyText"/>
      </w:pPr>
      <w:r>
        <w:t xml:space="preserve">In relation to the </w:t>
      </w:r>
      <w:r w:rsidRPr="00981C9B">
        <w:t>issue of confidentiality of costing requests and the associated benefits</w:t>
      </w:r>
      <w:r>
        <w:t xml:space="preserve">, the </w:t>
      </w:r>
      <w:r w:rsidR="001633E5">
        <w:t xml:space="preserve">Review </w:t>
      </w:r>
      <w:r>
        <w:t>included the recommendation that:</w:t>
      </w:r>
    </w:p>
    <w:p w:rsidR="00687B8C" w:rsidRDefault="00981C9B" w:rsidP="00981C9B">
      <w:pPr>
        <w:pStyle w:val="Quote"/>
      </w:pPr>
      <w:r>
        <w:t xml:space="preserve">The </w:t>
      </w:r>
      <w:r w:rsidRPr="00981C9B">
        <w:t>PBO should publish regular data regarding the number of policy announcements made with reference to PBO costings, and whether or not, and when, the underlying PBO costing response document was released by the par</w:t>
      </w:r>
      <w:r>
        <w:t>ty or parliamentarian concerned</w:t>
      </w:r>
      <w:r w:rsidRPr="00981C9B">
        <w:t>.</w:t>
      </w:r>
    </w:p>
    <w:p w:rsidR="00025B97" w:rsidRPr="001B7CC1" w:rsidRDefault="001633E5" w:rsidP="001B7CC1">
      <w:pPr>
        <w:pStyle w:val="BodyText"/>
      </w:pPr>
      <w:r>
        <w:t>The PBO has accepted this recommendation and, henceforth, will be regularly capturing and publishing this information.  Furthermore, w</w:t>
      </w:r>
      <w:r w:rsidR="00BE5153">
        <w:t xml:space="preserve">ith effect from today, where the parliamentarian (or their party) that makes a confidential request to the PBO releases the </w:t>
      </w:r>
      <w:r w:rsidR="00025B97" w:rsidRPr="001B7CC1">
        <w:t xml:space="preserve">full underlying PBO response document, </w:t>
      </w:r>
      <w:r w:rsidR="00025B97">
        <w:t xml:space="preserve">the PBO will adopt the practice of publishing </w:t>
      </w:r>
      <w:r w:rsidR="00BE5153">
        <w:t xml:space="preserve">that </w:t>
      </w:r>
      <w:r w:rsidR="00025B97" w:rsidRPr="001B7CC1">
        <w:t>document on the PBO website.</w:t>
      </w:r>
    </w:p>
    <w:p w:rsidR="00025B97" w:rsidRDefault="00025B97" w:rsidP="001B7CC1">
      <w:pPr>
        <w:pStyle w:val="BodyText"/>
      </w:pPr>
      <w:r w:rsidRPr="001B7CC1">
        <w:t xml:space="preserve">In the circumstance </w:t>
      </w:r>
      <w:r w:rsidR="00BE5153">
        <w:t xml:space="preserve">that the </w:t>
      </w:r>
      <w:r w:rsidRPr="001B7CC1">
        <w:t>full underlying PBO response document is re</w:t>
      </w:r>
      <w:r w:rsidR="00872D71">
        <w:t>leased</w:t>
      </w:r>
      <w:r w:rsidRPr="001B7CC1">
        <w:t xml:space="preserve"> by</w:t>
      </w:r>
      <w:r w:rsidR="00872D71">
        <w:t xml:space="preserve"> </w:t>
      </w:r>
      <w:r w:rsidR="001633E5">
        <w:t xml:space="preserve">a </w:t>
      </w:r>
      <w:r w:rsidR="00872D71">
        <w:t>body other than</w:t>
      </w:r>
      <w:r w:rsidRPr="001B7CC1">
        <w:t xml:space="preserve"> </w:t>
      </w:r>
      <w:r w:rsidR="00BE5153">
        <w:t>the</w:t>
      </w:r>
      <w:r w:rsidRPr="001B7CC1">
        <w:t xml:space="preserve"> parliamentarian</w:t>
      </w:r>
      <w:r w:rsidR="00BE5153">
        <w:t xml:space="preserve"> or their party</w:t>
      </w:r>
      <w:r w:rsidRPr="001B7CC1">
        <w:t xml:space="preserve">, the PBO will consult with the relevant </w:t>
      </w:r>
      <w:r w:rsidR="00BE5153">
        <w:t>parliamentarian</w:t>
      </w:r>
      <w:r w:rsidRPr="001B7CC1">
        <w:t xml:space="preserve"> or </w:t>
      </w:r>
      <w:r w:rsidR="00BE5153">
        <w:t>their party</w:t>
      </w:r>
      <w:r w:rsidRPr="001B7CC1">
        <w:t xml:space="preserve"> about whether the document</w:t>
      </w:r>
      <w:r w:rsidR="00872D71">
        <w:t xml:space="preserve"> will</w:t>
      </w:r>
      <w:r w:rsidRPr="001B7CC1">
        <w:t xml:space="preserve"> b</w:t>
      </w:r>
      <w:r w:rsidR="00BE5153">
        <w:t>e published on the PBO website.</w:t>
      </w:r>
    </w:p>
    <w:p w:rsidR="00BE5153" w:rsidRPr="001B7CC1" w:rsidRDefault="00BE5153" w:rsidP="001B7CC1">
      <w:pPr>
        <w:pStyle w:val="BodyText"/>
      </w:pPr>
      <w:r>
        <w:t xml:space="preserve">These arrangements will make it easier for the public to locate PBO responses that have been legitimately released </w:t>
      </w:r>
      <w:r w:rsidR="006919DE">
        <w:t>into the</w:t>
      </w:r>
      <w:r>
        <w:t xml:space="preserve"> public</w:t>
      </w:r>
      <w:r w:rsidR="006919DE">
        <w:t xml:space="preserve"> domain</w:t>
      </w:r>
      <w:r>
        <w:t xml:space="preserve"> and </w:t>
      </w:r>
      <w:r w:rsidR="006919DE">
        <w:t>treat these documents in an equivalent manner to documents that the PBO is required to release publicly.</w:t>
      </w:r>
    </w:p>
    <w:p w:rsidR="00872D71" w:rsidRPr="000E711F" w:rsidRDefault="00BE5153" w:rsidP="00872D71">
      <w:pPr>
        <w:pStyle w:val="BodyText"/>
        <w:spacing w:before="720" w:after="0"/>
      </w:pPr>
      <w:r>
        <w:t>Jenny Wilkinson</w:t>
      </w:r>
    </w:p>
    <w:p w:rsidR="00872D71" w:rsidRDefault="00872D71" w:rsidP="00832CFE">
      <w:pPr>
        <w:pStyle w:val="BodyText"/>
        <w:spacing w:before="0" w:after="600"/>
        <w:rPr>
          <w:noProof/>
          <w:lang w:val="en-US" w:eastAsia="zh-TW"/>
        </w:rPr>
      </w:pPr>
      <w:r w:rsidRPr="000E711F">
        <w:t>Parliamentary Budget Officer</w:t>
      </w:r>
    </w:p>
    <w:tbl>
      <w:tblPr>
        <w:tblStyle w:val="TableAsPlaceholder"/>
        <w:tblW w:w="0" w:type="auto"/>
        <w:tblLook w:val="04A0" w:firstRow="1" w:lastRow="0" w:firstColumn="1" w:lastColumn="0" w:noHBand="0" w:noVBand="1"/>
      </w:tblPr>
      <w:tblGrid>
        <w:gridCol w:w="2268"/>
        <w:gridCol w:w="7143"/>
      </w:tblGrid>
      <w:tr w:rsidR="00832CFE" w:rsidTr="000D11E6">
        <w:trPr>
          <w:trHeight w:val="210"/>
        </w:trPr>
        <w:tc>
          <w:tcPr>
            <w:tcW w:w="2268" w:type="dxa"/>
          </w:tcPr>
          <w:p w:rsidR="00832CFE" w:rsidRDefault="00832CFE" w:rsidP="000D11E6">
            <w:pPr>
              <w:pStyle w:val="BodyText"/>
              <w:spacing w:before="0" w:after="0"/>
            </w:pPr>
            <w:r>
              <w:t>Release date</w:t>
            </w:r>
          </w:p>
        </w:tc>
        <w:tc>
          <w:tcPr>
            <w:tcW w:w="7143" w:type="dxa"/>
          </w:tcPr>
          <w:p w:rsidR="00832CFE" w:rsidRDefault="00832CFE" w:rsidP="000D11E6">
            <w:pPr>
              <w:pStyle w:val="BodyText"/>
              <w:spacing w:before="0" w:after="240"/>
            </w:pPr>
            <w:r>
              <w:t>11 August 2017</w:t>
            </w:r>
          </w:p>
        </w:tc>
      </w:tr>
      <w:tr w:rsidR="00832CFE" w:rsidTr="000D11E6">
        <w:tc>
          <w:tcPr>
            <w:tcW w:w="2268" w:type="dxa"/>
          </w:tcPr>
          <w:p w:rsidR="00832CFE" w:rsidRDefault="00832CFE" w:rsidP="00DC3459">
            <w:pPr>
              <w:pStyle w:val="BodyText"/>
              <w:spacing w:before="0" w:after="0" w:line="264" w:lineRule="auto"/>
            </w:pPr>
            <w:r>
              <w:t>Contact Officer</w:t>
            </w:r>
            <w:r w:rsidR="001E36B3">
              <w:t>(s)</w:t>
            </w:r>
          </w:p>
        </w:tc>
        <w:tc>
          <w:tcPr>
            <w:tcW w:w="7143" w:type="dxa"/>
          </w:tcPr>
          <w:p w:rsidR="00832CFE" w:rsidRDefault="00832CFE" w:rsidP="00832CFE">
            <w:pPr>
              <w:pStyle w:val="BodyText"/>
              <w:spacing w:before="0" w:after="0" w:line="276" w:lineRule="auto"/>
            </w:pPr>
            <w:r>
              <w:t>Colin Brown</w:t>
            </w:r>
          </w:p>
          <w:sdt>
            <w:sdtPr>
              <w:alias w:val="Position"/>
              <w:tag w:val="Position"/>
              <w:id w:val="-1024164368"/>
              <w:dropDownList>
                <w:listItem w:value="Choose an item."/>
                <w:listItem w:displayText="First Assistant Parliamentary Budget Officer" w:value="First Assistant Parliamentary Budget Officer"/>
                <w:listItem w:displayText="Assistant Parliamentary Budget Officer" w:value="Assistant Parliamentary Budget Officer"/>
              </w:dropDownList>
            </w:sdtPr>
            <w:sdtEndPr/>
            <w:sdtContent>
              <w:p w:rsidR="00832CFE" w:rsidRDefault="00832CFE" w:rsidP="00832CFE">
                <w:pPr>
                  <w:pStyle w:val="BodyText"/>
                  <w:spacing w:before="0" w:after="0" w:line="276" w:lineRule="auto"/>
                </w:pPr>
                <w:r>
                  <w:t>First Assistant Parliamentary Budget Officer</w:t>
                </w:r>
              </w:p>
            </w:sdtContent>
          </w:sdt>
          <w:sdt>
            <w:sdtPr>
              <w:alias w:val="Division"/>
              <w:tag w:val="Division"/>
              <w:id w:val="600384203"/>
              <w:dropDownList>
                <w:listItem w:value="Choose an item."/>
                <w:listItem w:displayText="Budget Analysis Division" w:value="Budget Analysis Division"/>
                <w:listItem w:displayText="Program Analysis Branch" w:value="Program Analysis Branch"/>
                <w:listItem w:displayText="Revenue Analysis Branch" w:value="Revenue Analysis Branch"/>
                <w:listItem w:displayText="Fiscal Policy Analysis Division" w:value="Fiscal Policy Analysis Division"/>
                <w:listItem w:displayText="Fiscal Policy Analysis Branch" w:value="Fiscal Policy Analysis Branch"/>
              </w:dropDownList>
            </w:sdtPr>
            <w:sdtEndPr/>
            <w:sdtContent>
              <w:p w:rsidR="00832CFE" w:rsidRDefault="00832CFE" w:rsidP="00832CFE">
                <w:pPr>
                  <w:pStyle w:val="BodyText"/>
                  <w:spacing w:before="0" w:after="0" w:line="276" w:lineRule="auto"/>
                </w:pPr>
                <w:r>
                  <w:t>Budget Analysis Division</w:t>
                </w:r>
              </w:p>
            </w:sdtContent>
          </w:sdt>
          <w:p w:rsidR="00832CFE" w:rsidRDefault="00832CFE" w:rsidP="00832CFE">
            <w:pPr>
              <w:pStyle w:val="BodyText"/>
              <w:spacing w:before="0" w:after="0" w:line="276" w:lineRule="auto"/>
            </w:pPr>
            <w:r>
              <w:t>(02) 6277 9530</w:t>
            </w:r>
          </w:p>
        </w:tc>
      </w:tr>
    </w:tbl>
    <w:p w:rsidR="00981C9B" w:rsidRDefault="00981C9B" w:rsidP="00DC3459"/>
    <w:sectPr w:rsidR="00981C9B" w:rsidSect="00832CFE">
      <w:pgSz w:w="11906" w:h="16838"/>
      <w:pgMar w:top="1361" w:right="1134"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9B" w:rsidRDefault="00981C9B" w:rsidP="00981C9B">
      <w:pPr>
        <w:spacing w:after="0" w:line="240" w:lineRule="auto"/>
      </w:pPr>
      <w:r>
        <w:separator/>
      </w:r>
    </w:p>
  </w:endnote>
  <w:endnote w:type="continuationSeparator" w:id="0">
    <w:p w:rsidR="00981C9B" w:rsidRDefault="00981C9B" w:rsidP="0098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9B" w:rsidRDefault="00981C9B" w:rsidP="00981C9B">
      <w:pPr>
        <w:spacing w:after="0" w:line="240" w:lineRule="auto"/>
      </w:pPr>
      <w:r>
        <w:separator/>
      </w:r>
    </w:p>
  </w:footnote>
  <w:footnote w:type="continuationSeparator" w:id="0">
    <w:p w:rsidR="00981C9B" w:rsidRDefault="00981C9B" w:rsidP="00981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448"/>
    <w:multiLevelType w:val="multilevel"/>
    <w:tmpl w:val="F92CA402"/>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9B"/>
    <w:rsid w:val="00006F38"/>
    <w:rsid w:val="00025B97"/>
    <w:rsid w:val="000B6E02"/>
    <w:rsid w:val="001633E5"/>
    <w:rsid w:val="001B7CC1"/>
    <w:rsid w:val="001E36B3"/>
    <w:rsid w:val="00405E38"/>
    <w:rsid w:val="006919DE"/>
    <w:rsid w:val="006F4CC2"/>
    <w:rsid w:val="00832CFE"/>
    <w:rsid w:val="008375FA"/>
    <w:rsid w:val="00872D71"/>
    <w:rsid w:val="008D0FE9"/>
    <w:rsid w:val="00981C9B"/>
    <w:rsid w:val="00B03E9A"/>
    <w:rsid w:val="00BD52FB"/>
    <w:rsid w:val="00BE5153"/>
    <w:rsid w:val="00DC3459"/>
    <w:rsid w:val="00EA7DF3"/>
    <w:rsid w:val="00F017DF"/>
    <w:rsid w:val="00F65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72D71"/>
    <w:pPr>
      <w:keepNext/>
      <w:keepLines/>
      <w:numPr>
        <w:numId w:val="1"/>
      </w:numPr>
      <w:tabs>
        <w:tab w:val="right" w:pos="1418"/>
        <w:tab w:val="right" w:pos="1701"/>
        <w:tab w:val="right" w:pos="1985"/>
      </w:tabs>
      <w:spacing w:before="680" w:after="480" w:line="240" w:lineRule="auto"/>
      <w:outlineLvl w:val="0"/>
    </w:pPr>
    <w:rPr>
      <w:rFonts w:asciiTheme="majorHAnsi" w:hAnsiTheme="majorHAnsi"/>
      <w:bCs/>
      <w:color w:val="1F497D" w:themeColor="text2"/>
      <w:spacing w:val="-6"/>
      <w:kern w:val="32"/>
      <w:sz w:val="36"/>
      <w:szCs w:val="32"/>
    </w:rPr>
  </w:style>
  <w:style w:type="paragraph" w:styleId="Heading2">
    <w:name w:val="heading 2"/>
    <w:basedOn w:val="Normal"/>
    <w:next w:val="BodyText"/>
    <w:link w:val="Heading2Char"/>
    <w:qFormat/>
    <w:rsid w:val="00872D71"/>
    <w:pPr>
      <w:keepNext/>
      <w:keepLines/>
      <w:numPr>
        <w:ilvl w:val="1"/>
        <w:numId w:val="1"/>
      </w:numPr>
      <w:tabs>
        <w:tab w:val="left" w:pos="1418"/>
        <w:tab w:val="left" w:pos="1701"/>
        <w:tab w:val="left" w:pos="1985"/>
      </w:tabs>
      <w:spacing w:before="470" w:after="227" w:line="300" w:lineRule="atLeast"/>
      <w:outlineLvl w:val="1"/>
    </w:pPr>
    <w:rPr>
      <w:rFonts w:ascii="Calibri" w:hAnsi="Calibri"/>
      <w:b/>
      <w:bCs/>
      <w:iCs/>
      <w:color w:val="1F497D" w:themeColor="text2"/>
      <w:kern w:val="20"/>
      <w:sz w:val="26"/>
      <w:szCs w:val="28"/>
    </w:rPr>
  </w:style>
  <w:style w:type="paragraph" w:styleId="Heading3">
    <w:name w:val="heading 3"/>
    <w:basedOn w:val="Normal"/>
    <w:next w:val="BodyText"/>
    <w:link w:val="Heading3Char"/>
    <w:rsid w:val="00872D71"/>
    <w:pPr>
      <w:keepNext/>
      <w:keepLines/>
      <w:numPr>
        <w:ilvl w:val="2"/>
        <w:numId w:val="1"/>
      </w:numPr>
      <w:tabs>
        <w:tab w:val="left" w:pos="1418"/>
        <w:tab w:val="left" w:pos="1701"/>
        <w:tab w:val="left" w:pos="1985"/>
      </w:tabs>
      <w:spacing w:before="470" w:after="227" w:line="300" w:lineRule="atLeast"/>
      <w:outlineLvl w:val="2"/>
    </w:pPr>
    <w:rPr>
      <w:b/>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9B"/>
  </w:style>
  <w:style w:type="paragraph" w:styleId="Footer">
    <w:name w:val="footer"/>
    <w:basedOn w:val="Normal"/>
    <w:link w:val="FooterChar"/>
    <w:uiPriority w:val="99"/>
    <w:unhideWhenUsed/>
    <w:rsid w:val="0098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9B"/>
  </w:style>
  <w:style w:type="paragraph" w:customStyle="1" w:styleId="PBOheading2">
    <w:name w:val="PBO heading 2"/>
    <w:basedOn w:val="Normal"/>
    <w:uiPriority w:val="1"/>
    <w:rsid w:val="00981C9B"/>
    <w:pPr>
      <w:keepNext/>
      <w:spacing w:before="1200" w:line="288" w:lineRule="auto"/>
      <w:jc w:val="right"/>
      <w:outlineLvl w:val="0"/>
    </w:pPr>
    <w:rPr>
      <w:rFonts w:ascii="Calibri" w:eastAsia="Times New Roman" w:hAnsi="Calibri" w:cs="Times New Roman"/>
      <w:b/>
      <w:bCs/>
      <w:color w:val="2B3B5F"/>
      <w:kern w:val="32"/>
      <w:sz w:val="26"/>
      <w:szCs w:val="24"/>
    </w:rPr>
  </w:style>
  <w:style w:type="paragraph" w:styleId="BodyText">
    <w:name w:val="Body Text"/>
    <w:basedOn w:val="Normal"/>
    <w:link w:val="BodyTextChar"/>
    <w:qFormat/>
    <w:rsid w:val="00981C9B"/>
    <w:pPr>
      <w:spacing w:before="113" w:after="113" w:line="300" w:lineRule="atLeast"/>
    </w:pPr>
    <w:rPr>
      <w:rFonts w:cs="Times New Roman"/>
      <w:sz w:val="24"/>
    </w:rPr>
  </w:style>
  <w:style w:type="character" w:customStyle="1" w:styleId="BodyTextChar">
    <w:name w:val="Body Text Char"/>
    <w:basedOn w:val="DefaultParagraphFont"/>
    <w:link w:val="BodyText"/>
    <w:rsid w:val="00981C9B"/>
    <w:rPr>
      <w:rFonts w:cs="Times New Roman"/>
      <w:sz w:val="24"/>
    </w:rPr>
  </w:style>
  <w:style w:type="paragraph" w:styleId="Quote">
    <w:name w:val="Quote"/>
    <w:basedOn w:val="Normal"/>
    <w:link w:val="QuoteChar"/>
    <w:rsid w:val="00981C9B"/>
    <w:pPr>
      <w:tabs>
        <w:tab w:val="left" w:pos="1134"/>
      </w:tabs>
      <w:spacing w:before="240" w:after="240" w:line="300" w:lineRule="atLeast"/>
      <w:ind w:left="284"/>
    </w:pPr>
    <w:rPr>
      <w:i/>
      <w:iCs/>
    </w:rPr>
  </w:style>
  <w:style w:type="character" w:customStyle="1" w:styleId="QuoteChar">
    <w:name w:val="Quote Char"/>
    <w:basedOn w:val="DefaultParagraphFont"/>
    <w:link w:val="Quote"/>
    <w:rsid w:val="00981C9B"/>
    <w:rPr>
      <w:i/>
      <w:iCs/>
    </w:rPr>
  </w:style>
  <w:style w:type="character" w:customStyle="1" w:styleId="Heading1Char">
    <w:name w:val="Heading 1 Char"/>
    <w:basedOn w:val="DefaultParagraphFont"/>
    <w:link w:val="Heading1"/>
    <w:rsid w:val="00872D71"/>
    <w:rPr>
      <w:rFonts w:asciiTheme="majorHAnsi" w:hAnsiTheme="majorHAnsi"/>
      <w:bCs/>
      <w:color w:val="1F497D" w:themeColor="text2"/>
      <w:spacing w:val="-6"/>
      <w:kern w:val="32"/>
      <w:sz w:val="36"/>
      <w:szCs w:val="32"/>
    </w:rPr>
  </w:style>
  <w:style w:type="character" w:customStyle="1" w:styleId="Heading2Char">
    <w:name w:val="Heading 2 Char"/>
    <w:basedOn w:val="DefaultParagraphFont"/>
    <w:link w:val="Heading2"/>
    <w:rsid w:val="00872D71"/>
    <w:rPr>
      <w:rFonts w:ascii="Calibri" w:hAnsi="Calibri"/>
      <w:b/>
      <w:bCs/>
      <w:iCs/>
      <w:color w:val="1F497D" w:themeColor="text2"/>
      <w:kern w:val="20"/>
      <w:sz w:val="26"/>
      <w:szCs w:val="28"/>
    </w:rPr>
  </w:style>
  <w:style w:type="character" w:customStyle="1" w:styleId="Heading3Char">
    <w:name w:val="Heading 3 Char"/>
    <w:basedOn w:val="DefaultParagraphFont"/>
    <w:link w:val="Heading3"/>
    <w:rsid w:val="00872D71"/>
    <w:rPr>
      <w:b/>
      <w:color w:val="1F497D" w:themeColor="text2"/>
      <w:sz w:val="28"/>
    </w:rPr>
  </w:style>
  <w:style w:type="table" w:customStyle="1" w:styleId="TableAsPlaceholder">
    <w:name w:val="Table As Placeholder"/>
    <w:basedOn w:val="TableNormal"/>
    <w:uiPriority w:val="99"/>
    <w:qFormat/>
    <w:rsid w:val="00872D71"/>
    <w:pPr>
      <w:spacing w:after="0" w:line="300" w:lineRule="atLeast"/>
    </w:pPr>
    <w:rPr>
      <w:rFonts w:eastAsia="Times New Roman" w:cs="Arial"/>
      <w:lang w:eastAsia="en-AU"/>
    </w:rPr>
    <w:tblPr>
      <w:tblCellMar>
        <w:left w:w="0" w:type="dxa"/>
        <w:right w:w="0" w:type="dxa"/>
      </w:tblCellMar>
    </w:tblPr>
  </w:style>
  <w:style w:type="paragraph" w:styleId="BalloonText">
    <w:name w:val="Balloon Text"/>
    <w:basedOn w:val="Normal"/>
    <w:link w:val="BalloonTextChar"/>
    <w:uiPriority w:val="99"/>
    <w:semiHidden/>
    <w:unhideWhenUsed/>
    <w:rsid w:val="0087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72D71"/>
    <w:pPr>
      <w:keepNext/>
      <w:keepLines/>
      <w:numPr>
        <w:numId w:val="1"/>
      </w:numPr>
      <w:tabs>
        <w:tab w:val="right" w:pos="1418"/>
        <w:tab w:val="right" w:pos="1701"/>
        <w:tab w:val="right" w:pos="1985"/>
      </w:tabs>
      <w:spacing w:before="680" w:after="480" w:line="240" w:lineRule="auto"/>
      <w:outlineLvl w:val="0"/>
    </w:pPr>
    <w:rPr>
      <w:rFonts w:asciiTheme="majorHAnsi" w:hAnsiTheme="majorHAnsi"/>
      <w:bCs/>
      <w:color w:val="1F497D" w:themeColor="text2"/>
      <w:spacing w:val="-6"/>
      <w:kern w:val="32"/>
      <w:sz w:val="36"/>
      <w:szCs w:val="32"/>
    </w:rPr>
  </w:style>
  <w:style w:type="paragraph" w:styleId="Heading2">
    <w:name w:val="heading 2"/>
    <w:basedOn w:val="Normal"/>
    <w:next w:val="BodyText"/>
    <w:link w:val="Heading2Char"/>
    <w:qFormat/>
    <w:rsid w:val="00872D71"/>
    <w:pPr>
      <w:keepNext/>
      <w:keepLines/>
      <w:numPr>
        <w:ilvl w:val="1"/>
        <w:numId w:val="1"/>
      </w:numPr>
      <w:tabs>
        <w:tab w:val="left" w:pos="1418"/>
        <w:tab w:val="left" w:pos="1701"/>
        <w:tab w:val="left" w:pos="1985"/>
      </w:tabs>
      <w:spacing w:before="470" w:after="227" w:line="300" w:lineRule="atLeast"/>
      <w:outlineLvl w:val="1"/>
    </w:pPr>
    <w:rPr>
      <w:rFonts w:ascii="Calibri" w:hAnsi="Calibri"/>
      <w:b/>
      <w:bCs/>
      <w:iCs/>
      <w:color w:val="1F497D" w:themeColor="text2"/>
      <w:kern w:val="20"/>
      <w:sz w:val="26"/>
      <w:szCs w:val="28"/>
    </w:rPr>
  </w:style>
  <w:style w:type="paragraph" w:styleId="Heading3">
    <w:name w:val="heading 3"/>
    <w:basedOn w:val="Normal"/>
    <w:next w:val="BodyText"/>
    <w:link w:val="Heading3Char"/>
    <w:rsid w:val="00872D71"/>
    <w:pPr>
      <w:keepNext/>
      <w:keepLines/>
      <w:numPr>
        <w:ilvl w:val="2"/>
        <w:numId w:val="1"/>
      </w:numPr>
      <w:tabs>
        <w:tab w:val="left" w:pos="1418"/>
        <w:tab w:val="left" w:pos="1701"/>
        <w:tab w:val="left" w:pos="1985"/>
      </w:tabs>
      <w:spacing w:before="470" w:after="227" w:line="300" w:lineRule="atLeast"/>
      <w:outlineLvl w:val="2"/>
    </w:pPr>
    <w:rPr>
      <w:b/>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9B"/>
  </w:style>
  <w:style w:type="paragraph" w:styleId="Footer">
    <w:name w:val="footer"/>
    <w:basedOn w:val="Normal"/>
    <w:link w:val="FooterChar"/>
    <w:uiPriority w:val="99"/>
    <w:unhideWhenUsed/>
    <w:rsid w:val="0098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9B"/>
  </w:style>
  <w:style w:type="paragraph" w:customStyle="1" w:styleId="PBOheading2">
    <w:name w:val="PBO heading 2"/>
    <w:basedOn w:val="Normal"/>
    <w:uiPriority w:val="1"/>
    <w:rsid w:val="00981C9B"/>
    <w:pPr>
      <w:keepNext/>
      <w:spacing w:before="1200" w:line="288" w:lineRule="auto"/>
      <w:jc w:val="right"/>
      <w:outlineLvl w:val="0"/>
    </w:pPr>
    <w:rPr>
      <w:rFonts w:ascii="Calibri" w:eastAsia="Times New Roman" w:hAnsi="Calibri" w:cs="Times New Roman"/>
      <w:b/>
      <w:bCs/>
      <w:color w:val="2B3B5F"/>
      <w:kern w:val="32"/>
      <w:sz w:val="26"/>
      <w:szCs w:val="24"/>
    </w:rPr>
  </w:style>
  <w:style w:type="paragraph" w:styleId="BodyText">
    <w:name w:val="Body Text"/>
    <w:basedOn w:val="Normal"/>
    <w:link w:val="BodyTextChar"/>
    <w:qFormat/>
    <w:rsid w:val="00981C9B"/>
    <w:pPr>
      <w:spacing w:before="113" w:after="113" w:line="300" w:lineRule="atLeast"/>
    </w:pPr>
    <w:rPr>
      <w:rFonts w:cs="Times New Roman"/>
      <w:sz w:val="24"/>
    </w:rPr>
  </w:style>
  <w:style w:type="character" w:customStyle="1" w:styleId="BodyTextChar">
    <w:name w:val="Body Text Char"/>
    <w:basedOn w:val="DefaultParagraphFont"/>
    <w:link w:val="BodyText"/>
    <w:rsid w:val="00981C9B"/>
    <w:rPr>
      <w:rFonts w:cs="Times New Roman"/>
      <w:sz w:val="24"/>
    </w:rPr>
  </w:style>
  <w:style w:type="paragraph" w:styleId="Quote">
    <w:name w:val="Quote"/>
    <w:basedOn w:val="Normal"/>
    <w:link w:val="QuoteChar"/>
    <w:rsid w:val="00981C9B"/>
    <w:pPr>
      <w:tabs>
        <w:tab w:val="left" w:pos="1134"/>
      </w:tabs>
      <w:spacing w:before="240" w:after="240" w:line="300" w:lineRule="atLeast"/>
      <w:ind w:left="284"/>
    </w:pPr>
    <w:rPr>
      <w:i/>
      <w:iCs/>
    </w:rPr>
  </w:style>
  <w:style w:type="character" w:customStyle="1" w:styleId="QuoteChar">
    <w:name w:val="Quote Char"/>
    <w:basedOn w:val="DefaultParagraphFont"/>
    <w:link w:val="Quote"/>
    <w:rsid w:val="00981C9B"/>
    <w:rPr>
      <w:i/>
      <w:iCs/>
    </w:rPr>
  </w:style>
  <w:style w:type="character" w:customStyle="1" w:styleId="Heading1Char">
    <w:name w:val="Heading 1 Char"/>
    <w:basedOn w:val="DefaultParagraphFont"/>
    <w:link w:val="Heading1"/>
    <w:rsid w:val="00872D71"/>
    <w:rPr>
      <w:rFonts w:asciiTheme="majorHAnsi" w:hAnsiTheme="majorHAnsi"/>
      <w:bCs/>
      <w:color w:val="1F497D" w:themeColor="text2"/>
      <w:spacing w:val="-6"/>
      <w:kern w:val="32"/>
      <w:sz w:val="36"/>
      <w:szCs w:val="32"/>
    </w:rPr>
  </w:style>
  <w:style w:type="character" w:customStyle="1" w:styleId="Heading2Char">
    <w:name w:val="Heading 2 Char"/>
    <w:basedOn w:val="DefaultParagraphFont"/>
    <w:link w:val="Heading2"/>
    <w:rsid w:val="00872D71"/>
    <w:rPr>
      <w:rFonts w:ascii="Calibri" w:hAnsi="Calibri"/>
      <w:b/>
      <w:bCs/>
      <w:iCs/>
      <w:color w:val="1F497D" w:themeColor="text2"/>
      <w:kern w:val="20"/>
      <w:sz w:val="26"/>
      <w:szCs w:val="28"/>
    </w:rPr>
  </w:style>
  <w:style w:type="character" w:customStyle="1" w:styleId="Heading3Char">
    <w:name w:val="Heading 3 Char"/>
    <w:basedOn w:val="DefaultParagraphFont"/>
    <w:link w:val="Heading3"/>
    <w:rsid w:val="00872D71"/>
    <w:rPr>
      <w:b/>
      <w:color w:val="1F497D" w:themeColor="text2"/>
      <w:sz w:val="28"/>
    </w:rPr>
  </w:style>
  <w:style w:type="table" w:customStyle="1" w:styleId="TableAsPlaceholder">
    <w:name w:val="Table As Placeholder"/>
    <w:basedOn w:val="TableNormal"/>
    <w:uiPriority w:val="99"/>
    <w:qFormat/>
    <w:rsid w:val="00872D71"/>
    <w:pPr>
      <w:spacing w:after="0" w:line="300" w:lineRule="atLeast"/>
    </w:pPr>
    <w:rPr>
      <w:rFonts w:eastAsia="Times New Roman" w:cs="Arial"/>
      <w:lang w:eastAsia="en-AU"/>
    </w:rPr>
    <w:tblPr>
      <w:tblCellMar>
        <w:left w:w="0" w:type="dxa"/>
        <w:right w:w="0" w:type="dxa"/>
      </w:tblCellMar>
    </w:tblPr>
  </w:style>
  <w:style w:type="paragraph" w:styleId="BalloonText">
    <w:name w:val="Balloon Text"/>
    <w:basedOn w:val="Normal"/>
    <w:link w:val="BalloonTextChar"/>
    <w:uiPriority w:val="99"/>
    <w:semiHidden/>
    <w:unhideWhenUsed/>
    <w:rsid w:val="0087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37EC-02A8-4AEF-B580-0B1534A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PBO publication of responses that have been publicly released by the parliamentarians</vt:lpstr>
    </vt:vector>
  </TitlesOfParts>
  <Company>Parliament of Australia</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publication of responses that have been publicly released by parliamentarians</dc:title>
  <dc:creator>Parliamentary Budget Office</dc:creator>
  <cp:lastModifiedBy>Pratley, Lauren (PBO)</cp:lastModifiedBy>
  <cp:revision>19</cp:revision>
  <dcterms:created xsi:type="dcterms:W3CDTF">2017-07-13T01:09:00Z</dcterms:created>
  <dcterms:modified xsi:type="dcterms:W3CDTF">2017-08-11T01:35:00Z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