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CE" w:rsidRDefault="00BC793E" w:rsidP="00372AEB">
      <w:pPr>
        <w:pStyle w:val="Lettertext"/>
        <w:spacing w:before="1560"/>
      </w:pPr>
      <w:bookmarkStart w:id="0" w:name="_GoBack"/>
      <w:bookmarkEnd w:id="0"/>
      <w:r>
        <w:t>Senator Richard Di Natale</w:t>
      </w:r>
    </w:p>
    <w:p w:rsidR="00040DCE" w:rsidRPr="00002D5D" w:rsidRDefault="00BC793E" w:rsidP="00372AEB">
      <w:pPr>
        <w:pStyle w:val="Lettertext"/>
        <w:spacing w:before="0"/>
      </w:pPr>
      <w:r>
        <w:t>Leader of the Australian Greens</w:t>
      </w:r>
    </w:p>
    <w:p w:rsidR="00040DCE" w:rsidRPr="00002D5D" w:rsidRDefault="005C6967" w:rsidP="00372AEB">
      <w:pPr>
        <w:pStyle w:val="Lettertext"/>
        <w:spacing w:before="0"/>
      </w:pPr>
      <w:r>
        <w:t>Parliament House</w:t>
      </w:r>
    </w:p>
    <w:p w:rsidR="00040DCE" w:rsidRPr="00002D5D" w:rsidRDefault="005C6967" w:rsidP="00372AEB">
      <w:pPr>
        <w:pStyle w:val="Lettertext"/>
        <w:spacing w:before="0"/>
      </w:pPr>
      <w:proofErr w:type="gramStart"/>
      <w:r>
        <w:t>CANBERRA  ACT</w:t>
      </w:r>
      <w:proofErr w:type="gramEnd"/>
      <w:r>
        <w:t xml:space="preserve">  2600</w:t>
      </w:r>
    </w:p>
    <w:p w:rsidR="00040DCE" w:rsidRPr="00002D5D" w:rsidRDefault="00040DCE" w:rsidP="00372AEB">
      <w:pPr>
        <w:pStyle w:val="Lettertext"/>
        <w:spacing w:before="480"/>
      </w:pPr>
      <w:r w:rsidRPr="00002D5D">
        <w:t xml:space="preserve">Dear </w:t>
      </w:r>
      <w:r w:rsidR="00BC793E">
        <w:t>Senator Di Natale</w:t>
      </w:r>
    </w:p>
    <w:p w:rsidR="00040DCE" w:rsidRPr="00002D5D" w:rsidRDefault="00040DCE" w:rsidP="00372AEB">
      <w:pPr>
        <w:pStyle w:val="Lettertext"/>
      </w:pPr>
      <w:r w:rsidRPr="00002D5D">
        <w:t xml:space="preserve">Please find attached a response to your costing request, </w:t>
      </w:r>
      <w:proofErr w:type="gramStart"/>
      <w:r w:rsidR="003075E1">
        <w:rPr>
          <w:i/>
        </w:rPr>
        <w:t>Guaranteed</w:t>
      </w:r>
      <w:proofErr w:type="gramEnd"/>
      <w:r w:rsidR="003075E1">
        <w:rPr>
          <w:i/>
        </w:rPr>
        <w:t xml:space="preserve"> a</w:t>
      </w:r>
      <w:r w:rsidR="00BC793E">
        <w:rPr>
          <w:i/>
        </w:rPr>
        <w:t>ccess to</w:t>
      </w:r>
      <w:r w:rsidR="005D340C">
        <w:rPr>
          <w:i/>
        </w:rPr>
        <w:t xml:space="preserve"> </w:t>
      </w:r>
      <w:r w:rsidR="003075E1">
        <w:rPr>
          <w:i/>
        </w:rPr>
        <w:t>pre</w:t>
      </w:r>
      <w:r w:rsidR="005D340C">
        <w:rPr>
          <w:i/>
        </w:rPr>
        <w:noBreakHyphen/>
      </w:r>
      <w:r w:rsidR="003075E1">
        <w:rPr>
          <w:i/>
        </w:rPr>
        <w:t>exposure prop</w:t>
      </w:r>
      <w:r w:rsidR="005D340C">
        <w:rPr>
          <w:i/>
        </w:rPr>
        <w:t>h</w:t>
      </w:r>
      <w:r w:rsidR="003075E1">
        <w:rPr>
          <w:i/>
        </w:rPr>
        <w:t>ylaxis (</w:t>
      </w:r>
      <w:r w:rsidR="00BC793E">
        <w:rPr>
          <w:i/>
        </w:rPr>
        <w:t>PrEP</w:t>
      </w:r>
      <w:r w:rsidR="003075E1">
        <w:rPr>
          <w:i/>
        </w:rPr>
        <w:t>)</w:t>
      </w:r>
      <w:r w:rsidR="00BC793E">
        <w:rPr>
          <w:i/>
        </w:rPr>
        <w:t xml:space="preserve"> </w:t>
      </w:r>
      <w:r w:rsidRPr="00002D5D">
        <w:t xml:space="preserve">(letter of </w:t>
      </w:r>
      <w:r w:rsidR="00BC793E">
        <w:t>30 June</w:t>
      </w:r>
      <w:r w:rsidRPr="00002D5D">
        <w:t xml:space="preserve"> 2016).</w:t>
      </w:r>
    </w:p>
    <w:p w:rsidR="00040DCE" w:rsidRPr="00002D5D" w:rsidRDefault="00040DCE" w:rsidP="00372AEB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372AEB">
      <w:pPr>
        <w:pStyle w:val="Lettertext"/>
      </w:pPr>
      <w:r w:rsidRPr="00002D5D">
        <w:t xml:space="preserve">If you have any queries about this costing, please </w:t>
      </w:r>
      <w:r w:rsidR="00F75D33">
        <w:t>contact Colin </w:t>
      </w:r>
      <w:r w:rsidR="003D7744">
        <w:t>Brown on (02) </w:t>
      </w:r>
      <w:r w:rsidRPr="00002D5D">
        <w:t>6277</w:t>
      </w:r>
      <w:r w:rsidR="003D7744">
        <w:t> </w:t>
      </w:r>
      <w:r w:rsidRPr="00002D5D">
        <w:t>9530.</w:t>
      </w:r>
    </w:p>
    <w:p w:rsidR="00040DCE" w:rsidRPr="00002D5D" w:rsidRDefault="00040DCE" w:rsidP="00372AEB">
      <w:pPr>
        <w:pStyle w:val="Lettertext"/>
      </w:pPr>
      <w:r w:rsidRPr="00002D5D">
        <w:t>Yours sincerely</w:t>
      </w:r>
    </w:p>
    <w:p w:rsidR="00040DCE" w:rsidRPr="00002D5D" w:rsidRDefault="00DA1C8A" w:rsidP="00372AEB">
      <w:pPr>
        <w:pStyle w:val="Lettertext"/>
        <w:spacing w:before="960"/>
      </w:pPr>
      <w:r w:rsidRPr="00002D5D">
        <w:t>Phil Bowen</w:t>
      </w:r>
    </w:p>
    <w:p w:rsidR="00096F3A" w:rsidRPr="00002D5D" w:rsidRDefault="005D340C" w:rsidP="005D340C">
      <w:pPr>
        <w:pStyle w:val="Lettertext"/>
        <w:spacing w:before="120"/>
      </w:pPr>
      <w:r>
        <w:t xml:space="preserve">30 </w:t>
      </w:r>
      <w:r w:rsidR="00F2226B">
        <w:t>Ju</w:t>
      </w:r>
      <w:r w:rsidR="00882E6A">
        <w:t>ne</w:t>
      </w:r>
      <w:r w:rsidR="00040DCE" w:rsidRPr="00002D5D">
        <w:t xml:space="preserve"> </w:t>
      </w:r>
      <w:r w:rsidR="00DA1C8A" w:rsidRPr="00002D5D"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Style1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RPr="00433021" w:rsidTr="00D5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:rsidR="004D5525" w:rsidRPr="00433021" w:rsidRDefault="004D5525" w:rsidP="004D5525">
            <w:pPr>
              <w:pStyle w:val="BodyText"/>
              <w:rPr>
                <w:sz w:val="22"/>
              </w:rPr>
            </w:pPr>
            <w:r w:rsidRPr="00433021">
              <w:rPr>
                <w:sz w:val="22"/>
              </w:rPr>
              <w:t>Name of proposal:</w:t>
            </w:r>
          </w:p>
        </w:tc>
        <w:tc>
          <w:tcPr>
            <w:tcW w:w="5335" w:type="dxa"/>
          </w:tcPr>
          <w:p w:rsidR="004D5525" w:rsidRPr="00433021" w:rsidRDefault="00381EDC" w:rsidP="003D4673">
            <w:pPr>
              <w:pStyle w:val="BodyText"/>
              <w:rPr>
                <w:sz w:val="22"/>
              </w:rPr>
            </w:pPr>
            <w:r w:rsidRPr="00433021">
              <w:rPr>
                <w:sz w:val="22"/>
              </w:rPr>
              <w:t xml:space="preserve">Guaranteed access to </w:t>
            </w:r>
            <w:r w:rsidR="003D4673" w:rsidRPr="00433021">
              <w:rPr>
                <w:sz w:val="22"/>
              </w:rPr>
              <w:t>pre-exposure prophylaxis</w:t>
            </w:r>
            <w:r w:rsidR="001D17BB" w:rsidRPr="00433021">
              <w:rPr>
                <w:sz w:val="22"/>
              </w:rPr>
              <w:t xml:space="preserve"> (PrEP)</w:t>
            </w:r>
          </w:p>
        </w:tc>
      </w:tr>
      <w:tr w:rsidR="004D5525" w:rsidTr="00381EDC">
        <w:tc>
          <w:tcPr>
            <w:tcW w:w="3005" w:type="dxa"/>
            <w:shd w:val="clear" w:color="auto" w:fill="auto"/>
          </w:tcPr>
          <w:p w:rsidR="004D5525" w:rsidRDefault="004D5525" w:rsidP="004D5525">
            <w:pPr>
              <w:pStyle w:val="BodyText"/>
            </w:pPr>
            <w:r>
              <w:t>Summary of proposal:</w:t>
            </w:r>
          </w:p>
        </w:tc>
        <w:tc>
          <w:tcPr>
            <w:tcW w:w="5335" w:type="dxa"/>
            <w:shd w:val="clear" w:color="auto" w:fill="auto"/>
          </w:tcPr>
          <w:p w:rsidR="004D5525" w:rsidRPr="00C17112" w:rsidRDefault="004D5525" w:rsidP="004D5525">
            <w:r w:rsidRPr="00381EDC">
              <w:t>The proposal would</w:t>
            </w:r>
            <w:r w:rsidR="00882E6A">
              <w:t xml:space="preserve"> provide funding to</w:t>
            </w:r>
            <w:r w:rsidR="003D4673">
              <w:t xml:space="preserve">: </w:t>
            </w:r>
          </w:p>
          <w:p w:rsidR="00381EDC" w:rsidRDefault="00381EDC" w:rsidP="00433021">
            <w:pPr>
              <w:pStyle w:val="Bullet1"/>
              <w:ind w:left="284" w:hanging="284"/>
            </w:pPr>
            <w:r>
              <w:t xml:space="preserve">supply PrEP </w:t>
            </w:r>
            <w:r w:rsidR="00882E6A">
              <w:t>over the next two years (2016-17 and 2017</w:t>
            </w:r>
            <w:r w:rsidR="00433021">
              <w:noBreakHyphen/>
            </w:r>
            <w:r w:rsidR="00882E6A">
              <w:t xml:space="preserve">18) </w:t>
            </w:r>
            <w:r>
              <w:t xml:space="preserve">to up to 3,000 </w:t>
            </w:r>
            <w:r w:rsidR="00882E6A">
              <w:t>high</w:t>
            </w:r>
            <w:r w:rsidR="00882E6A">
              <w:noBreakHyphen/>
              <w:t>risk Australians</w:t>
            </w:r>
            <w:r w:rsidR="003B672A">
              <w:t xml:space="preserve"> who </w:t>
            </w:r>
            <w:r>
              <w:t xml:space="preserve">are not currently </w:t>
            </w:r>
            <w:r w:rsidR="003F416C">
              <w:t xml:space="preserve">participating in PrEP </w:t>
            </w:r>
            <w:r>
              <w:t>clinical trials</w:t>
            </w:r>
            <w:r w:rsidR="003B672A">
              <w:t xml:space="preserve"> </w:t>
            </w:r>
            <w:r>
              <w:t xml:space="preserve"> </w:t>
            </w:r>
          </w:p>
          <w:p w:rsidR="00381EDC" w:rsidRDefault="003D4673" w:rsidP="00433021">
            <w:pPr>
              <w:pStyle w:val="Bullet1"/>
              <w:ind w:left="284" w:hanging="284"/>
            </w:pPr>
            <w:proofErr w:type="gramStart"/>
            <w:r>
              <w:t>supply</w:t>
            </w:r>
            <w:proofErr w:type="gramEnd"/>
            <w:r>
              <w:t xml:space="preserve"> PrEP </w:t>
            </w:r>
            <w:r w:rsidR="00882E6A">
              <w:t>over the following two years (2018</w:t>
            </w:r>
            <w:r w:rsidR="005132F6">
              <w:noBreakHyphen/>
            </w:r>
            <w:r w:rsidR="00882E6A">
              <w:t xml:space="preserve">19 and 2019-20) </w:t>
            </w:r>
            <w:r w:rsidR="00381EDC">
              <w:t xml:space="preserve">to up to 11,000 people </w:t>
            </w:r>
            <w:r w:rsidR="0080578A">
              <w:t>as a safety net for high</w:t>
            </w:r>
            <w:r w:rsidR="0080578A">
              <w:noBreakHyphen/>
              <w:t xml:space="preserve">risk users of PrEP </w:t>
            </w:r>
            <w:r>
              <w:t xml:space="preserve">should PrEP medication not be </w:t>
            </w:r>
            <w:r w:rsidR="003F416C">
              <w:t>listed on</w:t>
            </w:r>
            <w:r>
              <w:t xml:space="preserve"> the Pharmaceutic</w:t>
            </w:r>
            <w:r w:rsidR="003F416C">
              <w:t>al B</w:t>
            </w:r>
            <w:r>
              <w:t xml:space="preserve">enefits Scheme (PBS). </w:t>
            </w:r>
          </w:p>
          <w:p w:rsidR="004D5525" w:rsidRDefault="004D5525" w:rsidP="00F72A7B">
            <w:pPr>
              <w:pStyle w:val="Bullet1"/>
              <w:numPr>
                <w:ilvl w:val="0"/>
                <w:numId w:val="0"/>
              </w:numPr>
            </w:pPr>
            <w:r w:rsidRPr="00381EDC">
              <w:t xml:space="preserve">The proposal would have effect from </w:t>
            </w:r>
            <w:r w:rsidR="00381EDC">
              <w:t>1 September 2016</w:t>
            </w:r>
            <w:r w:rsidRPr="00381EDC">
              <w:t>.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Person/party requesting costing:</w:t>
            </w:r>
          </w:p>
        </w:tc>
        <w:tc>
          <w:tcPr>
            <w:tcW w:w="5335" w:type="dxa"/>
          </w:tcPr>
          <w:p w:rsidR="004D5525" w:rsidRDefault="002573CC" w:rsidP="004D5525">
            <w:pPr>
              <w:pStyle w:val="BodyText"/>
            </w:pPr>
            <w:r>
              <w:t>Senator Richard Di Natale, Australian Greens</w:t>
            </w:r>
          </w:p>
        </w:tc>
      </w:tr>
      <w:tr w:rsidR="007D3577" w:rsidTr="00060F22">
        <w:tc>
          <w:tcPr>
            <w:tcW w:w="3005" w:type="dxa"/>
          </w:tcPr>
          <w:p w:rsidR="007D3577" w:rsidRDefault="007D3577" w:rsidP="00060F22">
            <w:pPr>
              <w:pStyle w:val="BodyText"/>
            </w:pPr>
            <w:r>
              <w:t>Date of public release of policy:</w:t>
            </w:r>
          </w:p>
        </w:tc>
        <w:tc>
          <w:tcPr>
            <w:tcW w:w="5335" w:type="dxa"/>
          </w:tcPr>
          <w:p w:rsidR="007D3577" w:rsidRDefault="002573CC" w:rsidP="00060F22">
            <w:pPr>
              <w:pStyle w:val="BodyText"/>
            </w:pPr>
            <w:r>
              <w:t>27 May 2016</w:t>
            </w:r>
          </w:p>
          <w:p w:rsidR="002573CC" w:rsidRPr="002573CC" w:rsidRDefault="007E6156" w:rsidP="002573CC">
            <w:pPr>
              <w:pStyle w:val="TableTextCentred"/>
              <w:jc w:val="left"/>
              <w:rPr>
                <w:sz w:val="22"/>
              </w:rPr>
            </w:pPr>
            <w:hyperlink r:id="rId13" w:history="1">
              <w:r w:rsidR="002573CC" w:rsidRPr="00A5518A">
                <w:rPr>
                  <w:rStyle w:val="Hyperlink"/>
                  <w:sz w:val="22"/>
                </w:rPr>
                <w:t>http://greens.org.au/prep</w:t>
              </w:r>
            </w:hyperlink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request received:</w:t>
            </w:r>
          </w:p>
        </w:tc>
        <w:tc>
          <w:tcPr>
            <w:tcW w:w="5335" w:type="dxa"/>
          </w:tcPr>
          <w:p w:rsidR="004D5525" w:rsidRDefault="002573CC" w:rsidP="004D5525">
            <w:pPr>
              <w:pStyle w:val="BodyText"/>
            </w:pPr>
            <w:r>
              <w:t>30 June 2016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completed</w:t>
            </w:r>
            <w:r w:rsidR="00433021">
              <w:t>:</w:t>
            </w:r>
          </w:p>
        </w:tc>
        <w:tc>
          <w:tcPr>
            <w:tcW w:w="5335" w:type="dxa"/>
          </w:tcPr>
          <w:p w:rsidR="004D5525" w:rsidRPr="00C17112" w:rsidRDefault="0080578A" w:rsidP="0080578A">
            <w:pPr>
              <w:pStyle w:val="BodyText"/>
            </w:pPr>
            <w:r>
              <w:t>30 June</w:t>
            </w:r>
            <w:r w:rsidR="002573CC">
              <w:t xml:space="preserve"> 2016</w:t>
            </w:r>
          </w:p>
        </w:tc>
      </w:tr>
      <w:tr w:rsidR="004D5525" w:rsidTr="00D52D5F">
        <w:tc>
          <w:tcPr>
            <w:tcW w:w="3005" w:type="dxa"/>
          </w:tcPr>
          <w:p w:rsidR="004D5525" w:rsidRPr="00220BE5" w:rsidRDefault="004D5525" w:rsidP="004D5525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4D5525" w:rsidRPr="00220BE5" w:rsidRDefault="00F4535C" w:rsidP="00220BE5">
            <w:pPr>
              <w:pStyle w:val="BodyText"/>
            </w:pPr>
            <w:r>
              <w:t>Release of the next economic and fiscal outlook report</w:t>
            </w:r>
          </w:p>
        </w:tc>
      </w:tr>
    </w:tbl>
    <w:p w:rsidR="0055581F" w:rsidRPr="00002D5D" w:rsidRDefault="008030EC" w:rsidP="00433021">
      <w:pPr>
        <w:pStyle w:val="Heading2"/>
        <w:keepNext w:val="0"/>
        <w:keepLines w:val="0"/>
      </w:pPr>
      <w:r w:rsidRPr="00002D5D">
        <w:t>Costing overview</w:t>
      </w:r>
    </w:p>
    <w:p w:rsidR="008D3909" w:rsidRDefault="00E612CE" w:rsidP="00433021">
      <w:r w:rsidRPr="00E612CE">
        <w:t>This pro</w:t>
      </w:r>
      <w:r>
        <w:t>posal would be expected to decrease both the fiscal and underlying cash balances by $</w:t>
      </w:r>
      <w:r w:rsidR="008E44DD">
        <w:t>40</w:t>
      </w:r>
      <w:r>
        <w:t>.2 million over the 2016-17 Budget forward estimates period.  This reflects an increase</w:t>
      </w:r>
      <w:r w:rsidR="001F22AC">
        <w:t xml:space="preserve"> in administered expenses of $</w:t>
      </w:r>
      <w:r w:rsidR="008E44DD">
        <w:t>36.4</w:t>
      </w:r>
      <w:r>
        <w:t xml:space="preserve"> million and an increase in</w:t>
      </w:r>
      <w:r w:rsidR="001F22AC">
        <w:t xml:space="preserve"> departmental expenses of $3.</w:t>
      </w:r>
      <w:r w:rsidR="008E44DD">
        <w:t>8</w:t>
      </w:r>
      <w:r w:rsidR="003F416C">
        <w:t> </w:t>
      </w:r>
      <w:r>
        <w:t>million over this period.</w:t>
      </w:r>
    </w:p>
    <w:p w:rsidR="001F22AC" w:rsidRDefault="0035124E" w:rsidP="00433021">
      <w:r>
        <w:t>Th</w:t>
      </w:r>
      <w:r w:rsidR="00227892">
        <w:t>ere would be no financial implications</w:t>
      </w:r>
      <w:r>
        <w:t xml:space="preserve"> beyond the 2016-17 Budget forward estimates period as the duration of the proposal would end </w:t>
      </w:r>
      <w:r w:rsidR="001F22AC">
        <w:t xml:space="preserve">on 1 July 2020.  </w:t>
      </w:r>
      <w:r w:rsidR="0080578A">
        <w:t xml:space="preserve">Detailed </w:t>
      </w:r>
      <w:r w:rsidR="001F22AC">
        <w:t xml:space="preserve">financial implications of this proposal </w:t>
      </w:r>
      <w:r w:rsidR="0080578A">
        <w:t>are</w:t>
      </w:r>
      <w:r w:rsidR="001F22AC">
        <w:t xml:space="preserve"> provided at </w:t>
      </w:r>
      <w:r w:rsidR="001F22AC" w:rsidRPr="001F22AC">
        <w:rPr>
          <w:u w:val="single"/>
        </w:rPr>
        <w:t>Attachment A</w:t>
      </w:r>
      <w:r w:rsidR="001F22AC">
        <w:t>.</w:t>
      </w:r>
    </w:p>
    <w:p w:rsidR="001F22AC" w:rsidRDefault="006C1754" w:rsidP="00433021">
      <w:pPr>
        <w:keepNext/>
        <w:keepLines/>
      </w:pPr>
      <w:r>
        <w:lastRenderedPageBreak/>
        <w:t>The administered expense estimates of this costing are considered to be of medium reliability</w:t>
      </w:r>
      <w:r w:rsidR="0080578A">
        <w:t xml:space="preserve">.  While </w:t>
      </w:r>
      <w:r>
        <w:t>the number of participants is capped</w:t>
      </w:r>
      <w:r w:rsidR="0080578A">
        <w:t xml:space="preserve"> the</w:t>
      </w:r>
      <w:r w:rsidR="00544451">
        <w:t xml:space="preserve"> </w:t>
      </w:r>
      <w:r w:rsidR="0080578A">
        <w:t xml:space="preserve">future </w:t>
      </w:r>
      <w:r w:rsidR="00544451">
        <w:t>pri</w:t>
      </w:r>
      <w:r w:rsidR="005E0A4E">
        <w:t xml:space="preserve">ce of PrEP </w:t>
      </w:r>
      <w:r w:rsidR="0080578A">
        <w:t xml:space="preserve">medication </w:t>
      </w:r>
      <w:r w:rsidR="005E0A4E">
        <w:t>is subject to change.</w:t>
      </w:r>
    </w:p>
    <w:p w:rsidR="006C1754" w:rsidRPr="00E612CE" w:rsidRDefault="006C1754" w:rsidP="00433021">
      <w:r>
        <w:t xml:space="preserve">The departmental expense estimates of this costing are considered to be of high reliability as they are </w:t>
      </w:r>
      <w:r w:rsidR="00F1786E">
        <w:t>based on the cost of similar programs</w:t>
      </w:r>
      <w:r>
        <w:t>.</w:t>
      </w:r>
    </w:p>
    <w:p w:rsidR="005E3562" w:rsidRPr="00FC6579" w:rsidRDefault="005E3562" w:rsidP="00FC6579">
      <w:pPr>
        <w:pStyle w:val="Captionheading"/>
      </w:pPr>
      <w:r w:rsidRPr="00FC6579">
        <w:t xml:space="preserve">Table </w:t>
      </w:r>
      <w:r w:rsidR="001A02D1" w:rsidRPr="00FC6579">
        <w:t>1</w:t>
      </w:r>
      <w:r w:rsidRPr="00FC6579">
        <w:t>: Financial implications (outturn prices</w:t>
      </w:r>
      <w:proofErr w:type="gramStart"/>
      <w:r w:rsidRPr="00FC6579">
        <w:t>)</w:t>
      </w:r>
      <w:r w:rsidRPr="00844776">
        <w:rPr>
          <w:vertAlign w:val="superscript"/>
        </w:rPr>
        <w:t>(</w:t>
      </w:r>
      <w:proofErr w:type="gramEnd"/>
      <w:r w:rsidRPr="00844776">
        <w:rPr>
          <w:vertAlign w:val="superscript"/>
        </w:rPr>
        <w:t>a)</w:t>
      </w:r>
      <w:r w:rsidR="003F416C">
        <w:rPr>
          <w:vertAlign w:val="superscript"/>
        </w:rPr>
        <w:t>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B73AC8" w:rsidTr="00E27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  <w:vAlign w:val="center"/>
          </w:tcPr>
          <w:p w:rsidR="00CA5D42" w:rsidRPr="00B73AC8" w:rsidRDefault="00CA5D42" w:rsidP="00E27166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Impact on</w:t>
            </w:r>
            <w:r w:rsidR="00461597">
              <w:rPr>
                <w:rFonts w:ascii="Calibri" w:hAnsi="Calibri"/>
                <w:szCs w:val="20"/>
              </w:rPr>
              <w:t xml:space="preserve"> ($m)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E27166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E27166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E27166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E27166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  <w:vAlign w:val="center"/>
          </w:tcPr>
          <w:p w:rsidR="00CA5D42" w:rsidRPr="00F97DFF" w:rsidRDefault="00CA5D42" w:rsidP="00E27166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F97DFF">
              <w:rPr>
                <w:rFonts w:ascii="Calibri" w:hAnsi="Calibri"/>
                <w:b/>
                <w:szCs w:val="20"/>
              </w:rPr>
              <w:t>Total</w:t>
            </w:r>
          </w:p>
        </w:tc>
      </w:tr>
      <w:tr w:rsidR="008E44DD" w:rsidRPr="00B73AC8" w:rsidTr="00E27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8E44DD" w:rsidRPr="00B73AC8" w:rsidRDefault="008E44DD" w:rsidP="00E27166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Fiscal balance</w:t>
            </w:r>
          </w:p>
        </w:tc>
        <w:tc>
          <w:tcPr>
            <w:tcW w:w="682" w:type="pct"/>
          </w:tcPr>
          <w:p w:rsidR="008E44DD" w:rsidRPr="008E44DD" w:rsidRDefault="008E44DD" w:rsidP="00E27166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C856C9">
              <w:rPr>
                <w:i w:val="0"/>
              </w:rPr>
              <w:t xml:space="preserve">-4.5 </w:t>
            </w:r>
          </w:p>
        </w:tc>
        <w:tc>
          <w:tcPr>
            <w:tcW w:w="682" w:type="pct"/>
          </w:tcPr>
          <w:p w:rsidR="008E44DD" w:rsidRPr="008E44DD" w:rsidRDefault="008E44DD" w:rsidP="00E27166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C856C9">
              <w:rPr>
                <w:i w:val="0"/>
              </w:rPr>
              <w:t xml:space="preserve">-4.5 </w:t>
            </w:r>
          </w:p>
        </w:tc>
        <w:tc>
          <w:tcPr>
            <w:tcW w:w="682" w:type="pct"/>
          </w:tcPr>
          <w:p w:rsidR="008E44DD" w:rsidRPr="008E44DD" w:rsidRDefault="008E44DD" w:rsidP="00E27166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C856C9">
              <w:rPr>
                <w:i w:val="0"/>
              </w:rPr>
              <w:t xml:space="preserve">-15.6 </w:t>
            </w:r>
          </w:p>
        </w:tc>
        <w:tc>
          <w:tcPr>
            <w:tcW w:w="682" w:type="pct"/>
          </w:tcPr>
          <w:p w:rsidR="008E44DD" w:rsidRPr="008E44DD" w:rsidRDefault="008E44DD" w:rsidP="00E27166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C856C9">
              <w:rPr>
                <w:i w:val="0"/>
              </w:rPr>
              <w:t xml:space="preserve">-15.6 </w:t>
            </w:r>
          </w:p>
        </w:tc>
        <w:tc>
          <w:tcPr>
            <w:tcW w:w="681" w:type="pct"/>
          </w:tcPr>
          <w:p w:rsidR="008E44DD" w:rsidRPr="00C856C9" w:rsidRDefault="008E44DD" w:rsidP="00E27166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C856C9">
              <w:rPr>
                <w:b/>
                <w:i w:val="0"/>
              </w:rPr>
              <w:t xml:space="preserve">-40.2 </w:t>
            </w:r>
          </w:p>
        </w:tc>
      </w:tr>
      <w:tr w:rsidR="008E44DD" w:rsidRPr="00B73AC8" w:rsidTr="00E27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8E44DD" w:rsidRPr="00B73AC8" w:rsidRDefault="008E44DD" w:rsidP="00E27166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Underlying cash balance</w:t>
            </w:r>
          </w:p>
        </w:tc>
        <w:tc>
          <w:tcPr>
            <w:tcW w:w="682" w:type="pct"/>
          </w:tcPr>
          <w:p w:rsidR="008E44DD" w:rsidRPr="008E44DD" w:rsidRDefault="008E44DD" w:rsidP="00E2716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C856C9">
              <w:rPr>
                <w:i w:val="0"/>
              </w:rPr>
              <w:t xml:space="preserve">-4.5 </w:t>
            </w:r>
          </w:p>
        </w:tc>
        <w:tc>
          <w:tcPr>
            <w:tcW w:w="682" w:type="pct"/>
          </w:tcPr>
          <w:p w:rsidR="008E44DD" w:rsidRPr="008E44DD" w:rsidRDefault="008E44DD" w:rsidP="00E2716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C856C9">
              <w:rPr>
                <w:i w:val="0"/>
              </w:rPr>
              <w:t xml:space="preserve">-4.5 </w:t>
            </w:r>
          </w:p>
        </w:tc>
        <w:tc>
          <w:tcPr>
            <w:tcW w:w="682" w:type="pct"/>
          </w:tcPr>
          <w:p w:rsidR="008E44DD" w:rsidRPr="008E44DD" w:rsidRDefault="008E44DD" w:rsidP="00E2716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C856C9">
              <w:rPr>
                <w:i w:val="0"/>
              </w:rPr>
              <w:t xml:space="preserve">-15.6 </w:t>
            </w:r>
          </w:p>
        </w:tc>
        <w:tc>
          <w:tcPr>
            <w:tcW w:w="682" w:type="pct"/>
          </w:tcPr>
          <w:p w:rsidR="008E44DD" w:rsidRPr="008E44DD" w:rsidRDefault="008E44DD" w:rsidP="00E2716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C856C9">
              <w:rPr>
                <w:i w:val="0"/>
              </w:rPr>
              <w:t xml:space="preserve">-15.6 </w:t>
            </w:r>
          </w:p>
        </w:tc>
        <w:tc>
          <w:tcPr>
            <w:tcW w:w="681" w:type="pct"/>
          </w:tcPr>
          <w:p w:rsidR="008E44DD" w:rsidRPr="00C856C9" w:rsidRDefault="008E44DD" w:rsidP="00E2716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C856C9">
              <w:rPr>
                <w:b/>
                <w:i w:val="0"/>
              </w:rPr>
              <w:t xml:space="preserve">-40.2 </w:t>
            </w:r>
          </w:p>
        </w:tc>
      </w:tr>
    </w:tbl>
    <w:p w:rsidR="009D4063" w:rsidRDefault="00E612CE" w:rsidP="009D4063">
      <w:pPr>
        <w:pStyle w:val="Footnotes"/>
        <w:keepNext/>
        <w:keepLines/>
        <w:numPr>
          <w:ilvl w:val="0"/>
          <w:numId w:val="7"/>
        </w:numPr>
        <w:ind w:left="284" w:hanging="284"/>
      </w:pPr>
      <w:r>
        <w:t>A positive number indicates</w:t>
      </w:r>
      <w:r w:rsidR="00D805AE">
        <w:t xml:space="preserve"> an increase in the relevant budget </w:t>
      </w:r>
      <w:proofErr w:type="gramStart"/>
      <w:r w:rsidR="00D805AE">
        <w:t>balance,</w:t>
      </w:r>
      <w:proofErr w:type="gramEnd"/>
      <w:r w:rsidR="00D805AE">
        <w:t xml:space="preserve"> a negative number represents a decrease.</w:t>
      </w:r>
    </w:p>
    <w:p w:rsidR="00D747D2" w:rsidRDefault="00D747D2" w:rsidP="009D4063">
      <w:pPr>
        <w:pStyle w:val="Footnotes"/>
        <w:keepNext/>
        <w:keepLines/>
        <w:numPr>
          <w:ilvl w:val="0"/>
          <w:numId w:val="7"/>
        </w:numPr>
        <w:ind w:left="284" w:hanging="284"/>
      </w:pPr>
      <w:r>
        <w:t>Figures may not sum to totals due to rounding.</w:t>
      </w:r>
    </w:p>
    <w:p w:rsidR="008D3909" w:rsidRPr="00FC6579" w:rsidRDefault="005E3562" w:rsidP="00E40B8B">
      <w:pPr>
        <w:pStyle w:val="Heading2"/>
      </w:pPr>
      <w:r w:rsidRPr="00FC6579">
        <w:t>Key assumptions</w:t>
      </w:r>
    </w:p>
    <w:p w:rsidR="006C50DC" w:rsidRPr="00002D5D" w:rsidRDefault="006C50DC" w:rsidP="006C50DC">
      <w:pPr>
        <w:pStyle w:val="Bullet1"/>
      </w:pPr>
      <w:r>
        <w:t xml:space="preserve">The </w:t>
      </w:r>
      <w:r w:rsidR="00C856C9">
        <w:t xml:space="preserve">expected </w:t>
      </w:r>
      <w:r>
        <w:t>cost of PrEP per person per year is $1,</w:t>
      </w:r>
      <w:r w:rsidR="00F1786E">
        <w:t>3</w:t>
      </w:r>
      <w:r>
        <w:t>00</w:t>
      </w:r>
      <w:r w:rsidR="00F1786E">
        <w:t>, based on</w:t>
      </w:r>
      <w:r w:rsidR="00C856C9">
        <w:t xml:space="preserve"> the current cost of</w:t>
      </w:r>
      <w:r w:rsidR="00F1786E">
        <w:t xml:space="preserve"> </w:t>
      </w:r>
      <w:r w:rsidR="00AA4F63">
        <w:t>importing generic PrEP medicines</w:t>
      </w:r>
      <w:r>
        <w:t>.</w:t>
      </w:r>
    </w:p>
    <w:p w:rsidR="00752AF2" w:rsidRDefault="00AA4F63" w:rsidP="00633B92">
      <w:pPr>
        <w:pStyle w:val="Bullet1"/>
      </w:pPr>
      <w:r>
        <w:t>The number of participants would equal the cap in each year.</w:t>
      </w:r>
      <w:r w:rsidDel="00AA4F63">
        <w:t xml:space="preserve"> </w:t>
      </w:r>
    </w:p>
    <w:p w:rsidR="005E3562" w:rsidRPr="00FC6579" w:rsidRDefault="005E3562" w:rsidP="00E40B8B">
      <w:pPr>
        <w:pStyle w:val="Heading2"/>
      </w:pPr>
      <w:r w:rsidRPr="00FC6579">
        <w:t>Methodology</w:t>
      </w:r>
    </w:p>
    <w:p w:rsidR="005E3562" w:rsidRDefault="00A6328C" w:rsidP="00FC6579">
      <w:r>
        <w:t>T</w:t>
      </w:r>
      <w:r w:rsidR="0096456C">
        <w:t>he cost</w:t>
      </w:r>
      <w:r>
        <w:t xml:space="preserve"> of providing access to PrEP is calculated by multiplying the capped number of participants with the expected price of PrEP for each year over the 2016-17 Budget forward estimates period.  </w:t>
      </w:r>
      <w:r w:rsidR="0096456C">
        <w:t xml:space="preserve">The cost of </w:t>
      </w:r>
      <w:r w:rsidR="00E35D90">
        <w:t xml:space="preserve">program administration </w:t>
      </w:r>
      <w:r w:rsidR="00AA4F63">
        <w:t>is based on the cost of similar programs and increases with the number of participants</w:t>
      </w:r>
      <w:r w:rsidR="00E35D90">
        <w:t>.</w:t>
      </w:r>
    </w:p>
    <w:p w:rsidR="00433021" w:rsidRDefault="00433021" w:rsidP="00FC6579">
      <w:pPr>
        <w:sectPr w:rsidR="00433021" w:rsidSect="008D2CF5">
          <w:headerReference w:type="first" r:id="rId14"/>
          <w:footerReference w:type="first" r:id="rId15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1A02D1" w:rsidRPr="00FC6579" w:rsidRDefault="001A02D1" w:rsidP="00FC6579">
      <w:pPr>
        <w:pStyle w:val="Heading1"/>
      </w:pPr>
      <w:r w:rsidRPr="00FC6579">
        <w:lastRenderedPageBreak/>
        <w:t>Attachment A:</w:t>
      </w:r>
      <w:r w:rsidR="00841C3A">
        <w:t xml:space="preserve"> </w:t>
      </w:r>
      <w:r w:rsidR="001F0653">
        <w:t xml:space="preserve">Guaranteed access to </w:t>
      </w:r>
      <w:r w:rsidR="00433021">
        <w:t>pre-exposure prophylaxis</w:t>
      </w:r>
      <w:r w:rsidR="00440E32">
        <w:t>—financial</w:t>
      </w:r>
      <w:r w:rsidR="00841C3A">
        <w:t> </w:t>
      </w:r>
      <w:r w:rsidR="00440E32">
        <w:t>implications</w:t>
      </w:r>
    </w:p>
    <w:p w:rsidR="00EA5685" w:rsidRPr="00E40B8B" w:rsidRDefault="00EA5685" w:rsidP="00EA5685">
      <w:pPr>
        <w:pStyle w:val="Captionheading"/>
        <w:rPr>
          <w:vertAlign w:val="superscript"/>
        </w:rPr>
      </w:pPr>
      <w:r w:rsidRPr="00FC6579">
        <w:t xml:space="preserve">Table </w:t>
      </w:r>
      <w:r>
        <w:t>A</w:t>
      </w:r>
      <w:r w:rsidR="001D17BB">
        <w:t>1</w:t>
      </w:r>
      <w:r w:rsidRPr="00FC6579">
        <w:t xml:space="preserve">: </w:t>
      </w:r>
      <w:r w:rsidR="001F0653">
        <w:t xml:space="preserve">Guaranteed access to </w:t>
      </w:r>
      <w:r w:rsidR="001D17BB">
        <w:t>PrEP</w:t>
      </w:r>
      <w:r>
        <w:t>—Financial implications (outturn prices</w:t>
      </w:r>
      <w:proofErr w:type="gramStart"/>
      <w:r>
        <w:t>)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a)</w:t>
      </w:r>
      <w:r w:rsidR="00F4535C">
        <w:rPr>
          <w:vertAlign w:val="superscript"/>
        </w:rPr>
        <w:t>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EA5685" w:rsidRPr="00EF1D6A" w:rsidTr="00CF7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A5685" w:rsidRPr="00EF1D6A" w:rsidRDefault="00EA5685" w:rsidP="00CF7D9A">
            <w:pPr>
              <w:pStyle w:val="TableText"/>
              <w:keepNext/>
              <w:keepLines/>
              <w:rPr>
                <w:rFonts w:ascii="Calibri" w:hAnsi="Calibri"/>
                <w:b/>
                <w:szCs w:val="20"/>
              </w:rPr>
            </w:pPr>
            <w:r w:rsidRPr="00EF1D6A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A5685" w:rsidRPr="00C24267" w:rsidRDefault="00EA5685" w:rsidP="00CF7D9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A5685" w:rsidRPr="00C24267" w:rsidRDefault="00EA5685" w:rsidP="00CF7D9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A5685" w:rsidRPr="00C24267" w:rsidRDefault="00EA5685" w:rsidP="00CF7D9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A5685" w:rsidRPr="00C24267" w:rsidRDefault="00EA5685" w:rsidP="00CF7D9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A5685" w:rsidRPr="00AE30B5" w:rsidRDefault="00EA5685" w:rsidP="00DA1506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EA5685" w:rsidRPr="00EF1D6A" w:rsidTr="00CF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EA5685" w:rsidRPr="00AE30B5" w:rsidRDefault="001D17BB">
            <w:pPr>
              <w:pStyle w:val="TableHeadingCentred"/>
              <w:jc w:val="left"/>
              <w:rPr>
                <w:b/>
              </w:rPr>
            </w:pPr>
            <w:r>
              <w:rPr>
                <w:b/>
              </w:rPr>
              <w:t>Impact on f</w:t>
            </w:r>
            <w:r w:rsidR="00EA5685" w:rsidRPr="00AE30B5">
              <w:rPr>
                <w:b/>
              </w:rPr>
              <w:t>iscal and underlying cash balances</w:t>
            </w:r>
          </w:p>
        </w:tc>
      </w:tr>
      <w:tr w:rsidR="00C856C9" w:rsidRPr="0066665A" w:rsidTr="00CF7D9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856C9" w:rsidRPr="00C856C9" w:rsidRDefault="00C856C9" w:rsidP="00CF7D9A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C856C9">
              <w:rPr>
                <w:szCs w:val="20"/>
              </w:rPr>
              <w:t>Administered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856C9" w:rsidRPr="00C856C9" w:rsidRDefault="00C856C9" w:rsidP="001F065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C856C9">
              <w:rPr>
                <w:i w:val="0"/>
              </w:rPr>
              <w:t xml:space="preserve">-3.9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856C9" w:rsidRPr="00C856C9" w:rsidRDefault="00C856C9" w:rsidP="001F065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C856C9">
              <w:rPr>
                <w:i w:val="0"/>
              </w:rPr>
              <w:t xml:space="preserve">-3.9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856C9" w:rsidRPr="00C856C9" w:rsidRDefault="00C856C9" w:rsidP="001F065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C856C9">
              <w:rPr>
                <w:i w:val="0"/>
              </w:rPr>
              <w:t xml:space="preserve">-14.3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856C9" w:rsidRPr="00C856C9" w:rsidRDefault="00C856C9" w:rsidP="001F065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C856C9">
              <w:rPr>
                <w:i w:val="0"/>
              </w:rPr>
              <w:t xml:space="preserve">-14.3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856C9" w:rsidRPr="00304302" w:rsidRDefault="00C856C9" w:rsidP="001F065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304302">
              <w:rPr>
                <w:b/>
                <w:i w:val="0"/>
              </w:rPr>
              <w:t xml:space="preserve">-36.4 </w:t>
            </w:r>
          </w:p>
        </w:tc>
      </w:tr>
      <w:tr w:rsidR="00C856C9" w:rsidRPr="0066665A" w:rsidTr="00CF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856C9" w:rsidRPr="00C856C9" w:rsidRDefault="00C856C9" w:rsidP="00CF7D9A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C856C9">
              <w:rPr>
                <w:szCs w:val="20"/>
              </w:rPr>
              <w:t>Departmental – Department of Health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856C9" w:rsidRPr="00C856C9" w:rsidRDefault="00C856C9" w:rsidP="001F0653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C856C9">
              <w:rPr>
                <w:i w:val="0"/>
              </w:rPr>
              <w:t xml:space="preserve">-0.6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856C9" w:rsidRPr="00C856C9" w:rsidRDefault="00C856C9" w:rsidP="001F0653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C856C9">
              <w:rPr>
                <w:i w:val="0"/>
              </w:rPr>
              <w:t xml:space="preserve">-0.6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856C9" w:rsidRPr="00C856C9" w:rsidRDefault="00C856C9" w:rsidP="001F0653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C856C9">
              <w:rPr>
                <w:i w:val="0"/>
              </w:rPr>
              <w:t xml:space="preserve">-1.3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856C9" w:rsidRPr="00C856C9" w:rsidRDefault="00C856C9" w:rsidP="001F0653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C856C9">
              <w:rPr>
                <w:i w:val="0"/>
              </w:rPr>
              <w:t xml:space="preserve">-1.3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856C9" w:rsidRPr="00304302" w:rsidRDefault="00C856C9" w:rsidP="001F0653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304302">
              <w:rPr>
                <w:b/>
                <w:i w:val="0"/>
              </w:rPr>
              <w:t xml:space="preserve">-3.8 </w:t>
            </w:r>
          </w:p>
        </w:tc>
      </w:tr>
      <w:tr w:rsidR="00C856C9" w:rsidRPr="0055406D" w:rsidTr="00CF7D9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C856C9" w:rsidRPr="0055406D" w:rsidRDefault="00C856C9" w:rsidP="00CF7D9A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C856C9" w:rsidRPr="00C856C9" w:rsidRDefault="00C856C9" w:rsidP="001F065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C856C9">
              <w:rPr>
                <w:b/>
                <w:i w:val="0"/>
              </w:rPr>
              <w:t xml:space="preserve">-4.5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C856C9" w:rsidRPr="00C856C9" w:rsidRDefault="00C856C9" w:rsidP="001F065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C856C9">
              <w:rPr>
                <w:b/>
                <w:i w:val="0"/>
              </w:rPr>
              <w:t xml:space="preserve">-4.5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C856C9" w:rsidRPr="00C856C9" w:rsidRDefault="00C856C9" w:rsidP="001F065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C856C9">
              <w:rPr>
                <w:b/>
                <w:i w:val="0"/>
              </w:rPr>
              <w:t xml:space="preserve">-15.6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C856C9" w:rsidRPr="00C856C9" w:rsidRDefault="00C856C9" w:rsidP="001F065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C856C9">
              <w:rPr>
                <w:b/>
                <w:i w:val="0"/>
              </w:rPr>
              <w:t xml:space="preserve">-15.6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C856C9" w:rsidRPr="00C856C9" w:rsidRDefault="00C856C9" w:rsidP="001F065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C856C9">
              <w:rPr>
                <w:b/>
                <w:i w:val="0"/>
              </w:rPr>
              <w:t xml:space="preserve">-40.2 </w:t>
            </w:r>
          </w:p>
        </w:tc>
      </w:tr>
    </w:tbl>
    <w:p w:rsidR="00EA5685" w:rsidRDefault="001F0653" w:rsidP="008D6ECA">
      <w:pPr>
        <w:pStyle w:val="Footnotes"/>
        <w:numPr>
          <w:ilvl w:val="0"/>
          <w:numId w:val="15"/>
        </w:numPr>
        <w:ind w:left="284" w:hanging="284"/>
      </w:pPr>
      <w:r>
        <w:t>A negative number indicates an increase in expenses in accrual and cash terms.</w:t>
      </w:r>
    </w:p>
    <w:p w:rsidR="00E40B8B" w:rsidRDefault="00F4535C" w:rsidP="00433021">
      <w:pPr>
        <w:pStyle w:val="Footnotes"/>
      </w:pPr>
      <w:r>
        <w:t>Figures may not sum to totals due to rounding.</w:t>
      </w:r>
    </w:p>
    <w:sectPr w:rsidR="00E40B8B" w:rsidSect="008D2CF5">
      <w:headerReference w:type="first" r:id="rId16"/>
      <w:pgSz w:w="11906" w:h="16838"/>
      <w:pgMar w:top="1361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3E" w:rsidRDefault="00BC793E" w:rsidP="008F588A">
      <w:pPr>
        <w:spacing w:line="240" w:lineRule="auto"/>
      </w:pPr>
      <w:r>
        <w:separator/>
      </w:r>
    </w:p>
    <w:p w:rsidR="00BC793E" w:rsidRDefault="00BC793E"/>
  </w:endnote>
  <w:endnote w:type="continuationSeparator" w:id="0">
    <w:p w:rsidR="00BC793E" w:rsidRDefault="00BC793E" w:rsidP="008F588A">
      <w:pPr>
        <w:spacing w:line="240" w:lineRule="auto"/>
      </w:pPr>
      <w:r>
        <w:continuationSeparator/>
      </w:r>
    </w:p>
    <w:p w:rsidR="00BC793E" w:rsidRDefault="00BC79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2" w:rsidRPr="00C24267" w:rsidRDefault="00060F22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7E6156">
      <w:rPr>
        <w:noProof/>
      </w:rPr>
      <w:t>3</w:t>
    </w:r>
    <w:r w:rsidRPr="00C24267">
      <w:fldChar w:fldCharType="end"/>
    </w:r>
    <w:r w:rsidRPr="00C24267">
      <w:t xml:space="preserve"> of </w:t>
    </w:r>
    <w:fldSimple w:instr=" NUMPAGES  \* Arabic  \* MERGEFORMAT ">
      <w:r w:rsidR="007E6156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2" w:rsidRPr="00C24267" w:rsidRDefault="00060F22" w:rsidP="00C24267">
    <w:pPr>
      <w:pStyle w:val="Letterfooter"/>
    </w:pPr>
    <w:r w:rsidRPr="00C24267">
      <w:t>Parliamentary Budget Office   PO Box 6010   Parliament House   Canberra ACT 2600</w:t>
    </w:r>
  </w:p>
  <w:p w:rsidR="00060F22" w:rsidRPr="00C24267" w:rsidRDefault="00060F22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75" w:rsidRPr="00C24267" w:rsidRDefault="005B7B75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7E6156">
      <w:rPr>
        <w:noProof/>
      </w:rPr>
      <w:t>4</w:t>
    </w:r>
    <w:r w:rsidRPr="00C24267">
      <w:fldChar w:fldCharType="end"/>
    </w:r>
    <w:r w:rsidRPr="00C24267">
      <w:t xml:space="preserve"> of </w:t>
    </w:r>
    <w:r w:rsidR="007E6156">
      <w:fldChar w:fldCharType="begin"/>
    </w:r>
    <w:r w:rsidR="007E6156">
      <w:instrText xml:space="preserve"> NUMPAGES  \* Arabic  \* MERGEFORMAT </w:instrText>
    </w:r>
    <w:r w:rsidR="007E6156">
      <w:fldChar w:fldCharType="separate"/>
    </w:r>
    <w:r w:rsidR="007E6156">
      <w:rPr>
        <w:noProof/>
      </w:rPr>
      <w:t>4</w:t>
    </w:r>
    <w:r w:rsidR="007E61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3E" w:rsidRDefault="00BC793E" w:rsidP="008F588A">
      <w:pPr>
        <w:spacing w:line="240" w:lineRule="auto"/>
      </w:pPr>
      <w:r>
        <w:separator/>
      </w:r>
    </w:p>
    <w:p w:rsidR="00BC793E" w:rsidRDefault="00BC793E"/>
  </w:footnote>
  <w:footnote w:type="continuationSeparator" w:id="0">
    <w:p w:rsidR="00BC793E" w:rsidRDefault="00BC793E" w:rsidP="008F588A">
      <w:pPr>
        <w:spacing w:line="240" w:lineRule="auto"/>
      </w:pPr>
      <w:r>
        <w:continuationSeparator/>
      </w:r>
    </w:p>
    <w:p w:rsidR="00BC793E" w:rsidRDefault="00BC79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2" w:rsidRDefault="00060F22" w:rsidP="00CB40E1">
    <w:pPr>
      <w:pStyle w:val="Header"/>
    </w:pPr>
    <w:r>
      <w:rPr>
        <w:noProof/>
        <w:lang w:eastAsia="en-AU"/>
      </w:rPr>
      <w:drawing>
        <wp:inline distT="0" distB="0" distL="0" distR="0" wp14:anchorId="79466A82" wp14:editId="1D70E3CE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F22" w:rsidRPr="00DA1C8A" w:rsidRDefault="00060F22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75" w:rsidRPr="00433021" w:rsidRDefault="00433021" w:rsidP="00433021">
    <w:pPr>
      <w:pStyle w:val="Header"/>
    </w:pPr>
    <w:r>
      <w:rPr>
        <w:noProof/>
        <w:lang w:eastAsia="en-AU"/>
      </w:rPr>
      <w:drawing>
        <wp:inline distT="0" distB="0" distL="0" distR="0" wp14:anchorId="2C287458" wp14:editId="270424BE">
          <wp:extent cx="2696845" cy="57213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21" w:rsidRPr="00433021" w:rsidRDefault="00433021" w:rsidP="00433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3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3E"/>
    <w:rsid w:val="00002D5D"/>
    <w:rsid w:val="00015FB2"/>
    <w:rsid w:val="00024933"/>
    <w:rsid w:val="00040DCE"/>
    <w:rsid w:val="00060F22"/>
    <w:rsid w:val="00096F3A"/>
    <w:rsid w:val="000C1A75"/>
    <w:rsid w:val="001278D0"/>
    <w:rsid w:val="0014239B"/>
    <w:rsid w:val="001A02D1"/>
    <w:rsid w:val="001D17BB"/>
    <w:rsid w:val="001F0653"/>
    <w:rsid w:val="001F22AC"/>
    <w:rsid w:val="001F7D6A"/>
    <w:rsid w:val="00220BE5"/>
    <w:rsid w:val="00227892"/>
    <w:rsid w:val="002422A3"/>
    <w:rsid w:val="002573CC"/>
    <w:rsid w:val="00304302"/>
    <w:rsid w:val="003075E1"/>
    <w:rsid w:val="00315E34"/>
    <w:rsid w:val="00326DE2"/>
    <w:rsid w:val="0035124E"/>
    <w:rsid w:val="00372AEB"/>
    <w:rsid w:val="00381EDC"/>
    <w:rsid w:val="003B474B"/>
    <w:rsid w:val="003B672A"/>
    <w:rsid w:val="003D4673"/>
    <w:rsid w:val="003D7744"/>
    <w:rsid w:val="003E4F5F"/>
    <w:rsid w:val="003F416C"/>
    <w:rsid w:val="003F73CA"/>
    <w:rsid w:val="00410A2C"/>
    <w:rsid w:val="00433021"/>
    <w:rsid w:val="00440E32"/>
    <w:rsid w:val="00461597"/>
    <w:rsid w:val="00485374"/>
    <w:rsid w:val="0048681A"/>
    <w:rsid w:val="004C283B"/>
    <w:rsid w:val="004D13ED"/>
    <w:rsid w:val="004D5525"/>
    <w:rsid w:val="005035DA"/>
    <w:rsid w:val="00507897"/>
    <w:rsid w:val="005132F6"/>
    <w:rsid w:val="00515A85"/>
    <w:rsid w:val="00544451"/>
    <w:rsid w:val="00545F24"/>
    <w:rsid w:val="0055581F"/>
    <w:rsid w:val="0056229A"/>
    <w:rsid w:val="00570154"/>
    <w:rsid w:val="00570B5A"/>
    <w:rsid w:val="00587422"/>
    <w:rsid w:val="005B1A4A"/>
    <w:rsid w:val="005B7B75"/>
    <w:rsid w:val="005C0F20"/>
    <w:rsid w:val="005C6967"/>
    <w:rsid w:val="005D340C"/>
    <w:rsid w:val="005E0A4E"/>
    <w:rsid w:val="005E3562"/>
    <w:rsid w:val="005F7DE0"/>
    <w:rsid w:val="00633B92"/>
    <w:rsid w:val="00640346"/>
    <w:rsid w:val="00660385"/>
    <w:rsid w:val="00662E65"/>
    <w:rsid w:val="0066665A"/>
    <w:rsid w:val="006861D3"/>
    <w:rsid w:val="00692DD8"/>
    <w:rsid w:val="006C1754"/>
    <w:rsid w:val="006C50DC"/>
    <w:rsid w:val="006C5571"/>
    <w:rsid w:val="006F0CE9"/>
    <w:rsid w:val="007202A8"/>
    <w:rsid w:val="007229A9"/>
    <w:rsid w:val="00752AF2"/>
    <w:rsid w:val="007B029A"/>
    <w:rsid w:val="007D09EA"/>
    <w:rsid w:val="007D33AA"/>
    <w:rsid w:val="007D3577"/>
    <w:rsid w:val="007D64CD"/>
    <w:rsid w:val="007E6156"/>
    <w:rsid w:val="007F7BCF"/>
    <w:rsid w:val="008030EC"/>
    <w:rsid w:val="0080578A"/>
    <w:rsid w:val="00811D6D"/>
    <w:rsid w:val="00817E8E"/>
    <w:rsid w:val="00841C3A"/>
    <w:rsid w:val="00844776"/>
    <w:rsid w:val="00882E6A"/>
    <w:rsid w:val="008850D9"/>
    <w:rsid w:val="008908AF"/>
    <w:rsid w:val="008A4578"/>
    <w:rsid w:val="008C03C3"/>
    <w:rsid w:val="008D2CF5"/>
    <w:rsid w:val="008D3909"/>
    <w:rsid w:val="008D6ECA"/>
    <w:rsid w:val="008E44DD"/>
    <w:rsid w:val="008F16AC"/>
    <w:rsid w:val="008F53BE"/>
    <w:rsid w:val="008F588A"/>
    <w:rsid w:val="00902D2D"/>
    <w:rsid w:val="009074EA"/>
    <w:rsid w:val="00915804"/>
    <w:rsid w:val="00957285"/>
    <w:rsid w:val="009573AF"/>
    <w:rsid w:val="0096456C"/>
    <w:rsid w:val="00977D7B"/>
    <w:rsid w:val="009963ED"/>
    <w:rsid w:val="009D4063"/>
    <w:rsid w:val="00A41BD3"/>
    <w:rsid w:val="00A449C2"/>
    <w:rsid w:val="00A6328C"/>
    <w:rsid w:val="00A65EA3"/>
    <w:rsid w:val="00A7322F"/>
    <w:rsid w:val="00AA3D6F"/>
    <w:rsid w:val="00AA4F63"/>
    <w:rsid w:val="00AB55AE"/>
    <w:rsid w:val="00AB6F7D"/>
    <w:rsid w:val="00AC7878"/>
    <w:rsid w:val="00AD493E"/>
    <w:rsid w:val="00AD5692"/>
    <w:rsid w:val="00AE30B5"/>
    <w:rsid w:val="00AE5755"/>
    <w:rsid w:val="00AF40D0"/>
    <w:rsid w:val="00B06055"/>
    <w:rsid w:val="00B44D8A"/>
    <w:rsid w:val="00B73AC8"/>
    <w:rsid w:val="00B747A7"/>
    <w:rsid w:val="00BA2BBF"/>
    <w:rsid w:val="00BC559C"/>
    <w:rsid w:val="00BC793E"/>
    <w:rsid w:val="00C17112"/>
    <w:rsid w:val="00C24267"/>
    <w:rsid w:val="00C856C9"/>
    <w:rsid w:val="00CA12A0"/>
    <w:rsid w:val="00CA5D42"/>
    <w:rsid w:val="00CB40E1"/>
    <w:rsid w:val="00CF6DB6"/>
    <w:rsid w:val="00CF7D9A"/>
    <w:rsid w:val="00D134CA"/>
    <w:rsid w:val="00D52D5F"/>
    <w:rsid w:val="00D747D2"/>
    <w:rsid w:val="00D805AE"/>
    <w:rsid w:val="00D949A3"/>
    <w:rsid w:val="00DA1506"/>
    <w:rsid w:val="00DA1C8A"/>
    <w:rsid w:val="00DA3B55"/>
    <w:rsid w:val="00DB44F0"/>
    <w:rsid w:val="00DD109E"/>
    <w:rsid w:val="00DD3E18"/>
    <w:rsid w:val="00DE6ADF"/>
    <w:rsid w:val="00E12103"/>
    <w:rsid w:val="00E15AAE"/>
    <w:rsid w:val="00E21184"/>
    <w:rsid w:val="00E27166"/>
    <w:rsid w:val="00E35D90"/>
    <w:rsid w:val="00E40B8B"/>
    <w:rsid w:val="00E5742E"/>
    <w:rsid w:val="00E612CE"/>
    <w:rsid w:val="00EA265F"/>
    <w:rsid w:val="00EA5685"/>
    <w:rsid w:val="00ED43FF"/>
    <w:rsid w:val="00EE6600"/>
    <w:rsid w:val="00EF1D6A"/>
    <w:rsid w:val="00EF2E51"/>
    <w:rsid w:val="00F1786E"/>
    <w:rsid w:val="00F21865"/>
    <w:rsid w:val="00F2226B"/>
    <w:rsid w:val="00F31E24"/>
    <w:rsid w:val="00F4535C"/>
    <w:rsid w:val="00F52474"/>
    <w:rsid w:val="00F5529D"/>
    <w:rsid w:val="00F5669E"/>
    <w:rsid w:val="00F72A7B"/>
    <w:rsid w:val="00F75D33"/>
    <w:rsid w:val="00F954CF"/>
    <w:rsid w:val="00F97DFF"/>
    <w:rsid w:val="00FC6579"/>
    <w:rsid w:val="00FD3FB3"/>
    <w:rsid w:val="00FE1053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33021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433021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33021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8F16AC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33021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8F16AC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882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E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33021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433021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33021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8F16AC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33021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8F16AC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882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E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eens.org.au/pre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DF5C19A-06DF-4C73-A7B0-B069A365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154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GRN075 - Guaranteed access to pre-exposure prophylaxis (PrEP) - 30 June 2016</vt:lpstr>
    </vt:vector>
  </TitlesOfParts>
  <Company>Parliament of Australia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GRN075 - Guaranteed access to pre-exposure prophylaxis (PrEP) - 30 June 2016</dc:title>
  <dc:creator>Parliamentary Budget Office</dc:creator>
  <cp:lastModifiedBy>Milligan, Louise (PBO)</cp:lastModifiedBy>
  <cp:revision>38</cp:revision>
  <cp:lastPrinted>2016-06-30T11:13:00Z</cp:lastPrinted>
  <dcterms:created xsi:type="dcterms:W3CDTF">2016-06-30T06:33:00Z</dcterms:created>
  <dcterms:modified xsi:type="dcterms:W3CDTF">2016-06-30T11:36:00Z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