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DC" w:rsidRDefault="00C708DC" w:rsidP="00C708DC">
      <w:pPr>
        <w:spacing w:before="1560"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Senator</w:t>
      </w:r>
      <w:r w:rsidRPr="00002D5D">
        <w:rPr>
          <w:rFonts w:ascii="Times New Roman" w:hAnsi="Times New Roman" w:cs="Times New Roman"/>
          <w:sz w:val="24"/>
          <w:szCs w:val="24"/>
        </w:rPr>
        <w:t xml:space="preserve"> </w:t>
      </w:r>
      <w:r>
        <w:rPr>
          <w:rFonts w:ascii="Times New Roman" w:hAnsi="Times New Roman" w:cs="Times New Roman"/>
          <w:sz w:val="24"/>
          <w:szCs w:val="24"/>
        </w:rPr>
        <w:t>Richard</w:t>
      </w:r>
      <w:r w:rsidRPr="00002D5D">
        <w:rPr>
          <w:rFonts w:ascii="Times New Roman" w:hAnsi="Times New Roman" w:cs="Times New Roman"/>
          <w:sz w:val="24"/>
          <w:szCs w:val="24"/>
        </w:rPr>
        <w:t xml:space="preserve"> </w:t>
      </w:r>
      <w:r>
        <w:rPr>
          <w:rFonts w:ascii="Times New Roman" w:hAnsi="Times New Roman" w:cs="Times New Roman"/>
          <w:sz w:val="24"/>
          <w:szCs w:val="24"/>
        </w:rPr>
        <w:t>Di Natale</w:t>
      </w:r>
    </w:p>
    <w:p w:rsidR="00C708DC" w:rsidRPr="00002D5D" w:rsidRDefault="00C708DC" w:rsidP="00C708DC">
      <w:pPr>
        <w:spacing w:before="0" w:after="0" w:line="240" w:lineRule="auto"/>
        <w:rPr>
          <w:rFonts w:ascii="Times New Roman" w:hAnsi="Times New Roman" w:cs="Times New Roman"/>
          <w:sz w:val="24"/>
          <w:szCs w:val="24"/>
        </w:rPr>
      </w:pPr>
      <w:r>
        <w:rPr>
          <w:rFonts w:ascii="Times New Roman" w:hAnsi="Times New Roman" w:cs="Times New Roman"/>
          <w:sz w:val="24"/>
          <w:szCs w:val="24"/>
        </w:rPr>
        <w:t>Leader of the Australian Greens</w:t>
      </w:r>
    </w:p>
    <w:p w:rsidR="00C708DC" w:rsidRPr="00002D5D" w:rsidRDefault="00C708DC" w:rsidP="00C708DC">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C708DC" w:rsidRPr="00002D5D" w:rsidRDefault="00C708DC" w:rsidP="00C708DC">
      <w:pPr>
        <w:spacing w:before="0" w:after="0" w:line="240" w:lineRule="auto"/>
        <w:rPr>
          <w:rFonts w:ascii="Times New Roman" w:hAnsi="Times New Roman" w:cs="Times New Roman"/>
          <w:sz w:val="24"/>
          <w:szCs w:val="24"/>
        </w:rPr>
      </w:pPr>
      <w:r>
        <w:rPr>
          <w:rFonts w:ascii="Times New Roman" w:hAnsi="Times New Roman" w:cs="Times New Roman"/>
          <w:sz w:val="24"/>
          <w:szCs w:val="24"/>
        </w:rPr>
        <w:t>CANBERRA  ACT  2600</w:t>
      </w:r>
    </w:p>
    <w:p w:rsidR="00C708DC" w:rsidRPr="00002D5D" w:rsidRDefault="00C708DC" w:rsidP="00C708DC">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Pr>
          <w:rFonts w:ascii="Times New Roman" w:hAnsi="Times New Roman" w:cs="Times New Roman"/>
          <w:sz w:val="24"/>
          <w:szCs w:val="24"/>
        </w:rPr>
        <w:t>Senator</w:t>
      </w:r>
      <w:r w:rsidRPr="00002D5D">
        <w:rPr>
          <w:rFonts w:ascii="Times New Roman" w:hAnsi="Times New Roman" w:cs="Times New Roman"/>
          <w:sz w:val="24"/>
          <w:szCs w:val="24"/>
        </w:rPr>
        <w:t xml:space="preserve"> </w:t>
      </w:r>
      <w:r>
        <w:rPr>
          <w:rFonts w:ascii="Times New Roman" w:hAnsi="Times New Roman" w:cs="Times New Roman"/>
          <w:sz w:val="24"/>
          <w:szCs w:val="24"/>
        </w:rPr>
        <w:t>Di Natale</w:t>
      </w:r>
    </w:p>
    <w:p w:rsidR="00040DCE" w:rsidRPr="00002D5D" w:rsidRDefault="00040DCE" w:rsidP="00C17112">
      <w:pPr>
        <w:pStyle w:val="Lettertext"/>
      </w:pPr>
      <w:r w:rsidRPr="00002D5D">
        <w:t xml:space="preserve">Please find attached a response to your costing request, </w:t>
      </w:r>
      <w:r w:rsidR="008A3ABE">
        <w:rPr>
          <w:i/>
        </w:rPr>
        <w:t xml:space="preserve">Australia’s </w:t>
      </w:r>
      <w:r w:rsidR="00D16AB1">
        <w:rPr>
          <w:i/>
        </w:rPr>
        <w:t>Film I</w:t>
      </w:r>
      <w:r w:rsidR="008A3ABE">
        <w:rPr>
          <w:i/>
        </w:rPr>
        <w:t>ndustry</w:t>
      </w:r>
      <w:r w:rsidRPr="00002D5D">
        <w:t xml:space="preserve"> (letter of </w:t>
      </w:r>
      <w:r w:rsidR="00A36373">
        <w:t>30 June</w:t>
      </w:r>
      <w:r w:rsidRPr="00002D5D">
        <w:t xml:space="preserve"> 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843C42" w:rsidP="00843C42">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30 </w:t>
      </w:r>
      <w:r w:rsidR="00C708DC">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headerReference w:type="default" r:id="rId10"/>
          <w:footerReference w:type="default" r:id="rId11"/>
          <w:headerReference w:type="first" r:id="rId12"/>
          <w:footerReference w:type="first" r:id="rId13"/>
          <w:pgSz w:w="11906" w:h="16838"/>
          <w:pgMar w:top="1361" w:right="1797" w:bottom="1474" w:left="1797" w:header="709" w:footer="709" w:gutter="0"/>
          <w:cols w:space="708"/>
          <w:titlePg/>
          <w:docGrid w:linePitch="360"/>
        </w:sectPr>
      </w:pPr>
    </w:p>
    <w:p w:rsidR="008F588A" w:rsidRPr="00D329DB" w:rsidRDefault="008F588A" w:rsidP="00D329DB">
      <w:pPr>
        <w:pStyle w:val="Heading1"/>
      </w:pPr>
      <w:r w:rsidRPr="00D329DB">
        <w:lastRenderedPageBreak/>
        <w:t xml:space="preserve">Policy costing—during the caretaker period for </w:t>
      </w:r>
      <w:r w:rsidR="007D33AA" w:rsidRPr="00D329DB">
        <w:t>the 2016</w:t>
      </w:r>
      <w:r w:rsidR="00002D5D" w:rsidRPr="00D329DB">
        <w:t> </w:t>
      </w:r>
      <w:r w:rsidRPr="00D329DB">
        <w:t>general election</w:t>
      </w:r>
    </w:p>
    <w:tbl>
      <w:tblPr>
        <w:tblStyle w:val="Style1"/>
        <w:tblW w:w="8340" w:type="dxa"/>
        <w:tblLook w:val="04A0" w:firstRow="1" w:lastRow="0" w:firstColumn="1" w:lastColumn="0" w:noHBand="0" w:noVBand="1"/>
      </w:tblPr>
      <w:tblGrid>
        <w:gridCol w:w="3005"/>
        <w:gridCol w:w="5335"/>
      </w:tblGrid>
      <w:tr w:rsidR="004D5525" w:rsidTr="00D52D5F">
        <w:trPr>
          <w:cnfStyle w:val="100000000000" w:firstRow="1" w:lastRow="0" w:firstColumn="0" w:lastColumn="0" w:oddVBand="0" w:evenVBand="0" w:oddHBand="0" w:evenHBand="0" w:firstRowFirstColumn="0" w:firstRowLastColumn="0" w:lastRowFirstColumn="0" w:lastRowLastColumn="0"/>
        </w:trPr>
        <w:tc>
          <w:tcPr>
            <w:tcW w:w="3005" w:type="dxa"/>
          </w:tcPr>
          <w:p w:rsidR="004D5525" w:rsidRPr="00CC1E6A" w:rsidRDefault="004D5525" w:rsidP="004D5525">
            <w:pPr>
              <w:pStyle w:val="BodyText"/>
              <w:rPr>
                <w:sz w:val="22"/>
              </w:rPr>
            </w:pPr>
            <w:r w:rsidRPr="00CC1E6A">
              <w:rPr>
                <w:sz w:val="22"/>
              </w:rPr>
              <w:t>Name of proposal:</w:t>
            </w:r>
          </w:p>
        </w:tc>
        <w:tc>
          <w:tcPr>
            <w:tcW w:w="5335" w:type="dxa"/>
          </w:tcPr>
          <w:p w:rsidR="004D5525" w:rsidRPr="00CC1E6A" w:rsidRDefault="00D16AB1" w:rsidP="004D5525">
            <w:pPr>
              <w:pStyle w:val="BodyText"/>
              <w:rPr>
                <w:sz w:val="22"/>
              </w:rPr>
            </w:pPr>
            <w:r>
              <w:rPr>
                <w:sz w:val="22"/>
              </w:rPr>
              <w:t>Australia’s Film I</w:t>
            </w:r>
            <w:r w:rsidR="008A3ABE" w:rsidRPr="00CC1E6A">
              <w:rPr>
                <w:sz w:val="22"/>
              </w:rPr>
              <w:t>ndustry</w:t>
            </w:r>
          </w:p>
        </w:tc>
      </w:tr>
      <w:tr w:rsidR="004D5525" w:rsidTr="00D52D5F">
        <w:tc>
          <w:tcPr>
            <w:tcW w:w="3005" w:type="dxa"/>
          </w:tcPr>
          <w:p w:rsidR="004D5525" w:rsidRPr="00CC1E6A" w:rsidRDefault="004D5525" w:rsidP="004D5525">
            <w:pPr>
              <w:pStyle w:val="BodyText"/>
            </w:pPr>
            <w:r w:rsidRPr="00CC1E6A">
              <w:t>Summary of proposal:</w:t>
            </w:r>
          </w:p>
        </w:tc>
        <w:tc>
          <w:tcPr>
            <w:tcW w:w="5335" w:type="dxa"/>
          </w:tcPr>
          <w:p w:rsidR="008A3ABE" w:rsidRDefault="00325BCA" w:rsidP="008A3ABE">
            <w:r>
              <w:t>The proposal has two components</w:t>
            </w:r>
            <w:r w:rsidR="00F04958">
              <w:t>.</w:t>
            </w:r>
          </w:p>
          <w:p w:rsidR="00325BCA" w:rsidRPr="00325BCA" w:rsidRDefault="00325BCA" w:rsidP="008A3ABE">
            <w:pPr>
              <w:rPr>
                <w:u w:val="single"/>
              </w:rPr>
            </w:pPr>
            <w:r w:rsidRPr="00325BCA">
              <w:rPr>
                <w:u w:val="single"/>
              </w:rPr>
              <w:t xml:space="preserve">Component 1: Increase the Location </w:t>
            </w:r>
            <w:r w:rsidR="00812A9E">
              <w:rPr>
                <w:u w:val="single"/>
              </w:rPr>
              <w:t xml:space="preserve">Tax </w:t>
            </w:r>
            <w:r w:rsidRPr="00325BCA">
              <w:rPr>
                <w:u w:val="single"/>
              </w:rPr>
              <w:t>Offset</w:t>
            </w:r>
          </w:p>
          <w:p w:rsidR="008A3ABE" w:rsidRDefault="00F04958" w:rsidP="008A3ABE">
            <w:pPr>
              <w:pStyle w:val="Bullet1"/>
            </w:pPr>
            <w:r>
              <w:t xml:space="preserve">This component would </w:t>
            </w:r>
            <w:r w:rsidR="008A3ABE" w:rsidRPr="00CC1E6A">
              <w:t xml:space="preserve">increase the </w:t>
            </w:r>
            <w:r w:rsidR="003E637D">
              <w:t>Location Tax Offset for the screen</w:t>
            </w:r>
            <w:r w:rsidR="008A3ABE" w:rsidRPr="00CC1E6A">
              <w:t xml:space="preserve"> industry to 30 per cent of eligible qualifying Australian production expenditure (QAPE)</w:t>
            </w:r>
            <w:r w:rsidR="0005058B">
              <w:t>.</w:t>
            </w:r>
          </w:p>
          <w:p w:rsidR="00325BCA" w:rsidRPr="00EC0D1D" w:rsidRDefault="00325BCA" w:rsidP="00325BCA">
            <w:pPr>
              <w:pStyle w:val="Bullet1"/>
              <w:numPr>
                <w:ilvl w:val="0"/>
                <w:numId w:val="0"/>
              </w:numPr>
              <w:rPr>
                <w:u w:val="single"/>
              </w:rPr>
            </w:pPr>
            <w:r w:rsidRPr="00EC0D1D">
              <w:rPr>
                <w:u w:val="single"/>
              </w:rPr>
              <w:t>Component 2:</w:t>
            </w:r>
            <w:r w:rsidR="00812A9E">
              <w:rPr>
                <w:u w:val="single"/>
              </w:rPr>
              <w:t xml:space="preserve"> Increase the P</w:t>
            </w:r>
            <w:r w:rsidR="00EC0D1D" w:rsidRPr="00EC0D1D">
              <w:rPr>
                <w:u w:val="single"/>
              </w:rPr>
              <w:t xml:space="preserve">roducer </w:t>
            </w:r>
            <w:r w:rsidR="00812A9E">
              <w:rPr>
                <w:u w:val="single"/>
              </w:rPr>
              <w:t>Tax O</w:t>
            </w:r>
            <w:r w:rsidR="00EC0D1D" w:rsidRPr="00EC0D1D">
              <w:rPr>
                <w:u w:val="single"/>
              </w:rPr>
              <w:t>ffset</w:t>
            </w:r>
          </w:p>
          <w:p w:rsidR="008A3ABE" w:rsidRPr="00CC1E6A" w:rsidRDefault="00F04958" w:rsidP="008A3ABE">
            <w:pPr>
              <w:pStyle w:val="Bullet1"/>
            </w:pPr>
            <w:r>
              <w:t xml:space="preserve">This component would </w:t>
            </w:r>
            <w:r w:rsidR="008A3ABE" w:rsidRPr="00CC1E6A">
              <w:t xml:space="preserve">increase the Producer Tax Offset available to </w:t>
            </w:r>
            <w:r w:rsidR="00645A6A">
              <w:t>television production to 40 per </w:t>
            </w:r>
            <w:r w:rsidR="008A3ABE" w:rsidRPr="00CC1E6A">
              <w:t>cent of eligible QAPE.</w:t>
            </w:r>
          </w:p>
          <w:p w:rsidR="004D5525" w:rsidRPr="00CC1E6A" w:rsidRDefault="008A3ABE" w:rsidP="008A3ABE">
            <w:r w:rsidRPr="00CC1E6A">
              <w:rPr>
                <w:lang w:eastAsia="en-AU"/>
              </w:rPr>
              <w:t>This proposal would have effect from 1 September 2016.</w:t>
            </w:r>
          </w:p>
        </w:tc>
      </w:tr>
      <w:tr w:rsidR="004D5525" w:rsidTr="00D52D5F">
        <w:tc>
          <w:tcPr>
            <w:tcW w:w="3005" w:type="dxa"/>
          </w:tcPr>
          <w:p w:rsidR="004D5525" w:rsidRPr="00CC1E6A" w:rsidRDefault="004D5525" w:rsidP="004D5525">
            <w:pPr>
              <w:pStyle w:val="BodyText"/>
            </w:pPr>
            <w:r w:rsidRPr="00CC1E6A">
              <w:t>Person/party requesting costing:</w:t>
            </w:r>
          </w:p>
        </w:tc>
        <w:tc>
          <w:tcPr>
            <w:tcW w:w="5335" w:type="dxa"/>
          </w:tcPr>
          <w:p w:rsidR="004D5525" w:rsidRPr="00CC1E6A" w:rsidRDefault="00C708DC" w:rsidP="008A3ABE">
            <w:r w:rsidRPr="00CC1E6A">
              <w:t>Senator Di Natale, Australian Greens</w:t>
            </w:r>
          </w:p>
        </w:tc>
      </w:tr>
      <w:tr w:rsidR="007D3577" w:rsidTr="00060F22">
        <w:tc>
          <w:tcPr>
            <w:tcW w:w="3005" w:type="dxa"/>
          </w:tcPr>
          <w:p w:rsidR="007D3577" w:rsidRPr="00CC1E6A" w:rsidRDefault="007D3577" w:rsidP="00060F22">
            <w:pPr>
              <w:pStyle w:val="BodyText"/>
            </w:pPr>
            <w:r w:rsidRPr="00CC1E6A">
              <w:t>Date of public release of policy:</w:t>
            </w:r>
          </w:p>
        </w:tc>
        <w:tc>
          <w:tcPr>
            <w:tcW w:w="5335" w:type="dxa"/>
          </w:tcPr>
          <w:p w:rsidR="007D3577" w:rsidRDefault="00A36373" w:rsidP="00A36373">
            <w:pPr>
              <w:pStyle w:val="BodyText"/>
            </w:pPr>
            <w:r>
              <w:t>30 June 2016</w:t>
            </w:r>
          </w:p>
          <w:p w:rsidR="00F04958" w:rsidRPr="00CC1E6A" w:rsidRDefault="0011547F" w:rsidP="00A36373">
            <w:pPr>
              <w:pStyle w:val="BodyText"/>
            </w:pPr>
            <w:hyperlink r:id="rId14" w:history="1">
              <w:r w:rsidR="00F04958" w:rsidRPr="008431A0">
                <w:rPr>
                  <w:rStyle w:val="Hyperlink"/>
                  <w:rFonts w:cs="Helvetica"/>
                  <w:color w:val="2398C9"/>
                  <w:bdr w:val="none" w:sz="0" w:space="0" w:color="auto" w:frame="1"/>
                  <w:shd w:val="clear" w:color="auto" w:fill="FFFFFF"/>
                </w:rPr>
                <w:t>www.adambandt.com/160630</w:t>
              </w:r>
            </w:hyperlink>
          </w:p>
        </w:tc>
      </w:tr>
      <w:tr w:rsidR="004D5525" w:rsidTr="00D52D5F">
        <w:tc>
          <w:tcPr>
            <w:tcW w:w="3005" w:type="dxa"/>
          </w:tcPr>
          <w:p w:rsidR="004D5525" w:rsidRPr="00CC1E6A" w:rsidRDefault="004D5525" w:rsidP="004D5525">
            <w:pPr>
              <w:pStyle w:val="BodyText"/>
            </w:pPr>
            <w:r w:rsidRPr="00CC1E6A">
              <w:t>Date costing request received:</w:t>
            </w:r>
          </w:p>
        </w:tc>
        <w:tc>
          <w:tcPr>
            <w:tcW w:w="5335" w:type="dxa"/>
          </w:tcPr>
          <w:p w:rsidR="004D5525" w:rsidRPr="00CC1E6A" w:rsidRDefault="00A36373" w:rsidP="004D5525">
            <w:pPr>
              <w:pStyle w:val="BodyText"/>
            </w:pPr>
            <w:r>
              <w:t>30 June 2016</w:t>
            </w:r>
          </w:p>
        </w:tc>
      </w:tr>
      <w:tr w:rsidR="004D5525" w:rsidTr="00D52D5F">
        <w:tc>
          <w:tcPr>
            <w:tcW w:w="3005" w:type="dxa"/>
          </w:tcPr>
          <w:p w:rsidR="004D5525" w:rsidRPr="00CC1E6A" w:rsidRDefault="004D5525" w:rsidP="004D5525">
            <w:pPr>
              <w:pStyle w:val="BodyText"/>
            </w:pPr>
            <w:r w:rsidRPr="00CC1E6A">
              <w:t>Date costing completed</w:t>
            </w:r>
            <w:r w:rsidR="00B6691F">
              <w:t>:</w:t>
            </w:r>
          </w:p>
        </w:tc>
        <w:tc>
          <w:tcPr>
            <w:tcW w:w="5335" w:type="dxa"/>
          </w:tcPr>
          <w:p w:rsidR="004D5525" w:rsidRPr="00CC1E6A" w:rsidRDefault="00A36373" w:rsidP="004D5525">
            <w:pPr>
              <w:pStyle w:val="BodyText"/>
            </w:pPr>
            <w:r>
              <w:t>30 June 2016</w:t>
            </w:r>
          </w:p>
        </w:tc>
      </w:tr>
      <w:tr w:rsidR="004D5525" w:rsidTr="00D52D5F">
        <w:tc>
          <w:tcPr>
            <w:tcW w:w="3005" w:type="dxa"/>
          </w:tcPr>
          <w:p w:rsidR="004D5525" w:rsidRPr="00CC1E6A" w:rsidRDefault="004D5525" w:rsidP="004D5525">
            <w:pPr>
              <w:pStyle w:val="BodyText"/>
            </w:pPr>
            <w:r w:rsidRPr="00CC1E6A">
              <w:t>Expiry date for the costing:</w:t>
            </w:r>
          </w:p>
        </w:tc>
        <w:tc>
          <w:tcPr>
            <w:tcW w:w="5335" w:type="dxa"/>
          </w:tcPr>
          <w:p w:rsidR="004D5525" w:rsidRPr="00CC1E6A" w:rsidRDefault="00F4535C" w:rsidP="00220BE5">
            <w:pPr>
              <w:pStyle w:val="BodyText"/>
            </w:pPr>
            <w:r w:rsidRPr="00CC1E6A">
              <w:t>Release of the next economic and fiscal outlook report</w:t>
            </w:r>
          </w:p>
        </w:tc>
      </w:tr>
    </w:tbl>
    <w:p w:rsidR="0055581F" w:rsidRPr="00002D5D" w:rsidRDefault="008030EC" w:rsidP="00FC6579">
      <w:pPr>
        <w:pStyle w:val="Heading2"/>
      </w:pPr>
      <w:r w:rsidRPr="00002D5D">
        <w:t>Costing overview</w:t>
      </w:r>
    </w:p>
    <w:p w:rsidR="00F04958" w:rsidRDefault="008A3ABE" w:rsidP="00645A6A">
      <w:r w:rsidRPr="002A0400">
        <w:t xml:space="preserve">This proposal </w:t>
      </w:r>
      <w:r>
        <w:t>would be</w:t>
      </w:r>
      <w:r w:rsidRPr="002A0400">
        <w:t xml:space="preserve"> expected to decrease the fiscal balance by $</w:t>
      </w:r>
      <w:r>
        <w:t>280</w:t>
      </w:r>
      <w:r w:rsidRPr="002A0400">
        <w:t> million and decrease the underlying cash balance by $</w:t>
      </w:r>
      <w:r>
        <w:t xml:space="preserve">200 </w:t>
      </w:r>
      <w:r w:rsidRPr="002A0400">
        <w:t>million over the 201</w:t>
      </w:r>
      <w:r>
        <w:t>6</w:t>
      </w:r>
      <w:r w:rsidRPr="002A0400">
        <w:noBreakHyphen/>
        <w:t>1</w:t>
      </w:r>
      <w:r>
        <w:t>7</w:t>
      </w:r>
      <w:r w:rsidRPr="002A0400">
        <w:t xml:space="preserve"> Budget forward estimates period.  This impact entirely reflects an increase in expenses.</w:t>
      </w:r>
    </w:p>
    <w:p w:rsidR="008A3ABE" w:rsidRDefault="00F04958" w:rsidP="00645A6A">
      <w:r>
        <w:t>D</w:t>
      </w:r>
      <w:r w:rsidR="008A3ABE" w:rsidRPr="002A0400">
        <w:t xml:space="preserve">etailed </w:t>
      </w:r>
      <w:r>
        <w:t xml:space="preserve">financial implications of this proposal are provided </w:t>
      </w:r>
      <w:r w:rsidR="008A3ABE" w:rsidRPr="002A0400">
        <w:t xml:space="preserve">at </w:t>
      </w:r>
      <w:r w:rsidR="008A3ABE" w:rsidRPr="002A0400">
        <w:rPr>
          <w:u w:val="single"/>
        </w:rPr>
        <w:t>Attachment A</w:t>
      </w:r>
      <w:r w:rsidR="008A3ABE" w:rsidRPr="002A0400">
        <w:t>.</w:t>
      </w:r>
    </w:p>
    <w:p w:rsidR="008F2417" w:rsidRPr="00BD3161" w:rsidRDefault="008F2417" w:rsidP="00645A6A">
      <w:r w:rsidRPr="00007EDC">
        <w:t>The underlying cash balance impact of th</w:t>
      </w:r>
      <w:r>
        <w:t>is</w:t>
      </w:r>
      <w:r w:rsidRPr="00007EDC">
        <w:t xml:space="preserve"> proposal differ</w:t>
      </w:r>
      <w:r>
        <w:t>s</w:t>
      </w:r>
      <w:r w:rsidRPr="00007EDC">
        <w:t xml:space="preserve"> from the fiscal balance impact because of a timing difference between when film</w:t>
      </w:r>
      <w:r>
        <w:t>s</w:t>
      </w:r>
      <w:r w:rsidRPr="00007EDC">
        <w:t xml:space="preserve"> become eligible to receive the offset and when the</w:t>
      </w:r>
      <w:r>
        <w:t xml:space="preserve"> offset</w:t>
      </w:r>
      <w:r w:rsidRPr="00007EDC">
        <w:t xml:space="preserve"> </w:t>
      </w:r>
      <w:r>
        <w:t>is paid through lodgement of an income tax return to the Australian Taxation Office.</w:t>
      </w:r>
    </w:p>
    <w:p w:rsidR="008A3ABE" w:rsidRPr="00BD3161" w:rsidRDefault="008A3ABE" w:rsidP="008A3ABE">
      <w:r w:rsidRPr="00BD3161">
        <w:lastRenderedPageBreak/>
        <w:t>This proposal w</w:t>
      </w:r>
      <w:r>
        <w:t>ould</w:t>
      </w:r>
      <w:r w:rsidRPr="00BD3161">
        <w:t xml:space="preserve"> have an ongoing impact that extends beyond the </w:t>
      </w:r>
      <w:r w:rsidR="00645A6A">
        <w:t>2016</w:t>
      </w:r>
      <w:r w:rsidR="00645A6A">
        <w:noBreakHyphen/>
      </w:r>
      <w:r w:rsidR="00F04958">
        <w:t>17</w:t>
      </w:r>
      <w:r w:rsidR="00645A6A">
        <w:t> </w:t>
      </w:r>
      <w:r w:rsidR="00F04958">
        <w:t xml:space="preserve">Budget </w:t>
      </w:r>
      <w:r w:rsidR="00645A6A">
        <w:t>forward estimates period.</w:t>
      </w:r>
    </w:p>
    <w:p w:rsidR="008A3ABE" w:rsidRDefault="008A3ABE" w:rsidP="0079121F">
      <w:pPr>
        <w:keepLines/>
      </w:pPr>
      <w:r>
        <w:t>T</w:t>
      </w:r>
      <w:r w:rsidRPr="00D95A27">
        <w:t xml:space="preserve">he Location </w:t>
      </w:r>
      <w:r>
        <w:t xml:space="preserve">Tax </w:t>
      </w:r>
      <w:r w:rsidRPr="00D95A27">
        <w:t>Offse</w:t>
      </w:r>
      <w:r>
        <w:t>t is</w:t>
      </w:r>
      <w:r w:rsidRPr="00D95A27">
        <w:t xml:space="preserve"> a </w:t>
      </w:r>
      <w:r>
        <w:t>refundable tax offset that</w:t>
      </w:r>
      <w:r w:rsidRPr="00D95A27">
        <w:t xml:space="preserve"> s</w:t>
      </w:r>
      <w:r w:rsidR="00645A6A">
        <w:t>upports the production of large</w:t>
      </w:r>
      <w:r w:rsidR="00645A6A">
        <w:noBreakHyphen/>
      </w:r>
      <w:r w:rsidRPr="00D95A27">
        <w:t>budget film and television projects shot in Australia</w:t>
      </w:r>
      <w:r>
        <w:t xml:space="preserve"> that are not eligible to receive the Producer Tax Offset because they do not meet the significant Australian content test.  Qualifying films are generally eligible for an offset equivalent to 16.5 per cent of QAPE.</w:t>
      </w:r>
    </w:p>
    <w:p w:rsidR="008A3ABE" w:rsidRDefault="008A3ABE" w:rsidP="008A3ABE">
      <w:r>
        <w:t>The Producer Tax Offset is a refundable tax offset that supports television and film productions with significant Australian content.  Feature films are generally eligible for an offset equivalent to 40 per cent of QAPE; and other formats, including television and direct to DVD, are generally eligible for an offset equi</w:t>
      </w:r>
      <w:r w:rsidR="00645A6A">
        <w:t>valent to 20 per cent of QAPE.</w:t>
      </w:r>
    </w:p>
    <w:p w:rsidR="008A3ABE" w:rsidRPr="00BF042F" w:rsidRDefault="008A3ABE" w:rsidP="008A3ABE">
      <w:r>
        <w:t>Departmental</w:t>
      </w:r>
      <w:r w:rsidRPr="00BF042F">
        <w:t xml:space="preserve"> expenses </w:t>
      </w:r>
      <w:r>
        <w:t>arising from this proposal are</w:t>
      </w:r>
      <w:r w:rsidRPr="00BF042F">
        <w:t xml:space="preserve"> not</w:t>
      </w:r>
      <w:r>
        <w:t xml:space="preserve"> </w:t>
      </w:r>
      <w:r w:rsidRPr="00BF042F">
        <w:t>expected to be significant</w:t>
      </w:r>
      <w:r>
        <w:t xml:space="preserve"> </w:t>
      </w:r>
      <w:r w:rsidRPr="00BF042F">
        <w:t>and therefore</w:t>
      </w:r>
      <w:r>
        <w:t xml:space="preserve"> </w:t>
      </w:r>
      <w:r w:rsidRPr="00BF042F">
        <w:t>have not been included in this costing.</w:t>
      </w:r>
    </w:p>
    <w:p w:rsidR="00F04958" w:rsidRDefault="008A3ABE" w:rsidP="008A3ABE">
      <w:pPr>
        <w:rPr>
          <w:lang w:eastAsia="en-AU"/>
        </w:rPr>
      </w:pPr>
      <w:r w:rsidRPr="00465FF4">
        <w:rPr>
          <w:lang w:eastAsia="en-AU"/>
        </w:rPr>
        <w:t>Th</w:t>
      </w:r>
      <w:r>
        <w:rPr>
          <w:lang w:eastAsia="en-AU"/>
        </w:rPr>
        <w:t>e Location Tax Offset component of this costing is considered to be of low reliability because claims for the Location Tax Offset are highly volatile, and therefore</w:t>
      </w:r>
      <w:r w:rsidRPr="00465FF4">
        <w:rPr>
          <w:lang w:eastAsia="en-AU"/>
        </w:rPr>
        <w:t xml:space="preserve"> </w:t>
      </w:r>
      <w:r>
        <w:rPr>
          <w:lang w:eastAsia="en-AU"/>
        </w:rPr>
        <w:t>the projected amount of expenditure on foreign films in Australia is highly uncertain.</w:t>
      </w:r>
    </w:p>
    <w:p w:rsidR="008A3ABE" w:rsidRDefault="008A3ABE" w:rsidP="008A3ABE">
      <w:pPr>
        <w:rPr>
          <w:lang w:eastAsia="en-AU"/>
        </w:rPr>
      </w:pPr>
      <w:r w:rsidRPr="00465FF4">
        <w:rPr>
          <w:lang w:eastAsia="en-AU"/>
        </w:rPr>
        <w:t>T</w:t>
      </w:r>
      <w:r>
        <w:rPr>
          <w:lang w:eastAsia="en-AU"/>
        </w:rPr>
        <w:t>he Producer Tax Offset component of this</w:t>
      </w:r>
      <w:r w:rsidRPr="00465FF4">
        <w:rPr>
          <w:lang w:eastAsia="en-AU"/>
        </w:rPr>
        <w:t xml:space="preserve"> costing is considered to be of </w:t>
      </w:r>
      <w:r>
        <w:rPr>
          <w:lang w:eastAsia="en-AU"/>
        </w:rPr>
        <w:t>medium</w:t>
      </w:r>
      <w:r w:rsidRPr="00465FF4">
        <w:rPr>
          <w:lang w:eastAsia="en-AU"/>
        </w:rPr>
        <w:t xml:space="preserve"> reliability</w:t>
      </w:r>
      <w:r>
        <w:rPr>
          <w:lang w:eastAsia="en-AU"/>
        </w:rPr>
        <w:t xml:space="preserve"> because television production expenditure in Australia has been reas</w:t>
      </w:r>
      <w:r w:rsidR="00C6309F">
        <w:rPr>
          <w:lang w:eastAsia="en-AU"/>
        </w:rPr>
        <w:t>onably stable in recent years.</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r w:rsidRPr="00844776">
        <w:rPr>
          <w:vertAlign w:val="superscript"/>
        </w:rPr>
        <w:t>(a)</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C630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vAlign w:val="center"/>
          </w:tcPr>
          <w:p w:rsidR="00CA5D42" w:rsidRPr="00B73AC8" w:rsidRDefault="00CA5D42" w:rsidP="00C6309F">
            <w:pPr>
              <w:pStyle w:val="TableText"/>
              <w:keepNext/>
              <w:keepLines/>
              <w:spacing w:line="240" w:lineRule="auto"/>
              <w:ind w:left="57" w:right="57"/>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vAlign w:val="center"/>
          </w:tcPr>
          <w:p w:rsidR="00CA5D42" w:rsidRPr="00B73AC8" w:rsidRDefault="00CA5D42" w:rsidP="00C6309F">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vAlign w:val="center"/>
          </w:tcPr>
          <w:p w:rsidR="00CA5D42" w:rsidRPr="00B73AC8" w:rsidRDefault="00CA5D42" w:rsidP="00C6309F">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vAlign w:val="center"/>
          </w:tcPr>
          <w:p w:rsidR="00CA5D42" w:rsidRPr="00B73AC8" w:rsidRDefault="00CA5D42" w:rsidP="00C6309F">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vAlign w:val="center"/>
          </w:tcPr>
          <w:p w:rsidR="00CA5D42" w:rsidRPr="00B73AC8" w:rsidRDefault="00CA5D42" w:rsidP="00C6309F">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vAlign w:val="center"/>
          </w:tcPr>
          <w:p w:rsidR="00CA5D42" w:rsidRPr="00F97DFF" w:rsidRDefault="00CA5D42" w:rsidP="00C6309F">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F97DFF">
              <w:rPr>
                <w:rFonts w:ascii="Calibri" w:hAnsi="Calibri"/>
                <w:b/>
                <w:szCs w:val="20"/>
              </w:rPr>
              <w:t>Total</w:t>
            </w:r>
          </w:p>
        </w:tc>
      </w:tr>
      <w:tr w:rsidR="00EA265F" w:rsidRPr="00B73AC8" w:rsidTr="00C63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EA265F" w:rsidRPr="00B73AC8" w:rsidRDefault="00EA265F" w:rsidP="00C6309F">
            <w:pPr>
              <w:pStyle w:val="TableTextCentred"/>
              <w:keepNext/>
              <w:keepLines/>
              <w:spacing w:line="240" w:lineRule="auto"/>
              <w:ind w:left="57" w:right="57"/>
              <w:jc w:val="left"/>
              <w:rPr>
                <w:szCs w:val="20"/>
              </w:rPr>
            </w:pPr>
            <w:r w:rsidRPr="00B73AC8">
              <w:rPr>
                <w:szCs w:val="20"/>
              </w:rPr>
              <w:t>Fiscal balance</w:t>
            </w:r>
          </w:p>
        </w:tc>
        <w:tc>
          <w:tcPr>
            <w:tcW w:w="682" w:type="pct"/>
          </w:tcPr>
          <w:p w:rsidR="00EA265F" w:rsidRPr="00B73AC8" w:rsidRDefault="008A3ABE" w:rsidP="00C6309F">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-50.0</w:t>
            </w:r>
          </w:p>
        </w:tc>
        <w:tc>
          <w:tcPr>
            <w:tcW w:w="682" w:type="pct"/>
          </w:tcPr>
          <w:p w:rsidR="00EA265F" w:rsidRPr="00B73AC8" w:rsidRDefault="008A3ABE" w:rsidP="00C6309F">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-75.0</w:t>
            </w:r>
          </w:p>
        </w:tc>
        <w:tc>
          <w:tcPr>
            <w:tcW w:w="682" w:type="pct"/>
          </w:tcPr>
          <w:p w:rsidR="00EA265F" w:rsidRPr="00B73AC8" w:rsidRDefault="008A3ABE" w:rsidP="00C6309F">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-75.0</w:t>
            </w:r>
          </w:p>
        </w:tc>
        <w:tc>
          <w:tcPr>
            <w:tcW w:w="682" w:type="pct"/>
          </w:tcPr>
          <w:p w:rsidR="00EA265F" w:rsidRPr="00B73AC8" w:rsidRDefault="008A3ABE" w:rsidP="00C6309F">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-80.0</w:t>
            </w:r>
          </w:p>
        </w:tc>
        <w:tc>
          <w:tcPr>
            <w:tcW w:w="681" w:type="pct"/>
          </w:tcPr>
          <w:p w:rsidR="00EA265F" w:rsidRPr="00F97DFF" w:rsidRDefault="008A3ABE" w:rsidP="00C6309F">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b/>
                <w:szCs w:val="20"/>
              </w:rPr>
            </w:pPr>
            <w:r>
              <w:rPr>
                <w:rFonts w:ascii="Calibri" w:hAnsi="Calibri"/>
                <w:b/>
                <w:szCs w:val="20"/>
              </w:rPr>
              <w:t>-280.0</w:t>
            </w:r>
          </w:p>
        </w:tc>
      </w:tr>
      <w:tr w:rsidR="00692DD8" w:rsidRPr="00B73AC8" w:rsidTr="00C6309F">
        <w:tc>
          <w:tcPr>
            <w:cnfStyle w:val="001000000000" w:firstRow="0" w:lastRow="0" w:firstColumn="1" w:lastColumn="0" w:oddVBand="0" w:evenVBand="0" w:oddHBand="0" w:evenHBand="0" w:firstRowFirstColumn="0" w:firstRowLastColumn="0" w:lastRowFirstColumn="0" w:lastRowLastColumn="0"/>
            <w:tcW w:w="1591" w:type="pct"/>
          </w:tcPr>
          <w:p w:rsidR="00CA5D42" w:rsidRPr="00B73AC8" w:rsidRDefault="00CA5D42" w:rsidP="00C6309F">
            <w:pPr>
              <w:pStyle w:val="TableTextCentred"/>
              <w:keepNext/>
              <w:keepLines/>
              <w:spacing w:line="240" w:lineRule="auto"/>
              <w:ind w:left="57" w:right="57"/>
              <w:jc w:val="left"/>
              <w:rPr>
                <w:szCs w:val="20"/>
              </w:rPr>
            </w:pPr>
            <w:r w:rsidRPr="00B73AC8">
              <w:rPr>
                <w:szCs w:val="20"/>
              </w:rPr>
              <w:t>Underlying cash balance</w:t>
            </w:r>
          </w:p>
        </w:tc>
        <w:tc>
          <w:tcPr>
            <w:tcW w:w="682" w:type="pct"/>
          </w:tcPr>
          <w:p w:rsidR="00CA5D42" w:rsidRPr="00B73AC8" w:rsidRDefault="008A3ABE" w:rsidP="00C6309F">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w:t>
            </w:r>
          </w:p>
        </w:tc>
        <w:tc>
          <w:tcPr>
            <w:tcW w:w="682" w:type="pct"/>
          </w:tcPr>
          <w:p w:rsidR="00CA5D42" w:rsidRPr="00B73AC8" w:rsidRDefault="008A3ABE" w:rsidP="00C6309F">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-50.0</w:t>
            </w:r>
          </w:p>
        </w:tc>
        <w:tc>
          <w:tcPr>
            <w:tcW w:w="682" w:type="pct"/>
          </w:tcPr>
          <w:p w:rsidR="00CA5D42" w:rsidRPr="00B73AC8" w:rsidRDefault="008A3ABE" w:rsidP="00C6309F">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-75.0</w:t>
            </w:r>
          </w:p>
        </w:tc>
        <w:tc>
          <w:tcPr>
            <w:tcW w:w="682" w:type="pct"/>
          </w:tcPr>
          <w:p w:rsidR="00CA5D42" w:rsidRPr="00B73AC8" w:rsidRDefault="008A3ABE" w:rsidP="00C6309F">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-75.0</w:t>
            </w:r>
          </w:p>
        </w:tc>
        <w:tc>
          <w:tcPr>
            <w:tcW w:w="681" w:type="pct"/>
          </w:tcPr>
          <w:p w:rsidR="00CA5D42" w:rsidRPr="00F97DFF" w:rsidRDefault="008A3ABE" w:rsidP="00C6309F">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szCs w:val="20"/>
              </w:rPr>
            </w:pPr>
            <w:r>
              <w:rPr>
                <w:rFonts w:ascii="Calibri" w:hAnsi="Calibri"/>
                <w:b/>
                <w:szCs w:val="20"/>
              </w:rPr>
              <w:t>-200.0</w:t>
            </w:r>
          </w:p>
        </w:tc>
      </w:tr>
    </w:tbl>
    <w:p w:rsidR="00C708DC" w:rsidRPr="0069722C" w:rsidRDefault="00C708DC" w:rsidP="0005058B">
      <w:pPr>
        <w:pStyle w:val="Footnotes"/>
        <w:numPr>
          <w:ilvl w:val="0"/>
          <w:numId w:val="17"/>
        </w:numPr>
        <w:ind w:left="284" w:hanging="284"/>
      </w:pPr>
      <w:r w:rsidRPr="0069722C">
        <w:t>A positive number indicates an increase in the relevant budget balance, a negative number a decrease.</w:t>
      </w:r>
    </w:p>
    <w:p w:rsidR="00C708DC" w:rsidRPr="0069722C" w:rsidRDefault="00C708DC" w:rsidP="0005058B">
      <w:pPr>
        <w:pStyle w:val="Footnotes"/>
      </w:pPr>
      <w:r w:rsidRPr="0069722C">
        <w:t>Figures may not sum to totals due to rounding.</w:t>
      </w:r>
    </w:p>
    <w:p w:rsidR="008D3909" w:rsidRPr="00FC6579" w:rsidRDefault="005E3562" w:rsidP="00E40B8B">
      <w:pPr>
        <w:pStyle w:val="Heading2"/>
      </w:pPr>
      <w:r w:rsidRPr="00FC6579">
        <w:t>Key assumptions</w:t>
      </w:r>
    </w:p>
    <w:p w:rsidR="008A3ABE" w:rsidRDefault="008A3ABE" w:rsidP="008A3ABE">
      <w:r>
        <w:t xml:space="preserve">The </w:t>
      </w:r>
      <w:r w:rsidR="00F04958">
        <w:t>Parliamentary Budget Office</w:t>
      </w:r>
      <w:r>
        <w:t xml:space="preserve"> has made the following assumptions regarding this proposal:</w:t>
      </w:r>
    </w:p>
    <w:p w:rsidR="008A3ABE" w:rsidRPr="003F5887" w:rsidRDefault="008A3ABE" w:rsidP="003F5887">
      <w:pPr>
        <w:pStyle w:val="Bullet1"/>
      </w:pPr>
      <w:r w:rsidRPr="003F5887">
        <w:t>Offset amounts are expected to be claimed by companies in the year following the completion of production.</w:t>
      </w:r>
    </w:p>
    <w:p w:rsidR="008A3ABE" w:rsidRPr="003F5887" w:rsidRDefault="008A3ABE" w:rsidP="003F5887">
      <w:pPr>
        <w:pStyle w:val="Bullet1"/>
      </w:pPr>
      <w:r w:rsidRPr="003F5887">
        <w:t>The value of QAPE is assumed to grow at the same rate as the Consumer Price Index.</w:t>
      </w:r>
    </w:p>
    <w:p w:rsidR="008A3ABE" w:rsidRPr="003F5887" w:rsidRDefault="008A3ABE" w:rsidP="003F5887">
      <w:pPr>
        <w:pStyle w:val="Bullet1"/>
      </w:pPr>
      <w:r w:rsidRPr="003F5887">
        <w:t>There is assumed to be no change in the number of television productions that receive the Producer Tax Offset under the proposal.</w:t>
      </w:r>
    </w:p>
    <w:p w:rsidR="008A3ABE" w:rsidRPr="003F5887" w:rsidRDefault="008A3ABE" w:rsidP="003F5887">
      <w:pPr>
        <w:pStyle w:val="Bullet1"/>
      </w:pPr>
      <w:r w:rsidRPr="003F5887">
        <w:t>The proposed increase in the Location Tax Offset is assumed t</w:t>
      </w:r>
      <w:r w:rsidR="0041466A" w:rsidRPr="003F5887">
        <w:t>o result in an increase in QAPE</w:t>
      </w:r>
      <w:r w:rsidRPr="003F5887">
        <w:t xml:space="preserve"> as the increase in the offset would make producing films in Australia relatively more attractive.  </w:t>
      </w:r>
    </w:p>
    <w:p w:rsidR="008A3ABE" w:rsidRDefault="008A3ABE" w:rsidP="008A3ABE">
      <w:pPr>
        <w:pStyle w:val="Bullet1"/>
      </w:pPr>
      <w:r>
        <w:lastRenderedPageBreak/>
        <w:t xml:space="preserve">There is not expected to be an increase in spending on eligible television production as a result of the increased rate of the Producer Tax Offset.  This is because television production with substantive Australian content is assumed to occur to meet local content rules, independent of the rate of the Producer Tax Offset. </w:t>
      </w:r>
    </w:p>
    <w:p w:rsidR="005E3562" w:rsidRPr="00FC6579" w:rsidRDefault="005E3562" w:rsidP="00E40B8B">
      <w:pPr>
        <w:pStyle w:val="Heading2"/>
      </w:pPr>
      <w:r w:rsidRPr="00FC6579">
        <w:t>Methodology</w:t>
      </w:r>
    </w:p>
    <w:p w:rsidR="008A3ABE" w:rsidRPr="00BD3161" w:rsidRDefault="008A3ABE" w:rsidP="008A3ABE">
      <w:pPr>
        <w:pStyle w:val="Heading3"/>
      </w:pPr>
      <w:r w:rsidRPr="00BD3161">
        <w:t xml:space="preserve">Location </w:t>
      </w:r>
      <w:r>
        <w:t>T</w:t>
      </w:r>
      <w:r w:rsidRPr="00BD3161">
        <w:t xml:space="preserve">ax </w:t>
      </w:r>
      <w:r>
        <w:t>O</w:t>
      </w:r>
      <w:r w:rsidRPr="00BD3161">
        <w:t>ffset</w:t>
      </w:r>
    </w:p>
    <w:p w:rsidR="008A3ABE" w:rsidRDefault="008A3ABE" w:rsidP="008A3ABE">
      <w:pPr>
        <w:keepLines/>
      </w:pPr>
      <w:r>
        <w:t>The projected amount of QAPE on foreign films shot in Australia was calculated based on average historical amounts.  QAPE was increased permanently by the rates for the expected behavioural respon</w:t>
      </w:r>
      <w:r w:rsidR="007806EF">
        <w:t>se.  The impact of the proposal</w:t>
      </w:r>
      <w:r>
        <w:t xml:space="preserve"> was then calculated by taking the difference between the amount of the Location Tax Offset at the current rate and the proposed rate.</w:t>
      </w:r>
    </w:p>
    <w:p w:rsidR="008A3ABE" w:rsidRPr="00BD3161" w:rsidRDefault="008A3ABE" w:rsidP="008A3ABE">
      <w:pPr>
        <w:pStyle w:val="Heading3"/>
      </w:pPr>
      <w:r w:rsidRPr="00BD3161">
        <w:t>Producer Tax Offset</w:t>
      </w:r>
    </w:p>
    <w:p w:rsidR="008A3ABE" w:rsidRDefault="008A3ABE" w:rsidP="008A3ABE">
      <w:r>
        <w:t>The historical average of QAPE on eligible television production was used as the basis for this costing.  The impact of the proposal was then calculated by taking the difference between the amount of the Producer Tax Offset at the curre</w:t>
      </w:r>
      <w:r w:rsidR="003F5887">
        <w:t>nt rate and the proposed rate.</w:t>
      </w:r>
    </w:p>
    <w:p w:rsidR="008A3ABE" w:rsidRDefault="008A3ABE" w:rsidP="008A3ABE">
      <w:r>
        <w:t>Estimates have been rounded to the nearest $5 million.</w:t>
      </w:r>
    </w:p>
    <w:p w:rsidR="005E3562" w:rsidRPr="00FC6579" w:rsidRDefault="005E3562" w:rsidP="00E40B8B">
      <w:pPr>
        <w:pStyle w:val="Heading2"/>
      </w:pPr>
      <w:r w:rsidRPr="00FC6579">
        <w:t>Data sources</w:t>
      </w:r>
    </w:p>
    <w:p w:rsidR="008A3ABE" w:rsidRDefault="008A3ABE" w:rsidP="008A3ABE">
      <w:r>
        <w:t>The amount of expenditure on foreign films and eligible television production in Australia was obtained from publicly available information published by Screen Australia.</w:t>
      </w:r>
    </w:p>
    <w:p w:rsidR="003F5887" w:rsidRDefault="003F5887" w:rsidP="008A3ABE">
      <w:pPr>
        <w:sectPr w:rsidR="003F5887" w:rsidSect="00CC1E6A">
          <w:headerReference w:type="default" r:id="rId15"/>
          <w:footerReference w:type="default" r:id="rId16"/>
          <w:headerReference w:type="first" r:id="rId17"/>
          <w:footerReference w:type="first" r:id="rId18"/>
          <w:pgSz w:w="11906" w:h="16838" w:code="9"/>
          <w:pgMar w:top="1361" w:right="1797" w:bottom="1474" w:left="1797" w:header="567" w:footer="567" w:gutter="0"/>
          <w:cols w:space="708"/>
          <w:titlePg/>
          <w:docGrid w:linePitch="360"/>
        </w:sectPr>
      </w:pPr>
    </w:p>
    <w:p w:rsidR="001A02D1" w:rsidRPr="00FC6579" w:rsidRDefault="001A02D1" w:rsidP="00FC6579">
      <w:pPr>
        <w:pStyle w:val="Heading1"/>
      </w:pPr>
      <w:r w:rsidRPr="00FC6579">
        <w:lastRenderedPageBreak/>
        <w:t>Attachment A:</w:t>
      </w:r>
      <w:r w:rsidR="00841C3A">
        <w:t xml:space="preserve"> </w:t>
      </w:r>
      <w:r w:rsidR="008A3ABE">
        <w:t>Australia’s film industry</w:t>
      </w:r>
      <w:r w:rsidR="00440E32">
        <w:t>—financial</w:t>
      </w:r>
      <w:r w:rsidR="00841C3A">
        <w:t> </w:t>
      </w:r>
      <w:r w:rsidR="00440E32">
        <w:t>implications</w:t>
      </w:r>
    </w:p>
    <w:p w:rsidR="008A3ABE" w:rsidRDefault="008A3ABE" w:rsidP="008A3ABE">
      <w:r>
        <w:t>The following tables provide a breakdown of the estimated financial impacts of the proposed changes over the 2016-17 Budget forward estimates period on a fiscal and underlying cash balance basis.</w:t>
      </w:r>
    </w:p>
    <w:p w:rsidR="00EA265F" w:rsidRPr="00E30FB5" w:rsidRDefault="00EA265F" w:rsidP="00EA265F">
      <w:pPr>
        <w:pStyle w:val="Captionheading"/>
        <w:rPr>
          <w:vertAlign w:val="superscript"/>
        </w:rPr>
      </w:pPr>
      <w:r w:rsidRPr="00FC5643">
        <w:t xml:space="preserve">Table </w:t>
      </w:r>
      <w:r>
        <w:t>A1</w:t>
      </w:r>
      <w:r w:rsidRPr="00FC5643">
        <w:t xml:space="preserve">: </w:t>
      </w:r>
      <w:r w:rsidR="008A3ABE">
        <w:t>Australia’s film industry</w:t>
      </w:r>
      <w:r w:rsidR="00EA5685">
        <w:t>—</w:t>
      </w:r>
      <w:r>
        <w:t>Fiscal balance</w:t>
      </w:r>
      <w:r>
        <w:rPr>
          <w:vertAlign w:val="superscript"/>
        </w:rPr>
        <w:t>(a)</w:t>
      </w:r>
      <w:r w:rsidR="00F4535C">
        <w:rPr>
          <w:vertAlign w:val="superscript"/>
        </w:rPr>
        <w:t>(b)</w:t>
      </w:r>
    </w:p>
    <w:tbl>
      <w:tblPr>
        <w:tblStyle w:val="TableGrid"/>
        <w:tblW w:w="4995" w:type="pct"/>
        <w:tblLook w:val="04A0" w:firstRow="1" w:lastRow="0" w:firstColumn="1" w:lastColumn="0" w:noHBand="0" w:noVBand="1"/>
      </w:tblPr>
      <w:tblGrid>
        <w:gridCol w:w="2644"/>
        <w:gridCol w:w="1134"/>
        <w:gridCol w:w="1134"/>
        <w:gridCol w:w="1134"/>
        <w:gridCol w:w="1134"/>
        <w:gridCol w:w="1134"/>
      </w:tblGrid>
      <w:tr w:rsidR="00EA265F" w:rsidRPr="00EF1D6A" w:rsidTr="00CF7D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0" w:type="pct"/>
            <w:vAlign w:val="center"/>
          </w:tcPr>
          <w:p w:rsidR="00EA265F" w:rsidRPr="003F5887" w:rsidRDefault="00642094" w:rsidP="00CF7D9A">
            <w:pPr>
              <w:pStyle w:val="TableText"/>
              <w:keepNext/>
              <w:keepLines/>
              <w:spacing w:line="240" w:lineRule="auto"/>
              <w:ind w:left="57" w:right="57"/>
              <w:rPr>
                <w:szCs w:val="20"/>
              </w:rPr>
            </w:pPr>
            <w:r w:rsidRPr="003F5887">
              <w:rPr>
                <w:szCs w:val="20"/>
              </w:rPr>
              <w:t xml:space="preserve">Impact arising from </w:t>
            </w:r>
            <w:r w:rsidR="00EA265F" w:rsidRPr="003F5887">
              <w:rPr>
                <w:szCs w:val="20"/>
              </w:rPr>
              <w:t>($m)</w:t>
            </w:r>
          </w:p>
        </w:tc>
        <w:tc>
          <w:tcPr>
            <w:tcW w:w="682" w:type="pct"/>
            <w:vAlign w:val="center"/>
          </w:tcPr>
          <w:p w:rsidR="00EA265F" w:rsidRPr="003F5887" w:rsidRDefault="00EA265F" w:rsidP="00CF7D9A">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szCs w:val="20"/>
              </w:rPr>
            </w:pPr>
            <w:r w:rsidRPr="003F5887">
              <w:t>2016–17</w:t>
            </w:r>
          </w:p>
        </w:tc>
        <w:tc>
          <w:tcPr>
            <w:tcW w:w="682" w:type="pct"/>
            <w:vAlign w:val="center"/>
          </w:tcPr>
          <w:p w:rsidR="00EA265F" w:rsidRPr="003F5887" w:rsidRDefault="00EA265F" w:rsidP="00CF7D9A">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szCs w:val="20"/>
              </w:rPr>
            </w:pPr>
            <w:r w:rsidRPr="003F5887">
              <w:t>2017–18</w:t>
            </w:r>
          </w:p>
        </w:tc>
        <w:tc>
          <w:tcPr>
            <w:tcW w:w="682" w:type="pct"/>
            <w:vAlign w:val="center"/>
          </w:tcPr>
          <w:p w:rsidR="00EA265F" w:rsidRPr="003F5887" w:rsidRDefault="00EA265F" w:rsidP="00CF7D9A">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szCs w:val="20"/>
              </w:rPr>
            </w:pPr>
            <w:r w:rsidRPr="003F5887">
              <w:t>2018–19</w:t>
            </w:r>
          </w:p>
        </w:tc>
        <w:tc>
          <w:tcPr>
            <w:tcW w:w="682" w:type="pct"/>
            <w:vAlign w:val="center"/>
          </w:tcPr>
          <w:p w:rsidR="00EA265F" w:rsidRPr="003F5887" w:rsidRDefault="00EA265F" w:rsidP="00CF7D9A">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szCs w:val="20"/>
              </w:rPr>
            </w:pPr>
            <w:r w:rsidRPr="003F5887">
              <w:t>2019–20</w:t>
            </w:r>
          </w:p>
        </w:tc>
        <w:tc>
          <w:tcPr>
            <w:tcW w:w="682" w:type="pct"/>
            <w:vAlign w:val="center"/>
          </w:tcPr>
          <w:p w:rsidR="00EA265F" w:rsidRPr="00AE30B5" w:rsidRDefault="00EA265F" w:rsidP="00E311FE">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vertAlign w:val="superscript"/>
              </w:rPr>
            </w:pPr>
            <w:r w:rsidRPr="00AE30B5">
              <w:rPr>
                <w:b/>
              </w:rPr>
              <w:t>Total to 2019–20</w:t>
            </w:r>
          </w:p>
        </w:tc>
      </w:tr>
      <w:tr w:rsidR="00A36373" w:rsidRPr="00EF1D6A" w:rsidTr="00A3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A36373" w:rsidRDefault="00A36373" w:rsidP="00C3532F">
            <w:pPr>
              <w:pStyle w:val="TableTextRight"/>
              <w:spacing w:line="240" w:lineRule="auto"/>
              <w:ind w:left="57" w:right="57"/>
              <w:jc w:val="left"/>
              <w:rPr>
                <w:b/>
              </w:rPr>
            </w:pPr>
            <w:r>
              <w:t>Expenses</w:t>
            </w:r>
          </w:p>
        </w:tc>
      </w:tr>
      <w:tr w:rsidR="00943B65" w:rsidRPr="0066665A" w:rsidTr="00015FB2">
        <w:tc>
          <w:tcPr>
            <w:cnfStyle w:val="001000000000" w:firstRow="0" w:lastRow="0" w:firstColumn="1" w:lastColumn="0" w:oddVBand="0" w:evenVBand="0" w:oddHBand="0" w:evenHBand="0" w:firstRowFirstColumn="0" w:firstRowLastColumn="0" w:lastRowFirstColumn="0" w:lastRowLastColumn="0"/>
            <w:tcW w:w="1590" w:type="pct"/>
          </w:tcPr>
          <w:p w:rsidR="00943B65" w:rsidRPr="00943B65" w:rsidRDefault="00943B65" w:rsidP="00CF7D9A">
            <w:pPr>
              <w:pStyle w:val="TableTextCentred"/>
              <w:keepNext/>
              <w:keepLines/>
              <w:spacing w:line="240" w:lineRule="auto"/>
              <w:ind w:left="57" w:right="57"/>
              <w:jc w:val="left"/>
              <w:rPr>
                <w:b/>
                <w:szCs w:val="20"/>
              </w:rPr>
            </w:pPr>
            <w:r w:rsidRPr="00943B65">
              <w:rPr>
                <w:b/>
              </w:rPr>
              <w:t>Administered</w:t>
            </w:r>
          </w:p>
        </w:tc>
        <w:tc>
          <w:tcPr>
            <w:tcW w:w="682" w:type="pct"/>
          </w:tcPr>
          <w:p w:rsidR="00943B65" w:rsidRPr="0055406D" w:rsidRDefault="00943B65" w:rsidP="003146B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-50.0</w:t>
            </w:r>
          </w:p>
        </w:tc>
        <w:tc>
          <w:tcPr>
            <w:tcW w:w="682" w:type="pct"/>
          </w:tcPr>
          <w:p w:rsidR="00943B65" w:rsidRPr="0055406D" w:rsidRDefault="00943B65" w:rsidP="003146B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-75.0</w:t>
            </w:r>
          </w:p>
        </w:tc>
        <w:tc>
          <w:tcPr>
            <w:tcW w:w="682" w:type="pct"/>
          </w:tcPr>
          <w:p w:rsidR="00943B65" w:rsidRPr="0055406D" w:rsidRDefault="00943B65" w:rsidP="003146B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-75.0</w:t>
            </w:r>
          </w:p>
        </w:tc>
        <w:tc>
          <w:tcPr>
            <w:tcW w:w="682" w:type="pct"/>
          </w:tcPr>
          <w:p w:rsidR="00943B65" w:rsidRPr="0055406D" w:rsidRDefault="00943B65" w:rsidP="003146B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-80.0</w:t>
            </w:r>
          </w:p>
        </w:tc>
        <w:tc>
          <w:tcPr>
            <w:tcW w:w="682" w:type="pct"/>
          </w:tcPr>
          <w:p w:rsidR="00943B65" w:rsidRPr="00AE30B5" w:rsidRDefault="00943B65" w:rsidP="003146B8">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-280.0</w:t>
            </w:r>
          </w:p>
        </w:tc>
      </w:tr>
      <w:tr w:rsidR="00943B65" w:rsidRPr="0066665A" w:rsidTr="0001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Pr>
          <w:p w:rsidR="00943B65" w:rsidRPr="00B56BDF" w:rsidRDefault="00943B65" w:rsidP="00AF6A2D">
            <w:pPr>
              <w:pStyle w:val="TableTextCentred"/>
              <w:keepNext/>
              <w:keepLines/>
              <w:spacing w:line="240" w:lineRule="auto"/>
              <w:ind w:left="57" w:right="57"/>
              <w:jc w:val="left"/>
              <w:rPr>
                <w:i/>
                <w:szCs w:val="20"/>
              </w:rPr>
            </w:pPr>
            <w:r w:rsidRPr="00B56BDF">
              <w:rPr>
                <w:i/>
              </w:rPr>
              <w:t>Increas</w:t>
            </w:r>
            <w:r w:rsidR="00AF6A2D">
              <w:rPr>
                <w:i/>
              </w:rPr>
              <w:t>e</w:t>
            </w:r>
            <w:r w:rsidRPr="00B56BDF">
              <w:rPr>
                <w:i/>
              </w:rPr>
              <w:t xml:space="preserve"> the Location Tax Offset </w:t>
            </w:r>
          </w:p>
        </w:tc>
        <w:tc>
          <w:tcPr>
            <w:tcW w:w="682" w:type="pct"/>
          </w:tcPr>
          <w:p w:rsidR="00943B65" w:rsidRPr="00B56BDF" w:rsidRDefault="00943B65" w:rsidP="003146B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rsidRPr="00B56BDF">
              <w:t>-15.0</w:t>
            </w:r>
          </w:p>
        </w:tc>
        <w:tc>
          <w:tcPr>
            <w:tcW w:w="682" w:type="pct"/>
          </w:tcPr>
          <w:p w:rsidR="00943B65" w:rsidRPr="00C24267" w:rsidRDefault="00943B65" w:rsidP="003146B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-20.0</w:t>
            </w:r>
          </w:p>
        </w:tc>
        <w:tc>
          <w:tcPr>
            <w:tcW w:w="682" w:type="pct"/>
          </w:tcPr>
          <w:p w:rsidR="00943B65" w:rsidRPr="00C24267" w:rsidRDefault="00943B65" w:rsidP="003146B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-20.0</w:t>
            </w:r>
          </w:p>
        </w:tc>
        <w:tc>
          <w:tcPr>
            <w:tcW w:w="682" w:type="pct"/>
          </w:tcPr>
          <w:p w:rsidR="00943B65" w:rsidRPr="00C24267" w:rsidRDefault="00943B65" w:rsidP="003146B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pPr>
            <w:r>
              <w:t>-25.0</w:t>
            </w:r>
          </w:p>
        </w:tc>
        <w:tc>
          <w:tcPr>
            <w:tcW w:w="682" w:type="pct"/>
          </w:tcPr>
          <w:p w:rsidR="00943B65" w:rsidRPr="00AE30B5" w:rsidRDefault="00943B65" w:rsidP="003146B8">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Pr>
                <w:b/>
              </w:rPr>
              <w:t>-80.0</w:t>
            </w:r>
          </w:p>
        </w:tc>
      </w:tr>
      <w:tr w:rsidR="00943B65" w:rsidRPr="0066665A" w:rsidTr="00015FB2">
        <w:tc>
          <w:tcPr>
            <w:cnfStyle w:val="001000000000" w:firstRow="0" w:lastRow="0" w:firstColumn="1" w:lastColumn="0" w:oddVBand="0" w:evenVBand="0" w:oddHBand="0" w:evenHBand="0" w:firstRowFirstColumn="0" w:firstRowLastColumn="0" w:lastRowFirstColumn="0" w:lastRowLastColumn="0"/>
            <w:tcW w:w="1590" w:type="pct"/>
          </w:tcPr>
          <w:p w:rsidR="00EA265F" w:rsidRPr="00B56BDF" w:rsidRDefault="00642094" w:rsidP="00AF6A2D">
            <w:pPr>
              <w:pStyle w:val="TableTextCentred"/>
              <w:keepNext/>
              <w:keepLines/>
              <w:spacing w:line="240" w:lineRule="auto"/>
              <w:ind w:left="57" w:right="57"/>
              <w:jc w:val="left"/>
              <w:rPr>
                <w:i/>
                <w:szCs w:val="20"/>
              </w:rPr>
            </w:pPr>
            <w:r w:rsidRPr="00B56BDF">
              <w:rPr>
                <w:i/>
              </w:rPr>
              <w:t>Increas</w:t>
            </w:r>
            <w:r w:rsidR="00AF6A2D">
              <w:rPr>
                <w:i/>
              </w:rPr>
              <w:t>e</w:t>
            </w:r>
            <w:r w:rsidRPr="00B56BDF">
              <w:rPr>
                <w:i/>
              </w:rPr>
              <w:t xml:space="preserve"> the Producer Tax Offset </w:t>
            </w:r>
          </w:p>
        </w:tc>
        <w:tc>
          <w:tcPr>
            <w:tcW w:w="682" w:type="pct"/>
          </w:tcPr>
          <w:p w:rsidR="00EA265F" w:rsidRPr="00B56BDF" w:rsidRDefault="00642094" w:rsidP="00CF7D9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rsidRPr="00B56BDF">
              <w:t>-35.0</w:t>
            </w:r>
          </w:p>
        </w:tc>
        <w:tc>
          <w:tcPr>
            <w:tcW w:w="682" w:type="pct"/>
          </w:tcPr>
          <w:p w:rsidR="00EA265F" w:rsidRPr="00C24267" w:rsidRDefault="00642094" w:rsidP="00CF7D9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-55.0</w:t>
            </w:r>
          </w:p>
        </w:tc>
        <w:tc>
          <w:tcPr>
            <w:tcW w:w="682" w:type="pct"/>
          </w:tcPr>
          <w:p w:rsidR="00EA265F" w:rsidRPr="00C24267" w:rsidRDefault="00642094" w:rsidP="00CF7D9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-55.0</w:t>
            </w:r>
          </w:p>
        </w:tc>
        <w:tc>
          <w:tcPr>
            <w:tcW w:w="682" w:type="pct"/>
          </w:tcPr>
          <w:p w:rsidR="00EA265F" w:rsidRPr="00C24267" w:rsidRDefault="00642094" w:rsidP="00CF7D9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pPr>
            <w:r>
              <w:t>-55.0</w:t>
            </w:r>
          </w:p>
        </w:tc>
        <w:tc>
          <w:tcPr>
            <w:tcW w:w="682" w:type="pct"/>
          </w:tcPr>
          <w:p w:rsidR="00EA265F" w:rsidRPr="00AE30B5" w:rsidRDefault="00642094" w:rsidP="00CF7D9A">
            <w:pPr>
              <w:pStyle w:val="TableTextRight"/>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Pr>
                <w:b/>
              </w:rPr>
              <w:t>-200.0</w:t>
            </w:r>
          </w:p>
        </w:tc>
      </w:tr>
      <w:tr w:rsidR="00015FB2" w:rsidRPr="0055406D" w:rsidTr="00015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shd w:val="clear" w:color="auto" w:fill="D7DDE9"/>
          </w:tcPr>
          <w:p w:rsidR="00EA265F" w:rsidRPr="0055406D" w:rsidRDefault="00EA265F" w:rsidP="00CF7D9A">
            <w:pPr>
              <w:pStyle w:val="TableTextCentred"/>
              <w:keepNext/>
              <w:keepLines/>
              <w:spacing w:line="240" w:lineRule="auto"/>
              <w:ind w:left="57" w:right="57"/>
              <w:jc w:val="left"/>
              <w:rPr>
                <w:b/>
                <w:szCs w:val="20"/>
              </w:rPr>
            </w:pPr>
            <w:r w:rsidRPr="0055406D">
              <w:rPr>
                <w:b/>
                <w:szCs w:val="20"/>
              </w:rPr>
              <w:t>Total</w:t>
            </w:r>
          </w:p>
        </w:tc>
        <w:tc>
          <w:tcPr>
            <w:tcW w:w="682" w:type="pct"/>
            <w:shd w:val="clear" w:color="auto" w:fill="D7DDE9"/>
          </w:tcPr>
          <w:p w:rsidR="00EA265F" w:rsidRPr="0055406D" w:rsidRDefault="00642094"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-50.0</w:t>
            </w:r>
          </w:p>
        </w:tc>
        <w:tc>
          <w:tcPr>
            <w:tcW w:w="682" w:type="pct"/>
            <w:shd w:val="clear" w:color="auto" w:fill="D7DDE9"/>
          </w:tcPr>
          <w:p w:rsidR="00EA265F" w:rsidRPr="0055406D" w:rsidRDefault="00642094"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-75.0</w:t>
            </w:r>
          </w:p>
        </w:tc>
        <w:tc>
          <w:tcPr>
            <w:tcW w:w="682" w:type="pct"/>
            <w:shd w:val="clear" w:color="auto" w:fill="D7DDE9"/>
          </w:tcPr>
          <w:p w:rsidR="00EA265F" w:rsidRPr="0055406D" w:rsidRDefault="00642094"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-75.0</w:t>
            </w:r>
          </w:p>
        </w:tc>
        <w:tc>
          <w:tcPr>
            <w:tcW w:w="682" w:type="pct"/>
            <w:shd w:val="clear" w:color="auto" w:fill="D7DDE9"/>
          </w:tcPr>
          <w:p w:rsidR="00EA265F" w:rsidRPr="0055406D" w:rsidRDefault="00642094"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-80.0</w:t>
            </w:r>
          </w:p>
        </w:tc>
        <w:tc>
          <w:tcPr>
            <w:tcW w:w="682" w:type="pct"/>
            <w:shd w:val="clear" w:color="auto" w:fill="D7DDE9"/>
          </w:tcPr>
          <w:p w:rsidR="00EA265F" w:rsidRPr="00AE30B5" w:rsidRDefault="00642094" w:rsidP="00CF7D9A">
            <w:pPr>
              <w:pStyle w:val="TableTextRight"/>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-280.0</w:t>
            </w:r>
          </w:p>
        </w:tc>
      </w:tr>
    </w:tbl>
    <w:p w:rsidR="00A36373" w:rsidRPr="00A36373" w:rsidRDefault="00A36373" w:rsidP="00A36373">
      <w:pPr>
        <w:pStyle w:val="Footnotes"/>
        <w:numPr>
          <w:ilvl w:val="0"/>
          <w:numId w:val="21"/>
        </w:numPr>
        <w:ind w:left="284" w:hanging="284"/>
      </w:pPr>
      <w:r w:rsidRPr="00A36373">
        <w:t xml:space="preserve">A </w:t>
      </w:r>
      <w:r w:rsidR="001E0CB4">
        <w:t>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w:t>
      </w:r>
    </w:p>
    <w:p w:rsidR="00EA265F" w:rsidRPr="00A36373" w:rsidRDefault="00F4535C" w:rsidP="00A36373">
      <w:pPr>
        <w:pStyle w:val="Footnotes"/>
      </w:pPr>
      <w:r w:rsidRPr="00A36373">
        <w:t>Figures may not sum to totals due to rounding.</w:t>
      </w:r>
    </w:p>
    <w:p w:rsidR="00507897" w:rsidRPr="00E40B8B" w:rsidRDefault="00507897" w:rsidP="0079121F">
      <w:pPr>
        <w:pStyle w:val="Captionheading"/>
        <w:keepLines/>
        <w:rPr>
          <w:vertAlign w:val="superscript"/>
        </w:rPr>
      </w:pPr>
      <w:r w:rsidRPr="00FC6579">
        <w:t xml:space="preserve">Table </w:t>
      </w:r>
      <w:r w:rsidR="00E40B8B">
        <w:t>A</w:t>
      </w:r>
      <w:r w:rsidR="00EA265F">
        <w:t>2</w:t>
      </w:r>
      <w:r w:rsidRPr="00FC6579">
        <w:t xml:space="preserve">: </w:t>
      </w:r>
      <w:r w:rsidR="008A3ABE">
        <w:t>Australia’s film industry</w:t>
      </w:r>
      <w:r w:rsidR="00EA5685">
        <w:t>—</w:t>
      </w:r>
      <w:r w:rsidR="00E40B8B">
        <w:t>Underlying cash balance</w:t>
      </w:r>
      <w:r w:rsidR="00E40B8B">
        <w:rPr>
          <w:vertAlign w:val="superscript"/>
        </w:rPr>
        <w:t>(a)</w:t>
      </w:r>
      <w:r w:rsidR="00F4535C">
        <w:rPr>
          <w:vertAlign w:val="superscript"/>
        </w:rPr>
        <w:t>(b)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4"/>
        <w:gridCol w:w="1134"/>
        <w:gridCol w:w="1134"/>
        <w:gridCol w:w="1134"/>
        <w:gridCol w:w="1134"/>
        <w:gridCol w:w="1134"/>
      </w:tblGrid>
      <w:tr w:rsidR="00C17112" w:rsidRPr="00EF1D6A" w:rsidTr="00A36373">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507897" w:rsidRPr="003F5887" w:rsidRDefault="00642094" w:rsidP="0079121F">
            <w:pPr>
              <w:pStyle w:val="TableText"/>
              <w:keepNext/>
              <w:keepLines/>
              <w:spacing w:line="240" w:lineRule="auto"/>
              <w:ind w:left="57" w:right="57"/>
              <w:rPr>
                <w:rFonts w:ascii="Calibri" w:hAnsi="Calibri"/>
                <w:szCs w:val="20"/>
              </w:rPr>
            </w:pPr>
            <w:r w:rsidRPr="003F5887">
              <w:rPr>
                <w:rFonts w:ascii="Calibri" w:hAnsi="Calibri"/>
                <w:szCs w:val="20"/>
              </w:rPr>
              <w:t>Impact arising from</w:t>
            </w:r>
            <w:r w:rsidR="00507897" w:rsidRPr="003F5887">
              <w:rPr>
                <w:rFonts w:ascii="Calibri" w:hAnsi="Calibri"/>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507897" w:rsidRPr="003F5887" w:rsidRDefault="00507897" w:rsidP="0079121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szCs w:val="20"/>
              </w:rPr>
            </w:pPr>
            <w:r w:rsidRPr="003F5887">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507897" w:rsidRPr="003F5887" w:rsidRDefault="00507897" w:rsidP="0079121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szCs w:val="20"/>
              </w:rPr>
            </w:pPr>
            <w:r w:rsidRPr="003F5887">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507897" w:rsidRPr="003F5887" w:rsidRDefault="00507897" w:rsidP="0079121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szCs w:val="20"/>
              </w:rPr>
            </w:pPr>
            <w:r w:rsidRPr="003F5887">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507897" w:rsidRPr="003F5887" w:rsidRDefault="00507897" w:rsidP="0079121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szCs w:val="20"/>
              </w:rPr>
            </w:pPr>
            <w:r w:rsidRPr="003F5887">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507897" w:rsidRPr="00AE30B5" w:rsidRDefault="00507897" w:rsidP="0079121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vertAlign w:val="superscript"/>
              </w:rPr>
            </w:pPr>
            <w:r w:rsidRPr="00AE30B5">
              <w:rPr>
                <w:b/>
              </w:rPr>
              <w:t>Total</w:t>
            </w:r>
            <w:r w:rsidR="00DD3E18" w:rsidRPr="00AE30B5">
              <w:rPr>
                <w:b/>
                <w:szCs w:val="20"/>
              </w:rPr>
              <w:t xml:space="preserve"> to 2019–20</w:t>
            </w:r>
          </w:p>
        </w:tc>
      </w:tr>
      <w:tr w:rsidR="00A36373" w:rsidRPr="00EF1D6A" w:rsidTr="00A3637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A36373" w:rsidRPr="00AE30B5" w:rsidRDefault="00A36373" w:rsidP="0079121F">
            <w:pPr>
              <w:pStyle w:val="TableTextRight"/>
              <w:keepNext/>
              <w:keepLines/>
              <w:spacing w:line="240" w:lineRule="auto"/>
              <w:ind w:left="57" w:right="57"/>
              <w:jc w:val="left"/>
              <w:rPr>
                <w:b/>
              </w:rPr>
            </w:pPr>
            <w:r>
              <w:t>Outlays</w:t>
            </w:r>
          </w:p>
        </w:tc>
      </w:tr>
      <w:tr w:rsidR="00943B65" w:rsidRPr="0066665A" w:rsidTr="00CF7D9A">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943B65" w:rsidRPr="00C17112" w:rsidRDefault="00943B65" w:rsidP="0079121F">
            <w:pPr>
              <w:pStyle w:val="TableTextCentred"/>
              <w:keepNext/>
              <w:keepLines/>
              <w:spacing w:line="240" w:lineRule="auto"/>
              <w:ind w:left="57" w:right="57"/>
              <w:jc w:val="left"/>
              <w:rPr>
                <w:szCs w:val="20"/>
              </w:rPr>
            </w:pPr>
            <w:r w:rsidRPr="00943B65">
              <w:rPr>
                <w:b/>
              </w:rPr>
              <w:t>Administered</w:t>
            </w:r>
          </w:p>
        </w:tc>
        <w:tc>
          <w:tcPr>
            <w:tcW w:w="682" w:type="pct"/>
            <w:tcBorders>
              <w:top w:val="single" w:sz="4" w:space="0" w:color="788184"/>
              <w:left w:val="single" w:sz="4" w:space="0" w:color="788184"/>
              <w:bottom w:val="single" w:sz="4" w:space="0" w:color="788184"/>
              <w:right w:val="single" w:sz="4" w:space="0" w:color="788184"/>
            </w:tcBorders>
          </w:tcPr>
          <w:p w:rsidR="00943B65" w:rsidRPr="0055406D" w:rsidRDefault="00943B65" w:rsidP="0079121F">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w:t>
            </w:r>
          </w:p>
        </w:tc>
        <w:tc>
          <w:tcPr>
            <w:tcW w:w="682" w:type="pct"/>
            <w:tcBorders>
              <w:top w:val="single" w:sz="4" w:space="0" w:color="788184"/>
              <w:left w:val="single" w:sz="4" w:space="0" w:color="788184"/>
              <w:bottom w:val="single" w:sz="4" w:space="0" w:color="788184"/>
              <w:right w:val="single" w:sz="4" w:space="0" w:color="788184"/>
            </w:tcBorders>
          </w:tcPr>
          <w:p w:rsidR="00943B65" w:rsidRPr="0055406D" w:rsidRDefault="00943B65" w:rsidP="0079121F">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-50.0</w:t>
            </w:r>
          </w:p>
        </w:tc>
        <w:tc>
          <w:tcPr>
            <w:tcW w:w="682" w:type="pct"/>
            <w:tcBorders>
              <w:top w:val="single" w:sz="4" w:space="0" w:color="788184"/>
              <w:left w:val="single" w:sz="4" w:space="0" w:color="788184"/>
              <w:bottom w:val="single" w:sz="4" w:space="0" w:color="788184"/>
              <w:right w:val="single" w:sz="4" w:space="0" w:color="788184"/>
            </w:tcBorders>
          </w:tcPr>
          <w:p w:rsidR="00943B65" w:rsidRPr="0055406D" w:rsidRDefault="00943B65" w:rsidP="0079121F">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-75.0</w:t>
            </w:r>
          </w:p>
        </w:tc>
        <w:tc>
          <w:tcPr>
            <w:tcW w:w="682" w:type="pct"/>
            <w:tcBorders>
              <w:top w:val="single" w:sz="4" w:space="0" w:color="788184"/>
              <w:left w:val="single" w:sz="4" w:space="0" w:color="788184"/>
              <w:bottom w:val="single" w:sz="4" w:space="0" w:color="788184"/>
              <w:right w:val="single" w:sz="4" w:space="0" w:color="788184"/>
            </w:tcBorders>
          </w:tcPr>
          <w:p w:rsidR="00943B65" w:rsidRPr="0055406D" w:rsidRDefault="00943B65" w:rsidP="0079121F">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-75.0</w:t>
            </w:r>
          </w:p>
        </w:tc>
        <w:tc>
          <w:tcPr>
            <w:tcW w:w="682" w:type="pct"/>
            <w:tcBorders>
              <w:top w:val="single" w:sz="4" w:space="0" w:color="788184"/>
              <w:left w:val="single" w:sz="4" w:space="0" w:color="788184"/>
              <w:bottom w:val="single" w:sz="4" w:space="0" w:color="788184"/>
              <w:right w:val="single" w:sz="4" w:space="0" w:color="788184"/>
            </w:tcBorders>
          </w:tcPr>
          <w:p w:rsidR="00943B65" w:rsidRPr="00AE30B5" w:rsidRDefault="00943B65" w:rsidP="0079121F">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-200.0</w:t>
            </w:r>
          </w:p>
        </w:tc>
      </w:tr>
      <w:tr w:rsidR="00943B65" w:rsidRPr="0066665A" w:rsidTr="00CF7D9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943B65" w:rsidRPr="00B56BDF" w:rsidRDefault="00943B65" w:rsidP="00AF6A2D">
            <w:pPr>
              <w:pStyle w:val="TableTextCentred"/>
              <w:keepNext/>
              <w:keepLines/>
              <w:spacing w:line="240" w:lineRule="auto"/>
              <w:ind w:left="57" w:right="57"/>
              <w:jc w:val="left"/>
              <w:rPr>
                <w:i/>
                <w:szCs w:val="20"/>
              </w:rPr>
            </w:pPr>
            <w:r w:rsidRPr="00B56BDF">
              <w:rPr>
                <w:i/>
              </w:rPr>
              <w:t>Increas</w:t>
            </w:r>
            <w:r w:rsidR="00AF6A2D">
              <w:rPr>
                <w:i/>
              </w:rPr>
              <w:t>e</w:t>
            </w:r>
            <w:r w:rsidRPr="00B56BDF">
              <w:rPr>
                <w:i/>
              </w:rPr>
              <w:t xml:space="preserve"> the Location Tax Offset </w:t>
            </w:r>
          </w:p>
        </w:tc>
        <w:tc>
          <w:tcPr>
            <w:tcW w:w="682" w:type="pct"/>
            <w:tcBorders>
              <w:top w:val="single" w:sz="4" w:space="0" w:color="788184"/>
              <w:left w:val="single" w:sz="4" w:space="0" w:color="788184"/>
              <w:bottom w:val="single" w:sz="4" w:space="0" w:color="788184"/>
              <w:right w:val="single" w:sz="4" w:space="0" w:color="788184"/>
            </w:tcBorders>
          </w:tcPr>
          <w:p w:rsidR="00943B65" w:rsidRPr="00AA3D6F" w:rsidRDefault="00943B65" w:rsidP="0079121F">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pPr>
            <w:r>
              <w:t>-</w:t>
            </w:r>
          </w:p>
        </w:tc>
        <w:tc>
          <w:tcPr>
            <w:tcW w:w="682" w:type="pct"/>
            <w:tcBorders>
              <w:top w:val="single" w:sz="4" w:space="0" w:color="788184"/>
              <w:left w:val="single" w:sz="4" w:space="0" w:color="788184"/>
              <w:bottom w:val="single" w:sz="4" w:space="0" w:color="788184"/>
              <w:right w:val="single" w:sz="4" w:space="0" w:color="788184"/>
            </w:tcBorders>
          </w:tcPr>
          <w:p w:rsidR="00943B65" w:rsidRPr="00AA3D6F" w:rsidRDefault="00943B65" w:rsidP="0079121F">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pPr>
            <w:r>
              <w:t>-15.0</w:t>
            </w:r>
          </w:p>
        </w:tc>
        <w:tc>
          <w:tcPr>
            <w:tcW w:w="682" w:type="pct"/>
            <w:tcBorders>
              <w:top w:val="single" w:sz="4" w:space="0" w:color="788184"/>
              <w:left w:val="single" w:sz="4" w:space="0" w:color="788184"/>
              <w:bottom w:val="single" w:sz="4" w:space="0" w:color="788184"/>
              <w:right w:val="single" w:sz="4" w:space="0" w:color="788184"/>
            </w:tcBorders>
          </w:tcPr>
          <w:p w:rsidR="00943B65" w:rsidRPr="00AA3D6F" w:rsidRDefault="00943B65" w:rsidP="0079121F">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pPr>
            <w:r>
              <w:t>-20.0</w:t>
            </w:r>
          </w:p>
        </w:tc>
        <w:tc>
          <w:tcPr>
            <w:tcW w:w="682" w:type="pct"/>
            <w:tcBorders>
              <w:top w:val="single" w:sz="4" w:space="0" w:color="788184"/>
              <w:left w:val="single" w:sz="4" w:space="0" w:color="788184"/>
              <w:bottom w:val="single" w:sz="4" w:space="0" w:color="788184"/>
              <w:right w:val="single" w:sz="4" w:space="0" w:color="788184"/>
            </w:tcBorders>
          </w:tcPr>
          <w:p w:rsidR="00943B65" w:rsidRPr="00AA3D6F" w:rsidRDefault="00943B65" w:rsidP="0079121F">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pPr>
            <w:r>
              <w:t>-20.0</w:t>
            </w:r>
          </w:p>
        </w:tc>
        <w:tc>
          <w:tcPr>
            <w:tcW w:w="682" w:type="pct"/>
            <w:tcBorders>
              <w:top w:val="single" w:sz="4" w:space="0" w:color="788184"/>
              <w:left w:val="single" w:sz="4" w:space="0" w:color="788184"/>
              <w:bottom w:val="single" w:sz="4" w:space="0" w:color="788184"/>
              <w:right w:val="single" w:sz="4" w:space="0" w:color="788184"/>
            </w:tcBorders>
          </w:tcPr>
          <w:p w:rsidR="00943B65" w:rsidRPr="00AE30B5" w:rsidRDefault="00943B65" w:rsidP="0079121F">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rPr>
                <w:b/>
              </w:rPr>
            </w:pPr>
            <w:r>
              <w:rPr>
                <w:b/>
              </w:rPr>
              <w:t>-55.0</w:t>
            </w:r>
          </w:p>
        </w:tc>
      </w:tr>
      <w:tr w:rsidR="00C17112" w:rsidRPr="0066665A" w:rsidTr="00CF7D9A">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507897" w:rsidRPr="00B56BDF" w:rsidRDefault="00642094" w:rsidP="00AF6A2D">
            <w:pPr>
              <w:pStyle w:val="TableTextCentred"/>
              <w:keepNext/>
              <w:keepLines/>
              <w:spacing w:line="240" w:lineRule="auto"/>
              <w:ind w:left="57" w:right="57"/>
              <w:jc w:val="left"/>
              <w:rPr>
                <w:i/>
                <w:szCs w:val="20"/>
              </w:rPr>
            </w:pPr>
            <w:r w:rsidRPr="00B56BDF">
              <w:rPr>
                <w:i/>
              </w:rPr>
              <w:t>Increas</w:t>
            </w:r>
            <w:r w:rsidR="00AF6A2D">
              <w:rPr>
                <w:i/>
              </w:rPr>
              <w:t>e</w:t>
            </w:r>
            <w:r w:rsidRPr="00B56BDF">
              <w:rPr>
                <w:i/>
              </w:rPr>
              <w:t xml:space="preserve"> the Producer Tax Offset </w:t>
            </w:r>
          </w:p>
        </w:tc>
        <w:tc>
          <w:tcPr>
            <w:tcW w:w="682" w:type="pct"/>
            <w:tcBorders>
              <w:top w:val="single" w:sz="4" w:space="0" w:color="788184"/>
              <w:left w:val="single" w:sz="4" w:space="0" w:color="788184"/>
              <w:bottom w:val="single" w:sz="4" w:space="0" w:color="788184"/>
              <w:right w:val="single" w:sz="4" w:space="0" w:color="788184"/>
            </w:tcBorders>
          </w:tcPr>
          <w:p w:rsidR="00507897" w:rsidRPr="00AA3D6F" w:rsidRDefault="00642094" w:rsidP="0079121F">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t>-</w:t>
            </w:r>
          </w:p>
        </w:tc>
        <w:tc>
          <w:tcPr>
            <w:tcW w:w="682" w:type="pct"/>
            <w:tcBorders>
              <w:top w:val="single" w:sz="4" w:space="0" w:color="788184"/>
              <w:left w:val="single" w:sz="4" w:space="0" w:color="788184"/>
              <w:bottom w:val="single" w:sz="4" w:space="0" w:color="788184"/>
              <w:right w:val="single" w:sz="4" w:space="0" w:color="788184"/>
            </w:tcBorders>
          </w:tcPr>
          <w:p w:rsidR="00507897" w:rsidRPr="00AA3D6F" w:rsidRDefault="00642094" w:rsidP="0079121F">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t>-35.0</w:t>
            </w:r>
          </w:p>
        </w:tc>
        <w:tc>
          <w:tcPr>
            <w:tcW w:w="682" w:type="pct"/>
            <w:tcBorders>
              <w:top w:val="single" w:sz="4" w:space="0" w:color="788184"/>
              <w:left w:val="single" w:sz="4" w:space="0" w:color="788184"/>
              <w:bottom w:val="single" w:sz="4" w:space="0" w:color="788184"/>
              <w:right w:val="single" w:sz="4" w:space="0" w:color="788184"/>
            </w:tcBorders>
          </w:tcPr>
          <w:p w:rsidR="00507897" w:rsidRPr="00AA3D6F" w:rsidRDefault="00642094" w:rsidP="0079121F">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t>-55.0</w:t>
            </w:r>
          </w:p>
        </w:tc>
        <w:tc>
          <w:tcPr>
            <w:tcW w:w="682" w:type="pct"/>
            <w:tcBorders>
              <w:top w:val="single" w:sz="4" w:space="0" w:color="788184"/>
              <w:left w:val="single" w:sz="4" w:space="0" w:color="788184"/>
              <w:bottom w:val="single" w:sz="4" w:space="0" w:color="788184"/>
              <w:right w:val="single" w:sz="4" w:space="0" w:color="788184"/>
            </w:tcBorders>
          </w:tcPr>
          <w:p w:rsidR="00507897" w:rsidRPr="00AA3D6F" w:rsidRDefault="00642094" w:rsidP="0079121F">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pPr>
            <w:r>
              <w:t>-55.0</w:t>
            </w:r>
          </w:p>
        </w:tc>
        <w:tc>
          <w:tcPr>
            <w:tcW w:w="682" w:type="pct"/>
            <w:tcBorders>
              <w:top w:val="single" w:sz="4" w:space="0" w:color="788184"/>
              <w:left w:val="single" w:sz="4" w:space="0" w:color="788184"/>
              <w:bottom w:val="single" w:sz="4" w:space="0" w:color="788184"/>
              <w:right w:val="single" w:sz="4" w:space="0" w:color="788184"/>
            </w:tcBorders>
          </w:tcPr>
          <w:p w:rsidR="00507897" w:rsidRPr="00AE30B5" w:rsidRDefault="00642094" w:rsidP="0079121F">
            <w:pPr>
              <w:pStyle w:val="TableTextRight"/>
              <w:keepNext/>
              <w:keepLines/>
              <w:spacing w:line="240" w:lineRule="auto"/>
              <w:ind w:left="57" w:right="57"/>
              <w:cnfStyle w:val="000000000000" w:firstRow="0" w:lastRow="0" w:firstColumn="0" w:lastColumn="0" w:oddVBand="0" w:evenVBand="0" w:oddHBand="0" w:evenHBand="0" w:firstRowFirstColumn="0" w:firstRowLastColumn="0" w:lastRowFirstColumn="0" w:lastRowLastColumn="0"/>
              <w:rPr>
                <w:b/>
              </w:rPr>
            </w:pPr>
            <w:r>
              <w:rPr>
                <w:b/>
              </w:rPr>
              <w:t>-145.0</w:t>
            </w:r>
          </w:p>
        </w:tc>
      </w:tr>
      <w:tr w:rsidR="00662E65" w:rsidRPr="0055406D" w:rsidTr="00CF7D9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662E65" w:rsidRPr="0055406D" w:rsidRDefault="00662E65" w:rsidP="0079121F">
            <w:pPr>
              <w:pStyle w:val="TableTextCentred"/>
              <w:keepNext/>
              <w:keepLines/>
              <w:spacing w:line="240" w:lineRule="auto"/>
              <w:ind w:left="57" w:right="57"/>
              <w:jc w:val="left"/>
              <w:rPr>
                <w:b/>
                <w:szCs w:val="20"/>
              </w:rPr>
            </w:pPr>
            <w:r w:rsidRPr="0055406D">
              <w:rPr>
                <w:b/>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662E65" w:rsidRPr="0055406D" w:rsidRDefault="00642094" w:rsidP="0079121F">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662E65" w:rsidRPr="0055406D" w:rsidRDefault="00642094" w:rsidP="0079121F">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-50.0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662E65" w:rsidRPr="0055406D" w:rsidRDefault="00642094" w:rsidP="0079121F">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-75.0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662E65" w:rsidRPr="0055406D" w:rsidRDefault="00642094" w:rsidP="0079121F">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-75.0</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662E65" w:rsidRPr="00AE30B5" w:rsidRDefault="00642094" w:rsidP="0079121F">
            <w:pPr>
              <w:pStyle w:val="TableTextRight"/>
              <w:keepNext/>
              <w:keepLines/>
              <w:spacing w:line="240" w:lineRule="auto"/>
              <w:ind w:left="57" w:right="57"/>
              <w:cnfStyle w:val="000000100000" w:firstRow="0" w:lastRow="0" w:firstColumn="0" w:lastColumn="0" w:oddVBand="0" w:evenVBand="0" w:oddHBand="1" w:evenHBand="0" w:firstRowFirstColumn="0" w:firstRowLastColumn="0" w:lastRowFirstColumn="0" w:lastRowLastColumn="0"/>
              <w:rPr>
                <w:b/>
                <w:i w:val="0"/>
              </w:rPr>
            </w:pPr>
            <w:r>
              <w:rPr>
                <w:b/>
                <w:i w:val="0"/>
              </w:rPr>
              <w:t>-200.0</w:t>
            </w:r>
          </w:p>
        </w:tc>
      </w:tr>
    </w:tbl>
    <w:p w:rsidR="00A36373" w:rsidRPr="00A36373" w:rsidRDefault="00A36373" w:rsidP="0079121F">
      <w:pPr>
        <w:pStyle w:val="Footnotes"/>
        <w:keepNext/>
        <w:keepLines/>
        <w:numPr>
          <w:ilvl w:val="0"/>
          <w:numId w:val="22"/>
        </w:numPr>
        <w:ind w:left="284" w:hanging="284"/>
      </w:pPr>
      <w:r w:rsidRPr="00A36373">
        <w:t>A positive number for the underlying cash balance indicates an increase in receipts or a decrease in outlays or net capital investment in cash terms.  A negative number for the underlying cash balance indicates a decrease in receipts or an increase in outlays or net capital investment in cash terms.</w:t>
      </w:r>
    </w:p>
    <w:p w:rsidR="00485374" w:rsidRPr="00FC6579" w:rsidRDefault="00F4535C" w:rsidP="0079121F">
      <w:pPr>
        <w:pStyle w:val="Footnotes"/>
        <w:keepNext/>
        <w:keepLines/>
      </w:pPr>
      <w:r>
        <w:t>Figures may not sum to totals due to rounding.</w:t>
      </w:r>
    </w:p>
    <w:sectPr w:rsidR="00485374" w:rsidRPr="00FC6579" w:rsidSect="008A3ABE">
      <w:headerReference w:type="first" r:id="rId19"/>
      <w:footerReference w:type="first" r:id="rId20"/>
      <w:pgSz w:w="11906" w:h="16838"/>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752" w:rsidRDefault="00817752" w:rsidP="008F588A">
      <w:pPr>
        <w:spacing w:line="240" w:lineRule="auto"/>
      </w:pPr>
      <w:r>
        <w:separator/>
      </w:r>
    </w:p>
    <w:p w:rsidR="00817752" w:rsidRDefault="00817752"/>
  </w:endnote>
  <w:endnote w:type="continuationSeparator" w:id="0">
    <w:p w:rsidR="00817752" w:rsidRDefault="00817752" w:rsidP="008F588A">
      <w:pPr>
        <w:spacing w:line="240" w:lineRule="auto"/>
      </w:pPr>
      <w:r>
        <w:continuationSeparator/>
      </w:r>
    </w:p>
    <w:p w:rsidR="00817752" w:rsidRDefault="00817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52" w:rsidRPr="00C24267" w:rsidRDefault="0081775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D16AB1">
      <w:rPr>
        <w:noProof/>
      </w:rPr>
      <w:t>5</w:t>
    </w:r>
    <w:r w:rsidRPr="00C24267">
      <w:fldChar w:fldCharType="end"/>
    </w:r>
    <w:r w:rsidRPr="00C24267">
      <w:t xml:space="preserve"> of </w:t>
    </w:r>
    <w:fldSimple w:instr=" NUMPAGES  \* Arabic  \* MERGEFORMAT ">
      <w:r w:rsidR="00D16AB1">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52" w:rsidRPr="00C24267" w:rsidRDefault="00817752" w:rsidP="00C24267">
    <w:pPr>
      <w:pStyle w:val="Letterfooter"/>
    </w:pPr>
    <w:r w:rsidRPr="00C24267">
      <w:t>Parliamentary Budget Office   PO Box 6010   Parliament House   Canberra ACT 2600</w:t>
    </w:r>
  </w:p>
  <w:p w:rsidR="00817752" w:rsidRPr="00C24267" w:rsidRDefault="00817752"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DB" w:rsidRPr="00C24267" w:rsidRDefault="00D329DB" w:rsidP="00D329DB">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11547F">
      <w:rPr>
        <w:noProof/>
      </w:rPr>
      <w:t>4</w:t>
    </w:r>
    <w:r w:rsidRPr="00C24267">
      <w:fldChar w:fldCharType="end"/>
    </w:r>
    <w:r w:rsidRPr="00C24267">
      <w:t xml:space="preserve"> of </w:t>
    </w:r>
    <w:r w:rsidR="0011547F">
      <w:fldChar w:fldCharType="begin"/>
    </w:r>
    <w:r w:rsidR="0011547F">
      <w:instrText xml:space="preserve"> NUMPAGES  \* Arabic  \* MERGEFORMAT </w:instrText>
    </w:r>
    <w:r w:rsidR="0011547F">
      <w:fldChar w:fldCharType="separate"/>
    </w:r>
    <w:r w:rsidR="0011547F">
      <w:rPr>
        <w:noProof/>
      </w:rPr>
      <w:t>5</w:t>
    </w:r>
    <w:r w:rsidR="0011547F">
      <w:rPr>
        <w:noProof/>
      </w:rPr>
      <w:fldChar w:fldCharType="end"/>
    </w:r>
  </w:p>
  <w:p w:rsidR="008A3ABE" w:rsidRPr="00D329DB" w:rsidRDefault="008A3ABE" w:rsidP="00D329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BE" w:rsidRPr="00D329DB" w:rsidRDefault="00D329DB" w:rsidP="00D329DB">
    <w:pPr>
      <w:pStyle w:val="Footer"/>
      <w:rPr>
        <w:rStyle w:val="IntenseReference"/>
        <w:rFonts w:asciiTheme="minorHAnsi" w:hAnsiTheme="minorHAnsi"/>
        <w:b/>
        <w:bCs w:val="0"/>
        <w:color w:val="auto"/>
        <w:spacing w:val="0"/>
        <w:sz w:val="22"/>
        <w:szCs w:val="22"/>
      </w:rPr>
    </w:pPr>
    <w:r w:rsidRPr="00C24267">
      <w:t xml:space="preserve">Page </w:t>
    </w:r>
    <w:r w:rsidRPr="00C24267">
      <w:fldChar w:fldCharType="begin"/>
    </w:r>
    <w:r w:rsidRPr="00C24267">
      <w:instrText xml:space="preserve"> PAGE  \* Arabic  \* MERGEFORMAT </w:instrText>
    </w:r>
    <w:r w:rsidRPr="00C24267">
      <w:fldChar w:fldCharType="separate"/>
    </w:r>
    <w:r w:rsidR="0011547F">
      <w:rPr>
        <w:noProof/>
      </w:rPr>
      <w:t>2</w:t>
    </w:r>
    <w:r w:rsidRPr="00C24267">
      <w:fldChar w:fldCharType="end"/>
    </w:r>
    <w:r w:rsidRPr="00C24267">
      <w:t xml:space="preserve"> of </w:t>
    </w:r>
    <w:r w:rsidR="0011547F">
      <w:fldChar w:fldCharType="begin"/>
    </w:r>
    <w:r w:rsidR="0011547F">
      <w:instrText xml:space="preserve"> NUMPAGES  \* Arabic  \* MERGEFORMAT </w:instrText>
    </w:r>
    <w:r w:rsidR="0011547F">
      <w:fldChar w:fldCharType="separate"/>
    </w:r>
    <w:r w:rsidR="0011547F">
      <w:rPr>
        <w:noProof/>
      </w:rPr>
      <w:t>5</w:t>
    </w:r>
    <w:r w:rsidR="0011547F">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52" w:rsidRPr="00C24267" w:rsidRDefault="00817752"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11547F">
      <w:rPr>
        <w:noProof/>
      </w:rPr>
      <w:t>5</w:t>
    </w:r>
    <w:r w:rsidRPr="00C24267">
      <w:fldChar w:fldCharType="end"/>
    </w:r>
    <w:r w:rsidRPr="00C24267">
      <w:t xml:space="preserve"> of </w:t>
    </w:r>
    <w:fldSimple w:instr=" NUMPAGES  \* Arabic  \* MERGEFORMAT ">
      <w:r w:rsidR="0011547F">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752" w:rsidRDefault="00817752" w:rsidP="008F588A">
      <w:pPr>
        <w:spacing w:line="240" w:lineRule="auto"/>
      </w:pPr>
      <w:r>
        <w:separator/>
      </w:r>
    </w:p>
    <w:p w:rsidR="00817752" w:rsidRDefault="00817752"/>
  </w:footnote>
  <w:footnote w:type="continuationSeparator" w:id="0">
    <w:p w:rsidR="00817752" w:rsidRDefault="00817752" w:rsidP="008F588A">
      <w:pPr>
        <w:spacing w:line="240" w:lineRule="auto"/>
      </w:pPr>
      <w:r>
        <w:continuationSeparator/>
      </w:r>
    </w:p>
    <w:p w:rsidR="00817752" w:rsidRDefault="008177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52" w:rsidRPr="00C17112" w:rsidRDefault="00817752" w:rsidP="00C17112">
    <w:pPr>
      <w:pStyle w:val="Header"/>
      <w:spacing w:before="0" w:after="0"/>
      <w:jc w:val="right"/>
      <w:rPr>
        <w:b/>
        <w:color w:val="FF0000"/>
        <w:sz w:val="28"/>
        <w:szCs w:val="28"/>
      </w:rPr>
    </w:pPr>
    <w:r w:rsidRPr="0092572B">
      <w:rPr>
        <w:b/>
        <w:color w:val="FF0000"/>
        <w:sz w:val="28"/>
        <w:szCs w:val="28"/>
      </w:rPr>
      <w:t>Sensitive—until publicly releas</w:t>
    </w:r>
    <w:r>
      <w:rPr>
        <w:b/>
        <w:color w:val="FF0000"/>
        <w:sz w:val="28"/>
        <w:szCs w:val="28"/>
      </w:rPr>
      <w: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52" w:rsidRDefault="00817752" w:rsidP="00CB40E1">
    <w:pPr>
      <w:pStyle w:val="Header"/>
    </w:pPr>
    <w:r>
      <w:rPr>
        <w:noProof/>
        <w:lang w:eastAsia="en-AU"/>
      </w:rPr>
      <w:drawing>
        <wp:inline distT="0" distB="0" distL="0" distR="0" wp14:anchorId="62DE57C9" wp14:editId="06DA9B35">
          <wp:extent cx="2696845" cy="5721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817752" w:rsidRPr="00DA1C8A" w:rsidRDefault="00817752" w:rsidP="00002D5D">
    <w:pPr>
      <w:pStyle w:val="PBOheader"/>
      <w:spacing w:before="720"/>
      <w:ind w:left="5783"/>
      <w:rPr>
        <w:b w:val="0"/>
      </w:rPr>
    </w:pPr>
    <w:r>
      <w:t>P</w:t>
    </w:r>
    <w:r w:rsidRPr="009030A0">
      <w:t>hil Bowen PSM FCPA</w:t>
    </w:r>
    <w:r>
      <w:br/>
    </w:r>
    <w:r w:rsidRPr="009030A0">
      <w:t>Parliamentary Budget Officer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BE" w:rsidRPr="00843C42" w:rsidRDefault="008A3ABE" w:rsidP="00843C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DB" w:rsidRPr="00C17112" w:rsidRDefault="00D329DB" w:rsidP="00D329DB">
    <w:pPr>
      <w:pStyle w:val="Header"/>
    </w:pPr>
    <w:r>
      <w:rPr>
        <w:noProof/>
        <w:lang w:eastAsia="en-AU"/>
      </w:rPr>
      <w:drawing>
        <wp:inline distT="0" distB="0" distL="0" distR="0" wp14:anchorId="23C8AB23" wp14:editId="645A104A">
          <wp:extent cx="2696845" cy="57213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52" w:rsidRPr="00843C42" w:rsidRDefault="00817752" w:rsidP="00843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12CE2D6F"/>
    <w:multiLevelType w:val="hybridMultilevel"/>
    <w:tmpl w:val="85847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7">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8">
    <w:nsid w:val="30E45E35"/>
    <w:multiLevelType w:val="hybridMultilevel"/>
    <w:tmpl w:val="60A06D20"/>
    <w:lvl w:ilvl="0" w:tplc="EE46B378">
      <w:start w:val="1"/>
      <w:numFmt w:val="lowerLetter"/>
      <w:pStyle w:val="Footnotes"/>
      <w:lvlText w:val="(%1)"/>
      <w:lvlJc w:val="left"/>
      <w:pPr>
        <w:ind w:left="83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9"/>
  </w:num>
  <w:num w:numId="6">
    <w:abstractNumId w:val="8"/>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1"/>
  </w:num>
  <w:num w:numId="12">
    <w:abstractNumId w:val="0"/>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 w:numId="20">
    <w:abstractNumId w:val="4"/>
  </w:num>
  <w:num w:numId="21">
    <w:abstractNumId w:val="8"/>
    <w:lvlOverride w:ilvl="0">
      <w:startOverride w:val="1"/>
    </w:lvlOverride>
  </w:num>
  <w:num w:numId="2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52"/>
    <w:rsid w:val="00002D5D"/>
    <w:rsid w:val="00015FB2"/>
    <w:rsid w:val="00040DCE"/>
    <w:rsid w:val="0005058B"/>
    <w:rsid w:val="00060F22"/>
    <w:rsid w:val="00096F3A"/>
    <w:rsid w:val="000C1A75"/>
    <w:rsid w:val="000C70CE"/>
    <w:rsid w:val="0011547F"/>
    <w:rsid w:val="001278D0"/>
    <w:rsid w:val="0014239B"/>
    <w:rsid w:val="001A02D1"/>
    <w:rsid w:val="001B7B16"/>
    <w:rsid w:val="001E0CB4"/>
    <w:rsid w:val="00220BE5"/>
    <w:rsid w:val="002422A3"/>
    <w:rsid w:val="00315E34"/>
    <w:rsid w:val="00325BCA"/>
    <w:rsid w:val="00326DE2"/>
    <w:rsid w:val="003D7744"/>
    <w:rsid w:val="003E4F5F"/>
    <w:rsid w:val="003E637D"/>
    <w:rsid w:val="003F5887"/>
    <w:rsid w:val="003F73CA"/>
    <w:rsid w:val="00410A2C"/>
    <w:rsid w:val="0041466A"/>
    <w:rsid w:val="00440E32"/>
    <w:rsid w:val="00461597"/>
    <w:rsid w:val="00485374"/>
    <w:rsid w:val="004C283B"/>
    <w:rsid w:val="004D13ED"/>
    <w:rsid w:val="004D5525"/>
    <w:rsid w:val="005035DA"/>
    <w:rsid w:val="00507897"/>
    <w:rsid w:val="00515A85"/>
    <w:rsid w:val="005232BF"/>
    <w:rsid w:val="00545F24"/>
    <w:rsid w:val="0055581F"/>
    <w:rsid w:val="0056229A"/>
    <w:rsid w:val="00570154"/>
    <w:rsid w:val="00570B5A"/>
    <w:rsid w:val="00587422"/>
    <w:rsid w:val="005B1A4A"/>
    <w:rsid w:val="005B7B75"/>
    <w:rsid w:val="005C6967"/>
    <w:rsid w:val="005E3562"/>
    <w:rsid w:val="005F7DE0"/>
    <w:rsid w:val="00640346"/>
    <w:rsid w:val="00642094"/>
    <w:rsid w:val="00645A6A"/>
    <w:rsid w:val="00660385"/>
    <w:rsid w:val="00662E65"/>
    <w:rsid w:val="0066665A"/>
    <w:rsid w:val="00692DD8"/>
    <w:rsid w:val="006D29F1"/>
    <w:rsid w:val="006F0CE9"/>
    <w:rsid w:val="007202A8"/>
    <w:rsid w:val="007229A9"/>
    <w:rsid w:val="007806EF"/>
    <w:rsid w:val="0079121F"/>
    <w:rsid w:val="00791D84"/>
    <w:rsid w:val="007B029A"/>
    <w:rsid w:val="007D33AA"/>
    <w:rsid w:val="007D3577"/>
    <w:rsid w:val="007F7BCF"/>
    <w:rsid w:val="008030EC"/>
    <w:rsid w:val="00811D6D"/>
    <w:rsid w:val="00812A9E"/>
    <w:rsid w:val="00817752"/>
    <w:rsid w:val="00817E8E"/>
    <w:rsid w:val="00841C3A"/>
    <w:rsid w:val="00843C42"/>
    <w:rsid w:val="00844776"/>
    <w:rsid w:val="008850D9"/>
    <w:rsid w:val="008A3ABE"/>
    <w:rsid w:val="008A4578"/>
    <w:rsid w:val="008C03C3"/>
    <w:rsid w:val="008D3909"/>
    <w:rsid w:val="008D6ECA"/>
    <w:rsid w:val="008F2417"/>
    <w:rsid w:val="008F588A"/>
    <w:rsid w:val="00902D2D"/>
    <w:rsid w:val="00915804"/>
    <w:rsid w:val="00943B65"/>
    <w:rsid w:val="00957285"/>
    <w:rsid w:val="009573AF"/>
    <w:rsid w:val="00977D7B"/>
    <w:rsid w:val="009963ED"/>
    <w:rsid w:val="009D4063"/>
    <w:rsid w:val="00A36373"/>
    <w:rsid w:val="00A41BD3"/>
    <w:rsid w:val="00A449C2"/>
    <w:rsid w:val="00A65EA3"/>
    <w:rsid w:val="00A7322F"/>
    <w:rsid w:val="00AA3D6F"/>
    <w:rsid w:val="00AB55AE"/>
    <w:rsid w:val="00AB6F7D"/>
    <w:rsid w:val="00AC7878"/>
    <w:rsid w:val="00AD493E"/>
    <w:rsid w:val="00AD7814"/>
    <w:rsid w:val="00AE30B5"/>
    <w:rsid w:val="00AE5755"/>
    <w:rsid w:val="00AF6A2D"/>
    <w:rsid w:val="00B06055"/>
    <w:rsid w:val="00B44D8A"/>
    <w:rsid w:val="00B457C7"/>
    <w:rsid w:val="00B56BDF"/>
    <w:rsid w:val="00B6691F"/>
    <w:rsid w:val="00B73AC8"/>
    <w:rsid w:val="00B747A7"/>
    <w:rsid w:val="00BA2BBF"/>
    <w:rsid w:val="00BC0B2F"/>
    <w:rsid w:val="00BC559C"/>
    <w:rsid w:val="00C17112"/>
    <w:rsid w:val="00C24267"/>
    <w:rsid w:val="00C555BC"/>
    <w:rsid w:val="00C6309F"/>
    <w:rsid w:val="00C708DC"/>
    <w:rsid w:val="00CA12A0"/>
    <w:rsid w:val="00CA5D42"/>
    <w:rsid w:val="00CB40E1"/>
    <w:rsid w:val="00CC1E6A"/>
    <w:rsid w:val="00CF6DB6"/>
    <w:rsid w:val="00CF7D9A"/>
    <w:rsid w:val="00D134CA"/>
    <w:rsid w:val="00D16AB1"/>
    <w:rsid w:val="00D329DB"/>
    <w:rsid w:val="00D52D5F"/>
    <w:rsid w:val="00D8380A"/>
    <w:rsid w:val="00D949A3"/>
    <w:rsid w:val="00DA1C8A"/>
    <w:rsid w:val="00DA3B55"/>
    <w:rsid w:val="00DB44F0"/>
    <w:rsid w:val="00DD109E"/>
    <w:rsid w:val="00DD3E18"/>
    <w:rsid w:val="00E12103"/>
    <w:rsid w:val="00E15AAE"/>
    <w:rsid w:val="00E21184"/>
    <w:rsid w:val="00E311FE"/>
    <w:rsid w:val="00E40B8B"/>
    <w:rsid w:val="00E534DF"/>
    <w:rsid w:val="00E5742E"/>
    <w:rsid w:val="00EA265F"/>
    <w:rsid w:val="00EA5685"/>
    <w:rsid w:val="00EC0D1D"/>
    <w:rsid w:val="00ED43FF"/>
    <w:rsid w:val="00EE6600"/>
    <w:rsid w:val="00EF1D6A"/>
    <w:rsid w:val="00EF2E51"/>
    <w:rsid w:val="00F04958"/>
    <w:rsid w:val="00F21865"/>
    <w:rsid w:val="00F31E24"/>
    <w:rsid w:val="00F4535C"/>
    <w:rsid w:val="00F52474"/>
    <w:rsid w:val="00F5529D"/>
    <w:rsid w:val="00F5669E"/>
    <w:rsid w:val="00F75D33"/>
    <w:rsid w:val="00F954CF"/>
    <w:rsid w:val="00F97DFF"/>
    <w:rsid w:val="00FC6579"/>
    <w:rsid w:val="00FD3FB3"/>
    <w:rsid w:val="00FE105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uiPriority w:val="99"/>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05058B"/>
    <w:rPr>
      <w:rFonts w:eastAsia="Times New Roman" w:cs="Times New Roman"/>
      <w:spacing w:val="0"/>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05058B"/>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05058B"/>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05058B"/>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8A3ABE"/>
    <w:pPr>
      <w:spacing w:before="80" w:after="80" w:line="260" w:lineRule="exact"/>
    </w:pPr>
    <w:rPr>
      <w:rFonts w:ascii="Book Antiqua" w:eastAsia="Times New Roman" w:hAnsi="Book Antiqua" w:cs="Times New Roman"/>
      <w:sz w:val="20"/>
      <w:szCs w:val="20"/>
      <w:lang w:eastAsia="en-AU"/>
    </w:rPr>
  </w:style>
  <w:style w:type="paragraph" w:styleId="CommentText">
    <w:name w:val="annotation text"/>
    <w:basedOn w:val="Normal"/>
    <w:link w:val="CommentTextChar"/>
    <w:uiPriority w:val="99"/>
    <w:semiHidden/>
    <w:unhideWhenUsed/>
    <w:rsid w:val="008A3ABE"/>
    <w:pPr>
      <w:spacing w:before="240"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A3ABE"/>
    <w:rPr>
      <w:rFonts w:ascii="Times New Roman" w:hAnsi="Times New Roman" w:cs="Times New Roman"/>
      <w:sz w:val="20"/>
      <w:szCs w:val="20"/>
    </w:rPr>
  </w:style>
  <w:style w:type="character" w:styleId="IntenseReference">
    <w:name w:val="Intense Reference"/>
    <w:aliases w:val="DLM format"/>
    <w:basedOn w:val="DefaultParagraphFont"/>
    <w:uiPriority w:val="32"/>
    <w:qFormat/>
    <w:rsid w:val="008A3ABE"/>
    <w:rPr>
      <w:rFonts w:ascii="Arial" w:hAnsi="Arial"/>
      <w:b/>
      <w:bCs/>
      <w:color w:val="FF0000"/>
      <w:spacing w:val="5"/>
      <w:sz w:val="28"/>
      <w:szCs w:val="28"/>
    </w:rPr>
  </w:style>
  <w:style w:type="character" w:styleId="CommentReference">
    <w:name w:val="annotation reference"/>
    <w:basedOn w:val="DefaultParagraphFont"/>
    <w:uiPriority w:val="99"/>
    <w:semiHidden/>
    <w:unhideWhenUsed/>
    <w:rsid w:val="00F04958"/>
    <w:rPr>
      <w:sz w:val="16"/>
      <w:szCs w:val="16"/>
    </w:rPr>
  </w:style>
  <w:style w:type="paragraph" w:styleId="CommentSubject">
    <w:name w:val="annotation subject"/>
    <w:basedOn w:val="CommentText"/>
    <w:next w:val="CommentText"/>
    <w:link w:val="CommentSubjectChar"/>
    <w:uiPriority w:val="99"/>
    <w:semiHidden/>
    <w:unhideWhenUsed/>
    <w:rsid w:val="00F04958"/>
    <w:pPr>
      <w:spacing w:before="114" w:after="114"/>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F04958"/>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CF7D9A"/>
    <w:pPr>
      <w:spacing w:before="70" w:after="70" w:line="240" w:lineRule="auto"/>
      <w:ind w:left="57" w:right="57"/>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uiPriority w:val="99"/>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05058B"/>
    <w:rPr>
      <w:rFonts w:eastAsia="Times New Roman" w:cs="Times New Roman"/>
      <w:spacing w:val="0"/>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05058B"/>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05058B"/>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05058B"/>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8A3ABE"/>
    <w:pPr>
      <w:spacing w:before="80" w:after="80" w:line="260" w:lineRule="exact"/>
    </w:pPr>
    <w:rPr>
      <w:rFonts w:ascii="Book Antiqua" w:eastAsia="Times New Roman" w:hAnsi="Book Antiqua" w:cs="Times New Roman"/>
      <w:sz w:val="20"/>
      <w:szCs w:val="20"/>
      <w:lang w:eastAsia="en-AU"/>
    </w:rPr>
  </w:style>
  <w:style w:type="paragraph" w:styleId="CommentText">
    <w:name w:val="annotation text"/>
    <w:basedOn w:val="Normal"/>
    <w:link w:val="CommentTextChar"/>
    <w:uiPriority w:val="99"/>
    <w:semiHidden/>
    <w:unhideWhenUsed/>
    <w:rsid w:val="008A3ABE"/>
    <w:pPr>
      <w:spacing w:before="240"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A3ABE"/>
    <w:rPr>
      <w:rFonts w:ascii="Times New Roman" w:hAnsi="Times New Roman" w:cs="Times New Roman"/>
      <w:sz w:val="20"/>
      <w:szCs w:val="20"/>
    </w:rPr>
  </w:style>
  <w:style w:type="character" w:styleId="IntenseReference">
    <w:name w:val="Intense Reference"/>
    <w:aliases w:val="DLM format"/>
    <w:basedOn w:val="DefaultParagraphFont"/>
    <w:uiPriority w:val="32"/>
    <w:qFormat/>
    <w:rsid w:val="008A3ABE"/>
    <w:rPr>
      <w:rFonts w:ascii="Arial" w:hAnsi="Arial"/>
      <w:b/>
      <w:bCs/>
      <w:color w:val="FF0000"/>
      <w:spacing w:val="5"/>
      <w:sz w:val="28"/>
      <w:szCs w:val="28"/>
    </w:rPr>
  </w:style>
  <w:style w:type="character" w:styleId="CommentReference">
    <w:name w:val="annotation reference"/>
    <w:basedOn w:val="DefaultParagraphFont"/>
    <w:uiPriority w:val="99"/>
    <w:semiHidden/>
    <w:unhideWhenUsed/>
    <w:rsid w:val="00F04958"/>
    <w:rPr>
      <w:sz w:val="16"/>
      <w:szCs w:val="16"/>
    </w:rPr>
  </w:style>
  <w:style w:type="paragraph" w:styleId="CommentSubject">
    <w:name w:val="annotation subject"/>
    <w:basedOn w:val="CommentText"/>
    <w:next w:val="CommentText"/>
    <w:link w:val="CommentSubjectChar"/>
    <w:uiPriority w:val="99"/>
    <w:semiHidden/>
    <w:unhideWhenUsed/>
    <w:rsid w:val="00F04958"/>
    <w:pPr>
      <w:spacing w:before="114" w:after="114"/>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F0495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yperlink" Target="http://www.adambandt.com/16063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8D8CBC9-8C4E-47EC-BDC2-A290408D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129</TotalTime>
  <Pages>5</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PBO - GRN071 - Australia's Film Industry - 30 June 2016</vt:lpstr>
    </vt:vector>
  </TitlesOfParts>
  <Company>Parliament of Australia</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GRN071 - Australia's Film Industry - 30 June 2016</dc:title>
  <dc:creator>PBO@pbo.gov.au</dc:creator>
  <cp:lastModifiedBy>Milligan, Louise (PBO)</cp:lastModifiedBy>
  <cp:revision>35</cp:revision>
  <cp:lastPrinted>2016-06-30T08:37:00Z</cp:lastPrinted>
  <dcterms:created xsi:type="dcterms:W3CDTF">2016-06-24T05:12:00Z</dcterms:created>
  <dcterms:modified xsi:type="dcterms:W3CDTF">2016-06-30T10:21:00Z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