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29" w:rsidRPr="00225B7B" w:rsidRDefault="00675729" w:rsidP="00DA6B17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5B7B">
        <w:rPr>
          <w:rFonts w:ascii="Times New Roman" w:hAnsi="Times New Roman" w:cs="Times New Roman"/>
          <w:sz w:val="24"/>
          <w:szCs w:val="24"/>
        </w:rPr>
        <w:t xml:space="preserve">Senator Richard Di Natale </w:t>
      </w:r>
    </w:p>
    <w:p w:rsidR="00040DCE" w:rsidRPr="00002D5D" w:rsidRDefault="00675729" w:rsidP="00675729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25B7B"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40DCE" w:rsidRPr="00002D5D" w:rsidRDefault="005C6967" w:rsidP="00C17112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CANBERRA  ACT  2600</w:t>
      </w:r>
    </w:p>
    <w:p w:rsidR="00040DCE" w:rsidRPr="00002D5D" w:rsidRDefault="00040DCE" w:rsidP="00040DCE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675729" w:rsidRPr="00225B7B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>Please find attached a re</w:t>
      </w:r>
      <w:r w:rsidR="008D4407">
        <w:t>sponse to your costing request</w:t>
      </w:r>
      <w:r w:rsidRPr="00002D5D">
        <w:t xml:space="preserve">, </w:t>
      </w:r>
      <w:r w:rsidR="001F6126" w:rsidRPr="001F6126">
        <w:rPr>
          <w:i/>
        </w:rPr>
        <w:t>Seizing the Tourism Boom</w:t>
      </w:r>
      <w:r w:rsidR="0069670E">
        <w:t xml:space="preserve"> (letter of </w:t>
      </w:r>
      <w:r w:rsidR="00655ED3">
        <w:t>29</w:t>
      </w:r>
      <w:r w:rsidR="006B7B46">
        <w:t> June </w:t>
      </w:r>
      <w:r w:rsidR="006B7B46" w:rsidRPr="00002D5D">
        <w:t>2016</w:t>
      </w:r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>If you have any quer</w:t>
      </w:r>
      <w:r w:rsidR="008D4407">
        <w:t xml:space="preserve">ies about this costing, please </w:t>
      </w:r>
      <w:r w:rsidR="00F75D33">
        <w:t>contact Colin </w:t>
      </w:r>
      <w:r w:rsidR="008D4407">
        <w:t>Brown on (02) 6277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99178F" w:rsidP="0099178F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="00675729">
        <w:rPr>
          <w:rFonts w:ascii="Times New Roman" w:hAnsi="Times New Roman" w:cs="Times New Roman"/>
          <w:sz w:val="24"/>
          <w:szCs w:val="24"/>
        </w:rPr>
        <w:t xml:space="preserve">June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TableGrid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Tr="004D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Name of proposal:</w:t>
            </w:r>
          </w:p>
        </w:tc>
        <w:tc>
          <w:tcPr>
            <w:tcW w:w="5335" w:type="dxa"/>
          </w:tcPr>
          <w:p w:rsidR="004D5525" w:rsidRDefault="001F6126" w:rsidP="005C0B39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27BB">
              <w:t>Seizing the Tourism Boom</w:t>
            </w:r>
          </w:p>
        </w:tc>
      </w:tr>
      <w:tr w:rsidR="004D5525" w:rsidTr="004D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1F6126" w:rsidRDefault="001F6126" w:rsidP="001F612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proposal has two components:</w:t>
            </w:r>
          </w:p>
          <w:p w:rsidR="00655ED3" w:rsidRDefault="00655ED3" w:rsidP="00E1492C">
            <w:pPr>
              <w:pStyle w:val="ListBullet"/>
              <w:numPr>
                <w:ilvl w:val="0"/>
                <w:numId w:val="0"/>
              </w:numPr>
              <w:ind w:left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655ED3">
              <w:rPr>
                <w:u w:val="single"/>
              </w:rPr>
              <w:t>Component 1</w:t>
            </w:r>
            <w:r>
              <w:t>: establish a $60 million grant fund over four years for regional tourism infrastructure funding.</w:t>
            </w:r>
          </w:p>
          <w:p w:rsidR="001F6126" w:rsidRDefault="00655ED3" w:rsidP="00E1492C">
            <w:pPr>
              <w:pStyle w:val="ListBullet"/>
              <w:numPr>
                <w:ilvl w:val="0"/>
                <w:numId w:val="0"/>
              </w:numPr>
              <w:ind w:left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5ED3">
              <w:rPr>
                <w:u w:val="single"/>
              </w:rPr>
              <w:t>Component 2</w:t>
            </w:r>
            <w:r>
              <w:t xml:space="preserve">: </w:t>
            </w:r>
            <w:r w:rsidR="001F6126" w:rsidRPr="000B44B2">
              <w:t>increase funding to Tourism Australia by $4</w:t>
            </w:r>
            <w:r w:rsidR="00D85185">
              <w:t>0 </w:t>
            </w:r>
            <w:r w:rsidR="001F6126">
              <w:t xml:space="preserve">million over four years </w:t>
            </w:r>
            <w:r w:rsidR="001F6126" w:rsidRPr="000B44B2">
              <w:t>for overseas marketing.</w:t>
            </w:r>
          </w:p>
          <w:p w:rsidR="001F6126" w:rsidRDefault="001F6126" w:rsidP="001F612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Departmental costs would be met from within the funding cap for the proposal.</w:t>
            </w:r>
          </w:p>
          <w:p w:rsidR="004D5525" w:rsidRDefault="001F6126" w:rsidP="001F612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proposal would have effect on 1 July 2017.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5C0B39" w:rsidP="004D552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6371">
              <w:t>Senator Richard Di Natale, Australian Greens</w:t>
            </w:r>
          </w:p>
        </w:tc>
      </w:tr>
      <w:tr w:rsidR="008D4407" w:rsidTr="00CA4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8D4407" w:rsidRDefault="008D4407" w:rsidP="00CA46D3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8D4407" w:rsidRPr="00C17112" w:rsidRDefault="00655ED3" w:rsidP="00CA46D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June 2016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Pr="00F03C2B" w:rsidRDefault="00655ED3" w:rsidP="004D552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  <w:r w:rsidR="00F03C2B" w:rsidRPr="00F03C2B">
              <w:t xml:space="preserve"> </w:t>
            </w:r>
            <w:r w:rsidR="006B7B46" w:rsidRPr="00F03C2B">
              <w:t>June 2016</w:t>
            </w:r>
          </w:p>
        </w:tc>
      </w:tr>
      <w:tr w:rsidR="004D5525" w:rsidTr="004D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</w:p>
        </w:tc>
        <w:tc>
          <w:tcPr>
            <w:tcW w:w="5335" w:type="dxa"/>
          </w:tcPr>
          <w:p w:rsidR="004D5525" w:rsidRPr="00F03C2B" w:rsidRDefault="00655ED3" w:rsidP="004D552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  <w:r w:rsidR="005C0B39" w:rsidRPr="00F03C2B">
              <w:t xml:space="preserve"> June 2016</w:t>
            </w:r>
          </w:p>
        </w:tc>
      </w:tr>
      <w:tr w:rsidR="004D5525" w:rsidTr="004D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03C2B" w:rsidP="00F03C2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4D5525" w:rsidRPr="00220BE5">
              <w:t xml:space="preserve">elease of </w:t>
            </w:r>
            <w:r w:rsidR="00220BE5">
              <w:t xml:space="preserve">the next economic and fiscal </w:t>
            </w:r>
            <w:r>
              <w:t>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0A51F9" w:rsidRDefault="000A51F9" w:rsidP="000A51F9">
      <w:r w:rsidRPr="007F7A82">
        <w:t xml:space="preserve">This proposal </w:t>
      </w:r>
      <w:r>
        <w:t>would be</w:t>
      </w:r>
      <w:r w:rsidRPr="007F7A82">
        <w:t xml:space="preserve"> expected to </w:t>
      </w:r>
      <w:r>
        <w:t xml:space="preserve">decrease the fiscal and underlying cash balances by $75.0 million over the 2016-17 Budget forward estimates period.  </w:t>
      </w:r>
      <w:r w:rsidRPr="00791642">
        <w:t>This impact reflects a</w:t>
      </w:r>
      <w:r>
        <w:t xml:space="preserve">n </w:t>
      </w:r>
      <w:r w:rsidRPr="00791642">
        <w:t>increase in</w:t>
      </w:r>
      <w:r>
        <w:t xml:space="preserve"> administered</w:t>
      </w:r>
      <w:r w:rsidRPr="00791642">
        <w:t xml:space="preserve"> </w:t>
      </w:r>
      <w:r>
        <w:t>expenses</w:t>
      </w:r>
      <w:r w:rsidRPr="00791642">
        <w:t xml:space="preserve"> of $</w:t>
      </w:r>
      <w:r>
        <w:t>73.2 m</w:t>
      </w:r>
      <w:r w:rsidRPr="00791642">
        <w:t>illion</w:t>
      </w:r>
      <w:r>
        <w:t xml:space="preserve"> and in departmental expenses of $1.</w:t>
      </w:r>
      <w:r w:rsidR="00FC38CF">
        <w:t>8 </w:t>
      </w:r>
      <w:r>
        <w:t>million.</w:t>
      </w:r>
    </w:p>
    <w:p w:rsidR="000A51F9" w:rsidRPr="007F7A82" w:rsidRDefault="000A51F9" w:rsidP="000A51F9">
      <w:r>
        <w:t>The proposal</w:t>
      </w:r>
      <w:r w:rsidRPr="007F7A82">
        <w:t xml:space="preserve"> w</w:t>
      </w:r>
      <w:r>
        <w:t>ould</w:t>
      </w:r>
      <w:r w:rsidRPr="007F7A82">
        <w:t xml:space="preserve"> </w:t>
      </w:r>
      <w:r>
        <w:t xml:space="preserve">continue to </w:t>
      </w:r>
      <w:r w:rsidRPr="007F7A82">
        <w:t xml:space="preserve">have </w:t>
      </w:r>
      <w:r>
        <w:t xml:space="preserve">an impact in 2020-21 when the policy would terminate.  A breakdown of the financial implications </w:t>
      </w:r>
      <w:r w:rsidR="009752E8">
        <w:t>over the period 2016</w:t>
      </w:r>
      <w:r w:rsidR="009752E8">
        <w:noBreakHyphen/>
        <w:t xml:space="preserve">17 </w:t>
      </w:r>
      <w:r>
        <w:t xml:space="preserve">to 2020-21 is provided at </w:t>
      </w:r>
      <w:r w:rsidR="00FC38CF" w:rsidRPr="00197A20">
        <w:rPr>
          <w:u w:val="single"/>
        </w:rPr>
        <w:t>Attachment</w:t>
      </w:r>
      <w:r w:rsidR="00FC38CF">
        <w:rPr>
          <w:u w:val="single"/>
        </w:rPr>
        <w:t> </w:t>
      </w:r>
      <w:r w:rsidRPr="00197A20">
        <w:rPr>
          <w:u w:val="single"/>
        </w:rPr>
        <w:t>A</w:t>
      </w:r>
      <w:r>
        <w:t>.</w:t>
      </w:r>
    </w:p>
    <w:p w:rsidR="005C0B39" w:rsidRPr="00AF13AE" w:rsidRDefault="000A51F9" w:rsidP="000A51F9">
      <w:r>
        <w:t xml:space="preserve">The costing is considered to be of </w:t>
      </w:r>
      <w:r w:rsidRPr="00BF6457">
        <w:t>high</w:t>
      </w:r>
      <w:r>
        <w:t xml:space="preserve"> reliability as it is based on specified capped amounts and the application of administrative expenses based on similar programs.</w:t>
      </w:r>
    </w:p>
    <w:p w:rsidR="005E3562" w:rsidRPr="00FC6579" w:rsidRDefault="005E3562" w:rsidP="00FC6579">
      <w:pPr>
        <w:pStyle w:val="Captionheading"/>
      </w:pPr>
      <w:r w:rsidRPr="00FC6579">
        <w:lastRenderedPageBreak/>
        <w:t xml:space="preserve">Table </w:t>
      </w:r>
      <w:r w:rsidR="001A02D1" w:rsidRPr="00FC6579">
        <w:t>1</w:t>
      </w:r>
      <w:r w:rsidRPr="00FC6579">
        <w:t>: Financial implications (outturn prices)</w:t>
      </w:r>
      <w:r w:rsidRPr="00844776">
        <w:rPr>
          <w:vertAlign w:val="superscript"/>
        </w:rPr>
        <w:t>(a)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EA2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CA5D42" w:rsidRPr="00D33B86" w:rsidRDefault="00CA5D42" w:rsidP="0069222B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b w:val="0"/>
                <w:szCs w:val="20"/>
              </w:rPr>
            </w:pPr>
            <w:r w:rsidRPr="00D33B86">
              <w:rPr>
                <w:rFonts w:ascii="Calibri" w:hAnsi="Calibri"/>
                <w:b w:val="0"/>
                <w:szCs w:val="20"/>
              </w:rPr>
              <w:t>Impact on</w:t>
            </w:r>
            <w:r w:rsidR="00461597" w:rsidRPr="00D33B86">
              <w:rPr>
                <w:rFonts w:ascii="Calibri" w:hAnsi="Calibri"/>
                <w:b w:val="0"/>
                <w:szCs w:val="20"/>
              </w:rPr>
              <w:t xml:space="preserve"> ($m)</w:t>
            </w:r>
          </w:p>
        </w:tc>
        <w:tc>
          <w:tcPr>
            <w:tcW w:w="682" w:type="pct"/>
          </w:tcPr>
          <w:p w:rsidR="00CA5D42" w:rsidRPr="00DA6B17" w:rsidRDefault="00CA5D42" w:rsidP="0069222B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DA6B17">
              <w:rPr>
                <w:rFonts w:ascii="Calibri" w:hAnsi="Calibri"/>
                <w:b w:val="0"/>
                <w:sz w:val="20"/>
                <w:szCs w:val="20"/>
              </w:rPr>
              <w:t>2016–17</w:t>
            </w:r>
          </w:p>
        </w:tc>
        <w:tc>
          <w:tcPr>
            <w:tcW w:w="682" w:type="pct"/>
          </w:tcPr>
          <w:p w:rsidR="00CA5D42" w:rsidRPr="00DA6B17" w:rsidRDefault="00CA5D42" w:rsidP="0069222B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DA6B17">
              <w:rPr>
                <w:rFonts w:ascii="Calibri" w:hAnsi="Calibri"/>
                <w:b w:val="0"/>
                <w:sz w:val="20"/>
                <w:szCs w:val="20"/>
              </w:rPr>
              <w:t>2017–18</w:t>
            </w:r>
          </w:p>
        </w:tc>
        <w:tc>
          <w:tcPr>
            <w:tcW w:w="682" w:type="pct"/>
          </w:tcPr>
          <w:p w:rsidR="00CA5D42" w:rsidRPr="00DA6B17" w:rsidRDefault="00CA5D42" w:rsidP="0069222B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DA6B17">
              <w:rPr>
                <w:rFonts w:ascii="Calibri" w:hAnsi="Calibri"/>
                <w:b w:val="0"/>
                <w:sz w:val="20"/>
                <w:szCs w:val="20"/>
              </w:rPr>
              <w:t>2018–19</w:t>
            </w:r>
          </w:p>
        </w:tc>
        <w:tc>
          <w:tcPr>
            <w:tcW w:w="682" w:type="pct"/>
          </w:tcPr>
          <w:p w:rsidR="00CA5D42" w:rsidRPr="00DA6B17" w:rsidRDefault="00CA5D42" w:rsidP="0069222B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sz w:val="20"/>
                <w:szCs w:val="20"/>
              </w:rPr>
            </w:pPr>
            <w:r w:rsidRPr="00DA6B17">
              <w:rPr>
                <w:rFonts w:ascii="Calibri" w:hAnsi="Calibri"/>
                <w:b w:val="0"/>
                <w:sz w:val="20"/>
                <w:szCs w:val="20"/>
              </w:rPr>
              <w:t>2019–20</w:t>
            </w:r>
          </w:p>
        </w:tc>
        <w:tc>
          <w:tcPr>
            <w:tcW w:w="681" w:type="pct"/>
          </w:tcPr>
          <w:p w:rsidR="00CA5D42" w:rsidRPr="00B73AC8" w:rsidRDefault="00CA5D42" w:rsidP="0069222B">
            <w:pPr>
              <w:keepNext/>
              <w:keepLines/>
              <w:spacing w:before="70" w:after="70" w:line="240" w:lineRule="auto"/>
              <w:ind w:left="57" w:right="5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B73AC8">
              <w:rPr>
                <w:rFonts w:ascii="Calibri" w:hAnsi="Calibri"/>
                <w:sz w:val="20"/>
                <w:szCs w:val="20"/>
              </w:rPr>
              <w:t>Total</w:t>
            </w:r>
          </w:p>
        </w:tc>
      </w:tr>
      <w:tr w:rsidR="008806C3" w:rsidRPr="00B73AC8" w:rsidTr="00C97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8806C3" w:rsidRPr="00B73AC8" w:rsidRDefault="008806C3" w:rsidP="0069222B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Fiscal balance</w:t>
            </w:r>
          </w:p>
        </w:tc>
        <w:tc>
          <w:tcPr>
            <w:tcW w:w="682" w:type="pct"/>
            <w:vAlign w:val="center"/>
          </w:tcPr>
          <w:p w:rsidR="008806C3" w:rsidRPr="008806C3" w:rsidRDefault="008806C3" w:rsidP="0069222B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806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2" w:type="pct"/>
            <w:vAlign w:val="center"/>
          </w:tcPr>
          <w:p w:rsidR="008806C3" w:rsidRPr="008806C3" w:rsidRDefault="008806C3" w:rsidP="0069222B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806C3">
              <w:rPr>
                <w:color w:val="000000"/>
                <w:sz w:val="20"/>
                <w:szCs w:val="20"/>
              </w:rPr>
              <w:t>-25.0</w:t>
            </w:r>
          </w:p>
        </w:tc>
        <w:tc>
          <w:tcPr>
            <w:tcW w:w="682" w:type="pct"/>
            <w:vAlign w:val="center"/>
          </w:tcPr>
          <w:p w:rsidR="008806C3" w:rsidRPr="008806C3" w:rsidRDefault="008806C3" w:rsidP="0069222B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806C3">
              <w:rPr>
                <w:color w:val="000000"/>
                <w:sz w:val="20"/>
                <w:szCs w:val="20"/>
              </w:rPr>
              <w:t>-25.0</w:t>
            </w:r>
          </w:p>
        </w:tc>
        <w:tc>
          <w:tcPr>
            <w:tcW w:w="682" w:type="pct"/>
            <w:vAlign w:val="center"/>
          </w:tcPr>
          <w:p w:rsidR="008806C3" w:rsidRPr="008806C3" w:rsidRDefault="008806C3" w:rsidP="0069222B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806C3">
              <w:rPr>
                <w:color w:val="000000"/>
                <w:sz w:val="20"/>
                <w:szCs w:val="20"/>
              </w:rPr>
              <w:t>-25.0</w:t>
            </w:r>
          </w:p>
        </w:tc>
        <w:tc>
          <w:tcPr>
            <w:tcW w:w="681" w:type="pct"/>
            <w:vAlign w:val="center"/>
          </w:tcPr>
          <w:p w:rsidR="008806C3" w:rsidRPr="00DA6B17" w:rsidRDefault="008806C3" w:rsidP="0069222B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DA6B17">
              <w:rPr>
                <w:b/>
                <w:color w:val="000000"/>
                <w:sz w:val="20"/>
                <w:szCs w:val="20"/>
              </w:rPr>
              <w:t>-75.0</w:t>
            </w:r>
          </w:p>
        </w:tc>
      </w:tr>
      <w:tr w:rsidR="008806C3" w:rsidRPr="00B73AC8" w:rsidTr="00C97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8806C3" w:rsidRPr="00B73AC8" w:rsidRDefault="008806C3" w:rsidP="0069222B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Underlying cash balance</w:t>
            </w:r>
          </w:p>
        </w:tc>
        <w:tc>
          <w:tcPr>
            <w:tcW w:w="682" w:type="pct"/>
            <w:vAlign w:val="center"/>
          </w:tcPr>
          <w:p w:rsidR="008806C3" w:rsidRPr="008806C3" w:rsidRDefault="008806C3" w:rsidP="0069222B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806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2" w:type="pct"/>
            <w:vAlign w:val="center"/>
          </w:tcPr>
          <w:p w:rsidR="008806C3" w:rsidRPr="008806C3" w:rsidRDefault="008806C3" w:rsidP="0069222B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806C3">
              <w:rPr>
                <w:color w:val="000000"/>
                <w:sz w:val="20"/>
                <w:szCs w:val="20"/>
              </w:rPr>
              <w:t>-25.0</w:t>
            </w:r>
          </w:p>
        </w:tc>
        <w:tc>
          <w:tcPr>
            <w:tcW w:w="682" w:type="pct"/>
            <w:vAlign w:val="center"/>
          </w:tcPr>
          <w:p w:rsidR="008806C3" w:rsidRPr="008806C3" w:rsidRDefault="008806C3" w:rsidP="0069222B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806C3">
              <w:rPr>
                <w:color w:val="000000"/>
                <w:sz w:val="20"/>
                <w:szCs w:val="20"/>
              </w:rPr>
              <w:t>-25.0</w:t>
            </w:r>
          </w:p>
        </w:tc>
        <w:tc>
          <w:tcPr>
            <w:tcW w:w="682" w:type="pct"/>
            <w:vAlign w:val="center"/>
          </w:tcPr>
          <w:p w:rsidR="008806C3" w:rsidRPr="008806C3" w:rsidRDefault="008806C3" w:rsidP="0069222B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806C3">
              <w:rPr>
                <w:color w:val="000000"/>
                <w:sz w:val="20"/>
                <w:szCs w:val="20"/>
              </w:rPr>
              <w:t>-25.0</w:t>
            </w:r>
          </w:p>
        </w:tc>
        <w:tc>
          <w:tcPr>
            <w:tcW w:w="681" w:type="pct"/>
            <w:vAlign w:val="center"/>
          </w:tcPr>
          <w:p w:rsidR="008806C3" w:rsidRPr="00DA6B17" w:rsidRDefault="008806C3" w:rsidP="0069222B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szCs w:val="20"/>
              </w:rPr>
            </w:pPr>
            <w:r w:rsidRPr="00DA6B17">
              <w:rPr>
                <w:b/>
                <w:color w:val="000000"/>
                <w:sz w:val="20"/>
                <w:szCs w:val="20"/>
              </w:rPr>
              <w:t>-75.0</w:t>
            </w:r>
          </w:p>
        </w:tc>
      </w:tr>
    </w:tbl>
    <w:p w:rsidR="009E4B6A" w:rsidRPr="009752E8" w:rsidRDefault="009E4B6A" w:rsidP="009E4B6A">
      <w:pPr>
        <w:pStyle w:val="Footnotes"/>
        <w:keepNext/>
        <w:numPr>
          <w:ilvl w:val="0"/>
          <w:numId w:val="19"/>
        </w:numPr>
        <w:ind w:left="284" w:hanging="284"/>
        <w:rPr>
          <w:rFonts w:ascii="Calibri" w:hAnsi="Calibri"/>
        </w:rPr>
      </w:pPr>
      <w:r w:rsidRPr="005A687A">
        <w:t>A positive number indicates an increase in the relevant budget balance, a negative number a decrease.</w:t>
      </w:r>
    </w:p>
    <w:p w:rsidR="009752E8" w:rsidRPr="005A687A" w:rsidRDefault="009752E8" w:rsidP="0069222B">
      <w:pPr>
        <w:pStyle w:val="Footnotes"/>
        <w:numPr>
          <w:ilvl w:val="0"/>
          <w:numId w:val="20"/>
        </w:numPr>
        <w:ind w:left="284" w:hanging="284"/>
        <w:rPr>
          <w:rFonts w:ascii="Calibri" w:hAnsi="Calibri"/>
        </w:rPr>
      </w:pPr>
      <w:r>
        <w:t>Indicates nil.</w:t>
      </w:r>
    </w:p>
    <w:p w:rsidR="005E3562" w:rsidRPr="00FC6579" w:rsidRDefault="005E3562" w:rsidP="00E40B8B">
      <w:pPr>
        <w:pStyle w:val="Heading2"/>
      </w:pPr>
      <w:r w:rsidRPr="00FC6579">
        <w:t>Methodology</w:t>
      </w:r>
    </w:p>
    <w:p w:rsidR="008806C3" w:rsidRDefault="008806C3" w:rsidP="008806C3">
      <w:pPr>
        <w:keepLines/>
      </w:pPr>
      <w:r>
        <w:t xml:space="preserve">Departmental expenditure estimates are </w:t>
      </w:r>
      <w:r w:rsidR="002A3815">
        <w:t xml:space="preserve">accommodated within the capped funding amounts as specified in the request.  These estimates are based on like programs and the estimates </w:t>
      </w:r>
      <w:r>
        <w:t>account for the net effect of indexation parameters and the efficiency dividend, in accordance with the Department of Finance’s costing practices.</w:t>
      </w:r>
    </w:p>
    <w:p w:rsidR="008806C3" w:rsidRDefault="008806C3" w:rsidP="008806C3">
      <w:r w:rsidRPr="00807934">
        <w:t>Administered</w:t>
      </w:r>
      <w:r>
        <w:t xml:space="preserve"> expenditure estimates are the remainder of the capped funding amounts after allowing for estimated departmental expenditure.</w:t>
      </w:r>
    </w:p>
    <w:p w:rsidR="005E3562" w:rsidRPr="00FC6579" w:rsidRDefault="00FC1DE9" w:rsidP="00E40B8B">
      <w:pPr>
        <w:pStyle w:val="Heading2"/>
      </w:pPr>
      <w:r>
        <w:t>Data source</w:t>
      </w:r>
    </w:p>
    <w:p w:rsidR="00CA5D42" w:rsidRPr="00FC1DE9" w:rsidRDefault="00FC1DE9" w:rsidP="00FC1DE9">
      <w:pPr>
        <w:keepNext/>
        <w:keepLines/>
        <w:rPr>
          <w:highlight w:val="yellow"/>
        </w:rPr>
        <w:sectPr w:rsidR="00CA5D42" w:rsidRPr="00FC1DE9" w:rsidSect="00002D5D">
          <w:headerReference w:type="first" r:id="rId13"/>
          <w:footerReference w:type="first" r:id="rId14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  <w:r>
        <w:t>The Department of Finance provided indexation and efficiency dividend parameters.</w:t>
      </w:r>
    </w:p>
    <w:p w:rsidR="001A02D1" w:rsidRPr="00FC6579" w:rsidRDefault="001A02D1" w:rsidP="00FC6579">
      <w:pPr>
        <w:pStyle w:val="Heading1"/>
      </w:pPr>
      <w:r w:rsidRPr="00FC6579">
        <w:lastRenderedPageBreak/>
        <w:t>Attachment A:</w:t>
      </w:r>
      <w:r w:rsidR="00681240">
        <w:t xml:space="preserve"> </w:t>
      </w:r>
      <w:r w:rsidR="008806C3" w:rsidRPr="008806C3">
        <w:t>Seizing the Tourism Boom</w:t>
      </w:r>
      <w:r w:rsidR="00FC1DE9">
        <w:t xml:space="preserve"> </w:t>
      </w:r>
      <w:r w:rsidR="00440E32">
        <w:t>—financial implications</w:t>
      </w:r>
    </w:p>
    <w:p w:rsidR="008806C3" w:rsidRPr="00FC6579" w:rsidRDefault="008806C3" w:rsidP="008806C3">
      <w:pPr>
        <w:pStyle w:val="Captionheading"/>
      </w:pPr>
      <w:r w:rsidRPr="00FC5643">
        <w:t xml:space="preserve">Table </w:t>
      </w:r>
      <w:r>
        <w:t>A1</w:t>
      </w:r>
      <w:r w:rsidRPr="00FC5643">
        <w:t xml:space="preserve">: </w:t>
      </w:r>
      <w:r>
        <w:t>Financial implications</w:t>
      </w:r>
      <w:r w:rsidR="00BD503B">
        <w:t xml:space="preserve"> (outturn prices)</w:t>
      </w:r>
      <w:r w:rsidRPr="00BE2423">
        <w:rPr>
          <w:vertAlign w:val="superscript"/>
        </w:rPr>
        <w:t>(a)</w:t>
      </w:r>
      <w:r w:rsidR="006B7B46">
        <w:rPr>
          <w:vertAlign w:val="superscript"/>
        </w:rPr>
        <w:t>(b)</w:t>
      </w:r>
    </w:p>
    <w:tbl>
      <w:tblPr>
        <w:tblStyle w:val="TableGrid"/>
        <w:tblW w:w="5113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031"/>
        <w:gridCol w:w="925"/>
        <w:gridCol w:w="926"/>
        <w:gridCol w:w="925"/>
        <w:gridCol w:w="926"/>
        <w:gridCol w:w="925"/>
        <w:gridCol w:w="926"/>
        <w:gridCol w:w="926"/>
      </w:tblGrid>
      <w:tr w:rsidR="009752E8" w:rsidRPr="00EF1D6A" w:rsidTr="0097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1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13F83" w:rsidRPr="00EF1D6A" w:rsidRDefault="00D13F83" w:rsidP="00A42E2C">
            <w:pPr>
              <w:pStyle w:val="TableText"/>
              <w:keepNext/>
              <w:keepLines/>
              <w:spacing w:line="240" w:lineRule="auto"/>
              <w:ind w:left="57" w:right="57"/>
              <w:rPr>
                <w:b w:val="0"/>
                <w:szCs w:val="20"/>
              </w:rPr>
            </w:pPr>
            <w:r w:rsidRPr="00EF1D6A">
              <w:rPr>
                <w:b w:val="0"/>
                <w:szCs w:val="20"/>
              </w:rPr>
              <w:t>($m)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13F83" w:rsidRPr="00C24267" w:rsidRDefault="00D13F83" w:rsidP="00A42E2C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C24267">
              <w:rPr>
                <w:b w:val="0"/>
              </w:rPr>
              <w:t>2016–17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13F83" w:rsidRPr="00C24267" w:rsidRDefault="00D13F83" w:rsidP="00A42E2C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C24267">
              <w:rPr>
                <w:b w:val="0"/>
              </w:rPr>
              <w:t>2017–18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13F83" w:rsidRPr="00C24267" w:rsidRDefault="00D13F83" w:rsidP="00A42E2C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C24267">
              <w:rPr>
                <w:b w:val="0"/>
              </w:rPr>
              <w:t>2018–19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13F83" w:rsidRPr="00C24267" w:rsidRDefault="00D13F83" w:rsidP="00A42E2C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C24267">
              <w:rPr>
                <w:b w:val="0"/>
              </w:rPr>
              <w:t>2019–20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13F83" w:rsidRPr="00397D0F" w:rsidRDefault="00D13F83" w:rsidP="00A42E2C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 w:rsidRPr="00DA6B17">
              <w:t>Total to 2019–20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13F83" w:rsidRPr="00D13F83" w:rsidRDefault="00D13F83" w:rsidP="00A42E2C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2020–21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D13F83" w:rsidRPr="00DA6B17" w:rsidRDefault="00D13F83" w:rsidP="00A42E2C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vertAlign w:val="superscript"/>
              </w:rPr>
            </w:pPr>
            <w:r w:rsidRPr="00DA6B17">
              <w:t>Total to 2020–21</w:t>
            </w:r>
          </w:p>
        </w:tc>
      </w:tr>
      <w:tr w:rsidR="00DF15BB" w:rsidRPr="0066665A" w:rsidTr="00975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0" w:type="dxa"/>
            <w:gridSpan w:val="8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center"/>
          </w:tcPr>
          <w:p w:rsidR="00DF15BB" w:rsidRPr="00BD503B" w:rsidRDefault="009752E8" w:rsidP="00A42E2C">
            <w:pPr>
              <w:pStyle w:val="TableText"/>
              <w:keepNext/>
              <w:keepLines/>
              <w:spacing w:line="240" w:lineRule="auto"/>
              <w:ind w:left="57" w:right="57"/>
              <w:rPr>
                <w:b/>
                <w:szCs w:val="20"/>
              </w:rPr>
            </w:pPr>
            <w:r>
              <w:rPr>
                <w:b/>
                <w:szCs w:val="20"/>
              </w:rPr>
              <w:t>Impact on f</w:t>
            </w:r>
            <w:r w:rsidR="00BD503B" w:rsidRPr="00BD503B">
              <w:rPr>
                <w:b/>
                <w:szCs w:val="20"/>
              </w:rPr>
              <w:t>iscal and underlying cash balances</w:t>
            </w:r>
          </w:p>
        </w:tc>
      </w:tr>
      <w:tr w:rsidR="00D17204" w:rsidRPr="0066665A" w:rsidTr="009752E8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0" w:type="dxa"/>
            <w:gridSpan w:val="8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center"/>
          </w:tcPr>
          <w:p w:rsidR="00D17204" w:rsidRPr="00D17204" w:rsidRDefault="0053343F" w:rsidP="00A42E2C">
            <w:pPr>
              <w:spacing w:before="70" w:after="70" w:line="240" w:lineRule="auto"/>
              <w:ind w:left="57" w:right="57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 1</w:t>
            </w:r>
            <w:r w:rsidR="00D17204" w:rsidRPr="00D17204">
              <w:rPr>
                <w:sz w:val="20"/>
                <w:szCs w:val="20"/>
              </w:rPr>
              <w:t xml:space="preserve"> - grant fund for regional tourism infrastructure funding</w:t>
            </w:r>
          </w:p>
        </w:tc>
      </w:tr>
      <w:tr w:rsidR="009752E8" w:rsidRPr="0066665A" w:rsidTr="00975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C34833" w:rsidRPr="00C34833" w:rsidRDefault="00C34833" w:rsidP="00A42E2C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C34833">
              <w:rPr>
                <w:sz w:val="20"/>
                <w:szCs w:val="20"/>
              </w:rPr>
              <w:t>Administered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 xml:space="preserve">-14.4 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-14.4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-14.4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b/>
                <w:i/>
                <w:iCs/>
                <w:color w:val="000000"/>
                <w:sz w:val="20"/>
                <w:szCs w:val="20"/>
              </w:rPr>
              <w:t xml:space="preserve">-43.2 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-14.4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b/>
                <w:i/>
                <w:iCs/>
                <w:color w:val="000000"/>
                <w:sz w:val="20"/>
                <w:szCs w:val="20"/>
              </w:rPr>
              <w:t xml:space="preserve">-57.6 </w:t>
            </w:r>
          </w:p>
        </w:tc>
      </w:tr>
      <w:tr w:rsidR="009752E8" w:rsidRPr="0066665A" w:rsidTr="009752E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C34833" w:rsidRPr="00C34833" w:rsidRDefault="00C34833" w:rsidP="00A42E2C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C34833">
              <w:rPr>
                <w:sz w:val="20"/>
                <w:szCs w:val="20"/>
              </w:rPr>
              <w:t>Departmental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 xml:space="preserve">-0.6 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b/>
                <w:i/>
                <w:iCs/>
                <w:color w:val="000000"/>
                <w:sz w:val="20"/>
                <w:szCs w:val="20"/>
              </w:rPr>
              <w:t xml:space="preserve">-1.8 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C34833" w:rsidRPr="009752E8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b/>
                <w:i/>
                <w:iCs/>
                <w:color w:val="000000"/>
                <w:sz w:val="20"/>
                <w:szCs w:val="20"/>
              </w:rPr>
              <w:t xml:space="preserve">-2.4 </w:t>
            </w:r>
          </w:p>
        </w:tc>
      </w:tr>
      <w:tr w:rsidR="009752E8" w:rsidRPr="0066665A" w:rsidTr="00975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center"/>
          </w:tcPr>
          <w:p w:rsidR="00C34833" w:rsidRPr="00C34833" w:rsidRDefault="009752E8" w:rsidP="00A42E2C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Component 1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C34833" w:rsidRPr="00783A5E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C34833" w:rsidRPr="00783A5E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  <w:szCs w:val="20"/>
              </w:rPr>
            </w:pPr>
            <w:r w:rsidRPr="00783A5E">
              <w:rPr>
                <w:iCs/>
                <w:color w:val="000000"/>
                <w:sz w:val="20"/>
                <w:szCs w:val="20"/>
              </w:rPr>
              <w:t>-15.0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C34833" w:rsidRPr="00783A5E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  <w:szCs w:val="20"/>
              </w:rPr>
            </w:pPr>
            <w:r w:rsidRPr="00783A5E">
              <w:rPr>
                <w:iCs/>
                <w:color w:val="000000"/>
                <w:sz w:val="20"/>
                <w:szCs w:val="20"/>
              </w:rPr>
              <w:t>-15.0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C34833" w:rsidRPr="00783A5E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  <w:szCs w:val="20"/>
              </w:rPr>
            </w:pPr>
            <w:r w:rsidRPr="00783A5E">
              <w:rPr>
                <w:iCs/>
                <w:color w:val="000000"/>
                <w:sz w:val="20"/>
                <w:szCs w:val="20"/>
              </w:rPr>
              <w:t>-15.0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C34833" w:rsidRPr="00783A5E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color w:val="000000"/>
                <w:sz w:val="20"/>
                <w:szCs w:val="20"/>
              </w:rPr>
            </w:pPr>
            <w:r w:rsidRPr="00783A5E">
              <w:rPr>
                <w:b/>
                <w:iCs/>
                <w:color w:val="000000"/>
                <w:sz w:val="20"/>
                <w:szCs w:val="20"/>
              </w:rPr>
              <w:t>-45.0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C34833" w:rsidRPr="00783A5E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  <w:szCs w:val="20"/>
              </w:rPr>
            </w:pPr>
            <w:r w:rsidRPr="00783A5E">
              <w:rPr>
                <w:iCs/>
                <w:color w:val="000000"/>
                <w:sz w:val="20"/>
                <w:szCs w:val="20"/>
              </w:rPr>
              <w:t>-15.0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C34833" w:rsidRPr="00783A5E" w:rsidRDefault="00C34833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color w:val="000000"/>
                <w:sz w:val="20"/>
                <w:szCs w:val="20"/>
              </w:rPr>
            </w:pPr>
            <w:r w:rsidRPr="00783A5E">
              <w:rPr>
                <w:b/>
                <w:iCs/>
                <w:color w:val="000000"/>
                <w:sz w:val="20"/>
                <w:szCs w:val="20"/>
              </w:rPr>
              <w:t>-60.0</w:t>
            </w:r>
          </w:p>
        </w:tc>
      </w:tr>
      <w:tr w:rsidR="0053343F" w:rsidRPr="0066665A" w:rsidTr="009752E8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0" w:type="dxa"/>
            <w:gridSpan w:val="8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center"/>
          </w:tcPr>
          <w:p w:rsidR="0053343F" w:rsidRPr="00783A5E" w:rsidRDefault="0053343F" w:rsidP="00A42E2C">
            <w:pPr>
              <w:spacing w:before="70" w:after="70" w:line="240" w:lineRule="auto"/>
              <w:ind w:left="57" w:right="57"/>
              <w:rPr>
                <w:b/>
                <w:iCs/>
                <w:color w:val="000000"/>
                <w:sz w:val="20"/>
                <w:szCs w:val="20"/>
              </w:rPr>
            </w:pPr>
            <w:r w:rsidRPr="00783A5E">
              <w:rPr>
                <w:sz w:val="20"/>
                <w:szCs w:val="20"/>
              </w:rPr>
              <w:t>Component 2 - increase funding to Tourism Australia</w:t>
            </w:r>
          </w:p>
        </w:tc>
      </w:tr>
      <w:tr w:rsidR="009752E8" w:rsidRPr="0066665A" w:rsidTr="00975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53343F" w:rsidRPr="00C34833" w:rsidRDefault="0053343F" w:rsidP="00A42E2C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C34833">
              <w:rPr>
                <w:sz w:val="20"/>
                <w:szCs w:val="20"/>
              </w:rPr>
              <w:t>Administered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-10.0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-10.0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-10.0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b/>
                <w:i/>
                <w:iCs/>
                <w:color w:val="000000"/>
                <w:sz w:val="20"/>
                <w:szCs w:val="20"/>
              </w:rPr>
              <w:t>-30.0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-10.0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b/>
                <w:i/>
                <w:iCs/>
                <w:color w:val="000000"/>
                <w:sz w:val="20"/>
                <w:szCs w:val="20"/>
              </w:rPr>
              <w:t>-40.0</w:t>
            </w:r>
          </w:p>
        </w:tc>
      </w:tr>
      <w:tr w:rsidR="009752E8" w:rsidRPr="0066665A" w:rsidTr="009752E8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53343F" w:rsidRPr="00C34833" w:rsidRDefault="0053343F" w:rsidP="00A42E2C">
            <w:pPr>
              <w:spacing w:before="70" w:after="70" w:line="240" w:lineRule="auto"/>
              <w:ind w:left="57" w:right="57"/>
              <w:rPr>
                <w:sz w:val="20"/>
                <w:szCs w:val="20"/>
              </w:rPr>
            </w:pPr>
            <w:r w:rsidRPr="00C34833">
              <w:rPr>
                <w:sz w:val="20"/>
                <w:szCs w:val="20"/>
              </w:rPr>
              <w:t>Departmental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b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53343F" w:rsidRPr="009752E8" w:rsidRDefault="0053343F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9752E8">
              <w:rPr>
                <w:b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9752E8" w:rsidRPr="0066665A" w:rsidTr="00975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center"/>
          </w:tcPr>
          <w:p w:rsidR="0053343F" w:rsidRPr="00C34833" w:rsidRDefault="009752E8" w:rsidP="00A42E2C">
            <w:pPr>
              <w:spacing w:before="70" w:after="70" w:line="240" w:lineRule="auto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Component 2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53343F" w:rsidRPr="00783A5E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53343F" w:rsidRPr="00783A5E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  <w:szCs w:val="20"/>
              </w:rPr>
            </w:pPr>
            <w:r w:rsidRPr="00783A5E">
              <w:rPr>
                <w:iCs/>
                <w:color w:val="000000"/>
                <w:sz w:val="20"/>
                <w:szCs w:val="20"/>
              </w:rPr>
              <w:t>-10.0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53343F" w:rsidRPr="00783A5E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  <w:szCs w:val="20"/>
              </w:rPr>
            </w:pPr>
            <w:r w:rsidRPr="00783A5E">
              <w:rPr>
                <w:iCs/>
                <w:color w:val="000000"/>
                <w:sz w:val="20"/>
                <w:szCs w:val="20"/>
              </w:rPr>
              <w:t>-10.0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53343F" w:rsidRPr="00783A5E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  <w:szCs w:val="20"/>
              </w:rPr>
            </w:pPr>
            <w:r w:rsidRPr="00783A5E">
              <w:rPr>
                <w:iCs/>
                <w:color w:val="000000"/>
                <w:sz w:val="20"/>
                <w:szCs w:val="20"/>
              </w:rPr>
              <w:t>-10.0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53343F" w:rsidRPr="00783A5E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color w:val="000000"/>
                <w:sz w:val="20"/>
                <w:szCs w:val="20"/>
              </w:rPr>
            </w:pPr>
            <w:r w:rsidRPr="00783A5E">
              <w:rPr>
                <w:b/>
                <w:iCs/>
                <w:color w:val="000000"/>
                <w:sz w:val="20"/>
                <w:szCs w:val="20"/>
              </w:rPr>
              <w:t>-30.0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53343F" w:rsidRPr="00783A5E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/>
                <w:sz w:val="20"/>
                <w:szCs w:val="20"/>
              </w:rPr>
            </w:pPr>
            <w:r w:rsidRPr="00783A5E">
              <w:rPr>
                <w:iCs/>
                <w:color w:val="000000"/>
                <w:sz w:val="20"/>
                <w:szCs w:val="20"/>
              </w:rPr>
              <w:t>-10.0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  <w:vAlign w:val="bottom"/>
          </w:tcPr>
          <w:p w:rsidR="0053343F" w:rsidRPr="00783A5E" w:rsidRDefault="0053343F" w:rsidP="00A42E2C">
            <w:pPr>
              <w:spacing w:before="70" w:after="70" w:line="240" w:lineRule="auto"/>
              <w:ind w:left="57" w:right="5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color w:val="000000"/>
                <w:sz w:val="20"/>
                <w:szCs w:val="20"/>
              </w:rPr>
            </w:pPr>
            <w:r w:rsidRPr="00783A5E">
              <w:rPr>
                <w:b/>
                <w:iCs/>
                <w:color w:val="000000"/>
                <w:sz w:val="20"/>
                <w:szCs w:val="20"/>
              </w:rPr>
              <w:t>-40.0</w:t>
            </w:r>
          </w:p>
        </w:tc>
      </w:tr>
      <w:tr w:rsidR="009752E8" w:rsidRPr="0055406D" w:rsidTr="009752E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center"/>
          </w:tcPr>
          <w:p w:rsidR="00C34833" w:rsidRPr="0055406D" w:rsidRDefault="00C34833" w:rsidP="00A42E2C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rFonts w:ascii="Calibri" w:hAnsi="Calibri"/>
                <w:b/>
                <w:szCs w:val="20"/>
              </w:rPr>
            </w:pPr>
            <w:r w:rsidRPr="0055406D">
              <w:rPr>
                <w:rFonts w:ascii="Calibri" w:hAnsi="Calibri"/>
                <w:b/>
                <w:szCs w:val="20"/>
              </w:rPr>
              <w:t>Total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C34833" w:rsidRPr="00DA6B17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A6B17">
              <w:rPr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C34833" w:rsidRPr="00DA6B17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A6B17">
              <w:rPr>
                <w:b/>
                <w:bCs/>
                <w:color w:val="000000"/>
                <w:sz w:val="20"/>
                <w:szCs w:val="20"/>
              </w:rPr>
              <w:t xml:space="preserve">-25.0 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C34833" w:rsidRPr="00DA6B17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A6B17">
              <w:rPr>
                <w:b/>
                <w:bCs/>
                <w:color w:val="000000"/>
                <w:sz w:val="20"/>
                <w:szCs w:val="20"/>
              </w:rPr>
              <w:t xml:space="preserve">-25.0 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C34833" w:rsidRPr="00DA6B17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A6B17">
              <w:rPr>
                <w:b/>
                <w:bCs/>
                <w:color w:val="000000"/>
                <w:sz w:val="20"/>
                <w:szCs w:val="20"/>
              </w:rPr>
              <w:t xml:space="preserve">-25.0 </w:t>
            </w:r>
          </w:p>
        </w:tc>
        <w:tc>
          <w:tcPr>
            <w:tcW w:w="925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C34833" w:rsidRPr="00DA6B17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A6B17">
              <w:rPr>
                <w:b/>
                <w:bCs/>
                <w:color w:val="000000"/>
                <w:sz w:val="20"/>
                <w:szCs w:val="20"/>
              </w:rPr>
              <w:t xml:space="preserve">-75.0 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C34833" w:rsidRPr="00DA6B17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A6B17">
              <w:rPr>
                <w:b/>
                <w:bCs/>
                <w:color w:val="000000"/>
                <w:sz w:val="20"/>
                <w:szCs w:val="20"/>
              </w:rPr>
              <w:t xml:space="preserve">-25.0 </w:t>
            </w:r>
          </w:p>
        </w:tc>
        <w:tc>
          <w:tcPr>
            <w:tcW w:w="926" w:type="dxa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bottom"/>
          </w:tcPr>
          <w:p w:rsidR="00C34833" w:rsidRPr="00DA6B17" w:rsidRDefault="00C34833" w:rsidP="00A42E2C">
            <w:pPr>
              <w:spacing w:before="70" w:after="70" w:line="240" w:lineRule="auto"/>
              <w:ind w:left="57" w:right="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A6B17">
              <w:rPr>
                <w:b/>
                <w:bCs/>
                <w:color w:val="000000"/>
                <w:sz w:val="20"/>
                <w:szCs w:val="20"/>
              </w:rPr>
              <w:t xml:space="preserve">-100.0 </w:t>
            </w:r>
          </w:p>
        </w:tc>
      </w:tr>
    </w:tbl>
    <w:p w:rsidR="009E4B6A" w:rsidRDefault="00E97ECE" w:rsidP="009E4B6A">
      <w:pPr>
        <w:pStyle w:val="Footnotes"/>
        <w:numPr>
          <w:ilvl w:val="0"/>
          <w:numId w:val="7"/>
        </w:numPr>
        <w:ind w:left="284" w:hanging="284"/>
      </w:pPr>
      <w:r w:rsidRPr="00DB3B7E">
        <w:t>A negative number indicates a decrease in revenue or an increase in expenses or net capital investment in accrual and cash terms</w:t>
      </w:r>
      <w:r>
        <w:t>.</w:t>
      </w:r>
      <w:r w:rsidR="009E4B6A">
        <w:t xml:space="preserve">  </w:t>
      </w:r>
    </w:p>
    <w:p w:rsidR="009E4B6A" w:rsidRDefault="009E4B6A" w:rsidP="009E4B6A">
      <w:pPr>
        <w:pStyle w:val="Footnotes"/>
      </w:pPr>
      <w:r>
        <w:t>Figures may not sum to totals due to rounding.</w:t>
      </w:r>
    </w:p>
    <w:p w:rsidR="009E4B6A" w:rsidRDefault="009E4B6A" w:rsidP="00A42E2C">
      <w:pPr>
        <w:pStyle w:val="Footnotes"/>
        <w:numPr>
          <w:ilvl w:val="0"/>
          <w:numId w:val="20"/>
        </w:numPr>
        <w:ind w:left="284" w:hanging="284"/>
      </w:pPr>
      <w:r>
        <w:t>Indicates nil.</w:t>
      </w:r>
    </w:p>
    <w:sectPr w:rsidR="009E4B6A" w:rsidSect="00D13F83">
      <w:headerReference w:type="first" r:id="rId15"/>
      <w:footerReference w:type="first" r:id="rId16"/>
      <w:pgSz w:w="11906" w:h="16838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F8" w:rsidRDefault="009423F8" w:rsidP="008F588A">
      <w:pPr>
        <w:spacing w:line="240" w:lineRule="auto"/>
      </w:pPr>
      <w:r>
        <w:separator/>
      </w:r>
    </w:p>
    <w:p w:rsidR="009423F8" w:rsidRDefault="009423F8"/>
  </w:endnote>
  <w:endnote w:type="continuationSeparator" w:id="0">
    <w:p w:rsidR="009423F8" w:rsidRDefault="009423F8" w:rsidP="008F588A">
      <w:pPr>
        <w:spacing w:line="240" w:lineRule="auto"/>
      </w:pPr>
      <w:r>
        <w:continuationSeparator/>
      </w:r>
    </w:p>
    <w:p w:rsidR="009423F8" w:rsidRDefault="00942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0B61AB">
      <w:rPr>
        <w:noProof/>
      </w:rPr>
      <w:t>3</w:t>
    </w:r>
    <w:r w:rsidRPr="00C24267">
      <w:fldChar w:fldCharType="end"/>
    </w:r>
    <w:r w:rsidRPr="00C24267">
      <w:t xml:space="preserve"> of </w:t>
    </w:r>
    <w:r w:rsidR="000B61AB">
      <w:fldChar w:fldCharType="begin"/>
    </w:r>
    <w:r w:rsidR="000B61AB">
      <w:instrText xml:space="preserve"> NUMPAGES  \* Arabic  \* MERGEFORMAT </w:instrText>
    </w:r>
    <w:r w:rsidR="000B61AB">
      <w:fldChar w:fldCharType="separate"/>
    </w:r>
    <w:r w:rsidR="000B61AB">
      <w:rPr>
        <w:noProof/>
      </w:rPr>
      <w:t>3</w:t>
    </w:r>
    <w:r w:rsidR="000B61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Letterfooter"/>
    </w:pPr>
    <w:r w:rsidRPr="00C24267">
      <w:t>Parliamentary Budget Office   PO Box 6010   Parliament House   Canberra ACT 2600</w:t>
    </w:r>
  </w:p>
  <w:p w:rsidR="001278D0" w:rsidRPr="00C24267" w:rsidRDefault="001278D0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0B61AB">
      <w:rPr>
        <w:noProof/>
      </w:rPr>
      <w:t>2</w:t>
    </w:r>
    <w:r w:rsidRPr="00C24267">
      <w:fldChar w:fldCharType="end"/>
    </w:r>
    <w:r w:rsidRPr="00C24267">
      <w:t xml:space="preserve"> of </w:t>
    </w:r>
    <w:r w:rsidR="000B61AB">
      <w:fldChar w:fldCharType="begin"/>
    </w:r>
    <w:r w:rsidR="000B61AB">
      <w:instrText xml:space="preserve"> NUMPAGES  \* Arabic  \* MERGEFORMAT </w:instrText>
    </w:r>
    <w:r w:rsidR="000B61AB">
      <w:fldChar w:fldCharType="separate"/>
    </w:r>
    <w:r w:rsidR="000B61AB">
      <w:rPr>
        <w:noProof/>
      </w:rPr>
      <w:t>2</w:t>
    </w:r>
    <w:r w:rsidR="000B61AB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24267" w:rsidRDefault="001278D0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0B61AB">
      <w:rPr>
        <w:noProof/>
      </w:rPr>
      <w:t>4</w:t>
    </w:r>
    <w:r w:rsidRPr="00C24267">
      <w:fldChar w:fldCharType="end"/>
    </w:r>
    <w:r w:rsidRPr="00C24267">
      <w:t xml:space="preserve"> of </w:t>
    </w:r>
    <w:r w:rsidR="000B61AB">
      <w:fldChar w:fldCharType="begin"/>
    </w:r>
    <w:r w:rsidR="000B61AB">
      <w:instrText xml:space="preserve"> NUMPAGES  \* Arabic  \* MERGEFORMAT </w:instrText>
    </w:r>
    <w:r w:rsidR="000B61AB">
      <w:fldChar w:fldCharType="separate"/>
    </w:r>
    <w:r w:rsidR="000B61AB">
      <w:rPr>
        <w:noProof/>
      </w:rPr>
      <w:t>4</w:t>
    </w:r>
    <w:r w:rsidR="000B61A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F8" w:rsidRDefault="009423F8" w:rsidP="008F588A">
      <w:pPr>
        <w:spacing w:line="240" w:lineRule="auto"/>
      </w:pPr>
      <w:r>
        <w:separator/>
      </w:r>
    </w:p>
    <w:p w:rsidR="009423F8" w:rsidRDefault="009423F8"/>
  </w:footnote>
  <w:footnote w:type="continuationSeparator" w:id="0">
    <w:p w:rsidR="009423F8" w:rsidRDefault="009423F8" w:rsidP="008F588A">
      <w:pPr>
        <w:spacing w:line="240" w:lineRule="auto"/>
      </w:pPr>
      <w:r>
        <w:continuationSeparator/>
      </w:r>
    </w:p>
    <w:p w:rsidR="009423F8" w:rsidRDefault="009423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Default="001278D0" w:rsidP="00CB40E1">
    <w:pPr>
      <w:pStyle w:val="Header"/>
    </w:pPr>
    <w:r>
      <w:rPr>
        <w:noProof/>
        <w:lang w:eastAsia="en-AU"/>
      </w:rPr>
      <w:drawing>
        <wp:inline distT="0" distB="0" distL="0" distR="0" wp14:anchorId="73F0BDBB" wp14:editId="75AB9E6D">
          <wp:extent cx="2696845" cy="572135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78D0" w:rsidRPr="00DA1C8A" w:rsidRDefault="001278D0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C17112" w:rsidRDefault="001278D0" w:rsidP="00C17112">
    <w:pPr>
      <w:pStyle w:val="Header"/>
    </w:pPr>
    <w:r>
      <w:rPr>
        <w:noProof/>
        <w:lang w:eastAsia="en-AU"/>
      </w:rPr>
      <w:drawing>
        <wp:inline distT="0" distB="0" distL="0" distR="0" wp14:anchorId="7E34BFE3" wp14:editId="48B27468">
          <wp:extent cx="2696845" cy="572135"/>
          <wp:effectExtent l="0" t="0" r="825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8D0" w:rsidRPr="0069222B" w:rsidRDefault="001278D0" w:rsidP="006922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00AAB756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765"/>
        </w:tabs>
        <w:ind w:left="312" w:hanging="171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218"/>
        </w:tabs>
        <w:ind w:left="1218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672"/>
        </w:tabs>
        <w:ind w:left="1672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369"/>
        </w:tabs>
        <w:ind w:left="-32456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369"/>
        </w:tabs>
        <w:ind w:left="-32456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369"/>
        </w:tabs>
        <w:ind w:left="-3245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369"/>
        </w:tabs>
        <w:ind w:left="-3245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69"/>
        </w:tabs>
        <w:ind w:left="-324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369"/>
        </w:tabs>
        <w:ind w:left="-32456" w:firstLine="0"/>
      </w:pPr>
      <w:rPr>
        <w:rFonts w:hint="default"/>
      </w:rPr>
    </w:lvl>
  </w:abstractNum>
  <w:abstractNum w:abstractNumId="2">
    <w:nsid w:val="0CFF4CC9"/>
    <w:multiLevelType w:val="hybridMultilevel"/>
    <w:tmpl w:val="16C4D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5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7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8">
    <w:nsid w:val="3B2E19AC"/>
    <w:multiLevelType w:val="singleLevel"/>
    <w:tmpl w:val="032CEB48"/>
    <w:lvl w:ilvl="0">
      <w:start w:val="1"/>
      <w:numFmt w:val="lowerLetter"/>
      <w:lvlRestart w:val="0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color w:val="000000"/>
        <w:sz w:val="18"/>
        <w:szCs w:val="18"/>
      </w:rPr>
    </w:lvl>
  </w:abstractNum>
  <w:abstractNum w:abstractNumId="9">
    <w:nsid w:val="4E9B4FB8"/>
    <w:multiLevelType w:val="hybridMultilevel"/>
    <w:tmpl w:val="A8C88396"/>
    <w:lvl w:ilvl="0" w:tplc="7CF098E2">
      <w:start w:val="1"/>
      <w:numFmt w:val="bullet"/>
      <w:lvlText w:val=""/>
      <w:lvlJc w:val="left"/>
      <w:pPr>
        <w:ind w:left="816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0">
    <w:nsid w:val="5D765424"/>
    <w:multiLevelType w:val="hybridMultilevel"/>
    <w:tmpl w:val="15AA6E6C"/>
    <w:lvl w:ilvl="0" w:tplc="1720AE08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17373C"/>
    <w:multiLevelType w:val="hybridMultilevel"/>
    <w:tmpl w:val="E4F29F58"/>
    <w:lvl w:ilvl="0" w:tplc="9DEC124A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4339C"/>
    <w:multiLevelType w:val="hybridMultilevel"/>
    <w:tmpl w:val="C8F05514"/>
    <w:lvl w:ilvl="0" w:tplc="61C2DB96">
      <w:start w:val="1"/>
      <w:numFmt w:val="lowerLetter"/>
      <w:lvlText w:val="(%1)"/>
      <w:lvlJc w:val="left"/>
      <w:pPr>
        <w:ind w:left="321" w:hanging="321"/>
      </w:pPr>
      <w:rPr>
        <w:rFonts w:ascii="Times New Roman" w:hAnsi="Times New Roman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607" w:hanging="360"/>
      </w:pPr>
    </w:lvl>
    <w:lvl w:ilvl="2" w:tplc="0C09001B" w:tentative="1">
      <w:start w:val="1"/>
      <w:numFmt w:val="lowerRoman"/>
      <w:lvlText w:val="%3."/>
      <w:lvlJc w:val="right"/>
      <w:pPr>
        <w:ind w:left="1327" w:hanging="180"/>
      </w:pPr>
    </w:lvl>
    <w:lvl w:ilvl="3" w:tplc="0C09000F" w:tentative="1">
      <w:start w:val="1"/>
      <w:numFmt w:val="decimal"/>
      <w:lvlText w:val="%4."/>
      <w:lvlJc w:val="left"/>
      <w:pPr>
        <w:ind w:left="2047" w:hanging="360"/>
      </w:pPr>
    </w:lvl>
    <w:lvl w:ilvl="4" w:tplc="0C090019" w:tentative="1">
      <w:start w:val="1"/>
      <w:numFmt w:val="lowerLetter"/>
      <w:lvlText w:val="%5."/>
      <w:lvlJc w:val="left"/>
      <w:pPr>
        <w:ind w:left="2767" w:hanging="360"/>
      </w:pPr>
    </w:lvl>
    <w:lvl w:ilvl="5" w:tplc="0C09001B" w:tentative="1">
      <w:start w:val="1"/>
      <w:numFmt w:val="lowerRoman"/>
      <w:lvlText w:val="%6."/>
      <w:lvlJc w:val="right"/>
      <w:pPr>
        <w:ind w:left="3487" w:hanging="180"/>
      </w:pPr>
    </w:lvl>
    <w:lvl w:ilvl="6" w:tplc="0C09000F" w:tentative="1">
      <w:start w:val="1"/>
      <w:numFmt w:val="decimal"/>
      <w:lvlText w:val="%7."/>
      <w:lvlJc w:val="left"/>
      <w:pPr>
        <w:ind w:left="4207" w:hanging="360"/>
      </w:pPr>
    </w:lvl>
    <w:lvl w:ilvl="7" w:tplc="0C090019" w:tentative="1">
      <w:start w:val="1"/>
      <w:numFmt w:val="lowerLetter"/>
      <w:lvlText w:val="%8."/>
      <w:lvlJc w:val="left"/>
      <w:pPr>
        <w:ind w:left="4927" w:hanging="360"/>
      </w:pPr>
    </w:lvl>
    <w:lvl w:ilvl="8" w:tplc="0C09001B" w:tentative="1">
      <w:start w:val="1"/>
      <w:numFmt w:val="lowerRoman"/>
      <w:lvlText w:val="%9."/>
      <w:lvlJc w:val="right"/>
      <w:pPr>
        <w:ind w:left="5647" w:hanging="180"/>
      </w:pPr>
    </w:lvl>
  </w:abstractNum>
  <w:abstractNum w:abstractNumId="13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8"/>
    <w:lvlOverride w:ilvl="0">
      <w:startOverride w:val="1"/>
    </w:lvlOverride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attachedTemplate r:id="rId1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F8"/>
    <w:rsid w:val="00002D5D"/>
    <w:rsid w:val="00040DCE"/>
    <w:rsid w:val="00096F3A"/>
    <w:rsid w:val="000A51F9"/>
    <w:rsid w:val="000B61AB"/>
    <w:rsid w:val="000C1A75"/>
    <w:rsid w:val="001278D0"/>
    <w:rsid w:val="00131DEB"/>
    <w:rsid w:val="0014239B"/>
    <w:rsid w:val="00145C9D"/>
    <w:rsid w:val="001A02D1"/>
    <w:rsid w:val="001F6126"/>
    <w:rsid w:val="00220BE5"/>
    <w:rsid w:val="002422A3"/>
    <w:rsid w:val="002A3815"/>
    <w:rsid w:val="00301F1C"/>
    <w:rsid w:val="00315E34"/>
    <w:rsid w:val="00326DE2"/>
    <w:rsid w:val="00397D0F"/>
    <w:rsid w:val="003F73CA"/>
    <w:rsid w:val="00440E32"/>
    <w:rsid w:val="00461597"/>
    <w:rsid w:val="00471A71"/>
    <w:rsid w:val="004C283B"/>
    <w:rsid w:val="004D13ED"/>
    <w:rsid w:val="004D5525"/>
    <w:rsid w:val="005035DA"/>
    <w:rsid w:val="00507897"/>
    <w:rsid w:val="00515A85"/>
    <w:rsid w:val="0053343F"/>
    <w:rsid w:val="00541BB3"/>
    <w:rsid w:val="00545F24"/>
    <w:rsid w:val="0055581F"/>
    <w:rsid w:val="0056229A"/>
    <w:rsid w:val="00570154"/>
    <w:rsid w:val="00570B5A"/>
    <w:rsid w:val="005C0B39"/>
    <w:rsid w:val="005C6967"/>
    <w:rsid w:val="005E3562"/>
    <w:rsid w:val="005F7DE0"/>
    <w:rsid w:val="00640346"/>
    <w:rsid w:val="00655ED3"/>
    <w:rsid w:val="00660385"/>
    <w:rsid w:val="00662E65"/>
    <w:rsid w:val="0066665A"/>
    <w:rsid w:val="00675729"/>
    <w:rsid w:val="00681240"/>
    <w:rsid w:val="0069222B"/>
    <w:rsid w:val="00692DD8"/>
    <w:rsid w:val="0069670E"/>
    <w:rsid w:val="006B039D"/>
    <w:rsid w:val="006B7B46"/>
    <w:rsid w:val="006F0CE9"/>
    <w:rsid w:val="007053DB"/>
    <w:rsid w:val="007202A8"/>
    <w:rsid w:val="00783A5E"/>
    <w:rsid w:val="007B029A"/>
    <w:rsid w:val="007D33AA"/>
    <w:rsid w:val="007F7BCF"/>
    <w:rsid w:val="008030EC"/>
    <w:rsid w:val="008035C6"/>
    <w:rsid w:val="00811D6D"/>
    <w:rsid w:val="00844776"/>
    <w:rsid w:val="008806C3"/>
    <w:rsid w:val="008850D9"/>
    <w:rsid w:val="008A4578"/>
    <w:rsid w:val="008C03C3"/>
    <w:rsid w:val="008D3909"/>
    <w:rsid w:val="008D4407"/>
    <w:rsid w:val="008F588A"/>
    <w:rsid w:val="008F6699"/>
    <w:rsid w:val="00902D2D"/>
    <w:rsid w:val="00915804"/>
    <w:rsid w:val="009423F8"/>
    <w:rsid w:val="00942C9E"/>
    <w:rsid w:val="00957285"/>
    <w:rsid w:val="009573AF"/>
    <w:rsid w:val="009752E8"/>
    <w:rsid w:val="0099178F"/>
    <w:rsid w:val="009963ED"/>
    <w:rsid w:val="009D4063"/>
    <w:rsid w:val="009E4B6A"/>
    <w:rsid w:val="00A41BD3"/>
    <w:rsid w:val="00A42E2C"/>
    <w:rsid w:val="00A4484A"/>
    <w:rsid w:val="00A449C2"/>
    <w:rsid w:val="00AA3D6F"/>
    <w:rsid w:val="00AB6F7D"/>
    <w:rsid w:val="00AC7878"/>
    <w:rsid w:val="00AD493E"/>
    <w:rsid w:val="00B06055"/>
    <w:rsid w:val="00B44D8A"/>
    <w:rsid w:val="00B73AC8"/>
    <w:rsid w:val="00B747A7"/>
    <w:rsid w:val="00B9001A"/>
    <w:rsid w:val="00BC559C"/>
    <w:rsid w:val="00BD3BB8"/>
    <w:rsid w:val="00BD503B"/>
    <w:rsid w:val="00C17112"/>
    <w:rsid w:val="00C20400"/>
    <w:rsid w:val="00C24267"/>
    <w:rsid w:val="00C34833"/>
    <w:rsid w:val="00C81D36"/>
    <w:rsid w:val="00CA5D42"/>
    <w:rsid w:val="00CA766A"/>
    <w:rsid w:val="00CB40E1"/>
    <w:rsid w:val="00CF6DB6"/>
    <w:rsid w:val="00D134CA"/>
    <w:rsid w:val="00D13F83"/>
    <w:rsid w:val="00D17204"/>
    <w:rsid w:val="00D33B86"/>
    <w:rsid w:val="00D85185"/>
    <w:rsid w:val="00DA1C8A"/>
    <w:rsid w:val="00DA6B17"/>
    <w:rsid w:val="00DB44F0"/>
    <w:rsid w:val="00DD109E"/>
    <w:rsid w:val="00DD3E18"/>
    <w:rsid w:val="00DF15BB"/>
    <w:rsid w:val="00E12103"/>
    <w:rsid w:val="00E1492C"/>
    <w:rsid w:val="00E15AAE"/>
    <w:rsid w:val="00E21184"/>
    <w:rsid w:val="00E40B8B"/>
    <w:rsid w:val="00E40D13"/>
    <w:rsid w:val="00E5742E"/>
    <w:rsid w:val="00E97ECE"/>
    <w:rsid w:val="00EA265F"/>
    <w:rsid w:val="00ED43FF"/>
    <w:rsid w:val="00EF1D6A"/>
    <w:rsid w:val="00EF2E51"/>
    <w:rsid w:val="00F03C2B"/>
    <w:rsid w:val="00F31E24"/>
    <w:rsid w:val="00F52474"/>
    <w:rsid w:val="00F5669E"/>
    <w:rsid w:val="00F75D33"/>
    <w:rsid w:val="00F954CF"/>
    <w:rsid w:val="00FC1DE9"/>
    <w:rsid w:val="00FC38CF"/>
    <w:rsid w:val="00FC5209"/>
    <w:rsid w:val="00FC6579"/>
    <w:rsid w:val="00FD3FB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1"/>
    <w:qFormat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5C0B39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  <w:style w:type="paragraph" w:customStyle="1" w:styleId="ChartandTableFootnoteAlpha">
    <w:name w:val="Chart and Table Footnote Alpha"/>
    <w:basedOn w:val="Normal"/>
    <w:next w:val="Normal"/>
    <w:rsid w:val="00FC1DE9"/>
    <w:pPr>
      <w:keepLines/>
      <w:numPr>
        <w:numId w:val="13"/>
      </w:numPr>
      <w:spacing w:before="240" w:after="0" w:line="240" w:lineRule="auto"/>
      <w:jc w:val="both"/>
    </w:pPr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Tablefootnote">
    <w:name w:val="Table footnote"/>
    <w:basedOn w:val="ChartandTableFootnoteAlpha"/>
    <w:link w:val="TablefootnoteChar"/>
    <w:qFormat/>
    <w:rsid w:val="00FC1DE9"/>
  </w:style>
  <w:style w:type="character" w:customStyle="1" w:styleId="TablefootnoteChar">
    <w:name w:val="Table footnote Char"/>
    <w:basedOn w:val="DefaultParagraphFont"/>
    <w:link w:val="Tablefootnote"/>
    <w:rsid w:val="00FC1DE9"/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Tableheading0">
    <w:name w:val="Table heading"/>
    <w:basedOn w:val="Caption"/>
    <w:link w:val="TableheadingChar"/>
    <w:qFormat/>
    <w:rsid w:val="008806C3"/>
    <w:pPr>
      <w:keepLines/>
      <w:spacing w:before="240" w:after="0" w:line="260" w:lineRule="exac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ableheadingChar">
    <w:name w:val="Table heading Char"/>
    <w:basedOn w:val="CaptionChar"/>
    <w:link w:val="Tableheading0"/>
    <w:rsid w:val="008806C3"/>
    <w:rPr>
      <w:rFonts w:ascii="Times New Roman" w:eastAsia="Times New Roman" w:hAnsi="Times New Roman" w:cs="Times New Roman"/>
      <w:b/>
      <w:bCs/>
      <w:color w:val="1F497D" w:themeColor="text2"/>
      <w:spacing w:val="-4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662E65"/>
    <w:pPr>
      <w:spacing w:before="70" w:after="70" w:line="260" w:lineRule="atLeast"/>
      <w:ind w:left="113" w:right="113"/>
    </w:pPr>
    <w:rPr>
      <w:rFonts w:eastAsia="Times New Roman" w:cs="Times New Roman"/>
      <w:lang w:eastAsia="en-AU"/>
    </w:rPr>
    <w:tblPr>
      <w:tblStyleRowBandSize w:val="1"/>
      <w:tblStyleColBandSize w:val="1"/>
      <w:tblBorders>
        <w:top w:val="single" w:sz="4" w:space="0" w:color="788184"/>
        <w:left w:val="single" w:sz="4" w:space="0" w:color="788184"/>
        <w:bottom w:val="single" w:sz="4" w:space="0" w:color="788184"/>
        <w:right w:val="single" w:sz="4" w:space="0" w:color="788184"/>
        <w:insideH w:val="single" w:sz="4" w:space="0" w:color="788184"/>
        <w:insideV w:val="single" w:sz="4" w:space="0" w:color="788184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left"/>
      </w:pPr>
      <w:rPr>
        <w:rFonts w:asciiTheme="minorHAnsi" w:hAnsiTheme="minorHAnsi"/>
        <w:b/>
        <w:i w:val="0"/>
        <w:color w:val="auto"/>
        <w:sz w:val="22"/>
      </w:rPr>
      <w:tblPr/>
      <w:tcPr>
        <w:shd w:val="clear" w:color="auto" w:fill="D7DDE9"/>
        <w:vAlign w:val="top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qFormat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qFormat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qFormat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1"/>
    <w:qFormat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paragraph" w:customStyle="1" w:styleId="Proformatext">
    <w:name w:val="Pro forma text"/>
    <w:basedOn w:val="Normal"/>
    <w:rsid w:val="005C0B39"/>
    <w:pPr>
      <w:spacing w:before="80" w:after="80" w:line="260" w:lineRule="exact"/>
    </w:pPr>
    <w:rPr>
      <w:rFonts w:ascii="Book Antiqua" w:eastAsia="Times New Roman" w:hAnsi="Book Antiqua" w:cs="Times New Roman"/>
      <w:sz w:val="20"/>
      <w:szCs w:val="20"/>
      <w:lang w:eastAsia="en-AU"/>
    </w:rPr>
  </w:style>
  <w:style w:type="paragraph" w:customStyle="1" w:styleId="ChartandTableFootnoteAlpha">
    <w:name w:val="Chart and Table Footnote Alpha"/>
    <w:basedOn w:val="Normal"/>
    <w:next w:val="Normal"/>
    <w:rsid w:val="00FC1DE9"/>
    <w:pPr>
      <w:keepLines/>
      <w:numPr>
        <w:numId w:val="13"/>
      </w:numPr>
      <w:spacing w:before="240" w:after="0" w:line="240" w:lineRule="auto"/>
      <w:jc w:val="both"/>
    </w:pPr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Tablefootnote">
    <w:name w:val="Table footnote"/>
    <w:basedOn w:val="ChartandTableFootnoteAlpha"/>
    <w:link w:val="TablefootnoteChar"/>
    <w:qFormat/>
    <w:rsid w:val="00FC1DE9"/>
  </w:style>
  <w:style w:type="character" w:customStyle="1" w:styleId="TablefootnoteChar">
    <w:name w:val="Table footnote Char"/>
    <w:basedOn w:val="DefaultParagraphFont"/>
    <w:link w:val="Tablefootnote"/>
    <w:rsid w:val="00FC1DE9"/>
    <w:rPr>
      <w:rFonts w:ascii="Arial" w:eastAsia="Times New Roman" w:hAnsi="Arial" w:cs="Times New Roman"/>
      <w:sz w:val="16"/>
      <w:szCs w:val="20"/>
      <w:lang w:eastAsia="en-AU"/>
    </w:rPr>
  </w:style>
  <w:style w:type="paragraph" w:customStyle="1" w:styleId="Tableheading0">
    <w:name w:val="Table heading"/>
    <w:basedOn w:val="Caption"/>
    <w:link w:val="TableheadingChar"/>
    <w:qFormat/>
    <w:rsid w:val="008806C3"/>
    <w:pPr>
      <w:keepLines/>
      <w:spacing w:before="240" w:after="0" w:line="260" w:lineRule="exact"/>
      <w:jc w:val="both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TableheadingChar">
    <w:name w:val="Table heading Char"/>
    <w:basedOn w:val="CaptionChar"/>
    <w:link w:val="Tableheading0"/>
    <w:rsid w:val="008806C3"/>
    <w:rPr>
      <w:rFonts w:ascii="Times New Roman" w:eastAsia="Times New Roman" w:hAnsi="Times New Roman" w:cs="Times New Roman"/>
      <w:b/>
      <w:bCs/>
      <w:color w:val="1F497D" w:themeColor="text2"/>
      <w:spacing w:val="-4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B0B5-B7BD-49AA-A11B-7BD5A460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120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GRN050 - Seizing the Tourism Boom - 29.06.2016</vt:lpstr>
    </vt:vector>
  </TitlesOfParts>
  <Company>Parliament of Australia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GRN050 - Seizing the Tourism Boom - 29.06.2016</dc:title>
  <dc:creator>Parliamentary Budget Office</dc:creator>
  <cp:lastModifiedBy>Milligan, Louise (PBO)</cp:lastModifiedBy>
  <cp:revision>36</cp:revision>
  <cp:lastPrinted>2016-04-20T06:27:00Z</cp:lastPrinted>
  <dcterms:created xsi:type="dcterms:W3CDTF">2016-06-21T01:41:00Z</dcterms:created>
  <dcterms:modified xsi:type="dcterms:W3CDTF">2016-06-29T12:11:00Z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