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752AE6" w:rsidP="00C17112">
      <w:pPr>
        <w:spacing w:before="1560" w:after="0" w:line="240" w:lineRule="auto"/>
        <w:rPr>
          <w:rFonts w:ascii="Times New Roman" w:hAnsi="Times New Roman" w:cs="Times New Roman"/>
          <w:sz w:val="24"/>
          <w:szCs w:val="24"/>
        </w:rPr>
      </w:pPr>
      <w:r>
        <w:rPr>
          <w:rFonts w:ascii="Times New Roman" w:hAnsi="Times New Roman" w:cs="Times New Roman"/>
          <w:sz w:val="24"/>
          <w:szCs w:val="24"/>
        </w:rPr>
        <w:t>Senator Richard Di Natale</w:t>
      </w:r>
    </w:p>
    <w:p w:rsidR="00EA0BFB" w:rsidRDefault="00EA0BFB" w:rsidP="00EA0BFB">
      <w:pPr>
        <w:spacing w:before="0" w:after="0" w:line="240" w:lineRule="auto"/>
        <w:rPr>
          <w:rFonts w:ascii="Times New Roman" w:hAnsi="Times New Roman" w:cs="Times New Roman"/>
          <w:sz w:val="24"/>
          <w:szCs w:val="24"/>
        </w:rPr>
      </w:pPr>
      <w:r w:rsidRPr="004343A3">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EA0BFB" w:rsidRPr="00002D5D" w:rsidRDefault="00040DCE" w:rsidP="00EA0BFB">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EA0BFB" w:rsidRPr="004343A3">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r w:rsidR="005372FF" w:rsidRPr="005372FF">
        <w:rPr>
          <w:i/>
        </w:rPr>
        <w:t xml:space="preserve">Sustainable Water Institute </w:t>
      </w:r>
      <w:r w:rsidRPr="00002D5D">
        <w:t xml:space="preserve">(letter of </w:t>
      </w:r>
      <w:r w:rsidR="00F5356C">
        <w:t>1 July</w:t>
      </w:r>
      <w:r w:rsidR="00EA0BFB">
        <w:t xml:space="preserve"> </w:t>
      </w:r>
      <w:r w:rsidRPr="00002D5D">
        <w:t>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Pr="00002D5D">
        <w:t>Brown on (02)</w:t>
      </w:r>
      <w:r w:rsidR="009365CE">
        <w:t> </w:t>
      </w:r>
      <w:r w:rsidRPr="00002D5D">
        <w:t>6277</w:t>
      </w:r>
      <w:r w:rsidR="009365CE">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5B515F" w:rsidP="005B515F">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F5356C">
        <w:rPr>
          <w:rFonts w:ascii="Times New Roman" w:hAnsi="Times New Roman" w:cs="Times New Roman"/>
          <w:sz w:val="24"/>
          <w:szCs w:val="24"/>
        </w:rPr>
        <w:t>July</w:t>
      </w:r>
      <w:r w:rsidR="00F5356C"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75751E" w:rsidRDefault="0075751E" w:rsidP="0075751E">
      <w:pPr>
        <w:pStyle w:val="Heading1"/>
      </w:pPr>
      <w:r w:rsidRPr="00002D5D">
        <w:lastRenderedPageBreak/>
        <w:t>Policy costing—during the caretaker period for the 2016 general election</w:t>
      </w:r>
    </w:p>
    <w:tbl>
      <w:tblPr>
        <w:tblStyle w:val="TableGrid"/>
        <w:tblW w:w="8340" w:type="dxa"/>
        <w:tblCellMar>
          <w:left w:w="113" w:type="dxa"/>
          <w:right w:w="113" w:type="dxa"/>
        </w:tblCellMar>
        <w:tblLook w:val="04A0" w:firstRow="1" w:lastRow="0" w:firstColumn="1" w:lastColumn="0" w:noHBand="0" w:noVBand="1"/>
      </w:tblPr>
      <w:tblGrid>
        <w:gridCol w:w="3005"/>
        <w:gridCol w:w="5335"/>
      </w:tblGrid>
      <w:tr w:rsidR="0075751E" w:rsidTr="00785E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75751E" w:rsidRDefault="0075751E" w:rsidP="005B515F">
            <w:pPr>
              <w:pStyle w:val="BodyText"/>
              <w:spacing w:before="115" w:after="115"/>
              <w:ind w:left="0" w:right="0"/>
            </w:pPr>
            <w:r>
              <w:t>Name of proposal:</w:t>
            </w:r>
          </w:p>
        </w:tc>
        <w:tc>
          <w:tcPr>
            <w:tcW w:w="5335" w:type="dxa"/>
          </w:tcPr>
          <w:p w:rsidR="0075751E" w:rsidRDefault="005372FF" w:rsidP="005B515F">
            <w:pPr>
              <w:pStyle w:val="BodyText"/>
              <w:spacing w:before="115" w:after="115"/>
              <w:ind w:left="0" w:right="0"/>
              <w:cnfStyle w:val="100000000000" w:firstRow="1" w:lastRow="0" w:firstColumn="0" w:lastColumn="0" w:oddVBand="0" w:evenVBand="0" w:oddHBand="0" w:evenHBand="0" w:firstRowFirstColumn="0" w:firstRowLastColumn="0" w:lastRowFirstColumn="0" w:lastRowLastColumn="0"/>
            </w:pPr>
            <w:r w:rsidRPr="00B323E1">
              <w:t>Sustainable Water Institute</w:t>
            </w:r>
          </w:p>
        </w:tc>
      </w:tr>
      <w:tr w:rsidR="0075751E" w:rsidTr="0078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75751E" w:rsidRDefault="0075751E" w:rsidP="005B515F">
            <w:pPr>
              <w:pStyle w:val="BodyText"/>
              <w:spacing w:before="115" w:after="115"/>
              <w:ind w:left="0" w:right="0"/>
            </w:pPr>
            <w:r>
              <w:t>Summary of proposal:</w:t>
            </w:r>
          </w:p>
        </w:tc>
        <w:tc>
          <w:tcPr>
            <w:tcW w:w="5335" w:type="dxa"/>
          </w:tcPr>
          <w:p w:rsidR="008E407E" w:rsidRDefault="006E1613" w:rsidP="005B515F">
            <w:pPr>
              <w:spacing w:before="115" w:after="115"/>
              <w:ind w:left="0" w:right="0"/>
              <w:cnfStyle w:val="000000100000" w:firstRow="0" w:lastRow="0" w:firstColumn="0" w:lastColumn="0" w:oddVBand="0" w:evenVBand="0" w:oddHBand="1" w:evenHBand="0" w:firstRowFirstColumn="0" w:firstRowLastColumn="0" w:lastRowFirstColumn="0" w:lastRowLastColumn="0"/>
            </w:pPr>
            <w:r w:rsidRPr="003B6093">
              <w:t>The proposal would establish a</w:t>
            </w:r>
            <w:r w:rsidR="008E407E">
              <w:t>n independent</w:t>
            </w:r>
            <w:r w:rsidR="00734270">
              <w:t>,</w:t>
            </w:r>
            <w:r w:rsidRPr="003B6093">
              <w:t xml:space="preserve"> national Sus</w:t>
            </w:r>
            <w:r w:rsidR="001C1729">
              <w:t>tainable Water Institute</w:t>
            </w:r>
            <w:r w:rsidR="008E407E">
              <w:t xml:space="preserve"> within the Environment portfolio</w:t>
            </w:r>
            <w:r w:rsidR="001C1729">
              <w:t xml:space="preserve"> to </w:t>
            </w:r>
            <w:r w:rsidRPr="003B6093">
              <w:t>administer a</w:t>
            </w:r>
            <w:r w:rsidR="001C1729">
              <w:t xml:space="preserve"> fund</w:t>
            </w:r>
            <w:r w:rsidRPr="003B6093">
              <w:t xml:space="preserve"> </w:t>
            </w:r>
            <w:r w:rsidR="001C1729" w:rsidRPr="003B6093">
              <w:t>for key water innovation programs</w:t>
            </w:r>
            <w:r w:rsidR="001C1729">
              <w:t>.</w:t>
            </w:r>
            <w:r w:rsidR="00BF786B">
              <w:t xml:space="preserve"> </w:t>
            </w:r>
            <w:r w:rsidR="00E1119F">
              <w:t xml:space="preserve"> </w:t>
            </w:r>
            <w:r w:rsidR="008E407E">
              <w:t>F</w:t>
            </w:r>
            <w:r w:rsidR="001C1729">
              <w:t>unding w</w:t>
            </w:r>
            <w:r w:rsidR="00E1119F">
              <w:t>ould</w:t>
            </w:r>
            <w:r w:rsidR="001C1729">
              <w:t xml:space="preserve"> be $25 </w:t>
            </w:r>
            <w:r w:rsidRPr="003B6093">
              <w:t>million</w:t>
            </w:r>
            <w:r w:rsidR="001C1729">
              <w:t xml:space="preserve"> for each year </w:t>
            </w:r>
            <w:r w:rsidR="00E1119F">
              <w:t xml:space="preserve">over </w:t>
            </w:r>
            <w:r w:rsidR="001C1729">
              <w:t xml:space="preserve">the period </w:t>
            </w:r>
            <w:r>
              <w:t>2017-18 to 2020-21</w:t>
            </w:r>
            <w:r w:rsidR="0002580B">
              <w:t>.</w:t>
            </w:r>
          </w:p>
          <w:p w:rsidR="0075751E" w:rsidRDefault="006E1613" w:rsidP="005B515F">
            <w:pPr>
              <w:pStyle w:val="BodyText"/>
              <w:spacing w:before="115" w:after="115"/>
              <w:ind w:left="0" w:right="0"/>
              <w:cnfStyle w:val="000000100000" w:firstRow="0" w:lastRow="0" w:firstColumn="0" w:lastColumn="0" w:oddVBand="0" w:evenVBand="0" w:oddHBand="1" w:evenHBand="0" w:firstRowFirstColumn="0" w:firstRowLastColumn="0" w:lastRowFirstColumn="0" w:lastRowLastColumn="0"/>
            </w:pPr>
            <w:r w:rsidRPr="003B6093">
              <w:t xml:space="preserve">The proposal would have effect from 1 </w:t>
            </w:r>
            <w:r w:rsidR="008E407E">
              <w:t>September</w:t>
            </w:r>
            <w:r w:rsidR="008E407E" w:rsidRPr="003B6093">
              <w:t xml:space="preserve"> </w:t>
            </w:r>
            <w:r w:rsidRPr="003B6093">
              <w:t>201</w:t>
            </w:r>
            <w:r w:rsidR="008E407E">
              <w:t>6</w:t>
            </w:r>
            <w:r w:rsidRPr="003B6093">
              <w:t>.</w:t>
            </w:r>
          </w:p>
        </w:tc>
      </w:tr>
      <w:tr w:rsidR="0075751E" w:rsidTr="00785E06">
        <w:tc>
          <w:tcPr>
            <w:cnfStyle w:val="001000000000" w:firstRow="0" w:lastRow="0" w:firstColumn="1" w:lastColumn="0" w:oddVBand="0" w:evenVBand="0" w:oddHBand="0" w:evenHBand="0" w:firstRowFirstColumn="0" w:firstRowLastColumn="0" w:lastRowFirstColumn="0" w:lastRowLastColumn="0"/>
            <w:tcW w:w="3005" w:type="dxa"/>
          </w:tcPr>
          <w:p w:rsidR="0075751E" w:rsidRDefault="0075751E" w:rsidP="005B515F">
            <w:pPr>
              <w:pStyle w:val="BodyText"/>
              <w:spacing w:before="115" w:after="115"/>
              <w:ind w:left="0" w:right="0"/>
            </w:pPr>
            <w:r>
              <w:t>Person/party requesting costing:</w:t>
            </w:r>
          </w:p>
        </w:tc>
        <w:tc>
          <w:tcPr>
            <w:tcW w:w="5335" w:type="dxa"/>
          </w:tcPr>
          <w:p w:rsidR="0075751E" w:rsidRDefault="0075751E" w:rsidP="005B515F">
            <w:pPr>
              <w:pStyle w:val="BodyText"/>
              <w:spacing w:before="115" w:after="115"/>
              <w:ind w:left="0" w:right="0"/>
              <w:cnfStyle w:val="000000000000" w:firstRow="0" w:lastRow="0" w:firstColumn="0" w:lastColumn="0" w:oddVBand="0" w:evenVBand="0" w:oddHBand="0" w:evenHBand="0" w:firstRowFirstColumn="0" w:firstRowLastColumn="0" w:lastRowFirstColumn="0" w:lastRowLastColumn="0"/>
            </w:pPr>
            <w:r w:rsidRPr="00AA7648">
              <w:t>Senator Richard Di Natale, Australian Greens</w:t>
            </w:r>
          </w:p>
        </w:tc>
      </w:tr>
      <w:tr w:rsidR="00114FBC" w:rsidTr="0078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14FBC" w:rsidRDefault="00114FBC" w:rsidP="005B515F">
            <w:pPr>
              <w:pStyle w:val="BodyText"/>
              <w:spacing w:before="115" w:after="115"/>
              <w:ind w:left="0" w:right="0"/>
            </w:pPr>
            <w:r>
              <w:t>Date of public release of policy:</w:t>
            </w:r>
          </w:p>
        </w:tc>
        <w:tc>
          <w:tcPr>
            <w:tcW w:w="5335" w:type="dxa"/>
          </w:tcPr>
          <w:p w:rsidR="00114FBC" w:rsidRPr="00C17112" w:rsidRDefault="008E407E" w:rsidP="005B515F">
            <w:pPr>
              <w:pStyle w:val="BodyText"/>
              <w:spacing w:before="115" w:after="115"/>
              <w:ind w:left="0" w:right="0"/>
              <w:cnfStyle w:val="000000100000" w:firstRow="0" w:lastRow="0" w:firstColumn="0" w:lastColumn="0" w:oddVBand="0" w:evenVBand="0" w:oddHBand="1" w:evenHBand="0" w:firstRowFirstColumn="0" w:firstRowLastColumn="0" w:lastRowFirstColumn="0" w:lastRowLastColumn="0"/>
            </w:pPr>
            <w:r w:rsidRPr="0036138E">
              <w:t xml:space="preserve">21 </w:t>
            </w:r>
            <w:r w:rsidR="00114FBC" w:rsidRPr="0036138E">
              <w:t>June 2016</w:t>
            </w:r>
          </w:p>
        </w:tc>
      </w:tr>
      <w:tr w:rsidR="0075751E" w:rsidTr="00785E06">
        <w:tc>
          <w:tcPr>
            <w:cnfStyle w:val="001000000000" w:firstRow="0" w:lastRow="0" w:firstColumn="1" w:lastColumn="0" w:oddVBand="0" w:evenVBand="0" w:oddHBand="0" w:evenHBand="0" w:firstRowFirstColumn="0" w:firstRowLastColumn="0" w:lastRowFirstColumn="0" w:lastRowLastColumn="0"/>
            <w:tcW w:w="3005" w:type="dxa"/>
          </w:tcPr>
          <w:p w:rsidR="0075751E" w:rsidRDefault="0075751E" w:rsidP="005B515F">
            <w:pPr>
              <w:pStyle w:val="BodyText"/>
              <w:spacing w:before="115" w:after="115"/>
              <w:ind w:left="0" w:right="0"/>
            </w:pPr>
            <w:r>
              <w:t>Date costing request received:</w:t>
            </w:r>
          </w:p>
        </w:tc>
        <w:tc>
          <w:tcPr>
            <w:tcW w:w="5335" w:type="dxa"/>
          </w:tcPr>
          <w:p w:rsidR="0075751E" w:rsidRPr="00F5356C" w:rsidRDefault="00F5356C" w:rsidP="005B515F">
            <w:pPr>
              <w:pStyle w:val="BodyText"/>
              <w:spacing w:before="115" w:after="115"/>
              <w:ind w:left="0" w:right="0"/>
              <w:cnfStyle w:val="000000000000" w:firstRow="0" w:lastRow="0" w:firstColumn="0" w:lastColumn="0" w:oddVBand="0" w:evenVBand="0" w:oddHBand="0" w:evenHBand="0" w:firstRowFirstColumn="0" w:firstRowLastColumn="0" w:lastRowFirstColumn="0" w:lastRowLastColumn="0"/>
            </w:pPr>
            <w:r w:rsidRPr="0036138E">
              <w:t>1 July</w:t>
            </w:r>
            <w:r w:rsidR="0075751E" w:rsidRPr="0036138E">
              <w:t xml:space="preserve"> 2016</w:t>
            </w:r>
          </w:p>
        </w:tc>
      </w:tr>
      <w:tr w:rsidR="0075751E" w:rsidTr="0078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75751E" w:rsidRDefault="0075751E" w:rsidP="005B515F">
            <w:pPr>
              <w:pStyle w:val="BodyText"/>
              <w:spacing w:before="115" w:after="115"/>
              <w:ind w:left="0" w:right="0"/>
            </w:pPr>
            <w:r>
              <w:t>Date costing completed</w:t>
            </w:r>
            <w:r w:rsidR="005B515F">
              <w:t>:</w:t>
            </w:r>
          </w:p>
        </w:tc>
        <w:tc>
          <w:tcPr>
            <w:tcW w:w="5335" w:type="dxa"/>
          </w:tcPr>
          <w:p w:rsidR="0075751E" w:rsidRPr="00F5356C" w:rsidRDefault="00F5356C" w:rsidP="005B515F">
            <w:pPr>
              <w:pStyle w:val="BodyText"/>
              <w:spacing w:before="115" w:after="115"/>
              <w:ind w:left="0" w:right="0"/>
              <w:cnfStyle w:val="000000100000" w:firstRow="0" w:lastRow="0" w:firstColumn="0" w:lastColumn="0" w:oddVBand="0" w:evenVBand="0" w:oddHBand="1" w:evenHBand="0" w:firstRowFirstColumn="0" w:firstRowLastColumn="0" w:lastRowFirstColumn="0" w:lastRowLastColumn="0"/>
            </w:pPr>
            <w:r w:rsidRPr="0036138E">
              <w:t>1 July 2016</w:t>
            </w:r>
          </w:p>
        </w:tc>
      </w:tr>
      <w:tr w:rsidR="00BD75A2" w:rsidTr="00785E06">
        <w:tc>
          <w:tcPr>
            <w:cnfStyle w:val="001000000000" w:firstRow="0" w:lastRow="0" w:firstColumn="1" w:lastColumn="0" w:oddVBand="0" w:evenVBand="0" w:oddHBand="0" w:evenHBand="0" w:firstRowFirstColumn="0" w:firstRowLastColumn="0" w:lastRowFirstColumn="0" w:lastRowLastColumn="0"/>
            <w:tcW w:w="3005" w:type="dxa"/>
          </w:tcPr>
          <w:p w:rsidR="00BD75A2" w:rsidRDefault="00BD75A2" w:rsidP="005B515F">
            <w:pPr>
              <w:pStyle w:val="BodyText"/>
              <w:spacing w:before="115" w:after="115"/>
              <w:ind w:left="0" w:right="0"/>
            </w:pPr>
            <w:r>
              <w:t>Additional information requested (including date):</w:t>
            </w:r>
          </w:p>
        </w:tc>
        <w:tc>
          <w:tcPr>
            <w:tcW w:w="5335" w:type="dxa"/>
          </w:tcPr>
          <w:p w:rsidR="00BD75A2" w:rsidRPr="00BD75A2" w:rsidRDefault="00BD75A2" w:rsidP="005B515F">
            <w:pPr>
              <w:pStyle w:val="BodyText"/>
              <w:spacing w:before="115" w:after="115"/>
              <w:ind w:left="0" w:right="0"/>
              <w:cnfStyle w:val="000000000000" w:firstRow="0" w:lastRow="0" w:firstColumn="0" w:lastColumn="0" w:oddVBand="0" w:evenVBand="0" w:oddHBand="0" w:evenHBand="0" w:firstRowFirstColumn="0" w:firstRowLastColumn="0" w:lastRowFirstColumn="0" w:lastRowLastColumn="0"/>
            </w:pPr>
            <w:r>
              <w:t xml:space="preserve">On </w:t>
            </w:r>
            <w:r w:rsidRPr="00850CB6">
              <w:t>1 July 2016</w:t>
            </w:r>
            <w:r>
              <w:t xml:space="preserve"> the Parliamentary Budget Office sought clarification </w:t>
            </w:r>
            <w:r w:rsidR="00E1119F">
              <w:t xml:space="preserve">from the office of Senator Di Natale (the office) </w:t>
            </w:r>
            <w:r>
              <w:t>on the start date for the Sustainable Water Institute administered funding.</w:t>
            </w:r>
          </w:p>
        </w:tc>
      </w:tr>
      <w:tr w:rsidR="00BD75A2" w:rsidTr="0078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BD75A2" w:rsidRDefault="00BD75A2" w:rsidP="005B515F">
            <w:pPr>
              <w:pStyle w:val="BodyText"/>
              <w:spacing w:before="115" w:after="115"/>
              <w:ind w:left="0" w:right="0"/>
            </w:pPr>
            <w:r>
              <w:t>Additional information received (including date):</w:t>
            </w:r>
          </w:p>
        </w:tc>
        <w:tc>
          <w:tcPr>
            <w:tcW w:w="5335" w:type="dxa"/>
          </w:tcPr>
          <w:p w:rsidR="00BD75A2" w:rsidRPr="00BD75A2" w:rsidRDefault="00BD75A2" w:rsidP="005B515F">
            <w:pPr>
              <w:pStyle w:val="BodyText"/>
              <w:spacing w:before="115" w:after="115"/>
              <w:ind w:left="0" w:right="0"/>
              <w:cnfStyle w:val="000000100000" w:firstRow="0" w:lastRow="0" w:firstColumn="0" w:lastColumn="0" w:oddVBand="0" w:evenVBand="0" w:oddHBand="1" w:evenHBand="0" w:firstRowFirstColumn="0" w:firstRowLastColumn="0" w:lastRowFirstColumn="0" w:lastRowLastColumn="0"/>
            </w:pPr>
            <w:r>
              <w:t xml:space="preserve">On 1 July </w:t>
            </w:r>
            <w:r w:rsidR="008E407E">
              <w:t>2016 the office confirmed that the start date for Sustainable Water Institute administered funding would be 1 July 2017.</w:t>
            </w:r>
          </w:p>
        </w:tc>
      </w:tr>
      <w:tr w:rsidR="0075751E" w:rsidTr="00785E06">
        <w:tc>
          <w:tcPr>
            <w:cnfStyle w:val="001000000000" w:firstRow="0" w:lastRow="0" w:firstColumn="1" w:lastColumn="0" w:oddVBand="0" w:evenVBand="0" w:oddHBand="0" w:evenHBand="0" w:firstRowFirstColumn="0" w:firstRowLastColumn="0" w:lastRowFirstColumn="0" w:lastRowLastColumn="0"/>
            <w:tcW w:w="3005" w:type="dxa"/>
          </w:tcPr>
          <w:p w:rsidR="0075751E" w:rsidRPr="00220BE5" w:rsidRDefault="0075751E" w:rsidP="005B515F">
            <w:pPr>
              <w:pStyle w:val="BodyText"/>
              <w:spacing w:before="115" w:after="115"/>
              <w:ind w:left="0" w:right="0"/>
            </w:pPr>
            <w:r w:rsidRPr="00220BE5">
              <w:t>Expiry date for the costing:</w:t>
            </w:r>
          </w:p>
        </w:tc>
        <w:tc>
          <w:tcPr>
            <w:tcW w:w="5335" w:type="dxa"/>
          </w:tcPr>
          <w:p w:rsidR="0075751E" w:rsidRPr="00220BE5" w:rsidRDefault="00E60FF6" w:rsidP="005B515F">
            <w:pPr>
              <w:pStyle w:val="BodyText"/>
              <w:spacing w:before="115" w:after="115"/>
              <w:ind w:left="0" w:right="0"/>
              <w:cnfStyle w:val="000000000000" w:firstRow="0" w:lastRow="0" w:firstColumn="0" w:lastColumn="0" w:oddVBand="0" w:evenVBand="0" w:oddHBand="0" w:evenHBand="0" w:firstRowFirstColumn="0" w:firstRowLastColumn="0" w:lastRowFirstColumn="0" w:lastRowLastColumn="0"/>
            </w:pPr>
            <w:r>
              <w:t>R</w:t>
            </w:r>
            <w:r w:rsidR="0075751E" w:rsidRPr="00220BE5">
              <w:t xml:space="preserve">elease of </w:t>
            </w:r>
            <w:r w:rsidR="0075751E">
              <w:t>the</w:t>
            </w:r>
            <w:r>
              <w:t xml:space="preserve"> next economic and fiscal outlook report</w:t>
            </w:r>
          </w:p>
        </w:tc>
      </w:tr>
    </w:tbl>
    <w:p w:rsidR="0075751E" w:rsidRPr="00002D5D" w:rsidRDefault="0075751E" w:rsidP="0075751E">
      <w:pPr>
        <w:pStyle w:val="Heading2"/>
      </w:pPr>
      <w:r w:rsidRPr="00002D5D">
        <w:t>Costing overview</w:t>
      </w:r>
    </w:p>
    <w:p w:rsidR="00013D19" w:rsidRDefault="00013D19" w:rsidP="00013D19">
      <w:pPr>
        <w:autoSpaceDE w:val="0"/>
        <w:autoSpaceDN w:val="0"/>
        <w:adjustRightInd w:val="0"/>
      </w:pPr>
      <w:r>
        <w:t>The proposal would be expected to decrease the fiscal and underlying cash balances by $81.2 million over the 201</w:t>
      </w:r>
      <w:r w:rsidR="00717FC7">
        <w:t>6-17 Budget forward estimates</w:t>
      </w:r>
      <w:r w:rsidR="00BF786B">
        <w:t xml:space="preserve"> period</w:t>
      </w:r>
      <w:r w:rsidR="00717FC7">
        <w:t xml:space="preserve">. </w:t>
      </w:r>
      <w:r>
        <w:t xml:space="preserve"> Th</w:t>
      </w:r>
      <w:r w:rsidR="00717FC7">
        <w:t>is</w:t>
      </w:r>
      <w:r>
        <w:t xml:space="preserve"> impact is due to an increase in administered</w:t>
      </w:r>
      <w:r w:rsidR="00717FC7">
        <w:t xml:space="preserve"> expenses of $75</w:t>
      </w:r>
      <w:r w:rsidR="00C648AE">
        <w:t>.0</w:t>
      </w:r>
      <w:r w:rsidR="00717FC7">
        <w:t xml:space="preserve"> million </w:t>
      </w:r>
      <w:r>
        <w:t>and departmental expenses</w:t>
      </w:r>
      <w:r w:rsidR="00717FC7">
        <w:t xml:space="preserve"> of $6.2 million</w:t>
      </w:r>
      <w:r>
        <w:t>.</w:t>
      </w:r>
    </w:p>
    <w:p w:rsidR="00013D19" w:rsidRDefault="00013D19" w:rsidP="00013D19">
      <w:r>
        <w:t xml:space="preserve">The proposal would have an impact </w:t>
      </w:r>
      <w:r w:rsidR="0036138E">
        <w:t>$26.7</w:t>
      </w:r>
      <w:r w:rsidR="003F71CD">
        <w:t> million in 2020</w:t>
      </w:r>
      <w:r w:rsidR="003F71CD">
        <w:noBreakHyphen/>
        <w:t>21</w:t>
      </w:r>
      <w:r>
        <w:t xml:space="preserve">.  </w:t>
      </w:r>
      <w:r w:rsidR="00717FC7">
        <w:t>A breakdown of the</w:t>
      </w:r>
      <w:r>
        <w:t xml:space="preserve"> financial implications of this proposal </w:t>
      </w:r>
      <w:r w:rsidR="003F71CD">
        <w:t>over the period</w:t>
      </w:r>
      <w:r w:rsidR="00734270">
        <w:t xml:space="preserve"> 2016-17 to 2020-21</w:t>
      </w:r>
      <w:r w:rsidR="003F71CD">
        <w:t xml:space="preserve"> </w:t>
      </w:r>
      <w:r w:rsidR="00E60FF6">
        <w:t>is</w:t>
      </w:r>
      <w:r>
        <w:t xml:space="preserve"> provided at </w:t>
      </w:r>
      <w:r w:rsidRPr="00BA6D7B">
        <w:rPr>
          <w:u w:val="single"/>
        </w:rPr>
        <w:t>Attachment</w:t>
      </w:r>
      <w:r w:rsidR="00734270" w:rsidRPr="0097253E">
        <w:rPr>
          <w:u w:val="single"/>
        </w:rPr>
        <w:t> </w:t>
      </w:r>
      <w:r w:rsidRPr="00BA6D7B">
        <w:rPr>
          <w:u w:val="single"/>
        </w:rPr>
        <w:t>A</w:t>
      </w:r>
      <w:r>
        <w:t>.</w:t>
      </w:r>
    </w:p>
    <w:p w:rsidR="00013D19" w:rsidRDefault="00013D19" w:rsidP="00013D19">
      <w:r w:rsidRPr="00013D19">
        <w:lastRenderedPageBreak/>
        <w:t>This costing is considered to be of high reliability as the estimates are based on capped administered funding with departmental funding comparable to similar programs.</w:t>
      </w:r>
    </w:p>
    <w:p w:rsidR="0075751E" w:rsidRPr="00FC6579" w:rsidRDefault="0075751E" w:rsidP="0075751E">
      <w:pPr>
        <w:pStyle w:val="Captionheading"/>
      </w:pPr>
      <w:r w:rsidRPr="00FC6579">
        <w:t>Table 1: Financial implications (outturn prices)</w:t>
      </w:r>
      <w:r w:rsidR="0093546A">
        <w:rPr>
          <w:vertAlign w:val="superscript"/>
        </w:rPr>
        <w:t>(a)(b)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75751E" w:rsidRPr="00B73AC8" w:rsidTr="00431D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75751E" w:rsidRPr="00B73AC8" w:rsidRDefault="0075751E" w:rsidP="005B515F">
            <w:pPr>
              <w:pStyle w:val="TableText"/>
              <w:keepNext/>
              <w:keepLines/>
              <w:spacing w:line="240" w:lineRule="auto"/>
              <w:ind w:left="57" w:right="57"/>
              <w:rPr>
                <w:rFonts w:ascii="Calibri" w:hAnsi="Calibri"/>
                <w:szCs w:val="20"/>
              </w:rPr>
            </w:pPr>
            <w:r w:rsidRPr="00B73AC8">
              <w:rPr>
                <w:rFonts w:ascii="Calibri" w:hAnsi="Calibri"/>
                <w:szCs w:val="20"/>
              </w:rPr>
              <w:t>Impact on</w:t>
            </w:r>
            <w:r>
              <w:rPr>
                <w:rFonts w:ascii="Calibri" w:hAnsi="Calibri"/>
                <w:szCs w:val="20"/>
              </w:rPr>
              <w:t xml:space="preserve"> ($m)</w:t>
            </w:r>
          </w:p>
        </w:tc>
        <w:tc>
          <w:tcPr>
            <w:tcW w:w="682" w:type="pct"/>
          </w:tcPr>
          <w:p w:rsidR="0075751E" w:rsidRPr="00B73AC8" w:rsidRDefault="0075751E" w:rsidP="005B515F">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B73AC8">
              <w:rPr>
                <w:rFonts w:ascii="Calibri" w:hAnsi="Calibri"/>
                <w:sz w:val="20"/>
                <w:szCs w:val="20"/>
              </w:rPr>
              <w:t>2016–17</w:t>
            </w:r>
          </w:p>
        </w:tc>
        <w:tc>
          <w:tcPr>
            <w:tcW w:w="682" w:type="pct"/>
          </w:tcPr>
          <w:p w:rsidR="0075751E" w:rsidRPr="00B73AC8" w:rsidRDefault="0075751E" w:rsidP="005B515F">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B73AC8">
              <w:rPr>
                <w:rFonts w:ascii="Calibri" w:hAnsi="Calibri"/>
                <w:sz w:val="20"/>
                <w:szCs w:val="20"/>
              </w:rPr>
              <w:t>2017–18</w:t>
            </w:r>
          </w:p>
        </w:tc>
        <w:tc>
          <w:tcPr>
            <w:tcW w:w="682" w:type="pct"/>
          </w:tcPr>
          <w:p w:rsidR="0075751E" w:rsidRPr="00B73AC8" w:rsidRDefault="0075751E" w:rsidP="005B515F">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B73AC8">
              <w:rPr>
                <w:rFonts w:ascii="Calibri" w:hAnsi="Calibri"/>
                <w:sz w:val="20"/>
                <w:szCs w:val="20"/>
              </w:rPr>
              <w:t>2018–19</w:t>
            </w:r>
          </w:p>
        </w:tc>
        <w:tc>
          <w:tcPr>
            <w:tcW w:w="682" w:type="pct"/>
          </w:tcPr>
          <w:p w:rsidR="0075751E" w:rsidRPr="00B73AC8" w:rsidRDefault="0075751E" w:rsidP="005B515F">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B73AC8">
              <w:rPr>
                <w:rFonts w:ascii="Calibri" w:hAnsi="Calibri"/>
                <w:sz w:val="20"/>
                <w:szCs w:val="20"/>
              </w:rPr>
              <w:t>2019–20</w:t>
            </w:r>
          </w:p>
        </w:tc>
        <w:tc>
          <w:tcPr>
            <w:tcW w:w="681" w:type="pct"/>
          </w:tcPr>
          <w:p w:rsidR="0075751E" w:rsidRPr="0093546A" w:rsidRDefault="0075751E" w:rsidP="005B515F">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93546A">
              <w:rPr>
                <w:rFonts w:ascii="Calibri" w:hAnsi="Calibri"/>
                <w:sz w:val="20"/>
                <w:szCs w:val="20"/>
              </w:rPr>
              <w:t>Total</w:t>
            </w:r>
          </w:p>
        </w:tc>
      </w:tr>
      <w:tr w:rsidR="00013D19" w:rsidRPr="00B73AC8" w:rsidTr="00013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013D19" w:rsidRPr="00B73AC8" w:rsidRDefault="00013D19" w:rsidP="005B515F">
            <w:pPr>
              <w:pStyle w:val="TableTextCentred"/>
              <w:keepNext/>
              <w:keepLines/>
              <w:spacing w:line="240" w:lineRule="auto"/>
              <w:ind w:left="57" w:right="57"/>
              <w:jc w:val="left"/>
              <w:rPr>
                <w:rFonts w:ascii="Calibri" w:hAnsi="Calibri"/>
                <w:szCs w:val="20"/>
              </w:rPr>
            </w:pPr>
            <w:r w:rsidRPr="00B73AC8">
              <w:rPr>
                <w:rFonts w:ascii="Calibri" w:hAnsi="Calibri"/>
                <w:szCs w:val="20"/>
              </w:rPr>
              <w:t>Fiscal balance</w:t>
            </w:r>
          </w:p>
        </w:tc>
        <w:tc>
          <w:tcPr>
            <w:tcW w:w="682" w:type="pct"/>
            <w:vAlign w:val="center"/>
          </w:tcPr>
          <w:p w:rsidR="00013D19" w:rsidRPr="00013D19" w:rsidRDefault="00013D19" w:rsidP="005B515F">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szCs w:val="20"/>
              </w:rPr>
            </w:pPr>
            <w:r w:rsidRPr="00013D19">
              <w:rPr>
                <w:sz w:val="20"/>
                <w:szCs w:val="20"/>
              </w:rPr>
              <w:t xml:space="preserve">-1.3 </w:t>
            </w:r>
          </w:p>
        </w:tc>
        <w:tc>
          <w:tcPr>
            <w:tcW w:w="682" w:type="pct"/>
            <w:vAlign w:val="center"/>
          </w:tcPr>
          <w:p w:rsidR="00013D19" w:rsidRPr="00013D19" w:rsidRDefault="00013D19" w:rsidP="005B515F">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szCs w:val="20"/>
              </w:rPr>
            </w:pPr>
            <w:r w:rsidRPr="00013D19">
              <w:rPr>
                <w:sz w:val="20"/>
                <w:szCs w:val="20"/>
              </w:rPr>
              <w:t xml:space="preserve">-26.6 </w:t>
            </w:r>
          </w:p>
        </w:tc>
        <w:tc>
          <w:tcPr>
            <w:tcW w:w="682" w:type="pct"/>
            <w:vAlign w:val="center"/>
          </w:tcPr>
          <w:p w:rsidR="00013D19" w:rsidRPr="00013D19" w:rsidRDefault="00013D19" w:rsidP="005B515F">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szCs w:val="20"/>
              </w:rPr>
            </w:pPr>
            <w:r w:rsidRPr="00013D19">
              <w:rPr>
                <w:sz w:val="20"/>
                <w:szCs w:val="20"/>
              </w:rPr>
              <w:t xml:space="preserve">-26.6 </w:t>
            </w:r>
          </w:p>
        </w:tc>
        <w:tc>
          <w:tcPr>
            <w:tcW w:w="682" w:type="pct"/>
            <w:vAlign w:val="center"/>
          </w:tcPr>
          <w:p w:rsidR="00013D19" w:rsidRPr="00013D19" w:rsidRDefault="00013D19" w:rsidP="005B515F">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szCs w:val="20"/>
              </w:rPr>
            </w:pPr>
            <w:r w:rsidRPr="00013D19">
              <w:rPr>
                <w:sz w:val="20"/>
                <w:szCs w:val="20"/>
              </w:rPr>
              <w:t xml:space="preserve">-26.6 </w:t>
            </w:r>
          </w:p>
        </w:tc>
        <w:tc>
          <w:tcPr>
            <w:tcW w:w="681" w:type="pct"/>
            <w:vAlign w:val="center"/>
          </w:tcPr>
          <w:p w:rsidR="00013D19" w:rsidRPr="0093546A" w:rsidRDefault="00013D19" w:rsidP="005B515F">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sz w:val="20"/>
                <w:szCs w:val="20"/>
              </w:rPr>
            </w:pPr>
            <w:r w:rsidRPr="0093546A">
              <w:rPr>
                <w:b/>
                <w:sz w:val="20"/>
                <w:szCs w:val="20"/>
              </w:rPr>
              <w:t xml:space="preserve">-81.2 </w:t>
            </w:r>
          </w:p>
        </w:tc>
      </w:tr>
      <w:tr w:rsidR="00013D19" w:rsidRPr="00B73AC8" w:rsidTr="00013D19">
        <w:tc>
          <w:tcPr>
            <w:cnfStyle w:val="001000000000" w:firstRow="0" w:lastRow="0" w:firstColumn="1" w:lastColumn="0" w:oddVBand="0" w:evenVBand="0" w:oddHBand="0" w:evenHBand="0" w:firstRowFirstColumn="0" w:firstRowLastColumn="0" w:lastRowFirstColumn="0" w:lastRowLastColumn="0"/>
            <w:tcW w:w="1591" w:type="pct"/>
          </w:tcPr>
          <w:p w:rsidR="00013D19" w:rsidRPr="00B73AC8" w:rsidRDefault="00013D19" w:rsidP="005B515F">
            <w:pPr>
              <w:pStyle w:val="TableTextCentred"/>
              <w:keepNext/>
              <w:keepLines/>
              <w:spacing w:line="240" w:lineRule="auto"/>
              <w:ind w:left="57" w:right="57"/>
              <w:jc w:val="left"/>
              <w:rPr>
                <w:rFonts w:ascii="Calibri" w:hAnsi="Calibri"/>
                <w:szCs w:val="20"/>
              </w:rPr>
            </w:pPr>
            <w:r w:rsidRPr="00B73AC8">
              <w:rPr>
                <w:rFonts w:ascii="Calibri" w:hAnsi="Calibri"/>
                <w:szCs w:val="20"/>
              </w:rPr>
              <w:t>Underlying cash balance</w:t>
            </w:r>
          </w:p>
        </w:tc>
        <w:tc>
          <w:tcPr>
            <w:tcW w:w="682" w:type="pct"/>
            <w:vAlign w:val="center"/>
          </w:tcPr>
          <w:p w:rsidR="00013D19" w:rsidRPr="00013D19" w:rsidRDefault="00013D19" w:rsidP="005B515F">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013D19">
              <w:rPr>
                <w:sz w:val="20"/>
                <w:szCs w:val="20"/>
              </w:rPr>
              <w:t xml:space="preserve">-1.3 </w:t>
            </w:r>
          </w:p>
        </w:tc>
        <w:tc>
          <w:tcPr>
            <w:tcW w:w="682" w:type="pct"/>
            <w:vAlign w:val="center"/>
          </w:tcPr>
          <w:p w:rsidR="00013D19" w:rsidRPr="00013D19" w:rsidRDefault="00013D19" w:rsidP="005B515F">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013D19">
              <w:rPr>
                <w:sz w:val="20"/>
                <w:szCs w:val="20"/>
              </w:rPr>
              <w:t xml:space="preserve">-26.6 </w:t>
            </w:r>
          </w:p>
        </w:tc>
        <w:tc>
          <w:tcPr>
            <w:tcW w:w="682" w:type="pct"/>
            <w:vAlign w:val="center"/>
          </w:tcPr>
          <w:p w:rsidR="00013D19" w:rsidRPr="00013D19" w:rsidRDefault="00013D19" w:rsidP="005B515F">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013D19">
              <w:rPr>
                <w:sz w:val="20"/>
                <w:szCs w:val="20"/>
              </w:rPr>
              <w:t xml:space="preserve">-26.6 </w:t>
            </w:r>
          </w:p>
        </w:tc>
        <w:tc>
          <w:tcPr>
            <w:tcW w:w="682" w:type="pct"/>
            <w:vAlign w:val="center"/>
          </w:tcPr>
          <w:p w:rsidR="00013D19" w:rsidRPr="00013D19" w:rsidRDefault="00013D19" w:rsidP="005B515F">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013D19">
              <w:rPr>
                <w:sz w:val="20"/>
                <w:szCs w:val="20"/>
              </w:rPr>
              <w:t xml:space="preserve">-26.6 </w:t>
            </w:r>
          </w:p>
        </w:tc>
        <w:tc>
          <w:tcPr>
            <w:tcW w:w="681" w:type="pct"/>
            <w:vAlign w:val="center"/>
          </w:tcPr>
          <w:p w:rsidR="00013D19" w:rsidRPr="0093546A" w:rsidRDefault="00013D19" w:rsidP="005B515F">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93546A">
              <w:rPr>
                <w:b/>
                <w:sz w:val="20"/>
                <w:szCs w:val="20"/>
              </w:rPr>
              <w:t xml:space="preserve">-81.2 </w:t>
            </w:r>
          </w:p>
        </w:tc>
      </w:tr>
    </w:tbl>
    <w:p w:rsidR="00E50017" w:rsidRPr="00E50017" w:rsidRDefault="00E50017" w:rsidP="00E50017">
      <w:pPr>
        <w:pStyle w:val="Footnotes"/>
        <w:keepNext/>
        <w:numPr>
          <w:ilvl w:val="0"/>
          <w:numId w:val="24"/>
        </w:numPr>
        <w:ind w:left="284" w:hanging="284"/>
        <w:rPr>
          <w:rFonts w:ascii="Calibri" w:hAnsi="Calibri"/>
        </w:rPr>
      </w:pPr>
      <w:r w:rsidRPr="00E50017">
        <w:t>A positive number indicates an increase in the relevant budget balance, a negative number a decrease.</w:t>
      </w:r>
    </w:p>
    <w:p w:rsidR="00E50017" w:rsidRPr="00A435CB" w:rsidRDefault="00E50017" w:rsidP="00A435CB">
      <w:pPr>
        <w:pStyle w:val="Footnotes"/>
        <w:numPr>
          <w:ilvl w:val="0"/>
          <w:numId w:val="24"/>
        </w:numPr>
        <w:ind w:left="284" w:hanging="284"/>
      </w:pPr>
      <w:r w:rsidRPr="00A435CB">
        <w:t>Figures may not sum to totals due to rounding.</w:t>
      </w:r>
    </w:p>
    <w:p w:rsidR="0075751E" w:rsidRDefault="0075751E" w:rsidP="0075751E">
      <w:pPr>
        <w:pStyle w:val="Heading2"/>
      </w:pPr>
      <w:r w:rsidRPr="00FC6579">
        <w:t>Methodology</w:t>
      </w:r>
    </w:p>
    <w:p w:rsidR="00013D19" w:rsidRPr="008F3D50" w:rsidRDefault="00E60FF6" w:rsidP="00013D19">
      <w:r>
        <w:t>Administered expenditure estimates are as specified in the request</w:t>
      </w:r>
      <w:r w:rsidR="00013D19">
        <w:t>.</w:t>
      </w:r>
      <w:r>
        <w:t xml:space="preserve">  The departmental expenditure estimates are in addition to capped amounts and are based on other like initiatives and estimates account for the net effect of indexation parameters and the efficiency dividend, in accordance with the Department of Finance’s costing practices.  </w:t>
      </w:r>
      <w:r w:rsidR="00013D19">
        <w:t>The funding in 2016-17 represents start-up costs in order for the Institute to commence on 1</w:t>
      </w:r>
      <w:r>
        <w:t> </w:t>
      </w:r>
      <w:r w:rsidR="00013D19">
        <w:t>July</w:t>
      </w:r>
      <w:r w:rsidR="00EC5161">
        <w:t> </w:t>
      </w:r>
      <w:bookmarkStart w:id="0" w:name="_GoBack"/>
      <w:bookmarkEnd w:id="0"/>
      <w:r w:rsidR="00013D19">
        <w:t>2017.</w:t>
      </w:r>
    </w:p>
    <w:p w:rsidR="0075751E" w:rsidRPr="00FC6579" w:rsidRDefault="0075751E" w:rsidP="0075751E">
      <w:pPr>
        <w:pStyle w:val="Heading2"/>
      </w:pPr>
      <w:r w:rsidRPr="00FC6579">
        <w:t>Data sources</w:t>
      </w:r>
    </w:p>
    <w:p w:rsidR="00CA5D42" w:rsidRDefault="00013D19" w:rsidP="00013D19">
      <w:pPr>
        <w:spacing w:line="276" w:lineRule="auto"/>
      </w:pPr>
      <w:r>
        <w:t>Department of Finance provided indexation and efficiency dividend parameters</w:t>
      </w:r>
      <w:r w:rsidR="003B19C8">
        <w:t>.</w:t>
      </w:r>
    </w:p>
    <w:p w:rsidR="005B515F" w:rsidRDefault="005B515F" w:rsidP="00013D19">
      <w:pPr>
        <w:spacing w:line="276" w:lineRule="auto"/>
      </w:pPr>
    </w:p>
    <w:p w:rsidR="005B515F" w:rsidRPr="00FC6579" w:rsidRDefault="005B515F" w:rsidP="00013D19">
      <w:pPr>
        <w:spacing w:line="276" w:lineRule="auto"/>
        <w:rPr>
          <w:highlight w:val="yellow"/>
        </w:rPr>
        <w:sectPr w:rsidR="005B515F" w:rsidRPr="00FC6579" w:rsidSect="00002D5D">
          <w:headerReference w:type="first" r:id="rId13"/>
          <w:footerReference w:type="first" r:id="rId14"/>
          <w:pgSz w:w="11906" w:h="16838"/>
          <w:pgMar w:top="1361" w:right="1797" w:bottom="1474" w:left="1797" w:header="709" w:footer="709" w:gutter="0"/>
          <w:cols w:space="708"/>
          <w:titlePg/>
          <w:docGrid w:linePitch="360"/>
        </w:sectPr>
      </w:pPr>
    </w:p>
    <w:p w:rsidR="001A02D1" w:rsidRPr="00FC6579" w:rsidRDefault="001A02D1" w:rsidP="00FC6579">
      <w:pPr>
        <w:pStyle w:val="Heading1"/>
      </w:pPr>
      <w:r w:rsidRPr="00FC6579">
        <w:lastRenderedPageBreak/>
        <w:t>Attachment A:</w:t>
      </w:r>
      <w:r w:rsidR="00497FD5">
        <w:t xml:space="preserve"> </w:t>
      </w:r>
      <w:r w:rsidR="009A134A">
        <w:t>Sustainable Water Institute</w:t>
      </w:r>
      <w:r w:rsidR="00752AE6">
        <w:t>—financial </w:t>
      </w:r>
      <w:r w:rsidR="00440E32">
        <w:t>implications</w:t>
      </w:r>
    </w:p>
    <w:p w:rsidR="00E9687D" w:rsidRPr="00497FD5" w:rsidRDefault="00F52474" w:rsidP="00FC6579">
      <w:pPr>
        <w:pStyle w:val="Captionheading"/>
        <w:rPr>
          <w:vertAlign w:val="superscript"/>
        </w:rPr>
      </w:pPr>
      <w:r w:rsidRPr="00FC6579">
        <w:t xml:space="preserve">Table </w:t>
      </w:r>
      <w:r w:rsidR="00497FD5">
        <w:t>A1</w:t>
      </w:r>
      <w:r w:rsidRPr="00FC6579">
        <w:t>:</w:t>
      </w:r>
      <w:r w:rsidR="00E50017">
        <w:t xml:space="preserve"> Sustainable Water Institute</w:t>
      </w:r>
      <w:r w:rsidR="00562DB1">
        <w:t>—</w:t>
      </w:r>
      <w:r w:rsidR="00497FD5">
        <w:t>Financial implications</w:t>
      </w:r>
      <w:r w:rsidR="0093546A">
        <w:t xml:space="preserve"> </w:t>
      </w:r>
      <w:r w:rsidR="0093546A" w:rsidRPr="00FC6579">
        <w:t>(outturn prices</w:t>
      </w:r>
      <w:proofErr w:type="gramStart"/>
      <w:r w:rsidR="0093546A" w:rsidRPr="00FC6579">
        <w:t>)</w:t>
      </w:r>
      <w:r w:rsidR="00E9687D">
        <w:rPr>
          <w:vertAlign w:val="superscript"/>
        </w:rPr>
        <w:t>(</w:t>
      </w:r>
      <w:proofErr w:type="gramEnd"/>
      <w:r w:rsidR="00E9687D">
        <w:rPr>
          <w:vertAlign w:val="superscript"/>
        </w:rPr>
        <w:t>a)(b)</w:t>
      </w:r>
    </w:p>
    <w:tbl>
      <w:tblPr>
        <w:tblStyle w:val="TableGrid"/>
        <w:tblW w:w="5034" w:type="pct"/>
        <w:tblLayout w:type="fixed"/>
        <w:tblLook w:val="0680" w:firstRow="0" w:lastRow="0" w:firstColumn="1" w:lastColumn="0" w:noHBand="1" w:noVBand="1"/>
      </w:tblPr>
      <w:tblGrid>
        <w:gridCol w:w="1990"/>
        <w:gridCol w:w="914"/>
        <w:gridCol w:w="914"/>
        <w:gridCol w:w="913"/>
        <w:gridCol w:w="913"/>
        <w:gridCol w:w="913"/>
        <w:gridCol w:w="913"/>
        <w:gridCol w:w="910"/>
      </w:tblGrid>
      <w:tr w:rsidR="00577B0E" w:rsidRPr="00E60FF6" w:rsidTr="00577B0E">
        <w:trPr>
          <w:cantSplit/>
        </w:trPr>
        <w:tc>
          <w:tcPr>
            <w:cnfStyle w:val="001000000000" w:firstRow="0" w:lastRow="0" w:firstColumn="1" w:lastColumn="0" w:oddVBand="0" w:evenVBand="0" w:oddHBand="0" w:evenHBand="0" w:firstRowFirstColumn="0" w:firstRowLastColumn="0" w:lastRowFirstColumn="0" w:lastRowLastColumn="0"/>
            <w:tcW w:w="1187" w:type="pct"/>
            <w:shd w:val="clear" w:color="auto" w:fill="D7DDE9"/>
            <w:vAlign w:val="center"/>
          </w:tcPr>
          <w:p w:rsidR="00E1119F" w:rsidRPr="00E60FF6" w:rsidRDefault="00E1119F" w:rsidP="005B515F">
            <w:pPr>
              <w:keepNext/>
              <w:keepLines/>
              <w:spacing w:before="70" w:after="70" w:line="240" w:lineRule="auto"/>
              <w:ind w:left="57" w:right="57"/>
              <w:rPr>
                <w:sz w:val="20"/>
                <w:szCs w:val="20"/>
              </w:rPr>
            </w:pPr>
            <w:r w:rsidRPr="00E60FF6">
              <w:rPr>
                <w:sz w:val="20"/>
                <w:szCs w:val="20"/>
              </w:rPr>
              <w:t>($m)</w:t>
            </w:r>
          </w:p>
        </w:tc>
        <w:tc>
          <w:tcPr>
            <w:tcW w:w="545" w:type="pct"/>
            <w:shd w:val="clear" w:color="auto" w:fill="D7DDE9"/>
            <w:vAlign w:val="center"/>
          </w:tcPr>
          <w:p w:rsidR="00E1119F" w:rsidRPr="00E60FF6" w:rsidRDefault="00E1119F" w:rsidP="005B515F">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E60FF6">
              <w:rPr>
                <w:szCs w:val="20"/>
              </w:rPr>
              <w:t>2016–17</w:t>
            </w:r>
          </w:p>
        </w:tc>
        <w:tc>
          <w:tcPr>
            <w:tcW w:w="545" w:type="pct"/>
            <w:shd w:val="clear" w:color="auto" w:fill="D7DDE9"/>
            <w:vAlign w:val="center"/>
          </w:tcPr>
          <w:p w:rsidR="00E1119F" w:rsidRPr="00E60FF6" w:rsidRDefault="00E1119F" w:rsidP="005B515F">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E60FF6">
              <w:rPr>
                <w:szCs w:val="20"/>
              </w:rPr>
              <w:t>2017–18</w:t>
            </w:r>
          </w:p>
        </w:tc>
        <w:tc>
          <w:tcPr>
            <w:tcW w:w="545" w:type="pct"/>
            <w:shd w:val="clear" w:color="auto" w:fill="D7DDE9"/>
            <w:vAlign w:val="center"/>
          </w:tcPr>
          <w:p w:rsidR="00E1119F" w:rsidRPr="00E60FF6" w:rsidRDefault="00E1119F" w:rsidP="005B515F">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E60FF6">
              <w:rPr>
                <w:szCs w:val="20"/>
              </w:rPr>
              <w:t>2018–19</w:t>
            </w:r>
          </w:p>
        </w:tc>
        <w:tc>
          <w:tcPr>
            <w:tcW w:w="545" w:type="pct"/>
            <w:shd w:val="clear" w:color="auto" w:fill="D7DDE9"/>
            <w:vAlign w:val="center"/>
          </w:tcPr>
          <w:p w:rsidR="00E1119F" w:rsidRPr="00E60FF6" w:rsidRDefault="00E1119F" w:rsidP="005B515F">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E60FF6">
              <w:rPr>
                <w:szCs w:val="20"/>
              </w:rPr>
              <w:t>2019–20</w:t>
            </w:r>
          </w:p>
        </w:tc>
        <w:tc>
          <w:tcPr>
            <w:tcW w:w="545" w:type="pct"/>
            <w:shd w:val="clear" w:color="auto" w:fill="D7DDE9"/>
            <w:vAlign w:val="center"/>
          </w:tcPr>
          <w:p w:rsidR="00E1119F" w:rsidRPr="00E60FF6" w:rsidRDefault="00E1119F" w:rsidP="005B515F">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E60FF6">
              <w:rPr>
                <w:b/>
                <w:szCs w:val="20"/>
              </w:rPr>
              <w:t>Total to</w:t>
            </w:r>
            <w:r w:rsidR="005B515F">
              <w:rPr>
                <w:b/>
                <w:szCs w:val="20"/>
              </w:rPr>
              <w:t xml:space="preserve"> </w:t>
            </w:r>
            <w:r w:rsidRPr="00E60FF6">
              <w:rPr>
                <w:b/>
                <w:szCs w:val="20"/>
              </w:rPr>
              <w:t>2019–20</w:t>
            </w:r>
          </w:p>
        </w:tc>
        <w:tc>
          <w:tcPr>
            <w:tcW w:w="545" w:type="pct"/>
            <w:shd w:val="clear" w:color="auto" w:fill="D7DDE9"/>
            <w:vAlign w:val="center"/>
          </w:tcPr>
          <w:p w:rsidR="00E1119F" w:rsidRPr="00E60FF6" w:rsidRDefault="00E1119F" w:rsidP="005B515F">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97253E">
              <w:rPr>
                <w:szCs w:val="20"/>
              </w:rPr>
              <w:t>2020-21</w:t>
            </w:r>
          </w:p>
        </w:tc>
        <w:tc>
          <w:tcPr>
            <w:tcW w:w="543" w:type="pct"/>
            <w:shd w:val="clear" w:color="auto" w:fill="D7DDE9"/>
          </w:tcPr>
          <w:p w:rsidR="00E1119F" w:rsidRPr="00E60FF6" w:rsidRDefault="00E1119F" w:rsidP="005B515F">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E60FF6">
              <w:rPr>
                <w:b/>
                <w:szCs w:val="20"/>
              </w:rPr>
              <w:t>Total to</w:t>
            </w:r>
            <w:r w:rsidR="005B515F">
              <w:rPr>
                <w:b/>
                <w:szCs w:val="20"/>
              </w:rPr>
              <w:t xml:space="preserve"> </w:t>
            </w:r>
            <w:r w:rsidRPr="00E60FF6">
              <w:rPr>
                <w:b/>
                <w:szCs w:val="20"/>
              </w:rPr>
              <w:t>20</w:t>
            </w:r>
            <w:r>
              <w:rPr>
                <w:b/>
                <w:szCs w:val="20"/>
              </w:rPr>
              <w:t>20–21</w:t>
            </w:r>
          </w:p>
        </w:tc>
      </w:tr>
      <w:tr w:rsidR="005B515F" w:rsidRPr="00E60FF6" w:rsidTr="00577B0E">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4999" w:type="pct"/>
            <w:gridSpan w:val="8"/>
            <w:tcBorders>
              <w:top w:val="single" w:sz="4" w:space="0" w:color="788184"/>
              <w:left w:val="single" w:sz="4" w:space="0" w:color="788184"/>
              <w:bottom w:val="single" w:sz="4" w:space="0" w:color="788184"/>
              <w:right w:val="single" w:sz="4" w:space="0" w:color="788184"/>
            </w:tcBorders>
            <w:shd w:val="clear" w:color="auto" w:fill="E9ECF3"/>
          </w:tcPr>
          <w:p w:rsidR="00E1119F" w:rsidRPr="00E60FF6" w:rsidRDefault="00E1119F" w:rsidP="005B515F">
            <w:pPr>
              <w:pStyle w:val="TableHeadingCentred"/>
              <w:spacing w:line="240" w:lineRule="auto"/>
              <w:ind w:left="57" w:right="57"/>
              <w:jc w:val="left"/>
              <w:rPr>
                <w:b/>
                <w:szCs w:val="20"/>
              </w:rPr>
            </w:pPr>
            <w:r w:rsidRPr="00E60FF6">
              <w:rPr>
                <w:b/>
                <w:szCs w:val="20"/>
              </w:rPr>
              <w:t>Fiscal and underlying cash balances – expenses/payments</w:t>
            </w:r>
          </w:p>
        </w:tc>
      </w:tr>
      <w:tr w:rsidR="005B515F" w:rsidRPr="00E60FF6" w:rsidTr="00577B0E">
        <w:trPr>
          <w:cantSplit/>
        </w:trPr>
        <w:tc>
          <w:tcPr>
            <w:cnfStyle w:val="001000000000" w:firstRow="0" w:lastRow="0" w:firstColumn="1" w:lastColumn="0" w:oddVBand="0" w:evenVBand="0" w:oddHBand="0" w:evenHBand="0" w:firstRowFirstColumn="0" w:firstRowLastColumn="0" w:lastRowFirstColumn="0" w:lastRowLastColumn="0"/>
            <w:tcW w:w="1187" w:type="pct"/>
          </w:tcPr>
          <w:p w:rsidR="00E1119F" w:rsidRPr="00E60FF6" w:rsidRDefault="00E1119F" w:rsidP="005B515F">
            <w:pPr>
              <w:keepNext/>
              <w:keepLines/>
              <w:spacing w:before="70" w:after="70" w:line="240" w:lineRule="auto"/>
              <w:ind w:left="57" w:right="57"/>
              <w:rPr>
                <w:sz w:val="20"/>
                <w:szCs w:val="20"/>
              </w:rPr>
            </w:pPr>
            <w:r w:rsidRPr="00E60FF6">
              <w:rPr>
                <w:sz w:val="20"/>
                <w:szCs w:val="20"/>
              </w:rPr>
              <w:t>Administered</w:t>
            </w:r>
          </w:p>
        </w:tc>
        <w:tc>
          <w:tcPr>
            <w:tcW w:w="545" w:type="pct"/>
            <w:vAlign w:val="center"/>
          </w:tcPr>
          <w:p w:rsidR="00E1119F" w:rsidRPr="0097253E"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7253E">
              <w:rPr>
                <w:i/>
                <w:sz w:val="20"/>
                <w:szCs w:val="20"/>
              </w:rPr>
              <w:t xml:space="preserve">-  </w:t>
            </w:r>
          </w:p>
        </w:tc>
        <w:tc>
          <w:tcPr>
            <w:tcW w:w="545" w:type="pct"/>
            <w:vAlign w:val="center"/>
          </w:tcPr>
          <w:p w:rsidR="00E1119F" w:rsidRPr="0097253E"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7253E">
              <w:rPr>
                <w:i/>
                <w:sz w:val="20"/>
                <w:szCs w:val="20"/>
              </w:rPr>
              <w:t>-25.0</w:t>
            </w:r>
          </w:p>
        </w:tc>
        <w:tc>
          <w:tcPr>
            <w:tcW w:w="545" w:type="pct"/>
            <w:vAlign w:val="center"/>
          </w:tcPr>
          <w:p w:rsidR="00E1119F" w:rsidRPr="0097253E"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7253E">
              <w:rPr>
                <w:i/>
                <w:sz w:val="20"/>
                <w:szCs w:val="20"/>
              </w:rPr>
              <w:t>-25.0</w:t>
            </w:r>
          </w:p>
        </w:tc>
        <w:tc>
          <w:tcPr>
            <w:tcW w:w="545" w:type="pct"/>
            <w:vAlign w:val="center"/>
          </w:tcPr>
          <w:p w:rsidR="00E1119F" w:rsidRPr="0097253E"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7253E">
              <w:rPr>
                <w:i/>
                <w:sz w:val="20"/>
                <w:szCs w:val="20"/>
              </w:rPr>
              <w:t>-25.0</w:t>
            </w:r>
          </w:p>
        </w:tc>
        <w:tc>
          <w:tcPr>
            <w:tcW w:w="545" w:type="pct"/>
            <w:vAlign w:val="center"/>
          </w:tcPr>
          <w:p w:rsidR="00E1119F" w:rsidRPr="0097253E"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97253E">
              <w:rPr>
                <w:b/>
                <w:i/>
                <w:sz w:val="20"/>
                <w:szCs w:val="20"/>
              </w:rPr>
              <w:t>-75.0</w:t>
            </w:r>
          </w:p>
        </w:tc>
        <w:tc>
          <w:tcPr>
            <w:tcW w:w="545" w:type="pct"/>
            <w:vAlign w:val="center"/>
          </w:tcPr>
          <w:p w:rsidR="00E1119F" w:rsidRPr="0097253E" w:rsidRDefault="00E1119F" w:rsidP="005B515F">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7253E">
              <w:rPr>
                <w:i/>
                <w:sz w:val="20"/>
                <w:szCs w:val="20"/>
              </w:rPr>
              <w:t>-25.0</w:t>
            </w:r>
          </w:p>
        </w:tc>
        <w:tc>
          <w:tcPr>
            <w:tcW w:w="543" w:type="pct"/>
            <w:vAlign w:val="center"/>
          </w:tcPr>
          <w:p w:rsidR="00E1119F" w:rsidRPr="0097253E" w:rsidRDefault="00E1119F" w:rsidP="005B515F">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97253E">
              <w:rPr>
                <w:b/>
                <w:i/>
                <w:sz w:val="20"/>
                <w:szCs w:val="20"/>
              </w:rPr>
              <w:t>-100.0</w:t>
            </w:r>
          </w:p>
        </w:tc>
      </w:tr>
      <w:tr w:rsidR="005B515F" w:rsidRPr="00E60FF6" w:rsidTr="00577B0E">
        <w:trPr>
          <w:cantSplit/>
        </w:trPr>
        <w:tc>
          <w:tcPr>
            <w:cnfStyle w:val="001000000000" w:firstRow="0" w:lastRow="0" w:firstColumn="1" w:lastColumn="0" w:oddVBand="0" w:evenVBand="0" w:oddHBand="0" w:evenHBand="0" w:firstRowFirstColumn="0" w:firstRowLastColumn="0" w:lastRowFirstColumn="0" w:lastRowLastColumn="0"/>
            <w:tcW w:w="1187" w:type="pct"/>
          </w:tcPr>
          <w:p w:rsidR="00E1119F" w:rsidRPr="00E60FF6" w:rsidRDefault="00E1119F" w:rsidP="005B515F">
            <w:pPr>
              <w:keepNext/>
              <w:keepLines/>
              <w:spacing w:before="70" w:after="70" w:line="240" w:lineRule="auto"/>
              <w:ind w:left="57" w:right="57"/>
              <w:rPr>
                <w:sz w:val="20"/>
                <w:szCs w:val="20"/>
              </w:rPr>
            </w:pPr>
            <w:r w:rsidRPr="00E60FF6">
              <w:rPr>
                <w:sz w:val="20"/>
                <w:szCs w:val="20"/>
              </w:rPr>
              <w:t>Departmental</w:t>
            </w:r>
          </w:p>
        </w:tc>
        <w:tc>
          <w:tcPr>
            <w:tcW w:w="545" w:type="pct"/>
            <w:vAlign w:val="center"/>
          </w:tcPr>
          <w:p w:rsidR="00E1119F" w:rsidRPr="0097253E"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7253E">
              <w:rPr>
                <w:i/>
                <w:sz w:val="20"/>
                <w:szCs w:val="20"/>
              </w:rPr>
              <w:t>-1.3</w:t>
            </w:r>
          </w:p>
        </w:tc>
        <w:tc>
          <w:tcPr>
            <w:tcW w:w="545" w:type="pct"/>
            <w:vAlign w:val="center"/>
          </w:tcPr>
          <w:p w:rsidR="00E1119F" w:rsidRPr="0097253E"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7253E">
              <w:rPr>
                <w:i/>
                <w:sz w:val="20"/>
                <w:szCs w:val="20"/>
              </w:rPr>
              <w:t>-1.6</w:t>
            </w:r>
          </w:p>
        </w:tc>
        <w:tc>
          <w:tcPr>
            <w:tcW w:w="545" w:type="pct"/>
            <w:vAlign w:val="center"/>
          </w:tcPr>
          <w:p w:rsidR="00E1119F" w:rsidRPr="0097253E"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7253E">
              <w:rPr>
                <w:i/>
                <w:sz w:val="20"/>
                <w:szCs w:val="20"/>
              </w:rPr>
              <w:t>-1.6</w:t>
            </w:r>
          </w:p>
        </w:tc>
        <w:tc>
          <w:tcPr>
            <w:tcW w:w="545" w:type="pct"/>
            <w:vAlign w:val="center"/>
          </w:tcPr>
          <w:p w:rsidR="00E1119F" w:rsidRPr="0097253E"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7253E">
              <w:rPr>
                <w:i/>
                <w:sz w:val="20"/>
                <w:szCs w:val="20"/>
              </w:rPr>
              <w:t>-1.6</w:t>
            </w:r>
          </w:p>
        </w:tc>
        <w:tc>
          <w:tcPr>
            <w:tcW w:w="545" w:type="pct"/>
            <w:vAlign w:val="center"/>
          </w:tcPr>
          <w:p w:rsidR="00E1119F" w:rsidRPr="0097253E"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97253E">
              <w:rPr>
                <w:b/>
                <w:i/>
                <w:sz w:val="20"/>
                <w:szCs w:val="20"/>
              </w:rPr>
              <w:t>-6.2</w:t>
            </w:r>
          </w:p>
        </w:tc>
        <w:tc>
          <w:tcPr>
            <w:tcW w:w="545" w:type="pct"/>
            <w:vAlign w:val="center"/>
          </w:tcPr>
          <w:p w:rsidR="00E1119F" w:rsidRPr="0097253E" w:rsidRDefault="00E1119F" w:rsidP="005B515F">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20"/>
                <w:szCs w:val="20"/>
              </w:rPr>
            </w:pPr>
            <w:r w:rsidRPr="0097253E">
              <w:rPr>
                <w:i/>
                <w:sz w:val="20"/>
                <w:szCs w:val="20"/>
              </w:rPr>
              <w:t>-1.7</w:t>
            </w:r>
          </w:p>
        </w:tc>
        <w:tc>
          <w:tcPr>
            <w:tcW w:w="543" w:type="pct"/>
            <w:vAlign w:val="center"/>
          </w:tcPr>
          <w:p w:rsidR="00E1119F" w:rsidRPr="0097253E" w:rsidRDefault="00E1119F" w:rsidP="005B515F">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20"/>
                <w:szCs w:val="20"/>
              </w:rPr>
            </w:pPr>
            <w:r w:rsidRPr="0097253E">
              <w:rPr>
                <w:b/>
                <w:i/>
                <w:sz w:val="20"/>
                <w:szCs w:val="20"/>
              </w:rPr>
              <w:t>-7.9</w:t>
            </w:r>
          </w:p>
        </w:tc>
      </w:tr>
      <w:tr w:rsidR="00577B0E" w:rsidRPr="00E60FF6" w:rsidTr="00577B0E">
        <w:trPr>
          <w:cantSplit/>
        </w:trPr>
        <w:tc>
          <w:tcPr>
            <w:cnfStyle w:val="001000000000" w:firstRow="0" w:lastRow="0" w:firstColumn="1" w:lastColumn="0" w:oddVBand="0" w:evenVBand="0" w:oddHBand="0" w:evenHBand="0" w:firstRowFirstColumn="0" w:firstRowLastColumn="0" w:lastRowFirstColumn="0" w:lastRowLastColumn="0"/>
            <w:tcW w:w="1187" w:type="pct"/>
            <w:shd w:val="clear" w:color="auto" w:fill="D7DDE9"/>
          </w:tcPr>
          <w:p w:rsidR="00E1119F" w:rsidRPr="00E60FF6" w:rsidRDefault="00E1119F" w:rsidP="005B515F">
            <w:pPr>
              <w:keepNext/>
              <w:keepLines/>
              <w:spacing w:before="70" w:after="70" w:line="240" w:lineRule="auto"/>
              <w:ind w:left="57" w:right="57"/>
              <w:rPr>
                <w:b/>
                <w:sz w:val="20"/>
                <w:szCs w:val="20"/>
              </w:rPr>
            </w:pPr>
            <w:r w:rsidRPr="00E60FF6">
              <w:rPr>
                <w:b/>
                <w:sz w:val="20"/>
                <w:szCs w:val="20"/>
              </w:rPr>
              <w:t>Total</w:t>
            </w:r>
          </w:p>
        </w:tc>
        <w:tc>
          <w:tcPr>
            <w:tcW w:w="545" w:type="pct"/>
            <w:shd w:val="clear" w:color="auto" w:fill="D7DDE9"/>
            <w:vAlign w:val="center"/>
          </w:tcPr>
          <w:p w:rsidR="00E1119F" w:rsidRPr="00E60FF6"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E60FF6">
              <w:rPr>
                <w:b/>
                <w:sz w:val="20"/>
                <w:szCs w:val="20"/>
              </w:rPr>
              <w:t>-1.3</w:t>
            </w:r>
          </w:p>
        </w:tc>
        <w:tc>
          <w:tcPr>
            <w:tcW w:w="545" w:type="pct"/>
            <w:shd w:val="clear" w:color="auto" w:fill="D7DDE9"/>
            <w:vAlign w:val="center"/>
          </w:tcPr>
          <w:p w:rsidR="00E1119F" w:rsidRPr="00E60FF6"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E60FF6">
              <w:rPr>
                <w:b/>
                <w:sz w:val="20"/>
                <w:szCs w:val="20"/>
              </w:rPr>
              <w:t>-26.6</w:t>
            </w:r>
          </w:p>
        </w:tc>
        <w:tc>
          <w:tcPr>
            <w:tcW w:w="545" w:type="pct"/>
            <w:shd w:val="clear" w:color="auto" w:fill="D7DDE9"/>
            <w:vAlign w:val="center"/>
          </w:tcPr>
          <w:p w:rsidR="00E1119F" w:rsidRPr="00E60FF6"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E60FF6">
              <w:rPr>
                <w:b/>
                <w:sz w:val="20"/>
                <w:szCs w:val="20"/>
              </w:rPr>
              <w:t>-26.6</w:t>
            </w:r>
          </w:p>
        </w:tc>
        <w:tc>
          <w:tcPr>
            <w:tcW w:w="545" w:type="pct"/>
            <w:shd w:val="clear" w:color="auto" w:fill="D7DDE9"/>
            <w:vAlign w:val="center"/>
          </w:tcPr>
          <w:p w:rsidR="00E1119F" w:rsidRPr="00E60FF6"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E60FF6">
              <w:rPr>
                <w:b/>
                <w:sz w:val="20"/>
                <w:szCs w:val="20"/>
              </w:rPr>
              <w:t>-26.6</w:t>
            </w:r>
          </w:p>
        </w:tc>
        <w:tc>
          <w:tcPr>
            <w:tcW w:w="545" w:type="pct"/>
            <w:shd w:val="clear" w:color="auto" w:fill="D7DDE9"/>
            <w:vAlign w:val="center"/>
          </w:tcPr>
          <w:p w:rsidR="00E1119F" w:rsidRPr="00E60FF6" w:rsidRDefault="00E1119F" w:rsidP="00524D35">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E60FF6">
              <w:rPr>
                <w:b/>
                <w:sz w:val="20"/>
                <w:szCs w:val="20"/>
              </w:rPr>
              <w:t>-81.2</w:t>
            </w:r>
          </w:p>
        </w:tc>
        <w:tc>
          <w:tcPr>
            <w:tcW w:w="545" w:type="pct"/>
            <w:shd w:val="clear" w:color="auto" w:fill="D7DDE9"/>
            <w:vAlign w:val="center"/>
          </w:tcPr>
          <w:p w:rsidR="00E1119F" w:rsidRPr="00E60FF6" w:rsidRDefault="00E1119F" w:rsidP="005B515F">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-26.7</w:t>
            </w:r>
          </w:p>
        </w:tc>
        <w:tc>
          <w:tcPr>
            <w:tcW w:w="543" w:type="pct"/>
            <w:shd w:val="clear" w:color="auto" w:fill="D7DDE9"/>
            <w:vAlign w:val="center"/>
          </w:tcPr>
          <w:p w:rsidR="00E1119F" w:rsidRPr="00E60FF6" w:rsidRDefault="00E1119F" w:rsidP="005B515F">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-107.9</w:t>
            </w:r>
          </w:p>
        </w:tc>
      </w:tr>
    </w:tbl>
    <w:p w:rsidR="00E50017" w:rsidRPr="00E50017" w:rsidRDefault="00E50017" w:rsidP="00577B0E">
      <w:pPr>
        <w:pStyle w:val="Footnotes"/>
        <w:numPr>
          <w:ilvl w:val="0"/>
          <w:numId w:val="23"/>
        </w:numPr>
        <w:ind w:left="284" w:hanging="284"/>
        <w:rPr>
          <w:rFonts w:ascii="Calibri" w:hAnsi="Calibri"/>
        </w:rPr>
      </w:pPr>
      <w:r w:rsidRPr="00E50017">
        <w:t>A positive number indicates an increase in revenue or decrease in expenses or net capital investment in accrual and cash terms. A negative number indicates a decrease in revenue or an increase in expenses or net capital investment in accrual and cash terms.</w:t>
      </w:r>
    </w:p>
    <w:p w:rsidR="00E50017" w:rsidRPr="00E50017" w:rsidRDefault="00E50017" w:rsidP="00577B0E">
      <w:pPr>
        <w:pStyle w:val="Footnotes"/>
        <w:numPr>
          <w:ilvl w:val="0"/>
          <w:numId w:val="23"/>
        </w:numPr>
        <w:ind w:left="284" w:hanging="284"/>
        <w:rPr>
          <w:rFonts w:ascii="Times New Roman" w:eastAsia="Times New Roman" w:hAnsi="Times New Roman"/>
          <w:lang w:eastAsia="en-AU"/>
        </w:rPr>
      </w:pPr>
      <w:r w:rsidRPr="00E50017">
        <w:t>Figures may not sum to totals due to rounding.</w:t>
      </w:r>
    </w:p>
    <w:p w:rsidR="00485374" w:rsidRPr="00FC6579" w:rsidRDefault="00E50017" w:rsidP="00752AE6">
      <w:pPr>
        <w:ind w:left="284" w:hanging="284"/>
      </w:pPr>
      <w:r w:rsidRPr="00785E06">
        <w:rPr>
          <w:sz w:val="20"/>
          <w:szCs w:val="20"/>
        </w:rPr>
        <w:t xml:space="preserve">- </w:t>
      </w:r>
      <w:r w:rsidR="009D0049">
        <w:rPr>
          <w:sz w:val="20"/>
          <w:szCs w:val="20"/>
        </w:rPr>
        <w:tab/>
      </w:r>
      <w:r w:rsidR="009365CE" w:rsidRPr="00785E06">
        <w:rPr>
          <w:sz w:val="20"/>
          <w:szCs w:val="20"/>
        </w:rPr>
        <w:t>I</w:t>
      </w:r>
      <w:r w:rsidRPr="00785E06">
        <w:rPr>
          <w:sz w:val="20"/>
          <w:szCs w:val="20"/>
        </w:rPr>
        <w:t>ndicates nil.</w:t>
      </w:r>
    </w:p>
    <w:sectPr w:rsidR="00485374" w:rsidRPr="00FC6579" w:rsidSect="005B515F">
      <w:headerReference w:type="first" r:id="rId15"/>
      <w:footerReference w:type="first" r:id="rId16"/>
      <w:pgSz w:w="11907" w:h="16839" w:code="9"/>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1E" w:rsidRDefault="0075751E" w:rsidP="008F588A">
      <w:pPr>
        <w:spacing w:line="240" w:lineRule="auto"/>
      </w:pPr>
      <w:r>
        <w:separator/>
      </w:r>
    </w:p>
    <w:p w:rsidR="0075751E" w:rsidRDefault="0075751E"/>
  </w:endnote>
  <w:endnote w:type="continuationSeparator" w:id="0">
    <w:p w:rsidR="0075751E" w:rsidRDefault="0075751E" w:rsidP="008F588A">
      <w:pPr>
        <w:spacing w:line="240" w:lineRule="auto"/>
      </w:pPr>
      <w:r>
        <w:continuationSeparator/>
      </w:r>
    </w:p>
    <w:p w:rsidR="0075751E" w:rsidRDefault="00757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C24267" w:rsidRDefault="00485374"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C5161">
      <w:rPr>
        <w:noProof/>
      </w:rPr>
      <w:t>3</w:t>
    </w:r>
    <w:r w:rsidRPr="00C24267">
      <w:fldChar w:fldCharType="end"/>
    </w:r>
    <w:r w:rsidRPr="00C24267">
      <w:t xml:space="preserve"> of </w:t>
    </w:r>
    <w:r w:rsidR="001D1450">
      <w:fldChar w:fldCharType="begin"/>
    </w:r>
    <w:r w:rsidR="001D1450">
      <w:instrText xml:space="preserve"> NUMPAGES  \* Arabic  \* MERGEFORMAT </w:instrText>
    </w:r>
    <w:r w:rsidR="001D1450">
      <w:fldChar w:fldCharType="separate"/>
    </w:r>
    <w:r w:rsidR="00EC5161">
      <w:rPr>
        <w:noProof/>
      </w:rPr>
      <w:t>4</w:t>
    </w:r>
    <w:r w:rsidR="001D145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C24267" w:rsidRDefault="00485374" w:rsidP="00C24267">
    <w:pPr>
      <w:pStyle w:val="Letterfooter"/>
    </w:pPr>
    <w:r w:rsidRPr="00C24267">
      <w:t>Parliamentary Budget Office   PO Box 6010   Parliament House   Canberra ACT 2600</w:t>
    </w:r>
  </w:p>
  <w:p w:rsidR="00485374" w:rsidRPr="00C24267" w:rsidRDefault="00485374"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C24267" w:rsidRDefault="00485374"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671FA6">
      <w:rPr>
        <w:noProof/>
      </w:rPr>
      <w:t>2</w:t>
    </w:r>
    <w:r w:rsidRPr="00C24267">
      <w:fldChar w:fldCharType="end"/>
    </w:r>
    <w:r w:rsidRPr="00C24267">
      <w:t xml:space="preserve"> of </w:t>
    </w:r>
    <w:r w:rsidR="001D1450">
      <w:fldChar w:fldCharType="begin"/>
    </w:r>
    <w:r w:rsidR="001D1450">
      <w:instrText xml:space="preserve"> NUMPAGES  \* Arabic  \* MERGEFORMAT </w:instrText>
    </w:r>
    <w:r w:rsidR="001D1450">
      <w:fldChar w:fldCharType="separate"/>
    </w:r>
    <w:r w:rsidR="00671FA6">
      <w:rPr>
        <w:noProof/>
      </w:rPr>
      <w:t>4</w:t>
    </w:r>
    <w:r w:rsidR="001D1450">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C24267" w:rsidRDefault="00485374"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671FA6">
      <w:rPr>
        <w:noProof/>
      </w:rPr>
      <w:t>4</w:t>
    </w:r>
    <w:r w:rsidRPr="00C24267">
      <w:fldChar w:fldCharType="end"/>
    </w:r>
    <w:r w:rsidRPr="00C24267">
      <w:t xml:space="preserve"> of </w:t>
    </w:r>
    <w:r w:rsidR="001D1450">
      <w:fldChar w:fldCharType="begin"/>
    </w:r>
    <w:r w:rsidR="001D1450">
      <w:instrText xml:space="preserve"> NUMPAGES  \* Arabic  \* MERGEFORMAT </w:instrText>
    </w:r>
    <w:r w:rsidR="001D1450">
      <w:fldChar w:fldCharType="separate"/>
    </w:r>
    <w:r w:rsidR="00671FA6">
      <w:rPr>
        <w:noProof/>
      </w:rPr>
      <w:t>4</w:t>
    </w:r>
    <w:r w:rsidR="001D145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1E" w:rsidRDefault="0075751E" w:rsidP="008F588A">
      <w:pPr>
        <w:spacing w:line="240" w:lineRule="auto"/>
      </w:pPr>
      <w:r>
        <w:separator/>
      </w:r>
    </w:p>
    <w:p w:rsidR="0075751E" w:rsidRDefault="0075751E"/>
  </w:footnote>
  <w:footnote w:type="continuationSeparator" w:id="0">
    <w:p w:rsidR="0075751E" w:rsidRDefault="0075751E" w:rsidP="008F588A">
      <w:pPr>
        <w:spacing w:line="240" w:lineRule="auto"/>
      </w:pPr>
      <w:r>
        <w:continuationSeparator/>
      </w:r>
    </w:p>
    <w:p w:rsidR="0075751E" w:rsidRDefault="007575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Default="00485374" w:rsidP="00CB40E1">
    <w:pPr>
      <w:pStyle w:val="Header"/>
    </w:pPr>
    <w:r>
      <w:rPr>
        <w:noProof/>
        <w:lang w:eastAsia="en-AU"/>
      </w:rPr>
      <w:drawing>
        <wp:inline distT="0" distB="0" distL="0" distR="0" wp14:anchorId="0B0D5FB6" wp14:editId="1B1D7A0C">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485374" w:rsidRPr="00DA1C8A" w:rsidRDefault="00485374"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C17112" w:rsidRDefault="00485374" w:rsidP="00C17112">
    <w:pPr>
      <w:pStyle w:val="Header"/>
    </w:pPr>
    <w:r>
      <w:rPr>
        <w:noProof/>
        <w:lang w:eastAsia="en-AU"/>
      </w:rPr>
      <w:drawing>
        <wp:inline distT="0" distB="0" distL="0" distR="0" wp14:anchorId="6CEF7541" wp14:editId="39722318">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74" w:rsidRPr="005B515F" w:rsidRDefault="00485374" w:rsidP="005B5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20977862"/>
    <w:multiLevelType w:val="hybridMultilevel"/>
    <w:tmpl w:val="EA3A44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86573C2"/>
    <w:multiLevelType w:val="hybridMultilevel"/>
    <w:tmpl w:val="325C7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EE42E53"/>
    <w:multiLevelType w:val="hybridMultilevel"/>
    <w:tmpl w:val="51F817E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30E45E35"/>
    <w:multiLevelType w:val="hybridMultilevel"/>
    <w:tmpl w:val="10FABF96"/>
    <w:lvl w:ilvl="0" w:tplc="AA4A7A52">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1">
    <w:nsid w:val="67503E33"/>
    <w:multiLevelType w:val="hybridMultilevel"/>
    <w:tmpl w:val="3A007AC6"/>
    <w:lvl w:ilvl="0" w:tplc="8CE0CEB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3">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9EA63D9"/>
    <w:multiLevelType w:val="hybridMultilevel"/>
    <w:tmpl w:val="7ADA6986"/>
    <w:lvl w:ilvl="0" w:tplc="7F6A985C">
      <w:start w:val="1"/>
      <w:numFmt w:val="lowerLetter"/>
      <w:lvlText w:val="(%1)"/>
      <w:lvlJc w:val="left"/>
      <w:pPr>
        <w:ind w:left="360" w:hanging="360"/>
      </w:p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3"/>
  </w:num>
  <w:num w:numId="2">
    <w:abstractNumId w:val="6"/>
  </w:num>
  <w:num w:numId="3">
    <w:abstractNumId w:val="4"/>
  </w:num>
  <w:num w:numId="4">
    <w:abstractNumId w:val="5"/>
  </w:num>
  <w:num w:numId="5">
    <w:abstractNumId w:val="12"/>
  </w:num>
  <w:num w:numId="6">
    <w:abstractNumId w:val="10"/>
  </w:num>
  <w:num w:numId="7">
    <w:abstractNumId w:val="10"/>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
  </w:num>
  <w:num w:numId="12">
    <w:abstractNumId w:val="0"/>
  </w:num>
  <w:num w:numId="13">
    <w:abstractNumId w:val="10"/>
    <w:lvlOverride w:ilvl="0">
      <w:startOverride w:val="1"/>
    </w:lvlOverride>
  </w:num>
  <w:num w:numId="14">
    <w:abstractNumId w:val="10"/>
    <w:lvlOverride w:ilvl="0">
      <w:startOverride w:val="1"/>
    </w:lvlOverride>
  </w:num>
  <w:num w:numId="15">
    <w:abstractNumId w:val="9"/>
  </w:num>
  <w:num w:numId="16">
    <w:abstractNumId w:val="8"/>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2"/>
  </w:num>
  <w:num w:numId="21">
    <w:abstractNumId w:val="13"/>
  </w:num>
  <w:num w:numId="22">
    <w:abstractNumId w:val="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1E"/>
    <w:rsid w:val="00002D5D"/>
    <w:rsid w:val="00013D19"/>
    <w:rsid w:val="00016808"/>
    <w:rsid w:val="0002580B"/>
    <w:rsid w:val="00040DCE"/>
    <w:rsid w:val="00096F3A"/>
    <w:rsid w:val="000C1A75"/>
    <w:rsid w:val="00114FBC"/>
    <w:rsid w:val="001278D0"/>
    <w:rsid w:val="0014239B"/>
    <w:rsid w:val="00146B64"/>
    <w:rsid w:val="001A02D1"/>
    <w:rsid w:val="001C1729"/>
    <w:rsid w:val="00220BE5"/>
    <w:rsid w:val="002422A3"/>
    <w:rsid w:val="0025349E"/>
    <w:rsid w:val="002D7223"/>
    <w:rsid w:val="00315E34"/>
    <w:rsid w:val="00326DE2"/>
    <w:rsid w:val="0036138E"/>
    <w:rsid w:val="003946C1"/>
    <w:rsid w:val="003B19C8"/>
    <w:rsid w:val="003F71CD"/>
    <w:rsid w:val="003F73CA"/>
    <w:rsid w:val="00440E32"/>
    <w:rsid w:val="00461597"/>
    <w:rsid w:val="00485374"/>
    <w:rsid w:val="00497FD5"/>
    <w:rsid w:val="004C283B"/>
    <w:rsid w:val="004D13ED"/>
    <w:rsid w:val="004D5525"/>
    <w:rsid w:val="005035DA"/>
    <w:rsid w:val="00507897"/>
    <w:rsid w:val="00515A85"/>
    <w:rsid w:val="00524D35"/>
    <w:rsid w:val="005372FF"/>
    <w:rsid w:val="00545F24"/>
    <w:rsid w:val="0055581F"/>
    <w:rsid w:val="0056229A"/>
    <w:rsid w:val="00562DB1"/>
    <w:rsid w:val="00570154"/>
    <w:rsid w:val="00570B5A"/>
    <w:rsid w:val="00577B0E"/>
    <w:rsid w:val="005B515F"/>
    <w:rsid w:val="005C6967"/>
    <w:rsid w:val="005E3562"/>
    <w:rsid w:val="005F7DE0"/>
    <w:rsid w:val="00640346"/>
    <w:rsid w:val="00660385"/>
    <w:rsid w:val="00662E65"/>
    <w:rsid w:val="0066665A"/>
    <w:rsid w:val="00671FA6"/>
    <w:rsid w:val="00682372"/>
    <w:rsid w:val="00692DD8"/>
    <w:rsid w:val="006E1613"/>
    <w:rsid w:val="006F0CE9"/>
    <w:rsid w:val="00717FC7"/>
    <w:rsid w:val="007202A8"/>
    <w:rsid w:val="00734270"/>
    <w:rsid w:val="00752AE6"/>
    <w:rsid w:val="0075751E"/>
    <w:rsid w:val="00785E06"/>
    <w:rsid w:val="007B029A"/>
    <w:rsid w:val="007D33AA"/>
    <w:rsid w:val="007F7BCF"/>
    <w:rsid w:val="008030EC"/>
    <w:rsid w:val="00811D6D"/>
    <w:rsid w:val="00844776"/>
    <w:rsid w:val="008850D9"/>
    <w:rsid w:val="008A4578"/>
    <w:rsid w:val="008C03C3"/>
    <w:rsid w:val="008C23DE"/>
    <w:rsid w:val="008D3909"/>
    <w:rsid w:val="008E407E"/>
    <w:rsid w:val="008F588A"/>
    <w:rsid w:val="00902D2D"/>
    <w:rsid w:val="00915804"/>
    <w:rsid w:val="0093546A"/>
    <w:rsid w:val="009365CE"/>
    <w:rsid w:val="00957285"/>
    <w:rsid w:val="009573AF"/>
    <w:rsid w:val="0097253E"/>
    <w:rsid w:val="009963ED"/>
    <w:rsid w:val="009A134A"/>
    <w:rsid w:val="009D0049"/>
    <w:rsid w:val="009D4063"/>
    <w:rsid w:val="00A41BD3"/>
    <w:rsid w:val="00A435CB"/>
    <w:rsid w:val="00A449C2"/>
    <w:rsid w:val="00A925BE"/>
    <w:rsid w:val="00AA3D6F"/>
    <w:rsid w:val="00AB6F7D"/>
    <w:rsid w:val="00AC47B1"/>
    <w:rsid w:val="00AC7878"/>
    <w:rsid w:val="00AD493E"/>
    <w:rsid w:val="00B06055"/>
    <w:rsid w:val="00B22B7C"/>
    <w:rsid w:val="00B44D8A"/>
    <w:rsid w:val="00B73AC8"/>
    <w:rsid w:val="00B747A7"/>
    <w:rsid w:val="00BC559C"/>
    <w:rsid w:val="00BD75A2"/>
    <w:rsid w:val="00BF786B"/>
    <w:rsid w:val="00C17112"/>
    <w:rsid w:val="00C24267"/>
    <w:rsid w:val="00C648AE"/>
    <w:rsid w:val="00CA5D42"/>
    <w:rsid w:val="00CB40E1"/>
    <w:rsid w:val="00CF6DB6"/>
    <w:rsid w:val="00D134CA"/>
    <w:rsid w:val="00DA1C8A"/>
    <w:rsid w:val="00DB44F0"/>
    <w:rsid w:val="00DD109E"/>
    <w:rsid w:val="00DD3E18"/>
    <w:rsid w:val="00DE6B02"/>
    <w:rsid w:val="00E1119F"/>
    <w:rsid w:val="00E12103"/>
    <w:rsid w:val="00E15AAE"/>
    <w:rsid w:val="00E21184"/>
    <w:rsid w:val="00E40B8B"/>
    <w:rsid w:val="00E50017"/>
    <w:rsid w:val="00E5742E"/>
    <w:rsid w:val="00E60FF6"/>
    <w:rsid w:val="00E9687D"/>
    <w:rsid w:val="00EA0BFB"/>
    <w:rsid w:val="00EA265F"/>
    <w:rsid w:val="00EC5161"/>
    <w:rsid w:val="00ED43FF"/>
    <w:rsid w:val="00EF1D6A"/>
    <w:rsid w:val="00EF2E51"/>
    <w:rsid w:val="00F31E24"/>
    <w:rsid w:val="00F52474"/>
    <w:rsid w:val="00F5356C"/>
    <w:rsid w:val="00F5529D"/>
    <w:rsid w:val="00F5669E"/>
    <w:rsid w:val="00F75D33"/>
    <w:rsid w:val="00F954CF"/>
    <w:rsid w:val="00FC6579"/>
    <w:rsid w:val="00FD3FB3"/>
    <w:rsid w:val="00FE6904"/>
    <w:rsid w:val="00FF6E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uiPriority w:val="99"/>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qFormat/>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7"/>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CommentText">
    <w:name w:val="annotation text"/>
    <w:basedOn w:val="Normal"/>
    <w:link w:val="CommentTextChar"/>
    <w:uiPriority w:val="99"/>
    <w:semiHidden/>
    <w:unhideWhenUsed/>
    <w:rsid w:val="0075751E"/>
    <w:pPr>
      <w:spacing w:before="240"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5751E"/>
    <w:rPr>
      <w:rFonts w:ascii="Times New Roman" w:hAnsi="Times New Roman" w:cs="Times New Roman"/>
      <w:sz w:val="20"/>
      <w:szCs w:val="20"/>
    </w:rPr>
  </w:style>
  <w:style w:type="character" w:styleId="IntenseReference">
    <w:name w:val="Intense Reference"/>
    <w:aliases w:val="DLM format"/>
    <w:basedOn w:val="DefaultParagraphFont"/>
    <w:uiPriority w:val="32"/>
    <w:qFormat/>
    <w:rsid w:val="0075751E"/>
    <w:rPr>
      <w:rFonts w:ascii="Arial" w:hAnsi="Arial"/>
      <w:b/>
      <w:bCs/>
      <w:color w:val="FF0000"/>
      <w:spacing w:val="5"/>
      <w:sz w:val="28"/>
      <w:szCs w:val="28"/>
    </w:rPr>
  </w:style>
  <w:style w:type="paragraph" w:customStyle="1" w:styleId="Proformatext">
    <w:name w:val="Pro forma text"/>
    <w:basedOn w:val="Normal"/>
    <w:rsid w:val="006E1613"/>
    <w:pPr>
      <w:spacing w:before="80" w:after="80" w:line="260" w:lineRule="exact"/>
    </w:pPr>
    <w:rPr>
      <w:rFonts w:ascii="Book Antiqua" w:eastAsia="Times New Roman" w:hAnsi="Book Antiqua" w:cs="Times New Roman"/>
      <w:sz w:val="20"/>
      <w:szCs w:val="20"/>
      <w:lang w:eastAsia="en-AU"/>
    </w:rPr>
  </w:style>
  <w:style w:type="paragraph" w:customStyle="1" w:styleId="Tableheading0">
    <w:name w:val="Table heading"/>
    <w:basedOn w:val="Caption"/>
    <w:link w:val="TableheadingChar"/>
    <w:qFormat/>
    <w:rsid w:val="00013D19"/>
    <w:pPr>
      <w:keepLines/>
      <w:spacing w:before="240" w:after="0" w:line="260" w:lineRule="exact"/>
      <w:jc w:val="both"/>
    </w:pPr>
    <w:rPr>
      <w:rFonts w:ascii="Times New Roman" w:eastAsia="Times New Roman" w:hAnsi="Times New Roman" w:cs="Times New Roman"/>
      <w:sz w:val="24"/>
      <w:szCs w:val="20"/>
      <w:lang w:eastAsia="en-AU"/>
    </w:rPr>
  </w:style>
  <w:style w:type="character" w:customStyle="1" w:styleId="TableheadingChar">
    <w:name w:val="Table heading Char"/>
    <w:basedOn w:val="CaptionChar"/>
    <w:link w:val="Tableheading0"/>
    <w:rsid w:val="00013D19"/>
    <w:rPr>
      <w:rFonts w:ascii="Times New Roman" w:eastAsia="Times New Roman" w:hAnsi="Times New Roman" w:cs="Times New Roman"/>
      <w:b/>
      <w:bCs/>
      <w:color w:val="1F497D" w:themeColor="text2"/>
      <w:spacing w:val="-4"/>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uiPriority w:val="99"/>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qFormat/>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7"/>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CommentText">
    <w:name w:val="annotation text"/>
    <w:basedOn w:val="Normal"/>
    <w:link w:val="CommentTextChar"/>
    <w:uiPriority w:val="99"/>
    <w:semiHidden/>
    <w:unhideWhenUsed/>
    <w:rsid w:val="0075751E"/>
    <w:pPr>
      <w:spacing w:before="240"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5751E"/>
    <w:rPr>
      <w:rFonts w:ascii="Times New Roman" w:hAnsi="Times New Roman" w:cs="Times New Roman"/>
      <w:sz w:val="20"/>
      <w:szCs w:val="20"/>
    </w:rPr>
  </w:style>
  <w:style w:type="character" w:styleId="IntenseReference">
    <w:name w:val="Intense Reference"/>
    <w:aliases w:val="DLM format"/>
    <w:basedOn w:val="DefaultParagraphFont"/>
    <w:uiPriority w:val="32"/>
    <w:qFormat/>
    <w:rsid w:val="0075751E"/>
    <w:rPr>
      <w:rFonts w:ascii="Arial" w:hAnsi="Arial"/>
      <w:b/>
      <w:bCs/>
      <w:color w:val="FF0000"/>
      <w:spacing w:val="5"/>
      <w:sz w:val="28"/>
      <w:szCs w:val="28"/>
    </w:rPr>
  </w:style>
  <w:style w:type="paragraph" w:customStyle="1" w:styleId="Proformatext">
    <w:name w:val="Pro forma text"/>
    <w:basedOn w:val="Normal"/>
    <w:rsid w:val="006E1613"/>
    <w:pPr>
      <w:spacing w:before="80" w:after="80" w:line="260" w:lineRule="exact"/>
    </w:pPr>
    <w:rPr>
      <w:rFonts w:ascii="Book Antiqua" w:eastAsia="Times New Roman" w:hAnsi="Book Antiqua" w:cs="Times New Roman"/>
      <w:sz w:val="20"/>
      <w:szCs w:val="20"/>
      <w:lang w:eastAsia="en-AU"/>
    </w:rPr>
  </w:style>
  <w:style w:type="paragraph" w:customStyle="1" w:styleId="Tableheading0">
    <w:name w:val="Table heading"/>
    <w:basedOn w:val="Caption"/>
    <w:link w:val="TableheadingChar"/>
    <w:qFormat/>
    <w:rsid w:val="00013D19"/>
    <w:pPr>
      <w:keepLines/>
      <w:spacing w:before="240" w:after="0" w:line="260" w:lineRule="exact"/>
      <w:jc w:val="both"/>
    </w:pPr>
    <w:rPr>
      <w:rFonts w:ascii="Times New Roman" w:eastAsia="Times New Roman" w:hAnsi="Times New Roman" w:cs="Times New Roman"/>
      <w:sz w:val="24"/>
      <w:szCs w:val="20"/>
      <w:lang w:eastAsia="en-AU"/>
    </w:rPr>
  </w:style>
  <w:style w:type="character" w:customStyle="1" w:styleId="TableheadingChar">
    <w:name w:val="Table heading Char"/>
    <w:basedOn w:val="CaptionChar"/>
    <w:link w:val="Tableheading0"/>
    <w:rsid w:val="00013D19"/>
    <w:rPr>
      <w:rFonts w:ascii="Times New Roman" w:eastAsia="Times New Roman" w:hAnsi="Times New Roman" w:cs="Times New Roman"/>
      <w:b/>
      <w:bCs/>
      <w:color w:val="1F497D" w:themeColor="text2"/>
      <w:spacing w:val="-4"/>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45422">
      <w:bodyDiv w:val="1"/>
      <w:marLeft w:val="0"/>
      <w:marRight w:val="0"/>
      <w:marTop w:val="0"/>
      <w:marBottom w:val="0"/>
      <w:divBdr>
        <w:top w:val="none" w:sz="0" w:space="0" w:color="auto"/>
        <w:left w:val="none" w:sz="0" w:space="0" w:color="auto"/>
        <w:bottom w:val="none" w:sz="0" w:space="0" w:color="auto"/>
        <w:right w:val="none" w:sz="0" w:space="0" w:color="auto"/>
      </w:divBdr>
    </w:div>
    <w:div w:id="21161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C479D02-E016-460E-ADAC-A510685E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4</TotalTime>
  <Pages>4</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PBO - GRN086 - Sustainable Water Institute - 1 July 2016</vt:lpstr>
    </vt:vector>
  </TitlesOfParts>
  <Company>Parliament of Australia</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GRN086 - Sustainable Water Institute - 1 July 2016</dc:title>
  <dc:creator>Parliamentary Budget Office</dc:creator>
  <cp:lastModifiedBy>Milligan, Louise (PBO)</cp:lastModifiedBy>
  <cp:revision>12</cp:revision>
  <cp:lastPrinted>2016-07-01T04:42:00Z</cp:lastPrinted>
  <dcterms:created xsi:type="dcterms:W3CDTF">2016-07-01T05:19:00Z</dcterms:created>
  <dcterms:modified xsi:type="dcterms:W3CDTF">2016-07-01T05:32:00Z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