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6C8" w:rsidRDefault="000B66C8" w:rsidP="000B66C8">
      <w:pPr>
        <w:spacing w:before="156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Richard Di Natale</w:t>
      </w:r>
    </w:p>
    <w:p w:rsidR="000B66C8" w:rsidRPr="00002D5D" w:rsidRDefault="000B66C8" w:rsidP="000B66C8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Leader of the Australian Greens</w:t>
      </w:r>
    </w:p>
    <w:p w:rsidR="000B66C8" w:rsidRPr="00002D5D" w:rsidRDefault="000B66C8" w:rsidP="000B66C8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Parliament House</w:t>
      </w:r>
    </w:p>
    <w:p w:rsidR="000B66C8" w:rsidRPr="00002D5D" w:rsidRDefault="000B66C8" w:rsidP="000B66C8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CANBERRA  ACT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2600</w:t>
      </w:r>
    </w:p>
    <w:p w:rsidR="00040DCE" w:rsidRPr="00002D5D" w:rsidRDefault="00040DCE" w:rsidP="00040DCE">
      <w:pPr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 xml:space="preserve">Dear </w:t>
      </w:r>
      <w:r w:rsidR="000B66C8">
        <w:rPr>
          <w:rFonts w:ascii="Times New Roman" w:hAnsi="Times New Roman" w:cs="Times New Roman"/>
          <w:sz w:val="24"/>
          <w:szCs w:val="24"/>
        </w:rPr>
        <w:t>Senator Di Natale</w:t>
      </w:r>
    </w:p>
    <w:p w:rsidR="00040DCE" w:rsidRPr="00002D5D" w:rsidRDefault="00040DCE" w:rsidP="00C17112">
      <w:pPr>
        <w:pStyle w:val="Lettertext"/>
      </w:pPr>
      <w:r w:rsidRPr="00002D5D">
        <w:t xml:space="preserve">Please find attached a response to your costing request, </w:t>
      </w:r>
      <w:proofErr w:type="gramStart"/>
      <w:r w:rsidR="001C3AA9" w:rsidRPr="001C3AA9">
        <w:rPr>
          <w:i/>
        </w:rPr>
        <w:t>Ensuring</w:t>
      </w:r>
      <w:proofErr w:type="gramEnd"/>
      <w:r w:rsidR="001C3AA9" w:rsidRPr="001C3AA9">
        <w:rPr>
          <w:i/>
        </w:rPr>
        <w:t xml:space="preserve"> the independence and flourishing of the arts</w:t>
      </w:r>
      <w:r w:rsidRPr="00002D5D">
        <w:t xml:space="preserve"> (letter of </w:t>
      </w:r>
      <w:r w:rsidR="001C3AA9">
        <w:t>1</w:t>
      </w:r>
      <w:r w:rsidR="000B66C8">
        <w:t xml:space="preserve"> Ju</w:t>
      </w:r>
      <w:r w:rsidR="001C3AA9">
        <w:t>ly</w:t>
      </w:r>
      <w:r w:rsidRPr="00002D5D">
        <w:t xml:space="preserve"> 2016).</w:t>
      </w:r>
    </w:p>
    <w:p w:rsidR="00040DCE" w:rsidRPr="00002D5D" w:rsidRDefault="00040DCE" w:rsidP="00C17112">
      <w:pPr>
        <w:pStyle w:val="Lettertext"/>
      </w:pPr>
      <w:r w:rsidRPr="00002D5D">
        <w:t>The response to this request will be released on the PBO website (</w:t>
      </w:r>
      <w:hyperlink r:id="rId9" w:history="1">
        <w:r w:rsidRPr="00002D5D">
          <w:rPr>
            <w:rStyle w:val="Hyperlink"/>
          </w:rPr>
          <w:t>www.</w:t>
        </w:r>
        <w:r w:rsidR="00B44D8A">
          <w:rPr>
            <w:rStyle w:val="Hyperlink"/>
          </w:rPr>
          <w:t>pbo.gov.au</w:t>
        </w:r>
      </w:hyperlink>
      <w:r w:rsidRPr="00002D5D">
        <w:t>).</w:t>
      </w:r>
    </w:p>
    <w:p w:rsidR="00040DCE" w:rsidRPr="00002D5D" w:rsidRDefault="00040DCE" w:rsidP="00C17112">
      <w:pPr>
        <w:pStyle w:val="Lettertext"/>
      </w:pPr>
      <w:r w:rsidRPr="00002D5D">
        <w:t xml:space="preserve">If you have any queries about this costing, please </w:t>
      </w:r>
      <w:r w:rsidR="00F75D33">
        <w:t>contact Colin </w:t>
      </w:r>
      <w:r w:rsidR="003D7744">
        <w:t>Brown on (02) </w:t>
      </w:r>
      <w:r w:rsidRPr="00002D5D">
        <w:t>6277</w:t>
      </w:r>
      <w:r w:rsidR="003D7744">
        <w:t> </w:t>
      </w:r>
      <w:r w:rsidRPr="00002D5D">
        <w:t>9530.</w:t>
      </w:r>
    </w:p>
    <w:p w:rsidR="00040DCE" w:rsidRPr="00002D5D" w:rsidRDefault="00040DCE" w:rsidP="00C17112">
      <w:pPr>
        <w:pStyle w:val="Lettertext"/>
      </w:pPr>
      <w:r w:rsidRPr="00002D5D">
        <w:t>Yours sincerely</w:t>
      </w:r>
    </w:p>
    <w:p w:rsidR="00040DCE" w:rsidRPr="00002D5D" w:rsidRDefault="00DA1C8A" w:rsidP="00C17112">
      <w:pPr>
        <w:spacing w:before="960" w:after="0" w:line="240" w:lineRule="auto"/>
        <w:rPr>
          <w:rFonts w:ascii="Times New Roman" w:hAnsi="Times New Roman" w:cs="Times New Roman"/>
          <w:sz w:val="24"/>
          <w:szCs w:val="24"/>
        </w:rPr>
      </w:pPr>
      <w:r w:rsidRPr="00002D5D">
        <w:rPr>
          <w:rFonts w:ascii="Times New Roman" w:hAnsi="Times New Roman" w:cs="Times New Roman"/>
          <w:sz w:val="24"/>
          <w:szCs w:val="24"/>
        </w:rPr>
        <w:t>Phil Bowen</w:t>
      </w:r>
    </w:p>
    <w:p w:rsidR="00096F3A" w:rsidRPr="00002D5D" w:rsidRDefault="00B265C5" w:rsidP="00B265C5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B66C8">
        <w:rPr>
          <w:rFonts w:ascii="Times New Roman" w:hAnsi="Times New Roman" w:cs="Times New Roman"/>
          <w:sz w:val="24"/>
          <w:szCs w:val="24"/>
        </w:rPr>
        <w:t>Ju</w:t>
      </w:r>
      <w:r w:rsidR="005330B8">
        <w:rPr>
          <w:rFonts w:ascii="Times New Roman" w:hAnsi="Times New Roman" w:cs="Times New Roman"/>
          <w:sz w:val="24"/>
          <w:szCs w:val="24"/>
        </w:rPr>
        <w:t>ly</w:t>
      </w:r>
      <w:r w:rsidR="00040DCE" w:rsidRPr="00002D5D">
        <w:rPr>
          <w:rFonts w:ascii="Times New Roman" w:hAnsi="Times New Roman" w:cs="Times New Roman"/>
          <w:sz w:val="24"/>
          <w:szCs w:val="24"/>
        </w:rPr>
        <w:t xml:space="preserve"> </w:t>
      </w:r>
      <w:r w:rsidR="00DA1C8A" w:rsidRPr="00002D5D">
        <w:rPr>
          <w:rFonts w:ascii="Times New Roman" w:hAnsi="Times New Roman" w:cs="Times New Roman"/>
          <w:sz w:val="24"/>
          <w:szCs w:val="24"/>
        </w:rPr>
        <w:t>2016</w:t>
      </w: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040DCE" w:rsidRPr="00002D5D" w:rsidRDefault="00040DCE" w:rsidP="00040DCE">
      <w:pPr>
        <w:pStyle w:val="BodyText"/>
        <w:rPr>
          <w:rFonts w:ascii="Times New Roman" w:hAnsi="Times New Roman" w:cs="Times New Roman"/>
          <w:sz w:val="24"/>
          <w:szCs w:val="24"/>
        </w:rPr>
        <w:sectPr w:rsidR="00040DCE" w:rsidRPr="00002D5D" w:rsidSect="00002D5D">
          <w:footerReference w:type="default" r:id="rId10"/>
          <w:headerReference w:type="first" r:id="rId11"/>
          <w:footerReference w:type="first" r:id="rId12"/>
          <w:pgSz w:w="11906" w:h="16838"/>
          <w:pgMar w:top="1361" w:right="1797" w:bottom="1474" w:left="1797" w:header="709" w:footer="709" w:gutter="0"/>
          <w:cols w:space="708"/>
          <w:titlePg/>
          <w:docGrid w:linePitch="360"/>
        </w:sectPr>
      </w:pPr>
    </w:p>
    <w:p w:rsidR="008F588A" w:rsidRDefault="008F588A" w:rsidP="00002D5D">
      <w:pPr>
        <w:pStyle w:val="Heading1"/>
      </w:pPr>
      <w:r w:rsidRPr="00002D5D">
        <w:lastRenderedPageBreak/>
        <w:t xml:space="preserve">Policy costing—during the caretaker period for </w:t>
      </w:r>
      <w:r w:rsidR="007D33AA" w:rsidRPr="00002D5D">
        <w:t>the 2016</w:t>
      </w:r>
      <w:r w:rsidR="00002D5D" w:rsidRPr="00002D5D">
        <w:t> </w:t>
      </w:r>
      <w:r w:rsidRPr="00002D5D">
        <w:t>general election</w:t>
      </w:r>
    </w:p>
    <w:tbl>
      <w:tblPr>
        <w:tblStyle w:val="Style1"/>
        <w:tblW w:w="8340" w:type="dxa"/>
        <w:tblLook w:val="04A0" w:firstRow="1" w:lastRow="0" w:firstColumn="1" w:lastColumn="0" w:noHBand="0" w:noVBand="1"/>
      </w:tblPr>
      <w:tblGrid>
        <w:gridCol w:w="3005"/>
        <w:gridCol w:w="5335"/>
      </w:tblGrid>
      <w:tr w:rsidR="004D5525" w:rsidTr="00D52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05" w:type="dxa"/>
          </w:tcPr>
          <w:p w:rsidR="004D5525" w:rsidRPr="006842DF" w:rsidRDefault="004D5525" w:rsidP="004D5525">
            <w:pPr>
              <w:pStyle w:val="BodyText"/>
              <w:rPr>
                <w:sz w:val="22"/>
              </w:rPr>
            </w:pPr>
            <w:r w:rsidRPr="006842DF">
              <w:rPr>
                <w:sz w:val="22"/>
              </w:rPr>
              <w:t>Name of proposal:</w:t>
            </w:r>
          </w:p>
        </w:tc>
        <w:tc>
          <w:tcPr>
            <w:tcW w:w="5335" w:type="dxa"/>
          </w:tcPr>
          <w:p w:rsidR="004D5525" w:rsidRPr="006842DF" w:rsidRDefault="001C3AA9" w:rsidP="001C3AA9">
            <w:pPr>
              <w:pStyle w:val="BodyText"/>
              <w:rPr>
                <w:sz w:val="22"/>
              </w:rPr>
            </w:pPr>
            <w:r w:rsidRPr="006842DF">
              <w:rPr>
                <w:sz w:val="22"/>
              </w:rPr>
              <w:t>Ensuring the independence and flourishing of the arts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Summary of proposal:</w:t>
            </w:r>
          </w:p>
        </w:tc>
        <w:tc>
          <w:tcPr>
            <w:tcW w:w="5335" w:type="dxa"/>
          </w:tcPr>
          <w:p w:rsidR="00E462BB" w:rsidRDefault="00C44352" w:rsidP="00C44352">
            <w:r>
              <w:t>The proposal would restore Commonwealth arts funding and implement new programs to support a</w:t>
            </w:r>
            <w:r w:rsidR="007868BF">
              <w:t>rtists and the arts industry</w:t>
            </w:r>
            <w:r w:rsidR="001C3AA9">
              <w:t>.</w:t>
            </w:r>
          </w:p>
          <w:p w:rsidR="00C44352" w:rsidRDefault="001C3AA9" w:rsidP="00C44352">
            <w:r>
              <w:t xml:space="preserve">The proposal </w:t>
            </w:r>
            <w:r w:rsidR="00E462BB">
              <w:t>has 14</w:t>
            </w:r>
            <w:r>
              <w:t xml:space="preserve"> components</w:t>
            </w:r>
            <w:r w:rsidR="00E462BB">
              <w:t>.</w:t>
            </w:r>
          </w:p>
          <w:p w:rsidR="005E689D" w:rsidRPr="005E689D" w:rsidRDefault="005E689D" w:rsidP="006842DF">
            <w:pPr>
              <w:keepLines/>
              <w:spacing w:before="0" w:after="113"/>
              <w:rPr>
                <w:u w:val="single"/>
              </w:rPr>
            </w:pPr>
            <w:r>
              <w:rPr>
                <w:u w:val="single"/>
              </w:rPr>
              <w:t xml:space="preserve">Component 1: </w:t>
            </w:r>
            <w:r w:rsidR="00420034">
              <w:rPr>
                <w:u w:val="single"/>
              </w:rPr>
              <w:t xml:space="preserve">Restore </w:t>
            </w:r>
            <w:r>
              <w:rPr>
                <w:u w:val="single"/>
              </w:rPr>
              <w:t>Australia Council</w:t>
            </w:r>
            <w:r w:rsidR="00420034">
              <w:rPr>
                <w:u w:val="single"/>
              </w:rPr>
              <w:t xml:space="preserve"> funding</w:t>
            </w:r>
          </w:p>
          <w:p w:rsidR="000C5C40" w:rsidRDefault="009716F9" w:rsidP="000C5C40">
            <w:pPr>
              <w:pStyle w:val="Bullet1"/>
            </w:pPr>
            <w:r>
              <w:t>R</w:t>
            </w:r>
            <w:r w:rsidR="005E689D">
              <w:t>estor</w:t>
            </w:r>
            <w:r>
              <w:t>e</w:t>
            </w:r>
            <w:r w:rsidR="005E689D">
              <w:t xml:space="preserve"> funding </w:t>
            </w:r>
            <w:r>
              <w:t>cut from the Australia Council</w:t>
            </w:r>
            <w:r w:rsidR="001C3AA9">
              <w:t xml:space="preserve"> to 2013-14 levels</w:t>
            </w:r>
            <w:r w:rsidR="000C5C40">
              <w:t>, including:</w:t>
            </w:r>
          </w:p>
          <w:p w:rsidR="000C5C40" w:rsidRDefault="00420034" w:rsidP="000C5C40">
            <w:pPr>
              <w:pStyle w:val="Bullet2"/>
            </w:pPr>
            <w:r>
              <w:t xml:space="preserve">$2 million to re-establish </w:t>
            </w:r>
            <w:r w:rsidR="005E689D">
              <w:t xml:space="preserve">the </w:t>
            </w:r>
            <w:proofErr w:type="spellStart"/>
            <w:r w:rsidR="005E689D">
              <w:t>ArtStart</w:t>
            </w:r>
            <w:proofErr w:type="spellEnd"/>
            <w:r w:rsidR="005E689D">
              <w:t xml:space="preserve"> program</w:t>
            </w:r>
          </w:p>
          <w:p w:rsidR="005E689D" w:rsidRDefault="00420034" w:rsidP="000C5C40">
            <w:pPr>
              <w:pStyle w:val="Bullet2"/>
            </w:pPr>
            <w:r>
              <w:t>$1.3 million to r</w:t>
            </w:r>
            <w:r w:rsidR="005E689D">
              <w:t>e-introduc</w:t>
            </w:r>
            <w:r w:rsidR="00B24CC9">
              <w:t>e</w:t>
            </w:r>
            <w:r w:rsidR="005E689D">
              <w:t xml:space="preserve"> the artists in residence program </w:t>
            </w:r>
            <w:r>
              <w:t>in schools</w:t>
            </w:r>
            <w:r w:rsidR="009716F9">
              <w:t>.</w:t>
            </w:r>
          </w:p>
          <w:p w:rsidR="005E689D" w:rsidRDefault="005E689D" w:rsidP="006842DF">
            <w:pPr>
              <w:pStyle w:val="Bullet1"/>
              <w:numPr>
                <w:ilvl w:val="0"/>
                <w:numId w:val="0"/>
              </w:numPr>
            </w:pPr>
            <w:r>
              <w:rPr>
                <w:u w:val="single"/>
              </w:rPr>
              <w:t xml:space="preserve">Component 2: </w:t>
            </w:r>
            <w:proofErr w:type="spellStart"/>
            <w:r w:rsidRPr="005E689D">
              <w:rPr>
                <w:u w:val="single"/>
              </w:rPr>
              <w:t>ArtStart</w:t>
            </w:r>
            <w:proofErr w:type="spellEnd"/>
            <w:r w:rsidRPr="005E689D">
              <w:rPr>
                <w:u w:val="single"/>
              </w:rPr>
              <w:t xml:space="preserve"> program </w:t>
            </w:r>
          </w:p>
          <w:p w:rsidR="005E689D" w:rsidRPr="009716F9" w:rsidRDefault="008D043E" w:rsidP="009716F9">
            <w:pPr>
              <w:pStyle w:val="Bullet1"/>
            </w:pPr>
            <w:r>
              <w:t xml:space="preserve">An additional </w:t>
            </w:r>
            <w:r w:rsidRPr="009716F9">
              <w:t>$3 million</w:t>
            </w:r>
            <w:r>
              <w:t xml:space="preserve"> to the </w:t>
            </w:r>
            <w:proofErr w:type="spellStart"/>
            <w:r>
              <w:t>ArtStart</w:t>
            </w:r>
            <w:proofErr w:type="spellEnd"/>
            <w:r>
              <w:t xml:space="preserve"> program.</w:t>
            </w:r>
          </w:p>
          <w:p w:rsidR="005E689D" w:rsidRDefault="005E689D" w:rsidP="006842DF">
            <w:pPr>
              <w:pStyle w:val="Bullet1"/>
              <w:numPr>
                <w:ilvl w:val="0"/>
                <w:numId w:val="0"/>
              </w:numPr>
            </w:pPr>
            <w:r>
              <w:rPr>
                <w:u w:val="single"/>
              </w:rPr>
              <w:t>Component 3: Australia</w:t>
            </w:r>
            <w:r w:rsidR="006711FF">
              <w:rPr>
                <w:u w:val="single"/>
              </w:rPr>
              <w:t xml:space="preserve"> Council g</w:t>
            </w:r>
            <w:r>
              <w:rPr>
                <w:u w:val="single"/>
              </w:rPr>
              <w:t xml:space="preserve">rants and </w:t>
            </w:r>
            <w:r w:rsidR="006711FF">
              <w:rPr>
                <w:u w:val="single"/>
              </w:rPr>
              <w:t>i</w:t>
            </w:r>
            <w:r>
              <w:rPr>
                <w:u w:val="single"/>
              </w:rPr>
              <w:t>nitiatives</w:t>
            </w:r>
          </w:p>
          <w:p w:rsidR="005E689D" w:rsidRPr="009716F9" w:rsidRDefault="00420034" w:rsidP="009716F9">
            <w:pPr>
              <w:pStyle w:val="Bullet1"/>
            </w:pPr>
            <w:r>
              <w:t>D</w:t>
            </w:r>
            <w:r w:rsidR="005E689D" w:rsidRPr="009716F9">
              <w:t>oubl</w:t>
            </w:r>
            <w:r>
              <w:t>e</w:t>
            </w:r>
            <w:r w:rsidR="005E689D" w:rsidRPr="009716F9">
              <w:t xml:space="preserve"> the funding (from 2013-14 levels) available for Australia Council </w:t>
            </w:r>
            <w:r w:rsidR="006711FF">
              <w:t>g</w:t>
            </w:r>
            <w:r w:rsidR="005E689D" w:rsidRPr="009716F9">
              <w:t xml:space="preserve">rants and </w:t>
            </w:r>
            <w:r w:rsidR="006711FF">
              <w:t>i</w:t>
            </w:r>
            <w:r w:rsidR="005E689D" w:rsidRPr="009716F9">
              <w:t>nitiatives</w:t>
            </w:r>
            <w:r>
              <w:t>.</w:t>
            </w:r>
          </w:p>
          <w:p w:rsidR="005E689D" w:rsidRDefault="005E689D" w:rsidP="006842DF">
            <w:pPr>
              <w:pStyle w:val="Bullet1"/>
              <w:numPr>
                <w:ilvl w:val="0"/>
                <w:numId w:val="0"/>
              </w:numPr>
            </w:pPr>
            <w:r>
              <w:rPr>
                <w:u w:val="single"/>
              </w:rPr>
              <w:t xml:space="preserve">Component 4: Public </w:t>
            </w:r>
            <w:r w:rsidR="00420034">
              <w:rPr>
                <w:u w:val="single"/>
              </w:rPr>
              <w:t xml:space="preserve">art </w:t>
            </w:r>
            <w:r>
              <w:rPr>
                <w:u w:val="single"/>
              </w:rPr>
              <w:t>display</w:t>
            </w:r>
          </w:p>
          <w:p w:rsidR="005E689D" w:rsidRPr="008D043E" w:rsidRDefault="005E689D" w:rsidP="009716F9">
            <w:pPr>
              <w:pStyle w:val="Bullet1"/>
            </w:pPr>
            <w:r w:rsidRPr="008D043E">
              <w:t>$5 million per year to pay artists to display their works publicly</w:t>
            </w:r>
            <w:r w:rsidR="00420034" w:rsidRPr="008D043E">
              <w:t>.</w:t>
            </w:r>
          </w:p>
          <w:p w:rsidR="005E689D" w:rsidRDefault="005E689D" w:rsidP="006842DF">
            <w:pPr>
              <w:pStyle w:val="Bullet1"/>
              <w:numPr>
                <w:ilvl w:val="0"/>
                <w:numId w:val="0"/>
              </w:numPr>
            </w:pPr>
            <w:r>
              <w:rPr>
                <w:u w:val="single"/>
              </w:rPr>
              <w:t>Component 5: Playing Australia</w:t>
            </w:r>
          </w:p>
          <w:p w:rsidR="005E689D" w:rsidRDefault="00420034" w:rsidP="009716F9">
            <w:pPr>
              <w:pStyle w:val="Bullet1"/>
              <w:numPr>
                <w:ilvl w:val="0"/>
                <w:numId w:val="22"/>
              </w:numPr>
              <w:ind w:left="397"/>
            </w:pPr>
            <w:r>
              <w:t>I</w:t>
            </w:r>
            <w:r w:rsidR="005E689D">
              <w:t>ncrease funding by $2 million per year for regional touring through Playing Australia until total funding reaches $10 million</w:t>
            </w:r>
            <w:r w:rsidR="008D043E">
              <w:t xml:space="preserve"> per year.  Total funding would then be indexed by </w:t>
            </w:r>
            <w:r w:rsidR="00E462BB">
              <w:t>the Consumer Price Index</w:t>
            </w:r>
            <w:r w:rsidR="008D043E">
              <w:t>.</w:t>
            </w:r>
          </w:p>
          <w:p w:rsidR="005E689D" w:rsidRDefault="005E689D" w:rsidP="006842DF">
            <w:pPr>
              <w:pStyle w:val="Bullet1"/>
              <w:numPr>
                <w:ilvl w:val="0"/>
                <w:numId w:val="0"/>
              </w:numPr>
            </w:pPr>
            <w:r>
              <w:rPr>
                <w:u w:val="single"/>
              </w:rPr>
              <w:t xml:space="preserve">Component </w:t>
            </w:r>
            <w:r w:rsidR="009716F9">
              <w:rPr>
                <w:u w:val="single"/>
              </w:rPr>
              <w:t>6</w:t>
            </w:r>
            <w:r>
              <w:rPr>
                <w:u w:val="single"/>
              </w:rPr>
              <w:t>: ‘In Australia’ rule</w:t>
            </w:r>
          </w:p>
          <w:p w:rsidR="005E689D" w:rsidRPr="009716F9" w:rsidRDefault="00420034" w:rsidP="009716F9">
            <w:pPr>
              <w:pStyle w:val="Bullet1"/>
            </w:pPr>
            <w:r>
              <w:t>R</w:t>
            </w:r>
            <w:r w:rsidR="005E689D" w:rsidRPr="009716F9">
              <w:t>emove touring arts companies from the 'in Australia' rule from 1 July 2017 which would allow organisations to become tax exempt entities</w:t>
            </w:r>
            <w:r>
              <w:t>.</w:t>
            </w:r>
          </w:p>
          <w:p w:rsidR="005E689D" w:rsidRDefault="005E689D" w:rsidP="006842DF">
            <w:pPr>
              <w:pStyle w:val="Bullet1"/>
              <w:numPr>
                <w:ilvl w:val="0"/>
                <w:numId w:val="0"/>
              </w:numPr>
            </w:pPr>
            <w:r>
              <w:rPr>
                <w:u w:val="single"/>
              </w:rPr>
              <w:t xml:space="preserve">Component </w:t>
            </w:r>
            <w:r w:rsidR="009716F9">
              <w:rPr>
                <w:u w:val="single"/>
              </w:rPr>
              <w:t>7</w:t>
            </w:r>
            <w:r>
              <w:rPr>
                <w:u w:val="single"/>
              </w:rPr>
              <w:t>: Arts Research and Development</w:t>
            </w:r>
            <w:r w:rsidR="006711FF">
              <w:rPr>
                <w:u w:val="single"/>
              </w:rPr>
              <w:t xml:space="preserve"> fund</w:t>
            </w:r>
          </w:p>
          <w:p w:rsidR="005E689D" w:rsidRDefault="008D043E" w:rsidP="009716F9">
            <w:pPr>
              <w:pStyle w:val="Bullet1"/>
            </w:pPr>
            <w:r w:rsidRPr="009716F9">
              <w:t>$5</w:t>
            </w:r>
            <w:r>
              <w:t> </w:t>
            </w:r>
            <w:r w:rsidRPr="009716F9">
              <w:t>million</w:t>
            </w:r>
            <w:r>
              <w:t xml:space="preserve"> to c</w:t>
            </w:r>
            <w:r w:rsidR="005E689D" w:rsidRPr="009716F9">
              <w:t>reat</w:t>
            </w:r>
            <w:r>
              <w:t>e</w:t>
            </w:r>
            <w:r w:rsidR="005E689D" w:rsidRPr="009716F9">
              <w:t xml:space="preserve"> an Arts Research and Development </w:t>
            </w:r>
            <w:r w:rsidR="006711FF">
              <w:t>fund.</w:t>
            </w:r>
          </w:p>
          <w:p w:rsidR="005E689D" w:rsidRDefault="005E689D" w:rsidP="006842DF">
            <w:pPr>
              <w:pStyle w:val="Bullet1"/>
              <w:numPr>
                <w:ilvl w:val="0"/>
                <w:numId w:val="0"/>
              </w:numPr>
            </w:pPr>
            <w:r>
              <w:rPr>
                <w:u w:val="single"/>
              </w:rPr>
              <w:lastRenderedPageBreak/>
              <w:t xml:space="preserve">Component </w:t>
            </w:r>
            <w:r w:rsidR="009716F9">
              <w:rPr>
                <w:u w:val="single"/>
              </w:rPr>
              <w:t>8</w:t>
            </w:r>
            <w:r>
              <w:rPr>
                <w:u w:val="single"/>
              </w:rPr>
              <w:t>: Artist in residence</w:t>
            </w:r>
          </w:p>
          <w:p w:rsidR="005E689D" w:rsidRDefault="008D043E" w:rsidP="009716F9">
            <w:pPr>
              <w:pStyle w:val="Bullet1"/>
            </w:pPr>
            <w:r w:rsidRPr="009716F9">
              <w:t>$1 million</w:t>
            </w:r>
            <w:r>
              <w:t xml:space="preserve"> to i</w:t>
            </w:r>
            <w:r w:rsidR="005E689D" w:rsidRPr="009716F9">
              <w:t>ntroduce an artist in residence program at Parliament House</w:t>
            </w:r>
            <w:r w:rsidR="00420034">
              <w:t>.</w:t>
            </w:r>
          </w:p>
          <w:p w:rsidR="005E689D" w:rsidRDefault="005E689D" w:rsidP="006842DF">
            <w:pPr>
              <w:pStyle w:val="Bullet1"/>
              <w:numPr>
                <w:ilvl w:val="0"/>
                <w:numId w:val="0"/>
              </w:numPr>
            </w:pPr>
            <w:r>
              <w:rPr>
                <w:u w:val="single"/>
              </w:rPr>
              <w:t xml:space="preserve">Component </w:t>
            </w:r>
            <w:r w:rsidR="009716F9">
              <w:rPr>
                <w:u w:val="single"/>
              </w:rPr>
              <w:t>9</w:t>
            </w:r>
            <w:r>
              <w:rPr>
                <w:u w:val="single"/>
              </w:rPr>
              <w:t xml:space="preserve">: </w:t>
            </w:r>
            <w:r w:rsidR="009716F9">
              <w:rPr>
                <w:u w:val="single"/>
              </w:rPr>
              <w:t>National voices in the arts</w:t>
            </w:r>
          </w:p>
          <w:p w:rsidR="005E689D" w:rsidRPr="009716F9" w:rsidRDefault="008D043E" w:rsidP="00402BFD">
            <w:pPr>
              <w:pStyle w:val="Bullet1"/>
            </w:pPr>
            <w:r w:rsidRPr="009716F9">
              <w:t>$1 million</w:t>
            </w:r>
            <w:r>
              <w:t xml:space="preserve"> to s</w:t>
            </w:r>
            <w:r w:rsidR="005E689D" w:rsidRPr="009716F9">
              <w:t>upport national voices in the arts</w:t>
            </w:r>
            <w:r w:rsidR="00420034">
              <w:t>.</w:t>
            </w:r>
          </w:p>
          <w:p w:rsidR="009716F9" w:rsidRDefault="009716F9" w:rsidP="006842DF">
            <w:pPr>
              <w:pStyle w:val="Bullet1"/>
              <w:numPr>
                <w:ilvl w:val="0"/>
                <w:numId w:val="0"/>
              </w:numPr>
            </w:pPr>
            <w:r>
              <w:rPr>
                <w:u w:val="single"/>
              </w:rPr>
              <w:t>Component 10: National arts week</w:t>
            </w:r>
          </w:p>
          <w:p w:rsidR="004D5525" w:rsidRDefault="008D043E" w:rsidP="007D75A4">
            <w:pPr>
              <w:pStyle w:val="Bullet1"/>
            </w:pPr>
            <w:r w:rsidRPr="009716F9">
              <w:t xml:space="preserve">$1 million </w:t>
            </w:r>
            <w:r>
              <w:t>to e</w:t>
            </w:r>
            <w:r w:rsidR="005E689D" w:rsidRPr="009716F9">
              <w:t>stablish a national arts week.</w:t>
            </w:r>
          </w:p>
          <w:p w:rsidR="00B24CC9" w:rsidRDefault="00B24CC9" w:rsidP="00B24CC9">
            <w:pPr>
              <w:pStyle w:val="Bullet1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Component 11: Regional Arts Fund</w:t>
            </w:r>
          </w:p>
          <w:p w:rsidR="00B24CC9" w:rsidRDefault="00B24CC9" w:rsidP="00B24CC9">
            <w:pPr>
              <w:pStyle w:val="Bullet1"/>
            </w:pPr>
            <w:r>
              <w:t>$8 million for the Regional Arts Fund.</w:t>
            </w:r>
          </w:p>
          <w:p w:rsidR="00B24CC9" w:rsidRDefault="00B24CC9" w:rsidP="00B24CC9">
            <w:pPr>
              <w:pStyle w:val="Bullet1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 xml:space="preserve">Component 12: Live </w:t>
            </w:r>
            <w:r w:rsidR="006711FF">
              <w:rPr>
                <w:u w:val="single"/>
              </w:rPr>
              <w:t xml:space="preserve">Music </w:t>
            </w:r>
            <w:r>
              <w:rPr>
                <w:u w:val="single"/>
              </w:rPr>
              <w:t>Office</w:t>
            </w:r>
          </w:p>
          <w:p w:rsidR="00B24CC9" w:rsidRDefault="00B24CC9" w:rsidP="00B24CC9">
            <w:pPr>
              <w:pStyle w:val="Bullet1"/>
            </w:pPr>
            <w:r>
              <w:t>An additional $5.4 million to the Live Music Office.</w:t>
            </w:r>
          </w:p>
          <w:p w:rsidR="007A45DC" w:rsidRDefault="00B24CC9" w:rsidP="007A45DC">
            <w:pPr>
              <w:pStyle w:val="Bullet1"/>
              <w:numPr>
                <w:ilvl w:val="0"/>
                <w:numId w:val="0"/>
              </w:numPr>
              <w:rPr>
                <w:i/>
                <w:u w:val="single"/>
              </w:rPr>
            </w:pPr>
            <w:r>
              <w:rPr>
                <w:u w:val="single"/>
              </w:rPr>
              <w:t xml:space="preserve">Component 13: Expand </w:t>
            </w:r>
            <w:r>
              <w:rPr>
                <w:i/>
                <w:u w:val="single"/>
              </w:rPr>
              <w:t>Music:</w:t>
            </w:r>
            <w:r w:rsidR="005330B8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 xml:space="preserve">Count Us In </w:t>
            </w:r>
          </w:p>
          <w:p w:rsidR="00B24CC9" w:rsidRDefault="00B24CC9" w:rsidP="007A45DC">
            <w:pPr>
              <w:pStyle w:val="Bullet1"/>
            </w:pPr>
            <w:r w:rsidRPr="00B24CC9">
              <w:t xml:space="preserve">$2 million </w:t>
            </w:r>
            <w:r>
              <w:t>to expand the school program</w:t>
            </w:r>
            <w:r w:rsidR="00107D15">
              <w:t>,</w:t>
            </w:r>
            <w:r>
              <w:t xml:space="preserve"> </w:t>
            </w:r>
            <w:r>
              <w:rPr>
                <w:i/>
              </w:rPr>
              <w:t>Music:</w:t>
            </w:r>
            <w:r w:rsidR="005330B8">
              <w:rPr>
                <w:i/>
              </w:rPr>
              <w:t xml:space="preserve"> </w:t>
            </w:r>
            <w:r>
              <w:rPr>
                <w:i/>
              </w:rPr>
              <w:t>Count Us In.</w:t>
            </w:r>
          </w:p>
          <w:p w:rsidR="00B24CC9" w:rsidRDefault="00B24CC9" w:rsidP="00B24CC9">
            <w:pPr>
              <w:pStyle w:val="Bullet1"/>
              <w:numPr>
                <w:ilvl w:val="0"/>
                <w:numId w:val="0"/>
              </w:numPr>
              <w:rPr>
                <w:u w:val="single"/>
              </w:rPr>
            </w:pPr>
            <w:r>
              <w:rPr>
                <w:u w:val="single"/>
              </w:rPr>
              <w:t>Component 14: Australian authors</w:t>
            </w:r>
            <w:r w:rsidR="006711FF">
              <w:rPr>
                <w:u w:val="single"/>
              </w:rPr>
              <w:t>’</w:t>
            </w:r>
            <w:r>
              <w:rPr>
                <w:u w:val="single"/>
              </w:rPr>
              <w:t xml:space="preserve"> </w:t>
            </w:r>
            <w:r w:rsidR="006711FF">
              <w:rPr>
                <w:u w:val="single"/>
              </w:rPr>
              <w:t xml:space="preserve">advocacy </w:t>
            </w:r>
            <w:r>
              <w:rPr>
                <w:u w:val="single"/>
              </w:rPr>
              <w:t>body</w:t>
            </w:r>
          </w:p>
          <w:p w:rsidR="00B24CC9" w:rsidRPr="00B24CC9" w:rsidRDefault="00B24CC9" w:rsidP="00B24CC9">
            <w:pPr>
              <w:pStyle w:val="Bullet1"/>
            </w:pPr>
            <w:r>
              <w:t xml:space="preserve">$5 million to establish a body that can advocate for Australian authors and the broader industry. </w:t>
            </w:r>
          </w:p>
          <w:p w:rsidR="007A45DC" w:rsidRDefault="007D75A4" w:rsidP="007A45DC">
            <w:r>
              <w:t>Where unspecified, funding allocations for the 2016</w:t>
            </w:r>
            <w:r>
              <w:noBreakHyphen/>
              <w:t>17 Budget forward estimates period would be spread evenly across the four years.</w:t>
            </w:r>
            <w:r w:rsidR="007A45DC">
              <w:t xml:space="preserve">  </w:t>
            </w:r>
          </w:p>
          <w:p w:rsidR="007A45DC" w:rsidRDefault="007A45DC" w:rsidP="007A45DC">
            <w:r>
              <w:t>Departmental expenses would be included in the proposed annual spending commitments.</w:t>
            </w:r>
          </w:p>
          <w:p w:rsidR="001C3AA9" w:rsidRDefault="001C3AA9" w:rsidP="007D75A4">
            <w:r>
              <w:t>The proposal would have effect from 1 September 2016.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lastRenderedPageBreak/>
              <w:t>Person/party requesting costing:</w:t>
            </w:r>
          </w:p>
        </w:tc>
        <w:tc>
          <w:tcPr>
            <w:tcW w:w="5335" w:type="dxa"/>
          </w:tcPr>
          <w:p w:rsidR="004D5525" w:rsidRDefault="000B66C8" w:rsidP="004D5525">
            <w:pPr>
              <w:pStyle w:val="BodyText"/>
            </w:pPr>
            <w:r w:rsidRPr="000B66C8">
              <w:t>Senator Richard Di Natale, Australian Greens</w:t>
            </w:r>
          </w:p>
        </w:tc>
      </w:tr>
      <w:tr w:rsidR="007D3577" w:rsidTr="00060F22">
        <w:tc>
          <w:tcPr>
            <w:tcW w:w="3005" w:type="dxa"/>
          </w:tcPr>
          <w:p w:rsidR="007D3577" w:rsidRDefault="007D3577" w:rsidP="00060F22">
            <w:pPr>
              <w:pStyle w:val="BodyText"/>
            </w:pPr>
            <w:r>
              <w:t>Date of public release of policy:</w:t>
            </w:r>
          </w:p>
        </w:tc>
        <w:tc>
          <w:tcPr>
            <w:tcW w:w="5335" w:type="dxa"/>
          </w:tcPr>
          <w:p w:rsidR="0034419E" w:rsidRDefault="0034419E" w:rsidP="00060F22">
            <w:pPr>
              <w:pStyle w:val="BodyText"/>
            </w:pPr>
            <w:r w:rsidRPr="0034419E">
              <w:t>30 May 2016</w:t>
            </w:r>
          </w:p>
          <w:p w:rsidR="007D3577" w:rsidRPr="00C17112" w:rsidRDefault="00B265C5" w:rsidP="0034419E">
            <w:hyperlink r:id="rId13" w:history="1">
              <w:r w:rsidR="00402BFD" w:rsidRPr="00FF5199">
                <w:rPr>
                  <w:rStyle w:val="Hyperlink"/>
                </w:rPr>
                <w:t>http://www.adambandt.com/160530</w:t>
              </w:r>
            </w:hyperlink>
            <w:r w:rsidR="00402BFD">
              <w:t xml:space="preserve">  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request received:</w:t>
            </w:r>
          </w:p>
        </w:tc>
        <w:tc>
          <w:tcPr>
            <w:tcW w:w="5335" w:type="dxa"/>
          </w:tcPr>
          <w:p w:rsidR="004D5525" w:rsidRDefault="00B24CC9" w:rsidP="004D5525">
            <w:pPr>
              <w:pStyle w:val="BodyText"/>
            </w:pPr>
            <w:r>
              <w:t>1 July 2016</w:t>
            </w:r>
          </w:p>
        </w:tc>
      </w:tr>
      <w:tr w:rsidR="004D5525" w:rsidTr="00D52D5F">
        <w:tc>
          <w:tcPr>
            <w:tcW w:w="3005" w:type="dxa"/>
          </w:tcPr>
          <w:p w:rsidR="004D5525" w:rsidRDefault="004D5525" w:rsidP="004D5525">
            <w:pPr>
              <w:pStyle w:val="BodyText"/>
            </w:pPr>
            <w:r>
              <w:t>Date costing completed</w:t>
            </w:r>
            <w:r w:rsidR="00B265C5">
              <w:t>:</w:t>
            </w:r>
          </w:p>
        </w:tc>
        <w:tc>
          <w:tcPr>
            <w:tcW w:w="5335" w:type="dxa"/>
          </w:tcPr>
          <w:p w:rsidR="004D5525" w:rsidRPr="00C17112" w:rsidRDefault="00B24CC9" w:rsidP="004D5525">
            <w:pPr>
              <w:pStyle w:val="BodyText"/>
            </w:pPr>
            <w:r>
              <w:t>1 July 2016</w:t>
            </w:r>
          </w:p>
        </w:tc>
      </w:tr>
      <w:tr w:rsidR="004D5525" w:rsidTr="00D52D5F">
        <w:tc>
          <w:tcPr>
            <w:tcW w:w="3005" w:type="dxa"/>
          </w:tcPr>
          <w:p w:rsidR="004D5525" w:rsidRPr="00220BE5" w:rsidRDefault="004D5525" w:rsidP="004D5525">
            <w:pPr>
              <w:pStyle w:val="BodyText"/>
            </w:pPr>
            <w:r w:rsidRPr="00220BE5">
              <w:t>Expiry date for the costing:</w:t>
            </w:r>
          </w:p>
        </w:tc>
        <w:tc>
          <w:tcPr>
            <w:tcW w:w="5335" w:type="dxa"/>
          </w:tcPr>
          <w:p w:rsidR="004D5525" w:rsidRPr="00220BE5" w:rsidRDefault="00F4535C" w:rsidP="00220BE5">
            <w:pPr>
              <w:pStyle w:val="BodyText"/>
            </w:pPr>
            <w:r>
              <w:t>Release of the next economic and fiscal outlook report</w:t>
            </w:r>
          </w:p>
        </w:tc>
      </w:tr>
    </w:tbl>
    <w:p w:rsidR="0055581F" w:rsidRPr="00002D5D" w:rsidRDefault="008030EC" w:rsidP="00FC6579">
      <w:pPr>
        <w:pStyle w:val="Heading2"/>
      </w:pPr>
      <w:r w:rsidRPr="00002D5D">
        <w:lastRenderedPageBreak/>
        <w:t>Costing overview</w:t>
      </w:r>
    </w:p>
    <w:p w:rsidR="00E462BB" w:rsidRPr="006842DF" w:rsidRDefault="00C44352" w:rsidP="006842DF">
      <w:pPr>
        <w:keepNext/>
        <w:keepLines/>
        <w:numPr>
          <w:ilvl w:val="1"/>
          <w:numId w:val="1"/>
        </w:numPr>
        <w:tabs>
          <w:tab w:val="clear" w:pos="0"/>
        </w:tabs>
      </w:pPr>
      <w:r w:rsidRPr="00C44352">
        <w:t xml:space="preserve">This proposal would be expected to decrease both the </w:t>
      </w:r>
      <w:r w:rsidR="001C3AA9">
        <w:t xml:space="preserve">fiscal and </w:t>
      </w:r>
      <w:r w:rsidRPr="00C44352">
        <w:t>underlying cash balances by $</w:t>
      </w:r>
      <w:r w:rsidR="00B24CC9">
        <w:t>31</w:t>
      </w:r>
      <w:r w:rsidRPr="00C44352">
        <w:t>7.</w:t>
      </w:r>
      <w:r w:rsidR="00B24CC9">
        <w:t>4</w:t>
      </w:r>
      <w:r w:rsidRPr="00C44352">
        <w:t xml:space="preserve"> million over the 2016-17 Budget forward estimate</w:t>
      </w:r>
      <w:r w:rsidR="001C3AA9">
        <w:t>s</w:t>
      </w:r>
      <w:r w:rsidR="001B2FBE">
        <w:t xml:space="preserve"> period.  This </w:t>
      </w:r>
      <w:r w:rsidRPr="00C44352">
        <w:t>reflects an increase in departmental expen</w:t>
      </w:r>
      <w:r w:rsidR="00E462BB">
        <w:t>ses</w:t>
      </w:r>
      <w:r w:rsidRPr="00C44352">
        <w:t xml:space="preserve"> for the Australia Council</w:t>
      </w:r>
      <w:r w:rsidR="001B2FBE">
        <w:t xml:space="preserve"> of $298.6 million and an increase in administered expenses of $18.8</w:t>
      </w:r>
      <w:r w:rsidR="00107D15" w:rsidRPr="006842DF">
        <w:t> million</w:t>
      </w:r>
      <w:r w:rsidRPr="00C44352">
        <w:t>.</w:t>
      </w:r>
    </w:p>
    <w:p w:rsidR="001B2FBE" w:rsidRPr="006842DF" w:rsidRDefault="00E462BB" w:rsidP="006842DF">
      <w:r>
        <w:t>Detailed financial implications of the proposal are provided</w:t>
      </w:r>
      <w:r w:rsidR="00C44352" w:rsidRPr="00C44352">
        <w:t xml:space="preserve"> at </w:t>
      </w:r>
      <w:r w:rsidR="00C44352" w:rsidRPr="006842DF">
        <w:rPr>
          <w:u w:val="single"/>
        </w:rPr>
        <w:t xml:space="preserve">Attachment </w:t>
      </w:r>
      <w:r w:rsidR="001C3AA9" w:rsidRPr="006842DF">
        <w:rPr>
          <w:u w:val="single"/>
        </w:rPr>
        <w:t>A</w:t>
      </w:r>
      <w:r w:rsidR="00C44352" w:rsidRPr="00C44352">
        <w:t>.</w:t>
      </w:r>
    </w:p>
    <w:p w:rsidR="001B2FBE" w:rsidRDefault="00C44352" w:rsidP="001B2FBE">
      <w:pPr>
        <w:rPr>
          <w:b/>
          <w:bCs/>
        </w:rPr>
      </w:pPr>
      <w:r w:rsidRPr="00C44352">
        <w:t xml:space="preserve">The proposal would have </w:t>
      </w:r>
      <w:r w:rsidR="00E462BB">
        <w:t xml:space="preserve">an </w:t>
      </w:r>
      <w:r w:rsidRPr="00C44352">
        <w:t xml:space="preserve">ongoing </w:t>
      </w:r>
      <w:r w:rsidR="00E462BB">
        <w:t>impact that extends</w:t>
      </w:r>
      <w:r w:rsidRPr="00C44352">
        <w:t xml:space="preserve"> beyond the </w:t>
      </w:r>
      <w:r w:rsidR="001C3AA9">
        <w:t xml:space="preserve">2016-17 Budget </w:t>
      </w:r>
      <w:r w:rsidRPr="00C44352">
        <w:t xml:space="preserve">forward estimates period. </w:t>
      </w:r>
    </w:p>
    <w:p w:rsidR="001B2FBE" w:rsidRPr="001B2FBE" w:rsidRDefault="001B2FBE" w:rsidP="001B2FBE">
      <w:r w:rsidRPr="001B2FBE">
        <w:t xml:space="preserve">The departmental expense estimates in this costing are considered to be </w:t>
      </w:r>
      <w:r w:rsidR="005330B8">
        <w:t xml:space="preserve">of high reliability as they have </w:t>
      </w:r>
      <w:r w:rsidR="00FA11F4">
        <w:t>b</w:t>
      </w:r>
      <w:r w:rsidR="005330B8">
        <w:t xml:space="preserve">een </w:t>
      </w:r>
      <w:r w:rsidR="00FA11F4">
        <w:t xml:space="preserve">either </w:t>
      </w:r>
      <w:r w:rsidR="005330B8">
        <w:t xml:space="preserve">specified in the request or </w:t>
      </w:r>
      <w:r w:rsidRPr="001B2FBE">
        <w:t>based on the costs of similar programs.</w:t>
      </w:r>
    </w:p>
    <w:p w:rsidR="001B2FBE" w:rsidRPr="001B2FBE" w:rsidRDefault="001B2FBE" w:rsidP="001B2FBE">
      <w:r w:rsidRPr="001B2FBE">
        <w:t>The administered expense estimates in this costing are considered to be of high reliability as the amounts are as specified in the request</w:t>
      </w:r>
      <w:r w:rsidR="007A45DC">
        <w:t xml:space="preserve">.  </w:t>
      </w:r>
      <w:r w:rsidRPr="001B2FBE">
        <w:t>However, no analysis has been undertaken to determine the adequacy of the prescribed funding amounts to achieve the objectives of the proposal.</w:t>
      </w:r>
    </w:p>
    <w:p w:rsidR="005E3562" w:rsidRPr="00FC6579" w:rsidRDefault="005E3562" w:rsidP="001B2FBE">
      <w:pPr>
        <w:pStyle w:val="Captionheading"/>
      </w:pPr>
      <w:r w:rsidRPr="00FC6579">
        <w:t xml:space="preserve">Table </w:t>
      </w:r>
      <w:r w:rsidR="001A02D1" w:rsidRPr="00FC6579">
        <w:t>1</w:t>
      </w:r>
      <w:r w:rsidRPr="00FC6579">
        <w:t>: Financial implications (outturn prices</w:t>
      </w:r>
      <w:proofErr w:type="gramStart"/>
      <w:r w:rsidRPr="00FC6579">
        <w:t>)</w:t>
      </w:r>
      <w:r w:rsidRPr="00844776">
        <w:rPr>
          <w:vertAlign w:val="superscript"/>
        </w:rPr>
        <w:t>(</w:t>
      </w:r>
      <w:proofErr w:type="gramEnd"/>
      <w:r w:rsidRPr="00844776">
        <w:rPr>
          <w:vertAlign w:val="superscript"/>
        </w:rPr>
        <w:t>a)</w:t>
      </w:r>
      <w:r w:rsidR="001C3AA9">
        <w:rPr>
          <w:vertAlign w:val="superscript"/>
        </w:rPr>
        <w:t>(b)</w:t>
      </w:r>
    </w:p>
    <w:tbl>
      <w:tblPr>
        <w:tblStyle w:val="TableGrid"/>
        <w:tblW w:w="4993" w:type="pct"/>
        <w:tblLook w:val="04A0" w:firstRow="1" w:lastRow="0" w:firstColumn="1" w:lastColumn="0" w:noHBand="0" w:noVBand="1"/>
      </w:tblPr>
      <w:tblGrid>
        <w:gridCol w:w="2644"/>
        <w:gridCol w:w="1133"/>
        <w:gridCol w:w="1134"/>
        <w:gridCol w:w="1134"/>
        <w:gridCol w:w="1134"/>
        <w:gridCol w:w="1132"/>
      </w:tblGrid>
      <w:tr w:rsidR="00692DD8" w:rsidRPr="00B73AC8" w:rsidTr="00EA2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1" w:type="pct"/>
          </w:tcPr>
          <w:p w:rsidR="00CA5D42" w:rsidRPr="00B73AC8" w:rsidRDefault="00CA5D42" w:rsidP="006842DF">
            <w:pPr>
              <w:pStyle w:val="TableText"/>
              <w:keepNext/>
              <w:keepLines/>
              <w:spacing w:line="240" w:lineRule="auto"/>
              <w:ind w:left="57" w:right="57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Impact on</w:t>
            </w:r>
            <w:r w:rsidR="00461597">
              <w:rPr>
                <w:rFonts w:ascii="Calibri" w:hAnsi="Calibri"/>
                <w:szCs w:val="20"/>
              </w:rPr>
              <w:t xml:space="preserve"> ($m)</w:t>
            </w:r>
          </w:p>
        </w:tc>
        <w:tc>
          <w:tcPr>
            <w:tcW w:w="682" w:type="pct"/>
          </w:tcPr>
          <w:p w:rsidR="00CA5D42" w:rsidRPr="00B73AC8" w:rsidRDefault="00CA5D42" w:rsidP="006842DF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2016–17</w:t>
            </w:r>
          </w:p>
        </w:tc>
        <w:tc>
          <w:tcPr>
            <w:tcW w:w="682" w:type="pct"/>
          </w:tcPr>
          <w:p w:rsidR="00CA5D42" w:rsidRPr="00B73AC8" w:rsidRDefault="00CA5D42" w:rsidP="006842DF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2017–18</w:t>
            </w:r>
          </w:p>
        </w:tc>
        <w:tc>
          <w:tcPr>
            <w:tcW w:w="682" w:type="pct"/>
          </w:tcPr>
          <w:p w:rsidR="00CA5D42" w:rsidRPr="00B73AC8" w:rsidRDefault="00CA5D42" w:rsidP="006842DF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2018–19</w:t>
            </w:r>
          </w:p>
        </w:tc>
        <w:tc>
          <w:tcPr>
            <w:tcW w:w="682" w:type="pct"/>
          </w:tcPr>
          <w:p w:rsidR="00CA5D42" w:rsidRPr="00B73AC8" w:rsidRDefault="00CA5D42" w:rsidP="006842DF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B73AC8">
              <w:rPr>
                <w:rFonts w:ascii="Calibri" w:hAnsi="Calibri"/>
                <w:szCs w:val="20"/>
              </w:rPr>
              <w:t>2019–20</w:t>
            </w:r>
          </w:p>
        </w:tc>
        <w:tc>
          <w:tcPr>
            <w:tcW w:w="681" w:type="pct"/>
          </w:tcPr>
          <w:p w:rsidR="00CA5D42" w:rsidRPr="00F97DFF" w:rsidRDefault="00CA5D42" w:rsidP="006842DF">
            <w:pPr>
              <w:keepNext/>
              <w:keepLines/>
              <w:spacing w:before="70" w:after="70"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Cs w:val="20"/>
              </w:rPr>
            </w:pPr>
            <w:r w:rsidRPr="00F97DFF">
              <w:rPr>
                <w:rFonts w:ascii="Calibri" w:hAnsi="Calibri"/>
                <w:b/>
                <w:szCs w:val="20"/>
              </w:rPr>
              <w:t>Total</w:t>
            </w:r>
          </w:p>
        </w:tc>
      </w:tr>
      <w:tr w:rsidR="00C44352" w:rsidRPr="00B73AC8" w:rsidTr="00EA2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C44352" w:rsidRPr="00B73AC8" w:rsidRDefault="00C44352" w:rsidP="006842DF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Fiscal balance</w:t>
            </w:r>
          </w:p>
        </w:tc>
        <w:tc>
          <w:tcPr>
            <w:tcW w:w="682" w:type="pct"/>
          </w:tcPr>
          <w:p w:rsidR="00C44352" w:rsidRPr="003E7FBE" w:rsidRDefault="00C44352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7FBE">
              <w:t>-7</w:t>
            </w:r>
            <w:r w:rsidR="001C3AA9">
              <w:t>8</w:t>
            </w:r>
            <w:r w:rsidRPr="003E7FBE">
              <w:t>.</w:t>
            </w:r>
            <w:r w:rsidR="001C3AA9">
              <w:t>5</w:t>
            </w:r>
          </w:p>
        </w:tc>
        <w:tc>
          <w:tcPr>
            <w:tcW w:w="682" w:type="pct"/>
          </w:tcPr>
          <w:p w:rsidR="00C44352" w:rsidRPr="003E7FBE" w:rsidRDefault="00C44352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7FBE">
              <w:t>-</w:t>
            </w:r>
            <w:r w:rsidR="001C3AA9">
              <w:t>80.0</w:t>
            </w:r>
          </w:p>
        </w:tc>
        <w:tc>
          <w:tcPr>
            <w:tcW w:w="682" w:type="pct"/>
          </w:tcPr>
          <w:p w:rsidR="00C44352" w:rsidRPr="003E7FBE" w:rsidRDefault="00C44352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7FBE">
              <w:t>-7</w:t>
            </w:r>
            <w:r w:rsidR="001C3AA9">
              <w:t>9</w:t>
            </w:r>
            <w:r w:rsidRPr="003E7FBE">
              <w:t>.</w:t>
            </w:r>
            <w:r w:rsidR="001C3AA9">
              <w:t>7</w:t>
            </w:r>
          </w:p>
        </w:tc>
        <w:tc>
          <w:tcPr>
            <w:tcW w:w="682" w:type="pct"/>
          </w:tcPr>
          <w:p w:rsidR="00C44352" w:rsidRPr="003E7FBE" w:rsidRDefault="00C44352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7FBE">
              <w:t>-7</w:t>
            </w:r>
            <w:r w:rsidR="001C3AA9">
              <w:t>9</w:t>
            </w:r>
            <w:r w:rsidRPr="003E7FBE">
              <w:t>.</w:t>
            </w:r>
            <w:r w:rsidR="001C3AA9">
              <w:t>3</w:t>
            </w:r>
          </w:p>
        </w:tc>
        <w:tc>
          <w:tcPr>
            <w:tcW w:w="681" w:type="pct"/>
          </w:tcPr>
          <w:p w:rsidR="00C44352" w:rsidRPr="00C44352" w:rsidRDefault="00C44352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44352">
              <w:rPr>
                <w:b/>
              </w:rPr>
              <w:t>-</w:t>
            </w:r>
            <w:r w:rsidR="001C3AA9">
              <w:rPr>
                <w:b/>
              </w:rPr>
              <w:t>317</w:t>
            </w:r>
            <w:r w:rsidRPr="00C44352">
              <w:rPr>
                <w:b/>
              </w:rPr>
              <w:t>.</w:t>
            </w:r>
            <w:r w:rsidR="001C3AA9">
              <w:rPr>
                <w:b/>
              </w:rPr>
              <w:t>4</w:t>
            </w:r>
          </w:p>
        </w:tc>
      </w:tr>
      <w:tr w:rsidR="001C3AA9" w:rsidRPr="00B73AC8" w:rsidTr="00EA2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pct"/>
          </w:tcPr>
          <w:p w:rsidR="001C3AA9" w:rsidRPr="00B73AC8" w:rsidRDefault="001C3AA9" w:rsidP="006842DF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szCs w:val="20"/>
              </w:rPr>
            </w:pPr>
            <w:r w:rsidRPr="00B73AC8">
              <w:rPr>
                <w:szCs w:val="20"/>
              </w:rPr>
              <w:t>Underlying cash balance</w:t>
            </w:r>
          </w:p>
        </w:tc>
        <w:tc>
          <w:tcPr>
            <w:tcW w:w="682" w:type="pct"/>
          </w:tcPr>
          <w:p w:rsidR="001C3AA9" w:rsidRPr="003E7FBE" w:rsidRDefault="001C3AA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7FBE">
              <w:t>-7</w:t>
            </w:r>
            <w:r>
              <w:t>8</w:t>
            </w:r>
            <w:r w:rsidRPr="003E7FBE">
              <w:t>.</w:t>
            </w:r>
            <w:r>
              <w:t>5</w:t>
            </w:r>
          </w:p>
        </w:tc>
        <w:tc>
          <w:tcPr>
            <w:tcW w:w="682" w:type="pct"/>
          </w:tcPr>
          <w:p w:rsidR="001C3AA9" w:rsidRPr="003E7FBE" w:rsidRDefault="001C3AA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7FBE">
              <w:t>-</w:t>
            </w:r>
            <w:r>
              <w:t>80.0</w:t>
            </w:r>
          </w:p>
        </w:tc>
        <w:tc>
          <w:tcPr>
            <w:tcW w:w="682" w:type="pct"/>
          </w:tcPr>
          <w:p w:rsidR="001C3AA9" w:rsidRPr="003E7FBE" w:rsidRDefault="001C3AA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7FBE">
              <w:t>-7</w:t>
            </w:r>
            <w:r>
              <w:t>9</w:t>
            </w:r>
            <w:r w:rsidRPr="003E7FBE">
              <w:t>.</w:t>
            </w:r>
            <w:r>
              <w:t>7</w:t>
            </w:r>
          </w:p>
        </w:tc>
        <w:tc>
          <w:tcPr>
            <w:tcW w:w="682" w:type="pct"/>
          </w:tcPr>
          <w:p w:rsidR="001C3AA9" w:rsidRPr="003E7FBE" w:rsidRDefault="001C3AA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7FBE">
              <w:t>-7</w:t>
            </w:r>
            <w:r>
              <w:t>9</w:t>
            </w:r>
            <w:r w:rsidRPr="003E7FBE">
              <w:t>.</w:t>
            </w:r>
            <w:r>
              <w:t>3</w:t>
            </w:r>
          </w:p>
        </w:tc>
        <w:tc>
          <w:tcPr>
            <w:tcW w:w="681" w:type="pct"/>
          </w:tcPr>
          <w:p w:rsidR="001C3AA9" w:rsidRPr="00C44352" w:rsidRDefault="001C3AA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44352">
              <w:rPr>
                <w:b/>
              </w:rPr>
              <w:t>-</w:t>
            </w:r>
            <w:r>
              <w:rPr>
                <w:b/>
              </w:rPr>
              <w:t>317.4</w:t>
            </w:r>
          </w:p>
        </w:tc>
      </w:tr>
    </w:tbl>
    <w:p w:rsidR="000B66C8" w:rsidRDefault="000B66C8" w:rsidP="006842DF">
      <w:pPr>
        <w:pStyle w:val="Footnotes"/>
        <w:keepNext/>
        <w:keepLines/>
        <w:numPr>
          <w:ilvl w:val="0"/>
          <w:numId w:val="7"/>
        </w:numPr>
        <w:ind w:left="284" w:hanging="284"/>
      </w:pPr>
      <w:r w:rsidRPr="007961A0">
        <w:t xml:space="preserve">A positive number represents an increase in the relevant budget </w:t>
      </w:r>
      <w:proofErr w:type="gramStart"/>
      <w:r w:rsidRPr="007961A0">
        <w:t>balance,</w:t>
      </w:r>
      <w:proofErr w:type="gramEnd"/>
      <w:r w:rsidRPr="007961A0">
        <w:t xml:space="preserve"> a negative number represents a decrease</w:t>
      </w:r>
      <w:r>
        <w:t>.</w:t>
      </w:r>
    </w:p>
    <w:p w:rsidR="000B66C8" w:rsidRDefault="000B66C8" w:rsidP="006842DF">
      <w:pPr>
        <w:pStyle w:val="Footnotes"/>
        <w:keepNext/>
        <w:keepLines/>
        <w:numPr>
          <w:ilvl w:val="0"/>
          <w:numId w:val="7"/>
        </w:numPr>
        <w:ind w:left="284" w:hanging="284"/>
      </w:pPr>
      <w:r>
        <w:t>Figures may not sum to totals due to rounding.</w:t>
      </w:r>
    </w:p>
    <w:p w:rsidR="008D3909" w:rsidRPr="00FC6579" w:rsidRDefault="00C44352" w:rsidP="00E40B8B">
      <w:pPr>
        <w:pStyle w:val="Heading2"/>
      </w:pPr>
      <w:r>
        <w:t>Methodology</w:t>
      </w:r>
    </w:p>
    <w:p w:rsidR="00C44352" w:rsidRPr="006842DF" w:rsidRDefault="00402BFD" w:rsidP="006842DF">
      <w:pPr>
        <w:keepNext/>
        <w:keepLines/>
        <w:numPr>
          <w:ilvl w:val="1"/>
          <w:numId w:val="1"/>
        </w:numPr>
        <w:tabs>
          <w:tab w:val="clear" w:pos="0"/>
        </w:tabs>
      </w:pPr>
      <w:r w:rsidRPr="006842DF">
        <w:t>A</w:t>
      </w:r>
      <w:r w:rsidR="009D0FB0" w:rsidRPr="006842DF">
        <w:t xml:space="preserve">dministered </w:t>
      </w:r>
      <w:r w:rsidRPr="006842DF">
        <w:t xml:space="preserve">and most departmental </w:t>
      </w:r>
      <w:r w:rsidR="00C44352" w:rsidRPr="006842DF">
        <w:t>expenditure estimates for the proposal are as specified in the request.</w:t>
      </w:r>
      <w:r w:rsidR="009D0FB0" w:rsidRPr="006842DF">
        <w:t xml:space="preserve">  </w:t>
      </w:r>
      <w:r w:rsidRPr="006842DF">
        <w:t>Departmental costs associated with implementing the proposal are based on the costs of similar programs.</w:t>
      </w:r>
    </w:p>
    <w:p w:rsidR="005E3562" w:rsidRPr="00FC6579" w:rsidRDefault="005E3562" w:rsidP="00C44352">
      <w:pPr>
        <w:pStyle w:val="Heading2"/>
      </w:pPr>
      <w:r w:rsidRPr="00FC6579">
        <w:t>Data sources</w:t>
      </w:r>
    </w:p>
    <w:p w:rsidR="00EE32E6" w:rsidRPr="006842DF" w:rsidRDefault="00C44352" w:rsidP="006842DF">
      <w:pPr>
        <w:keepNext/>
        <w:keepLines/>
        <w:numPr>
          <w:ilvl w:val="1"/>
          <w:numId w:val="1"/>
        </w:numPr>
        <w:tabs>
          <w:tab w:val="clear" w:pos="0"/>
        </w:tabs>
      </w:pPr>
      <w:r w:rsidRPr="00C44352">
        <w:t xml:space="preserve">Australia Council 2014-15 annual </w:t>
      </w:r>
      <w:proofErr w:type="gramStart"/>
      <w:r w:rsidRPr="00C44352">
        <w:t>report</w:t>
      </w:r>
      <w:proofErr w:type="gramEnd"/>
      <w:r w:rsidRPr="00C44352">
        <w:t>.</w:t>
      </w:r>
      <w:bookmarkStart w:id="0" w:name="_GoBack"/>
      <w:bookmarkEnd w:id="0"/>
      <w:r w:rsidR="00EE32E6">
        <w:br w:type="page"/>
      </w:r>
    </w:p>
    <w:p w:rsidR="00C44352" w:rsidRDefault="00C44352" w:rsidP="00012519">
      <w:pPr>
        <w:pStyle w:val="Heading1"/>
        <w:numPr>
          <w:ilvl w:val="0"/>
          <w:numId w:val="0"/>
        </w:numPr>
        <w:spacing w:after="240"/>
      </w:pPr>
      <w:r w:rsidRPr="00FC6579">
        <w:t xml:space="preserve">Attachment </w:t>
      </w:r>
      <w:r w:rsidR="00420034">
        <w:t>A</w:t>
      </w:r>
      <w:r w:rsidRPr="00FC6579">
        <w:t>:</w:t>
      </w:r>
      <w:r>
        <w:t xml:space="preserve"> </w:t>
      </w:r>
      <w:r w:rsidR="001C3AA9">
        <w:t xml:space="preserve">Ensuring the independence and flourishing </w:t>
      </w:r>
      <w:r>
        <w:t>of the arts—financial implications</w:t>
      </w:r>
    </w:p>
    <w:p w:rsidR="00815734" w:rsidRPr="00E40B8B" w:rsidRDefault="00815734" w:rsidP="00012519">
      <w:pPr>
        <w:pStyle w:val="Captionheading"/>
        <w:spacing w:before="240"/>
        <w:rPr>
          <w:vertAlign w:val="superscript"/>
        </w:rPr>
      </w:pPr>
      <w:r w:rsidRPr="00FC6579">
        <w:t xml:space="preserve">Table </w:t>
      </w:r>
      <w:r>
        <w:t>A1</w:t>
      </w:r>
      <w:r w:rsidRPr="00FC6579">
        <w:t xml:space="preserve">: </w:t>
      </w:r>
      <w:r w:rsidR="003B6575">
        <w:t>Combined impact of all components</w:t>
      </w:r>
      <w:r>
        <w:t>—Financial implications (outturn prices</w:t>
      </w:r>
      <w:proofErr w:type="gramStart"/>
      <w:r>
        <w:t>)</w:t>
      </w:r>
      <w:r w:rsidR="005330B8">
        <w:rPr>
          <w:vertAlign w:val="superscript"/>
        </w:rPr>
        <w:t>(</w:t>
      </w:r>
      <w:proofErr w:type="gramEnd"/>
      <w:r w:rsidR="005330B8">
        <w:rPr>
          <w:vertAlign w:val="superscript"/>
        </w:rPr>
        <w:t>a)(b)</w:t>
      </w:r>
    </w:p>
    <w:tbl>
      <w:tblPr>
        <w:tblStyle w:val="TableGrid"/>
        <w:tblW w:w="4994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643"/>
        <w:gridCol w:w="1134"/>
        <w:gridCol w:w="1134"/>
        <w:gridCol w:w="1134"/>
        <w:gridCol w:w="1134"/>
        <w:gridCol w:w="1134"/>
      </w:tblGrid>
      <w:tr w:rsidR="006842DF" w:rsidRPr="00EF1D6A" w:rsidTr="00684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815734" w:rsidRPr="00EF1D6A" w:rsidRDefault="00815734" w:rsidP="006842DF">
            <w:pPr>
              <w:pStyle w:val="TableText"/>
              <w:keepNext/>
              <w:keepLines/>
              <w:spacing w:line="240" w:lineRule="auto"/>
              <w:ind w:left="57" w:right="57"/>
              <w:rPr>
                <w:rFonts w:ascii="Calibri" w:hAnsi="Calibri"/>
                <w:b/>
                <w:szCs w:val="20"/>
              </w:rPr>
            </w:pPr>
            <w:r w:rsidRPr="00EF1D6A">
              <w:rPr>
                <w:rFonts w:ascii="Calibri" w:hAnsi="Calibri"/>
                <w:szCs w:val="20"/>
              </w:rPr>
              <w:t>($m)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815734" w:rsidRPr="00C24267" w:rsidRDefault="00815734" w:rsidP="006842DF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2016–17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815734" w:rsidRPr="00C24267" w:rsidRDefault="00815734" w:rsidP="006842DF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2017–18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815734" w:rsidRPr="00C24267" w:rsidRDefault="00815734" w:rsidP="006842DF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2018–19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815734" w:rsidRPr="00C24267" w:rsidRDefault="00815734" w:rsidP="006842DF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24267">
              <w:t>2019–20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center"/>
          </w:tcPr>
          <w:p w:rsidR="00815734" w:rsidRPr="00AE30B5" w:rsidRDefault="00815734" w:rsidP="006842DF">
            <w:pPr>
              <w:pStyle w:val="TableHeadingCentred"/>
              <w:spacing w:line="240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  <w:vertAlign w:val="superscript"/>
              </w:rPr>
            </w:pPr>
            <w:r w:rsidRPr="00AE30B5">
              <w:rPr>
                <w:b/>
              </w:rPr>
              <w:t>Total</w:t>
            </w:r>
            <w:r w:rsidRPr="00AE30B5">
              <w:rPr>
                <w:b/>
                <w:szCs w:val="20"/>
              </w:rPr>
              <w:t xml:space="preserve"> to 2019–20</w:t>
            </w:r>
          </w:p>
        </w:tc>
      </w:tr>
      <w:tr w:rsidR="00815734" w:rsidRPr="00EF1D6A" w:rsidTr="00684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E9ECF3"/>
          </w:tcPr>
          <w:p w:rsidR="00815734" w:rsidRPr="00AE30B5" w:rsidRDefault="00815734" w:rsidP="006842DF">
            <w:pPr>
              <w:pStyle w:val="TableHeadingCentred"/>
              <w:spacing w:line="240" w:lineRule="auto"/>
              <w:ind w:left="57" w:right="57"/>
              <w:jc w:val="left"/>
              <w:rPr>
                <w:b/>
              </w:rPr>
            </w:pPr>
            <w:r>
              <w:rPr>
                <w:b/>
              </w:rPr>
              <w:t>Impact on f</w:t>
            </w:r>
            <w:r w:rsidRPr="00AE30B5">
              <w:rPr>
                <w:b/>
              </w:rPr>
              <w:t>isc</w:t>
            </w:r>
            <w:r>
              <w:rPr>
                <w:b/>
              </w:rPr>
              <w:t>al and underlying cash balances</w:t>
            </w:r>
          </w:p>
        </w:tc>
      </w:tr>
      <w:tr w:rsidR="006842DF" w:rsidRPr="0066665A" w:rsidTr="006842D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15734" w:rsidRPr="00012519" w:rsidRDefault="00815734" w:rsidP="006842DF">
            <w:pPr>
              <w:spacing w:before="70" w:after="70" w:line="240" w:lineRule="auto"/>
              <w:ind w:left="57" w:right="57"/>
              <w:rPr>
                <w:b/>
              </w:rPr>
            </w:pPr>
            <w:r w:rsidRPr="00012519">
              <w:rPr>
                <w:b/>
              </w:rPr>
              <w:t>Administered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15734" w:rsidRPr="00012519" w:rsidRDefault="00815734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12519">
              <w:rPr>
                <w:b/>
              </w:rPr>
              <w:t>-4.7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15734" w:rsidRPr="00012519" w:rsidRDefault="00815734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12519">
              <w:rPr>
                <w:b/>
              </w:rPr>
              <w:t>-4.7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15734" w:rsidRPr="00012519" w:rsidRDefault="00815734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12519">
              <w:rPr>
                <w:b/>
              </w:rPr>
              <w:t>-4.7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15734" w:rsidRPr="00012519" w:rsidRDefault="00815734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12519">
              <w:rPr>
                <w:b/>
              </w:rPr>
              <w:t>-4.7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15734" w:rsidRPr="007868BF" w:rsidRDefault="00815734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868BF">
              <w:rPr>
                <w:b/>
              </w:rPr>
              <w:t>-</w:t>
            </w:r>
            <w:r>
              <w:rPr>
                <w:b/>
              </w:rPr>
              <w:t>18</w:t>
            </w:r>
            <w:r w:rsidRPr="007868BF">
              <w:rPr>
                <w:b/>
              </w:rPr>
              <w:t>.8</w:t>
            </w:r>
          </w:p>
        </w:tc>
      </w:tr>
      <w:tr w:rsidR="006842DF" w:rsidRPr="0066665A" w:rsidTr="00684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>Regional Arts Fund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12519">
              <w:rPr>
                <w:i/>
              </w:rPr>
              <w:t>-1.9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12519">
              <w:rPr>
                <w:i/>
              </w:rPr>
              <w:t>-1.9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12519">
              <w:rPr>
                <w:i/>
              </w:rPr>
              <w:t>-1.9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12519">
              <w:rPr>
                <w:i/>
              </w:rPr>
              <w:t>-1.9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12519">
              <w:rPr>
                <w:b/>
                <w:i/>
              </w:rPr>
              <w:t>-7.6</w:t>
            </w:r>
          </w:p>
        </w:tc>
      </w:tr>
      <w:tr w:rsidR="00012519" w:rsidRPr="0066665A" w:rsidTr="006842D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>Live Music Office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2519">
              <w:rPr>
                <w:i/>
              </w:rPr>
              <w:t>-1.3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2519">
              <w:rPr>
                <w:i/>
              </w:rPr>
              <w:t>-1.3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2519">
              <w:rPr>
                <w:i/>
              </w:rPr>
              <w:t>-1.3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2519">
              <w:rPr>
                <w:i/>
              </w:rPr>
              <w:t>-1.3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12519">
              <w:rPr>
                <w:b/>
                <w:i/>
              </w:rPr>
              <w:t>-5.0</w:t>
            </w:r>
          </w:p>
        </w:tc>
      </w:tr>
      <w:tr w:rsidR="006842DF" w:rsidRPr="0066665A" w:rsidTr="00684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 xml:space="preserve">Expand </w:t>
            </w:r>
            <w:r w:rsidR="005330B8">
              <w:rPr>
                <w:i/>
              </w:rPr>
              <w:t xml:space="preserve">Music: </w:t>
            </w:r>
            <w:r w:rsidR="007A45DC">
              <w:rPr>
                <w:i/>
              </w:rPr>
              <w:t>Count Us In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12519">
              <w:rPr>
                <w:i/>
              </w:rPr>
              <w:t>-0.4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12519">
              <w:rPr>
                <w:i/>
              </w:rPr>
              <w:t>-0.4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12519">
              <w:rPr>
                <w:i/>
              </w:rPr>
              <w:t>-0.4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012519">
              <w:rPr>
                <w:i/>
              </w:rPr>
              <w:t>-0.4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012519">
              <w:rPr>
                <w:b/>
                <w:i/>
              </w:rPr>
              <w:t>-1.6</w:t>
            </w:r>
          </w:p>
        </w:tc>
      </w:tr>
      <w:tr w:rsidR="00012519" w:rsidRPr="0066665A" w:rsidTr="006842D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>Australian authors’ advocacy body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2519">
              <w:rPr>
                <w:i/>
              </w:rPr>
              <w:t>-1.2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2519">
              <w:rPr>
                <w:i/>
              </w:rPr>
              <w:t>-1.2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2519">
              <w:rPr>
                <w:i/>
              </w:rPr>
              <w:t>-1.2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012519">
              <w:rPr>
                <w:i/>
              </w:rPr>
              <w:t>-1.2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 w:rsidRPr="00012519">
              <w:rPr>
                <w:b/>
                <w:i/>
              </w:rPr>
              <w:t>-4.6</w:t>
            </w:r>
          </w:p>
        </w:tc>
      </w:tr>
      <w:tr w:rsidR="006842DF" w:rsidRPr="0066665A" w:rsidTr="00684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012519" w:rsidRPr="00012519" w:rsidRDefault="00012519" w:rsidP="006842DF">
            <w:pPr>
              <w:spacing w:before="70" w:after="70" w:line="240" w:lineRule="auto"/>
              <w:ind w:left="57" w:right="57"/>
              <w:rPr>
                <w:b/>
              </w:rPr>
            </w:pPr>
            <w:r w:rsidRPr="00012519">
              <w:rPr>
                <w:b/>
              </w:rPr>
              <w:t xml:space="preserve">Departmental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12519">
              <w:rPr>
                <w:b/>
              </w:rPr>
              <w:t>-73.8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12519">
              <w:rPr>
                <w:b/>
              </w:rPr>
              <w:t>-75.3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12519">
              <w:rPr>
                <w:b/>
              </w:rPr>
              <w:t>-75.0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012519" w:rsidRPr="00012519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12519">
              <w:rPr>
                <w:b/>
              </w:rPr>
              <w:t>-74.6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012519" w:rsidRPr="007868BF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868BF">
              <w:rPr>
                <w:b/>
              </w:rPr>
              <w:t>-</w:t>
            </w:r>
            <w:r>
              <w:rPr>
                <w:b/>
              </w:rPr>
              <w:t>298</w:t>
            </w:r>
            <w:r w:rsidRPr="007868BF">
              <w:rPr>
                <w:b/>
              </w:rPr>
              <w:t>.</w:t>
            </w:r>
            <w:r>
              <w:rPr>
                <w:b/>
              </w:rPr>
              <w:t>6</w:t>
            </w:r>
          </w:p>
        </w:tc>
      </w:tr>
      <w:tr w:rsidR="00012519" w:rsidRPr="0066665A" w:rsidTr="006842D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>Restore Australia Council funding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-8</w:t>
            </w:r>
            <w:r w:rsidR="005330B8">
              <w:rPr>
                <w:rFonts w:ascii="Calibri" w:hAnsi="Calibri"/>
                <w:i/>
                <w:color w:val="00000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-8.1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-8.2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-8.4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-32.8</w:t>
            </w:r>
          </w:p>
        </w:tc>
      </w:tr>
      <w:tr w:rsidR="006842DF" w:rsidRPr="0066665A" w:rsidTr="00684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ind w:left="57" w:right="57"/>
              <w:rPr>
                <w:i/>
              </w:rPr>
            </w:pPr>
            <w:proofErr w:type="spellStart"/>
            <w:r w:rsidRPr="00012519">
              <w:rPr>
                <w:i/>
              </w:rPr>
              <w:t>ArtStart</w:t>
            </w:r>
            <w:proofErr w:type="spellEnd"/>
            <w:r w:rsidRPr="00012519">
              <w:rPr>
                <w:i/>
              </w:rPr>
              <w:t xml:space="preserve"> program 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-0.8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-0.8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-0.8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-0.8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-3.0</w:t>
            </w:r>
          </w:p>
        </w:tc>
      </w:tr>
      <w:tr w:rsidR="00012519" w:rsidRPr="0066665A" w:rsidTr="006842D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>Australia Council grants and initiatives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-55.7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-55.0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-54.4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-53.6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-218.7</w:t>
            </w:r>
          </w:p>
        </w:tc>
      </w:tr>
      <w:tr w:rsidR="006842DF" w:rsidRPr="0066665A" w:rsidTr="00684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>Public art display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-5</w:t>
            </w:r>
            <w:r w:rsidR="005330B8">
              <w:rPr>
                <w:rFonts w:ascii="Calibri" w:hAnsi="Calibri"/>
                <w:i/>
                <w:color w:val="00000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-5</w:t>
            </w:r>
            <w:r w:rsidR="005330B8">
              <w:rPr>
                <w:rFonts w:ascii="Calibri" w:hAnsi="Calibri"/>
                <w:i/>
                <w:color w:val="00000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-5</w:t>
            </w:r>
            <w:r w:rsidR="005330B8">
              <w:rPr>
                <w:rFonts w:ascii="Calibri" w:hAnsi="Calibri"/>
                <w:i/>
                <w:color w:val="00000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-5</w:t>
            </w:r>
            <w:r w:rsidR="005330B8">
              <w:rPr>
                <w:rFonts w:ascii="Calibri" w:hAnsi="Calibri"/>
                <w:i/>
                <w:color w:val="00000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-20.0</w:t>
            </w:r>
          </w:p>
        </w:tc>
      </w:tr>
      <w:tr w:rsidR="00012519" w:rsidRPr="0066665A" w:rsidTr="006842D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>Playing Australia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-2</w:t>
            </w:r>
            <w:r w:rsidR="005330B8">
              <w:rPr>
                <w:rFonts w:ascii="Calibri" w:hAnsi="Calibri"/>
                <w:i/>
                <w:color w:val="00000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-4</w:t>
            </w:r>
            <w:r w:rsidR="005330B8">
              <w:rPr>
                <w:rFonts w:ascii="Calibri" w:hAnsi="Calibri"/>
                <w:i/>
                <w:color w:val="000000"/>
              </w:rPr>
              <w:t>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-4.2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-4.4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-14.6</w:t>
            </w:r>
          </w:p>
        </w:tc>
      </w:tr>
      <w:tr w:rsidR="006842DF" w:rsidRPr="0066665A" w:rsidTr="00684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>‘In Australia’ rule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..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..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..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..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1B2FBE">
              <w:rPr>
                <w:rFonts w:ascii="Calibri" w:hAnsi="Calibri"/>
                <w:i/>
                <w:color w:val="000000"/>
              </w:rPr>
              <w:t>0.0</w:t>
            </w:r>
          </w:p>
        </w:tc>
      </w:tr>
      <w:tr w:rsidR="00012519" w:rsidRPr="0066665A" w:rsidTr="006842D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>Arts Research and Development fund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-1.3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-1.3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-1.3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-1.3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-5.0</w:t>
            </w:r>
          </w:p>
        </w:tc>
      </w:tr>
      <w:tr w:rsidR="006842DF" w:rsidRPr="0066665A" w:rsidTr="00684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>Artist in residence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-1.0</w:t>
            </w:r>
          </w:p>
        </w:tc>
      </w:tr>
      <w:tr w:rsidR="00012519" w:rsidRPr="0066665A" w:rsidTr="006842D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>National voices in the arts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-1.0</w:t>
            </w:r>
          </w:p>
        </w:tc>
      </w:tr>
      <w:tr w:rsidR="006842DF" w:rsidRPr="0066665A" w:rsidTr="00684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>National arts week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-1.0</w:t>
            </w:r>
          </w:p>
        </w:tc>
      </w:tr>
      <w:tr w:rsidR="00012519" w:rsidRPr="0066665A" w:rsidTr="006842D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012519" w:rsidRPr="00012519" w:rsidRDefault="00012519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>Regional Arts Fund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012519" w:rsidRPr="001B2FBE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-0.4</w:t>
            </w:r>
          </w:p>
        </w:tc>
      </w:tr>
      <w:tr w:rsidR="006842DF" w:rsidRPr="0066665A" w:rsidTr="00684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1B2FBE" w:rsidRPr="00012519" w:rsidRDefault="001B2FBE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>Live Music Office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1B2FBE" w:rsidRPr="001B2FBE" w:rsidRDefault="001B2FBE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1B2FBE" w:rsidRPr="001B2FBE" w:rsidRDefault="001B2FBE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1B2FBE" w:rsidRPr="001B2FBE" w:rsidRDefault="001B2FBE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1B2FBE" w:rsidRPr="001B2FBE" w:rsidRDefault="001B2FBE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1B2FBE" w:rsidRPr="001B2FBE" w:rsidRDefault="001B2FBE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-0.4</w:t>
            </w:r>
          </w:p>
        </w:tc>
      </w:tr>
      <w:tr w:rsidR="001B2FBE" w:rsidRPr="0066665A" w:rsidTr="006842D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1B2FBE" w:rsidRPr="00012519" w:rsidRDefault="001B2FBE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>Expand Music:</w:t>
            </w:r>
            <w:r w:rsidR="005330B8">
              <w:rPr>
                <w:i/>
              </w:rPr>
              <w:t xml:space="preserve"> </w:t>
            </w:r>
            <w:r w:rsidR="007A45DC">
              <w:rPr>
                <w:i/>
              </w:rPr>
              <w:t>Count Us In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1B2FBE" w:rsidRPr="001B2FBE" w:rsidRDefault="001B2FBE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1B2FBE" w:rsidRPr="001B2FBE" w:rsidRDefault="001B2FBE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1B2FBE" w:rsidRPr="001B2FBE" w:rsidRDefault="001B2FBE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1B2FBE" w:rsidRPr="001B2FBE" w:rsidRDefault="001B2FBE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1B2FBE" w:rsidRPr="001B2FBE" w:rsidRDefault="001B2FBE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-0.4</w:t>
            </w:r>
          </w:p>
        </w:tc>
      </w:tr>
      <w:tr w:rsidR="006842DF" w:rsidRPr="0066665A" w:rsidTr="00684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1B2FBE" w:rsidRPr="00012519" w:rsidRDefault="001B2FBE" w:rsidP="006842DF">
            <w:pPr>
              <w:spacing w:before="70" w:after="70" w:line="240" w:lineRule="auto"/>
              <w:ind w:left="57" w:right="57"/>
              <w:rPr>
                <w:i/>
              </w:rPr>
            </w:pPr>
            <w:r w:rsidRPr="00012519">
              <w:rPr>
                <w:i/>
              </w:rPr>
              <w:t>Australian authors’ advocacy body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1B2FBE" w:rsidRPr="001B2FBE" w:rsidRDefault="001B2FBE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1B2FBE" w:rsidRPr="001B2FBE" w:rsidRDefault="001B2FBE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1B2FBE" w:rsidRPr="001B2FBE" w:rsidRDefault="001B2FBE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1B2FBE" w:rsidRPr="001B2FBE" w:rsidRDefault="001B2FBE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-0.1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bottom"/>
          </w:tcPr>
          <w:p w:rsidR="001B2FBE" w:rsidRPr="001B2FBE" w:rsidRDefault="001B2FBE" w:rsidP="006842DF">
            <w:pPr>
              <w:spacing w:before="70" w:after="7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B2FBE">
              <w:rPr>
                <w:i/>
              </w:rPr>
              <w:t>-0.4</w:t>
            </w:r>
          </w:p>
        </w:tc>
      </w:tr>
      <w:tr w:rsidR="006842DF" w:rsidRPr="0055406D" w:rsidTr="006842D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012519" w:rsidRPr="0055406D" w:rsidRDefault="00012519" w:rsidP="006842DF">
            <w:pPr>
              <w:pStyle w:val="TableTextCentred"/>
              <w:keepNext/>
              <w:keepLines/>
              <w:spacing w:line="240" w:lineRule="auto"/>
              <w:ind w:left="57" w:right="57"/>
              <w:jc w:val="left"/>
              <w:rPr>
                <w:b/>
                <w:szCs w:val="20"/>
              </w:rPr>
            </w:pPr>
            <w:r w:rsidRPr="0055406D">
              <w:rPr>
                <w:b/>
                <w:szCs w:val="20"/>
              </w:rPr>
              <w:t>Total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012519" w:rsidRPr="007868BF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868BF">
              <w:rPr>
                <w:b/>
              </w:rPr>
              <w:t>-7</w:t>
            </w:r>
            <w:r>
              <w:rPr>
                <w:b/>
              </w:rPr>
              <w:t>8</w:t>
            </w:r>
            <w:r w:rsidRPr="007868BF">
              <w:rPr>
                <w:b/>
              </w:rPr>
              <w:t>.</w:t>
            </w:r>
            <w:r>
              <w:rPr>
                <w:b/>
              </w:rPr>
              <w:t>5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012519" w:rsidRPr="007868BF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868BF">
              <w:rPr>
                <w:b/>
              </w:rPr>
              <w:t>-</w:t>
            </w:r>
            <w:r>
              <w:rPr>
                <w:b/>
              </w:rPr>
              <w:t>80.0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012519" w:rsidRPr="007868BF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868BF">
              <w:rPr>
                <w:b/>
              </w:rPr>
              <w:t>-7</w:t>
            </w:r>
            <w:r>
              <w:rPr>
                <w:b/>
              </w:rPr>
              <w:t>9</w:t>
            </w:r>
            <w:r w:rsidRPr="007868BF">
              <w:rPr>
                <w:b/>
              </w:rPr>
              <w:t>.</w:t>
            </w:r>
            <w:r>
              <w:rPr>
                <w:b/>
              </w:rPr>
              <w:t>7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012519" w:rsidRPr="007868BF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868BF">
              <w:rPr>
                <w:b/>
              </w:rPr>
              <w:t>-7</w:t>
            </w:r>
            <w:r>
              <w:rPr>
                <w:b/>
              </w:rPr>
              <w:t>9</w:t>
            </w:r>
            <w:r w:rsidRPr="007868BF">
              <w:rPr>
                <w:b/>
              </w:rPr>
              <w:t>.</w:t>
            </w:r>
            <w:r>
              <w:rPr>
                <w:b/>
              </w:rPr>
              <w:t>3</w:t>
            </w:r>
          </w:p>
        </w:tc>
        <w:tc>
          <w:tcPr>
            <w:tcW w:w="682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012519" w:rsidRPr="007868BF" w:rsidRDefault="00012519" w:rsidP="006842DF">
            <w:pPr>
              <w:spacing w:before="70" w:after="7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868BF">
              <w:rPr>
                <w:b/>
              </w:rPr>
              <w:t>-</w:t>
            </w:r>
            <w:r>
              <w:rPr>
                <w:b/>
              </w:rPr>
              <w:t>317</w:t>
            </w:r>
            <w:r w:rsidRPr="007868BF">
              <w:rPr>
                <w:b/>
              </w:rPr>
              <w:t>.</w:t>
            </w:r>
            <w:r>
              <w:rPr>
                <w:b/>
              </w:rPr>
              <w:t>4</w:t>
            </w:r>
          </w:p>
        </w:tc>
      </w:tr>
    </w:tbl>
    <w:p w:rsidR="00815734" w:rsidRPr="006842DF" w:rsidRDefault="00815734" w:rsidP="006842DF">
      <w:pPr>
        <w:pStyle w:val="Footnotes"/>
        <w:numPr>
          <w:ilvl w:val="0"/>
          <w:numId w:val="18"/>
        </w:numPr>
        <w:ind w:left="284" w:hanging="284"/>
      </w:pPr>
      <w:r>
        <w:t xml:space="preserve">A negative </w:t>
      </w:r>
      <w:r w:rsidRPr="006842DF">
        <w:t>number indicates an increase in expenses in accrual and cash terms.</w:t>
      </w:r>
    </w:p>
    <w:p w:rsidR="007A45DC" w:rsidRPr="006842DF" w:rsidRDefault="00815734" w:rsidP="006842DF">
      <w:pPr>
        <w:pStyle w:val="Footnotes"/>
      </w:pPr>
      <w:r w:rsidRPr="006842DF">
        <w:t>Figures may not sum to totals due to rounding.</w:t>
      </w:r>
    </w:p>
    <w:p w:rsidR="003B6575" w:rsidRDefault="001B2FBE" w:rsidP="006842DF">
      <w:pPr>
        <w:pStyle w:val="Footnotes"/>
        <w:numPr>
          <w:ilvl w:val="0"/>
          <w:numId w:val="0"/>
        </w:numPr>
        <w:ind w:left="284" w:hanging="284"/>
      </w:pPr>
      <w:r w:rsidRPr="006842DF">
        <w:t>..</w:t>
      </w:r>
      <w:r w:rsidR="006B13AB">
        <w:tab/>
      </w:r>
      <w:r w:rsidRPr="006842DF">
        <w:t>Not zero, but</w:t>
      </w:r>
      <w:r>
        <w:t xml:space="preserve"> rounded to zero.</w:t>
      </w:r>
    </w:p>
    <w:sectPr w:rsidR="003B6575" w:rsidSect="000B66C8">
      <w:headerReference w:type="first" r:id="rId14"/>
      <w:footerReference w:type="first" r:id="rId15"/>
      <w:pgSz w:w="11907" w:h="16839" w:code="9"/>
      <w:pgMar w:top="1361" w:right="1797" w:bottom="147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6C8" w:rsidRDefault="000B66C8" w:rsidP="008F588A">
      <w:pPr>
        <w:spacing w:line="240" w:lineRule="auto"/>
      </w:pPr>
      <w:r>
        <w:separator/>
      </w:r>
    </w:p>
    <w:p w:rsidR="000B66C8" w:rsidRDefault="000B66C8"/>
  </w:endnote>
  <w:endnote w:type="continuationSeparator" w:id="0">
    <w:p w:rsidR="000B66C8" w:rsidRDefault="000B66C8" w:rsidP="008F588A">
      <w:pPr>
        <w:spacing w:line="240" w:lineRule="auto"/>
      </w:pPr>
      <w:r>
        <w:continuationSeparator/>
      </w:r>
    </w:p>
    <w:p w:rsidR="000B66C8" w:rsidRDefault="000B66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2" w:rsidRPr="00C24267" w:rsidRDefault="00060F22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B265C5">
      <w:rPr>
        <w:noProof/>
      </w:rPr>
      <w:t>5</w:t>
    </w:r>
    <w:r w:rsidRPr="00C24267">
      <w:fldChar w:fldCharType="end"/>
    </w:r>
    <w:r w:rsidRPr="00C24267">
      <w:t xml:space="preserve"> of </w:t>
    </w:r>
    <w:fldSimple w:instr=" NUMPAGES  \* Arabic  \* MERGEFORMAT ">
      <w:r w:rsidR="00B265C5">
        <w:rPr>
          <w:noProof/>
        </w:rPr>
        <w:t>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F22" w:rsidRPr="00C24267" w:rsidRDefault="00060F22" w:rsidP="00C24267">
    <w:pPr>
      <w:pStyle w:val="Letterfooter"/>
    </w:pPr>
    <w:r w:rsidRPr="00C24267">
      <w:t>Parliamentary Budget Office   PO Box 6010   Parliament House   Canberra ACT 2600</w:t>
    </w:r>
  </w:p>
  <w:p w:rsidR="00060F22" w:rsidRPr="00C24267" w:rsidRDefault="00060F22" w:rsidP="00C24267">
    <w:pPr>
      <w:pStyle w:val="Letterfooter"/>
    </w:pPr>
    <w:r w:rsidRPr="00C24267">
      <w:t>Tel: 02 6277 9500   Web: www.pbo.gov.au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B75" w:rsidRPr="00C24267" w:rsidRDefault="005B7B75" w:rsidP="00C24267">
    <w:pPr>
      <w:pStyle w:val="Footer"/>
    </w:pPr>
    <w:r w:rsidRPr="00C24267">
      <w:t xml:space="preserve">Page </w:t>
    </w:r>
    <w:r w:rsidRPr="00C24267">
      <w:fldChar w:fldCharType="begin"/>
    </w:r>
    <w:r w:rsidRPr="00C24267">
      <w:instrText xml:space="preserve"> PAGE  \* Arabic  \* MERGEFORMAT </w:instrText>
    </w:r>
    <w:r w:rsidRPr="00C24267">
      <w:fldChar w:fldCharType="separate"/>
    </w:r>
    <w:r w:rsidR="00B265C5">
      <w:rPr>
        <w:noProof/>
      </w:rPr>
      <w:t>2</w:t>
    </w:r>
    <w:r w:rsidRPr="00C24267">
      <w:fldChar w:fldCharType="end"/>
    </w:r>
    <w:r w:rsidRPr="00C24267">
      <w:t xml:space="preserve"> of </w:t>
    </w:r>
    <w:fldSimple w:instr=" NUMPAGES  \* Arabic  \* MERGEFORMAT ">
      <w:r w:rsidR="00B265C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6C8" w:rsidRDefault="000B66C8" w:rsidP="008F588A">
      <w:pPr>
        <w:spacing w:line="240" w:lineRule="auto"/>
      </w:pPr>
      <w:r>
        <w:separator/>
      </w:r>
    </w:p>
    <w:p w:rsidR="000B66C8" w:rsidRDefault="000B66C8"/>
  </w:footnote>
  <w:footnote w:type="continuationSeparator" w:id="0">
    <w:p w:rsidR="000B66C8" w:rsidRDefault="000B66C8" w:rsidP="008F588A">
      <w:pPr>
        <w:spacing w:line="240" w:lineRule="auto"/>
      </w:pPr>
      <w:r>
        <w:continuationSeparator/>
      </w:r>
    </w:p>
    <w:p w:rsidR="000B66C8" w:rsidRDefault="000B66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3AB" w:rsidRDefault="006B13AB" w:rsidP="006B13AB">
    <w:pPr>
      <w:pStyle w:val="Header"/>
    </w:pPr>
    <w:r>
      <w:rPr>
        <w:noProof/>
        <w:lang w:eastAsia="en-AU"/>
      </w:rPr>
      <w:drawing>
        <wp:inline distT="0" distB="0" distL="0" distR="0" wp14:anchorId="36D89446" wp14:editId="2DBD1BF2">
          <wp:extent cx="2696845" cy="572135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0F22" w:rsidRPr="006842DF" w:rsidRDefault="006B13AB" w:rsidP="006842DF">
    <w:pPr>
      <w:pStyle w:val="PBOheader"/>
      <w:spacing w:before="720"/>
      <w:ind w:left="5783"/>
      <w:rPr>
        <w:b w:val="0"/>
      </w:rPr>
    </w:pPr>
    <w:r>
      <w:t>P</w:t>
    </w:r>
    <w:r w:rsidRPr="009030A0">
      <w:t>hil Bowen PSM FCPA</w:t>
    </w:r>
    <w:r>
      <w:br/>
    </w:r>
    <w:r w:rsidRPr="009030A0">
      <w:t>Parliamentary Budget Officer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DA9" w:rsidRPr="006842DF" w:rsidRDefault="00EE4DA9" w:rsidP="006842DF">
    <w:pPr>
      <w:pStyle w:val="Header"/>
    </w:pPr>
    <w:r>
      <w:rPr>
        <w:noProof/>
        <w:lang w:eastAsia="en-AU"/>
      </w:rPr>
      <w:drawing>
        <wp:inline distT="0" distB="0" distL="0" distR="0" wp14:anchorId="55F55C1A" wp14:editId="40DB2E22">
          <wp:extent cx="2696845" cy="572135"/>
          <wp:effectExtent l="0" t="0" r="825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B37FE"/>
    <w:multiLevelType w:val="multilevel"/>
    <w:tmpl w:val="EB047CCE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D745448"/>
    <w:multiLevelType w:val="multilevel"/>
    <w:tmpl w:val="1CA8BD6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3">
    <w:nsid w:val="194A695C"/>
    <w:multiLevelType w:val="multilevel"/>
    <w:tmpl w:val="5E16FD12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4">
    <w:nsid w:val="19DE2101"/>
    <w:multiLevelType w:val="hybridMultilevel"/>
    <w:tmpl w:val="0030AC0C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2ED611CF"/>
    <w:multiLevelType w:val="hybridMultilevel"/>
    <w:tmpl w:val="BD527598"/>
    <w:lvl w:ilvl="0" w:tplc="0C090017">
      <w:start w:val="1"/>
      <w:numFmt w:val="lowerLetter"/>
      <w:lvlText w:val="%1)"/>
      <w:lvlJc w:val="lef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30E45E35"/>
    <w:multiLevelType w:val="hybridMultilevel"/>
    <w:tmpl w:val="60A06D20"/>
    <w:lvl w:ilvl="0" w:tplc="EE46B378">
      <w:start w:val="1"/>
      <w:numFmt w:val="lowerLetter"/>
      <w:pStyle w:val="Footnotes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5168D"/>
    <w:multiLevelType w:val="hybridMultilevel"/>
    <w:tmpl w:val="44FA8EDE"/>
    <w:lvl w:ilvl="0" w:tplc="0C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">
    <w:nsid w:val="64932096"/>
    <w:multiLevelType w:val="hybridMultilevel"/>
    <w:tmpl w:val="BD527598"/>
    <w:lvl w:ilvl="0" w:tplc="0C090017">
      <w:start w:val="1"/>
      <w:numFmt w:val="lowerLetter"/>
      <w:lvlText w:val="%1)"/>
      <w:lvlJc w:val="lef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>
    <w:nsid w:val="71CE2F93"/>
    <w:multiLevelType w:val="multilevel"/>
    <w:tmpl w:val="850CAC3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1">
    <w:nsid w:val="745C3AB2"/>
    <w:multiLevelType w:val="hybridMultilevel"/>
    <w:tmpl w:val="5EB0E89C"/>
    <w:lvl w:ilvl="0" w:tplc="661CA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C080122"/>
    <w:multiLevelType w:val="hybridMultilevel"/>
    <w:tmpl w:val="28548164"/>
    <w:lvl w:ilvl="0" w:tplc="E2C078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1"/>
  </w:num>
  <w:num w:numId="12">
    <w:abstractNumId w:val="0"/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6"/>
  </w:num>
  <w:num w:numId="20">
    <w:abstractNumId w:val="1"/>
  </w:num>
  <w:num w:numId="21">
    <w:abstractNumId w:val="9"/>
  </w:num>
  <w:num w:numId="22">
    <w:abstractNumId w:val="8"/>
  </w:num>
  <w:num w:numId="23">
    <w:abstractNumId w:val="1"/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1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C8"/>
    <w:rsid w:val="00002D5D"/>
    <w:rsid w:val="00012519"/>
    <w:rsid w:val="00015FB2"/>
    <w:rsid w:val="00040DCE"/>
    <w:rsid w:val="00060F22"/>
    <w:rsid w:val="00096F3A"/>
    <w:rsid w:val="000B66C8"/>
    <w:rsid w:val="000C1A75"/>
    <w:rsid w:val="000C5975"/>
    <w:rsid w:val="000C5C40"/>
    <w:rsid w:val="00107D15"/>
    <w:rsid w:val="001260CC"/>
    <w:rsid w:val="001278D0"/>
    <w:rsid w:val="0014239B"/>
    <w:rsid w:val="001A02D1"/>
    <w:rsid w:val="001B2FBE"/>
    <w:rsid w:val="001C3AA9"/>
    <w:rsid w:val="00220BE5"/>
    <w:rsid w:val="002422A3"/>
    <w:rsid w:val="0025105F"/>
    <w:rsid w:val="0026262B"/>
    <w:rsid w:val="00312F45"/>
    <w:rsid w:val="00315E34"/>
    <w:rsid w:val="00326DE2"/>
    <w:rsid w:val="0034419E"/>
    <w:rsid w:val="003B6575"/>
    <w:rsid w:val="003D7744"/>
    <w:rsid w:val="003E4F5F"/>
    <w:rsid w:val="003F73CA"/>
    <w:rsid w:val="00402BFD"/>
    <w:rsid w:val="00410A2C"/>
    <w:rsid w:val="00420034"/>
    <w:rsid w:val="00440E32"/>
    <w:rsid w:val="00461597"/>
    <w:rsid w:val="00485374"/>
    <w:rsid w:val="004C283B"/>
    <w:rsid w:val="004D13ED"/>
    <w:rsid w:val="004D5525"/>
    <w:rsid w:val="004E2125"/>
    <w:rsid w:val="005035DA"/>
    <w:rsid w:val="0050629D"/>
    <w:rsid w:val="00507897"/>
    <w:rsid w:val="00515A85"/>
    <w:rsid w:val="005330B8"/>
    <w:rsid w:val="00545F24"/>
    <w:rsid w:val="0055581F"/>
    <w:rsid w:val="0056229A"/>
    <w:rsid w:val="00570154"/>
    <w:rsid w:val="00570B5A"/>
    <w:rsid w:val="00587422"/>
    <w:rsid w:val="00596DB1"/>
    <w:rsid w:val="005B1A4A"/>
    <w:rsid w:val="005B7B75"/>
    <w:rsid w:val="005C6967"/>
    <w:rsid w:val="005E3562"/>
    <w:rsid w:val="005E689D"/>
    <w:rsid w:val="005F7DE0"/>
    <w:rsid w:val="00640346"/>
    <w:rsid w:val="00660385"/>
    <w:rsid w:val="00662E65"/>
    <w:rsid w:val="0066665A"/>
    <w:rsid w:val="006711FF"/>
    <w:rsid w:val="00677738"/>
    <w:rsid w:val="006842DF"/>
    <w:rsid w:val="00692DD8"/>
    <w:rsid w:val="006B13AB"/>
    <w:rsid w:val="006F0CE9"/>
    <w:rsid w:val="007202A8"/>
    <w:rsid w:val="007229A9"/>
    <w:rsid w:val="007868BF"/>
    <w:rsid w:val="007A45DC"/>
    <w:rsid w:val="007B029A"/>
    <w:rsid w:val="007D33AA"/>
    <w:rsid w:val="007D3577"/>
    <w:rsid w:val="007D75A4"/>
    <w:rsid w:val="007F7BCF"/>
    <w:rsid w:val="008030EC"/>
    <w:rsid w:val="00811D6D"/>
    <w:rsid w:val="00815734"/>
    <w:rsid w:val="00817E8E"/>
    <w:rsid w:val="00841C3A"/>
    <w:rsid w:val="00844776"/>
    <w:rsid w:val="00864873"/>
    <w:rsid w:val="008850D9"/>
    <w:rsid w:val="00891F0F"/>
    <w:rsid w:val="008A4578"/>
    <w:rsid w:val="008C03C3"/>
    <w:rsid w:val="008D043E"/>
    <w:rsid w:val="008D1AFA"/>
    <w:rsid w:val="008D3909"/>
    <w:rsid w:val="008D6ECA"/>
    <w:rsid w:val="008F588A"/>
    <w:rsid w:val="00902D2D"/>
    <w:rsid w:val="00915804"/>
    <w:rsid w:val="00957285"/>
    <w:rsid w:val="009573AF"/>
    <w:rsid w:val="009716F9"/>
    <w:rsid w:val="00977D7B"/>
    <w:rsid w:val="009963ED"/>
    <w:rsid w:val="009C7333"/>
    <w:rsid w:val="009D0FB0"/>
    <w:rsid w:val="009D16FB"/>
    <w:rsid w:val="009D4063"/>
    <w:rsid w:val="00A3778A"/>
    <w:rsid w:val="00A41BD3"/>
    <w:rsid w:val="00A449C2"/>
    <w:rsid w:val="00A65EA3"/>
    <w:rsid w:val="00A7322F"/>
    <w:rsid w:val="00A75F2D"/>
    <w:rsid w:val="00AA3D6F"/>
    <w:rsid w:val="00AB55AE"/>
    <w:rsid w:val="00AB6F7D"/>
    <w:rsid w:val="00AC6FD1"/>
    <w:rsid w:val="00AC7878"/>
    <w:rsid w:val="00AD493E"/>
    <w:rsid w:val="00AE30B5"/>
    <w:rsid w:val="00AE5755"/>
    <w:rsid w:val="00B06055"/>
    <w:rsid w:val="00B24CC9"/>
    <w:rsid w:val="00B265C5"/>
    <w:rsid w:val="00B44D8A"/>
    <w:rsid w:val="00B47D16"/>
    <w:rsid w:val="00B73AC8"/>
    <w:rsid w:val="00B747A7"/>
    <w:rsid w:val="00B80CE2"/>
    <w:rsid w:val="00BA2BBF"/>
    <w:rsid w:val="00BC559C"/>
    <w:rsid w:val="00BF0904"/>
    <w:rsid w:val="00C17112"/>
    <w:rsid w:val="00C24267"/>
    <w:rsid w:val="00C44352"/>
    <w:rsid w:val="00C9651E"/>
    <w:rsid w:val="00CA12A0"/>
    <w:rsid w:val="00CA5D42"/>
    <w:rsid w:val="00CB40E1"/>
    <w:rsid w:val="00CD6B0F"/>
    <w:rsid w:val="00CF6DB6"/>
    <w:rsid w:val="00CF7D9A"/>
    <w:rsid w:val="00D134CA"/>
    <w:rsid w:val="00D52D5F"/>
    <w:rsid w:val="00D949A3"/>
    <w:rsid w:val="00DA1C8A"/>
    <w:rsid w:val="00DA3B55"/>
    <w:rsid w:val="00DB44F0"/>
    <w:rsid w:val="00DD109E"/>
    <w:rsid w:val="00DD3E18"/>
    <w:rsid w:val="00DE462E"/>
    <w:rsid w:val="00E12103"/>
    <w:rsid w:val="00E15AAE"/>
    <w:rsid w:val="00E21184"/>
    <w:rsid w:val="00E40B8B"/>
    <w:rsid w:val="00E462BB"/>
    <w:rsid w:val="00E5742E"/>
    <w:rsid w:val="00EA265F"/>
    <w:rsid w:val="00EA5685"/>
    <w:rsid w:val="00ED43FF"/>
    <w:rsid w:val="00EE32E6"/>
    <w:rsid w:val="00EE4DA9"/>
    <w:rsid w:val="00EE6600"/>
    <w:rsid w:val="00EF1D6A"/>
    <w:rsid w:val="00EF2E51"/>
    <w:rsid w:val="00F21865"/>
    <w:rsid w:val="00F24455"/>
    <w:rsid w:val="00F31E24"/>
    <w:rsid w:val="00F4535C"/>
    <w:rsid w:val="00F52474"/>
    <w:rsid w:val="00F5529D"/>
    <w:rsid w:val="00F5669E"/>
    <w:rsid w:val="00F75D33"/>
    <w:rsid w:val="00F954CF"/>
    <w:rsid w:val="00F97DFF"/>
    <w:rsid w:val="00FA11F4"/>
    <w:rsid w:val="00FC6579"/>
    <w:rsid w:val="00FD3FB3"/>
    <w:rsid w:val="00FE1053"/>
    <w:rsid w:val="00F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3B6575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34419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75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5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5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5A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3B6575"/>
    <w:pPr>
      <w:spacing w:before="114" w:after="114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8030EC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28"/>
      <w:szCs w:val="28"/>
    </w:rPr>
  </w:style>
  <w:style w:type="paragraph" w:styleId="Heading3">
    <w:name w:val="heading 3"/>
    <w:basedOn w:val="Normal"/>
    <w:next w:val="BodyText"/>
    <w:link w:val="Heading3Char"/>
    <w:qFormat/>
    <w:rsid w:val="008030EC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A02D1"/>
    <w:pPr>
      <w:spacing w:before="360"/>
      <w:outlineLvl w:val="3"/>
    </w:pPr>
    <w:rPr>
      <w:b w:val="0"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030EC"/>
    <w:rPr>
      <w:rFonts w:asciiTheme="majorHAnsi" w:hAnsiTheme="majorHAnsi"/>
      <w:bCs/>
      <w:iCs/>
      <w:color w:val="2B3B5F"/>
      <w:kern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030EC"/>
    <w:rPr>
      <w:b/>
      <w:color w:val="2B3B5F"/>
      <w:sz w:val="24"/>
    </w:rPr>
  </w:style>
  <w:style w:type="table" w:styleId="TableGrid">
    <w:name w:val="Table Grid"/>
    <w:basedOn w:val="TableNormal"/>
    <w:rsid w:val="00CF7D9A"/>
    <w:pPr>
      <w:spacing w:before="70" w:after="70" w:line="240" w:lineRule="auto"/>
      <w:ind w:left="57" w:right="57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right"/>
      </w:pPr>
      <w:rPr>
        <w:rFonts w:asciiTheme="minorHAnsi" w:hAnsiTheme="minorHAnsi"/>
        <w:b w:val="0"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rFonts w:ascii="Calibri" w:hAnsi="Calibri"/>
        <w:b/>
        <w:sz w:val="20"/>
      </w:rPr>
    </w:tblStylePr>
    <w:tblStylePr w:type="firstCol">
      <w:pPr>
        <w:wordWrap/>
        <w:ind w:leftChars="0" w:left="113" w:rightChars="0" w:right="113"/>
        <w:jc w:val="left"/>
      </w:pPr>
      <w:rPr>
        <w:rFonts w:ascii="Calibri" w:hAnsi="Calibri"/>
        <w:b w:val="0"/>
        <w:i w:val="0"/>
        <w:sz w:val="20"/>
      </w:rPr>
      <w:tblPr/>
      <w:tcPr>
        <w:vAlign w:val="center"/>
      </w:tcPr>
    </w:tblStylePr>
    <w:tblStylePr w:type="lastCol">
      <w:pPr>
        <w:wordWrap/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Vert">
      <w:pPr>
        <w:jc w:val="right"/>
      </w:pPr>
      <w:rPr>
        <w:sz w:val="20"/>
      </w:rPr>
      <w:tblPr/>
      <w:tcPr>
        <w:vAlign w:val="center"/>
      </w:tcPr>
    </w:tblStylePr>
    <w:tblStylePr w:type="band2Vert">
      <w:pPr>
        <w:jc w:val="right"/>
      </w:pPr>
      <w:rPr>
        <w:rFonts w:ascii="Calibri" w:hAnsi="Calibri"/>
        <w:sz w:val="20"/>
      </w:rPr>
      <w:tblPr/>
      <w:tcPr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F52474"/>
    <w:pPr>
      <w:keepNext/>
      <w:keepLines/>
      <w:spacing w:before="70" w:after="70" w:line="260" w:lineRule="atLeast"/>
      <w:ind w:left="113" w:right="113"/>
    </w:pPr>
    <w:rPr>
      <w:rFonts w:cs="Times New Roman"/>
      <w:b/>
      <w:sz w:val="20"/>
    </w:rPr>
  </w:style>
  <w:style w:type="paragraph" w:customStyle="1" w:styleId="TableHeadingCentred">
    <w:name w:val="Table Heading Centred"/>
    <w:basedOn w:val="TableTextRight"/>
    <w:qFormat/>
    <w:rsid w:val="00C24267"/>
    <w:pPr>
      <w:keepNext/>
      <w:keepLines/>
      <w:ind w:left="85" w:right="85"/>
    </w:pPr>
    <w:rPr>
      <w:rFonts w:eastAsia="Times New Roman"/>
      <w:i w:val="0"/>
      <w:lang w:eastAsia="en-AU"/>
    </w:rPr>
  </w:style>
  <w:style w:type="paragraph" w:customStyle="1" w:styleId="TableText">
    <w:name w:val="Table Text"/>
    <w:basedOn w:val="Normal"/>
    <w:link w:val="TableTextChar"/>
    <w:qFormat/>
    <w:rsid w:val="00F52474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C24267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nhideWhenUsed/>
    <w:qFormat/>
    <w:rsid w:val="00C24267"/>
    <w:pPr>
      <w:tabs>
        <w:tab w:val="center" w:pos="4513"/>
        <w:tab w:val="right" w:pos="9026"/>
      </w:tabs>
      <w:spacing w:before="0" w:after="0" w:line="240" w:lineRule="auto"/>
      <w:jc w:val="right"/>
    </w:pPr>
    <w:rPr>
      <w:b/>
    </w:rPr>
  </w:style>
  <w:style w:type="character" w:customStyle="1" w:styleId="FooterChar">
    <w:name w:val="Footer Char"/>
    <w:basedOn w:val="DefaultParagraphFont"/>
    <w:link w:val="Footer"/>
    <w:rsid w:val="00C24267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link w:val="TableTextBulletChar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link w:val="TableTextBullet2Char"/>
    <w:rsid w:val="00F52474"/>
    <w:pPr>
      <w:numPr>
        <w:ilvl w:val="1"/>
      </w:numPr>
      <w:spacing w:before="240" w:after="0" w:line="240" w:lineRule="auto"/>
      <w:ind w:left="681" w:right="0" w:hanging="284"/>
    </w:pPr>
    <w:rPr>
      <w:bCs/>
    </w:rPr>
  </w:style>
  <w:style w:type="paragraph" w:customStyle="1" w:styleId="TableTextBullet3">
    <w:name w:val="Table Text Bullet 3"/>
    <w:basedOn w:val="TableTextBullet2"/>
    <w:link w:val="TableTextBullet3Char"/>
    <w:rsid w:val="00F52474"/>
    <w:pPr>
      <w:numPr>
        <w:ilvl w:val="2"/>
      </w:numPr>
      <w:ind w:left="964" w:hanging="284"/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link w:val="TableTextBullet1Char"/>
    <w:rsid w:val="00F52474"/>
    <w:pPr>
      <w:numPr>
        <w:ilvl w:val="2"/>
        <w:numId w:val="5"/>
      </w:numPr>
      <w:spacing w:before="240" w:after="0" w:line="240" w:lineRule="auto"/>
      <w:ind w:left="397" w:hanging="284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BA2BBF"/>
    <w:pPr>
      <w:spacing w:before="114" w:after="114" w:line="240" w:lineRule="auto"/>
    </w:pPr>
    <w:tblPr>
      <w:tblBorders>
        <w:top w:val="single" w:sz="4" w:space="0" w:color="788182"/>
        <w:left w:val="single" w:sz="4" w:space="0" w:color="788182"/>
        <w:bottom w:val="single" w:sz="4" w:space="0" w:color="788182"/>
        <w:right w:val="single" w:sz="4" w:space="0" w:color="788182"/>
        <w:insideH w:val="single" w:sz="4" w:space="0" w:color="788182"/>
        <w:insideV w:val="single" w:sz="4" w:space="0" w:color="788182"/>
      </w:tblBorders>
    </w:tblPr>
    <w:tblStylePr w:type="firstRow">
      <w:rPr>
        <w:rFonts w:ascii="Calibri" w:hAnsi="Calibri"/>
        <w:b/>
        <w:sz w:val="20"/>
      </w:rPr>
      <w:tblPr/>
      <w:tcPr>
        <w:shd w:val="clear" w:color="auto" w:fill="D7DDE9"/>
      </w:tcPr>
    </w:tblStylePr>
  </w:style>
  <w:style w:type="paragraph" w:customStyle="1" w:styleId="Letterfooter">
    <w:name w:val="Letter footer"/>
    <w:basedOn w:val="Footer"/>
    <w:qFormat/>
    <w:rsid w:val="00C24267"/>
    <w:pPr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paragraph" w:customStyle="1" w:styleId="PBOheader">
    <w:name w:val="PBO header"/>
    <w:basedOn w:val="Header"/>
    <w:qFormat/>
    <w:rsid w:val="00DA1C8A"/>
    <w:pPr>
      <w:tabs>
        <w:tab w:val="clear" w:pos="4513"/>
        <w:tab w:val="clear" w:pos="9026"/>
      </w:tabs>
      <w:spacing w:before="1320"/>
      <w:ind w:left="6521"/>
    </w:pPr>
    <w:rPr>
      <w:rFonts w:ascii="Arial" w:hAnsi="Arial" w:cs="Arial"/>
      <w:b/>
      <w:sz w:val="18"/>
      <w:szCs w:val="18"/>
    </w:rPr>
  </w:style>
  <w:style w:type="paragraph" w:styleId="Caption">
    <w:name w:val="caption"/>
    <w:basedOn w:val="Normal"/>
    <w:next w:val="BodyText"/>
    <w:link w:val="CaptionChar"/>
    <w:rsid w:val="005E3562"/>
    <w:pPr>
      <w:keepNext/>
      <w:spacing w:before="340"/>
    </w:pPr>
    <w:rPr>
      <w:b/>
      <w:bCs/>
      <w:color w:val="1F497D" w:themeColor="text2"/>
      <w:spacing w:val="-4"/>
    </w:rPr>
  </w:style>
  <w:style w:type="paragraph" w:customStyle="1" w:styleId="Captionheading">
    <w:name w:val="Caption heading"/>
    <w:basedOn w:val="Caption"/>
    <w:link w:val="CaptionheadingChar"/>
    <w:qFormat/>
    <w:rsid w:val="00507897"/>
  </w:style>
  <w:style w:type="paragraph" w:styleId="ListParagraph">
    <w:name w:val="List Paragraph"/>
    <w:basedOn w:val="Normal"/>
    <w:link w:val="ListParagraphChar"/>
    <w:uiPriority w:val="34"/>
    <w:rsid w:val="005E3562"/>
    <w:pPr>
      <w:ind w:left="720"/>
      <w:contextualSpacing/>
    </w:pPr>
  </w:style>
  <w:style w:type="character" w:customStyle="1" w:styleId="CaptionChar">
    <w:name w:val="Caption Char"/>
    <w:basedOn w:val="DefaultParagraphFont"/>
    <w:link w:val="Caption"/>
    <w:rsid w:val="005E3562"/>
    <w:rPr>
      <w:b/>
      <w:bCs/>
      <w:color w:val="1F497D" w:themeColor="text2"/>
      <w:spacing w:val="-4"/>
    </w:rPr>
  </w:style>
  <w:style w:type="character" w:customStyle="1" w:styleId="CaptionheadingChar">
    <w:name w:val="Caption heading Char"/>
    <w:basedOn w:val="CaptionChar"/>
    <w:link w:val="Captionheading"/>
    <w:rsid w:val="00507897"/>
    <w:rPr>
      <w:b/>
      <w:bCs/>
      <w:color w:val="1F497D" w:themeColor="text2"/>
      <w:spacing w:val="-4"/>
    </w:rPr>
  </w:style>
  <w:style w:type="paragraph" w:customStyle="1" w:styleId="Bullet1">
    <w:name w:val="Bullet 1"/>
    <w:basedOn w:val="ListBullet"/>
    <w:link w:val="Bullet1Char"/>
    <w:qFormat/>
    <w:rsid w:val="00461597"/>
    <w:rPr>
      <w:rFonts w:eastAsia="Times New Roman" w:cs="Times New Roman"/>
      <w:lang w:eastAsia="en-AU"/>
    </w:rPr>
  </w:style>
  <w:style w:type="paragraph" w:customStyle="1" w:styleId="Bullet2">
    <w:name w:val="Bullet 2"/>
    <w:basedOn w:val="ListBullet2"/>
    <w:link w:val="Bullet2Char"/>
    <w:qFormat/>
    <w:rsid w:val="00461597"/>
    <w:pPr>
      <w:ind w:left="908" w:hanging="454"/>
    </w:pPr>
    <w:rPr>
      <w:rFonts w:eastAsia="Times New Roman" w:cs="Times New Roman"/>
      <w:lang w:eastAsia="en-AU"/>
    </w:rPr>
  </w:style>
  <w:style w:type="character" w:customStyle="1" w:styleId="TableTextBullet1Char">
    <w:name w:val="Table Text Bullet 1 Char"/>
    <w:basedOn w:val="DefaultParagraphFont"/>
    <w:link w:val="TableTextBullet1"/>
    <w:rsid w:val="00F52474"/>
    <w:rPr>
      <w:rFonts w:eastAsia="Times New Roman" w:cs="Times New Roman"/>
      <w:sz w:val="20"/>
      <w:lang w:eastAsia="en-AU"/>
    </w:rPr>
  </w:style>
  <w:style w:type="character" w:customStyle="1" w:styleId="Bullet1Char">
    <w:name w:val="Bullet 1 Char"/>
    <w:basedOn w:val="TableTextBullet1Char"/>
    <w:link w:val="Bullet1"/>
    <w:rsid w:val="00461597"/>
    <w:rPr>
      <w:rFonts w:eastAsia="Times New Roman" w:cs="Times New Roman"/>
      <w:spacing w:val="-1"/>
      <w:sz w:val="20"/>
      <w:lang w:eastAsia="en-AU"/>
    </w:rPr>
  </w:style>
  <w:style w:type="paragraph" w:customStyle="1" w:styleId="Bullet3">
    <w:name w:val="Bullet 3"/>
    <w:basedOn w:val="TableTextBullet3"/>
    <w:link w:val="Bullet3Char"/>
    <w:qFormat/>
    <w:rsid w:val="00461597"/>
    <w:pPr>
      <w:spacing w:before="0" w:after="113" w:line="300" w:lineRule="atLeast"/>
      <w:ind w:left="1361" w:hanging="454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F52474"/>
    <w:rPr>
      <w:rFonts w:cs="Times New Roman"/>
      <w:sz w:val="20"/>
    </w:rPr>
  </w:style>
  <w:style w:type="character" w:customStyle="1" w:styleId="TableTextBulletChar">
    <w:name w:val="Table Text Bullet Char"/>
    <w:basedOn w:val="TableTextChar"/>
    <w:link w:val="TableTextBullet"/>
    <w:rsid w:val="001A02D1"/>
    <w:rPr>
      <w:rFonts w:cs="Times New Roman"/>
      <w:sz w:val="20"/>
    </w:rPr>
  </w:style>
  <w:style w:type="character" w:customStyle="1" w:styleId="TableTextBullet2Char">
    <w:name w:val="Table Text Bullet 2 Char"/>
    <w:basedOn w:val="TableTextBulletChar"/>
    <w:link w:val="TableTextBullet2"/>
    <w:rsid w:val="00F52474"/>
    <w:rPr>
      <w:rFonts w:cs="Times New Roman"/>
      <w:bCs/>
      <w:sz w:val="20"/>
    </w:rPr>
  </w:style>
  <w:style w:type="character" w:customStyle="1" w:styleId="Bullet2Char">
    <w:name w:val="Bullet 2 Char"/>
    <w:basedOn w:val="TableTextBullet2Char"/>
    <w:link w:val="Bullet2"/>
    <w:rsid w:val="00461597"/>
    <w:rPr>
      <w:rFonts w:eastAsia="Times New Roman" w:cs="Times New Roman"/>
      <w:bCs w:val="0"/>
      <w:spacing w:val="-1"/>
      <w:sz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1A02D1"/>
    <w:rPr>
      <w:i/>
      <w:color w:val="2B3B5F"/>
      <w:sz w:val="24"/>
      <w:szCs w:val="24"/>
    </w:rPr>
  </w:style>
  <w:style w:type="character" w:customStyle="1" w:styleId="TableTextBullet3Char">
    <w:name w:val="Table Text Bullet 3 Char"/>
    <w:basedOn w:val="TableTextBullet2Char"/>
    <w:link w:val="TableTextBullet3"/>
    <w:rsid w:val="00F52474"/>
    <w:rPr>
      <w:rFonts w:cs="Times New Roman"/>
      <w:bCs w:val="0"/>
      <w:sz w:val="20"/>
    </w:rPr>
  </w:style>
  <w:style w:type="character" w:customStyle="1" w:styleId="Bullet3Char">
    <w:name w:val="Bullet 3 Char"/>
    <w:basedOn w:val="TableTextBullet3Char"/>
    <w:link w:val="Bullet3"/>
    <w:rsid w:val="00461597"/>
    <w:rPr>
      <w:rFonts w:cs="Times New Roman"/>
      <w:bCs w:val="0"/>
      <w:sz w:val="20"/>
    </w:rPr>
  </w:style>
  <w:style w:type="paragraph" w:customStyle="1" w:styleId="Footnotes">
    <w:name w:val="Footnotes"/>
    <w:basedOn w:val="ListParagraph"/>
    <w:link w:val="FootnotesChar"/>
    <w:qFormat/>
    <w:rsid w:val="001278D0"/>
    <w:pPr>
      <w:numPr>
        <w:numId w:val="6"/>
      </w:numPr>
      <w:spacing w:before="113" w:after="0" w:line="260" w:lineRule="atLeast"/>
      <w:ind w:left="284" w:hanging="284"/>
      <w:contextualSpacing w:val="0"/>
    </w:pPr>
    <w:rPr>
      <w:sz w:val="20"/>
      <w:szCs w:val="20"/>
    </w:rPr>
  </w:style>
  <w:style w:type="paragraph" w:customStyle="1" w:styleId="Footnoteheading">
    <w:name w:val="Footnote heading"/>
    <w:basedOn w:val="Normal"/>
    <w:link w:val="FootnoteheadingChar"/>
    <w:rsid w:val="00C17112"/>
    <w:pPr>
      <w:spacing w:before="113" w:after="113"/>
    </w:pPr>
    <w:rPr>
      <w:b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D42"/>
  </w:style>
  <w:style w:type="character" w:customStyle="1" w:styleId="FootnotesChar">
    <w:name w:val="Footnotes Char"/>
    <w:basedOn w:val="ListParagraphChar"/>
    <w:link w:val="Footnotes"/>
    <w:rsid w:val="001278D0"/>
    <w:rPr>
      <w:sz w:val="20"/>
      <w:szCs w:val="20"/>
    </w:rPr>
  </w:style>
  <w:style w:type="character" w:customStyle="1" w:styleId="FootnoteheadingChar">
    <w:name w:val="Footnote heading Char"/>
    <w:basedOn w:val="DefaultParagraphFont"/>
    <w:link w:val="Footnoteheading"/>
    <w:rsid w:val="00C17112"/>
    <w:rPr>
      <w:b/>
      <w:sz w:val="20"/>
      <w:szCs w:val="20"/>
    </w:rPr>
  </w:style>
  <w:style w:type="paragraph" w:customStyle="1" w:styleId="Lettertext">
    <w:name w:val="Letter text"/>
    <w:basedOn w:val="Normal"/>
    <w:qFormat/>
    <w:rsid w:val="00C17112"/>
    <w:pPr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Bullet">
    <w:name w:val="List Bullet"/>
    <w:basedOn w:val="Normal"/>
    <w:unhideWhenUsed/>
    <w:rsid w:val="00C17112"/>
    <w:pPr>
      <w:keepLines/>
      <w:numPr>
        <w:numId w:val="11"/>
      </w:numPr>
      <w:spacing w:before="0" w:after="113"/>
    </w:pPr>
    <w:rPr>
      <w:spacing w:val="-1"/>
    </w:rPr>
  </w:style>
  <w:style w:type="paragraph" w:styleId="ListBullet2">
    <w:name w:val="List Bullet 2"/>
    <w:basedOn w:val="ListBullet"/>
    <w:unhideWhenUsed/>
    <w:rsid w:val="00C17112"/>
    <w:pPr>
      <w:numPr>
        <w:ilvl w:val="1"/>
      </w:numPr>
    </w:pPr>
  </w:style>
  <w:style w:type="paragraph" w:styleId="ListBullet3">
    <w:name w:val="List Bullet 3"/>
    <w:basedOn w:val="ListBullet2"/>
    <w:unhideWhenUsed/>
    <w:rsid w:val="00C17112"/>
    <w:pPr>
      <w:numPr>
        <w:ilvl w:val="2"/>
      </w:numPr>
    </w:pPr>
  </w:style>
  <w:style w:type="paragraph" w:customStyle="1" w:styleId="TableTextRight">
    <w:name w:val="Table Text Right"/>
    <w:basedOn w:val="TableText"/>
    <w:qFormat/>
    <w:rsid w:val="00C24267"/>
    <w:pPr>
      <w:jc w:val="right"/>
    </w:pPr>
    <w:rPr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34419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75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5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5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5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ambandt.com/16053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ph.gov.au/pbo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M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F723205-D2CC-42AF-A732-7A0F9E08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 - Caretaker.dotm</Template>
  <TotalTime>2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minute—during the caretaker period for a general election</vt:lpstr>
    </vt:vector>
  </TitlesOfParts>
  <Company>Parliament of Australia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PBO - GRN080 - Ensuring the independence and flourishing of the Arts - 1 July 2016</dc:title>
  <dc:creator>Parliamentary Budget Office</dc:creator>
  <cp:lastModifiedBy>Milligan, Louise (PBO)</cp:lastModifiedBy>
  <cp:revision>4</cp:revision>
  <cp:lastPrinted>2016-07-01T06:20:00Z</cp:lastPrinted>
  <dcterms:created xsi:type="dcterms:W3CDTF">2016-07-01T06:22:00Z</dcterms:created>
  <dcterms:modified xsi:type="dcterms:W3CDTF">2016-07-01T06:39:00Z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